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F2830" w14:textId="77777777" w:rsidR="00F15B67" w:rsidRPr="008C21E4" w:rsidRDefault="003F68E1" w:rsidP="001025F1">
      <w:pPr>
        <w:spacing w:after="100" w:afterAutospacing="1"/>
        <w:rPr>
          <w:rFonts w:ascii="Arial" w:hAnsi="Arial" w:cs="Arial"/>
          <w:b/>
          <w:sz w:val="22"/>
          <w:szCs w:val="22"/>
          <w:lang w:val="es-ES"/>
        </w:rPr>
      </w:pPr>
      <w:r w:rsidRPr="008C21E4">
        <w:rPr>
          <w:rFonts w:ascii="Arial" w:hAnsi="Arial" w:cs="Arial"/>
          <w:noProof/>
          <w:sz w:val="22"/>
          <w:szCs w:val="22"/>
          <w:lang w:val="it-IT" w:eastAsia="it-IT"/>
        </w:rPr>
        <w:drawing>
          <wp:anchor distT="0" distB="0" distL="114300" distR="114300" simplePos="0" relativeHeight="251664896" behindDoc="0" locked="0" layoutInCell="1" allowOverlap="1" wp14:anchorId="50A7C491" wp14:editId="4F2CCF68">
            <wp:simplePos x="0" y="0"/>
            <wp:positionH relativeFrom="column">
              <wp:posOffset>114300</wp:posOffset>
            </wp:positionH>
            <wp:positionV relativeFrom="paragraph">
              <wp:posOffset>-228600</wp:posOffset>
            </wp:positionV>
            <wp:extent cx="2337435" cy="1275715"/>
            <wp:effectExtent l="0" t="0" r="0" b="0"/>
            <wp:wrapNone/>
            <wp:docPr id="3" name="Picture 3"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bid_espan_ol_0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sidR="00F15B67" w:rsidRPr="008C21E4">
        <w:rPr>
          <w:rFonts w:ascii="Arial" w:hAnsi="Arial" w:cs="Arial"/>
          <w:noProof/>
          <w:sz w:val="22"/>
          <w:szCs w:val="22"/>
          <w:lang w:val="it-IT" w:eastAsia="it-IT"/>
        </w:rPr>
        <mc:AlternateContent>
          <mc:Choice Requires="wps">
            <w:drawing>
              <wp:anchor distT="36576" distB="36576" distL="36576" distR="36576" simplePos="0" relativeHeight="251661824" behindDoc="0" locked="0" layoutInCell="1" allowOverlap="1" wp14:anchorId="051DB5BB" wp14:editId="5FD17E74">
                <wp:simplePos x="0" y="0"/>
                <wp:positionH relativeFrom="column">
                  <wp:posOffset>3538855</wp:posOffset>
                </wp:positionH>
                <wp:positionV relativeFrom="page">
                  <wp:posOffset>0</wp:posOffset>
                </wp:positionV>
                <wp:extent cx="3319145" cy="10125075"/>
                <wp:effectExtent l="0" t="0" r="8255" b="9525"/>
                <wp:wrapTight wrapText="bothSides">
                  <wp:wrapPolygon edited="0">
                    <wp:start x="0" y="0"/>
                    <wp:lineTo x="0" y="21566"/>
                    <wp:lineTo x="21488" y="21566"/>
                    <wp:lineTo x="21488" y="0"/>
                    <wp:lineTo x="0" y="0"/>
                  </wp:wrapPolygon>
                </wp:wrapTight>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http://schemas.openxmlformats.org/drawingml/2006/chart" xmlns:a16="http://schemas.microsoft.com/office/drawing/2014/main" xmlns:a14="http://schemas.microsoft.com/office/drawing/2010/main" xmlns:pic="http://schemas.openxmlformats.org/drawingml/2006/picture" xmlns:a="http://schemas.openxmlformats.org/drawingml/2006/main">
            <w:pict w14:anchorId="0C9610B6">
              <v:rect id="Rectangle 9" style="position:absolute;margin-left:278.65pt;margin-top:0;width:261.35pt;height:797.25pt;z-index:251661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spid="_x0000_s1026" fillcolor="#153b5e" stroked="f" w14:anchorId="1AEB3F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">
                <v:textbox inset="2.88pt,2.88pt,2.88pt,2.88pt"/>
                <w10:wrap type="tight" anchory="page"/>
              </v:rect>
            </w:pict>
          </mc:Fallback>
        </mc:AlternateContent>
      </w:r>
    </w:p>
    <w:p w14:paraId="14E5BAFE" w14:textId="77777777" w:rsidR="00F15B67" w:rsidRPr="008C21E4" w:rsidRDefault="00F15B67" w:rsidP="001025F1">
      <w:pPr>
        <w:spacing w:after="100" w:afterAutospacing="1"/>
        <w:rPr>
          <w:rFonts w:ascii="Arial" w:hAnsi="Arial" w:cs="Arial"/>
          <w:sz w:val="22"/>
          <w:szCs w:val="22"/>
          <w:lang w:val="es-ES"/>
        </w:rPr>
      </w:pPr>
    </w:p>
    <w:p w14:paraId="4C4357FF" w14:textId="77777777" w:rsidR="00F15B67" w:rsidRPr="008C21E4" w:rsidRDefault="00F15B67" w:rsidP="001025F1">
      <w:pPr>
        <w:spacing w:after="100" w:afterAutospacing="1"/>
        <w:rPr>
          <w:rFonts w:ascii="Arial" w:hAnsi="Arial" w:cs="Arial"/>
          <w:sz w:val="22"/>
          <w:szCs w:val="22"/>
          <w:lang w:val="es-ES"/>
        </w:rPr>
      </w:pPr>
    </w:p>
    <w:p w14:paraId="4E93B48B" w14:textId="77777777" w:rsidR="00F15B67" w:rsidRPr="008C21E4" w:rsidRDefault="00F15B67" w:rsidP="001025F1">
      <w:pPr>
        <w:spacing w:after="100" w:afterAutospacing="1"/>
        <w:rPr>
          <w:rFonts w:ascii="Arial" w:hAnsi="Arial" w:cs="Arial"/>
          <w:sz w:val="22"/>
          <w:szCs w:val="22"/>
          <w:lang w:val="es-ES"/>
        </w:rPr>
      </w:pPr>
    </w:p>
    <w:p w14:paraId="13820959" w14:textId="77777777" w:rsidR="00F15B67" w:rsidRPr="008C21E4" w:rsidRDefault="00F15B67" w:rsidP="001025F1">
      <w:pPr>
        <w:spacing w:after="100" w:afterAutospacing="1"/>
        <w:rPr>
          <w:rFonts w:ascii="Arial" w:hAnsi="Arial" w:cs="Arial"/>
          <w:sz w:val="22"/>
          <w:szCs w:val="22"/>
          <w:lang w:val="es-ES"/>
        </w:rPr>
      </w:pPr>
    </w:p>
    <w:p w14:paraId="7EAD4E6E" w14:textId="77777777" w:rsidR="00F15B67" w:rsidRPr="008C21E4" w:rsidRDefault="00F15B67" w:rsidP="001025F1">
      <w:pPr>
        <w:spacing w:after="100" w:afterAutospacing="1"/>
        <w:rPr>
          <w:rFonts w:ascii="Arial" w:hAnsi="Arial" w:cs="Arial"/>
          <w:sz w:val="22"/>
          <w:szCs w:val="22"/>
          <w:lang w:val="es-ES"/>
        </w:rPr>
      </w:pPr>
    </w:p>
    <w:p w14:paraId="59A6CD84" w14:textId="77777777" w:rsidR="00F15B67" w:rsidRPr="008C21E4" w:rsidRDefault="00F15B67" w:rsidP="001025F1">
      <w:pPr>
        <w:spacing w:after="100" w:afterAutospacing="1"/>
        <w:rPr>
          <w:rFonts w:ascii="Arial" w:hAnsi="Arial" w:cs="Arial"/>
          <w:sz w:val="22"/>
          <w:szCs w:val="22"/>
          <w:lang w:val="es-ES"/>
        </w:rPr>
      </w:pPr>
    </w:p>
    <w:p w14:paraId="6F272F05" w14:textId="77777777" w:rsidR="00F15B67" w:rsidRPr="008C21E4" w:rsidRDefault="00F15B67" w:rsidP="001025F1">
      <w:pPr>
        <w:spacing w:after="100" w:afterAutospacing="1"/>
        <w:rPr>
          <w:rFonts w:ascii="Arial" w:hAnsi="Arial" w:cs="Arial"/>
          <w:sz w:val="22"/>
          <w:szCs w:val="22"/>
          <w:lang w:val="es-ES"/>
        </w:rPr>
      </w:pPr>
    </w:p>
    <w:p w14:paraId="4D43CC80" w14:textId="77777777" w:rsidR="00F15B67" w:rsidRPr="008C21E4" w:rsidRDefault="003F68E1" w:rsidP="001025F1">
      <w:pPr>
        <w:spacing w:after="100" w:afterAutospacing="1"/>
        <w:rPr>
          <w:rFonts w:ascii="Arial" w:hAnsi="Arial" w:cs="Arial"/>
          <w:sz w:val="22"/>
          <w:szCs w:val="22"/>
          <w:lang w:val="es-ES"/>
        </w:rPr>
      </w:pPr>
      <w:r w:rsidRPr="008C21E4">
        <w:rPr>
          <w:rFonts w:ascii="Arial" w:hAnsi="Arial" w:cs="Arial"/>
          <w:noProof/>
          <w:sz w:val="22"/>
          <w:szCs w:val="22"/>
          <w:lang w:val="it-IT" w:eastAsia="it-IT"/>
        </w:rPr>
        <mc:AlternateContent>
          <mc:Choice Requires="wps">
            <w:drawing>
              <wp:anchor distT="0" distB="0" distL="114300" distR="114300" simplePos="0" relativeHeight="251663872" behindDoc="0" locked="0" layoutInCell="1" allowOverlap="1" wp14:anchorId="02ED18D6" wp14:editId="5CDE8469">
                <wp:simplePos x="0" y="0"/>
                <wp:positionH relativeFrom="column">
                  <wp:posOffset>-457200</wp:posOffset>
                </wp:positionH>
                <wp:positionV relativeFrom="paragraph">
                  <wp:posOffset>49530</wp:posOffset>
                </wp:positionV>
                <wp:extent cx="3352800" cy="2771775"/>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A2228" w14:textId="77777777" w:rsidR="006F1FDF" w:rsidRPr="00F8108A" w:rsidRDefault="006F1FDF" w:rsidP="00F15B67">
                            <w:pPr>
                              <w:spacing w:before="120" w:after="120"/>
                              <w:rPr>
                                <w:rFonts w:ascii="Arial" w:hAnsi="Arial" w:cs="Arial"/>
                                <w:b/>
                                <w:bCs/>
                                <w:sz w:val="44"/>
                                <w:lang w:val="es-ES"/>
                              </w:rPr>
                            </w:pPr>
                            <w:r w:rsidRPr="00F8108A">
                              <w:rPr>
                                <w:rFonts w:ascii="Arial" w:hAnsi="Arial" w:cs="Arial"/>
                                <w:b/>
                                <w:bCs/>
                                <w:sz w:val="44"/>
                                <w:lang w:val="es-ES"/>
                              </w:rPr>
                              <w:t xml:space="preserve">Análisis </w:t>
                            </w:r>
                            <w:r w:rsidRPr="00120E16">
                              <w:rPr>
                                <w:rFonts w:ascii="Arial" w:hAnsi="Arial" w:cs="Arial"/>
                                <w:b/>
                                <w:bCs/>
                                <w:sz w:val="44"/>
                                <w:lang w:val="es-ES"/>
                              </w:rPr>
                              <w:t>Económico</w:t>
                            </w:r>
                            <w:bookmarkStart w:id="0" w:name="_GoBack"/>
                            <w:bookmarkEnd w:id="0"/>
                          </w:p>
                          <w:p w14:paraId="53CD2794" w14:textId="488F1F8F" w:rsidR="006F1FDF" w:rsidRDefault="006F1FDF" w:rsidP="00F15B67">
                            <w:pPr>
                              <w:spacing w:before="120" w:after="120"/>
                              <w:rPr>
                                <w:rFonts w:ascii="Arial" w:hAnsi="Arial" w:cs="Arial"/>
                                <w:smallCaps/>
                                <w:sz w:val="32"/>
                                <w:szCs w:val="32"/>
                                <w:lang w:val="es-ES_tradnl"/>
                              </w:rPr>
                            </w:pPr>
                            <w:r>
                              <w:rPr>
                                <w:rFonts w:ascii="Arial" w:hAnsi="Arial" w:cs="Arial"/>
                                <w:smallCaps/>
                                <w:sz w:val="32"/>
                                <w:szCs w:val="32"/>
                                <w:lang w:val="es-ES_tradnl"/>
                              </w:rPr>
                              <w:t>BR</w:t>
                            </w:r>
                            <w:r w:rsidRPr="00F8108A">
                              <w:rPr>
                                <w:rFonts w:ascii="Arial" w:hAnsi="Arial" w:cs="Arial"/>
                                <w:smallCaps/>
                                <w:sz w:val="32"/>
                                <w:szCs w:val="32"/>
                                <w:lang w:val="es-ES_tradnl"/>
                              </w:rPr>
                              <w:t>-L</w:t>
                            </w:r>
                            <w:r>
                              <w:rPr>
                                <w:rFonts w:ascii="Arial" w:hAnsi="Arial" w:cs="Arial"/>
                                <w:smallCaps/>
                                <w:sz w:val="32"/>
                                <w:szCs w:val="32"/>
                                <w:lang w:val="es-ES_tradnl"/>
                              </w:rPr>
                              <w:t>1519</w:t>
                            </w:r>
                            <w:r w:rsidRPr="00F8108A">
                              <w:rPr>
                                <w:rFonts w:ascii="Arial" w:hAnsi="Arial" w:cs="Arial"/>
                                <w:smallCaps/>
                                <w:sz w:val="32"/>
                                <w:szCs w:val="32"/>
                                <w:lang w:val="es-ES_tradnl"/>
                              </w:rPr>
                              <w:t xml:space="preserve"> </w:t>
                            </w:r>
                          </w:p>
                          <w:p w14:paraId="5915F389" w14:textId="1AA1E62A" w:rsidR="006F1FDF" w:rsidRPr="00024AE0" w:rsidRDefault="006F1FDF" w:rsidP="006B6E37">
                            <w:pPr>
                              <w:spacing w:before="120" w:after="120"/>
                              <w:rPr>
                                <w:rFonts w:ascii="Arial" w:hAnsi="Arial" w:cs="Arial"/>
                                <w:smallCaps/>
                                <w:sz w:val="28"/>
                                <w:szCs w:val="28"/>
                                <w:lang w:val="es-419"/>
                              </w:rPr>
                            </w:pPr>
                            <w:r w:rsidRPr="00024AE0">
                              <w:rPr>
                                <w:rFonts w:ascii="Arial" w:hAnsi="Arial" w:cs="Arial"/>
                                <w:smallCaps/>
                                <w:sz w:val="28"/>
                                <w:szCs w:val="28"/>
                                <w:lang w:val="es-419"/>
                              </w:rPr>
                              <w:t>Modernización y Mejora de Calidad de las Redes de Servicios de Salud de Belo Horizonte – Mejor Salud BH</w:t>
                            </w:r>
                          </w:p>
                          <w:p w14:paraId="00744AD0" w14:textId="50079068" w:rsidR="006F1FDF" w:rsidRPr="00F8108A" w:rsidRDefault="006F1FDF" w:rsidP="00F15B67">
                            <w:pPr>
                              <w:spacing w:before="120" w:after="120"/>
                              <w:rPr>
                                <w:rFonts w:ascii="Arial" w:hAnsi="Arial" w:cs="Arial"/>
                                <w:smallCaps/>
                                <w:sz w:val="32"/>
                                <w:szCs w:val="32"/>
                                <w:lang w:val="es-ES_tradnl"/>
                              </w:rPr>
                            </w:pPr>
                          </w:p>
                          <w:p w14:paraId="0866AC36" w14:textId="77777777" w:rsidR="006F1FDF" w:rsidRPr="00740026" w:rsidRDefault="006F1FDF" w:rsidP="00F15B67">
                            <w:pPr>
                              <w:spacing w:before="120" w:after="120"/>
                              <w:rPr>
                                <w:rFonts w:cs="Arial"/>
                                <w:bCs/>
                                <w:sz w:val="44"/>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D18D6" id="_x0000_t202" coordsize="21600,21600" o:spt="202" path="m,l,21600r21600,l21600,xe">
                <v:stroke joinstyle="miter"/>
                <v:path gradientshapeok="t" o:connecttype="rect"/>
              </v:shapetype>
              <v:shape id="Text Box 7" o:spid="_x0000_s1026" type="#_x0000_t202" style="position:absolute;margin-left:-36pt;margin-top:3.9pt;width:264pt;height:218.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" filled="f" fillcolor="navy" stroked="f">
                <v:textbox>
                  <w:txbxContent>
                    <w:p w14:paraId="440A2228" w14:textId="77777777" w:rsidR="006F1FDF" w:rsidRPr="00F8108A" w:rsidRDefault="006F1FDF" w:rsidP="00F15B67">
                      <w:pPr>
                        <w:spacing w:before="120" w:after="120"/>
                        <w:rPr>
                          <w:rFonts w:ascii="Arial" w:hAnsi="Arial" w:cs="Arial"/>
                          <w:b/>
                          <w:bCs/>
                          <w:sz w:val="44"/>
                          <w:lang w:val="es-ES"/>
                        </w:rPr>
                      </w:pPr>
                      <w:r w:rsidRPr="00F8108A">
                        <w:rPr>
                          <w:rFonts w:ascii="Arial" w:hAnsi="Arial" w:cs="Arial"/>
                          <w:b/>
                          <w:bCs/>
                          <w:sz w:val="44"/>
                          <w:lang w:val="es-ES"/>
                        </w:rPr>
                        <w:t xml:space="preserve">Análisis </w:t>
                      </w:r>
                      <w:r w:rsidRPr="00120E16">
                        <w:rPr>
                          <w:rFonts w:ascii="Arial" w:hAnsi="Arial" w:cs="Arial"/>
                          <w:b/>
                          <w:bCs/>
                          <w:sz w:val="44"/>
                          <w:lang w:val="es-ES"/>
                        </w:rPr>
                        <w:t>Económico</w:t>
                      </w:r>
                      <w:bookmarkStart w:id="1" w:name="_GoBack"/>
                      <w:bookmarkEnd w:id="1"/>
                    </w:p>
                    <w:p w14:paraId="53CD2794" w14:textId="488F1F8F" w:rsidR="006F1FDF" w:rsidRDefault="006F1FDF" w:rsidP="00F15B67">
                      <w:pPr>
                        <w:spacing w:before="120" w:after="120"/>
                        <w:rPr>
                          <w:rFonts w:ascii="Arial" w:hAnsi="Arial" w:cs="Arial"/>
                          <w:smallCaps/>
                          <w:sz w:val="32"/>
                          <w:szCs w:val="32"/>
                          <w:lang w:val="es-ES_tradnl"/>
                        </w:rPr>
                      </w:pPr>
                      <w:r>
                        <w:rPr>
                          <w:rFonts w:ascii="Arial" w:hAnsi="Arial" w:cs="Arial"/>
                          <w:smallCaps/>
                          <w:sz w:val="32"/>
                          <w:szCs w:val="32"/>
                          <w:lang w:val="es-ES_tradnl"/>
                        </w:rPr>
                        <w:t>BR</w:t>
                      </w:r>
                      <w:r w:rsidRPr="00F8108A">
                        <w:rPr>
                          <w:rFonts w:ascii="Arial" w:hAnsi="Arial" w:cs="Arial"/>
                          <w:smallCaps/>
                          <w:sz w:val="32"/>
                          <w:szCs w:val="32"/>
                          <w:lang w:val="es-ES_tradnl"/>
                        </w:rPr>
                        <w:t>-L</w:t>
                      </w:r>
                      <w:r>
                        <w:rPr>
                          <w:rFonts w:ascii="Arial" w:hAnsi="Arial" w:cs="Arial"/>
                          <w:smallCaps/>
                          <w:sz w:val="32"/>
                          <w:szCs w:val="32"/>
                          <w:lang w:val="es-ES_tradnl"/>
                        </w:rPr>
                        <w:t>1519</w:t>
                      </w:r>
                      <w:r w:rsidRPr="00F8108A">
                        <w:rPr>
                          <w:rFonts w:ascii="Arial" w:hAnsi="Arial" w:cs="Arial"/>
                          <w:smallCaps/>
                          <w:sz w:val="32"/>
                          <w:szCs w:val="32"/>
                          <w:lang w:val="es-ES_tradnl"/>
                        </w:rPr>
                        <w:t xml:space="preserve"> </w:t>
                      </w:r>
                    </w:p>
                    <w:p w14:paraId="5915F389" w14:textId="1AA1E62A" w:rsidR="006F1FDF" w:rsidRPr="00024AE0" w:rsidRDefault="006F1FDF" w:rsidP="006B6E37">
                      <w:pPr>
                        <w:spacing w:before="120" w:after="120"/>
                        <w:rPr>
                          <w:rFonts w:ascii="Arial" w:hAnsi="Arial" w:cs="Arial"/>
                          <w:smallCaps/>
                          <w:sz w:val="28"/>
                          <w:szCs w:val="28"/>
                          <w:lang w:val="es-419"/>
                        </w:rPr>
                      </w:pPr>
                      <w:r w:rsidRPr="00024AE0">
                        <w:rPr>
                          <w:rFonts w:ascii="Arial" w:hAnsi="Arial" w:cs="Arial"/>
                          <w:smallCaps/>
                          <w:sz w:val="28"/>
                          <w:szCs w:val="28"/>
                          <w:lang w:val="es-419"/>
                        </w:rPr>
                        <w:t>Modernización y Mejora de Calidad de las Redes de Servicios de Salud de Belo Horizonte – Mejor Salud BH</w:t>
                      </w:r>
                    </w:p>
                    <w:p w14:paraId="00744AD0" w14:textId="50079068" w:rsidR="006F1FDF" w:rsidRPr="00F8108A" w:rsidRDefault="006F1FDF" w:rsidP="00F15B67">
                      <w:pPr>
                        <w:spacing w:before="120" w:after="120"/>
                        <w:rPr>
                          <w:rFonts w:ascii="Arial" w:hAnsi="Arial" w:cs="Arial"/>
                          <w:smallCaps/>
                          <w:sz w:val="32"/>
                          <w:szCs w:val="32"/>
                          <w:lang w:val="es-ES_tradnl"/>
                        </w:rPr>
                      </w:pPr>
                    </w:p>
                    <w:p w14:paraId="0866AC36" w14:textId="77777777" w:rsidR="006F1FDF" w:rsidRPr="00740026" w:rsidRDefault="006F1FDF" w:rsidP="00F15B67">
                      <w:pPr>
                        <w:spacing w:before="120" w:after="120"/>
                        <w:rPr>
                          <w:rFonts w:cs="Arial"/>
                          <w:bCs/>
                          <w:sz w:val="44"/>
                          <w:lang w:val="es-ES_tradnl"/>
                        </w:rPr>
                      </w:pPr>
                    </w:p>
                  </w:txbxContent>
                </v:textbox>
                <w10:wrap type="square"/>
              </v:shape>
            </w:pict>
          </mc:Fallback>
        </mc:AlternateContent>
      </w:r>
    </w:p>
    <w:p w14:paraId="3D0923BD" w14:textId="77777777" w:rsidR="00F15B67" w:rsidRPr="008C21E4" w:rsidRDefault="00F15B67" w:rsidP="001025F1">
      <w:pPr>
        <w:spacing w:after="100" w:afterAutospacing="1"/>
        <w:rPr>
          <w:rFonts w:ascii="Arial" w:hAnsi="Arial" w:cs="Arial"/>
          <w:sz w:val="22"/>
          <w:szCs w:val="22"/>
          <w:lang w:val="es-ES"/>
        </w:rPr>
      </w:pPr>
    </w:p>
    <w:p w14:paraId="22ACF050" w14:textId="77777777" w:rsidR="00F15B67" w:rsidRPr="008C21E4" w:rsidRDefault="00F15B67" w:rsidP="001025F1">
      <w:pPr>
        <w:spacing w:after="100" w:afterAutospacing="1"/>
        <w:rPr>
          <w:rFonts w:ascii="Arial" w:hAnsi="Arial" w:cs="Arial"/>
          <w:sz w:val="22"/>
          <w:szCs w:val="22"/>
          <w:lang w:val="es-ES"/>
        </w:rPr>
      </w:pPr>
    </w:p>
    <w:p w14:paraId="5F8C010E" w14:textId="77777777" w:rsidR="00F15B67" w:rsidRPr="008C21E4" w:rsidRDefault="00F15B67" w:rsidP="001025F1">
      <w:pPr>
        <w:spacing w:after="100" w:afterAutospacing="1"/>
        <w:rPr>
          <w:rFonts w:ascii="Arial" w:hAnsi="Arial" w:cs="Arial"/>
          <w:sz w:val="22"/>
          <w:szCs w:val="22"/>
          <w:lang w:val="es-ES"/>
        </w:rPr>
      </w:pPr>
    </w:p>
    <w:p w14:paraId="191167AE" w14:textId="77777777" w:rsidR="00F15B67" w:rsidRPr="008C21E4" w:rsidRDefault="00F15B67" w:rsidP="001025F1">
      <w:pPr>
        <w:spacing w:after="100" w:afterAutospacing="1"/>
        <w:rPr>
          <w:rFonts w:ascii="Arial" w:hAnsi="Arial" w:cs="Arial"/>
          <w:sz w:val="22"/>
          <w:szCs w:val="22"/>
          <w:lang w:val="es-ES"/>
        </w:rPr>
      </w:pPr>
    </w:p>
    <w:p w14:paraId="4BC33FC6" w14:textId="77777777" w:rsidR="00F15B67" w:rsidRPr="008C21E4" w:rsidRDefault="00F15B67" w:rsidP="001025F1">
      <w:pPr>
        <w:spacing w:after="100" w:afterAutospacing="1"/>
        <w:rPr>
          <w:rFonts w:ascii="Arial" w:hAnsi="Arial" w:cs="Arial"/>
          <w:sz w:val="22"/>
          <w:szCs w:val="22"/>
          <w:lang w:val="es-ES"/>
        </w:rPr>
      </w:pPr>
    </w:p>
    <w:p w14:paraId="1C72664C" w14:textId="77777777" w:rsidR="00F15B67" w:rsidRPr="008C21E4" w:rsidRDefault="00F15B67" w:rsidP="001025F1">
      <w:pPr>
        <w:spacing w:after="100" w:afterAutospacing="1"/>
        <w:rPr>
          <w:rFonts w:ascii="Arial" w:hAnsi="Arial" w:cs="Arial"/>
          <w:sz w:val="22"/>
          <w:szCs w:val="22"/>
          <w:lang w:val="es-ES"/>
        </w:rPr>
      </w:pPr>
    </w:p>
    <w:p w14:paraId="6BCB4381" w14:textId="77777777" w:rsidR="00F15B67" w:rsidRPr="008C21E4" w:rsidRDefault="00F15B67" w:rsidP="001025F1">
      <w:pPr>
        <w:spacing w:after="100" w:afterAutospacing="1"/>
        <w:rPr>
          <w:rFonts w:ascii="Arial" w:hAnsi="Arial" w:cs="Arial"/>
          <w:sz w:val="22"/>
          <w:szCs w:val="22"/>
          <w:lang w:val="es-ES"/>
        </w:rPr>
      </w:pPr>
    </w:p>
    <w:p w14:paraId="6FE99A28" w14:textId="77777777" w:rsidR="00F15B67" w:rsidRPr="008C21E4" w:rsidRDefault="00F15B67" w:rsidP="001025F1">
      <w:pPr>
        <w:spacing w:after="100" w:afterAutospacing="1"/>
        <w:rPr>
          <w:rFonts w:ascii="Arial" w:hAnsi="Arial" w:cs="Arial"/>
          <w:sz w:val="22"/>
          <w:szCs w:val="22"/>
          <w:lang w:val="es-ES"/>
        </w:rPr>
      </w:pPr>
    </w:p>
    <w:p w14:paraId="1DF1DF6B" w14:textId="302A369F" w:rsidR="00F15B67" w:rsidRPr="00EB374F" w:rsidRDefault="006B6E37" w:rsidP="00024AE0">
      <w:pPr>
        <w:tabs>
          <w:tab w:val="left" w:pos="1440"/>
          <w:tab w:val="left" w:pos="3060"/>
        </w:tabs>
        <w:spacing w:before="120" w:after="100" w:afterAutospacing="1"/>
        <w:ind w:left="-450"/>
        <w:jc w:val="both"/>
        <w:rPr>
          <w:rFonts w:ascii="Arial" w:hAnsi="Arial" w:cs="Arial"/>
          <w:b/>
          <w:smallCaps/>
          <w:sz w:val="22"/>
          <w:szCs w:val="22"/>
          <w:lang w:val="pt-BR"/>
        </w:rPr>
      </w:pPr>
      <w:r w:rsidRPr="00EB374F">
        <w:rPr>
          <w:rFonts w:ascii="Arial" w:hAnsi="Arial" w:cs="Arial"/>
          <w:b/>
          <w:smallCaps/>
          <w:sz w:val="22"/>
          <w:szCs w:val="22"/>
          <w:lang w:val="pt-BR"/>
        </w:rPr>
        <w:t>Agosto</w:t>
      </w:r>
      <w:r w:rsidR="000752E3" w:rsidRPr="00EB374F">
        <w:rPr>
          <w:rFonts w:ascii="Arial" w:hAnsi="Arial" w:cs="Arial"/>
          <w:b/>
          <w:smallCaps/>
          <w:sz w:val="22"/>
          <w:szCs w:val="22"/>
          <w:lang w:val="pt-BR"/>
        </w:rPr>
        <w:t xml:space="preserve"> de </w:t>
      </w:r>
      <w:r w:rsidR="00F15B67" w:rsidRPr="00EB374F">
        <w:rPr>
          <w:rFonts w:ascii="Arial" w:hAnsi="Arial" w:cs="Arial"/>
          <w:b/>
          <w:smallCaps/>
          <w:sz w:val="22"/>
          <w:szCs w:val="22"/>
          <w:lang w:val="pt-BR"/>
        </w:rPr>
        <w:t>201</w:t>
      </w:r>
      <w:r w:rsidR="001773E6" w:rsidRPr="00EB374F">
        <w:rPr>
          <w:rFonts w:ascii="Arial" w:hAnsi="Arial" w:cs="Arial"/>
          <w:b/>
          <w:smallCaps/>
          <w:sz w:val="22"/>
          <w:szCs w:val="22"/>
          <w:lang w:val="pt-BR"/>
        </w:rPr>
        <w:t>8</w:t>
      </w:r>
    </w:p>
    <w:p w14:paraId="6314D839" w14:textId="77777777" w:rsidR="00F15B67" w:rsidRPr="00EB374F" w:rsidRDefault="00F15B67" w:rsidP="00024AE0">
      <w:pPr>
        <w:spacing w:after="100" w:afterAutospacing="1"/>
        <w:ind w:left="-450"/>
        <w:rPr>
          <w:rFonts w:ascii="Arial" w:hAnsi="Arial" w:cs="Arial"/>
          <w:sz w:val="22"/>
          <w:szCs w:val="22"/>
          <w:lang w:val="pt-BR"/>
        </w:rPr>
      </w:pPr>
    </w:p>
    <w:p w14:paraId="31B7E012" w14:textId="11AB5873" w:rsidR="00F15B67" w:rsidRPr="00EB374F" w:rsidRDefault="00AD709D" w:rsidP="00024AE0">
      <w:pPr>
        <w:spacing w:after="100" w:afterAutospacing="1"/>
        <w:ind w:left="-450"/>
        <w:rPr>
          <w:rFonts w:ascii="Arial" w:hAnsi="Arial" w:cs="Arial"/>
          <w:sz w:val="22"/>
          <w:szCs w:val="22"/>
          <w:lang w:val="pt-BR"/>
        </w:rPr>
      </w:pPr>
      <w:r w:rsidRPr="00EB374F">
        <w:rPr>
          <w:rFonts w:ascii="Arial" w:hAnsi="Arial" w:cs="Arial"/>
          <w:sz w:val="22"/>
          <w:szCs w:val="22"/>
          <w:lang w:val="pt-BR"/>
        </w:rPr>
        <w:t xml:space="preserve">Documento preparado por </w:t>
      </w:r>
      <w:r w:rsidR="00743362" w:rsidRPr="00EB374F">
        <w:rPr>
          <w:rFonts w:ascii="Arial" w:hAnsi="Arial" w:cs="Arial"/>
          <w:sz w:val="22"/>
          <w:szCs w:val="22"/>
          <w:lang w:val="pt-BR"/>
        </w:rPr>
        <w:t>Gianluca Cafagna</w:t>
      </w:r>
    </w:p>
    <w:p w14:paraId="761BD273" w14:textId="77777777" w:rsidR="00AD709D" w:rsidRPr="008C21E4" w:rsidRDefault="00AD709D" w:rsidP="00024AE0">
      <w:pPr>
        <w:spacing w:after="100" w:afterAutospacing="1"/>
        <w:ind w:left="-450"/>
        <w:rPr>
          <w:rFonts w:ascii="Arial" w:hAnsi="Arial" w:cs="Arial"/>
          <w:sz w:val="22"/>
          <w:szCs w:val="22"/>
          <w:lang w:val="es-ES"/>
        </w:rPr>
      </w:pPr>
      <w:r w:rsidRPr="008C21E4">
        <w:rPr>
          <w:rFonts w:ascii="Arial" w:hAnsi="Arial" w:cs="Arial"/>
          <w:sz w:val="22"/>
          <w:szCs w:val="22"/>
          <w:lang w:val="es-ES"/>
        </w:rPr>
        <w:t xml:space="preserve">y Pablo Ibarrarán </w:t>
      </w:r>
    </w:p>
    <w:p w14:paraId="246583A9" w14:textId="77777777" w:rsidR="00A719A7" w:rsidRPr="008C21E4" w:rsidRDefault="00A719A7" w:rsidP="001025F1">
      <w:pPr>
        <w:tabs>
          <w:tab w:val="left" w:pos="1440"/>
          <w:tab w:val="left" w:pos="3060"/>
        </w:tabs>
        <w:spacing w:after="100" w:afterAutospacing="1"/>
        <w:jc w:val="center"/>
        <w:rPr>
          <w:rFonts w:ascii="Arial" w:hAnsi="Arial" w:cs="Arial"/>
          <w:b/>
          <w:smallCaps/>
          <w:sz w:val="22"/>
          <w:szCs w:val="22"/>
          <w:lang w:val="es-ES"/>
        </w:rPr>
      </w:pPr>
    </w:p>
    <w:p w14:paraId="6578A3DD" w14:textId="558C95E0" w:rsidR="00024AE0" w:rsidRDefault="00024AE0">
      <w:pPr>
        <w:rPr>
          <w:rFonts w:ascii="Arial" w:hAnsi="Arial" w:cs="Arial"/>
          <w:b/>
          <w:smallCaps/>
          <w:sz w:val="22"/>
          <w:szCs w:val="22"/>
          <w:lang w:val="es-ES"/>
        </w:rPr>
      </w:pPr>
      <w:r>
        <w:rPr>
          <w:rFonts w:ascii="Arial" w:hAnsi="Arial" w:cs="Arial"/>
          <w:b/>
          <w:smallCaps/>
          <w:sz w:val="22"/>
          <w:szCs w:val="22"/>
          <w:lang w:val="es-ES"/>
        </w:rPr>
        <w:br w:type="page"/>
      </w:r>
    </w:p>
    <w:p w14:paraId="2D3D9303" w14:textId="7DCABCA0" w:rsidR="00B75263" w:rsidRDefault="00361A79" w:rsidP="00024AE0">
      <w:pPr>
        <w:pStyle w:val="TOC1"/>
      </w:pPr>
      <w:r w:rsidRPr="00024AE0">
        <w:lastRenderedPageBreak/>
        <w:t>Tabla de Contenido</w:t>
      </w:r>
    </w:p>
    <w:p w14:paraId="65B3383D" w14:textId="77777777" w:rsidR="00024AE0" w:rsidRPr="00024AE0" w:rsidRDefault="00024AE0" w:rsidP="00024AE0">
      <w:pPr>
        <w:rPr>
          <w:lang w:val="es-ES"/>
        </w:rPr>
      </w:pPr>
    </w:p>
    <w:p w14:paraId="14352BA3" w14:textId="77777777" w:rsidR="006F1FDF" w:rsidRDefault="00361A79">
      <w:pPr>
        <w:pStyle w:val="TOC1"/>
        <w:rPr>
          <w:rFonts w:asciiTheme="minorHAnsi" w:eastAsiaTheme="minorEastAsia" w:hAnsiTheme="minorHAnsi" w:cstheme="minorBidi"/>
          <w:b w:val="0"/>
          <w:smallCaps w:val="0"/>
          <w:noProof/>
          <w:sz w:val="24"/>
          <w:szCs w:val="24"/>
          <w:lang w:val="it-IT" w:eastAsia="it-IT"/>
        </w:rPr>
      </w:pPr>
      <w:r w:rsidRPr="00024AE0">
        <w:fldChar w:fldCharType="begin"/>
      </w:r>
      <w:r w:rsidRPr="00024AE0">
        <w:instrText xml:space="preserve"> TOC \o "1-3" </w:instrText>
      </w:r>
      <w:r w:rsidRPr="00024AE0">
        <w:fldChar w:fldCharType="separate"/>
      </w:r>
      <w:r w:rsidR="006F1FDF">
        <w:rPr>
          <w:noProof/>
        </w:rPr>
        <w:t>Resumen</w:t>
      </w:r>
      <w:r w:rsidR="006F1FDF">
        <w:rPr>
          <w:noProof/>
        </w:rPr>
        <w:tab/>
      </w:r>
      <w:r w:rsidR="006F1FDF">
        <w:rPr>
          <w:noProof/>
        </w:rPr>
        <w:fldChar w:fldCharType="begin"/>
      </w:r>
      <w:r w:rsidR="006F1FDF">
        <w:rPr>
          <w:noProof/>
        </w:rPr>
        <w:instrText xml:space="preserve"> PAGEREF _Toc525384012 \h </w:instrText>
      </w:r>
      <w:r w:rsidR="006F1FDF">
        <w:rPr>
          <w:noProof/>
        </w:rPr>
      </w:r>
      <w:r w:rsidR="006F1FDF">
        <w:rPr>
          <w:noProof/>
        </w:rPr>
        <w:fldChar w:fldCharType="separate"/>
      </w:r>
      <w:r w:rsidR="006F1FDF">
        <w:rPr>
          <w:noProof/>
        </w:rPr>
        <w:t>2</w:t>
      </w:r>
      <w:r w:rsidR="006F1FDF">
        <w:rPr>
          <w:noProof/>
        </w:rPr>
        <w:fldChar w:fldCharType="end"/>
      </w:r>
    </w:p>
    <w:p w14:paraId="56D7D8DE" w14:textId="77777777" w:rsidR="006F1FDF" w:rsidRDefault="006F1FDF">
      <w:pPr>
        <w:pStyle w:val="TOC1"/>
        <w:tabs>
          <w:tab w:val="left" w:pos="720"/>
        </w:tabs>
        <w:rPr>
          <w:rFonts w:asciiTheme="minorHAnsi" w:eastAsiaTheme="minorEastAsia" w:hAnsiTheme="minorHAnsi" w:cstheme="minorBidi"/>
          <w:b w:val="0"/>
          <w:smallCaps w:val="0"/>
          <w:noProof/>
          <w:sz w:val="24"/>
          <w:szCs w:val="24"/>
          <w:lang w:val="it-IT" w:eastAsia="it-IT"/>
        </w:rPr>
      </w:pPr>
      <w:r>
        <w:rPr>
          <w:noProof/>
        </w:rPr>
        <w:t xml:space="preserve">I. </w:t>
      </w:r>
      <w:r>
        <w:rPr>
          <w:rFonts w:asciiTheme="minorHAnsi" w:eastAsiaTheme="minorEastAsia" w:hAnsiTheme="minorHAnsi" w:cstheme="minorBidi"/>
          <w:b w:val="0"/>
          <w:smallCaps w:val="0"/>
          <w:noProof/>
          <w:sz w:val="24"/>
          <w:szCs w:val="24"/>
          <w:lang w:val="it-IT" w:eastAsia="it-IT"/>
        </w:rPr>
        <w:tab/>
      </w:r>
      <w:r>
        <w:rPr>
          <w:noProof/>
        </w:rPr>
        <w:t>Introducción</w:t>
      </w:r>
      <w:r>
        <w:rPr>
          <w:noProof/>
        </w:rPr>
        <w:tab/>
      </w:r>
      <w:r>
        <w:rPr>
          <w:noProof/>
        </w:rPr>
        <w:fldChar w:fldCharType="begin"/>
      </w:r>
      <w:r>
        <w:rPr>
          <w:noProof/>
        </w:rPr>
        <w:instrText xml:space="preserve"> PAGEREF _Toc525384013 \h </w:instrText>
      </w:r>
      <w:r>
        <w:rPr>
          <w:noProof/>
        </w:rPr>
      </w:r>
      <w:r>
        <w:rPr>
          <w:noProof/>
        </w:rPr>
        <w:fldChar w:fldCharType="separate"/>
      </w:r>
      <w:r>
        <w:rPr>
          <w:noProof/>
        </w:rPr>
        <w:t>4</w:t>
      </w:r>
      <w:r>
        <w:rPr>
          <w:noProof/>
        </w:rPr>
        <w:fldChar w:fldCharType="end"/>
      </w:r>
    </w:p>
    <w:p w14:paraId="31A78F85" w14:textId="77777777" w:rsidR="006F1FDF" w:rsidRDefault="006F1FDF">
      <w:pPr>
        <w:pStyle w:val="TOC2"/>
        <w:rPr>
          <w:rFonts w:asciiTheme="minorHAnsi" w:eastAsiaTheme="minorEastAsia" w:hAnsiTheme="minorHAnsi" w:cstheme="minorBidi"/>
          <w:i w:val="0"/>
          <w:sz w:val="24"/>
          <w:szCs w:val="24"/>
          <w:lang w:val="it-IT" w:eastAsia="it-IT"/>
        </w:rPr>
      </w:pPr>
      <w:r>
        <w:t>A.</w:t>
      </w:r>
      <w:r>
        <w:rPr>
          <w:rFonts w:asciiTheme="minorHAnsi" w:eastAsiaTheme="minorEastAsia" w:hAnsiTheme="minorHAnsi" w:cstheme="minorBidi"/>
          <w:i w:val="0"/>
          <w:sz w:val="24"/>
          <w:szCs w:val="24"/>
          <w:lang w:val="it-IT" w:eastAsia="it-IT"/>
        </w:rPr>
        <w:tab/>
      </w:r>
      <w:r>
        <w:t>Antecedentes de Mejor Salud BH</w:t>
      </w:r>
      <w:r>
        <w:tab/>
      </w:r>
      <w:r>
        <w:fldChar w:fldCharType="begin"/>
      </w:r>
      <w:r>
        <w:instrText xml:space="preserve"> PAGEREF _Toc525384014 \h </w:instrText>
      </w:r>
      <w:r>
        <w:fldChar w:fldCharType="separate"/>
      </w:r>
      <w:r>
        <w:t>4</w:t>
      </w:r>
      <w:r>
        <w:fldChar w:fldCharType="end"/>
      </w:r>
    </w:p>
    <w:p w14:paraId="0439B71D" w14:textId="77777777" w:rsidR="006F1FDF" w:rsidRDefault="006F1FDF">
      <w:pPr>
        <w:pStyle w:val="TOC2"/>
        <w:rPr>
          <w:rFonts w:asciiTheme="minorHAnsi" w:eastAsiaTheme="minorEastAsia" w:hAnsiTheme="minorHAnsi" w:cstheme="minorBidi"/>
          <w:i w:val="0"/>
          <w:sz w:val="24"/>
          <w:szCs w:val="24"/>
          <w:lang w:val="it-IT" w:eastAsia="it-IT"/>
        </w:rPr>
      </w:pPr>
      <w:r>
        <w:t>B.</w:t>
      </w:r>
      <w:r>
        <w:rPr>
          <w:rFonts w:asciiTheme="minorHAnsi" w:eastAsiaTheme="minorEastAsia" w:hAnsiTheme="minorHAnsi" w:cstheme="minorBidi"/>
          <w:i w:val="0"/>
          <w:sz w:val="24"/>
          <w:szCs w:val="24"/>
          <w:lang w:val="it-IT" w:eastAsia="it-IT"/>
        </w:rPr>
        <w:tab/>
      </w:r>
      <w:r>
        <w:t>Objetivos, Componentes y Costo</w:t>
      </w:r>
      <w:r>
        <w:tab/>
      </w:r>
      <w:r>
        <w:fldChar w:fldCharType="begin"/>
      </w:r>
      <w:r>
        <w:instrText xml:space="preserve"> PAGEREF _Toc525384015 \h </w:instrText>
      </w:r>
      <w:r>
        <w:fldChar w:fldCharType="separate"/>
      </w:r>
      <w:r>
        <w:t>7</w:t>
      </w:r>
      <w:r>
        <w:fldChar w:fldCharType="end"/>
      </w:r>
    </w:p>
    <w:p w14:paraId="35328630" w14:textId="77777777" w:rsidR="006F1FDF" w:rsidRDefault="006F1FDF">
      <w:pPr>
        <w:pStyle w:val="TOC1"/>
        <w:tabs>
          <w:tab w:val="left" w:pos="720"/>
        </w:tabs>
        <w:rPr>
          <w:rFonts w:asciiTheme="minorHAnsi" w:eastAsiaTheme="minorEastAsia" w:hAnsiTheme="minorHAnsi" w:cstheme="minorBidi"/>
          <w:b w:val="0"/>
          <w:smallCaps w:val="0"/>
          <w:noProof/>
          <w:sz w:val="24"/>
          <w:szCs w:val="24"/>
          <w:lang w:val="it-IT" w:eastAsia="it-IT"/>
        </w:rPr>
      </w:pPr>
      <w:r>
        <w:rPr>
          <w:noProof/>
        </w:rPr>
        <w:t xml:space="preserve">II. </w:t>
      </w:r>
      <w:r>
        <w:rPr>
          <w:rFonts w:asciiTheme="minorHAnsi" w:eastAsiaTheme="minorEastAsia" w:hAnsiTheme="minorHAnsi" w:cstheme="minorBidi"/>
          <w:b w:val="0"/>
          <w:smallCaps w:val="0"/>
          <w:noProof/>
          <w:sz w:val="24"/>
          <w:szCs w:val="24"/>
          <w:lang w:val="it-IT" w:eastAsia="it-IT"/>
        </w:rPr>
        <w:tab/>
      </w:r>
      <w:r>
        <w:rPr>
          <w:noProof/>
        </w:rPr>
        <w:t>Análisis Económico</w:t>
      </w:r>
      <w:r>
        <w:rPr>
          <w:noProof/>
        </w:rPr>
        <w:tab/>
      </w:r>
      <w:r>
        <w:rPr>
          <w:noProof/>
        </w:rPr>
        <w:fldChar w:fldCharType="begin"/>
      </w:r>
      <w:r>
        <w:rPr>
          <w:noProof/>
        </w:rPr>
        <w:instrText xml:space="preserve"> PAGEREF _Toc525384016 \h </w:instrText>
      </w:r>
      <w:r>
        <w:rPr>
          <w:noProof/>
        </w:rPr>
      </w:r>
      <w:r>
        <w:rPr>
          <w:noProof/>
        </w:rPr>
        <w:fldChar w:fldCharType="separate"/>
      </w:r>
      <w:r>
        <w:rPr>
          <w:noProof/>
        </w:rPr>
        <w:t>10</w:t>
      </w:r>
      <w:r>
        <w:rPr>
          <w:noProof/>
        </w:rPr>
        <w:fldChar w:fldCharType="end"/>
      </w:r>
    </w:p>
    <w:p w14:paraId="6E52B12F" w14:textId="77777777" w:rsidR="006F1FDF" w:rsidRDefault="006F1FDF">
      <w:pPr>
        <w:pStyle w:val="TOC2"/>
        <w:rPr>
          <w:rFonts w:asciiTheme="minorHAnsi" w:eastAsiaTheme="minorEastAsia" w:hAnsiTheme="minorHAnsi" w:cstheme="minorBidi"/>
          <w:i w:val="0"/>
          <w:sz w:val="24"/>
          <w:szCs w:val="24"/>
          <w:lang w:val="it-IT" w:eastAsia="it-IT"/>
        </w:rPr>
      </w:pPr>
      <w:r>
        <w:t>A.</w:t>
      </w:r>
      <w:r>
        <w:rPr>
          <w:rFonts w:asciiTheme="minorHAnsi" w:eastAsiaTheme="minorEastAsia" w:hAnsiTheme="minorHAnsi" w:cstheme="minorBidi"/>
          <w:i w:val="0"/>
          <w:sz w:val="24"/>
          <w:szCs w:val="24"/>
          <w:lang w:val="it-IT" w:eastAsia="it-IT"/>
        </w:rPr>
        <w:tab/>
      </w:r>
      <w:r>
        <w:t>Medida de efectividad de l</w:t>
      </w:r>
      <w:r w:rsidRPr="00FD0340">
        <w:t>íneas</w:t>
      </w:r>
      <w:r>
        <w:t xml:space="preserve"> </w:t>
      </w:r>
      <w:r w:rsidRPr="00FD0340">
        <w:t>de</w:t>
      </w:r>
      <w:r>
        <w:t xml:space="preserve"> </w:t>
      </w:r>
      <w:r w:rsidRPr="00FD0340">
        <w:t>atención</w:t>
      </w:r>
      <w:r>
        <w:t xml:space="preserve"> </w:t>
      </w:r>
      <w:r w:rsidRPr="00FD0340">
        <w:t>en</w:t>
      </w:r>
      <w:r>
        <w:t xml:space="preserve"> A</w:t>
      </w:r>
      <w:r w:rsidRPr="00FD0340">
        <w:t>ños</w:t>
      </w:r>
      <w:r>
        <w:t xml:space="preserve"> </w:t>
      </w:r>
      <w:r w:rsidRPr="00FD0340">
        <w:t>de</w:t>
      </w:r>
      <w:r>
        <w:t xml:space="preserve"> </w:t>
      </w:r>
      <w:r w:rsidRPr="00FD0340">
        <w:t>Vida</w:t>
      </w:r>
      <w:r>
        <w:t xml:space="preserve"> </w:t>
      </w:r>
      <w:r w:rsidRPr="00FD0340">
        <w:t>A</w:t>
      </w:r>
      <w:r>
        <w:t>justados por Discapacidad -AVADs</w:t>
      </w:r>
      <w:r>
        <w:tab/>
      </w:r>
      <w:r>
        <w:fldChar w:fldCharType="begin"/>
      </w:r>
      <w:r>
        <w:instrText xml:space="preserve"> PAGEREF _Toc525384017 \h </w:instrText>
      </w:r>
      <w:r>
        <w:fldChar w:fldCharType="separate"/>
      </w:r>
      <w:r>
        <w:t>10</w:t>
      </w:r>
      <w:r>
        <w:fldChar w:fldCharType="end"/>
      </w:r>
    </w:p>
    <w:p w14:paraId="7564386E" w14:textId="77777777" w:rsidR="006F1FDF" w:rsidRDefault="006F1FDF">
      <w:pPr>
        <w:pStyle w:val="TOC2"/>
        <w:rPr>
          <w:rFonts w:asciiTheme="minorHAnsi" w:eastAsiaTheme="minorEastAsia" w:hAnsiTheme="minorHAnsi" w:cstheme="minorBidi"/>
          <w:i w:val="0"/>
          <w:sz w:val="24"/>
          <w:szCs w:val="24"/>
          <w:lang w:val="it-IT" w:eastAsia="it-IT"/>
        </w:rPr>
      </w:pPr>
      <w:r>
        <w:rPr>
          <w:lang w:eastAsia="ko-KR"/>
        </w:rPr>
        <w:t>B.</w:t>
      </w:r>
      <w:r>
        <w:rPr>
          <w:rFonts w:asciiTheme="minorHAnsi" w:eastAsiaTheme="minorEastAsia" w:hAnsiTheme="minorHAnsi" w:cstheme="minorBidi"/>
          <w:i w:val="0"/>
          <w:sz w:val="24"/>
          <w:szCs w:val="24"/>
          <w:lang w:val="it-IT" w:eastAsia="it-IT"/>
        </w:rPr>
        <w:tab/>
      </w:r>
      <w:r>
        <w:rPr>
          <w:lang w:eastAsia="ko-KR"/>
        </w:rPr>
        <w:t>Procedimiento para la evaluaci</w:t>
      </w:r>
      <w:r w:rsidRPr="00FD0340">
        <w:rPr>
          <w:lang w:eastAsia="ko-KR"/>
        </w:rPr>
        <w:t>ón</w:t>
      </w:r>
      <w:r>
        <w:rPr>
          <w:lang w:eastAsia="ko-KR"/>
        </w:rPr>
        <w:t xml:space="preserve"> econ</w:t>
      </w:r>
      <w:r w:rsidRPr="00FD0340">
        <w:rPr>
          <w:lang w:eastAsia="ko-KR"/>
        </w:rPr>
        <w:t>ómica</w:t>
      </w:r>
      <w:r>
        <w:rPr>
          <w:lang w:eastAsia="ko-KR"/>
        </w:rPr>
        <w:t xml:space="preserve"> de </w:t>
      </w:r>
      <w:r w:rsidRPr="00FD0340">
        <w:rPr>
          <w:lang w:eastAsia="ko-KR"/>
        </w:rPr>
        <w:t>Mejor Salud BH</w:t>
      </w:r>
      <w:r>
        <w:tab/>
      </w:r>
      <w:r>
        <w:fldChar w:fldCharType="begin"/>
      </w:r>
      <w:r>
        <w:instrText xml:space="preserve"> PAGEREF _Toc525384018 \h </w:instrText>
      </w:r>
      <w:r>
        <w:fldChar w:fldCharType="separate"/>
      </w:r>
      <w:r>
        <w:t>13</w:t>
      </w:r>
      <w:r>
        <w:fldChar w:fldCharType="end"/>
      </w:r>
    </w:p>
    <w:p w14:paraId="20D5C495" w14:textId="77777777" w:rsidR="006F1FDF" w:rsidRDefault="006F1FDF">
      <w:pPr>
        <w:pStyle w:val="TOC2"/>
        <w:rPr>
          <w:rFonts w:asciiTheme="minorHAnsi" w:eastAsiaTheme="minorEastAsia" w:hAnsiTheme="minorHAnsi" w:cstheme="minorBidi"/>
          <w:i w:val="0"/>
          <w:sz w:val="24"/>
          <w:szCs w:val="24"/>
          <w:lang w:val="it-IT" w:eastAsia="it-IT"/>
        </w:rPr>
      </w:pPr>
      <w:r>
        <w:t>C.</w:t>
      </w:r>
      <w:r>
        <w:rPr>
          <w:rFonts w:asciiTheme="minorHAnsi" w:eastAsiaTheme="minorEastAsia" w:hAnsiTheme="minorHAnsi" w:cstheme="minorBidi"/>
          <w:i w:val="0"/>
          <w:sz w:val="24"/>
          <w:szCs w:val="24"/>
          <w:lang w:val="it-IT" w:eastAsia="it-IT"/>
        </w:rPr>
        <w:tab/>
      </w:r>
      <w:r>
        <w:t>Resultados del an</w:t>
      </w:r>
      <w:r w:rsidRPr="00FD0340">
        <w:t>álisis</w:t>
      </w:r>
      <w:r>
        <w:t xml:space="preserve"> </w:t>
      </w:r>
      <w:r w:rsidRPr="00FD0340">
        <w:t>costo</w:t>
      </w:r>
      <w:r>
        <w:t xml:space="preserve"> – </w:t>
      </w:r>
      <w:r w:rsidRPr="00FD0340">
        <w:t>beneficio</w:t>
      </w:r>
      <w:r>
        <w:tab/>
      </w:r>
      <w:r>
        <w:fldChar w:fldCharType="begin"/>
      </w:r>
      <w:r>
        <w:instrText xml:space="preserve"> PAGEREF _Toc525384019 \h </w:instrText>
      </w:r>
      <w:r>
        <w:fldChar w:fldCharType="separate"/>
      </w:r>
      <w:r>
        <w:t>17</w:t>
      </w:r>
      <w:r>
        <w:fldChar w:fldCharType="end"/>
      </w:r>
    </w:p>
    <w:p w14:paraId="43E33BE8" w14:textId="77777777" w:rsidR="006F1FDF" w:rsidRDefault="006F1FDF">
      <w:pPr>
        <w:pStyle w:val="TOC1"/>
        <w:rPr>
          <w:rFonts w:asciiTheme="minorHAnsi" w:eastAsiaTheme="minorEastAsia" w:hAnsiTheme="minorHAnsi" w:cstheme="minorBidi"/>
          <w:b w:val="0"/>
          <w:smallCaps w:val="0"/>
          <w:noProof/>
          <w:sz w:val="24"/>
          <w:szCs w:val="24"/>
          <w:lang w:val="it-IT" w:eastAsia="it-IT"/>
        </w:rPr>
      </w:pPr>
      <w:r>
        <w:rPr>
          <w:noProof/>
        </w:rPr>
        <w:t>Referencias</w:t>
      </w:r>
      <w:r>
        <w:rPr>
          <w:noProof/>
        </w:rPr>
        <w:tab/>
      </w:r>
      <w:r>
        <w:rPr>
          <w:noProof/>
        </w:rPr>
        <w:fldChar w:fldCharType="begin"/>
      </w:r>
      <w:r>
        <w:rPr>
          <w:noProof/>
        </w:rPr>
        <w:instrText xml:space="preserve"> PAGEREF _Toc525384020 \h </w:instrText>
      </w:r>
      <w:r>
        <w:rPr>
          <w:noProof/>
        </w:rPr>
      </w:r>
      <w:r>
        <w:rPr>
          <w:noProof/>
        </w:rPr>
        <w:fldChar w:fldCharType="separate"/>
      </w:r>
      <w:r>
        <w:rPr>
          <w:noProof/>
        </w:rPr>
        <w:t>23</w:t>
      </w:r>
      <w:r>
        <w:rPr>
          <w:noProof/>
        </w:rPr>
        <w:fldChar w:fldCharType="end"/>
      </w:r>
    </w:p>
    <w:p w14:paraId="40689083" w14:textId="0FBBC019" w:rsidR="00361A79" w:rsidRPr="008C21E4" w:rsidRDefault="00361A79" w:rsidP="001025F1">
      <w:pPr>
        <w:tabs>
          <w:tab w:val="left" w:pos="1440"/>
          <w:tab w:val="left" w:pos="3060"/>
        </w:tabs>
        <w:spacing w:after="100" w:afterAutospacing="1"/>
        <w:jc w:val="center"/>
        <w:rPr>
          <w:rFonts w:ascii="Arial" w:hAnsi="Arial" w:cs="Arial"/>
          <w:b/>
          <w:smallCaps/>
          <w:sz w:val="22"/>
          <w:szCs w:val="22"/>
          <w:lang w:val="es-ES"/>
        </w:rPr>
      </w:pPr>
      <w:r w:rsidRPr="00024AE0">
        <w:rPr>
          <w:rFonts w:ascii="Arial" w:hAnsi="Arial" w:cs="Arial"/>
          <w:b/>
          <w:smallCaps/>
          <w:sz w:val="22"/>
          <w:szCs w:val="22"/>
          <w:lang w:val="es-ES"/>
        </w:rPr>
        <w:fldChar w:fldCharType="end"/>
      </w:r>
    </w:p>
    <w:p w14:paraId="067CCA29" w14:textId="77777777" w:rsidR="00F15B67" w:rsidRPr="008C21E4" w:rsidRDefault="00A719A7" w:rsidP="001025F1">
      <w:pPr>
        <w:spacing w:after="100" w:afterAutospacing="1"/>
        <w:rPr>
          <w:rFonts w:ascii="Arial" w:eastAsia="Arial Unicode MS" w:hAnsi="Arial" w:cs="Arial"/>
          <w:bCs/>
          <w:smallCaps/>
          <w:sz w:val="22"/>
          <w:szCs w:val="22"/>
          <w:lang w:val="es-ES"/>
        </w:rPr>
      </w:pPr>
      <w:r w:rsidRPr="008C21E4">
        <w:rPr>
          <w:rFonts w:ascii="Arial" w:eastAsia="Arial Unicode MS" w:hAnsi="Arial" w:cs="Arial"/>
          <w:bCs/>
          <w:smallCaps/>
          <w:sz w:val="22"/>
          <w:szCs w:val="22"/>
          <w:lang w:val="es-ES"/>
        </w:rPr>
        <w:br w:type="page"/>
      </w:r>
    </w:p>
    <w:p w14:paraId="7C642ED4" w14:textId="77777777" w:rsidR="008242ED" w:rsidRPr="008C21E4" w:rsidRDefault="008242ED" w:rsidP="00E44288">
      <w:pPr>
        <w:pStyle w:val="Heading1"/>
      </w:pPr>
      <w:bookmarkStart w:id="2" w:name="_Toc296257181"/>
      <w:bookmarkStart w:id="3" w:name="_Toc525384012"/>
      <w:r w:rsidRPr="008C21E4">
        <w:lastRenderedPageBreak/>
        <w:t>Resumen</w:t>
      </w:r>
      <w:bookmarkEnd w:id="2"/>
      <w:bookmarkEnd w:id="3"/>
    </w:p>
    <w:p w14:paraId="3C7E64A2" w14:textId="1A2828E4" w:rsidR="000434C6" w:rsidRPr="00120E16" w:rsidRDefault="002230DE" w:rsidP="005C0D0E">
      <w:pPr>
        <w:jc w:val="both"/>
        <w:rPr>
          <w:rFonts w:ascii="Arial" w:hAnsi="Arial" w:cs="Arial"/>
          <w:sz w:val="22"/>
          <w:szCs w:val="22"/>
          <w:lang w:val="es-ES_tradnl"/>
        </w:rPr>
      </w:pPr>
      <w:r w:rsidRPr="008C21E4">
        <w:rPr>
          <w:rFonts w:ascii="Arial" w:hAnsi="Arial" w:cs="Arial"/>
          <w:sz w:val="22"/>
          <w:szCs w:val="22"/>
          <w:lang w:val="es-ES"/>
        </w:rPr>
        <w:t xml:space="preserve">Este documento desarrolla el enfoque y los resultados del análisis económico del </w:t>
      </w:r>
      <w:r w:rsidR="006C2928" w:rsidRPr="008C21E4">
        <w:rPr>
          <w:rFonts w:ascii="Arial" w:hAnsi="Arial" w:cs="Arial"/>
          <w:sz w:val="22"/>
          <w:szCs w:val="22"/>
          <w:lang w:val="es-ES"/>
        </w:rPr>
        <w:t>Programa de Modernización y Mejora de Calidad de las Redes de Servicios de Salud de Belo Horizonte – Mejor Salud BH</w:t>
      </w:r>
      <w:r w:rsidRPr="008C21E4">
        <w:rPr>
          <w:rFonts w:ascii="Arial" w:hAnsi="Arial" w:cs="Arial"/>
          <w:sz w:val="22"/>
          <w:szCs w:val="22"/>
          <w:lang w:val="es-ES"/>
        </w:rPr>
        <w:t xml:space="preserve">. </w:t>
      </w:r>
      <w:r w:rsidR="000434C6">
        <w:rPr>
          <w:rFonts w:ascii="Arial" w:hAnsi="Arial" w:cs="Arial"/>
          <w:sz w:val="22"/>
          <w:szCs w:val="22"/>
          <w:lang w:val="es-ES"/>
        </w:rPr>
        <w:t>En el escenario más realista del análisis económico, es decir el de cobertura media con vector de gradualidad regular, el Valor Presente Neto (VPN) del programa considerando una tasa de descuento del 3% es US$</w:t>
      </w:r>
      <w:r w:rsidR="00416743">
        <w:rPr>
          <w:rFonts w:ascii="Arial" w:hAnsi="Arial" w:cs="Arial"/>
          <w:sz w:val="22"/>
          <w:szCs w:val="22"/>
          <w:lang w:val="es-ES"/>
        </w:rPr>
        <w:t xml:space="preserve"> </w:t>
      </w:r>
      <w:r w:rsidR="00416743" w:rsidRPr="00120E16">
        <w:rPr>
          <w:rFonts w:ascii="Arial" w:hAnsi="Arial" w:cs="Arial"/>
          <w:sz w:val="22"/>
          <w:szCs w:val="22"/>
          <w:lang w:val="es-ES_tradnl"/>
        </w:rPr>
        <w:t xml:space="preserve">43,943,951 </w:t>
      </w:r>
      <w:r w:rsidR="000434C6" w:rsidRPr="00120E16">
        <w:rPr>
          <w:rFonts w:ascii="Arial" w:hAnsi="Arial" w:cs="Arial"/>
          <w:sz w:val="22"/>
          <w:szCs w:val="22"/>
          <w:lang w:val="es-ES_tradnl"/>
        </w:rPr>
        <w:t xml:space="preserve">y la Tasa Interna de Retorno (TIR) es </w:t>
      </w:r>
      <w:r w:rsidR="00416743" w:rsidRPr="00120E16">
        <w:rPr>
          <w:rFonts w:ascii="Arial" w:hAnsi="Arial" w:cs="Arial"/>
          <w:sz w:val="22"/>
          <w:szCs w:val="22"/>
          <w:lang w:val="es-ES_tradnl"/>
        </w:rPr>
        <w:t>34,7</w:t>
      </w:r>
      <w:r w:rsidR="000434C6" w:rsidRPr="00120E16">
        <w:rPr>
          <w:rFonts w:ascii="Arial" w:hAnsi="Arial" w:cs="Arial"/>
          <w:sz w:val="22"/>
          <w:szCs w:val="22"/>
          <w:lang w:val="es-ES_tradnl"/>
        </w:rPr>
        <w:t xml:space="preserve">%. </w:t>
      </w:r>
    </w:p>
    <w:p w14:paraId="2A65741A" w14:textId="3D0A4840" w:rsidR="002230DE" w:rsidRPr="008C21E4" w:rsidRDefault="000434C6" w:rsidP="001025F1">
      <w:pPr>
        <w:spacing w:before="120" w:after="100" w:afterAutospacing="1"/>
        <w:jc w:val="both"/>
        <w:rPr>
          <w:rFonts w:ascii="Arial" w:hAnsi="Arial" w:cs="Arial"/>
          <w:sz w:val="22"/>
          <w:szCs w:val="22"/>
          <w:lang w:val="es-ES"/>
        </w:rPr>
      </w:pPr>
      <w:r w:rsidRPr="008C21E4">
        <w:rPr>
          <w:rFonts w:ascii="Arial" w:hAnsi="Arial" w:cs="Arial"/>
          <w:sz w:val="22"/>
          <w:szCs w:val="22"/>
          <w:lang w:val="es-ES"/>
        </w:rPr>
        <w:t>El objetivo del programa es mejorar el estado de salud de la población en Belo Horizonte, mediante el aumento del acceso, calidad y eficiencia de los servicios de salud.</w:t>
      </w:r>
      <w:r>
        <w:rPr>
          <w:rFonts w:ascii="Arial" w:hAnsi="Arial" w:cs="Arial"/>
          <w:sz w:val="22"/>
          <w:szCs w:val="22"/>
          <w:lang w:val="es-ES"/>
        </w:rPr>
        <w:t xml:space="preserve"> </w:t>
      </w:r>
      <w:r w:rsidR="006C2928" w:rsidRPr="008C21E4">
        <w:rPr>
          <w:rFonts w:ascii="Arial" w:hAnsi="Arial" w:cs="Arial"/>
          <w:sz w:val="22"/>
          <w:szCs w:val="22"/>
          <w:lang w:val="es-ES"/>
        </w:rPr>
        <w:t xml:space="preserve">Mejor Salud BH </w:t>
      </w:r>
      <w:r w:rsidR="006B2371" w:rsidRPr="008C21E4">
        <w:rPr>
          <w:rFonts w:ascii="Arial" w:hAnsi="Arial" w:cs="Arial"/>
          <w:sz w:val="22"/>
          <w:szCs w:val="22"/>
          <w:lang w:val="es-ES"/>
        </w:rPr>
        <w:t>tiene un monto de US$70</w:t>
      </w:r>
      <w:r w:rsidR="001E141D" w:rsidRPr="008C21E4">
        <w:rPr>
          <w:rFonts w:ascii="Arial" w:hAnsi="Arial" w:cs="Arial"/>
          <w:sz w:val="22"/>
          <w:szCs w:val="22"/>
          <w:lang w:val="es-ES"/>
        </w:rPr>
        <w:t xml:space="preserve"> </w:t>
      </w:r>
      <w:r w:rsidR="007479B4" w:rsidRPr="008C21E4">
        <w:rPr>
          <w:rFonts w:ascii="Arial" w:hAnsi="Arial" w:cs="Arial"/>
          <w:sz w:val="22"/>
          <w:szCs w:val="22"/>
          <w:lang w:val="es-ES"/>
        </w:rPr>
        <w:t xml:space="preserve">millones, de los cuales US$56 son </w:t>
      </w:r>
      <w:r w:rsidR="001E141D" w:rsidRPr="008C21E4">
        <w:rPr>
          <w:rFonts w:ascii="Arial" w:hAnsi="Arial" w:cs="Arial"/>
          <w:sz w:val="22"/>
          <w:szCs w:val="22"/>
          <w:lang w:val="es-ES"/>
        </w:rPr>
        <w:t xml:space="preserve">financiados por el Banco y </w:t>
      </w:r>
      <w:r w:rsidR="007479B4" w:rsidRPr="008C21E4">
        <w:rPr>
          <w:rFonts w:ascii="Arial" w:hAnsi="Arial" w:cs="Arial"/>
          <w:sz w:val="22"/>
          <w:szCs w:val="22"/>
          <w:lang w:val="es-ES"/>
        </w:rPr>
        <w:t xml:space="preserve">US$14 por la contraparte. El programa </w:t>
      </w:r>
      <w:r w:rsidR="001E141D" w:rsidRPr="008C21E4">
        <w:rPr>
          <w:rFonts w:ascii="Arial" w:hAnsi="Arial" w:cs="Arial"/>
          <w:sz w:val="22"/>
          <w:szCs w:val="22"/>
          <w:lang w:val="es-ES"/>
        </w:rPr>
        <w:t xml:space="preserve">comprende cuatro componentes: (i) </w:t>
      </w:r>
      <w:r w:rsidR="00322384" w:rsidRPr="008C21E4">
        <w:rPr>
          <w:rFonts w:ascii="Arial" w:hAnsi="Arial" w:cs="Arial"/>
          <w:sz w:val="22"/>
          <w:szCs w:val="22"/>
          <w:lang w:val="es-ES"/>
        </w:rPr>
        <w:t>fortalecimiento de las redes de atención primaria y vigilancia en salud</w:t>
      </w:r>
      <w:r w:rsidR="001E141D" w:rsidRPr="008C21E4">
        <w:rPr>
          <w:rFonts w:ascii="Arial" w:hAnsi="Arial" w:cs="Arial"/>
          <w:sz w:val="22"/>
          <w:szCs w:val="22"/>
          <w:lang w:val="es-ES"/>
        </w:rPr>
        <w:t xml:space="preserve">; (ii) </w:t>
      </w:r>
      <w:r w:rsidR="00322384" w:rsidRPr="008C21E4">
        <w:rPr>
          <w:rFonts w:ascii="Arial" w:hAnsi="Arial" w:cs="Arial"/>
          <w:sz w:val="22"/>
          <w:szCs w:val="22"/>
          <w:lang w:val="es-ES"/>
        </w:rPr>
        <w:t>consolidación e integración de servicios especializados, de emergencia, y hospitalarios</w:t>
      </w:r>
      <w:r w:rsidR="00680292" w:rsidRPr="008C21E4">
        <w:rPr>
          <w:rFonts w:ascii="Arial" w:hAnsi="Arial" w:cs="Arial"/>
          <w:sz w:val="22"/>
          <w:szCs w:val="22"/>
          <w:lang w:val="es-ES"/>
        </w:rPr>
        <w:t xml:space="preserve">; </w:t>
      </w:r>
      <w:r w:rsidR="001E141D" w:rsidRPr="008C21E4">
        <w:rPr>
          <w:rFonts w:ascii="Arial" w:hAnsi="Arial" w:cs="Arial"/>
          <w:sz w:val="22"/>
          <w:szCs w:val="22"/>
          <w:lang w:val="es-ES"/>
        </w:rPr>
        <w:t>(iii);</w:t>
      </w:r>
      <w:r w:rsidR="006F6F71" w:rsidRPr="008C21E4">
        <w:rPr>
          <w:rFonts w:ascii="Arial" w:hAnsi="Arial" w:cs="Arial"/>
          <w:sz w:val="22"/>
          <w:szCs w:val="22"/>
          <w:lang w:val="es-ES"/>
        </w:rPr>
        <w:t> </w:t>
      </w:r>
      <w:r w:rsidR="00322384" w:rsidRPr="008C21E4">
        <w:rPr>
          <w:rFonts w:ascii="Arial" w:hAnsi="Arial" w:cs="Arial"/>
          <w:sz w:val="22"/>
          <w:szCs w:val="22"/>
          <w:lang w:val="es-ES"/>
        </w:rPr>
        <w:t>mejoramiento de la gestión, calidad y eficiencia de las redes integradas</w:t>
      </w:r>
      <w:r w:rsidR="006F6F71" w:rsidRPr="008C21E4">
        <w:rPr>
          <w:rFonts w:ascii="Arial" w:hAnsi="Arial" w:cs="Arial"/>
          <w:sz w:val="22"/>
          <w:szCs w:val="22"/>
          <w:lang w:val="es-ES"/>
        </w:rPr>
        <w:t>;</w:t>
      </w:r>
      <w:r w:rsidR="00462822" w:rsidRPr="008C21E4">
        <w:rPr>
          <w:rFonts w:ascii="Arial" w:hAnsi="Arial" w:cs="Arial"/>
          <w:sz w:val="22"/>
          <w:szCs w:val="22"/>
          <w:lang w:val="es-ES"/>
        </w:rPr>
        <w:t xml:space="preserve"> </w:t>
      </w:r>
      <w:r w:rsidR="001E141D" w:rsidRPr="008C21E4">
        <w:rPr>
          <w:rFonts w:ascii="Arial" w:hAnsi="Arial" w:cs="Arial"/>
          <w:sz w:val="22"/>
          <w:szCs w:val="22"/>
          <w:lang w:val="es-ES"/>
        </w:rPr>
        <w:t>y (iv) administración</w:t>
      </w:r>
      <w:r w:rsidR="00680292" w:rsidRPr="008C21E4">
        <w:rPr>
          <w:rFonts w:ascii="Arial" w:hAnsi="Arial" w:cs="Arial"/>
          <w:sz w:val="22"/>
          <w:szCs w:val="22"/>
          <w:lang w:val="es-ES"/>
        </w:rPr>
        <w:t xml:space="preserve"> y </w:t>
      </w:r>
      <w:r w:rsidR="00462822" w:rsidRPr="008C21E4">
        <w:rPr>
          <w:rFonts w:ascii="Arial" w:hAnsi="Arial" w:cs="Arial"/>
          <w:sz w:val="22"/>
          <w:szCs w:val="22"/>
          <w:lang w:val="es-ES"/>
        </w:rPr>
        <w:t>evaluación</w:t>
      </w:r>
      <w:r w:rsidR="00680292" w:rsidRPr="008C21E4">
        <w:rPr>
          <w:rFonts w:ascii="Arial" w:hAnsi="Arial" w:cs="Arial"/>
          <w:sz w:val="22"/>
          <w:szCs w:val="22"/>
          <w:lang w:val="es-ES"/>
        </w:rPr>
        <w:t xml:space="preserve"> del programa</w:t>
      </w:r>
      <w:r w:rsidR="001E141D" w:rsidRPr="008C21E4">
        <w:rPr>
          <w:rFonts w:ascii="Arial" w:hAnsi="Arial" w:cs="Arial"/>
          <w:sz w:val="22"/>
          <w:szCs w:val="22"/>
          <w:lang w:val="es-ES"/>
        </w:rPr>
        <w:t>.</w:t>
      </w:r>
    </w:p>
    <w:p w14:paraId="1123D14E" w14:textId="172CEDB6" w:rsidR="00E240CC" w:rsidRPr="008C21E4" w:rsidRDefault="00206E88" w:rsidP="00216A0C">
      <w:pPr>
        <w:spacing w:before="120"/>
        <w:jc w:val="both"/>
        <w:rPr>
          <w:rFonts w:ascii="Arial" w:hAnsi="Arial" w:cs="Arial"/>
          <w:sz w:val="22"/>
          <w:szCs w:val="22"/>
          <w:lang w:val="es-ES"/>
        </w:rPr>
      </w:pPr>
      <w:r w:rsidRPr="008C21E4">
        <w:rPr>
          <w:rFonts w:ascii="Arial" w:hAnsi="Arial" w:cs="Arial"/>
          <w:sz w:val="22"/>
          <w:szCs w:val="22"/>
          <w:lang w:val="es-ES"/>
        </w:rPr>
        <w:t xml:space="preserve">Se trata de una operación </w:t>
      </w:r>
      <w:r w:rsidR="0028258E" w:rsidRPr="008C21E4">
        <w:rPr>
          <w:rFonts w:ascii="Arial" w:hAnsi="Arial" w:cs="Arial"/>
          <w:sz w:val="22"/>
          <w:szCs w:val="22"/>
          <w:lang w:val="es-ES"/>
        </w:rPr>
        <w:t xml:space="preserve">integral </w:t>
      </w:r>
      <w:r w:rsidR="001E141D" w:rsidRPr="008C21E4">
        <w:rPr>
          <w:rFonts w:ascii="Arial" w:hAnsi="Arial" w:cs="Arial"/>
          <w:sz w:val="22"/>
          <w:szCs w:val="22"/>
          <w:lang w:val="es-ES"/>
        </w:rPr>
        <w:t xml:space="preserve">porque está </w:t>
      </w:r>
      <w:r w:rsidR="00E240CC" w:rsidRPr="008C21E4">
        <w:rPr>
          <w:rFonts w:ascii="Arial" w:hAnsi="Arial" w:cs="Arial"/>
          <w:sz w:val="22"/>
          <w:szCs w:val="22"/>
          <w:lang w:val="es-ES"/>
        </w:rPr>
        <w:t>dirigida a fortalecer la red de provisión de servicios de salud</w:t>
      </w:r>
      <w:r w:rsidR="001E141D" w:rsidRPr="008C21E4">
        <w:rPr>
          <w:rFonts w:ascii="Arial" w:hAnsi="Arial" w:cs="Arial"/>
          <w:sz w:val="22"/>
          <w:szCs w:val="22"/>
          <w:lang w:val="es-ES"/>
        </w:rPr>
        <w:t xml:space="preserve"> a través de varias intervenciones en diferentes niveles de atención</w:t>
      </w:r>
      <w:r w:rsidR="00E240CC" w:rsidRPr="008C21E4">
        <w:rPr>
          <w:rFonts w:ascii="Arial" w:hAnsi="Arial" w:cs="Arial"/>
          <w:sz w:val="22"/>
          <w:szCs w:val="22"/>
          <w:lang w:val="es-ES"/>
        </w:rPr>
        <w:t xml:space="preserve">. Los beneficios esperados </w:t>
      </w:r>
      <w:r w:rsidR="001E141D" w:rsidRPr="008C21E4">
        <w:rPr>
          <w:rFonts w:ascii="Arial" w:hAnsi="Arial" w:cs="Arial"/>
          <w:sz w:val="22"/>
          <w:szCs w:val="22"/>
          <w:lang w:val="es-ES"/>
        </w:rPr>
        <w:t>de</w:t>
      </w:r>
      <w:r w:rsidR="00345E67" w:rsidRPr="008C21E4">
        <w:rPr>
          <w:rFonts w:ascii="Arial" w:hAnsi="Arial" w:cs="Arial"/>
          <w:sz w:val="22"/>
          <w:szCs w:val="22"/>
          <w:lang w:val="es-ES"/>
        </w:rPr>
        <w:t xml:space="preserve"> </w:t>
      </w:r>
      <w:r w:rsidR="009929C5" w:rsidRPr="008C21E4">
        <w:rPr>
          <w:rFonts w:ascii="Arial" w:hAnsi="Arial" w:cs="Arial"/>
          <w:sz w:val="22"/>
          <w:szCs w:val="22"/>
          <w:lang w:val="es-ES"/>
        </w:rPr>
        <w:t xml:space="preserve">Mejor Salud BH </w:t>
      </w:r>
      <w:r w:rsidR="00E240CC" w:rsidRPr="008C21E4">
        <w:rPr>
          <w:rFonts w:ascii="Arial" w:hAnsi="Arial" w:cs="Arial"/>
          <w:sz w:val="22"/>
          <w:szCs w:val="22"/>
          <w:lang w:val="es-ES"/>
        </w:rPr>
        <w:t>se derivan de:</w:t>
      </w:r>
    </w:p>
    <w:p w14:paraId="2621583B" w14:textId="3ED1FD9C" w:rsidR="00E240CC" w:rsidRPr="008C21E4" w:rsidRDefault="00E240CC" w:rsidP="008A41E6">
      <w:pPr>
        <w:pStyle w:val="ListParagraph"/>
        <w:numPr>
          <w:ilvl w:val="0"/>
          <w:numId w:val="6"/>
        </w:numPr>
        <w:spacing w:before="120" w:after="100" w:afterAutospacing="1" w:line="240" w:lineRule="auto"/>
        <w:jc w:val="both"/>
        <w:rPr>
          <w:rFonts w:ascii="Arial" w:hAnsi="Arial" w:cs="Arial"/>
          <w:lang w:val="es-ES"/>
        </w:rPr>
      </w:pPr>
      <w:r w:rsidRPr="008C21E4">
        <w:rPr>
          <w:rFonts w:ascii="Arial" w:hAnsi="Arial" w:cs="Arial"/>
          <w:lang w:val="es-ES"/>
        </w:rPr>
        <w:t>Disminuci</w:t>
      </w:r>
      <w:r w:rsidRPr="008C21E4">
        <w:rPr>
          <w:rFonts w:ascii="Arial" w:eastAsia="Calibri" w:hAnsi="Arial" w:cs="Arial"/>
          <w:lang w:val="es-ES"/>
        </w:rPr>
        <w:t>ón</w:t>
      </w:r>
      <w:r w:rsidRPr="008C21E4">
        <w:rPr>
          <w:rFonts w:ascii="Arial" w:hAnsi="Arial" w:cs="Arial"/>
          <w:lang w:val="es-ES"/>
        </w:rPr>
        <w:t xml:space="preserve"> </w:t>
      </w:r>
      <w:r w:rsidRPr="008C21E4">
        <w:rPr>
          <w:rFonts w:ascii="Arial" w:eastAsia="Calibri" w:hAnsi="Arial" w:cs="Arial"/>
          <w:lang w:val="es-ES"/>
        </w:rPr>
        <w:t>en</w:t>
      </w:r>
      <w:r w:rsidRPr="008C21E4">
        <w:rPr>
          <w:rFonts w:ascii="Arial" w:hAnsi="Arial" w:cs="Arial"/>
          <w:lang w:val="es-ES"/>
        </w:rPr>
        <w:t xml:space="preserve"> </w:t>
      </w:r>
      <w:r w:rsidRPr="008C21E4">
        <w:rPr>
          <w:rFonts w:ascii="Arial" w:eastAsia="Calibri" w:hAnsi="Arial" w:cs="Arial"/>
          <w:lang w:val="es-ES"/>
        </w:rPr>
        <w:t>la</w:t>
      </w:r>
      <w:r w:rsidRPr="008C21E4">
        <w:rPr>
          <w:rFonts w:ascii="Arial" w:hAnsi="Arial" w:cs="Arial"/>
          <w:lang w:val="es-ES"/>
        </w:rPr>
        <w:t xml:space="preserve"> </w:t>
      </w:r>
      <w:r w:rsidRPr="008C21E4">
        <w:rPr>
          <w:rFonts w:ascii="Arial" w:eastAsia="Calibri" w:hAnsi="Arial" w:cs="Arial"/>
          <w:lang w:val="es-ES"/>
        </w:rPr>
        <w:t>mortalidad</w:t>
      </w:r>
      <w:r w:rsidR="00EB3C9B" w:rsidRPr="008C21E4">
        <w:rPr>
          <w:rFonts w:ascii="Arial" w:hAnsi="Arial" w:cs="Arial"/>
          <w:lang w:val="es-ES"/>
        </w:rPr>
        <w:t xml:space="preserve"> y la morbilidad</w:t>
      </w:r>
      <w:r w:rsidRPr="008C21E4">
        <w:rPr>
          <w:rFonts w:ascii="Arial" w:hAnsi="Arial" w:cs="Arial"/>
          <w:lang w:val="es-ES"/>
        </w:rPr>
        <w:t xml:space="preserve"> resultado de una mayor cobertura</w:t>
      </w:r>
      <w:r w:rsidR="00EB3C9B" w:rsidRPr="008C21E4">
        <w:rPr>
          <w:rFonts w:ascii="Arial" w:hAnsi="Arial" w:cs="Arial"/>
          <w:lang w:val="es-ES"/>
        </w:rPr>
        <w:t xml:space="preserve"> y calidad</w:t>
      </w:r>
      <w:r w:rsidRPr="008C21E4">
        <w:rPr>
          <w:rFonts w:ascii="Arial" w:hAnsi="Arial" w:cs="Arial"/>
          <w:lang w:val="es-ES"/>
        </w:rPr>
        <w:t xml:space="preserve"> d</w:t>
      </w:r>
      <w:r w:rsidR="00EB3C9B" w:rsidRPr="008C21E4">
        <w:rPr>
          <w:rFonts w:ascii="Arial" w:hAnsi="Arial" w:cs="Arial"/>
          <w:lang w:val="es-ES"/>
        </w:rPr>
        <w:t xml:space="preserve">e los servicios de la red de salud </w:t>
      </w:r>
      <w:r w:rsidR="00D01C26">
        <w:rPr>
          <w:rFonts w:ascii="Arial" w:hAnsi="Arial" w:cs="Arial"/>
          <w:lang w:val="es-ES"/>
        </w:rPr>
        <w:t xml:space="preserve">por las </w:t>
      </w:r>
      <w:r w:rsidR="00EB3C9B" w:rsidRPr="008C21E4">
        <w:rPr>
          <w:rFonts w:ascii="Arial" w:hAnsi="Arial" w:cs="Arial"/>
          <w:lang w:val="es-ES"/>
        </w:rPr>
        <w:t>inversiones en infraestructura, equipamiento</w:t>
      </w:r>
      <w:r w:rsidR="0091422B" w:rsidRPr="008C21E4">
        <w:rPr>
          <w:rFonts w:ascii="Arial" w:hAnsi="Arial" w:cs="Arial"/>
          <w:lang w:val="es-ES"/>
        </w:rPr>
        <w:t xml:space="preserve"> </w:t>
      </w:r>
      <w:r w:rsidR="00EB3C9B" w:rsidRPr="008C21E4">
        <w:rPr>
          <w:rFonts w:ascii="Arial" w:hAnsi="Arial" w:cs="Arial"/>
          <w:lang w:val="es-ES"/>
        </w:rPr>
        <w:t>y mejora en la gesti</w:t>
      </w:r>
      <w:r w:rsidR="00EB3C9B" w:rsidRPr="008C21E4">
        <w:rPr>
          <w:rFonts w:ascii="Arial" w:eastAsia="Calibri" w:hAnsi="Arial" w:cs="Arial"/>
          <w:lang w:val="es-ES"/>
        </w:rPr>
        <w:t>ón</w:t>
      </w:r>
      <w:r w:rsidR="00EB3C9B" w:rsidRPr="008C21E4">
        <w:rPr>
          <w:rFonts w:ascii="Arial" w:hAnsi="Arial" w:cs="Arial"/>
          <w:lang w:val="es-ES"/>
        </w:rPr>
        <w:t xml:space="preserve">. </w:t>
      </w:r>
      <w:r w:rsidR="006A4084" w:rsidRPr="008C21E4">
        <w:rPr>
          <w:rFonts w:ascii="Arial" w:hAnsi="Arial" w:cs="Arial"/>
          <w:lang w:val="es-ES"/>
        </w:rPr>
        <w:t>Estos beneficios son c</w:t>
      </w:r>
      <w:r w:rsidR="003F4AC6" w:rsidRPr="008C21E4">
        <w:rPr>
          <w:rFonts w:ascii="Arial" w:hAnsi="Arial" w:cs="Arial"/>
          <w:lang w:val="es-ES"/>
        </w:rPr>
        <w:t>uantificad</w:t>
      </w:r>
      <w:r w:rsidR="006A4084" w:rsidRPr="008C21E4">
        <w:rPr>
          <w:rFonts w:ascii="Arial" w:hAnsi="Arial" w:cs="Arial"/>
          <w:lang w:val="es-ES"/>
        </w:rPr>
        <w:t>o</w:t>
      </w:r>
      <w:r w:rsidR="003F4AC6" w:rsidRPr="008C21E4">
        <w:rPr>
          <w:rFonts w:ascii="Arial" w:hAnsi="Arial" w:cs="Arial"/>
          <w:lang w:val="es-ES"/>
        </w:rPr>
        <w:t xml:space="preserve">s </w:t>
      </w:r>
      <w:r w:rsidR="00E72416" w:rsidRPr="008C21E4">
        <w:rPr>
          <w:rFonts w:ascii="Arial" w:hAnsi="Arial" w:cs="Arial"/>
          <w:lang w:val="es-ES"/>
        </w:rPr>
        <w:t>utilizando</w:t>
      </w:r>
      <w:r w:rsidR="003F4AC6" w:rsidRPr="008C21E4">
        <w:rPr>
          <w:rFonts w:ascii="Arial" w:hAnsi="Arial" w:cs="Arial"/>
          <w:lang w:val="es-ES"/>
        </w:rPr>
        <w:t xml:space="preserve"> los </w:t>
      </w:r>
      <w:r w:rsidR="00F76E03" w:rsidRPr="008C21E4">
        <w:rPr>
          <w:rFonts w:ascii="Arial" w:hAnsi="Arial" w:cs="Arial"/>
          <w:lang w:val="es-ES"/>
        </w:rPr>
        <w:t>A</w:t>
      </w:r>
      <w:r w:rsidR="00F76E03" w:rsidRPr="008C21E4">
        <w:rPr>
          <w:rFonts w:ascii="Arial" w:eastAsia="Calibri" w:hAnsi="Arial" w:cs="Arial"/>
          <w:lang w:val="es-ES"/>
        </w:rPr>
        <w:t>ños</w:t>
      </w:r>
      <w:r w:rsidR="00F76E03" w:rsidRPr="008C21E4">
        <w:rPr>
          <w:rFonts w:ascii="Arial" w:hAnsi="Arial" w:cs="Arial"/>
          <w:lang w:val="es-ES"/>
        </w:rPr>
        <w:t xml:space="preserve"> </w:t>
      </w:r>
      <w:r w:rsidR="00F76E03" w:rsidRPr="008C21E4">
        <w:rPr>
          <w:rFonts w:ascii="Arial" w:eastAsia="Calibri" w:hAnsi="Arial" w:cs="Arial"/>
          <w:lang w:val="es-ES"/>
        </w:rPr>
        <w:t>de</w:t>
      </w:r>
      <w:r w:rsidR="00F76E03" w:rsidRPr="008C21E4">
        <w:rPr>
          <w:rFonts w:ascii="Arial" w:hAnsi="Arial" w:cs="Arial"/>
          <w:lang w:val="es-ES"/>
        </w:rPr>
        <w:t xml:space="preserve"> </w:t>
      </w:r>
      <w:r w:rsidR="00F76E03" w:rsidRPr="008C21E4">
        <w:rPr>
          <w:rFonts w:ascii="Arial" w:eastAsia="Calibri" w:hAnsi="Arial" w:cs="Arial"/>
          <w:lang w:val="es-ES"/>
        </w:rPr>
        <w:t>Vida</w:t>
      </w:r>
      <w:r w:rsidR="00F76E03" w:rsidRPr="008C21E4">
        <w:rPr>
          <w:rFonts w:ascii="Arial" w:hAnsi="Arial" w:cs="Arial"/>
          <w:lang w:val="es-ES"/>
        </w:rPr>
        <w:t xml:space="preserve"> </w:t>
      </w:r>
      <w:r w:rsidR="00F76E03" w:rsidRPr="008C21E4">
        <w:rPr>
          <w:rFonts w:ascii="Arial" w:eastAsia="Calibri" w:hAnsi="Arial" w:cs="Arial"/>
          <w:lang w:val="es-ES"/>
        </w:rPr>
        <w:t>Ajustados</w:t>
      </w:r>
      <w:r w:rsidR="00F76E03" w:rsidRPr="008C21E4">
        <w:rPr>
          <w:rFonts w:ascii="Arial" w:hAnsi="Arial" w:cs="Arial"/>
          <w:lang w:val="es-ES"/>
        </w:rPr>
        <w:t xml:space="preserve"> </w:t>
      </w:r>
      <w:r w:rsidR="00F76E03" w:rsidRPr="008C21E4">
        <w:rPr>
          <w:rFonts w:ascii="Arial" w:eastAsia="Calibri" w:hAnsi="Arial" w:cs="Arial"/>
          <w:lang w:val="es-ES"/>
        </w:rPr>
        <w:t>por</w:t>
      </w:r>
      <w:r w:rsidR="00F76E03" w:rsidRPr="008C21E4">
        <w:rPr>
          <w:rFonts w:ascii="Arial" w:hAnsi="Arial" w:cs="Arial"/>
          <w:lang w:val="es-ES"/>
        </w:rPr>
        <w:t xml:space="preserve"> </w:t>
      </w:r>
      <w:r w:rsidR="00F76E03" w:rsidRPr="008C21E4">
        <w:rPr>
          <w:rFonts w:ascii="Arial" w:eastAsia="Calibri" w:hAnsi="Arial" w:cs="Arial"/>
          <w:lang w:val="es-ES"/>
        </w:rPr>
        <w:t>Discapacidad</w:t>
      </w:r>
      <w:r w:rsidR="00F76E03" w:rsidRPr="008C21E4">
        <w:rPr>
          <w:rFonts w:ascii="Arial" w:hAnsi="Arial" w:cs="Arial"/>
          <w:lang w:val="es-ES"/>
        </w:rPr>
        <w:t xml:space="preserve"> (</w:t>
      </w:r>
      <w:r w:rsidR="00F76E03" w:rsidRPr="008C21E4">
        <w:rPr>
          <w:rFonts w:ascii="Arial" w:eastAsia="Calibri" w:hAnsi="Arial" w:cs="Arial"/>
          <w:lang w:val="es-ES"/>
        </w:rPr>
        <w:t>AVADs</w:t>
      </w:r>
      <w:r w:rsidR="00F76E03" w:rsidRPr="008C21E4">
        <w:rPr>
          <w:rFonts w:ascii="Arial" w:hAnsi="Arial" w:cs="Arial"/>
          <w:lang w:val="es-ES"/>
        </w:rPr>
        <w:t xml:space="preserve">) </w:t>
      </w:r>
      <w:r w:rsidR="00F76E03" w:rsidRPr="008C21E4">
        <w:rPr>
          <w:rFonts w:ascii="Arial" w:eastAsia="Calibri" w:hAnsi="Arial" w:cs="Arial"/>
          <w:lang w:val="es-ES"/>
        </w:rPr>
        <w:t>que</w:t>
      </w:r>
      <w:r w:rsidR="00F76E03" w:rsidRPr="008C21E4">
        <w:rPr>
          <w:rFonts w:ascii="Arial" w:hAnsi="Arial" w:cs="Arial"/>
          <w:lang w:val="es-ES"/>
        </w:rPr>
        <w:t xml:space="preserve"> </w:t>
      </w:r>
      <w:r w:rsidR="00F76E03" w:rsidRPr="008C21E4">
        <w:rPr>
          <w:rFonts w:ascii="Arial" w:eastAsia="Calibri" w:hAnsi="Arial" w:cs="Arial"/>
          <w:lang w:val="es-ES"/>
        </w:rPr>
        <w:t>resultan</w:t>
      </w:r>
      <w:r w:rsidR="00F76E03" w:rsidRPr="008C21E4">
        <w:rPr>
          <w:rFonts w:ascii="Arial" w:hAnsi="Arial" w:cs="Arial"/>
          <w:lang w:val="es-ES"/>
        </w:rPr>
        <w:t xml:space="preserve"> </w:t>
      </w:r>
      <w:r w:rsidR="00F76E03" w:rsidRPr="008C21E4">
        <w:rPr>
          <w:rFonts w:ascii="Arial" w:eastAsia="Calibri" w:hAnsi="Arial" w:cs="Arial"/>
          <w:lang w:val="es-ES"/>
        </w:rPr>
        <w:t>de</w:t>
      </w:r>
      <w:r w:rsidR="00F76E03" w:rsidRPr="008C21E4">
        <w:rPr>
          <w:rFonts w:ascii="Arial" w:hAnsi="Arial" w:cs="Arial"/>
          <w:lang w:val="es-ES"/>
        </w:rPr>
        <w:t xml:space="preserve"> </w:t>
      </w:r>
      <w:r w:rsidR="00F76E03" w:rsidRPr="008C21E4">
        <w:rPr>
          <w:rFonts w:ascii="Arial" w:eastAsia="Calibri" w:hAnsi="Arial" w:cs="Arial"/>
          <w:lang w:val="es-ES"/>
        </w:rPr>
        <w:t>la</w:t>
      </w:r>
      <w:r w:rsidR="00F76E03" w:rsidRPr="008C21E4">
        <w:rPr>
          <w:rFonts w:ascii="Arial" w:hAnsi="Arial" w:cs="Arial"/>
          <w:lang w:val="es-ES"/>
        </w:rPr>
        <w:t xml:space="preserve"> </w:t>
      </w:r>
      <w:r w:rsidR="00F76E03" w:rsidRPr="008C21E4">
        <w:rPr>
          <w:rFonts w:ascii="Arial" w:eastAsia="Calibri" w:hAnsi="Arial" w:cs="Arial"/>
          <w:lang w:val="es-ES"/>
        </w:rPr>
        <w:t>imp</w:t>
      </w:r>
      <w:r w:rsidR="00F76E03" w:rsidRPr="008C21E4">
        <w:rPr>
          <w:rFonts w:ascii="Arial" w:hAnsi="Arial" w:cs="Arial"/>
          <w:lang w:val="es-ES"/>
        </w:rPr>
        <w:t>lementaci</w:t>
      </w:r>
      <w:r w:rsidR="00F76E03" w:rsidRPr="008C21E4">
        <w:rPr>
          <w:rFonts w:ascii="Arial" w:eastAsia="Calibri" w:hAnsi="Arial" w:cs="Arial"/>
          <w:lang w:val="es-ES"/>
        </w:rPr>
        <w:t>ón</w:t>
      </w:r>
      <w:r w:rsidR="00F76E03" w:rsidRPr="008C21E4">
        <w:rPr>
          <w:rFonts w:ascii="Arial" w:hAnsi="Arial" w:cs="Arial"/>
          <w:lang w:val="es-ES"/>
        </w:rPr>
        <w:t xml:space="preserve"> </w:t>
      </w:r>
      <w:r w:rsidR="00F76E03" w:rsidRPr="008C21E4">
        <w:rPr>
          <w:rFonts w:ascii="Arial" w:eastAsia="Calibri" w:hAnsi="Arial" w:cs="Arial"/>
          <w:lang w:val="es-ES"/>
        </w:rPr>
        <w:t>de</w:t>
      </w:r>
      <w:r w:rsidR="00F76E03" w:rsidRPr="008C21E4">
        <w:rPr>
          <w:rFonts w:ascii="Arial" w:hAnsi="Arial" w:cs="Arial"/>
          <w:lang w:val="es-ES"/>
        </w:rPr>
        <w:t xml:space="preserve"> </w:t>
      </w:r>
      <w:r w:rsidR="00F76E03" w:rsidRPr="008C21E4">
        <w:rPr>
          <w:rFonts w:ascii="Arial" w:eastAsia="Calibri" w:hAnsi="Arial" w:cs="Arial"/>
          <w:lang w:val="es-ES"/>
        </w:rPr>
        <w:t>líneas</w:t>
      </w:r>
      <w:r w:rsidR="00F76E03" w:rsidRPr="008C21E4">
        <w:rPr>
          <w:rFonts w:ascii="Arial" w:hAnsi="Arial" w:cs="Arial"/>
          <w:lang w:val="es-ES"/>
        </w:rPr>
        <w:t xml:space="preserve"> </w:t>
      </w:r>
      <w:r w:rsidR="00F76E03" w:rsidRPr="008C21E4">
        <w:rPr>
          <w:rFonts w:ascii="Arial" w:eastAsia="Calibri" w:hAnsi="Arial" w:cs="Arial"/>
          <w:lang w:val="es-ES"/>
        </w:rPr>
        <w:t>de</w:t>
      </w:r>
      <w:r w:rsidR="00F76E03" w:rsidRPr="008C21E4">
        <w:rPr>
          <w:rFonts w:ascii="Arial" w:hAnsi="Arial" w:cs="Arial"/>
          <w:lang w:val="es-ES"/>
        </w:rPr>
        <w:t xml:space="preserve"> </w:t>
      </w:r>
      <w:r w:rsidR="00F76E03" w:rsidRPr="008C21E4">
        <w:rPr>
          <w:rFonts w:ascii="Arial" w:eastAsia="Calibri" w:hAnsi="Arial" w:cs="Arial"/>
          <w:lang w:val="es-ES"/>
        </w:rPr>
        <w:t>cuidado</w:t>
      </w:r>
      <w:r w:rsidR="00F76E03" w:rsidRPr="008C21E4">
        <w:rPr>
          <w:rFonts w:ascii="Arial" w:hAnsi="Arial" w:cs="Arial"/>
          <w:lang w:val="es-ES"/>
        </w:rPr>
        <w:t xml:space="preserve"> </w:t>
      </w:r>
      <w:r w:rsidR="00F76E03" w:rsidRPr="008C21E4">
        <w:rPr>
          <w:rFonts w:ascii="Arial" w:eastAsia="Calibri" w:hAnsi="Arial" w:cs="Arial"/>
          <w:lang w:val="es-ES"/>
        </w:rPr>
        <w:t>de</w:t>
      </w:r>
      <w:r w:rsidR="00F76E03" w:rsidRPr="008C21E4">
        <w:rPr>
          <w:rFonts w:ascii="Arial" w:hAnsi="Arial" w:cs="Arial"/>
          <w:lang w:val="es-ES"/>
        </w:rPr>
        <w:t xml:space="preserve"> </w:t>
      </w:r>
      <w:r w:rsidR="00F76E03" w:rsidRPr="008C21E4">
        <w:rPr>
          <w:rFonts w:ascii="Arial" w:eastAsia="Calibri" w:hAnsi="Arial" w:cs="Arial"/>
          <w:lang w:val="es-ES"/>
        </w:rPr>
        <w:t>probada</w:t>
      </w:r>
      <w:r w:rsidR="00F76E03" w:rsidRPr="008C21E4">
        <w:rPr>
          <w:rFonts w:ascii="Arial" w:hAnsi="Arial" w:cs="Arial"/>
          <w:lang w:val="es-ES"/>
        </w:rPr>
        <w:t xml:space="preserve"> </w:t>
      </w:r>
      <w:r w:rsidR="00F76E03" w:rsidRPr="008C21E4">
        <w:rPr>
          <w:rFonts w:ascii="Arial" w:eastAsia="Calibri" w:hAnsi="Arial" w:cs="Arial"/>
          <w:lang w:val="es-ES"/>
        </w:rPr>
        <w:t>efectividad</w:t>
      </w:r>
      <w:r w:rsidR="006A4084" w:rsidRPr="008C21E4">
        <w:rPr>
          <w:rFonts w:ascii="Arial" w:eastAsia="Calibri" w:hAnsi="Arial" w:cs="Arial"/>
          <w:lang w:val="es-ES"/>
        </w:rPr>
        <w:t xml:space="preserve">, en </w:t>
      </w:r>
      <w:r w:rsidR="00F46931" w:rsidRPr="008C21E4">
        <w:rPr>
          <w:rFonts w:ascii="Arial" w:eastAsia="Calibri" w:hAnsi="Arial" w:cs="Arial"/>
          <w:lang w:val="es-ES"/>
        </w:rPr>
        <w:t xml:space="preserve">un contexto de redes </w:t>
      </w:r>
      <w:r w:rsidR="006A4084" w:rsidRPr="008C21E4">
        <w:rPr>
          <w:rFonts w:ascii="Arial" w:eastAsia="Calibri" w:hAnsi="Arial" w:cs="Arial"/>
          <w:lang w:val="es-ES"/>
        </w:rPr>
        <w:t>de servicios de salud</w:t>
      </w:r>
      <w:r w:rsidR="00F76E03" w:rsidRPr="008C21E4">
        <w:rPr>
          <w:rFonts w:ascii="Arial" w:hAnsi="Arial" w:cs="Arial"/>
          <w:lang w:val="es-ES"/>
        </w:rPr>
        <w:t>.</w:t>
      </w:r>
    </w:p>
    <w:p w14:paraId="6842A06E" w14:textId="77777777" w:rsidR="00E240CC" w:rsidRPr="008C21E4" w:rsidRDefault="003F4AC6" w:rsidP="00216A0C">
      <w:pPr>
        <w:pStyle w:val="ListParagraph"/>
        <w:numPr>
          <w:ilvl w:val="0"/>
          <w:numId w:val="6"/>
        </w:numPr>
        <w:spacing w:before="120" w:after="0" w:line="240" w:lineRule="auto"/>
        <w:jc w:val="both"/>
        <w:rPr>
          <w:rFonts w:ascii="Arial" w:hAnsi="Arial" w:cs="Arial"/>
          <w:lang w:val="es-ES"/>
        </w:rPr>
      </w:pPr>
      <w:r w:rsidRPr="008C21E4">
        <w:rPr>
          <w:rFonts w:ascii="Arial" w:hAnsi="Arial" w:cs="Arial"/>
          <w:lang w:val="es-ES"/>
        </w:rPr>
        <w:t>Ganancias en la productividad de la poblaci</w:t>
      </w:r>
      <w:r w:rsidRPr="008C21E4">
        <w:rPr>
          <w:rFonts w:ascii="Arial" w:eastAsia="Calibri" w:hAnsi="Arial" w:cs="Arial"/>
          <w:lang w:val="es-ES"/>
        </w:rPr>
        <w:t>ón</w:t>
      </w:r>
      <w:r w:rsidR="00392CEF" w:rsidRPr="008C21E4">
        <w:rPr>
          <w:rFonts w:ascii="Arial" w:eastAsia="Calibri" w:hAnsi="Arial" w:cs="Arial"/>
          <w:lang w:val="es-ES"/>
        </w:rPr>
        <w:t xml:space="preserve"> derivadas de una mejor salud y</w:t>
      </w:r>
      <w:r w:rsidRPr="008C21E4">
        <w:rPr>
          <w:rFonts w:ascii="Arial" w:hAnsi="Arial" w:cs="Arial"/>
          <w:lang w:val="es-ES"/>
        </w:rPr>
        <w:t xml:space="preserve"> </w:t>
      </w:r>
      <w:r w:rsidRPr="008C21E4">
        <w:rPr>
          <w:rFonts w:ascii="Arial" w:eastAsia="Calibri" w:hAnsi="Arial" w:cs="Arial"/>
          <w:lang w:val="es-ES"/>
        </w:rPr>
        <w:t>cuantificadas</w:t>
      </w:r>
      <w:r w:rsidRPr="008C21E4">
        <w:rPr>
          <w:rFonts w:ascii="Arial" w:hAnsi="Arial" w:cs="Arial"/>
          <w:lang w:val="es-ES"/>
        </w:rPr>
        <w:t xml:space="preserve"> </w:t>
      </w:r>
      <w:r w:rsidR="00392CEF" w:rsidRPr="008C21E4">
        <w:rPr>
          <w:rFonts w:ascii="Arial" w:hAnsi="Arial" w:cs="Arial"/>
          <w:lang w:val="es-ES"/>
        </w:rPr>
        <w:t>c</w:t>
      </w:r>
      <w:r w:rsidR="007657D8" w:rsidRPr="008C21E4">
        <w:rPr>
          <w:rFonts w:ascii="Arial" w:hAnsi="Arial" w:cs="Arial"/>
          <w:lang w:val="es-ES"/>
        </w:rPr>
        <w:t>onsiderando</w:t>
      </w:r>
      <w:r w:rsidR="00F76E03" w:rsidRPr="008C21E4">
        <w:rPr>
          <w:rFonts w:ascii="Arial" w:hAnsi="Arial" w:cs="Arial"/>
          <w:lang w:val="es-ES"/>
        </w:rPr>
        <w:t xml:space="preserve"> </w:t>
      </w:r>
      <w:r w:rsidR="00392CEF" w:rsidRPr="008C21E4">
        <w:rPr>
          <w:rFonts w:ascii="Arial" w:hAnsi="Arial" w:cs="Arial"/>
          <w:lang w:val="es-ES"/>
        </w:rPr>
        <w:t>los</w:t>
      </w:r>
      <w:r w:rsidR="00F76E03" w:rsidRPr="008C21E4">
        <w:rPr>
          <w:rFonts w:ascii="Arial" w:hAnsi="Arial" w:cs="Arial"/>
          <w:lang w:val="es-ES"/>
        </w:rPr>
        <w:t xml:space="preserve"> AVADs</w:t>
      </w:r>
      <w:r w:rsidR="00392CEF" w:rsidRPr="008C21E4">
        <w:rPr>
          <w:rFonts w:ascii="Arial" w:hAnsi="Arial" w:cs="Arial"/>
          <w:lang w:val="es-ES"/>
        </w:rPr>
        <w:t xml:space="preserve"> obtenidos por la intervención </w:t>
      </w:r>
      <w:r w:rsidR="00F76E03" w:rsidRPr="008C21E4">
        <w:rPr>
          <w:rFonts w:ascii="Arial" w:hAnsi="Arial" w:cs="Arial"/>
          <w:lang w:val="es-ES"/>
        </w:rPr>
        <w:t>y</w:t>
      </w:r>
      <w:r w:rsidRPr="008C21E4">
        <w:rPr>
          <w:rFonts w:ascii="Arial" w:hAnsi="Arial" w:cs="Arial"/>
          <w:lang w:val="es-ES"/>
        </w:rPr>
        <w:t xml:space="preserve"> el producto interno </w:t>
      </w:r>
      <w:r w:rsidR="00392CEF" w:rsidRPr="008C21E4">
        <w:rPr>
          <w:rFonts w:ascii="Arial" w:hAnsi="Arial" w:cs="Arial"/>
          <w:lang w:val="es-ES"/>
        </w:rPr>
        <w:t xml:space="preserve">bruto de </w:t>
      </w:r>
      <w:r w:rsidR="00345E67" w:rsidRPr="008C21E4">
        <w:rPr>
          <w:rFonts w:ascii="Arial" w:hAnsi="Arial" w:cs="Arial"/>
          <w:lang w:val="es-ES"/>
        </w:rPr>
        <w:t>Brasil</w:t>
      </w:r>
      <w:r w:rsidR="00392CEF" w:rsidRPr="008C21E4">
        <w:rPr>
          <w:rFonts w:ascii="Arial" w:hAnsi="Arial" w:cs="Arial"/>
          <w:lang w:val="es-ES"/>
        </w:rPr>
        <w:t>.</w:t>
      </w:r>
    </w:p>
    <w:p w14:paraId="5F11835C" w14:textId="578C45C8" w:rsidR="00F76E03" w:rsidRPr="00242BD2" w:rsidRDefault="00F76E03" w:rsidP="001025F1">
      <w:pPr>
        <w:spacing w:before="120" w:after="100" w:afterAutospacing="1"/>
        <w:jc w:val="both"/>
        <w:rPr>
          <w:rFonts w:ascii="Arial" w:hAnsi="Arial" w:cs="Arial"/>
          <w:sz w:val="22"/>
          <w:szCs w:val="22"/>
          <w:highlight w:val="yellow"/>
          <w:lang w:val="es-ES"/>
        </w:rPr>
      </w:pPr>
      <w:r w:rsidRPr="008C21E4">
        <w:rPr>
          <w:rFonts w:ascii="Arial" w:hAnsi="Arial" w:cs="Arial"/>
          <w:sz w:val="22"/>
          <w:szCs w:val="22"/>
          <w:lang w:val="es-ES"/>
        </w:rPr>
        <w:t>El análisis está diseñado</w:t>
      </w:r>
      <w:r w:rsidR="006016B5" w:rsidRPr="008C21E4">
        <w:rPr>
          <w:rFonts w:ascii="Arial" w:hAnsi="Arial" w:cs="Arial"/>
          <w:sz w:val="22"/>
          <w:szCs w:val="22"/>
          <w:lang w:val="es-ES"/>
        </w:rPr>
        <w:t xml:space="preserve"> </w:t>
      </w:r>
      <w:r w:rsidR="00FC74EA" w:rsidRPr="008C21E4">
        <w:rPr>
          <w:rFonts w:ascii="Arial" w:hAnsi="Arial" w:cs="Arial"/>
          <w:sz w:val="22"/>
          <w:szCs w:val="22"/>
          <w:lang w:val="es-ES"/>
        </w:rPr>
        <w:t>para considerar los diferentes</w:t>
      </w:r>
      <w:r w:rsidR="006016B5" w:rsidRPr="008C21E4">
        <w:rPr>
          <w:rFonts w:ascii="Arial" w:hAnsi="Arial" w:cs="Arial"/>
          <w:sz w:val="22"/>
          <w:szCs w:val="22"/>
          <w:lang w:val="es-ES"/>
        </w:rPr>
        <w:t xml:space="preserve"> tipo</w:t>
      </w:r>
      <w:r w:rsidR="00FC74EA" w:rsidRPr="008C21E4">
        <w:rPr>
          <w:rFonts w:ascii="Arial" w:hAnsi="Arial" w:cs="Arial"/>
          <w:sz w:val="22"/>
          <w:szCs w:val="22"/>
          <w:lang w:val="es-ES"/>
        </w:rPr>
        <w:t>s</w:t>
      </w:r>
      <w:r w:rsidR="006016B5" w:rsidRPr="008C21E4">
        <w:rPr>
          <w:rFonts w:ascii="Arial" w:hAnsi="Arial" w:cs="Arial"/>
          <w:sz w:val="22"/>
          <w:szCs w:val="22"/>
          <w:lang w:val="es-ES"/>
        </w:rPr>
        <w:t xml:space="preserve"> de intervenciones</w:t>
      </w:r>
      <w:r w:rsidR="00392CEF" w:rsidRPr="008C21E4">
        <w:rPr>
          <w:rFonts w:ascii="Arial" w:hAnsi="Arial" w:cs="Arial"/>
          <w:sz w:val="22"/>
          <w:szCs w:val="22"/>
          <w:lang w:val="es-ES"/>
        </w:rPr>
        <w:t xml:space="preserve"> </w:t>
      </w:r>
      <w:r w:rsidR="00FC74EA" w:rsidRPr="008C21E4">
        <w:rPr>
          <w:rFonts w:ascii="Arial" w:hAnsi="Arial" w:cs="Arial"/>
          <w:sz w:val="22"/>
          <w:szCs w:val="22"/>
          <w:lang w:val="es-ES"/>
        </w:rPr>
        <w:t>de</w:t>
      </w:r>
      <w:r w:rsidR="00345E67" w:rsidRPr="008C21E4">
        <w:rPr>
          <w:rFonts w:ascii="Arial" w:hAnsi="Arial" w:cs="Arial"/>
          <w:sz w:val="22"/>
          <w:szCs w:val="22"/>
          <w:lang w:val="es-ES"/>
        </w:rPr>
        <w:t xml:space="preserve"> </w:t>
      </w:r>
      <w:r w:rsidR="009929C5" w:rsidRPr="008C21E4">
        <w:rPr>
          <w:rFonts w:ascii="Arial" w:hAnsi="Arial" w:cs="Arial"/>
          <w:sz w:val="22"/>
          <w:szCs w:val="22"/>
          <w:lang w:val="es-ES"/>
        </w:rPr>
        <w:t>Mejor Salud BH</w:t>
      </w:r>
      <w:r w:rsidR="00DA3C95" w:rsidRPr="008C21E4">
        <w:rPr>
          <w:rFonts w:ascii="Arial" w:hAnsi="Arial" w:cs="Arial"/>
          <w:sz w:val="22"/>
          <w:szCs w:val="22"/>
          <w:lang w:val="es-ES"/>
        </w:rPr>
        <w:t xml:space="preserve">. </w:t>
      </w:r>
      <w:r w:rsidR="00392CEF" w:rsidRPr="00242BD2">
        <w:rPr>
          <w:rFonts w:ascii="Arial" w:hAnsi="Arial" w:cs="Arial"/>
          <w:sz w:val="22"/>
          <w:szCs w:val="22"/>
          <w:lang w:val="es-ES"/>
        </w:rPr>
        <w:t xml:space="preserve">En primer </w:t>
      </w:r>
      <w:r w:rsidR="00E6546E" w:rsidRPr="00242BD2">
        <w:rPr>
          <w:rFonts w:ascii="Arial" w:hAnsi="Arial" w:cs="Arial"/>
          <w:sz w:val="22"/>
          <w:szCs w:val="22"/>
          <w:lang w:val="es-ES"/>
        </w:rPr>
        <w:t>lugar,</w:t>
      </w:r>
      <w:r w:rsidR="00392CEF" w:rsidRPr="00242BD2">
        <w:rPr>
          <w:rFonts w:ascii="Arial" w:hAnsi="Arial" w:cs="Arial"/>
          <w:sz w:val="22"/>
          <w:szCs w:val="22"/>
          <w:lang w:val="es-ES"/>
        </w:rPr>
        <w:t xml:space="preserve"> se </w:t>
      </w:r>
      <w:r w:rsidR="006A4084" w:rsidRPr="00242BD2">
        <w:rPr>
          <w:rFonts w:ascii="Arial" w:hAnsi="Arial" w:cs="Arial"/>
          <w:sz w:val="22"/>
          <w:szCs w:val="22"/>
          <w:lang w:val="es-ES"/>
        </w:rPr>
        <w:t xml:space="preserve">generarán beneficios </w:t>
      </w:r>
      <w:r w:rsidR="00392CEF" w:rsidRPr="00242BD2">
        <w:rPr>
          <w:rFonts w:ascii="Arial" w:hAnsi="Arial" w:cs="Arial"/>
          <w:sz w:val="22"/>
          <w:szCs w:val="22"/>
          <w:lang w:val="es-ES"/>
        </w:rPr>
        <w:t xml:space="preserve">por las </w:t>
      </w:r>
      <w:r w:rsidR="006016B5" w:rsidRPr="00242BD2">
        <w:rPr>
          <w:rFonts w:ascii="Arial" w:hAnsi="Arial" w:cs="Arial"/>
          <w:sz w:val="22"/>
          <w:szCs w:val="22"/>
          <w:lang w:val="es-ES"/>
        </w:rPr>
        <w:t>mejora</w:t>
      </w:r>
      <w:r w:rsidR="00DA3C95" w:rsidRPr="00242BD2">
        <w:rPr>
          <w:rFonts w:ascii="Arial" w:hAnsi="Arial" w:cs="Arial"/>
          <w:sz w:val="22"/>
          <w:szCs w:val="22"/>
          <w:lang w:val="es-ES"/>
        </w:rPr>
        <w:t xml:space="preserve">s </w:t>
      </w:r>
      <w:r w:rsidR="002C4941" w:rsidRPr="00242BD2">
        <w:rPr>
          <w:rFonts w:ascii="Arial" w:hAnsi="Arial" w:cs="Arial"/>
          <w:sz w:val="22"/>
          <w:szCs w:val="22"/>
          <w:lang w:val="es-ES"/>
        </w:rPr>
        <w:t xml:space="preserve">en </w:t>
      </w:r>
      <w:r w:rsidR="00677095" w:rsidRPr="00242BD2">
        <w:rPr>
          <w:rFonts w:ascii="Arial" w:hAnsi="Arial" w:cs="Arial"/>
          <w:sz w:val="22"/>
          <w:szCs w:val="22"/>
          <w:lang w:val="es-ES"/>
        </w:rPr>
        <w:t>infraestructura</w:t>
      </w:r>
      <w:r w:rsidR="004F05CB" w:rsidRPr="00242BD2">
        <w:rPr>
          <w:rFonts w:ascii="Arial" w:hAnsi="Arial" w:cs="Arial"/>
          <w:sz w:val="22"/>
          <w:szCs w:val="22"/>
          <w:lang w:val="es-ES"/>
        </w:rPr>
        <w:t xml:space="preserve"> y/o equipamiento </w:t>
      </w:r>
      <w:r w:rsidR="002C4941" w:rsidRPr="00242BD2">
        <w:rPr>
          <w:rFonts w:ascii="Arial" w:hAnsi="Arial" w:cs="Arial"/>
          <w:sz w:val="22"/>
          <w:szCs w:val="22"/>
          <w:lang w:val="es-ES"/>
        </w:rPr>
        <w:t xml:space="preserve">de </w:t>
      </w:r>
      <w:r w:rsidR="009929C5" w:rsidRPr="00242BD2">
        <w:rPr>
          <w:rFonts w:ascii="Arial" w:hAnsi="Arial" w:cs="Arial"/>
          <w:sz w:val="22"/>
          <w:szCs w:val="22"/>
          <w:lang w:val="es-ES"/>
        </w:rPr>
        <w:t xml:space="preserve">las </w:t>
      </w:r>
      <w:r w:rsidR="007415CF" w:rsidRPr="00242BD2">
        <w:rPr>
          <w:rFonts w:ascii="Arial" w:hAnsi="Arial" w:cs="Arial"/>
          <w:sz w:val="22"/>
          <w:szCs w:val="22"/>
          <w:lang w:val="es-ES"/>
        </w:rPr>
        <w:t xml:space="preserve">Unidades </w:t>
      </w:r>
      <w:r w:rsidR="004F05CB" w:rsidRPr="00242BD2">
        <w:rPr>
          <w:rFonts w:ascii="Arial" w:hAnsi="Arial" w:cs="Arial"/>
          <w:sz w:val="22"/>
          <w:szCs w:val="22"/>
          <w:lang w:val="es-ES"/>
        </w:rPr>
        <w:t>Básicas</w:t>
      </w:r>
      <w:r w:rsidR="00D6160B" w:rsidRPr="00242BD2">
        <w:rPr>
          <w:rFonts w:ascii="Arial" w:hAnsi="Arial" w:cs="Arial"/>
          <w:sz w:val="22"/>
          <w:szCs w:val="22"/>
          <w:lang w:val="es-ES"/>
        </w:rPr>
        <w:t xml:space="preserve"> de Salud (UBS), rede de frio, </w:t>
      </w:r>
      <w:r w:rsidR="007415CF" w:rsidRPr="00242BD2">
        <w:rPr>
          <w:rFonts w:ascii="Arial" w:hAnsi="Arial" w:cs="Arial"/>
          <w:sz w:val="22"/>
          <w:szCs w:val="22"/>
          <w:lang w:val="es-ES"/>
        </w:rPr>
        <w:t>central</w:t>
      </w:r>
      <w:r w:rsidR="004F05CB" w:rsidRPr="00242BD2">
        <w:rPr>
          <w:rFonts w:ascii="Arial" w:hAnsi="Arial" w:cs="Arial"/>
          <w:sz w:val="22"/>
          <w:szCs w:val="22"/>
          <w:lang w:val="es-ES"/>
        </w:rPr>
        <w:t>es</w:t>
      </w:r>
      <w:r w:rsidR="007415CF" w:rsidRPr="00242BD2">
        <w:rPr>
          <w:rFonts w:ascii="Arial" w:hAnsi="Arial" w:cs="Arial"/>
          <w:sz w:val="22"/>
          <w:szCs w:val="22"/>
          <w:lang w:val="es-ES"/>
        </w:rPr>
        <w:t xml:space="preserve"> de vigilancia </w:t>
      </w:r>
      <w:r w:rsidR="009929C5" w:rsidRPr="00242BD2">
        <w:rPr>
          <w:rFonts w:ascii="Arial" w:hAnsi="Arial" w:cs="Arial"/>
          <w:sz w:val="22"/>
          <w:szCs w:val="22"/>
          <w:lang w:val="es-ES"/>
        </w:rPr>
        <w:t>en salud</w:t>
      </w:r>
      <w:r w:rsidR="007415CF" w:rsidRPr="00242BD2">
        <w:rPr>
          <w:rFonts w:ascii="Arial" w:hAnsi="Arial" w:cs="Arial"/>
          <w:sz w:val="22"/>
          <w:szCs w:val="22"/>
          <w:lang w:val="es-ES"/>
        </w:rPr>
        <w:t>, Unidades de Atención Urgente (</w:t>
      </w:r>
      <w:r w:rsidR="00242BD2" w:rsidRPr="00242BD2">
        <w:rPr>
          <w:rFonts w:ascii="Arial" w:hAnsi="Arial" w:cs="Arial"/>
          <w:sz w:val="22"/>
          <w:szCs w:val="22"/>
          <w:lang w:val="es-ES"/>
        </w:rPr>
        <w:t>UPA, según siglas en portugués) y c</w:t>
      </w:r>
      <w:r w:rsidR="00C97A2B" w:rsidRPr="00242BD2">
        <w:rPr>
          <w:rFonts w:ascii="Arial" w:hAnsi="Arial" w:cs="Arial"/>
          <w:sz w:val="22"/>
          <w:szCs w:val="22"/>
          <w:lang w:val="es-ES"/>
        </w:rPr>
        <w:t xml:space="preserve">entros de </w:t>
      </w:r>
      <w:r w:rsidR="009D5968">
        <w:rPr>
          <w:rFonts w:ascii="Arial" w:hAnsi="Arial" w:cs="Arial"/>
          <w:sz w:val="22"/>
          <w:szCs w:val="22"/>
          <w:lang w:val="es-ES"/>
        </w:rPr>
        <w:t>atención en salud m</w:t>
      </w:r>
      <w:r w:rsidR="00C97A2B" w:rsidRPr="00242BD2">
        <w:rPr>
          <w:rFonts w:ascii="Arial" w:hAnsi="Arial" w:cs="Arial"/>
          <w:sz w:val="22"/>
          <w:szCs w:val="22"/>
          <w:lang w:val="es-ES"/>
        </w:rPr>
        <w:t>ental (</w:t>
      </w:r>
      <w:r w:rsidR="004F05CB" w:rsidRPr="00242BD2">
        <w:rPr>
          <w:rFonts w:ascii="Arial" w:hAnsi="Arial" w:cs="Arial"/>
          <w:sz w:val="22"/>
          <w:szCs w:val="22"/>
          <w:lang w:val="es-ES"/>
        </w:rPr>
        <w:t>CERSAM</w:t>
      </w:r>
      <w:r w:rsidR="00C97A2B" w:rsidRPr="00242BD2">
        <w:rPr>
          <w:rFonts w:ascii="Arial" w:hAnsi="Arial" w:cs="Arial"/>
          <w:sz w:val="22"/>
          <w:szCs w:val="22"/>
          <w:lang w:val="es-ES"/>
        </w:rPr>
        <w:t>)</w:t>
      </w:r>
      <w:r w:rsidR="007415CF" w:rsidRPr="00242BD2">
        <w:rPr>
          <w:rFonts w:ascii="Arial" w:hAnsi="Arial" w:cs="Arial"/>
          <w:sz w:val="22"/>
          <w:szCs w:val="22"/>
          <w:lang w:val="es-ES"/>
        </w:rPr>
        <w:t>.</w:t>
      </w:r>
      <w:r w:rsidR="00242BD2" w:rsidRPr="00242BD2">
        <w:rPr>
          <w:rFonts w:ascii="Arial" w:hAnsi="Arial" w:cs="Arial"/>
          <w:sz w:val="22"/>
          <w:szCs w:val="22"/>
          <w:lang w:val="es-ES"/>
        </w:rPr>
        <w:t xml:space="preserve"> Además, los beneficios se justifican por </w:t>
      </w:r>
      <w:r w:rsidR="00242BD2" w:rsidRPr="00242BD2">
        <w:rPr>
          <w:rFonts w:ascii="Arial" w:hAnsi="Arial" w:cs="Arial"/>
          <w:sz w:val="22"/>
          <w:szCs w:val="22"/>
          <w:lang w:val="es-419"/>
        </w:rPr>
        <w:t xml:space="preserve">dotación de equipamiento adicional y de reemplazo para varios servicios del Hospital Odilon Behrens, especialmente el área de maternidad, y el funcionamiento del Hospital Metropolitano. Por </w:t>
      </w:r>
      <w:r w:rsidR="00EB374F" w:rsidRPr="00242BD2">
        <w:rPr>
          <w:rFonts w:ascii="Arial" w:hAnsi="Arial" w:cs="Arial"/>
          <w:sz w:val="22"/>
          <w:szCs w:val="22"/>
          <w:lang w:val="es-419"/>
        </w:rPr>
        <w:t>último</w:t>
      </w:r>
      <w:r w:rsidR="00242BD2" w:rsidRPr="00242BD2">
        <w:rPr>
          <w:rFonts w:ascii="Arial" w:hAnsi="Arial" w:cs="Arial"/>
          <w:sz w:val="22"/>
          <w:szCs w:val="22"/>
          <w:lang w:val="es-419"/>
        </w:rPr>
        <w:t xml:space="preserve"> se </w:t>
      </w:r>
      <w:r w:rsidR="00C97A2B" w:rsidRPr="00242BD2">
        <w:rPr>
          <w:rFonts w:ascii="Arial" w:hAnsi="Arial" w:cs="Arial"/>
          <w:sz w:val="22"/>
          <w:szCs w:val="22"/>
          <w:lang w:val="es-ES"/>
        </w:rPr>
        <w:t xml:space="preserve">generarán </w:t>
      </w:r>
      <w:r w:rsidR="00677095" w:rsidRPr="00242BD2">
        <w:rPr>
          <w:rFonts w:ascii="Arial" w:hAnsi="Arial" w:cs="Arial"/>
          <w:sz w:val="22"/>
          <w:szCs w:val="22"/>
          <w:lang w:val="es-ES"/>
        </w:rPr>
        <w:t>mejoras</w:t>
      </w:r>
      <w:r w:rsidR="00DA3C95" w:rsidRPr="00242BD2">
        <w:rPr>
          <w:rFonts w:ascii="Arial" w:hAnsi="Arial" w:cs="Arial"/>
          <w:sz w:val="22"/>
          <w:szCs w:val="22"/>
          <w:lang w:val="es-ES"/>
        </w:rPr>
        <w:t xml:space="preserve"> </w:t>
      </w:r>
      <w:r w:rsidR="00677095" w:rsidRPr="00242BD2">
        <w:rPr>
          <w:rFonts w:ascii="Arial" w:hAnsi="Arial" w:cs="Arial"/>
          <w:sz w:val="22"/>
          <w:szCs w:val="22"/>
          <w:lang w:val="es-ES"/>
        </w:rPr>
        <w:t xml:space="preserve">en </w:t>
      </w:r>
      <w:r w:rsidR="00F875BA" w:rsidRPr="00242BD2">
        <w:rPr>
          <w:rFonts w:ascii="Arial" w:hAnsi="Arial" w:cs="Arial"/>
          <w:sz w:val="22"/>
          <w:szCs w:val="22"/>
          <w:lang w:val="es-ES"/>
        </w:rPr>
        <w:t>la gestión, calidad y eficiencia de las redes integradas</w:t>
      </w:r>
      <w:r w:rsidR="00677095" w:rsidRPr="00242BD2">
        <w:rPr>
          <w:rFonts w:ascii="Arial" w:hAnsi="Arial" w:cs="Arial"/>
          <w:sz w:val="22"/>
          <w:szCs w:val="22"/>
          <w:lang w:val="es-ES"/>
        </w:rPr>
        <w:t xml:space="preserve"> </w:t>
      </w:r>
      <w:r w:rsidR="00C97A2B" w:rsidRPr="00242BD2">
        <w:rPr>
          <w:rFonts w:ascii="Arial" w:hAnsi="Arial" w:cs="Arial"/>
          <w:sz w:val="22"/>
          <w:szCs w:val="22"/>
          <w:lang w:val="es-ES"/>
        </w:rPr>
        <w:t>de Belo Horizonte.</w:t>
      </w:r>
      <w:r w:rsidR="00C97A2B">
        <w:rPr>
          <w:rFonts w:ascii="Arial" w:hAnsi="Arial" w:cs="Arial"/>
          <w:sz w:val="22"/>
          <w:szCs w:val="22"/>
          <w:lang w:val="es-ES"/>
        </w:rPr>
        <w:t xml:space="preserve"> </w:t>
      </w:r>
      <w:r w:rsidR="006016B5" w:rsidRPr="008C21E4">
        <w:rPr>
          <w:rFonts w:ascii="Arial" w:hAnsi="Arial" w:cs="Arial"/>
          <w:sz w:val="22"/>
          <w:szCs w:val="22"/>
          <w:lang w:val="es-ES"/>
        </w:rPr>
        <w:t>Una analogía que f</w:t>
      </w:r>
      <w:r w:rsidR="00AD2B33" w:rsidRPr="008C21E4">
        <w:rPr>
          <w:rFonts w:ascii="Arial" w:hAnsi="Arial" w:cs="Arial"/>
          <w:sz w:val="22"/>
          <w:szCs w:val="22"/>
          <w:lang w:val="es-ES"/>
        </w:rPr>
        <w:t>acilita entender el enfoque</w:t>
      </w:r>
      <w:r w:rsidR="00392CEF" w:rsidRPr="008C21E4">
        <w:rPr>
          <w:rFonts w:ascii="Arial" w:hAnsi="Arial" w:cs="Arial"/>
          <w:sz w:val="22"/>
          <w:szCs w:val="22"/>
          <w:lang w:val="es-ES"/>
        </w:rPr>
        <w:t xml:space="preserve"> </w:t>
      </w:r>
      <w:r w:rsidR="00E6546E" w:rsidRPr="008C21E4">
        <w:rPr>
          <w:rFonts w:ascii="Arial" w:hAnsi="Arial" w:cs="Arial"/>
          <w:sz w:val="22"/>
          <w:szCs w:val="22"/>
          <w:lang w:val="es-ES"/>
        </w:rPr>
        <w:t>utilizado</w:t>
      </w:r>
      <w:r w:rsidR="00AD2B33" w:rsidRPr="008C21E4">
        <w:rPr>
          <w:rFonts w:ascii="Arial" w:hAnsi="Arial" w:cs="Arial"/>
          <w:sz w:val="22"/>
          <w:szCs w:val="22"/>
          <w:lang w:val="es-ES"/>
        </w:rPr>
        <w:t xml:space="preserve"> es pensar</w:t>
      </w:r>
      <w:r w:rsidR="00392CEF" w:rsidRPr="008C21E4">
        <w:rPr>
          <w:rFonts w:ascii="Arial" w:hAnsi="Arial" w:cs="Arial"/>
          <w:sz w:val="22"/>
          <w:szCs w:val="22"/>
          <w:lang w:val="es-ES"/>
        </w:rPr>
        <w:t xml:space="preserve"> en cada tipo de intervención como</w:t>
      </w:r>
      <w:r w:rsidR="00AD2B33" w:rsidRPr="008C21E4">
        <w:rPr>
          <w:rFonts w:ascii="Arial" w:hAnsi="Arial" w:cs="Arial"/>
          <w:sz w:val="22"/>
          <w:szCs w:val="22"/>
          <w:lang w:val="es-ES"/>
        </w:rPr>
        <w:t xml:space="preserve"> una </w:t>
      </w:r>
      <w:r w:rsidR="00AD2B33" w:rsidRPr="00C97A2B">
        <w:rPr>
          <w:rFonts w:ascii="Arial" w:hAnsi="Arial" w:cs="Arial"/>
          <w:sz w:val="22"/>
          <w:szCs w:val="22"/>
          <w:lang w:val="es-ES"/>
        </w:rPr>
        <w:t>capa</w:t>
      </w:r>
      <w:r w:rsidR="006016B5" w:rsidRPr="00C97A2B">
        <w:rPr>
          <w:rFonts w:ascii="Arial" w:hAnsi="Arial" w:cs="Arial"/>
          <w:sz w:val="22"/>
          <w:szCs w:val="22"/>
          <w:lang w:val="es-ES"/>
        </w:rPr>
        <w:t xml:space="preserve"> de beneficios</w:t>
      </w:r>
      <w:r w:rsidR="00AD2B33" w:rsidRPr="00C97A2B">
        <w:rPr>
          <w:rFonts w:ascii="Arial" w:hAnsi="Arial" w:cs="Arial"/>
          <w:sz w:val="22"/>
          <w:szCs w:val="22"/>
          <w:lang w:val="es-ES"/>
        </w:rPr>
        <w:t>.</w:t>
      </w:r>
      <w:r w:rsidR="006016B5" w:rsidRPr="008C21E4">
        <w:rPr>
          <w:rFonts w:ascii="Arial" w:hAnsi="Arial" w:cs="Arial"/>
          <w:sz w:val="22"/>
          <w:szCs w:val="22"/>
          <w:lang w:val="es-ES"/>
        </w:rPr>
        <w:t xml:space="preserve"> El beneficio total</w:t>
      </w:r>
      <w:r w:rsidR="00AD2B33" w:rsidRPr="008C21E4">
        <w:rPr>
          <w:rFonts w:ascii="Arial" w:hAnsi="Arial" w:cs="Arial"/>
          <w:sz w:val="22"/>
          <w:szCs w:val="22"/>
          <w:lang w:val="es-ES"/>
        </w:rPr>
        <w:t xml:space="preserve"> de un territorio entonces está determinado por el total de capas que se superponen</w:t>
      </w:r>
      <w:r w:rsidR="00392CEF" w:rsidRPr="008C21E4">
        <w:rPr>
          <w:rFonts w:ascii="Arial" w:hAnsi="Arial" w:cs="Arial"/>
          <w:sz w:val="22"/>
          <w:szCs w:val="22"/>
          <w:lang w:val="es-ES"/>
        </w:rPr>
        <w:t xml:space="preserve"> sobre dicho territorio</w:t>
      </w:r>
      <w:r w:rsidR="00AD2B33" w:rsidRPr="008C21E4">
        <w:rPr>
          <w:rFonts w:ascii="Arial" w:hAnsi="Arial" w:cs="Arial"/>
          <w:sz w:val="22"/>
          <w:szCs w:val="22"/>
          <w:lang w:val="es-ES"/>
        </w:rPr>
        <w:t xml:space="preserve">. </w:t>
      </w:r>
    </w:p>
    <w:p w14:paraId="3DE953BD" w14:textId="4E82A59A" w:rsidR="00A719A7" w:rsidRPr="008C21E4" w:rsidRDefault="006016B5" w:rsidP="001025F1">
      <w:pPr>
        <w:spacing w:before="120" w:after="100" w:afterAutospacing="1"/>
        <w:jc w:val="both"/>
        <w:rPr>
          <w:rFonts w:ascii="Arial" w:hAnsi="Arial" w:cs="Arial"/>
          <w:sz w:val="22"/>
          <w:szCs w:val="22"/>
          <w:highlight w:val="yellow"/>
          <w:lang w:val="es-ES"/>
        </w:rPr>
      </w:pPr>
      <w:r w:rsidRPr="008C21E4">
        <w:rPr>
          <w:rFonts w:ascii="Arial" w:hAnsi="Arial" w:cs="Arial"/>
          <w:sz w:val="22"/>
          <w:szCs w:val="22"/>
          <w:lang w:val="es-ES"/>
        </w:rPr>
        <w:t>El aná</w:t>
      </w:r>
      <w:r w:rsidR="00AD2B33" w:rsidRPr="008C21E4">
        <w:rPr>
          <w:rFonts w:ascii="Arial" w:hAnsi="Arial" w:cs="Arial"/>
          <w:sz w:val="22"/>
          <w:szCs w:val="22"/>
          <w:lang w:val="es-ES"/>
        </w:rPr>
        <w:t>lisis considera</w:t>
      </w:r>
      <w:r w:rsidR="00F30797" w:rsidRPr="008C21E4">
        <w:rPr>
          <w:rFonts w:ascii="Arial" w:hAnsi="Arial" w:cs="Arial"/>
          <w:sz w:val="22"/>
          <w:szCs w:val="22"/>
          <w:lang w:val="es-ES"/>
        </w:rPr>
        <w:t xml:space="preserve"> varios escenarios que permiten realizar un detallado</w:t>
      </w:r>
      <w:r w:rsidR="00AD2B33" w:rsidRPr="008C21E4">
        <w:rPr>
          <w:rFonts w:ascii="Arial" w:hAnsi="Arial" w:cs="Arial"/>
          <w:sz w:val="22"/>
          <w:szCs w:val="22"/>
          <w:lang w:val="es-ES"/>
        </w:rPr>
        <w:t xml:space="preserve"> </w:t>
      </w:r>
      <w:r w:rsidR="00DA3C95" w:rsidRPr="008C21E4">
        <w:rPr>
          <w:rFonts w:ascii="Arial" w:hAnsi="Arial" w:cs="Arial"/>
          <w:sz w:val="22"/>
          <w:szCs w:val="22"/>
          <w:lang w:val="es-ES"/>
        </w:rPr>
        <w:t>análisis de sensibilidad.</w:t>
      </w:r>
      <w:r w:rsidR="00AD2B33" w:rsidRPr="008C21E4">
        <w:rPr>
          <w:rFonts w:ascii="Arial" w:hAnsi="Arial" w:cs="Arial"/>
          <w:sz w:val="22"/>
          <w:szCs w:val="22"/>
          <w:lang w:val="es-ES"/>
        </w:rPr>
        <w:t xml:space="preserve"> En primer lugar</w:t>
      </w:r>
      <w:r w:rsidR="00C558DB" w:rsidRPr="008C21E4">
        <w:rPr>
          <w:rFonts w:ascii="Arial" w:hAnsi="Arial" w:cs="Arial"/>
          <w:sz w:val="22"/>
          <w:szCs w:val="22"/>
          <w:lang w:val="es-ES"/>
        </w:rPr>
        <w:t>,</w:t>
      </w:r>
      <w:r w:rsidR="00AD2B33" w:rsidRPr="008C21E4">
        <w:rPr>
          <w:rFonts w:ascii="Arial" w:hAnsi="Arial" w:cs="Arial"/>
          <w:sz w:val="22"/>
          <w:szCs w:val="22"/>
          <w:lang w:val="es-ES"/>
        </w:rPr>
        <w:t xml:space="preserve"> se </w:t>
      </w:r>
      <w:r w:rsidR="00DA3C95" w:rsidRPr="008C21E4">
        <w:rPr>
          <w:rFonts w:ascii="Arial" w:hAnsi="Arial" w:cs="Arial"/>
          <w:sz w:val="22"/>
          <w:szCs w:val="22"/>
          <w:lang w:val="es-ES"/>
        </w:rPr>
        <w:t>analizan</w:t>
      </w:r>
      <w:r w:rsidR="00AD2B33" w:rsidRPr="008C21E4">
        <w:rPr>
          <w:rFonts w:ascii="Arial" w:hAnsi="Arial" w:cs="Arial"/>
          <w:sz w:val="22"/>
          <w:szCs w:val="22"/>
          <w:lang w:val="es-ES"/>
        </w:rPr>
        <w:t xml:space="preserve"> tres escenarios sobre la contribución marginal a</w:t>
      </w:r>
      <w:r w:rsidRPr="008C21E4">
        <w:rPr>
          <w:rFonts w:ascii="Arial" w:hAnsi="Arial" w:cs="Arial"/>
          <w:sz w:val="22"/>
          <w:szCs w:val="22"/>
          <w:lang w:val="es-ES"/>
        </w:rPr>
        <w:t xml:space="preserve"> la cobertura efectiva de salud </w:t>
      </w:r>
      <w:r w:rsidR="00392CEF" w:rsidRPr="008C21E4">
        <w:rPr>
          <w:rFonts w:ascii="Arial" w:hAnsi="Arial" w:cs="Arial"/>
          <w:sz w:val="22"/>
          <w:szCs w:val="22"/>
          <w:lang w:val="es-ES"/>
        </w:rPr>
        <w:t>que tendrá</w:t>
      </w:r>
      <w:r w:rsidR="00AD2B33" w:rsidRPr="008C21E4">
        <w:rPr>
          <w:rFonts w:ascii="Arial" w:hAnsi="Arial" w:cs="Arial"/>
          <w:sz w:val="22"/>
          <w:szCs w:val="22"/>
          <w:lang w:val="es-ES"/>
        </w:rPr>
        <w:t xml:space="preserve"> </w:t>
      </w:r>
      <w:r w:rsidR="00DA3C95" w:rsidRPr="008C21E4">
        <w:rPr>
          <w:rFonts w:ascii="Arial" w:hAnsi="Arial" w:cs="Arial"/>
          <w:sz w:val="22"/>
          <w:szCs w:val="22"/>
          <w:lang w:val="es-ES"/>
        </w:rPr>
        <w:t xml:space="preserve">cada una de </w:t>
      </w:r>
      <w:r w:rsidR="00AD2B33" w:rsidRPr="008C21E4">
        <w:rPr>
          <w:rFonts w:ascii="Arial" w:hAnsi="Arial" w:cs="Arial"/>
          <w:sz w:val="22"/>
          <w:szCs w:val="22"/>
          <w:lang w:val="es-ES"/>
        </w:rPr>
        <w:t>las intervenciones</w:t>
      </w:r>
      <w:r w:rsidR="00392CEF" w:rsidRPr="008C21E4">
        <w:rPr>
          <w:rFonts w:ascii="Arial" w:hAnsi="Arial" w:cs="Arial"/>
          <w:sz w:val="22"/>
          <w:szCs w:val="22"/>
          <w:lang w:val="es-ES"/>
        </w:rPr>
        <w:t xml:space="preserve">, en ausencia de modelos que permitan estimar la contribución marginal el análisis se centra en justificar </w:t>
      </w:r>
      <w:r w:rsidR="00C558DB" w:rsidRPr="008C21E4">
        <w:rPr>
          <w:rFonts w:ascii="Arial" w:hAnsi="Arial" w:cs="Arial"/>
          <w:sz w:val="22"/>
          <w:szCs w:val="22"/>
          <w:lang w:val="es-ES"/>
        </w:rPr>
        <w:t>por qué</w:t>
      </w:r>
      <w:r w:rsidR="00392CEF" w:rsidRPr="008C21E4">
        <w:rPr>
          <w:rFonts w:ascii="Arial" w:hAnsi="Arial" w:cs="Arial"/>
          <w:sz w:val="22"/>
          <w:szCs w:val="22"/>
          <w:lang w:val="es-ES"/>
        </w:rPr>
        <w:t xml:space="preserve"> hay un margen de mejora de cobertura y utiliza un análisis de sensibilidad para establecer un rango</w:t>
      </w:r>
      <w:r w:rsidR="00AD2B33" w:rsidRPr="008C21E4">
        <w:rPr>
          <w:rFonts w:ascii="Arial" w:hAnsi="Arial" w:cs="Arial"/>
          <w:sz w:val="22"/>
          <w:szCs w:val="22"/>
          <w:lang w:val="es-ES"/>
        </w:rPr>
        <w:t>. En segundo lugar</w:t>
      </w:r>
      <w:r w:rsidR="00C558DB" w:rsidRPr="008C21E4">
        <w:rPr>
          <w:rFonts w:ascii="Arial" w:hAnsi="Arial" w:cs="Arial"/>
          <w:sz w:val="22"/>
          <w:szCs w:val="22"/>
          <w:lang w:val="es-ES"/>
        </w:rPr>
        <w:t>,</w:t>
      </w:r>
      <w:r w:rsidR="00AD2B33" w:rsidRPr="008C21E4">
        <w:rPr>
          <w:rFonts w:ascii="Arial" w:hAnsi="Arial" w:cs="Arial"/>
          <w:sz w:val="22"/>
          <w:szCs w:val="22"/>
          <w:lang w:val="es-ES"/>
        </w:rPr>
        <w:t xml:space="preserve"> </w:t>
      </w:r>
      <w:r w:rsidR="00F30797" w:rsidRPr="008C21E4">
        <w:rPr>
          <w:rFonts w:ascii="Arial" w:hAnsi="Arial" w:cs="Arial"/>
          <w:sz w:val="22"/>
          <w:szCs w:val="22"/>
          <w:lang w:val="es-ES"/>
        </w:rPr>
        <w:t xml:space="preserve">se </w:t>
      </w:r>
      <w:r w:rsidR="00AD2B33" w:rsidRPr="008C21E4">
        <w:rPr>
          <w:rFonts w:ascii="Arial" w:hAnsi="Arial" w:cs="Arial"/>
          <w:sz w:val="22"/>
          <w:szCs w:val="22"/>
          <w:lang w:val="es-ES"/>
        </w:rPr>
        <w:t>considera</w:t>
      </w:r>
      <w:r w:rsidR="00F30797" w:rsidRPr="008C21E4">
        <w:rPr>
          <w:rFonts w:ascii="Arial" w:hAnsi="Arial" w:cs="Arial"/>
          <w:sz w:val="22"/>
          <w:szCs w:val="22"/>
          <w:lang w:val="es-ES"/>
        </w:rPr>
        <w:t>n</w:t>
      </w:r>
      <w:r w:rsidR="00AD2B33" w:rsidRPr="008C21E4">
        <w:rPr>
          <w:rFonts w:ascii="Arial" w:hAnsi="Arial" w:cs="Arial"/>
          <w:sz w:val="22"/>
          <w:szCs w:val="22"/>
          <w:lang w:val="es-ES"/>
        </w:rPr>
        <w:t xml:space="preserve"> tres vectores de gradualidad que modelan el</w:t>
      </w:r>
      <w:r w:rsidRPr="008C21E4">
        <w:rPr>
          <w:rFonts w:ascii="Arial" w:hAnsi="Arial" w:cs="Arial"/>
          <w:sz w:val="22"/>
          <w:szCs w:val="22"/>
          <w:lang w:val="es-ES"/>
        </w:rPr>
        <w:t xml:space="preserve"> tiempo necesario para observar los beneficios de las mejoras en la red de servicios de salud. En este sentido se espera </w:t>
      </w:r>
      <w:r w:rsidR="00547A75" w:rsidRPr="008C21E4">
        <w:rPr>
          <w:rFonts w:ascii="Arial" w:hAnsi="Arial" w:cs="Arial"/>
          <w:sz w:val="22"/>
          <w:szCs w:val="22"/>
          <w:lang w:val="es-ES"/>
        </w:rPr>
        <w:t>que los desembolsos comiencen en 201</w:t>
      </w:r>
      <w:r w:rsidR="0035692A" w:rsidRPr="008C21E4">
        <w:rPr>
          <w:rFonts w:ascii="Arial" w:hAnsi="Arial" w:cs="Arial"/>
          <w:sz w:val="22"/>
          <w:szCs w:val="22"/>
          <w:lang w:val="es-ES"/>
        </w:rPr>
        <w:t>9</w:t>
      </w:r>
      <w:r w:rsidR="00C87780" w:rsidRPr="008C21E4">
        <w:rPr>
          <w:rFonts w:ascii="Arial" w:hAnsi="Arial" w:cs="Arial"/>
          <w:sz w:val="22"/>
          <w:szCs w:val="22"/>
          <w:lang w:val="es-ES"/>
        </w:rPr>
        <w:t xml:space="preserve"> y los primeros beneficios se observen </w:t>
      </w:r>
      <w:r w:rsidR="004B0BCD" w:rsidRPr="008C21E4">
        <w:rPr>
          <w:rFonts w:ascii="Arial" w:hAnsi="Arial" w:cs="Arial"/>
          <w:sz w:val="22"/>
          <w:szCs w:val="22"/>
          <w:lang w:val="es-ES"/>
        </w:rPr>
        <w:t>en 2020</w:t>
      </w:r>
      <w:r w:rsidR="00E6546E" w:rsidRPr="008C21E4">
        <w:rPr>
          <w:rFonts w:ascii="Arial" w:hAnsi="Arial" w:cs="Arial"/>
          <w:sz w:val="22"/>
          <w:szCs w:val="22"/>
          <w:lang w:val="es-ES"/>
        </w:rPr>
        <w:t>,</w:t>
      </w:r>
      <w:r w:rsidR="00C87780" w:rsidRPr="008C21E4">
        <w:rPr>
          <w:rFonts w:ascii="Arial" w:hAnsi="Arial" w:cs="Arial"/>
          <w:sz w:val="22"/>
          <w:szCs w:val="22"/>
          <w:lang w:val="es-ES"/>
        </w:rPr>
        <w:t xml:space="preserve"> aunque sean de una magnitud moderada</w:t>
      </w:r>
      <w:r w:rsidR="005C665C" w:rsidRPr="008C21E4">
        <w:rPr>
          <w:rFonts w:ascii="Arial" w:hAnsi="Arial" w:cs="Arial"/>
          <w:sz w:val="22"/>
          <w:szCs w:val="22"/>
          <w:lang w:val="es-ES"/>
        </w:rPr>
        <w:t>.</w:t>
      </w:r>
      <w:r w:rsidR="00C87780" w:rsidRPr="008C21E4">
        <w:rPr>
          <w:rFonts w:ascii="Arial" w:hAnsi="Arial" w:cs="Arial"/>
          <w:sz w:val="22"/>
          <w:szCs w:val="22"/>
          <w:lang w:val="es-ES"/>
        </w:rPr>
        <w:t xml:space="preserve"> El análisis considera los beneficios obtenidos durante los </w:t>
      </w:r>
      <w:r w:rsidR="006F6F71" w:rsidRPr="008C21E4">
        <w:rPr>
          <w:rFonts w:ascii="Arial" w:hAnsi="Arial" w:cs="Arial"/>
          <w:sz w:val="22"/>
          <w:szCs w:val="22"/>
          <w:lang w:val="es-ES"/>
        </w:rPr>
        <w:t>cinco</w:t>
      </w:r>
      <w:r w:rsidR="00C87780" w:rsidRPr="008C21E4">
        <w:rPr>
          <w:rFonts w:ascii="Arial" w:hAnsi="Arial" w:cs="Arial"/>
          <w:sz w:val="22"/>
          <w:szCs w:val="22"/>
          <w:lang w:val="es-ES"/>
        </w:rPr>
        <w:t xml:space="preserve"> años de desembolso del préstamo. Esto coincide con los</w:t>
      </w:r>
      <w:r w:rsidR="00356A6F" w:rsidRPr="008C21E4">
        <w:rPr>
          <w:rFonts w:ascii="Arial" w:hAnsi="Arial" w:cs="Arial"/>
          <w:sz w:val="22"/>
          <w:szCs w:val="22"/>
          <w:lang w:val="es-ES"/>
        </w:rPr>
        <w:t xml:space="preserve"> indicadores de </w:t>
      </w:r>
      <w:r w:rsidR="00C87780" w:rsidRPr="008C21E4">
        <w:rPr>
          <w:rFonts w:ascii="Arial" w:hAnsi="Arial" w:cs="Arial"/>
          <w:sz w:val="22"/>
          <w:szCs w:val="22"/>
          <w:lang w:val="es-ES"/>
        </w:rPr>
        <w:t xml:space="preserve">resultados de la matriz de </w:t>
      </w:r>
      <w:r w:rsidR="00C87780" w:rsidRPr="008C21E4">
        <w:rPr>
          <w:rFonts w:ascii="Arial" w:hAnsi="Arial" w:cs="Arial"/>
          <w:sz w:val="22"/>
          <w:szCs w:val="22"/>
          <w:lang w:val="es-ES"/>
        </w:rPr>
        <w:lastRenderedPageBreak/>
        <w:t>resultados espe</w:t>
      </w:r>
      <w:r w:rsidR="00B55A51" w:rsidRPr="008C21E4">
        <w:rPr>
          <w:rFonts w:ascii="Arial" w:hAnsi="Arial" w:cs="Arial"/>
          <w:sz w:val="22"/>
          <w:szCs w:val="22"/>
          <w:lang w:val="es-ES"/>
        </w:rPr>
        <w:t>rados para 202</w:t>
      </w:r>
      <w:r w:rsidR="00C558DB" w:rsidRPr="008C21E4">
        <w:rPr>
          <w:rFonts w:ascii="Arial" w:hAnsi="Arial" w:cs="Arial"/>
          <w:sz w:val="22"/>
          <w:szCs w:val="22"/>
          <w:lang w:val="es-ES"/>
        </w:rPr>
        <w:t>3</w:t>
      </w:r>
      <w:r w:rsidR="00EF339B" w:rsidRPr="008C21E4">
        <w:rPr>
          <w:rFonts w:ascii="Arial" w:hAnsi="Arial" w:cs="Arial"/>
          <w:sz w:val="22"/>
          <w:szCs w:val="22"/>
          <w:lang w:val="es-ES"/>
        </w:rPr>
        <w:t xml:space="preserve"> y el horizonte de los indicadores </w:t>
      </w:r>
      <w:r w:rsidR="00592F85" w:rsidRPr="008C21E4">
        <w:rPr>
          <w:rFonts w:ascii="Arial" w:hAnsi="Arial" w:cs="Arial"/>
          <w:sz w:val="22"/>
          <w:szCs w:val="22"/>
          <w:lang w:val="es-ES"/>
        </w:rPr>
        <w:t>de impacto</w:t>
      </w:r>
      <w:r w:rsidR="00B55A51" w:rsidRPr="008C21E4">
        <w:rPr>
          <w:rFonts w:ascii="Arial" w:hAnsi="Arial" w:cs="Arial"/>
          <w:sz w:val="22"/>
          <w:szCs w:val="22"/>
          <w:lang w:val="es-ES"/>
        </w:rPr>
        <w:t>. Sin embargo</w:t>
      </w:r>
      <w:r w:rsidR="00A727CA" w:rsidRPr="008C21E4">
        <w:rPr>
          <w:rFonts w:ascii="Arial" w:hAnsi="Arial" w:cs="Arial"/>
          <w:sz w:val="22"/>
          <w:szCs w:val="22"/>
          <w:lang w:val="es-ES"/>
        </w:rPr>
        <w:t>,</w:t>
      </w:r>
      <w:r w:rsidR="00B55A51" w:rsidRPr="008C21E4">
        <w:rPr>
          <w:rFonts w:ascii="Arial" w:hAnsi="Arial" w:cs="Arial"/>
          <w:sz w:val="22"/>
          <w:szCs w:val="22"/>
          <w:lang w:val="es-ES"/>
        </w:rPr>
        <w:t xml:space="preserve"> se prevé que el proyecto permita apalancar más beneficios en los años subsecuentes al periodo de desembolso, aunque para cosechar </w:t>
      </w:r>
      <w:r w:rsidR="006A4084" w:rsidRPr="008C21E4">
        <w:rPr>
          <w:rFonts w:ascii="Arial" w:hAnsi="Arial" w:cs="Arial"/>
          <w:sz w:val="22"/>
          <w:szCs w:val="22"/>
          <w:lang w:val="es-ES"/>
        </w:rPr>
        <w:t xml:space="preserve">algunos de </w:t>
      </w:r>
      <w:r w:rsidR="00B55A51" w:rsidRPr="008C21E4">
        <w:rPr>
          <w:rFonts w:ascii="Arial" w:hAnsi="Arial" w:cs="Arial"/>
          <w:sz w:val="22"/>
          <w:szCs w:val="22"/>
          <w:lang w:val="es-ES"/>
        </w:rPr>
        <w:t xml:space="preserve">estos beneficios se requiere de una inversión adicional que asegure la </w:t>
      </w:r>
      <w:r w:rsidR="006A4084" w:rsidRPr="008C21E4">
        <w:rPr>
          <w:rFonts w:ascii="Arial" w:hAnsi="Arial" w:cs="Arial"/>
          <w:sz w:val="22"/>
          <w:szCs w:val="22"/>
          <w:lang w:val="es-ES"/>
        </w:rPr>
        <w:t xml:space="preserve">continuidad en la </w:t>
      </w:r>
      <w:r w:rsidR="00B55A51" w:rsidRPr="008C21E4">
        <w:rPr>
          <w:rFonts w:ascii="Arial" w:hAnsi="Arial" w:cs="Arial"/>
          <w:sz w:val="22"/>
          <w:szCs w:val="22"/>
          <w:lang w:val="es-ES"/>
        </w:rPr>
        <w:t>prestación de los servicios</w:t>
      </w:r>
      <w:r w:rsidR="005C665C" w:rsidRPr="008C21E4">
        <w:rPr>
          <w:rFonts w:ascii="Arial" w:hAnsi="Arial" w:cs="Arial"/>
          <w:sz w:val="22"/>
          <w:szCs w:val="22"/>
          <w:lang w:val="es-ES"/>
        </w:rPr>
        <w:t>.</w:t>
      </w:r>
      <w:r w:rsidR="00B55A51" w:rsidRPr="008C21E4">
        <w:rPr>
          <w:rFonts w:ascii="Arial" w:hAnsi="Arial" w:cs="Arial"/>
          <w:sz w:val="22"/>
          <w:szCs w:val="22"/>
          <w:lang w:val="es-ES"/>
        </w:rPr>
        <w:t xml:space="preserve"> Por esta razón se agrega un análisis de costo beneficio con un horizonte más amplio que comprende de</w:t>
      </w:r>
      <w:r w:rsidR="007657D8" w:rsidRPr="008C21E4">
        <w:rPr>
          <w:rFonts w:ascii="Arial" w:hAnsi="Arial" w:cs="Arial"/>
          <w:sz w:val="22"/>
          <w:szCs w:val="22"/>
          <w:lang w:val="es-ES"/>
        </w:rPr>
        <w:t xml:space="preserve"> 201</w:t>
      </w:r>
      <w:r w:rsidR="00911ADE" w:rsidRPr="008C21E4">
        <w:rPr>
          <w:rFonts w:ascii="Arial" w:hAnsi="Arial" w:cs="Arial"/>
          <w:sz w:val="22"/>
          <w:szCs w:val="22"/>
          <w:lang w:val="es-ES"/>
        </w:rPr>
        <w:t>9</w:t>
      </w:r>
      <w:r w:rsidR="007657D8" w:rsidRPr="008C21E4">
        <w:rPr>
          <w:rFonts w:ascii="Arial" w:hAnsi="Arial" w:cs="Arial"/>
          <w:sz w:val="22"/>
          <w:szCs w:val="22"/>
          <w:lang w:val="es-ES"/>
        </w:rPr>
        <w:t>-202</w:t>
      </w:r>
      <w:r w:rsidR="00C558DB" w:rsidRPr="008C21E4">
        <w:rPr>
          <w:rFonts w:ascii="Arial" w:hAnsi="Arial" w:cs="Arial"/>
          <w:sz w:val="22"/>
          <w:szCs w:val="22"/>
          <w:lang w:val="es-ES"/>
        </w:rPr>
        <w:t>8</w:t>
      </w:r>
      <w:r w:rsidR="007657D8" w:rsidRPr="008C21E4">
        <w:rPr>
          <w:rFonts w:ascii="Arial" w:hAnsi="Arial" w:cs="Arial"/>
          <w:sz w:val="22"/>
          <w:szCs w:val="22"/>
          <w:lang w:val="es-ES"/>
        </w:rPr>
        <w:t xml:space="preserve">. </w:t>
      </w:r>
      <w:r w:rsidR="00B55A51" w:rsidRPr="008C21E4">
        <w:rPr>
          <w:rFonts w:ascii="Arial" w:hAnsi="Arial" w:cs="Arial"/>
          <w:sz w:val="22"/>
          <w:szCs w:val="22"/>
          <w:lang w:val="es-ES"/>
        </w:rPr>
        <w:t>En este análisis</w:t>
      </w:r>
      <w:r w:rsidR="007657D8" w:rsidRPr="008C21E4">
        <w:rPr>
          <w:rFonts w:ascii="Arial" w:hAnsi="Arial" w:cs="Arial"/>
          <w:sz w:val="22"/>
          <w:szCs w:val="22"/>
          <w:lang w:val="es-ES"/>
        </w:rPr>
        <w:t xml:space="preserve"> alternativo</w:t>
      </w:r>
      <w:r w:rsidR="00B55A51" w:rsidRPr="008C21E4">
        <w:rPr>
          <w:rFonts w:ascii="Arial" w:hAnsi="Arial" w:cs="Arial"/>
          <w:sz w:val="22"/>
          <w:szCs w:val="22"/>
          <w:lang w:val="es-ES"/>
        </w:rPr>
        <w:t xml:space="preserve"> se considera un factor de sobrecosto</w:t>
      </w:r>
      <w:r w:rsidR="007657D8" w:rsidRPr="008C21E4">
        <w:rPr>
          <w:rFonts w:ascii="Arial" w:hAnsi="Arial" w:cs="Arial"/>
          <w:sz w:val="22"/>
          <w:szCs w:val="22"/>
          <w:lang w:val="es-ES"/>
        </w:rPr>
        <w:t xml:space="preserve"> </w:t>
      </w:r>
      <w:r w:rsidR="006C09FC" w:rsidRPr="008C21E4">
        <w:rPr>
          <w:rFonts w:ascii="Arial" w:hAnsi="Arial" w:cs="Arial"/>
          <w:sz w:val="22"/>
          <w:szCs w:val="22"/>
          <w:lang w:val="es-ES"/>
        </w:rPr>
        <w:t xml:space="preserve">de </w:t>
      </w:r>
      <w:r w:rsidR="00E006C6">
        <w:rPr>
          <w:rFonts w:ascii="Arial" w:hAnsi="Arial" w:cs="Arial"/>
          <w:sz w:val="22"/>
          <w:szCs w:val="22"/>
          <w:lang w:val="es-ES"/>
        </w:rPr>
        <w:t>23</w:t>
      </w:r>
      <w:r w:rsidR="007657D8" w:rsidRPr="008C21E4">
        <w:rPr>
          <w:rFonts w:ascii="Arial" w:hAnsi="Arial" w:cs="Arial"/>
          <w:sz w:val="22"/>
          <w:szCs w:val="22"/>
          <w:lang w:val="es-ES"/>
        </w:rPr>
        <w:t xml:space="preserve"> millones</w:t>
      </w:r>
      <w:r w:rsidR="00632642" w:rsidRPr="008C21E4">
        <w:rPr>
          <w:rFonts w:ascii="Arial" w:hAnsi="Arial" w:cs="Arial"/>
          <w:sz w:val="22"/>
          <w:szCs w:val="22"/>
          <w:lang w:val="es-ES"/>
        </w:rPr>
        <w:t xml:space="preserve"> de dólares</w:t>
      </w:r>
      <w:r w:rsidR="007657D8" w:rsidRPr="008C21E4">
        <w:rPr>
          <w:rFonts w:ascii="Arial" w:hAnsi="Arial" w:cs="Arial"/>
          <w:sz w:val="22"/>
          <w:szCs w:val="22"/>
          <w:lang w:val="es-ES"/>
        </w:rPr>
        <w:t xml:space="preserve"> anuales</w:t>
      </w:r>
      <w:r w:rsidR="00B55A51" w:rsidRPr="008C21E4">
        <w:rPr>
          <w:rFonts w:ascii="Arial" w:hAnsi="Arial" w:cs="Arial"/>
          <w:sz w:val="22"/>
          <w:szCs w:val="22"/>
          <w:lang w:val="es-ES"/>
        </w:rPr>
        <w:t xml:space="preserve"> que representa </w:t>
      </w:r>
      <w:r w:rsidR="00311359" w:rsidRPr="008C21E4">
        <w:rPr>
          <w:rFonts w:ascii="Arial" w:hAnsi="Arial" w:cs="Arial"/>
          <w:sz w:val="22"/>
          <w:szCs w:val="22"/>
          <w:lang w:val="es-ES"/>
        </w:rPr>
        <w:t xml:space="preserve">un gasto </w:t>
      </w:r>
      <w:r w:rsidR="00B55A51" w:rsidRPr="008C21E4">
        <w:rPr>
          <w:rFonts w:ascii="Arial" w:hAnsi="Arial" w:cs="Arial"/>
          <w:sz w:val="22"/>
          <w:szCs w:val="22"/>
          <w:lang w:val="es-ES"/>
        </w:rPr>
        <w:t xml:space="preserve">adicional que </w:t>
      </w:r>
      <w:r w:rsidR="00311359" w:rsidRPr="008C21E4">
        <w:rPr>
          <w:rFonts w:ascii="Arial" w:hAnsi="Arial" w:cs="Arial"/>
          <w:sz w:val="22"/>
          <w:szCs w:val="22"/>
          <w:lang w:val="es-ES"/>
        </w:rPr>
        <w:t xml:space="preserve">es </w:t>
      </w:r>
      <w:r w:rsidR="00B55A51" w:rsidRPr="008C21E4">
        <w:rPr>
          <w:rFonts w:ascii="Arial" w:hAnsi="Arial" w:cs="Arial"/>
          <w:sz w:val="22"/>
          <w:szCs w:val="22"/>
          <w:lang w:val="es-ES"/>
        </w:rPr>
        <w:t>necesari</w:t>
      </w:r>
      <w:r w:rsidR="00311359" w:rsidRPr="008C21E4">
        <w:rPr>
          <w:rFonts w:ascii="Arial" w:hAnsi="Arial" w:cs="Arial"/>
          <w:sz w:val="22"/>
          <w:szCs w:val="22"/>
          <w:lang w:val="es-ES"/>
        </w:rPr>
        <w:t>o</w:t>
      </w:r>
      <w:r w:rsidR="00B55A51" w:rsidRPr="008C21E4">
        <w:rPr>
          <w:rFonts w:ascii="Arial" w:hAnsi="Arial" w:cs="Arial"/>
          <w:sz w:val="22"/>
          <w:szCs w:val="22"/>
          <w:lang w:val="es-ES"/>
        </w:rPr>
        <w:t xml:space="preserve"> para cosechar los beneficios</w:t>
      </w:r>
      <w:r w:rsidR="00FD5CE1" w:rsidRPr="008C21E4">
        <w:rPr>
          <w:rFonts w:ascii="Arial" w:hAnsi="Arial" w:cs="Arial"/>
          <w:sz w:val="22"/>
          <w:szCs w:val="22"/>
          <w:lang w:val="es-ES"/>
        </w:rPr>
        <w:t xml:space="preserve"> y que tendrá que asumir el </w:t>
      </w:r>
      <w:r w:rsidR="00E6546E" w:rsidRPr="00837513">
        <w:rPr>
          <w:rFonts w:ascii="Arial" w:hAnsi="Arial" w:cs="Arial"/>
          <w:sz w:val="22"/>
          <w:szCs w:val="22"/>
          <w:lang w:val="es-ES"/>
        </w:rPr>
        <w:t xml:space="preserve">Municipio de </w:t>
      </w:r>
      <w:r w:rsidR="006B28B6" w:rsidRPr="00837513">
        <w:rPr>
          <w:rFonts w:ascii="Arial" w:hAnsi="Arial" w:cs="Arial"/>
          <w:sz w:val="22"/>
          <w:szCs w:val="22"/>
          <w:lang w:val="es-ES"/>
        </w:rPr>
        <w:t>Belo Horizonte</w:t>
      </w:r>
      <w:r w:rsidR="006A4084" w:rsidRPr="008C21E4">
        <w:rPr>
          <w:rFonts w:ascii="Arial" w:hAnsi="Arial" w:cs="Arial"/>
          <w:sz w:val="22"/>
          <w:szCs w:val="22"/>
          <w:lang w:val="es-ES"/>
        </w:rPr>
        <w:t xml:space="preserve"> </w:t>
      </w:r>
      <w:r w:rsidR="00FD5CE1" w:rsidRPr="008C21E4">
        <w:rPr>
          <w:rFonts w:ascii="Arial" w:hAnsi="Arial" w:cs="Arial"/>
          <w:sz w:val="22"/>
          <w:szCs w:val="22"/>
          <w:lang w:val="es-ES"/>
        </w:rPr>
        <w:t xml:space="preserve">una vez que se haya concluido </w:t>
      </w:r>
      <w:r w:rsidR="006B28B6" w:rsidRPr="008C21E4">
        <w:rPr>
          <w:rFonts w:ascii="Arial" w:hAnsi="Arial" w:cs="Arial"/>
          <w:sz w:val="22"/>
          <w:szCs w:val="22"/>
          <w:lang w:val="es-ES"/>
        </w:rPr>
        <w:t>Mejor Salud BH</w:t>
      </w:r>
      <w:r w:rsidR="00FD5CE1" w:rsidRPr="008C21E4">
        <w:rPr>
          <w:rFonts w:ascii="Arial" w:hAnsi="Arial" w:cs="Arial"/>
          <w:sz w:val="22"/>
          <w:szCs w:val="22"/>
          <w:lang w:val="es-ES"/>
        </w:rPr>
        <w:t xml:space="preserve">. Esto </w:t>
      </w:r>
      <w:r w:rsidR="00701977" w:rsidRPr="008C21E4">
        <w:rPr>
          <w:rFonts w:ascii="Arial" w:hAnsi="Arial" w:cs="Arial"/>
          <w:sz w:val="22"/>
          <w:szCs w:val="22"/>
          <w:lang w:val="es-ES"/>
        </w:rPr>
        <w:t>incluye,</w:t>
      </w:r>
      <w:r w:rsidR="00FD5CE1" w:rsidRPr="008C21E4">
        <w:rPr>
          <w:rFonts w:ascii="Arial" w:hAnsi="Arial" w:cs="Arial"/>
          <w:sz w:val="22"/>
          <w:szCs w:val="22"/>
          <w:lang w:val="es-ES"/>
        </w:rPr>
        <w:t xml:space="preserve"> </w:t>
      </w:r>
      <w:r w:rsidR="00B55A51" w:rsidRPr="008C21E4">
        <w:rPr>
          <w:rFonts w:ascii="Arial" w:hAnsi="Arial" w:cs="Arial"/>
          <w:sz w:val="22"/>
          <w:szCs w:val="22"/>
          <w:lang w:val="es-ES"/>
        </w:rPr>
        <w:t>por ejemplo, mantenimiento del equipo hospitalario, rec</w:t>
      </w:r>
      <w:r w:rsidR="00FD5CE1" w:rsidRPr="008C21E4">
        <w:rPr>
          <w:rFonts w:ascii="Arial" w:hAnsi="Arial" w:cs="Arial"/>
          <w:sz w:val="22"/>
          <w:szCs w:val="22"/>
          <w:lang w:val="es-ES"/>
        </w:rPr>
        <w:t>ursos humanos e insumos médicos</w:t>
      </w:r>
      <w:r w:rsidR="00B55A51" w:rsidRPr="008C21E4">
        <w:rPr>
          <w:rFonts w:ascii="Arial" w:hAnsi="Arial" w:cs="Arial"/>
          <w:sz w:val="22"/>
          <w:szCs w:val="22"/>
          <w:lang w:val="es-ES"/>
        </w:rPr>
        <w:t>.</w:t>
      </w:r>
      <w:r w:rsidR="005C665C" w:rsidRPr="008C21E4">
        <w:rPr>
          <w:rFonts w:ascii="Arial" w:hAnsi="Arial" w:cs="Arial"/>
          <w:sz w:val="22"/>
          <w:szCs w:val="22"/>
          <w:lang w:val="es-ES"/>
        </w:rPr>
        <w:t xml:space="preserve"> </w:t>
      </w:r>
    </w:p>
    <w:p w14:paraId="3B3E420B" w14:textId="4F1182E9" w:rsidR="002F5E0E" w:rsidRPr="00E30DE8" w:rsidRDefault="002F5E0E" w:rsidP="001025F1">
      <w:pPr>
        <w:spacing w:before="120" w:after="100" w:afterAutospacing="1"/>
        <w:jc w:val="both"/>
        <w:rPr>
          <w:rFonts w:ascii="Arial" w:hAnsi="Arial" w:cs="Arial"/>
          <w:sz w:val="22"/>
          <w:szCs w:val="22"/>
          <w:lang w:val="es-ES"/>
        </w:rPr>
      </w:pPr>
      <w:r w:rsidRPr="008C21E4">
        <w:rPr>
          <w:rFonts w:ascii="Arial" w:hAnsi="Arial" w:cs="Arial"/>
          <w:sz w:val="22"/>
          <w:szCs w:val="22"/>
          <w:lang w:val="es-ES"/>
        </w:rPr>
        <w:t xml:space="preserve">El análisis económico indica que los beneficios del proyecto exceden los costos. La razón entre los beneficios y costos es de </w:t>
      </w:r>
      <w:r w:rsidR="00416743">
        <w:rPr>
          <w:rFonts w:ascii="Arial" w:hAnsi="Arial" w:cs="Arial"/>
          <w:sz w:val="22"/>
          <w:szCs w:val="22"/>
          <w:lang w:val="es-ES"/>
        </w:rPr>
        <w:t>1</w:t>
      </w:r>
      <w:r w:rsidR="00B67B52" w:rsidRPr="008C21E4">
        <w:rPr>
          <w:rFonts w:ascii="Arial" w:hAnsi="Arial" w:cs="Arial"/>
          <w:sz w:val="22"/>
          <w:szCs w:val="22"/>
          <w:lang w:val="es-ES"/>
        </w:rPr>
        <w:t>,</w:t>
      </w:r>
      <w:r w:rsidR="00416743">
        <w:rPr>
          <w:rFonts w:ascii="Arial" w:hAnsi="Arial" w:cs="Arial"/>
          <w:sz w:val="22"/>
          <w:szCs w:val="22"/>
          <w:lang w:val="es-ES"/>
        </w:rPr>
        <w:t>39</w:t>
      </w:r>
      <w:r w:rsidR="00634066" w:rsidRPr="008C21E4">
        <w:rPr>
          <w:rFonts w:ascii="Arial" w:hAnsi="Arial" w:cs="Arial"/>
          <w:sz w:val="22"/>
          <w:szCs w:val="22"/>
          <w:lang w:val="es-ES"/>
        </w:rPr>
        <w:t xml:space="preserve"> </w:t>
      </w:r>
      <w:r w:rsidRPr="008C21E4">
        <w:rPr>
          <w:rFonts w:ascii="Arial" w:hAnsi="Arial" w:cs="Arial"/>
          <w:sz w:val="22"/>
          <w:szCs w:val="22"/>
          <w:lang w:val="es-ES"/>
        </w:rPr>
        <w:t>cuando se considera</w:t>
      </w:r>
      <w:r w:rsidR="001E57DE" w:rsidRPr="008C21E4">
        <w:rPr>
          <w:rFonts w:ascii="Arial" w:hAnsi="Arial" w:cs="Arial"/>
          <w:sz w:val="22"/>
          <w:szCs w:val="22"/>
          <w:lang w:val="es-ES"/>
        </w:rPr>
        <w:t xml:space="preserve"> un horizonte de tiempo de cinco años (201</w:t>
      </w:r>
      <w:r w:rsidR="00C344AA" w:rsidRPr="008C21E4">
        <w:rPr>
          <w:rFonts w:ascii="Arial" w:hAnsi="Arial" w:cs="Arial"/>
          <w:sz w:val="22"/>
          <w:szCs w:val="22"/>
          <w:lang w:val="es-ES"/>
        </w:rPr>
        <w:t>9</w:t>
      </w:r>
      <w:r w:rsidR="001E57DE" w:rsidRPr="008C21E4">
        <w:rPr>
          <w:rFonts w:ascii="Arial" w:hAnsi="Arial" w:cs="Arial"/>
          <w:sz w:val="22"/>
          <w:szCs w:val="22"/>
          <w:lang w:val="es-ES"/>
        </w:rPr>
        <w:t>-202</w:t>
      </w:r>
      <w:r w:rsidR="00701977" w:rsidRPr="008C21E4">
        <w:rPr>
          <w:rFonts w:ascii="Arial" w:hAnsi="Arial" w:cs="Arial"/>
          <w:sz w:val="22"/>
          <w:szCs w:val="22"/>
          <w:lang w:val="es-ES"/>
        </w:rPr>
        <w:t>3</w:t>
      </w:r>
      <w:r w:rsidR="001E57DE" w:rsidRPr="008C21E4">
        <w:rPr>
          <w:rFonts w:ascii="Arial" w:hAnsi="Arial" w:cs="Arial"/>
          <w:sz w:val="22"/>
          <w:szCs w:val="22"/>
          <w:lang w:val="es-ES"/>
        </w:rPr>
        <w:t>) y</w:t>
      </w:r>
      <w:r w:rsidRPr="008C21E4">
        <w:rPr>
          <w:rFonts w:ascii="Arial" w:hAnsi="Arial" w:cs="Arial"/>
          <w:sz w:val="22"/>
          <w:szCs w:val="22"/>
          <w:lang w:val="es-ES"/>
        </w:rPr>
        <w:t xml:space="preserve"> un escenario conservador. Este escenario supone que el </w:t>
      </w:r>
      <w:r w:rsidR="00C344AA" w:rsidRPr="008C21E4">
        <w:rPr>
          <w:rFonts w:ascii="Arial" w:hAnsi="Arial" w:cs="Arial"/>
          <w:sz w:val="22"/>
          <w:szCs w:val="22"/>
          <w:lang w:val="es-ES"/>
        </w:rPr>
        <w:t xml:space="preserve">Mejor Salud BH </w:t>
      </w:r>
      <w:r w:rsidRPr="008C21E4">
        <w:rPr>
          <w:rFonts w:ascii="Arial" w:hAnsi="Arial" w:cs="Arial"/>
          <w:sz w:val="22"/>
          <w:szCs w:val="22"/>
          <w:lang w:val="es-ES"/>
        </w:rPr>
        <w:t xml:space="preserve">aumenta la cobertura efectiva de manera media y utiliza un vector de gradualidad regular en el que los beneficios se alcanzan gradualmente y en </w:t>
      </w:r>
      <w:r w:rsidR="002B1C3A" w:rsidRPr="00E30DE8">
        <w:rPr>
          <w:rFonts w:ascii="Arial" w:hAnsi="Arial" w:cs="Arial"/>
          <w:sz w:val="22"/>
          <w:szCs w:val="22"/>
          <w:lang w:val="es-ES"/>
        </w:rPr>
        <w:t>202</w:t>
      </w:r>
      <w:r w:rsidR="00C344AA" w:rsidRPr="00E30DE8">
        <w:rPr>
          <w:rFonts w:ascii="Arial" w:hAnsi="Arial" w:cs="Arial"/>
          <w:sz w:val="22"/>
          <w:szCs w:val="22"/>
          <w:lang w:val="es-ES"/>
        </w:rPr>
        <w:t>3</w:t>
      </w:r>
      <w:r w:rsidR="002B1C3A" w:rsidRPr="00E30DE8">
        <w:rPr>
          <w:rFonts w:ascii="Arial" w:hAnsi="Arial" w:cs="Arial"/>
          <w:sz w:val="22"/>
          <w:szCs w:val="22"/>
          <w:lang w:val="es-ES"/>
        </w:rPr>
        <w:t xml:space="preserve"> </w:t>
      </w:r>
      <w:r w:rsidRPr="00E30DE8">
        <w:rPr>
          <w:rFonts w:ascii="Arial" w:hAnsi="Arial" w:cs="Arial"/>
          <w:sz w:val="22"/>
          <w:szCs w:val="22"/>
          <w:lang w:val="es-ES"/>
        </w:rPr>
        <w:t xml:space="preserve">solo se alcanza el </w:t>
      </w:r>
      <w:r w:rsidR="00E006C6">
        <w:rPr>
          <w:rFonts w:ascii="Arial" w:hAnsi="Arial" w:cs="Arial"/>
          <w:sz w:val="22"/>
          <w:szCs w:val="22"/>
          <w:lang w:val="es-ES"/>
        </w:rPr>
        <w:t>40</w:t>
      </w:r>
      <w:r w:rsidRPr="00E30DE8">
        <w:rPr>
          <w:rFonts w:ascii="Arial" w:hAnsi="Arial" w:cs="Arial"/>
          <w:sz w:val="22"/>
          <w:szCs w:val="22"/>
          <w:lang w:val="es-ES"/>
        </w:rPr>
        <w:t>% de los beneficios potenciales de cobertura efectiva.</w:t>
      </w:r>
    </w:p>
    <w:p w14:paraId="12CBD51D" w14:textId="31B9AC77" w:rsidR="00FB524D" w:rsidRPr="008C21E4" w:rsidRDefault="002F5E0E" w:rsidP="00FB524D">
      <w:pPr>
        <w:spacing w:before="120" w:after="100" w:afterAutospacing="1"/>
        <w:jc w:val="both"/>
        <w:rPr>
          <w:rFonts w:ascii="Arial" w:hAnsi="Arial" w:cs="Arial"/>
          <w:sz w:val="22"/>
          <w:szCs w:val="22"/>
          <w:lang w:val="es-ES"/>
        </w:rPr>
      </w:pPr>
      <w:r w:rsidRPr="008C21E4">
        <w:rPr>
          <w:rFonts w:ascii="Arial" w:hAnsi="Arial" w:cs="Arial"/>
          <w:sz w:val="22"/>
          <w:szCs w:val="22"/>
          <w:lang w:val="es-ES"/>
        </w:rPr>
        <w:t>De manera complementaria se presenta un análisis con un horizo</w:t>
      </w:r>
      <w:r w:rsidR="00E84948" w:rsidRPr="008C21E4">
        <w:rPr>
          <w:rFonts w:ascii="Arial" w:hAnsi="Arial" w:cs="Arial"/>
          <w:sz w:val="22"/>
          <w:szCs w:val="22"/>
          <w:lang w:val="es-ES"/>
        </w:rPr>
        <w:t>nte de análisis más prolongado</w:t>
      </w:r>
      <w:r w:rsidR="00247A82" w:rsidRPr="008C21E4">
        <w:rPr>
          <w:rFonts w:ascii="Arial" w:hAnsi="Arial" w:cs="Arial"/>
          <w:sz w:val="22"/>
          <w:szCs w:val="22"/>
          <w:lang w:val="es-ES"/>
        </w:rPr>
        <w:t xml:space="preserve"> (201</w:t>
      </w:r>
      <w:r w:rsidR="001B19BD" w:rsidRPr="008C21E4">
        <w:rPr>
          <w:rFonts w:ascii="Arial" w:hAnsi="Arial" w:cs="Arial"/>
          <w:sz w:val="22"/>
          <w:szCs w:val="22"/>
          <w:lang w:val="es-ES"/>
        </w:rPr>
        <w:t>9</w:t>
      </w:r>
      <w:r w:rsidR="00247A82" w:rsidRPr="008C21E4">
        <w:rPr>
          <w:rFonts w:ascii="Arial" w:hAnsi="Arial" w:cs="Arial"/>
          <w:sz w:val="22"/>
          <w:szCs w:val="22"/>
          <w:lang w:val="es-ES"/>
        </w:rPr>
        <w:t>-202</w:t>
      </w:r>
      <w:r w:rsidR="007C6AD3" w:rsidRPr="008C21E4">
        <w:rPr>
          <w:rFonts w:ascii="Arial" w:hAnsi="Arial" w:cs="Arial"/>
          <w:sz w:val="22"/>
          <w:szCs w:val="22"/>
          <w:lang w:val="es-ES"/>
        </w:rPr>
        <w:t>8</w:t>
      </w:r>
      <w:r w:rsidR="001E57DE" w:rsidRPr="008C21E4">
        <w:rPr>
          <w:rFonts w:ascii="Arial" w:hAnsi="Arial" w:cs="Arial"/>
          <w:sz w:val="22"/>
          <w:szCs w:val="22"/>
          <w:lang w:val="es-ES"/>
        </w:rPr>
        <w:t>)</w:t>
      </w:r>
      <w:r w:rsidR="00E84948" w:rsidRPr="008C21E4">
        <w:rPr>
          <w:rFonts w:ascii="Arial" w:hAnsi="Arial" w:cs="Arial"/>
          <w:sz w:val="22"/>
          <w:szCs w:val="22"/>
          <w:lang w:val="es-ES"/>
        </w:rPr>
        <w:t xml:space="preserve"> con la intención de reflejar que el 100% de los beneficios potenciales se observarán después del periodo de desembolso. Para realizar este análisis se considera que una vez concluidos los desembolsos del </w:t>
      </w:r>
      <w:r w:rsidR="001B19BD" w:rsidRPr="008C21E4">
        <w:rPr>
          <w:rFonts w:ascii="Arial" w:hAnsi="Arial" w:cs="Arial"/>
          <w:sz w:val="22"/>
          <w:szCs w:val="22"/>
          <w:lang w:val="es-ES"/>
        </w:rPr>
        <w:t>Mejor Salud BH, e</w:t>
      </w:r>
      <w:r w:rsidR="00E84948" w:rsidRPr="008C21E4">
        <w:rPr>
          <w:rFonts w:ascii="Arial" w:hAnsi="Arial" w:cs="Arial"/>
          <w:sz w:val="22"/>
          <w:szCs w:val="22"/>
          <w:lang w:val="es-ES"/>
        </w:rPr>
        <w:t xml:space="preserve">l </w:t>
      </w:r>
      <w:r w:rsidR="007C6AD3" w:rsidRPr="008C21E4">
        <w:rPr>
          <w:rFonts w:ascii="Arial" w:hAnsi="Arial" w:cs="Arial"/>
          <w:sz w:val="22"/>
          <w:szCs w:val="22"/>
          <w:lang w:val="es-ES"/>
        </w:rPr>
        <w:t xml:space="preserve">Municipio de </w:t>
      </w:r>
      <w:r w:rsidR="001B19BD" w:rsidRPr="008C21E4">
        <w:rPr>
          <w:rFonts w:ascii="Arial" w:hAnsi="Arial" w:cs="Arial"/>
          <w:sz w:val="22"/>
          <w:szCs w:val="22"/>
          <w:lang w:val="es-ES"/>
        </w:rPr>
        <w:t xml:space="preserve">Belo Horizonte </w:t>
      </w:r>
      <w:r w:rsidR="00E84948" w:rsidRPr="008C21E4">
        <w:rPr>
          <w:rFonts w:ascii="Arial" w:hAnsi="Arial" w:cs="Arial"/>
          <w:sz w:val="22"/>
          <w:szCs w:val="22"/>
          <w:lang w:val="es-ES"/>
        </w:rPr>
        <w:t xml:space="preserve">deberá asumir los costos de mantenimiento, recursos humanos e insumos para mantener la infraestructura de </w:t>
      </w:r>
      <w:r w:rsidR="001B19BD" w:rsidRPr="008C21E4">
        <w:rPr>
          <w:rFonts w:ascii="Arial" w:hAnsi="Arial" w:cs="Arial"/>
          <w:sz w:val="22"/>
          <w:szCs w:val="22"/>
          <w:lang w:val="es-ES"/>
        </w:rPr>
        <w:t>Mejor Salud BH</w:t>
      </w:r>
      <w:r w:rsidR="00E84948" w:rsidRPr="008C21E4">
        <w:rPr>
          <w:rFonts w:ascii="Arial" w:hAnsi="Arial" w:cs="Arial"/>
          <w:sz w:val="22"/>
          <w:szCs w:val="22"/>
          <w:lang w:val="es-ES"/>
        </w:rPr>
        <w:t xml:space="preserve">. En este </w:t>
      </w:r>
      <w:r w:rsidR="00FA634F" w:rsidRPr="008C21E4">
        <w:rPr>
          <w:rFonts w:ascii="Arial" w:hAnsi="Arial" w:cs="Arial"/>
          <w:sz w:val="22"/>
          <w:szCs w:val="22"/>
          <w:lang w:val="es-ES"/>
        </w:rPr>
        <w:t xml:space="preserve">sentido se incluye un costo de </w:t>
      </w:r>
      <w:r w:rsidR="00E006C6">
        <w:rPr>
          <w:rFonts w:ascii="Arial" w:hAnsi="Arial" w:cs="Arial"/>
          <w:sz w:val="22"/>
          <w:szCs w:val="22"/>
          <w:lang w:val="es-ES"/>
        </w:rPr>
        <w:t>23</w:t>
      </w:r>
      <w:r w:rsidR="00E84948" w:rsidRPr="008C21E4">
        <w:rPr>
          <w:rFonts w:ascii="Arial" w:hAnsi="Arial" w:cs="Arial"/>
          <w:sz w:val="22"/>
          <w:szCs w:val="22"/>
          <w:lang w:val="es-ES"/>
        </w:rPr>
        <w:t xml:space="preserve"> millones </w:t>
      </w:r>
      <w:r w:rsidR="00EC72F6" w:rsidRPr="008C21E4">
        <w:rPr>
          <w:rFonts w:ascii="Arial" w:hAnsi="Arial" w:cs="Arial"/>
          <w:sz w:val="22"/>
          <w:szCs w:val="22"/>
          <w:lang w:val="es-ES"/>
        </w:rPr>
        <w:t xml:space="preserve">de dólares </w:t>
      </w:r>
      <w:r w:rsidR="00E84948" w:rsidRPr="008C21E4">
        <w:rPr>
          <w:rFonts w:ascii="Arial" w:hAnsi="Arial" w:cs="Arial"/>
          <w:sz w:val="22"/>
          <w:szCs w:val="22"/>
          <w:lang w:val="es-ES"/>
        </w:rPr>
        <w:t>anuales entre 202</w:t>
      </w:r>
      <w:r w:rsidR="007C6AD3" w:rsidRPr="008C21E4">
        <w:rPr>
          <w:rFonts w:ascii="Arial" w:hAnsi="Arial" w:cs="Arial"/>
          <w:sz w:val="22"/>
          <w:szCs w:val="22"/>
          <w:lang w:val="es-ES"/>
        </w:rPr>
        <w:t>4</w:t>
      </w:r>
      <w:r w:rsidR="00E84948" w:rsidRPr="008C21E4">
        <w:rPr>
          <w:rFonts w:ascii="Arial" w:hAnsi="Arial" w:cs="Arial"/>
          <w:sz w:val="22"/>
          <w:szCs w:val="22"/>
          <w:lang w:val="es-ES"/>
        </w:rPr>
        <w:t xml:space="preserve"> y 202</w:t>
      </w:r>
      <w:r w:rsidR="007C6AD3" w:rsidRPr="008C21E4">
        <w:rPr>
          <w:rFonts w:ascii="Arial" w:hAnsi="Arial" w:cs="Arial"/>
          <w:sz w:val="22"/>
          <w:szCs w:val="22"/>
          <w:lang w:val="es-ES"/>
        </w:rPr>
        <w:t>8</w:t>
      </w:r>
      <w:r w:rsidR="00E84948" w:rsidRPr="008C21E4">
        <w:rPr>
          <w:rFonts w:ascii="Arial" w:hAnsi="Arial" w:cs="Arial"/>
          <w:sz w:val="22"/>
          <w:szCs w:val="22"/>
          <w:lang w:val="es-ES"/>
        </w:rPr>
        <w:t xml:space="preserve">. </w:t>
      </w:r>
      <w:r w:rsidR="007C6AD3" w:rsidRPr="008C21E4">
        <w:rPr>
          <w:rFonts w:ascii="Arial" w:hAnsi="Arial" w:cs="Arial"/>
          <w:sz w:val="22"/>
          <w:szCs w:val="22"/>
          <w:lang w:val="es-ES"/>
        </w:rPr>
        <w:t>Aun</w:t>
      </w:r>
      <w:r w:rsidR="00E84948" w:rsidRPr="008C21E4">
        <w:rPr>
          <w:rFonts w:ascii="Arial" w:hAnsi="Arial" w:cs="Arial"/>
          <w:sz w:val="22"/>
          <w:szCs w:val="22"/>
          <w:lang w:val="es-ES"/>
        </w:rPr>
        <w:t xml:space="preserve"> considerando este sobrecosto, los beneficios del </w:t>
      </w:r>
      <w:r w:rsidR="00C97A2B">
        <w:rPr>
          <w:rFonts w:ascii="Arial" w:hAnsi="Arial" w:cs="Arial"/>
          <w:sz w:val="22"/>
          <w:szCs w:val="22"/>
          <w:lang w:val="es-ES"/>
        </w:rPr>
        <w:t>Mejor Salud BH</w:t>
      </w:r>
      <w:r w:rsidR="00E84948" w:rsidRPr="008C21E4">
        <w:rPr>
          <w:rFonts w:ascii="Arial" w:hAnsi="Arial" w:cs="Arial"/>
          <w:sz w:val="22"/>
          <w:szCs w:val="22"/>
          <w:lang w:val="es-ES"/>
        </w:rPr>
        <w:t xml:space="preserve"> superan los costos y la razón entre los beneficios y los costos en el mismo escenario conservador es de </w:t>
      </w:r>
      <w:r w:rsidR="00416743">
        <w:rPr>
          <w:rFonts w:ascii="Arial" w:hAnsi="Arial" w:cs="Arial"/>
          <w:sz w:val="22"/>
          <w:szCs w:val="22"/>
          <w:lang w:val="es-ES"/>
        </w:rPr>
        <w:t>3</w:t>
      </w:r>
      <w:r w:rsidR="00E006C6">
        <w:rPr>
          <w:rFonts w:ascii="Arial" w:hAnsi="Arial" w:cs="Arial"/>
          <w:sz w:val="22"/>
          <w:szCs w:val="22"/>
          <w:lang w:val="es-ES"/>
        </w:rPr>
        <w:t>,</w:t>
      </w:r>
      <w:r w:rsidR="00416743">
        <w:rPr>
          <w:rFonts w:ascii="Arial" w:hAnsi="Arial" w:cs="Arial"/>
          <w:sz w:val="22"/>
          <w:szCs w:val="22"/>
          <w:lang w:val="es-ES"/>
        </w:rPr>
        <w:t>06</w:t>
      </w:r>
      <w:r w:rsidR="00E84948" w:rsidRPr="008C21E4">
        <w:rPr>
          <w:rFonts w:ascii="Arial" w:hAnsi="Arial" w:cs="Arial"/>
          <w:sz w:val="22"/>
          <w:szCs w:val="22"/>
          <w:lang w:val="es-ES"/>
        </w:rPr>
        <w:t>.</w:t>
      </w:r>
    </w:p>
    <w:p w14:paraId="4BD33BD9" w14:textId="30BB7182" w:rsidR="00DA23EC" w:rsidRPr="008C21E4" w:rsidRDefault="00BB436F" w:rsidP="00FB524D">
      <w:pPr>
        <w:spacing w:before="120" w:after="100" w:afterAutospacing="1"/>
        <w:jc w:val="both"/>
        <w:rPr>
          <w:rFonts w:ascii="Arial" w:hAnsi="Arial" w:cs="Arial"/>
          <w:sz w:val="22"/>
          <w:szCs w:val="22"/>
          <w:highlight w:val="yellow"/>
          <w:lang w:val="es-ES"/>
        </w:rPr>
      </w:pPr>
      <w:r w:rsidRPr="008C21E4">
        <w:rPr>
          <w:rFonts w:ascii="Arial" w:hAnsi="Arial" w:cs="Arial"/>
          <w:sz w:val="22"/>
          <w:szCs w:val="22"/>
          <w:lang w:val="es-ES"/>
        </w:rPr>
        <w:t xml:space="preserve">El documento </w:t>
      </w:r>
      <w:r w:rsidR="00C676BF" w:rsidRPr="008C21E4">
        <w:rPr>
          <w:rFonts w:ascii="Arial" w:hAnsi="Arial" w:cs="Arial"/>
          <w:sz w:val="22"/>
          <w:szCs w:val="22"/>
          <w:lang w:val="es-ES"/>
        </w:rPr>
        <w:t>está</w:t>
      </w:r>
      <w:r w:rsidRPr="008C21E4">
        <w:rPr>
          <w:rFonts w:ascii="Arial" w:hAnsi="Arial" w:cs="Arial"/>
          <w:sz w:val="22"/>
          <w:szCs w:val="22"/>
          <w:lang w:val="es-ES"/>
        </w:rPr>
        <w:t xml:space="preserve"> organiza</w:t>
      </w:r>
      <w:r w:rsidR="00C676BF" w:rsidRPr="008C21E4">
        <w:rPr>
          <w:rFonts w:ascii="Arial" w:hAnsi="Arial" w:cs="Arial"/>
          <w:sz w:val="22"/>
          <w:szCs w:val="22"/>
          <w:lang w:val="es-ES"/>
        </w:rPr>
        <w:t>do</w:t>
      </w:r>
      <w:r w:rsidRPr="008C21E4">
        <w:rPr>
          <w:rFonts w:ascii="Arial" w:hAnsi="Arial" w:cs="Arial"/>
          <w:sz w:val="22"/>
          <w:szCs w:val="22"/>
          <w:lang w:val="es-ES"/>
        </w:rPr>
        <w:t xml:space="preserve"> en </w:t>
      </w:r>
      <w:r w:rsidR="004C5824" w:rsidRPr="008C21E4">
        <w:rPr>
          <w:rFonts w:ascii="Arial" w:hAnsi="Arial" w:cs="Arial"/>
          <w:sz w:val="22"/>
          <w:szCs w:val="22"/>
          <w:lang w:val="es-ES"/>
        </w:rPr>
        <w:t>dos</w:t>
      </w:r>
      <w:r w:rsidR="00FC2B5D" w:rsidRPr="008C21E4">
        <w:rPr>
          <w:rFonts w:ascii="Arial" w:hAnsi="Arial" w:cs="Arial"/>
          <w:sz w:val="22"/>
          <w:szCs w:val="22"/>
          <w:lang w:val="es-ES"/>
        </w:rPr>
        <w:t xml:space="preserve"> </w:t>
      </w:r>
      <w:r w:rsidRPr="008C21E4">
        <w:rPr>
          <w:rFonts w:ascii="Arial" w:hAnsi="Arial" w:cs="Arial"/>
          <w:sz w:val="22"/>
          <w:szCs w:val="22"/>
          <w:lang w:val="es-ES"/>
        </w:rPr>
        <w:t>secciones. La primera</w:t>
      </w:r>
      <w:r w:rsidR="00DA23EC" w:rsidRPr="008C21E4">
        <w:rPr>
          <w:rFonts w:ascii="Arial" w:hAnsi="Arial" w:cs="Arial"/>
          <w:sz w:val="22"/>
          <w:szCs w:val="22"/>
          <w:lang w:val="es-ES"/>
        </w:rPr>
        <w:t xml:space="preserve"> presenta una descripción del </w:t>
      </w:r>
      <w:r w:rsidRPr="008C21E4">
        <w:rPr>
          <w:rFonts w:ascii="Arial" w:hAnsi="Arial" w:cs="Arial"/>
          <w:sz w:val="22"/>
          <w:szCs w:val="22"/>
          <w:lang w:val="es-ES"/>
        </w:rPr>
        <w:t xml:space="preserve">proyecto </w:t>
      </w:r>
      <w:r w:rsidR="00C676BF" w:rsidRPr="008C21E4">
        <w:rPr>
          <w:rFonts w:ascii="Arial" w:hAnsi="Arial" w:cs="Arial"/>
          <w:sz w:val="22"/>
          <w:szCs w:val="22"/>
          <w:lang w:val="es-ES"/>
        </w:rPr>
        <w:t>mientras que</w:t>
      </w:r>
      <w:r w:rsidR="00311359" w:rsidRPr="008C21E4">
        <w:rPr>
          <w:rFonts w:ascii="Arial" w:hAnsi="Arial" w:cs="Arial"/>
          <w:sz w:val="22"/>
          <w:szCs w:val="22"/>
          <w:lang w:val="es-ES"/>
        </w:rPr>
        <w:t xml:space="preserve"> l</w:t>
      </w:r>
      <w:r w:rsidRPr="008C21E4">
        <w:rPr>
          <w:rFonts w:ascii="Arial" w:hAnsi="Arial" w:cs="Arial"/>
          <w:sz w:val="22"/>
          <w:szCs w:val="22"/>
          <w:lang w:val="es-ES"/>
        </w:rPr>
        <w:t xml:space="preserve">a segunda desarrolla </w:t>
      </w:r>
      <w:r w:rsidR="00013136" w:rsidRPr="008C21E4">
        <w:rPr>
          <w:rFonts w:ascii="Arial" w:hAnsi="Arial" w:cs="Arial"/>
          <w:sz w:val="22"/>
          <w:szCs w:val="22"/>
          <w:lang w:val="es-ES"/>
        </w:rPr>
        <w:t>los resultados d</w:t>
      </w:r>
      <w:r w:rsidRPr="008C21E4">
        <w:rPr>
          <w:rFonts w:ascii="Arial" w:hAnsi="Arial" w:cs="Arial"/>
          <w:sz w:val="22"/>
          <w:szCs w:val="22"/>
          <w:lang w:val="es-ES"/>
        </w:rPr>
        <w:t xml:space="preserve">el análisis </w:t>
      </w:r>
      <w:r w:rsidR="00AB57E7" w:rsidRPr="008C21E4">
        <w:rPr>
          <w:rFonts w:ascii="Arial" w:hAnsi="Arial" w:cs="Arial"/>
          <w:sz w:val="22"/>
          <w:szCs w:val="22"/>
          <w:lang w:val="es-ES"/>
        </w:rPr>
        <w:t>económico del proyecto</w:t>
      </w:r>
      <w:r w:rsidRPr="008C21E4">
        <w:rPr>
          <w:rFonts w:ascii="Arial" w:hAnsi="Arial" w:cs="Arial"/>
          <w:sz w:val="22"/>
          <w:szCs w:val="22"/>
          <w:lang w:val="es-ES"/>
        </w:rPr>
        <w:t>.</w:t>
      </w:r>
      <w:r w:rsidR="00361A79" w:rsidRPr="008C21E4">
        <w:rPr>
          <w:rFonts w:ascii="Arial" w:hAnsi="Arial" w:cs="Arial"/>
          <w:sz w:val="22"/>
          <w:szCs w:val="22"/>
          <w:lang w:val="es-ES"/>
        </w:rPr>
        <w:t xml:space="preserve"> </w:t>
      </w:r>
    </w:p>
    <w:p w14:paraId="01ABDDDC" w14:textId="77777777" w:rsidR="008A14AC" w:rsidRDefault="008A14AC" w:rsidP="00216A0C">
      <w:pPr>
        <w:jc w:val="both"/>
        <w:rPr>
          <w:rFonts w:ascii="Arial" w:hAnsi="Arial" w:cs="Arial"/>
          <w:sz w:val="22"/>
          <w:szCs w:val="22"/>
          <w:lang w:val="es-ES"/>
        </w:rPr>
      </w:pPr>
    </w:p>
    <w:p w14:paraId="03E0AC50" w14:textId="68BE4F9E" w:rsidR="005D4ACB" w:rsidRDefault="005D4ACB">
      <w:pPr>
        <w:rPr>
          <w:rFonts w:ascii="Arial" w:hAnsi="Arial" w:cs="Arial"/>
          <w:sz w:val="22"/>
          <w:szCs w:val="22"/>
          <w:lang w:val="es-ES"/>
        </w:rPr>
      </w:pPr>
      <w:r>
        <w:rPr>
          <w:rFonts w:ascii="Arial" w:hAnsi="Arial" w:cs="Arial"/>
          <w:sz w:val="22"/>
          <w:szCs w:val="22"/>
          <w:lang w:val="es-ES"/>
        </w:rPr>
        <w:br w:type="page"/>
      </w:r>
    </w:p>
    <w:p w14:paraId="396AF539" w14:textId="4DCD7754" w:rsidR="002356B7" w:rsidRPr="00E44288" w:rsidRDefault="00BB436F" w:rsidP="00E44288">
      <w:pPr>
        <w:pStyle w:val="Heading1"/>
      </w:pPr>
      <w:bookmarkStart w:id="4" w:name="_Toc296257182"/>
      <w:bookmarkStart w:id="5" w:name="_Toc525384013"/>
      <w:r w:rsidRPr="00E44288">
        <w:lastRenderedPageBreak/>
        <w:t>I.</w:t>
      </w:r>
      <w:r w:rsidR="008242ED" w:rsidRPr="00E44288">
        <w:t xml:space="preserve"> </w:t>
      </w:r>
      <w:r w:rsidR="00E44288" w:rsidRPr="00E44288">
        <w:tab/>
      </w:r>
      <w:r w:rsidR="002356B7" w:rsidRPr="00E44288">
        <w:t>Introducción</w:t>
      </w:r>
      <w:r w:rsidR="002356B7" w:rsidRPr="00E44288">
        <w:rPr>
          <w:vertAlign w:val="superscript"/>
        </w:rPr>
        <w:footnoteReference w:id="1"/>
      </w:r>
      <w:bookmarkEnd w:id="4"/>
      <w:bookmarkEnd w:id="5"/>
    </w:p>
    <w:p w14:paraId="0356CC1A" w14:textId="78704FED" w:rsidR="00461FD7" w:rsidRPr="008C21E4" w:rsidRDefault="00D874A4" w:rsidP="00461FD7">
      <w:pPr>
        <w:pStyle w:val="Heading2"/>
      </w:pPr>
      <w:bookmarkStart w:id="6" w:name="_Toc525384014"/>
      <w:bookmarkStart w:id="7" w:name="_Toc389607247"/>
      <w:bookmarkStart w:id="8" w:name="_Toc296257183"/>
      <w:r w:rsidRPr="008C21E4">
        <w:t>A</w:t>
      </w:r>
      <w:r w:rsidR="00461FD7" w:rsidRPr="008C21E4">
        <w:t>.</w:t>
      </w:r>
      <w:r w:rsidR="00461FD7" w:rsidRPr="008C21E4">
        <w:tab/>
      </w:r>
      <w:r w:rsidR="00C97A2B">
        <w:t>Antecedentes de Mejor</w:t>
      </w:r>
      <w:r w:rsidRPr="008C21E4">
        <w:t xml:space="preserve"> Salud </w:t>
      </w:r>
      <w:r w:rsidR="00C97A2B">
        <w:t>BH</w:t>
      </w:r>
      <w:bookmarkEnd w:id="6"/>
    </w:p>
    <w:p w14:paraId="2E2F3525" w14:textId="1D425867" w:rsidR="005C620B" w:rsidRPr="008C21E4" w:rsidRDefault="0098176E" w:rsidP="005C620B">
      <w:pPr>
        <w:jc w:val="both"/>
        <w:rPr>
          <w:rFonts w:ascii="Arial" w:hAnsi="Arial" w:cs="Arial"/>
          <w:sz w:val="22"/>
          <w:szCs w:val="22"/>
          <w:lang w:val="es-ES"/>
        </w:rPr>
      </w:pPr>
      <w:bookmarkStart w:id="9" w:name="_Toc422751911"/>
      <w:bookmarkStart w:id="10" w:name="_Ref285380113"/>
      <w:bookmarkEnd w:id="7"/>
      <w:bookmarkEnd w:id="8"/>
      <w:r w:rsidRPr="008C21E4">
        <w:rPr>
          <w:rFonts w:ascii="Arial" w:hAnsi="Arial" w:cs="Arial"/>
          <w:b/>
          <w:sz w:val="22"/>
          <w:szCs w:val="22"/>
          <w:lang w:val="es-ES"/>
        </w:rPr>
        <w:t>Contexto económico-social.</w:t>
      </w:r>
      <w:r w:rsidRPr="008C21E4">
        <w:rPr>
          <w:rFonts w:ascii="Arial" w:hAnsi="Arial" w:cs="Arial"/>
          <w:sz w:val="22"/>
          <w:szCs w:val="22"/>
          <w:lang w:val="es-ES"/>
        </w:rPr>
        <w:t xml:space="preserve"> Belo Horizonte (BH) tiene una población estimada de 2,5 millones de habitantes y es el cuarto Producto Interno Bruto (PIB) más grande entre los municipios brasileños. La región metropolitana de BH concentra alrededor de 44% del PIB y 28% de la población del Estado de Minas Gerais. A pesar de su gran representatividad económica, BH presenta fuertes disparidades en sus indicadores sociales, con un Índice de Desarrollo Humano Municipal (IDHM) que varía entre 0,955 e 0,5971</w:t>
      </w:r>
      <w:r w:rsidR="00F241B0" w:rsidRPr="008C21E4">
        <w:rPr>
          <w:rStyle w:val="FootnoteReference"/>
          <w:rFonts w:ascii="Arial" w:hAnsi="Arial" w:cs="Arial"/>
          <w:sz w:val="22"/>
          <w:szCs w:val="22"/>
          <w:lang w:val="es-ES"/>
        </w:rPr>
        <w:footnoteReference w:id="2"/>
      </w:r>
      <w:r w:rsidRPr="008C21E4">
        <w:rPr>
          <w:rFonts w:ascii="Arial" w:hAnsi="Arial" w:cs="Arial"/>
          <w:sz w:val="22"/>
          <w:szCs w:val="22"/>
          <w:lang w:val="es-ES"/>
        </w:rPr>
        <w:t>. Asimismo, en términos del Índice</w:t>
      </w:r>
      <w:r w:rsidR="00FB524D" w:rsidRPr="008C21E4">
        <w:rPr>
          <w:rFonts w:ascii="Arial" w:hAnsi="Arial" w:cs="Arial"/>
          <w:sz w:val="22"/>
          <w:szCs w:val="22"/>
          <w:lang w:val="es-ES"/>
        </w:rPr>
        <w:t xml:space="preserve"> de Vulnerabilidad Social (IVS)</w:t>
      </w:r>
      <w:r w:rsidR="00FB524D" w:rsidRPr="008C21E4">
        <w:rPr>
          <w:rStyle w:val="FootnoteReference"/>
          <w:rFonts w:ascii="Arial" w:hAnsi="Arial" w:cs="Arial"/>
          <w:sz w:val="22"/>
          <w:szCs w:val="22"/>
          <w:lang w:val="es-ES"/>
        </w:rPr>
        <w:footnoteReference w:id="3"/>
      </w:r>
      <w:r w:rsidRPr="008C21E4">
        <w:rPr>
          <w:rFonts w:ascii="Arial" w:hAnsi="Arial" w:cs="Arial"/>
          <w:sz w:val="22"/>
          <w:szCs w:val="22"/>
          <w:lang w:val="es-ES"/>
        </w:rPr>
        <w:t>, entre los nueve distritos sanitarios municipales, 47,5% de los hogares del distrito sanitario más vulnerable (norte) tienen elevado o muy elevado IVS, comparado con solamente el 12,8% en el distrito menos vulnerable (noroeste).</w:t>
      </w:r>
    </w:p>
    <w:p w14:paraId="444B95F1" w14:textId="77777777" w:rsidR="0098176E" w:rsidRPr="008C21E4" w:rsidRDefault="0098176E" w:rsidP="005C620B">
      <w:pPr>
        <w:jc w:val="both"/>
        <w:rPr>
          <w:rFonts w:ascii="Arial" w:hAnsi="Arial" w:cs="Arial"/>
          <w:sz w:val="22"/>
          <w:szCs w:val="22"/>
          <w:lang w:val="es-ES"/>
        </w:rPr>
      </w:pPr>
    </w:p>
    <w:p w14:paraId="543514D1" w14:textId="2BD2776A" w:rsidR="00FB524D" w:rsidRPr="008C21E4" w:rsidRDefault="00FB524D" w:rsidP="00FB524D">
      <w:pPr>
        <w:jc w:val="both"/>
        <w:rPr>
          <w:rFonts w:ascii="Arial" w:hAnsi="Arial" w:cs="Arial"/>
          <w:sz w:val="22"/>
          <w:szCs w:val="22"/>
          <w:lang w:val="es-ES"/>
        </w:rPr>
      </w:pPr>
      <w:r w:rsidRPr="008C21E4">
        <w:rPr>
          <w:rFonts w:ascii="Arial" w:hAnsi="Arial" w:cs="Arial"/>
          <w:b/>
          <w:bCs/>
          <w:sz w:val="22"/>
          <w:szCs w:val="22"/>
          <w:lang w:val="es-ES"/>
        </w:rPr>
        <w:t xml:space="preserve">Avances en salud. </w:t>
      </w:r>
      <w:r w:rsidRPr="008C21E4">
        <w:rPr>
          <w:rFonts w:ascii="Arial" w:hAnsi="Arial" w:cs="Arial"/>
          <w:sz w:val="22"/>
          <w:szCs w:val="22"/>
          <w:lang w:val="es-ES"/>
        </w:rPr>
        <w:t>La expectativa de vida en BH subió entre 2000 y 2010 de 72,0 a 76,4 años, por encima del valor para el país (73,3 años). Se ha conseguido reducir la tasa de mortalidad infantil de 34,6 muertes por mil nacidos vivos en 1993 a 9,3 en 2016</w:t>
      </w:r>
      <w:r w:rsidRPr="008C21E4">
        <w:rPr>
          <w:rStyle w:val="FootnoteReference"/>
          <w:rFonts w:ascii="Arial" w:hAnsi="Arial" w:cs="Arial"/>
          <w:sz w:val="22"/>
          <w:szCs w:val="22"/>
          <w:lang w:val="es-ES"/>
        </w:rPr>
        <w:footnoteReference w:id="4"/>
      </w:r>
      <w:r w:rsidRPr="008C21E4">
        <w:rPr>
          <w:rFonts w:ascii="Arial" w:hAnsi="Arial" w:cs="Arial"/>
          <w:sz w:val="22"/>
          <w:szCs w:val="22"/>
          <w:lang w:val="es-ES"/>
        </w:rPr>
        <w:t>. La mortalidad materna también tiende a reducirse, pasando de 92,5 muertes por 100 mil nacidos vivos en 1998 a 37,9 muertes en 2016, pero aún existe espacio para mejorar la atención perinatal en términos de calidad y del acceso de grupos vulnerables</w:t>
      </w:r>
      <w:r w:rsidRPr="008C21E4">
        <w:rPr>
          <w:rStyle w:val="FootnoteReference"/>
          <w:rFonts w:ascii="Arial" w:hAnsi="Arial" w:cs="Arial"/>
          <w:sz w:val="22"/>
          <w:szCs w:val="22"/>
          <w:lang w:val="es-ES"/>
        </w:rPr>
        <w:footnoteReference w:id="5"/>
      </w:r>
      <w:r w:rsidRPr="008C21E4">
        <w:rPr>
          <w:rFonts w:ascii="Arial" w:hAnsi="Arial" w:cs="Arial"/>
          <w:sz w:val="22"/>
          <w:szCs w:val="22"/>
          <w:lang w:val="es-ES"/>
        </w:rPr>
        <w:t xml:space="preserve">. La cobertura de las principales vacunas en menores de un año varía entre 85% a 98%, dentro de los rangos necesarios para el control de epidemias. </w:t>
      </w:r>
    </w:p>
    <w:p w14:paraId="35362CAC" w14:textId="77777777" w:rsidR="00FB524D" w:rsidRPr="008C21E4" w:rsidRDefault="00FB524D" w:rsidP="00FB524D">
      <w:pPr>
        <w:jc w:val="both"/>
        <w:rPr>
          <w:rFonts w:ascii="MS Mincho" w:eastAsia="MS Mincho" w:hAnsi="MS Mincho" w:cs="MS Mincho"/>
          <w:sz w:val="22"/>
          <w:szCs w:val="22"/>
          <w:lang w:val="es-ES"/>
        </w:rPr>
      </w:pPr>
      <w:r w:rsidRPr="008C21E4">
        <w:rPr>
          <w:rFonts w:ascii="Arial" w:hAnsi="Arial" w:cs="Arial"/>
          <w:sz w:val="22"/>
          <w:szCs w:val="22"/>
          <w:lang w:val="es-ES"/>
        </w:rPr>
        <w:t xml:space="preserve"> </w:t>
      </w:r>
    </w:p>
    <w:p w14:paraId="68124438" w14:textId="688B4289" w:rsidR="00112D95" w:rsidRPr="008C21E4" w:rsidRDefault="00112D95" w:rsidP="00112D95">
      <w:pPr>
        <w:jc w:val="both"/>
        <w:rPr>
          <w:rFonts w:ascii="MS Mincho" w:eastAsia="MS Mincho" w:hAnsi="MS Mincho" w:cs="MS Mincho"/>
          <w:sz w:val="22"/>
          <w:szCs w:val="22"/>
          <w:lang w:val="es-ES"/>
        </w:rPr>
      </w:pPr>
      <w:r w:rsidRPr="008C21E4">
        <w:rPr>
          <w:rFonts w:ascii="Arial" w:hAnsi="Arial" w:cs="Arial"/>
          <w:b/>
          <w:bCs/>
          <w:sz w:val="22"/>
          <w:szCs w:val="22"/>
          <w:lang w:val="es-ES"/>
        </w:rPr>
        <w:t xml:space="preserve">Perfil epidemiológico. </w:t>
      </w:r>
      <w:r w:rsidRPr="008C21E4">
        <w:rPr>
          <w:rFonts w:ascii="Arial" w:hAnsi="Arial" w:cs="Arial"/>
          <w:sz w:val="22"/>
          <w:szCs w:val="22"/>
          <w:lang w:val="es-ES"/>
        </w:rPr>
        <w:t>Una consistente reducción en las tasas de natalidad y fecundidad y el incremento en la expectativa de vida está resultando en una población más envejecida. El porcentaje de la población con 65 o más años creció de 4,7% a 8,7% entre 1991 y 2010. Esta rápida transición demográfica viene acompañada por un aumento de las Enfermedades Crónicas No Transmisibles (ECNT) en la carga de morbimortalidad. En 2016 las ECNT fueron responsables de aproximadamente 3 de cada 4 muertes, liderado por enfermedades del aparato circulatorio (23,4%), neoplasias (20,6%), y enfermedades respiratorias (11,0%). Las enfermedades comunicables y materno-infantiles incurren solamente a aproximadamente el 13% de las muertes. Asimismo, las causas externas (accidentes, agresiones, etc.) corresponden al 10% de las muertes</w:t>
      </w:r>
      <w:r w:rsidR="00702E90" w:rsidRPr="008C21E4">
        <w:rPr>
          <w:rStyle w:val="FootnoteReference"/>
          <w:rFonts w:ascii="Arial" w:hAnsi="Arial" w:cs="Arial"/>
          <w:sz w:val="22"/>
          <w:szCs w:val="22"/>
          <w:lang w:val="es-ES"/>
        </w:rPr>
        <w:footnoteReference w:id="6"/>
      </w:r>
      <w:r w:rsidRPr="008C21E4">
        <w:rPr>
          <w:rFonts w:ascii="Arial" w:hAnsi="Arial" w:cs="Arial"/>
          <w:sz w:val="22"/>
          <w:szCs w:val="22"/>
          <w:lang w:val="es-ES"/>
        </w:rPr>
        <w:t xml:space="preserve">. Considerando hospitalizaciones como proxy para morbilidad, entre las condiciones más relevantes del periodo 2012- 2016 se encuentran causas externas, enfermedades del aparato circulatorio y neoplasias, todas con tendencia creciente, así como enfermedades infecciosas causadas, en 2016, por una epidemia de dengue. </w:t>
      </w:r>
      <w:r w:rsidRPr="008C21E4">
        <w:rPr>
          <w:rFonts w:ascii="MS Mincho" w:eastAsia="MS Mincho" w:hAnsi="MS Mincho" w:cs="MS Mincho"/>
          <w:sz w:val="22"/>
          <w:szCs w:val="22"/>
          <w:lang w:val="es-ES"/>
        </w:rPr>
        <w:t> </w:t>
      </w:r>
    </w:p>
    <w:p w14:paraId="3780C6D1" w14:textId="77777777" w:rsidR="00702E90" w:rsidRPr="008C21E4" w:rsidRDefault="00702E90" w:rsidP="00112D95">
      <w:pPr>
        <w:jc w:val="both"/>
        <w:rPr>
          <w:rFonts w:ascii="MS Mincho" w:eastAsia="MS Mincho" w:hAnsi="MS Mincho" w:cs="MS Mincho"/>
          <w:sz w:val="22"/>
          <w:szCs w:val="22"/>
          <w:lang w:val="es-ES"/>
        </w:rPr>
      </w:pPr>
    </w:p>
    <w:p w14:paraId="45558228" w14:textId="723BE722" w:rsidR="00702E90" w:rsidRPr="008C21E4" w:rsidRDefault="00702E90" w:rsidP="00702E90">
      <w:pPr>
        <w:jc w:val="both"/>
        <w:rPr>
          <w:rFonts w:ascii="MS Mincho" w:eastAsia="MS Mincho" w:hAnsi="MS Mincho" w:cs="MS Mincho"/>
          <w:sz w:val="22"/>
          <w:szCs w:val="22"/>
          <w:lang w:val="es-ES"/>
        </w:rPr>
      </w:pPr>
      <w:r w:rsidRPr="008C21E4">
        <w:rPr>
          <w:rFonts w:ascii="Arial" w:hAnsi="Arial" w:cs="Arial"/>
          <w:b/>
          <w:bCs/>
          <w:sz w:val="22"/>
          <w:szCs w:val="22"/>
          <w:lang w:val="es-ES"/>
        </w:rPr>
        <w:t xml:space="preserve">Los desafíos de salud. </w:t>
      </w:r>
      <w:r w:rsidRPr="008C21E4">
        <w:rPr>
          <w:rFonts w:ascii="Arial" w:hAnsi="Arial" w:cs="Arial"/>
          <w:sz w:val="22"/>
          <w:szCs w:val="22"/>
          <w:lang w:val="es-ES"/>
        </w:rPr>
        <w:t xml:space="preserve">En sus indicadores sociosanitarios BH presenta los contrastes y dualidades característicos de una gran urbe diversificada. Aunque de modo general las condiciones de vida (IDHM, IVS, mortalidad materno-infantil) han mejorado, los rezagos en </w:t>
      </w:r>
      <w:r w:rsidRPr="008C21E4">
        <w:rPr>
          <w:rFonts w:ascii="Arial" w:hAnsi="Arial" w:cs="Arial"/>
          <w:sz w:val="22"/>
          <w:szCs w:val="22"/>
          <w:lang w:val="es-ES"/>
        </w:rPr>
        <w:lastRenderedPageBreak/>
        <w:t>algunos distritos sanitarios son notables, y nuevos retos se intensifican, incluyendo las ECNT asociadas al envejecimiento, la salud mental, el déficit de atención materno-infantil en algunos grupos, las lesiones resultantes de los accidentes y violencia, y las enfermedades transmisibles emergentes y reemergentes</w:t>
      </w:r>
      <w:r w:rsidRPr="008C21E4">
        <w:rPr>
          <w:rStyle w:val="FootnoteReference"/>
          <w:rFonts w:ascii="Arial" w:hAnsi="Arial" w:cs="Arial"/>
          <w:sz w:val="22"/>
          <w:szCs w:val="22"/>
          <w:lang w:val="es-ES"/>
        </w:rPr>
        <w:footnoteReference w:id="7"/>
      </w:r>
      <w:r w:rsidRPr="008C21E4">
        <w:rPr>
          <w:rFonts w:ascii="Arial" w:hAnsi="Arial" w:cs="Arial"/>
          <w:sz w:val="22"/>
          <w:szCs w:val="22"/>
          <w:lang w:val="es-ES"/>
        </w:rPr>
        <w:t>. Ante este contexto, BH cuenta con una oferta de servicios de salud amplia y compleja</w:t>
      </w:r>
      <w:r w:rsidRPr="008C21E4">
        <w:rPr>
          <w:rStyle w:val="FootnoteReference"/>
          <w:rFonts w:ascii="Arial" w:hAnsi="Arial" w:cs="Arial"/>
          <w:sz w:val="22"/>
          <w:szCs w:val="22"/>
          <w:lang w:val="es-ES"/>
        </w:rPr>
        <w:footnoteReference w:id="8"/>
      </w:r>
      <w:r w:rsidRPr="008C21E4">
        <w:rPr>
          <w:rFonts w:ascii="Arial" w:hAnsi="Arial" w:cs="Arial"/>
          <w:sz w:val="22"/>
          <w:szCs w:val="22"/>
          <w:lang w:val="es-ES"/>
        </w:rPr>
        <w:t xml:space="preserve"> pero que enfrenta presiones debido a la demanda creciente</w:t>
      </w:r>
      <w:r w:rsidRPr="008C21E4">
        <w:rPr>
          <w:rStyle w:val="FootnoteReference"/>
          <w:rFonts w:ascii="Arial" w:hAnsi="Arial" w:cs="Arial"/>
          <w:sz w:val="22"/>
          <w:szCs w:val="22"/>
          <w:lang w:val="es-ES"/>
        </w:rPr>
        <w:footnoteReference w:id="9"/>
      </w:r>
      <w:r w:rsidRPr="008C21E4">
        <w:rPr>
          <w:rFonts w:ascii="Arial" w:hAnsi="Arial" w:cs="Arial"/>
          <w:sz w:val="22"/>
          <w:szCs w:val="22"/>
          <w:lang w:val="es-ES"/>
        </w:rPr>
        <w:t xml:space="preserve"> y a las limitaciones presupuestales. </w:t>
      </w:r>
      <w:r w:rsidRPr="008C21E4">
        <w:rPr>
          <w:rFonts w:ascii="MS Mincho" w:eastAsia="MS Mincho" w:hAnsi="MS Mincho" w:cs="MS Mincho"/>
          <w:sz w:val="22"/>
          <w:szCs w:val="22"/>
          <w:lang w:val="es-ES"/>
        </w:rPr>
        <w:t> </w:t>
      </w:r>
    </w:p>
    <w:p w14:paraId="166BD91D" w14:textId="77777777" w:rsidR="00702E90" w:rsidRPr="008C21E4" w:rsidRDefault="00702E90" w:rsidP="00702E90">
      <w:pPr>
        <w:jc w:val="both"/>
        <w:rPr>
          <w:rFonts w:ascii="MS Mincho" w:eastAsia="MS Mincho" w:hAnsi="MS Mincho" w:cs="MS Mincho"/>
          <w:sz w:val="22"/>
          <w:szCs w:val="22"/>
          <w:lang w:val="es-ES"/>
        </w:rPr>
      </w:pPr>
    </w:p>
    <w:p w14:paraId="3FC7C0A2" w14:textId="26D8B17B" w:rsidR="00702E90" w:rsidRPr="008C21E4" w:rsidRDefault="00702E90" w:rsidP="00702E90">
      <w:pPr>
        <w:jc w:val="both"/>
        <w:rPr>
          <w:rFonts w:ascii="Arial" w:hAnsi="Arial" w:cs="Arial"/>
          <w:sz w:val="22"/>
          <w:szCs w:val="22"/>
          <w:lang w:val="es-ES"/>
        </w:rPr>
      </w:pPr>
      <w:r w:rsidRPr="008C21E4">
        <w:rPr>
          <w:rFonts w:ascii="Arial" w:hAnsi="Arial" w:cs="Arial"/>
          <w:b/>
          <w:bCs/>
          <w:sz w:val="22"/>
          <w:szCs w:val="22"/>
          <w:lang w:val="es-ES"/>
        </w:rPr>
        <w:t xml:space="preserve">La atención primaria y vigilancia en salud. </w:t>
      </w:r>
      <w:r w:rsidRPr="008C21E4">
        <w:rPr>
          <w:rFonts w:ascii="Arial" w:hAnsi="Arial" w:cs="Arial"/>
          <w:sz w:val="22"/>
          <w:szCs w:val="22"/>
          <w:lang w:val="es-ES"/>
        </w:rPr>
        <w:t>En el Sistema Único de Salud (SUS) de Brasil, la atención primaria debe funcionar como puerta de entrada y articulador de las redes integradas de servicios en territorios definidos</w:t>
      </w:r>
      <w:r w:rsidRPr="008C21E4">
        <w:rPr>
          <w:rStyle w:val="FootnoteReference"/>
          <w:rFonts w:ascii="Arial" w:hAnsi="Arial" w:cs="Arial"/>
          <w:sz w:val="22"/>
          <w:szCs w:val="22"/>
          <w:lang w:val="es-ES"/>
        </w:rPr>
        <w:footnoteReference w:id="10"/>
      </w:r>
      <w:r w:rsidRPr="008C21E4">
        <w:rPr>
          <w:rFonts w:ascii="Arial" w:hAnsi="Arial" w:cs="Arial"/>
          <w:sz w:val="22"/>
          <w:szCs w:val="22"/>
          <w:lang w:val="es-ES"/>
        </w:rPr>
        <w:t>. Belo Horizonte expandió la cobertura promedio de los equipos de salud familiar de 79% de la población en 2008, a 87% en 2016. Se realizan aproximadamente 319 mil consultas por mes en los centros de salud, y 252 mil visitas domiciliarias por mes por parte de los agentes de salud y de vigilancia de salud cuyos datos de acompañamiento se ingresan en el sistema de información del Ministerio de Salud (Estrategia e-SUS), y las informaciones de registro, en el Sistema de Información de Salud en Red (SISREDE). No obstante, para sostener la amplia cobertura y volumen de servicios con la calidad y eficiencia requeridas, se requiere invertir en la recuperación de la infraestructura de los centros de salud, 75% de los cuales están instalados en edificaciones antiguas o impropias y sin normalización</w:t>
      </w:r>
      <w:r w:rsidRPr="008C21E4">
        <w:rPr>
          <w:rStyle w:val="FootnoteReference"/>
          <w:rFonts w:ascii="Arial" w:hAnsi="Arial" w:cs="Arial"/>
          <w:sz w:val="22"/>
          <w:szCs w:val="22"/>
          <w:lang w:val="es-ES"/>
        </w:rPr>
        <w:footnoteReference w:id="11"/>
      </w:r>
      <w:r w:rsidRPr="008C21E4">
        <w:rPr>
          <w:rFonts w:ascii="Arial" w:hAnsi="Arial" w:cs="Arial"/>
          <w:sz w:val="22"/>
          <w:szCs w:val="22"/>
          <w:lang w:val="es-ES"/>
        </w:rPr>
        <w:t xml:space="preserve">, y la renovación del equipamiento médico. Por su parte, el SISREDE fue desarrollado en 2002 en una tecnología actualmente obsoleta, que presenta fallas y altos costos de mantenimiento, y no tiene opción de agregar nuevas funcionalidades para substituir trabajos manuales en aras de asegurar mayor confiabilidad y agilidad en la consolidación de los datos. </w:t>
      </w:r>
    </w:p>
    <w:p w14:paraId="2F1DA7A9" w14:textId="77777777" w:rsidR="00702E90" w:rsidRPr="008C21E4" w:rsidRDefault="00702E90" w:rsidP="00702E90">
      <w:pPr>
        <w:jc w:val="both"/>
        <w:rPr>
          <w:rFonts w:ascii="Arial" w:hAnsi="Arial" w:cs="Arial"/>
          <w:sz w:val="22"/>
          <w:szCs w:val="22"/>
          <w:lang w:val="es-ES"/>
        </w:rPr>
      </w:pPr>
    </w:p>
    <w:p w14:paraId="624F2AA2" w14:textId="19CBEAA6" w:rsidR="00702E90" w:rsidRPr="008C21E4" w:rsidRDefault="00702E90" w:rsidP="00702E90">
      <w:pPr>
        <w:jc w:val="both"/>
        <w:rPr>
          <w:rFonts w:ascii="Arial" w:hAnsi="Arial" w:cs="Arial"/>
          <w:sz w:val="22"/>
          <w:szCs w:val="22"/>
          <w:lang w:val="es-ES"/>
        </w:rPr>
      </w:pPr>
      <w:r w:rsidRPr="008C21E4">
        <w:rPr>
          <w:rFonts w:ascii="Arial" w:hAnsi="Arial" w:cs="Arial"/>
          <w:sz w:val="22"/>
          <w:szCs w:val="22"/>
          <w:lang w:val="es-ES"/>
        </w:rPr>
        <w:t>Para resguardar otros logros como las altas tasa de vacunación, también será impostergable fortalecer la red de frío para garantizar la seguridad de los inmunobiológicos</w:t>
      </w:r>
      <w:r w:rsidRPr="008C21E4">
        <w:rPr>
          <w:rStyle w:val="FootnoteReference"/>
          <w:rFonts w:ascii="Arial" w:hAnsi="Arial" w:cs="Arial"/>
          <w:sz w:val="22"/>
          <w:szCs w:val="22"/>
          <w:lang w:val="es-ES"/>
        </w:rPr>
        <w:footnoteReference w:id="12"/>
      </w:r>
      <w:r w:rsidRPr="008C21E4">
        <w:rPr>
          <w:rFonts w:ascii="Arial" w:hAnsi="Arial" w:cs="Arial"/>
          <w:sz w:val="22"/>
          <w:szCs w:val="22"/>
          <w:lang w:val="es-ES"/>
        </w:rPr>
        <w:t>, de acuerdo con los lineamientos establecidos por el Ministerio de Salud. Asimismo, la reducción de zoonosis relevantes como la leishmaniosis visceral necesita la ampliación del control del vector y el reservatorio</w:t>
      </w:r>
      <w:r w:rsidR="00DC7A28" w:rsidRPr="008C21E4">
        <w:rPr>
          <w:rStyle w:val="FootnoteReference"/>
          <w:rFonts w:ascii="Arial" w:hAnsi="Arial" w:cs="Arial"/>
          <w:sz w:val="22"/>
          <w:szCs w:val="22"/>
          <w:lang w:val="es-ES"/>
        </w:rPr>
        <w:footnoteReference w:id="13"/>
      </w:r>
      <w:r w:rsidRPr="008C21E4">
        <w:rPr>
          <w:rFonts w:ascii="Arial" w:hAnsi="Arial" w:cs="Arial"/>
          <w:sz w:val="22"/>
          <w:szCs w:val="22"/>
          <w:lang w:val="es-ES"/>
        </w:rPr>
        <w:t xml:space="preserve"> en las áreas de mayor incidencia. El trabajo de vigilancia en salud y control de vectores de los equipos de salud familiar fue importante para limitar las epidemias de dengue y virus del Zika en 2016; por su parte la vigilancia sanitaria efectuó más de 44 mil inspecciones de establecimientos para fiscalizar el servicio al público en 2016, pero el procesamiento de los informes manuales contribuye a la demora de liberación de los permisos de funcionamiento, lo que perjudica las operaciones de los negocios. El monitoreo de epidemias e investigación de casos, así como el registro de inmuebles y establecimientos se beneficiaría de la adopción de </w:t>
      </w:r>
      <w:r w:rsidRPr="008C21E4">
        <w:rPr>
          <w:rFonts w:ascii="Arial" w:hAnsi="Arial" w:cs="Arial"/>
          <w:sz w:val="22"/>
          <w:szCs w:val="22"/>
          <w:lang w:val="es-ES"/>
        </w:rPr>
        <w:lastRenderedPageBreak/>
        <w:t xml:space="preserve">tecnologías informatizadas geoespaciales para mejorar la calidad, efectividad y eficiencia de los análisis, la planificación y ejecución de acciones. </w:t>
      </w:r>
      <w:r w:rsidRPr="008C21E4">
        <w:rPr>
          <w:rFonts w:ascii="MS Mincho" w:eastAsia="MS Mincho" w:hAnsi="MS Mincho" w:cs="MS Mincho"/>
          <w:sz w:val="22"/>
          <w:szCs w:val="22"/>
          <w:lang w:val="es-ES"/>
        </w:rPr>
        <w:t> </w:t>
      </w:r>
    </w:p>
    <w:p w14:paraId="025BDBE2" w14:textId="77777777" w:rsidR="00702E90" w:rsidRPr="008C21E4" w:rsidRDefault="00702E90" w:rsidP="00702E90">
      <w:pPr>
        <w:jc w:val="both"/>
        <w:rPr>
          <w:rFonts w:ascii="Arial" w:hAnsi="Arial" w:cs="Arial"/>
          <w:sz w:val="22"/>
          <w:szCs w:val="22"/>
          <w:lang w:val="es-ES"/>
        </w:rPr>
      </w:pPr>
    </w:p>
    <w:p w14:paraId="718E3872" w14:textId="57C86B0B" w:rsidR="00DC7A28" w:rsidRPr="008C21E4" w:rsidRDefault="00DC7A28" w:rsidP="00DC7A28">
      <w:pPr>
        <w:jc w:val="both"/>
        <w:rPr>
          <w:rFonts w:ascii="MS Mincho" w:eastAsia="MS Mincho" w:hAnsi="MS Mincho" w:cs="MS Mincho"/>
          <w:sz w:val="22"/>
          <w:szCs w:val="22"/>
          <w:lang w:val="es-ES"/>
        </w:rPr>
      </w:pPr>
      <w:r w:rsidRPr="008C21E4">
        <w:rPr>
          <w:rFonts w:ascii="Arial" w:hAnsi="Arial" w:cs="Arial"/>
          <w:b/>
          <w:bCs/>
          <w:sz w:val="22"/>
          <w:szCs w:val="22"/>
          <w:lang w:val="es-ES"/>
        </w:rPr>
        <w:t xml:space="preserve">Atención especializada de mediana complejidad. </w:t>
      </w:r>
      <w:r w:rsidRPr="008C21E4">
        <w:rPr>
          <w:rFonts w:ascii="Arial" w:hAnsi="Arial" w:cs="Arial"/>
          <w:sz w:val="22"/>
          <w:szCs w:val="22"/>
          <w:lang w:val="es-ES"/>
        </w:rPr>
        <w:t>Idealmente coordinado por la atención primaria, este nivel de atención provee consultas especializadas, exámenes diagnósticos y procedimientos ambulatorios para garantizar capacidad resolutiva. En BH se ha generado un desequilibrio entre la demanda y oferta de servicios debido a factores como: (i) la ampliación de la atención básica que, por consecuencia, incrementa la demanda de la atención especializada referida; (ii) la mayor prevalencia de las ECNT y las enfermedades mentales, que requieren apoyo de consultas y terapias especializadas; y (iii) la baja contra referencia de pacientes a la atención primaria cuando podrían ser acompañados por este nivel de atención. Otros problemas complican el escenario, como la dificultad de acceso a determinadas pruebas y la demanda innecesaria de atención especializada, asociados también a la baja capacidad resolutiva de la atención primaria que resulta en múltiples retornos del paciente al especialista y en un esfuerzo diagnóstico ineficiente. Finalmente, existe una pérdida importante de la oferta de procedimientos por absentismo, lo que se debe muchas veces al frágil mecanismo de la Secretaría Municipal de Salud (SMS) de registro, comunicación y confirmación de las citas agendadas.</w:t>
      </w:r>
      <w:r w:rsidRPr="008C21E4">
        <w:rPr>
          <w:rFonts w:ascii="MS Mincho" w:eastAsia="MS Mincho" w:hAnsi="MS Mincho" w:cs="MS Mincho"/>
          <w:sz w:val="22"/>
          <w:szCs w:val="22"/>
          <w:lang w:val="es-ES"/>
        </w:rPr>
        <w:t xml:space="preserve"> </w:t>
      </w:r>
    </w:p>
    <w:p w14:paraId="1B14C8F9" w14:textId="77777777" w:rsidR="00DC7A28" w:rsidRPr="008C21E4" w:rsidRDefault="00DC7A28" w:rsidP="00DC7A28">
      <w:pPr>
        <w:jc w:val="both"/>
        <w:rPr>
          <w:rFonts w:ascii="MS Mincho" w:eastAsia="MS Mincho" w:hAnsi="MS Mincho" w:cs="MS Mincho"/>
          <w:sz w:val="22"/>
          <w:szCs w:val="22"/>
          <w:lang w:val="es-ES"/>
        </w:rPr>
      </w:pPr>
    </w:p>
    <w:p w14:paraId="6C805FAA" w14:textId="5A46A9A5" w:rsidR="00DC7A28" w:rsidRPr="008C21E4" w:rsidRDefault="00DC7A28" w:rsidP="00DC7A28">
      <w:pPr>
        <w:jc w:val="both"/>
        <w:rPr>
          <w:rFonts w:ascii="Arial" w:hAnsi="Arial" w:cs="Arial"/>
          <w:sz w:val="22"/>
          <w:szCs w:val="22"/>
          <w:lang w:val="es-ES"/>
        </w:rPr>
      </w:pPr>
      <w:r w:rsidRPr="008C21E4">
        <w:rPr>
          <w:rFonts w:ascii="Arial" w:hAnsi="Arial" w:cs="Arial"/>
          <w:sz w:val="22"/>
          <w:szCs w:val="22"/>
          <w:lang w:val="es-ES"/>
        </w:rPr>
        <w:t>La SMS debe adoptar algunas medidas para mejorar los problemas de la atención especializada. El desarrollo e implementación de protocolos clínicos y líneas de cuidado y la capacitación de los servidores de salud, pueden fortalecer el sistema de referencia y contra-referencia, la capacidad diagnostica, y la aplicación de procedimientos conforme las normas clínicas</w:t>
      </w:r>
      <w:r w:rsidRPr="008C21E4">
        <w:rPr>
          <w:rStyle w:val="FootnoteReference"/>
          <w:rFonts w:ascii="Arial" w:hAnsi="Arial" w:cs="Arial"/>
          <w:sz w:val="22"/>
          <w:szCs w:val="22"/>
          <w:lang w:val="es-ES"/>
        </w:rPr>
        <w:footnoteReference w:id="14"/>
      </w:r>
      <w:r w:rsidRPr="008C21E4">
        <w:rPr>
          <w:rFonts w:ascii="Arial" w:hAnsi="Arial" w:cs="Arial"/>
          <w:sz w:val="22"/>
          <w:szCs w:val="22"/>
          <w:lang w:val="es-ES"/>
        </w:rPr>
        <w:t>. La modernización de los sistemas de solicitud y gestión de consultas y pruebas ayudarían a corregir el desbalance entre la demanda y la oferta. También se debe expandir la oferta de servicios, abarcando inversiones en infraestructura y equipamientos, para atender vacíos en áreas claves como salud mental y referencia secundaria en general. En cuanto a la mejoría de los sistemas de información, un paso fundamental seria la sustitución de parte de la infraestructura tecnológica.  </w:t>
      </w:r>
    </w:p>
    <w:p w14:paraId="737F2336" w14:textId="77777777" w:rsidR="00DC7A28" w:rsidRPr="008C21E4" w:rsidRDefault="00DC7A28" w:rsidP="00DC7A28">
      <w:pPr>
        <w:jc w:val="both"/>
        <w:rPr>
          <w:rFonts w:ascii="Arial" w:hAnsi="Arial" w:cs="Arial"/>
          <w:sz w:val="22"/>
          <w:szCs w:val="22"/>
          <w:lang w:val="es-ES"/>
        </w:rPr>
      </w:pPr>
    </w:p>
    <w:p w14:paraId="57CB9390" w14:textId="54F6D711" w:rsidR="00DC7A28" w:rsidRPr="008C21E4" w:rsidRDefault="00DC7A28" w:rsidP="00DC7A28">
      <w:pPr>
        <w:jc w:val="both"/>
        <w:rPr>
          <w:rFonts w:ascii="MS Mincho" w:eastAsia="MS Mincho" w:hAnsi="MS Mincho" w:cs="MS Mincho"/>
          <w:sz w:val="22"/>
          <w:szCs w:val="22"/>
          <w:lang w:val="es-ES"/>
        </w:rPr>
      </w:pPr>
      <w:r w:rsidRPr="008C21E4">
        <w:rPr>
          <w:rFonts w:ascii="Arial" w:hAnsi="Arial" w:cs="Arial"/>
          <w:b/>
          <w:bCs/>
          <w:sz w:val="22"/>
          <w:szCs w:val="22"/>
          <w:lang w:val="es-ES"/>
        </w:rPr>
        <w:t xml:space="preserve">Atención hospitalaria y de urgencia/emergencia. </w:t>
      </w:r>
      <w:r w:rsidRPr="008C21E4">
        <w:rPr>
          <w:rFonts w:ascii="Arial" w:hAnsi="Arial" w:cs="Arial"/>
          <w:sz w:val="22"/>
          <w:szCs w:val="22"/>
          <w:lang w:val="es-ES"/>
        </w:rPr>
        <w:t>La red hospitalaria de BH está compuesta por 29 hospitales filantrópicos, propios y privados que prestan servicios contratados. Se realizan 19.000 internaciones mensuales, en promedio, en un conjunto de 5.665 camas</w:t>
      </w:r>
      <w:r w:rsidR="008C21E4" w:rsidRPr="008C21E4">
        <w:rPr>
          <w:rStyle w:val="FootnoteReference"/>
          <w:rFonts w:ascii="Arial" w:hAnsi="Arial" w:cs="Arial"/>
          <w:sz w:val="22"/>
          <w:szCs w:val="22"/>
          <w:lang w:val="es-ES"/>
        </w:rPr>
        <w:footnoteReference w:id="15"/>
      </w:r>
      <w:r w:rsidRPr="008C21E4">
        <w:rPr>
          <w:rFonts w:ascii="Arial" w:hAnsi="Arial" w:cs="Arial"/>
          <w:sz w:val="22"/>
          <w:szCs w:val="22"/>
          <w:lang w:val="es-ES"/>
        </w:rPr>
        <w:t xml:space="preserve">, siendo 44% de la demanda proveniente de otros municipios. Sin embargo, por falta de capacidad también se tienen que recusar 1.825 solicitudes externas mensuales, y para atender a toda la demanda reprimida solamente de la macro-región central del Estado, se tendrían que disponer de aproximadamente 1.600 camas adicionales. En 2016 se hicieron 34.510 cirugías electivas, pero la fila de espera era de 28.246 pacientes en 2017 y puede llegar a casi 50.000. La eficiente gestión de la demanda para reducir la ociosidad en los recursos disponibles exige una regulación de acceso para camas hospitalarias, cirugías electivas, consultas y pruebas diagnósticas especializadas. Actualmente, BH cuenta con sistemas de información para la regulación, desarrollados por el Ministerio de Salud o la empresa de procesamiento de datos del municipio. No obstante, estas herramientas están tecnológicamente desactualizadas y presentan problemas asociados con las tecnologías requeridas para los controles de seguridad y calidad de los datos. Por tal motivo, para mejorar el acceso a la atención hospitalaria es necesario, no solamente ampliar la capacidad, sino también utilizar más eficientemente la oferta instalada. </w:t>
      </w:r>
      <w:r w:rsidRPr="008C21E4">
        <w:rPr>
          <w:rFonts w:ascii="MS Mincho" w:eastAsia="MS Mincho" w:hAnsi="MS Mincho" w:cs="MS Mincho"/>
          <w:sz w:val="22"/>
          <w:szCs w:val="22"/>
          <w:lang w:val="es-ES"/>
        </w:rPr>
        <w:t> </w:t>
      </w:r>
    </w:p>
    <w:p w14:paraId="7AE476BD" w14:textId="77777777" w:rsidR="008C21E4" w:rsidRPr="008C21E4" w:rsidRDefault="008C21E4" w:rsidP="00DC7A28">
      <w:pPr>
        <w:jc w:val="both"/>
        <w:rPr>
          <w:rFonts w:ascii="MS Mincho" w:eastAsia="MS Mincho" w:hAnsi="MS Mincho" w:cs="MS Mincho"/>
          <w:sz w:val="22"/>
          <w:szCs w:val="22"/>
          <w:lang w:val="es-ES"/>
        </w:rPr>
      </w:pPr>
    </w:p>
    <w:p w14:paraId="27C7EB70" w14:textId="3E47E16B" w:rsidR="008C21E4" w:rsidRPr="008C21E4" w:rsidRDefault="008C21E4" w:rsidP="008C21E4">
      <w:pPr>
        <w:jc w:val="both"/>
        <w:rPr>
          <w:rFonts w:ascii="Arial" w:hAnsi="Arial" w:cs="Arial"/>
          <w:sz w:val="22"/>
          <w:szCs w:val="22"/>
          <w:lang w:val="es-ES"/>
        </w:rPr>
      </w:pPr>
      <w:r w:rsidRPr="008C21E4">
        <w:rPr>
          <w:rFonts w:ascii="Arial" w:hAnsi="Arial" w:cs="Arial"/>
          <w:sz w:val="22"/>
          <w:szCs w:val="22"/>
          <w:lang w:val="es-ES"/>
        </w:rPr>
        <w:lastRenderedPageBreak/>
        <w:t xml:space="preserve">La red de atención a las urgencias consiste en 9 Unidades de Atención Urgente (UPA, según siglas en portugués) y departamentos de urgencias en 7 hospitales apoyados por 38 unidades de Servicio de Atención Móvil de Urgencia (SAMU). La calidad del servicio de urgencia es un determinante de vida o muerte, pero en BH las UPA se encuentran sobre-congestionadas, en parte por dificultades en transferir casos graves a los hospitales de referencia. La permanencia de estos casos reduce la posibilidad de resolver urgencias de baja complexidad que pueden agravarse debido a la demora, e incrementan costos. Para aminorar las presiones sobre el sistema de atención urgente, es necesario recuperar algunas UPA y SAMU a través de la reconstrucción y ampliación de su infraestructura y de la sustitución de equipamientos. Asimismo, se tienen que perfeccionar los procesos de derivación de casos de bajo riesgo a la atención primaria, implantar protocolos clínicos actualizados, capacitar a los profesionales en estas materias, e informatizar los sistemas de gestión administrativos y asistenciales. </w:t>
      </w:r>
    </w:p>
    <w:p w14:paraId="669F887B" w14:textId="77777777" w:rsidR="008C21E4" w:rsidRPr="008C21E4" w:rsidRDefault="008C21E4" w:rsidP="008C21E4">
      <w:pPr>
        <w:jc w:val="both"/>
        <w:rPr>
          <w:rFonts w:ascii="Arial" w:hAnsi="Arial" w:cs="Arial"/>
          <w:sz w:val="22"/>
          <w:szCs w:val="22"/>
          <w:lang w:val="es-ES"/>
        </w:rPr>
      </w:pPr>
    </w:p>
    <w:p w14:paraId="7695F1F5" w14:textId="77777777" w:rsidR="008C21E4" w:rsidRPr="008C21E4" w:rsidRDefault="008C21E4" w:rsidP="008C21E4">
      <w:pPr>
        <w:jc w:val="both"/>
        <w:rPr>
          <w:rFonts w:ascii="MS Mincho" w:eastAsia="MS Mincho" w:hAnsi="MS Mincho" w:cs="MS Mincho"/>
          <w:sz w:val="22"/>
          <w:szCs w:val="22"/>
          <w:lang w:val="es-ES"/>
        </w:rPr>
      </w:pPr>
      <w:r w:rsidRPr="008C21E4">
        <w:rPr>
          <w:rFonts w:ascii="Arial" w:hAnsi="Arial" w:cs="Arial"/>
          <w:b/>
          <w:bCs/>
          <w:sz w:val="22"/>
          <w:szCs w:val="22"/>
          <w:lang w:val="es-ES"/>
        </w:rPr>
        <w:t xml:space="preserve">Calidad y eficiencia en la gestión de las redes de salud. </w:t>
      </w:r>
      <w:r w:rsidRPr="008C21E4">
        <w:rPr>
          <w:rFonts w:ascii="Arial" w:hAnsi="Arial" w:cs="Arial"/>
          <w:sz w:val="22"/>
          <w:szCs w:val="22"/>
          <w:lang w:val="es-ES"/>
        </w:rPr>
        <w:t xml:space="preserve">La SMS como rector del sistema de salud tiene algunas funciones claves, incluyendo el procesamiento y análisis de datos para la formulación de políticas, la promoción de la eficiencia a través de la mejoría de procesos internos, y la gestión de la calidad. En general los sistemas de información de la SMS son anticuados y dependen en muchas ocasiones de procedimientos y archivos manuales. Además, están sujetos a fallas que ponen en peligro la fidelidad de los datos. Por otra parte, la gestión interna podría ser mejorada con la adopción de un sistema de centros de costos estandarizados en las unidades de salud y con el fortalecimiento de los procesos de compras y logística, y manejo de contratos. La calidad de los servicios y la gerencia de las unidades se beneficiaría de la preparación e implantación de protocolos clínicos y rutas de cuidados, así como de la utilización de la acreditación de servicios de salud y de la certificación de calidad. </w:t>
      </w:r>
      <w:r w:rsidRPr="008C21E4">
        <w:rPr>
          <w:rFonts w:ascii="MS Mincho" w:eastAsia="MS Mincho" w:hAnsi="MS Mincho" w:cs="MS Mincho"/>
          <w:sz w:val="22"/>
          <w:szCs w:val="22"/>
          <w:lang w:val="es-ES"/>
        </w:rPr>
        <w:t> </w:t>
      </w:r>
    </w:p>
    <w:p w14:paraId="7B73F14F" w14:textId="77777777" w:rsidR="008C21E4" w:rsidRPr="008C21E4" w:rsidRDefault="008C21E4" w:rsidP="008C21E4">
      <w:pPr>
        <w:jc w:val="both"/>
        <w:rPr>
          <w:rFonts w:ascii="MS Mincho" w:eastAsia="MS Mincho" w:hAnsi="MS Mincho" w:cs="MS Mincho"/>
          <w:sz w:val="22"/>
          <w:szCs w:val="22"/>
          <w:lang w:val="es-ES"/>
        </w:rPr>
      </w:pPr>
    </w:p>
    <w:p w14:paraId="7C72A555" w14:textId="13EB4150" w:rsidR="00FB524D" w:rsidRPr="008C21E4" w:rsidRDefault="008C21E4" w:rsidP="00FB524D">
      <w:pPr>
        <w:jc w:val="both"/>
        <w:rPr>
          <w:rFonts w:ascii="Arial" w:hAnsi="Arial" w:cs="Arial"/>
          <w:sz w:val="22"/>
          <w:szCs w:val="22"/>
          <w:lang w:val="es-ES"/>
        </w:rPr>
      </w:pPr>
      <w:r w:rsidRPr="008C21E4">
        <w:rPr>
          <w:rFonts w:ascii="Arial" w:hAnsi="Arial" w:cs="Arial"/>
          <w:b/>
          <w:bCs/>
          <w:sz w:val="22"/>
          <w:szCs w:val="22"/>
          <w:lang w:val="es-ES"/>
        </w:rPr>
        <w:t xml:space="preserve">Alineación estratégica. </w:t>
      </w:r>
      <w:r w:rsidRPr="008C21E4">
        <w:rPr>
          <w:rFonts w:ascii="Arial" w:hAnsi="Arial" w:cs="Arial"/>
          <w:sz w:val="22"/>
          <w:szCs w:val="22"/>
          <w:lang w:val="es-ES"/>
        </w:rPr>
        <w:t>El programa es consistente con la Actualización de la Estrategia Institucional 2010-2020 (AB-3008) y se alinea con el desafío de inclusión social e igualdad mediante la expansión y mejora de servicios de salud para la población vulnerable; y con cambio climático y sostenibilidad ambiental, ya que en las obras financiadas por el programa se incorporará un enfoque en la sostenibilidad en el uso de energía y otros recursos</w:t>
      </w:r>
      <w:r w:rsidRPr="00606196">
        <w:rPr>
          <w:rFonts w:ascii="Arial" w:hAnsi="Arial" w:cs="Arial"/>
          <w:sz w:val="22"/>
          <w:szCs w:val="22"/>
          <w:lang w:val="es-ES"/>
        </w:rPr>
        <w:t>. El programa también se alinea con el área transversal de género y diversidad mediante el mejoramiento de los servicios de salud materno-infantil y el abordaje diferenciado de factores de riesgo de ECNT, por ejemplo, que varían entre hombres y mujeres.</w:t>
      </w:r>
      <w:r w:rsidRPr="008C21E4">
        <w:rPr>
          <w:rFonts w:ascii="Arial" w:hAnsi="Arial" w:cs="Arial"/>
          <w:sz w:val="22"/>
          <w:szCs w:val="22"/>
          <w:lang w:val="es-ES"/>
        </w:rPr>
        <w:t xml:space="preserve"> Asimismo, está alineado con el Documento de Marco Sectorial de Salud y Nutrición (GN-2735-7) y con la Estrategia de País con Brasil (GN-2850) a través del objetivo estratégico de ampliación y mejoramiento de la red de atención primaria en salud </w:t>
      </w:r>
      <w:r w:rsidR="000D32A0">
        <w:rPr>
          <w:rFonts w:ascii="Arial" w:hAnsi="Arial" w:cs="Arial"/>
          <w:sz w:val="22"/>
          <w:szCs w:val="22"/>
          <w:lang w:val="es-ES"/>
        </w:rPr>
        <w:t>(APS). T</w:t>
      </w:r>
      <w:r w:rsidRPr="008C21E4">
        <w:rPr>
          <w:rFonts w:ascii="Arial" w:hAnsi="Arial" w:cs="Arial"/>
          <w:sz w:val="22"/>
          <w:szCs w:val="22"/>
          <w:lang w:val="es-ES"/>
        </w:rPr>
        <w:t xml:space="preserve">ambién, el programa pretende contribuir a la ampliación del acceso e incremento de la calidad de los servicios de salud de atención primaria, objetivo fundamental de la mencionada Estrategia. </w:t>
      </w:r>
      <w:r w:rsidRPr="008C21E4">
        <w:rPr>
          <w:rFonts w:ascii="MS Mincho" w:eastAsia="MS Mincho" w:hAnsi="MS Mincho" w:cs="MS Mincho"/>
          <w:sz w:val="22"/>
          <w:szCs w:val="22"/>
          <w:lang w:val="es-ES"/>
        </w:rPr>
        <w:t> </w:t>
      </w:r>
    </w:p>
    <w:p w14:paraId="63FF9C1E" w14:textId="6D1430D1" w:rsidR="00924EEC" w:rsidRPr="008C21E4" w:rsidRDefault="00620E0A" w:rsidP="007B7847">
      <w:pPr>
        <w:pStyle w:val="Heading2"/>
      </w:pPr>
      <w:bookmarkStart w:id="11" w:name="_Toc525384015"/>
      <w:r w:rsidRPr="008C21E4">
        <w:t>B.</w:t>
      </w:r>
      <w:r w:rsidRPr="008C21E4">
        <w:tab/>
      </w:r>
      <w:r w:rsidR="009A7589" w:rsidRPr="008C21E4">
        <w:t>Objetivos, Componentes y Costo</w:t>
      </w:r>
      <w:bookmarkEnd w:id="9"/>
      <w:bookmarkEnd w:id="11"/>
    </w:p>
    <w:p w14:paraId="0396CBDA" w14:textId="28CB1DF2" w:rsidR="00045449" w:rsidRDefault="00045449" w:rsidP="00045449">
      <w:pPr>
        <w:tabs>
          <w:tab w:val="num" w:pos="720"/>
        </w:tabs>
        <w:jc w:val="both"/>
        <w:rPr>
          <w:rFonts w:ascii="Arial" w:hAnsi="Arial" w:cs="Arial"/>
          <w:sz w:val="22"/>
          <w:szCs w:val="22"/>
          <w:lang w:val="es-419"/>
        </w:rPr>
      </w:pPr>
      <w:bookmarkStart w:id="12" w:name="_Hlk522704083"/>
      <w:r w:rsidRPr="00045449">
        <w:rPr>
          <w:rFonts w:ascii="Arial" w:hAnsi="Arial" w:cs="Arial"/>
          <w:b/>
          <w:sz w:val="22"/>
          <w:szCs w:val="22"/>
          <w:lang w:val="es-419"/>
        </w:rPr>
        <w:t>Objetivo.</w:t>
      </w:r>
      <w:r w:rsidRPr="00045449">
        <w:rPr>
          <w:rFonts w:ascii="Arial" w:hAnsi="Arial" w:cs="Arial"/>
          <w:sz w:val="22"/>
          <w:szCs w:val="22"/>
          <w:lang w:val="es-419"/>
        </w:rPr>
        <w:t xml:space="preserve"> El programa tiene como objetivo mejorar el estado de salud de la población de Belo Horizonte mediante el aumento del acceso, calidad y eficiencia de los servicios de salud. Se beneficiarán del programa todos los residentes de BH, especialmente 2,1 millones de personas del municipio usuarios del SUS, así como los usuarios del interior del Estado de</w:t>
      </w:r>
      <w:r w:rsidRPr="00045449">
        <w:rPr>
          <w:rFonts w:ascii="Arial" w:hAnsi="Arial" w:cs="Arial"/>
          <w:sz w:val="22"/>
          <w:szCs w:val="22"/>
          <w:lang w:val="es-ES"/>
        </w:rPr>
        <w:t xml:space="preserve"> Minas Gerais que acudan a la atención en BH. </w:t>
      </w:r>
      <w:r w:rsidRPr="00045449">
        <w:rPr>
          <w:rFonts w:ascii="Arial" w:hAnsi="Arial" w:cs="Arial"/>
          <w:sz w:val="22"/>
          <w:szCs w:val="22"/>
          <w:lang w:val="es-419"/>
        </w:rPr>
        <w:t>La operación cuenta con los siguientes cuatro componentes:</w:t>
      </w:r>
    </w:p>
    <w:p w14:paraId="13489932" w14:textId="77777777" w:rsidR="00045449" w:rsidRPr="00045449" w:rsidRDefault="00045449" w:rsidP="00045449">
      <w:pPr>
        <w:tabs>
          <w:tab w:val="num" w:pos="720"/>
        </w:tabs>
        <w:jc w:val="both"/>
        <w:rPr>
          <w:rFonts w:ascii="Arial" w:hAnsi="Arial" w:cs="Arial"/>
          <w:sz w:val="22"/>
          <w:szCs w:val="22"/>
          <w:lang w:val="es-419"/>
        </w:rPr>
      </w:pPr>
    </w:p>
    <w:p w14:paraId="4B1716B4" w14:textId="6329C331" w:rsidR="00045449" w:rsidRDefault="00045449" w:rsidP="00045449">
      <w:pPr>
        <w:tabs>
          <w:tab w:val="num" w:pos="720"/>
        </w:tabs>
        <w:jc w:val="both"/>
        <w:rPr>
          <w:rFonts w:ascii="Arial" w:hAnsi="Arial" w:cs="Arial"/>
          <w:sz w:val="22"/>
          <w:szCs w:val="22"/>
          <w:lang w:val="es-419"/>
        </w:rPr>
      </w:pPr>
      <w:r w:rsidRPr="00045449">
        <w:rPr>
          <w:rFonts w:ascii="Arial" w:hAnsi="Arial" w:cs="Arial"/>
          <w:b/>
          <w:sz w:val="22"/>
          <w:szCs w:val="22"/>
          <w:lang w:val="es-419"/>
        </w:rPr>
        <w:t>Componente 1. Fortalecimiento de las redes de atención primaria y vigilancia en salud (BID US$19,82 millones).</w:t>
      </w:r>
      <w:r w:rsidRPr="00045449">
        <w:rPr>
          <w:rFonts w:ascii="Arial" w:hAnsi="Arial" w:cs="Arial"/>
          <w:sz w:val="22"/>
          <w:szCs w:val="22"/>
          <w:lang w:val="es-419"/>
        </w:rPr>
        <w:t xml:space="preserve"> Este componente apoyará la ampliación y mejoramiento de la calidad de los servicios de atención básica de salud para que funcionen como puerta de entrada y </w:t>
      </w:r>
      <w:r w:rsidRPr="00045449">
        <w:rPr>
          <w:rFonts w:ascii="Arial" w:hAnsi="Arial" w:cs="Arial"/>
          <w:sz w:val="22"/>
          <w:szCs w:val="22"/>
          <w:lang w:val="es-419"/>
        </w:rPr>
        <w:lastRenderedPageBreak/>
        <w:t>coordinador del cuidado, conforme la política nacional de redes de atención. También solucionará problemas en el sistema de vigilancia en salud y promoverá su mejor integración con los servicios primarios. Se financiará la reconstrucción y renovación de equipamientos y mobiliario de 12 Unidades Básicas de Salud (UBS) en las áreas del municipio de mayor necesidad, permitiendo así ampliar servicios y superar vacíos asistenciales. Se renovará el equipamiento deteriorado y obsoleto de la mayor parte de las unidades de la red de atención básica. Para mantener los niveles de inmunización y la disponibilidad de insumos biológicos críticos</w:t>
      </w:r>
      <w:r w:rsidRPr="00045449">
        <w:rPr>
          <w:rFonts w:ascii="Arial" w:hAnsi="Arial" w:cs="Arial"/>
          <w:sz w:val="22"/>
          <w:szCs w:val="22"/>
          <w:vertAlign w:val="superscript"/>
          <w:lang w:val="es-419"/>
        </w:rPr>
        <w:footnoteReference w:id="16"/>
      </w:r>
      <w:r w:rsidRPr="00045449">
        <w:rPr>
          <w:rFonts w:ascii="Arial" w:hAnsi="Arial" w:cs="Arial"/>
          <w:sz w:val="22"/>
          <w:szCs w:val="22"/>
          <w:lang w:val="es-419"/>
        </w:rPr>
        <w:t>, se adquirirá equipamiento para la red de frío municipal, necesario para garantizar la conservación de las vacunas, sueros e inmunoglobulina desde el laboratorio hasta el usuario (almacenamiento, transporte, distribución). Finalmente, se proveerá la modernización tecnológica de las acciones de vigilancia.</w:t>
      </w:r>
    </w:p>
    <w:p w14:paraId="54321933" w14:textId="77777777" w:rsidR="00045449" w:rsidRPr="00045449" w:rsidRDefault="00045449" w:rsidP="00045449">
      <w:pPr>
        <w:tabs>
          <w:tab w:val="num" w:pos="720"/>
        </w:tabs>
        <w:jc w:val="both"/>
        <w:rPr>
          <w:rFonts w:ascii="Arial" w:hAnsi="Arial" w:cs="Arial"/>
          <w:sz w:val="22"/>
          <w:szCs w:val="22"/>
          <w:lang w:val="es-419"/>
        </w:rPr>
      </w:pPr>
    </w:p>
    <w:p w14:paraId="4FCECD2F" w14:textId="20FD90AC" w:rsidR="00045449" w:rsidRDefault="00045449" w:rsidP="00045449">
      <w:pPr>
        <w:tabs>
          <w:tab w:val="num" w:pos="720"/>
        </w:tabs>
        <w:jc w:val="both"/>
        <w:rPr>
          <w:rFonts w:ascii="Arial" w:hAnsi="Arial" w:cs="Arial"/>
          <w:sz w:val="22"/>
          <w:szCs w:val="22"/>
          <w:lang w:val="es-419"/>
        </w:rPr>
      </w:pPr>
      <w:r w:rsidRPr="00045449">
        <w:rPr>
          <w:rFonts w:ascii="Arial" w:hAnsi="Arial" w:cs="Arial"/>
          <w:b/>
          <w:sz w:val="22"/>
          <w:szCs w:val="22"/>
          <w:lang w:val="es-419"/>
        </w:rPr>
        <w:t>Componente 2. Consolidación e integración de servicios especializados, de emergencia, y hospitalarios (BID US$18,40 millones; Local US$14,00 millones).</w:t>
      </w:r>
      <w:r w:rsidRPr="00045449">
        <w:rPr>
          <w:rFonts w:ascii="Arial" w:hAnsi="Arial" w:cs="Arial"/>
          <w:sz w:val="22"/>
          <w:szCs w:val="22"/>
          <w:lang w:val="es-419"/>
        </w:rPr>
        <w:t xml:space="preserve"> El objetivo de este componente es reforzar servicios estratégicos para fortalecer la red diagnóstica y de mediana y alta complejidad para que pueda resolver mejor las referencias del primer nivel de atención y las urgencias/emergencias. Se financiarán: (i) la construcción, reforma y equipamiento de cuatro UPA; (ii) la ampliación y reconstrucción de dos centros de atención de salud mental; (iii) dotación de equipamiento adicional y de reemplazo para varios servicios del HOB, especialmente el área de maternidad, para el manejo de pacientes de alto riesgo; (iv) reposicionamiento de equipamiento de las unidades especializadas, priorizando algunos vacíos asistenciales en las áreas de salud mental, materno-infantil y determinadas especialidades médicas (vascular, neurología, urología y pediatría)</w:t>
      </w:r>
      <w:r w:rsidRPr="00045449">
        <w:rPr>
          <w:rFonts w:ascii="Arial" w:hAnsi="Arial" w:cs="Arial"/>
          <w:sz w:val="22"/>
          <w:szCs w:val="22"/>
          <w:vertAlign w:val="superscript"/>
          <w:lang w:val="es-419"/>
        </w:rPr>
        <w:footnoteReference w:id="17"/>
      </w:r>
      <w:r w:rsidRPr="00045449">
        <w:rPr>
          <w:rFonts w:ascii="Arial" w:hAnsi="Arial" w:cs="Arial"/>
          <w:sz w:val="22"/>
          <w:szCs w:val="22"/>
          <w:lang w:val="es-419"/>
        </w:rPr>
        <w:t>; y (v) el funcionamiento del hospital metropolitano bajo el esquema de asociación público-privada, con recursos de contrapartida local.</w:t>
      </w:r>
    </w:p>
    <w:p w14:paraId="3AA3D37A" w14:textId="77777777" w:rsidR="00045449" w:rsidRPr="00045449" w:rsidRDefault="00045449" w:rsidP="00045449">
      <w:pPr>
        <w:tabs>
          <w:tab w:val="num" w:pos="720"/>
        </w:tabs>
        <w:jc w:val="both"/>
        <w:rPr>
          <w:rFonts w:ascii="Arial" w:hAnsi="Arial" w:cs="Arial"/>
          <w:sz w:val="22"/>
          <w:szCs w:val="22"/>
          <w:lang w:val="es-419"/>
        </w:rPr>
      </w:pPr>
    </w:p>
    <w:p w14:paraId="4BA25D17" w14:textId="39F4C39E" w:rsidR="00045449" w:rsidRDefault="00045449" w:rsidP="00045449">
      <w:pPr>
        <w:tabs>
          <w:tab w:val="num" w:pos="720"/>
        </w:tabs>
        <w:jc w:val="both"/>
        <w:rPr>
          <w:rFonts w:ascii="Arial" w:hAnsi="Arial" w:cs="Arial"/>
          <w:sz w:val="22"/>
          <w:szCs w:val="22"/>
          <w:lang w:val="es-ES"/>
        </w:rPr>
      </w:pPr>
      <w:r w:rsidRPr="00045449">
        <w:rPr>
          <w:rFonts w:ascii="Arial" w:hAnsi="Arial" w:cs="Arial"/>
          <w:b/>
          <w:sz w:val="22"/>
          <w:szCs w:val="22"/>
          <w:lang w:val="es-419"/>
        </w:rPr>
        <w:t>Componente 3. Mejoramiento de la gestión, calidad y eficiencia de las redes integradas (BID US$16,80 millones).</w:t>
      </w:r>
      <w:r w:rsidRPr="00045449">
        <w:rPr>
          <w:rFonts w:ascii="Arial" w:hAnsi="Arial" w:cs="Arial"/>
          <w:sz w:val="22"/>
          <w:szCs w:val="22"/>
          <w:lang w:val="es-419"/>
        </w:rPr>
        <w:t xml:space="preserve"> Este componente tiene como objetivo incrementar la capacidad de gestión de los servicios, involucrando la implementación de mecanismos de promoción de la calidad y eficiencia, a través de abordajes innovadores. Los recursos del programa financiarán: (i) la solución tecnológica integrada de información, incluyendo la historia clínica electrónica para la atención primaria, secundaria y la regulación de acceso a los servicios, utilizando tecnologías de punta; (ii) el proyecto de gerenciamiento estratégico de costos, calidad y eficiencia de los establecimientos de salud que permita evaluar la utilización de</w:t>
      </w:r>
      <w:r w:rsidRPr="00045449">
        <w:rPr>
          <w:rFonts w:ascii="Arial" w:hAnsi="Arial" w:cs="Arial"/>
          <w:sz w:val="22"/>
          <w:szCs w:val="22"/>
          <w:lang w:val="es-ES"/>
        </w:rPr>
        <w:t xml:space="preserve"> recursos y sus resultados, y mapear y rediseñar procesos críticos; (iii) la gestión de la calidad y seguridad del paciente, por medio de la acreditación y certificación de servicios y la aplicación de la metodología de ciclos de mejoramiento continuo.</w:t>
      </w:r>
    </w:p>
    <w:p w14:paraId="7E014522" w14:textId="77777777" w:rsidR="00045449" w:rsidRPr="00045449" w:rsidRDefault="00045449" w:rsidP="00045449">
      <w:pPr>
        <w:tabs>
          <w:tab w:val="num" w:pos="720"/>
        </w:tabs>
        <w:jc w:val="both"/>
        <w:rPr>
          <w:rFonts w:ascii="Arial" w:hAnsi="Arial" w:cs="Arial"/>
          <w:sz w:val="22"/>
          <w:szCs w:val="22"/>
          <w:lang w:val="es-419"/>
        </w:rPr>
      </w:pPr>
    </w:p>
    <w:p w14:paraId="6FBB6731" w14:textId="2EDA0D1B" w:rsidR="00411B19" w:rsidRPr="00411B19" w:rsidRDefault="00045449" w:rsidP="00045449">
      <w:pPr>
        <w:tabs>
          <w:tab w:val="num" w:pos="720"/>
        </w:tabs>
        <w:jc w:val="both"/>
        <w:rPr>
          <w:rFonts w:ascii="Arial" w:hAnsi="Arial" w:cs="Arial"/>
          <w:sz w:val="22"/>
          <w:szCs w:val="22"/>
          <w:lang w:val="es-419"/>
        </w:rPr>
      </w:pPr>
      <w:r w:rsidRPr="00045449">
        <w:rPr>
          <w:rFonts w:ascii="Arial" w:hAnsi="Arial" w:cs="Arial"/>
          <w:b/>
          <w:sz w:val="22"/>
          <w:szCs w:val="22"/>
          <w:lang w:val="es-419"/>
        </w:rPr>
        <w:t>Componente 4. Administración y evaluación del programa (BID US$1,00 millón).</w:t>
      </w:r>
      <w:r w:rsidRPr="00045449">
        <w:rPr>
          <w:rFonts w:ascii="Arial" w:hAnsi="Arial" w:cs="Arial"/>
          <w:sz w:val="22"/>
          <w:szCs w:val="22"/>
          <w:lang w:val="es-419"/>
        </w:rPr>
        <w:t xml:space="preserve"> Las acciones de este componente consisten en la ejecución y gestión del programa, el seguimiento de actividades y la medición de los resultados. Los recursos serán aplicados para apoyar a los servicios de administración del programa, supervisión de obras, auditoría, y evaluación de la implementación del programa y su impacto.</w:t>
      </w:r>
      <w:bookmarkEnd w:id="12"/>
    </w:p>
    <w:p w14:paraId="77D15DF5" w14:textId="6C430585" w:rsidR="00E44288" w:rsidRDefault="00E44288">
      <w:pPr>
        <w:rPr>
          <w:rFonts w:ascii="Arial" w:hAnsi="Arial" w:cs="Arial"/>
          <w:sz w:val="22"/>
          <w:szCs w:val="22"/>
          <w:lang w:val="es-ES"/>
        </w:rPr>
      </w:pPr>
      <w:r>
        <w:rPr>
          <w:rFonts w:ascii="Arial" w:hAnsi="Arial" w:cs="Arial"/>
          <w:sz w:val="22"/>
          <w:szCs w:val="22"/>
          <w:lang w:val="es-ES"/>
        </w:rPr>
        <w:br w:type="page"/>
      </w:r>
    </w:p>
    <w:p w14:paraId="33F42662" w14:textId="20B3285F" w:rsidR="009A7589" w:rsidRPr="00E44288" w:rsidRDefault="00144E12" w:rsidP="007809D2">
      <w:pPr>
        <w:pStyle w:val="Caption"/>
      </w:pPr>
      <w:r w:rsidRPr="00E44288">
        <w:lastRenderedPageBreak/>
        <w:t xml:space="preserve">Tabla </w:t>
      </w:r>
      <w:r w:rsidR="00A81D94">
        <w:rPr>
          <w:noProof/>
        </w:rPr>
        <w:fldChar w:fldCharType="begin"/>
      </w:r>
      <w:r w:rsidR="00A81D94">
        <w:rPr>
          <w:noProof/>
        </w:rPr>
        <w:instrText xml:space="preserve"> SEQ Tabla \* ARABIC </w:instrText>
      </w:r>
      <w:r w:rsidR="00A81D94">
        <w:rPr>
          <w:noProof/>
        </w:rPr>
        <w:fldChar w:fldCharType="separate"/>
      </w:r>
      <w:r w:rsidR="00EA0184" w:rsidRPr="00E44288">
        <w:rPr>
          <w:noProof/>
        </w:rPr>
        <w:t>1</w:t>
      </w:r>
      <w:r w:rsidR="00A81D94">
        <w:rPr>
          <w:noProof/>
        </w:rPr>
        <w:fldChar w:fldCharType="end"/>
      </w:r>
      <w:r w:rsidRPr="00E44288">
        <w:t xml:space="preserve">. </w:t>
      </w:r>
      <w:r w:rsidR="009A7589" w:rsidRPr="00E44288">
        <w:t>Costos de la operación</w:t>
      </w:r>
      <w:r w:rsidR="00023F9D" w:rsidRPr="00E44288">
        <w:t xml:space="preserve"> (millones de dólares)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8"/>
        <w:gridCol w:w="1013"/>
        <w:gridCol w:w="940"/>
        <w:gridCol w:w="1041"/>
      </w:tblGrid>
      <w:tr w:rsidR="00B95EDE" w:rsidRPr="008C21E4" w14:paraId="6367C296" w14:textId="77777777" w:rsidTr="00C23C79">
        <w:trPr>
          <w:jc w:val="center"/>
        </w:trPr>
        <w:tc>
          <w:tcPr>
            <w:tcW w:w="5028" w:type="dxa"/>
            <w:shd w:val="clear" w:color="auto" w:fill="8DB3E2"/>
          </w:tcPr>
          <w:p w14:paraId="1ECFF1FD" w14:textId="77777777" w:rsidR="00B95EDE" w:rsidRPr="008C21E4" w:rsidRDefault="00B95EDE" w:rsidP="00E26B4E">
            <w:pPr>
              <w:spacing w:after="100" w:afterAutospacing="1"/>
              <w:jc w:val="center"/>
              <w:rPr>
                <w:rFonts w:ascii="Arial" w:hAnsi="Arial" w:cs="Arial"/>
                <w:b/>
                <w:sz w:val="18"/>
                <w:szCs w:val="18"/>
                <w:lang w:val="es-ES"/>
              </w:rPr>
            </w:pPr>
            <w:r w:rsidRPr="008C21E4">
              <w:rPr>
                <w:rFonts w:ascii="Arial" w:hAnsi="Arial" w:cs="Arial"/>
                <w:b/>
                <w:sz w:val="18"/>
                <w:szCs w:val="18"/>
                <w:lang w:val="es-ES"/>
              </w:rPr>
              <w:t>Componentes</w:t>
            </w:r>
          </w:p>
        </w:tc>
        <w:tc>
          <w:tcPr>
            <w:tcW w:w="1013" w:type="dxa"/>
            <w:shd w:val="clear" w:color="auto" w:fill="8DB3E2"/>
          </w:tcPr>
          <w:p w14:paraId="2A8328F7" w14:textId="77777777" w:rsidR="00B95EDE" w:rsidRPr="008C21E4" w:rsidRDefault="00B95EDE" w:rsidP="00E26B4E">
            <w:pPr>
              <w:spacing w:after="100" w:afterAutospacing="1"/>
              <w:jc w:val="center"/>
              <w:rPr>
                <w:rFonts w:ascii="Arial" w:hAnsi="Arial" w:cs="Arial"/>
                <w:b/>
                <w:sz w:val="18"/>
                <w:szCs w:val="18"/>
                <w:lang w:val="es-ES"/>
              </w:rPr>
            </w:pPr>
            <w:r w:rsidRPr="008C21E4">
              <w:rPr>
                <w:rFonts w:ascii="Arial" w:hAnsi="Arial" w:cs="Arial"/>
                <w:b/>
                <w:sz w:val="18"/>
                <w:szCs w:val="18"/>
                <w:lang w:val="es-ES"/>
              </w:rPr>
              <w:t xml:space="preserve">BID </w:t>
            </w:r>
          </w:p>
        </w:tc>
        <w:tc>
          <w:tcPr>
            <w:tcW w:w="940" w:type="dxa"/>
            <w:shd w:val="clear" w:color="auto" w:fill="8DB3E2"/>
          </w:tcPr>
          <w:p w14:paraId="04C74C19" w14:textId="77777777" w:rsidR="00B95EDE" w:rsidRPr="008C21E4" w:rsidRDefault="00B95EDE" w:rsidP="00E26B4E">
            <w:pPr>
              <w:spacing w:after="100" w:afterAutospacing="1"/>
              <w:jc w:val="center"/>
              <w:rPr>
                <w:rFonts w:ascii="Arial" w:hAnsi="Arial" w:cs="Arial"/>
                <w:b/>
                <w:sz w:val="18"/>
                <w:szCs w:val="18"/>
                <w:lang w:val="es-ES"/>
              </w:rPr>
            </w:pPr>
            <w:r w:rsidRPr="008C21E4">
              <w:rPr>
                <w:rFonts w:ascii="Arial" w:hAnsi="Arial" w:cs="Arial"/>
                <w:b/>
                <w:sz w:val="18"/>
                <w:szCs w:val="18"/>
                <w:lang w:val="es-ES"/>
              </w:rPr>
              <w:t>Local</w:t>
            </w:r>
          </w:p>
        </w:tc>
        <w:tc>
          <w:tcPr>
            <w:tcW w:w="1041" w:type="dxa"/>
            <w:shd w:val="clear" w:color="auto" w:fill="8DB3E2"/>
          </w:tcPr>
          <w:p w14:paraId="6CBF0FAE" w14:textId="77777777" w:rsidR="00B95EDE" w:rsidRPr="008C21E4" w:rsidRDefault="00B95EDE" w:rsidP="00E26B4E">
            <w:pPr>
              <w:spacing w:after="100" w:afterAutospacing="1"/>
              <w:jc w:val="center"/>
              <w:rPr>
                <w:rFonts w:ascii="Arial" w:hAnsi="Arial" w:cs="Arial"/>
                <w:b/>
                <w:sz w:val="18"/>
                <w:szCs w:val="18"/>
                <w:lang w:val="es-ES"/>
              </w:rPr>
            </w:pPr>
            <w:r w:rsidRPr="008C21E4">
              <w:rPr>
                <w:rFonts w:ascii="Arial" w:hAnsi="Arial" w:cs="Arial"/>
                <w:b/>
                <w:sz w:val="18"/>
                <w:szCs w:val="18"/>
                <w:lang w:val="es-ES"/>
              </w:rPr>
              <w:t>Total</w:t>
            </w:r>
          </w:p>
        </w:tc>
      </w:tr>
      <w:tr w:rsidR="00B95EDE" w:rsidRPr="008C21E4" w14:paraId="181F0E64" w14:textId="77777777" w:rsidTr="00C23C79">
        <w:trPr>
          <w:jc w:val="center"/>
        </w:trPr>
        <w:tc>
          <w:tcPr>
            <w:tcW w:w="5028" w:type="dxa"/>
            <w:shd w:val="clear" w:color="auto" w:fill="auto"/>
          </w:tcPr>
          <w:p w14:paraId="1EA0CF62" w14:textId="26673E12" w:rsidR="00B95EDE" w:rsidRPr="008C21E4" w:rsidRDefault="00B95EDE" w:rsidP="00E26B4E">
            <w:pPr>
              <w:spacing w:after="100" w:afterAutospacing="1"/>
              <w:rPr>
                <w:rFonts w:ascii="Arial" w:hAnsi="Arial" w:cs="Arial"/>
                <w:sz w:val="18"/>
                <w:szCs w:val="18"/>
                <w:lang w:val="es-ES"/>
              </w:rPr>
            </w:pPr>
            <w:r w:rsidRPr="008C21E4">
              <w:rPr>
                <w:rFonts w:ascii="Arial" w:hAnsi="Arial" w:cs="Arial"/>
                <w:sz w:val="18"/>
                <w:szCs w:val="18"/>
                <w:lang w:val="es-ES"/>
              </w:rPr>
              <w:t xml:space="preserve">Componente 1. </w:t>
            </w:r>
            <w:r w:rsidR="00411B19" w:rsidRPr="00411B19">
              <w:rPr>
                <w:rFonts w:ascii="Arial" w:hAnsi="Arial" w:cs="Arial"/>
                <w:sz w:val="18"/>
                <w:szCs w:val="18"/>
                <w:lang w:val="es-419"/>
              </w:rPr>
              <w:t>Fortalecimiento de las redes de atención primaria y vigilancia en</w:t>
            </w:r>
          </w:p>
        </w:tc>
        <w:tc>
          <w:tcPr>
            <w:tcW w:w="1013" w:type="dxa"/>
            <w:shd w:val="clear" w:color="auto" w:fill="auto"/>
            <w:vAlign w:val="center"/>
          </w:tcPr>
          <w:p w14:paraId="1A40A2BE" w14:textId="38DEDE11" w:rsidR="00B95EDE" w:rsidRPr="008C21E4" w:rsidRDefault="00411B19" w:rsidP="004901CE">
            <w:pPr>
              <w:spacing w:after="100" w:afterAutospacing="1"/>
              <w:jc w:val="center"/>
              <w:rPr>
                <w:rFonts w:ascii="Arial" w:hAnsi="Arial" w:cs="Arial"/>
                <w:sz w:val="18"/>
                <w:szCs w:val="18"/>
                <w:lang w:val="es-ES"/>
              </w:rPr>
            </w:pPr>
            <w:r>
              <w:rPr>
                <w:rFonts w:ascii="Arial" w:hAnsi="Arial" w:cs="Arial"/>
                <w:sz w:val="18"/>
                <w:szCs w:val="18"/>
                <w:lang w:val="es-ES"/>
              </w:rPr>
              <w:t>19</w:t>
            </w:r>
            <w:r w:rsidR="00B95EDE" w:rsidRPr="008C21E4">
              <w:rPr>
                <w:rFonts w:ascii="Arial" w:hAnsi="Arial" w:cs="Arial"/>
                <w:sz w:val="18"/>
                <w:szCs w:val="18"/>
                <w:lang w:val="es-ES"/>
              </w:rPr>
              <w:t>,</w:t>
            </w:r>
            <w:r>
              <w:rPr>
                <w:rFonts w:ascii="Arial" w:hAnsi="Arial" w:cs="Arial"/>
                <w:sz w:val="18"/>
                <w:szCs w:val="18"/>
                <w:lang w:val="es-ES"/>
              </w:rPr>
              <w:t>82</w:t>
            </w:r>
          </w:p>
        </w:tc>
        <w:tc>
          <w:tcPr>
            <w:tcW w:w="940" w:type="dxa"/>
            <w:vAlign w:val="center"/>
          </w:tcPr>
          <w:p w14:paraId="3CB01915" w14:textId="6F41DC77" w:rsidR="00B95EDE" w:rsidRPr="008C21E4" w:rsidRDefault="00B95EDE" w:rsidP="00411B19">
            <w:pPr>
              <w:spacing w:after="100" w:afterAutospacing="1"/>
              <w:rPr>
                <w:rFonts w:ascii="Arial" w:hAnsi="Arial" w:cs="Arial"/>
                <w:sz w:val="18"/>
                <w:szCs w:val="18"/>
                <w:lang w:val="es-ES"/>
              </w:rPr>
            </w:pPr>
          </w:p>
        </w:tc>
        <w:tc>
          <w:tcPr>
            <w:tcW w:w="1041" w:type="dxa"/>
            <w:vAlign w:val="center"/>
          </w:tcPr>
          <w:p w14:paraId="4ABF0E19" w14:textId="065A6DD2" w:rsidR="00B95EDE" w:rsidRPr="008C21E4" w:rsidRDefault="00411B19" w:rsidP="00E26B4E">
            <w:pPr>
              <w:spacing w:after="100" w:afterAutospacing="1"/>
              <w:jc w:val="center"/>
              <w:rPr>
                <w:rFonts w:ascii="Arial" w:hAnsi="Arial" w:cs="Arial"/>
                <w:sz w:val="18"/>
                <w:szCs w:val="18"/>
                <w:lang w:val="es-ES"/>
              </w:rPr>
            </w:pPr>
            <w:r>
              <w:rPr>
                <w:rFonts w:ascii="Arial" w:hAnsi="Arial" w:cs="Arial"/>
                <w:sz w:val="18"/>
                <w:szCs w:val="18"/>
                <w:lang w:val="es-ES"/>
              </w:rPr>
              <w:t>19,82</w:t>
            </w:r>
          </w:p>
        </w:tc>
      </w:tr>
      <w:tr w:rsidR="00B95EDE" w:rsidRPr="008C21E4" w14:paraId="3EF4377C" w14:textId="77777777" w:rsidTr="00C23C79">
        <w:trPr>
          <w:trHeight w:val="269"/>
          <w:jc w:val="center"/>
        </w:trPr>
        <w:tc>
          <w:tcPr>
            <w:tcW w:w="5028" w:type="dxa"/>
            <w:shd w:val="clear" w:color="auto" w:fill="auto"/>
          </w:tcPr>
          <w:p w14:paraId="7A77C0B5" w14:textId="1AD09729" w:rsidR="00B95EDE" w:rsidRPr="008C21E4" w:rsidRDefault="00B95EDE" w:rsidP="00E26B4E">
            <w:pPr>
              <w:spacing w:after="100" w:afterAutospacing="1"/>
              <w:rPr>
                <w:rFonts w:ascii="Arial" w:hAnsi="Arial" w:cs="Arial"/>
                <w:sz w:val="18"/>
                <w:szCs w:val="18"/>
                <w:lang w:val="es-ES"/>
              </w:rPr>
            </w:pPr>
            <w:r w:rsidRPr="008C21E4">
              <w:rPr>
                <w:rFonts w:ascii="Arial" w:hAnsi="Arial" w:cs="Arial"/>
                <w:sz w:val="18"/>
                <w:szCs w:val="18"/>
                <w:lang w:val="es-ES"/>
              </w:rPr>
              <w:t xml:space="preserve">Componente 2. </w:t>
            </w:r>
            <w:r w:rsidR="00411B19" w:rsidRPr="00411B19">
              <w:rPr>
                <w:rFonts w:ascii="Arial" w:hAnsi="Arial" w:cs="Arial"/>
                <w:sz w:val="18"/>
                <w:szCs w:val="18"/>
                <w:lang w:val="es-419"/>
              </w:rPr>
              <w:t>Consolidación e integración de servicios especializados, de emergencia, y hospitalarios</w:t>
            </w:r>
          </w:p>
        </w:tc>
        <w:tc>
          <w:tcPr>
            <w:tcW w:w="1013" w:type="dxa"/>
            <w:shd w:val="clear" w:color="auto" w:fill="auto"/>
            <w:vAlign w:val="center"/>
          </w:tcPr>
          <w:p w14:paraId="5F28CA4D" w14:textId="38B32E20" w:rsidR="00B95EDE" w:rsidRPr="008C21E4" w:rsidRDefault="00411B19" w:rsidP="004C7AE7">
            <w:pPr>
              <w:spacing w:after="100" w:afterAutospacing="1"/>
              <w:jc w:val="center"/>
              <w:rPr>
                <w:rFonts w:ascii="Arial" w:hAnsi="Arial" w:cs="Arial"/>
                <w:sz w:val="18"/>
                <w:szCs w:val="18"/>
                <w:lang w:val="es-ES"/>
              </w:rPr>
            </w:pPr>
            <w:r>
              <w:rPr>
                <w:rFonts w:ascii="Arial" w:hAnsi="Arial" w:cs="Arial"/>
                <w:sz w:val="18"/>
                <w:szCs w:val="18"/>
                <w:lang w:val="es-ES"/>
              </w:rPr>
              <w:t>18</w:t>
            </w:r>
            <w:r w:rsidR="00B95EDE" w:rsidRPr="008C21E4">
              <w:rPr>
                <w:rFonts w:ascii="Arial" w:hAnsi="Arial" w:cs="Arial"/>
                <w:sz w:val="18"/>
                <w:szCs w:val="18"/>
                <w:lang w:val="es-ES"/>
              </w:rPr>
              <w:t>,</w:t>
            </w:r>
            <w:r>
              <w:rPr>
                <w:rFonts w:ascii="Arial" w:hAnsi="Arial" w:cs="Arial"/>
                <w:sz w:val="18"/>
                <w:szCs w:val="18"/>
                <w:lang w:val="es-ES"/>
              </w:rPr>
              <w:t>4</w:t>
            </w:r>
            <w:r w:rsidR="00B95EDE" w:rsidRPr="008C21E4">
              <w:rPr>
                <w:rFonts w:ascii="Arial" w:hAnsi="Arial" w:cs="Arial"/>
                <w:sz w:val="18"/>
                <w:szCs w:val="18"/>
                <w:lang w:val="es-ES"/>
              </w:rPr>
              <w:t>0</w:t>
            </w:r>
          </w:p>
        </w:tc>
        <w:tc>
          <w:tcPr>
            <w:tcW w:w="940" w:type="dxa"/>
            <w:vAlign w:val="center"/>
          </w:tcPr>
          <w:p w14:paraId="3AE5D134" w14:textId="0822972E" w:rsidR="00B95EDE" w:rsidRPr="008C21E4" w:rsidRDefault="00B95EDE" w:rsidP="00E26B4E">
            <w:pPr>
              <w:spacing w:after="100" w:afterAutospacing="1"/>
              <w:jc w:val="center"/>
              <w:rPr>
                <w:rFonts w:ascii="Arial" w:hAnsi="Arial" w:cs="Arial"/>
                <w:sz w:val="18"/>
                <w:szCs w:val="18"/>
                <w:lang w:val="es-ES"/>
              </w:rPr>
            </w:pPr>
            <w:r w:rsidRPr="008C21E4">
              <w:rPr>
                <w:rFonts w:ascii="Arial" w:hAnsi="Arial" w:cs="Arial"/>
                <w:sz w:val="18"/>
                <w:szCs w:val="18"/>
                <w:lang w:val="es-ES"/>
              </w:rPr>
              <w:t>1</w:t>
            </w:r>
            <w:r w:rsidR="00411B19">
              <w:rPr>
                <w:rFonts w:ascii="Arial" w:hAnsi="Arial" w:cs="Arial"/>
                <w:sz w:val="18"/>
                <w:szCs w:val="18"/>
                <w:lang w:val="es-ES"/>
              </w:rPr>
              <w:t>4,0</w:t>
            </w:r>
            <w:r w:rsidRPr="008C21E4">
              <w:rPr>
                <w:rFonts w:ascii="Arial" w:hAnsi="Arial" w:cs="Arial"/>
                <w:sz w:val="18"/>
                <w:szCs w:val="18"/>
                <w:lang w:val="es-ES"/>
              </w:rPr>
              <w:t>0</w:t>
            </w:r>
          </w:p>
        </w:tc>
        <w:tc>
          <w:tcPr>
            <w:tcW w:w="1041" w:type="dxa"/>
            <w:vAlign w:val="center"/>
          </w:tcPr>
          <w:p w14:paraId="1D977A94" w14:textId="0D3A0A43" w:rsidR="00B95EDE" w:rsidRPr="008C21E4" w:rsidRDefault="00411B19" w:rsidP="00E26B4E">
            <w:pPr>
              <w:spacing w:after="100" w:afterAutospacing="1"/>
              <w:jc w:val="center"/>
              <w:rPr>
                <w:rFonts w:ascii="Arial" w:hAnsi="Arial" w:cs="Arial"/>
                <w:sz w:val="18"/>
                <w:szCs w:val="18"/>
                <w:lang w:val="es-ES"/>
              </w:rPr>
            </w:pPr>
            <w:r>
              <w:rPr>
                <w:rFonts w:ascii="Arial" w:hAnsi="Arial" w:cs="Arial"/>
                <w:sz w:val="18"/>
                <w:szCs w:val="18"/>
                <w:lang w:val="es-ES"/>
              </w:rPr>
              <w:t>32</w:t>
            </w:r>
            <w:r w:rsidR="00B95EDE" w:rsidRPr="008C21E4">
              <w:rPr>
                <w:rFonts w:ascii="Arial" w:hAnsi="Arial" w:cs="Arial"/>
                <w:sz w:val="18"/>
                <w:szCs w:val="18"/>
                <w:lang w:val="es-ES"/>
              </w:rPr>
              <w:t>,</w:t>
            </w:r>
            <w:r>
              <w:rPr>
                <w:rFonts w:ascii="Arial" w:hAnsi="Arial" w:cs="Arial"/>
                <w:sz w:val="18"/>
                <w:szCs w:val="18"/>
                <w:lang w:val="es-ES"/>
              </w:rPr>
              <w:t>40</w:t>
            </w:r>
          </w:p>
        </w:tc>
      </w:tr>
      <w:tr w:rsidR="00B95EDE" w:rsidRPr="008C21E4" w14:paraId="5434D380" w14:textId="77777777" w:rsidTr="00C23C79">
        <w:trPr>
          <w:trHeight w:val="269"/>
          <w:jc w:val="center"/>
        </w:trPr>
        <w:tc>
          <w:tcPr>
            <w:tcW w:w="5028" w:type="dxa"/>
            <w:shd w:val="clear" w:color="auto" w:fill="auto"/>
          </w:tcPr>
          <w:p w14:paraId="3A015D99" w14:textId="202FB070" w:rsidR="00B95EDE" w:rsidRPr="008C21E4" w:rsidRDefault="00B95EDE" w:rsidP="00E26B4E">
            <w:pPr>
              <w:spacing w:after="100" w:afterAutospacing="1"/>
              <w:rPr>
                <w:rFonts w:ascii="Arial" w:hAnsi="Arial" w:cs="Arial"/>
                <w:sz w:val="18"/>
                <w:szCs w:val="18"/>
                <w:lang w:val="es-ES"/>
              </w:rPr>
            </w:pPr>
            <w:r w:rsidRPr="008C21E4">
              <w:rPr>
                <w:rFonts w:ascii="Arial" w:hAnsi="Arial" w:cs="Arial"/>
                <w:sz w:val="18"/>
                <w:szCs w:val="18"/>
                <w:lang w:val="es-ES"/>
              </w:rPr>
              <w:t>Componente 3</w:t>
            </w:r>
            <w:r w:rsidRPr="00411B19">
              <w:rPr>
                <w:rFonts w:ascii="Arial" w:hAnsi="Arial" w:cs="Arial"/>
                <w:sz w:val="18"/>
                <w:szCs w:val="18"/>
                <w:lang w:val="es-ES"/>
              </w:rPr>
              <w:t xml:space="preserve">. </w:t>
            </w:r>
            <w:r w:rsidR="00411B19" w:rsidRPr="00411B19">
              <w:rPr>
                <w:rFonts w:ascii="Arial" w:hAnsi="Arial" w:cs="Arial"/>
                <w:sz w:val="18"/>
                <w:szCs w:val="18"/>
                <w:lang w:val="es-419"/>
              </w:rPr>
              <w:t>Mejoramiento de la gestión, calidad y eficiencia de las redes integradas</w:t>
            </w:r>
          </w:p>
        </w:tc>
        <w:tc>
          <w:tcPr>
            <w:tcW w:w="1013" w:type="dxa"/>
            <w:shd w:val="clear" w:color="auto" w:fill="auto"/>
            <w:vAlign w:val="center"/>
          </w:tcPr>
          <w:p w14:paraId="61709058" w14:textId="0A00A5FC" w:rsidR="00B95EDE" w:rsidRPr="008C21E4" w:rsidRDefault="00411B19" w:rsidP="004C7AE7">
            <w:pPr>
              <w:spacing w:after="100" w:afterAutospacing="1"/>
              <w:jc w:val="center"/>
              <w:rPr>
                <w:rFonts w:ascii="Arial" w:hAnsi="Arial" w:cs="Arial"/>
                <w:sz w:val="18"/>
                <w:szCs w:val="18"/>
                <w:lang w:val="es-ES"/>
              </w:rPr>
            </w:pPr>
            <w:r>
              <w:rPr>
                <w:rFonts w:ascii="Arial" w:hAnsi="Arial" w:cs="Arial"/>
                <w:sz w:val="18"/>
                <w:szCs w:val="18"/>
                <w:lang w:val="es-ES"/>
              </w:rPr>
              <w:t>16,8</w:t>
            </w:r>
            <w:r w:rsidR="00B95EDE" w:rsidRPr="008C21E4">
              <w:rPr>
                <w:rFonts w:ascii="Arial" w:hAnsi="Arial" w:cs="Arial"/>
                <w:sz w:val="18"/>
                <w:szCs w:val="18"/>
                <w:lang w:val="es-ES"/>
              </w:rPr>
              <w:t>0</w:t>
            </w:r>
          </w:p>
        </w:tc>
        <w:tc>
          <w:tcPr>
            <w:tcW w:w="940" w:type="dxa"/>
            <w:vAlign w:val="center"/>
          </w:tcPr>
          <w:p w14:paraId="365E7109" w14:textId="77777777" w:rsidR="00B95EDE" w:rsidRPr="008C21E4" w:rsidRDefault="00B95EDE" w:rsidP="00E26B4E">
            <w:pPr>
              <w:spacing w:after="100" w:afterAutospacing="1"/>
              <w:jc w:val="center"/>
              <w:rPr>
                <w:rFonts w:ascii="Arial" w:hAnsi="Arial" w:cs="Arial"/>
                <w:sz w:val="18"/>
                <w:szCs w:val="18"/>
                <w:lang w:val="es-ES"/>
              </w:rPr>
            </w:pPr>
          </w:p>
        </w:tc>
        <w:tc>
          <w:tcPr>
            <w:tcW w:w="1041" w:type="dxa"/>
            <w:vAlign w:val="center"/>
          </w:tcPr>
          <w:p w14:paraId="602343C7" w14:textId="11D9F6F5" w:rsidR="00B95EDE" w:rsidRPr="008C21E4" w:rsidRDefault="00411B19" w:rsidP="00E26B4E">
            <w:pPr>
              <w:spacing w:after="100" w:afterAutospacing="1"/>
              <w:jc w:val="center"/>
              <w:rPr>
                <w:rFonts w:ascii="Arial" w:hAnsi="Arial" w:cs="Arial"/>
                <w:sz w:val="18"/>
                <w:szCs w:val="18"/>
                <w:lang w:val="es-ES"/>
              </w:rPr>
            </w:pPr>
            <w:r>
              <w:rPr>
                <w:rFonts w:ascii="Arial" w:hAnsi="Arial" w:cs="Arial"/>
                <w:sz w:val="18"/>
                <w:szCs w:val="18"/>
                <w:lang w:val="es-ES"/>
              </w:rPr>
              <w:t>16,80</w:t>
            </w:r>
          </w:p>
        </w:tc>
      </w:tr>
      <w:tr w:rsidR="00B95EDE" w:rsidRPr="008C21E4" w14:paraId="79D1B220" w14:textId="77777777" w:rsidTr="00C23C79">
        <w:trPr>
          <w:trHeight w:val="269"/>
          <w:jc w:val="center"/>
        </w:trPr>
        <w:tc>
          <w:tcPr>
            <w:tcW w:w="5028" w:type="dxa"/>
            <w:shd w:val="clear" w:color="auto" w:fill="auto"/>
          </w:tcPr>
          <w:p w14:paraId="09A2B616" w14:textId="77777777" w:rsidR="00B95EDE" w:rsidRPr="008C21E4" w:rsidRDefault="00B95EDE" w:rsidP="00E26B4E">
            <w:pPr>
              <w:spacing w:after="100" w:afterAutospacing="1"/>
              <w:rPr>
                <w:rFonts w:ascii="Arial" w:hAnsi="Arial" w:cs="Arial"/>
                <w:sz w:val="18"/>
                <w:szCs w:val="18"/>
                <w:lang w:val="es-ES"/>
              </w:rPr>
            </w:pPr>
            <w:r w:rsidRPr="008C21E4">
              <w:rPr>
                <w:rFonts w:ascii="Arial" w:hAnsi="Arial" w:cs="Arial"/>
                <w:sz w:val="18"/>
                <w:szCs w:val="18"/>
                <w:lang w:val="es-ES"/>
              </w:rPr>
              <w:t>Componente 4. Administración y evaluación del programa</w:t>
            </w:r>
          </w:p>
        </w:tc>
        <w:tc>
          <w:tcPr>
            <w:tcW w:w="1013" w:type="dxa"/>
            <w:shd w:val="clear" w:color="auto" w:fill="auto"/>
            <w:vAlign w:val="center"/>
          </w:tcPr>
          <w:p w14:paraId="423022A3" w14:textId="29074E4F" w:rsidR="00B95EDE" w:rsidRPr="008C21E4" w:rsidRDefault="00411B19" w:rsidP="004C7AE7">
            <w:pPr>
              <w:spacing w:after="100" w:afterAutospacing="1"/>
              <w:jc w:val="center"/>
              <w:rPr>
                <w:rFonts w:ascii="Arial" w:hAnsi="Arial" w:cs="Arial"/>
                <w:sz w:val="18"/>
                <w:szCs w:val="18"/>
                <w:lang w:val="es-ES"/>
              </w:rPr>
            </w:pPr>
            <w:r>
              <w:rPr>
                <w:rFonts w:ascii="Arial" w:hAnsi="Arial" w:cs="Arial"/>
                <w:sz w:val="18"/>
                <w:szCs w:val="18"/>
                <w:lang w:val="es-ES"/>
              </w:rPr>
              <w:t>1,0</w:t>
            </w:r>
            <w:r w:rsidR="00B95EDE" w:rsidRPr="008C21E4">
              <w:rPr>
                <w:rFonts w:ascii="Arial" w:hAnsi="Arial" w:cs="Arial"/>
                <w:sz w:val="18"/>
                <w:szCs w:val="18"/>
                <w:lang w:val="es-ES"/>
              </w:rPr>
              <w:t>0</w:t>
            </w:r>
          </w:p>
        </w:tc>
        <w:tc>
          <w:tcPr>
            <w:tcW w:w="940" w:type="dxa"/>
            <w:vAlign w:val="center"/>
          </w:tcPr>
          <w:p w14:paraId="4BADAD57" w14:textId="77777777" w:rsidR="00B95EDE" w:rsidRPr="008C21E4" w:rsidRDefault="00B95EDE" w:rsidP="00E26B4E">
            <w:pPr>
              <w:spacing w:after="100" w:afterAutospacing="1"/>
              <w:jc w:val="center"/>
              <w:rPr>
                <w:rFonts w:ascii="Arial" w:hAnsi="Arial" w:cs="Arial"/>
                <w:sz w:val="18"/>
                <w:szCs w:val="18"/>
                <w:lang w:val="es-ES"/>
              </w:rPr>
            </w:pPr>
          </w:p>
        </w:tc>
        <w:tc>
          <w:tcPr>
            <w:tcW w:w="1041" w:type="dxa"/>
            <w:vAlign w:val="center"/>
          </w:tcPr>
          <w:p w14:paraId="60DFD28C" w14:textId="632BB50B" w:rsidR="00B95EDE" w:rsidRPr="008C21E4" w:rsidRDefault="00411B19" w:rsidP="00E26B4E">
            <w:pPr>
              <w:spacing w:after="100" w:afterAutospacing="1"/>
              <w:jc w:val="center"/>
              <w:rPr>
                <w:rFonts w:ascii="Arial" w:hAnsi="Arial" w:cs="Arial"/>
                <w:sz w:val="18"/>
                <w:szCs w:val="18"/>
                <w:lang w:val="es-ES"/>
              </w:rPr>
            </w:pPr>
            <w:r>
              <w:rPr>
                <w:rFonts w:ascii="Arial" w:hAnsi="Arial" w:cs="Arial"/>
                <w:sz w:val="18"/>
                <w:szCs w:val="18"/>
                <w:lang w:val="es-ES"/>
              </w:rPr>
              <w:t>1</w:t>
            </w:r>
            <w:r w:rsidR="00522ED6">
              <w:rPr>
                <w:rFonts w:ascii="Arial" w:hAnsi="Arial" w:cs="Arial"/>
                <w:sz w:val="18"/>
                <w:szCs w:val="18"/>
                <w:lang w:val="es-ES"/>
              </w:rPr>
              <w:t>,0</w:t>
            </w:r>
            <w:r>
              <w:rPr>
                <w:rFonts w:ascii="Arial" w:hAnsi="Arial" w:cs="Arial"/>
                <w:sz w:val="18"/>
                <w:szCs w:val="18"/>
                <w:lang w:val="es-ES"/>
              </w:rPr>
              <w:t>0</w:t>
            </w:r>
          </w:p>
        </w:tc>
      </w:tr>
      <w:tr w:rsidR="00B95EDE" w:rsidRPr="008C21E4" w14:paraId="105C6E21" w14:textId="77777777" w:rsidTr="00C23C79">
        <w:trPr>
          <w:trHeight w:val="269"/>
          <w:jc w:val="center"/>
        </w:trPr>
        <w:tc>
          <w:tcPr>
            <w:tcW w:w="5028" w:type="dxa"/>
            <w:shd w:val="clear" w:color="auto" w:fill="auto"/>
          </w:tcPr>
          <w:p w14:paraId="7CAB65A4" w14:textId="77777777" w:rsidR="00B95EDE" w:rsidRPr="008C21E4" w:rsidRDefault="00B95EDE" w:rsidP="00E26B4E">
            <w:pPr>
              <w:spacing w:after="100" w:afterAutospacing="1"/>
              <w:jc w:val="right"/>
              <w:rPr>
                <w:rFonts w:ascii="Arial" w:hAnsi="Arial" w:cs="Arial"/>
                <w:sz w:val="18"/>
                <w:szCs w:val="18"/>
                <w:lang w:val="es-ES"/>
              </w:rPr>
            </w:pPr>
            <w:r w:rsidRPr="008C21E4">
              <w:rPr>
                <w:rFonts w:ascii="Arial" w:hAnsi="Arial" w:cs="Arial"/>
                <w:b/>
                <w:sz w:val="18"/>
                <w:szCs w:val="18"/>
                <w:lang w:val="es-ES"/>
              </w:rPr>
              <w:t>Total</w:t>
            </w:r>
          </w:p>
        </w:tc>
        <w:tc>
          <w:tcPr>
            <w:tcW w:w="1013" w:type="dxa"/>
            <w:shd w:val="clear" w:color="auto" w:fill="auto"/>
            <w:vAlign w:val="center"/>
          </w:tcPr>
          <w:p w14:paraId="566733B2" w14:textId="31D5296D" w:rsidR="00B95EDE" w:rsidRPr="008C21E4" w:rsidRDefault="00522ED6" w:rsidP="004C7AE7">
            <w:pPr>
              <w:spacing w:after="100" w:afterAutospacing="1"/>
              <w:jc w:val="center"/>
              <w:rPr>
                <w:rFonts w:ascii="Arial" w:hAnsi="Arial" w:cs="Arial"/>
                <w:sz w:val="18"/>
                <w:szCs w:val="18"/>
                <w:lang w:val="es-ES"/>
              </w:rPr>
            </w:pPr>
            <w:r>
              <w:rPr>
                <w:rFonts w:ascii="Arial" w:hAnsi="Arial" w:cs="Arial"/>
                <w:b/>
                <w:sz w:val="18"/>
                <w:szCs w:val="18"/>
                <w:lang w:val="es-ES"/>
              </w:rPr>
              <w:t>56</w:t>
            </w:r>
            <w:r w:rsidR="00B95EDE" w:rsidRPr="008C21E4">
              <w:rPr>
                <w:rFonts w:ascii="Arial" w:hAnsi="Arial" w:cs="Arial"/>
                <w:b/>
                <w:sz w:val="18"/>
                <w:szCs w:val="18"/>
                <w:lang w:val="es-ES"/>
              </w:rPr>
              <w:t>,0</w:t>
            </w:r>
            <w:r>
              <w:rPr>
                <w:rFonts w:ascii="Arial" w:hAnsi="Arial" w:cs="Arial"/>
                <w:b/>
                <w:sz w:val="18"/>
                <w:szCs w:val="18"/>
                <w:lang w:val="es-ES"/>
              </w:rPr>
              <w:t>2</w:t>
            </w:r>
          </w:p>
        </w:tc>
        <w:tc>
          <w:tcPr>
            <w:tcW w:w="940" w:type="dxa"/>
            <w:vAlign w:val="center"/>
          </w:tcPr>
          <w:p w14:paraId="50371BE3" w14:textId="01294738" w:rsidR="00B95EDE" w:rsidRPr="008C21E4" w:rsidRDefault="00411B19" w:rsidP="00E26B4E">
            <w:pPr>
              <w:spacing w:after="100" w:afterAutospacing="1"/>
              <w:jc w:val="center"/>
              <w:rPr>
                <w:rFonts w:ascii="Arial" w:hAnsi="Arial" w:cs="Arial"/>
                <w:b/>
                <w:sz w:val="18"/>
                <w:szCs w:val="18"/>
                <w:lang w:val="es-ES"/>
              </w:rPr>
            </w:pPr>
            <w:r>
              <w:rPr>
                <w:rFonts w:ascii="Arial" w:hAnsi="Arial" w:cs="Arial"/>
                <w:b/>
                <w:sz w:val="18"/>
                <w:szCs w:val="18"/>
                <w:lang w:val="es-ES"/>
              </w:rPr>
              <w:t>14.00</w:t>
            </w:r>
          </w:p>
        </w:tc>
        <w:tc>
          <w:tcPr>
            <w:tcW w:w="1041" w:type="dxa"/>
          </w:tcPr>
          <w:p w14:paraId="6D35C6B4" w14:textId="1F7A0787" w:rsidR="00B95EDE" w:rsidRPr="008C21E4" w:rsidRDefault="00522ED6" w:rsidP="00E26B4E">
            <w:pPr>
              <w:spacing w:after="100" w:afterAutospacing="1"/>
              <w:jc w:val="center"/>
              <w:rPr>
                <w:rFonts w:ascii="Arial" w:hAnsi="Arial" w:cs="Arial"/>
                <w:b/>
                <w:sz w:val="18"/>
                <w:szCs w:val="18"/>
                <w:lang w:val="es-ES"/>
              </w:rPr>
            </w:pPr>
            <w:r>
              <w:rPr>
                <w:rFonts w:ascii="Arial" w:hAnsi="Arial" w:cs="Arial"/>
                <w:b/>
                <w:sz w:val="18"/>
                <w:szCs w:val="18"/>
                <w:lang w:val="es-ES"/>
              </w:rPr>
              <w:t>70,02</w:t>
            </w:r>
          </w:p>
        </w:tc>
      </w:tr>
    </w:tbl>
    <w:p w14:paraId="22DD76BB" w14:textId="77777777" w:rsidR="00EA0184" w:rsidRPr="008C21E4" w:rsidRDefault="00EA0184" w:rsidP="000A586A">
      <w:pPr>
        <w:rPr>
          <w:szCs w:val="22"/>
          <w:lang w:val="es-ES"/>
        </w:rPr>
      </w:pPr>
      <w:bookmarkStart w:id="13" w:name="_Toc296257185"/>
      <w:bookmarkEnd w:id="10"/>
    </w:p>
    <w:p w14:paraId="2ED254A7" w14:textId="77777777" w:rsidR="005D4ACB" w:rsidRDefault="005D4ACB">
      <w:pPr>
        <w:rPr>
          <w:rFonts w:ascii="Arial" w:eastAsia="Times New Roman" w:hAnsi="Arial" w:cs="Arial"/>
          <w:b/>
          <w:bCs/>
          <w:sz w:val="22"/>
          <w:szCs w:val="28"/>
          <w:lang w:val="es-ES"/>
        </w:rPr>
      </w:pPr>
      <w:r>
        <w:rPr>
          <w:lang w:val="es-ES"/>
        </w:rPr>
        <w:br w:type="page"/>
      </w:r>
    </w:p>
    <w:p w14:paraId="2520A2A7" w14:textId="1A28CEAB" w:rsidR="00015AFD" w:rsidRPr="008C21E4" w:rsidRDefault="008242ED" w:rsidP="00E44288">
      <w:pPr>
        <w:pStyle w:val="Heading1"/>
      </w:pPr>
      <w:bookmarkStart w:id="14" w:name="_Toc525384016"/>
      <w:r w:rsidRPr="008C21E4">
        <w:lastRenderedPageBreak/>
        <w:t>I</w:t>
      </w:r>
      <w:r w:rsidR="002356B7" w:rsidRPr="008C21E4">
        <w:t xml:space="preserve">I. </w:t>
      </w:r>
      <w:r w:rsidR="008C30C9" w:rsidRPr="008C21E4">
        <w:tab/>
      </w:r>
      <w:r w:rsidR="00BB436F" w:rsidRPr="008C21E4">
        <w:t>A</w:t>
      </w:r>
      <w:r w:rsidR="00D3685E" w:rsidRPr="008C21E4">
        <w:t xml:space="preserve">nálisis </w:t>
      </w:r>
      <w:r w:rsidR="00EA2260">
        <w:t>E</w:t>
      </w:r>
      <w:r w:rsidR="00D3685E" w:rsidRPr="008C21E4">
        <w:t>conómico</w:t>
      </w:r>
      <w:bookmarkEnd w:id="13"/>
      <w:bookmarkEnd w:id="14"/>
    </w:p>
    <w:p w14:paraId="700C956A" w14:textId="7581C38A" w:rsidR="003C0AC1" w:rsidRPr="008C21E4" w:rsidRDefault="001E57DE" w:rsidP="001025F1">
      <w:pPr>
        <w:pStyle w:val="ColorfulList-Accent11"/>
        <w:spacing w:before="120" w:after="100" w:afterAutospacing="1" w:line="240" w:lineRule="auto"/>
        <w:ind w:left="0"/>
        <w:jc w:val="both"/>
        <w:rPr>
          <w:rFonts w:cs="Arial"/>
          <w:lang w:val="es-ES"/>
        </w:rPr>
      </w:pPr>
      <w:r w:rsidRPr="008C21E4">
        <w:rPr>
          <w:rFonts w:cs="Arial"/>
          <w:lang w:val="es-ES"/>
        </w:rPr>
        <w:t>El enfoque del análisis económico que se desarrolla en este documento utiliza los Años de Vida Ajustados por Discapacidad (AVADs) para cuantificar los beneficios que se obtienen de la implementación de líneas de atención de salud de eficiencia probada y convierte dichos beneficios expresados en años productivos en beneficios económicos multiplicando los AVADs obtenidos por el producto interno bruto</w:t>
      </w:r>
      <w:r w:rsidR="008E2A4E" w:rsidRPr="008C21E4">
        <w:rPr>
          <w:rFonts w:cs="Arial"/>
          <w:lang w:val="es-ES"/>
        </w:rPr>
        <w:t xml:space="preserve"> per cápita</w:t>
      </w:r>
      <w:r w:rsidRPr="008C21E4">
        <w:rPr>
          <w:rFonts w:cs="Arial"/>
          <w:lang w:val="es-ES"/>
        </w:rPr>
        <w:t xml:space="preserve"> de la población beneficiada.</w:t>
      </w:r>
      <w:r w:rsidR="008E2A4E" w:rsidRPr="008C21E4">
        <w:rPr>
          <w:rFonts w:cs="Arial"/>
          <w:lang w:val="es-ES"/>
        </w:rPr>
        <w:t xml:space="preserve"> El supuesto es que con una población más saludable se obtiene mayor productividad.</w:t>
      </w:r>
      <w:r w:rsidR="008E2A4E" w:rsidRPr="008C21E4">
        <w:rPr>
          <w:lang w:val="es-ES"/>
        </w:rPr>
        <w:t xml:space="preserve"> </w:t>
      </w:r>
      <w:r w:rsidR="008E2A4E" w:rsidRPr="008C21E4">
        <w:rPr>
          <w:rFonts w:cs="Arial"/>
          <w:lang w:val="es-ES"/>
        </w:rPr>
        <w:t>Este enfoque para realizar el análisis económico de programas de salud ha sido utilizado anteriormente para analizar la relación costo beneficio de varios proyectos financiados por el Banco en Brasil incluyendo BR</w:t>
      </w:r>
      <w:r w:rsidR="00C23C79" w:rsidRPr="008C21E4">
        <w:rPr>
          <w:rFonts w:cs="Arial"/>
          <w:lang w:val="es-ES"/>
        </w:rPr>
        <w:noBreakHyphen/>
      </w:r>
      <w:r w:rsidR="000D32A0">
        <w:rPr>
          <w:rFonts w:cs="Arial"/>
          <w:lang w:val="es-ES"/>
        </w:rPr>
        <w:t>L1429 en São Paulo</w:t>
      </w:r>
      <w:r w:rsidR="008E2A4E" w:rsidRPr="008C21E4">
        <w:rPr>
          <w:rFonts w:cs="Arial"/>
          <w:lang w:val="es-ES"/>
        </w:rPr>
        <w:t xml:space="preserve"> y BR-L1408 en Ceará. Una de sus ventajas es que permite cuantificar los beneficios de programas que incluyen varias intervenciones que fortalecen a una red de servicios de salud. </w:t>
      </w:r>
    </w:p>
    <w:p w14:paraId="2DCCFEEB" w14:textId="77777777" w:rsidR="003C0AC1" w:rsidRPr="008C21E4" w:rsidRDefault="003C0AC1" w:rsidP="001025F1">
      <w:pPr>
        <w:pStyle w:val="ColorfulList-Accent11"/>
        <w:spacing w:before="120" w:after="100" w:afterAutospacing="1" w:line="240" w:lineRule="auto"/>
        <w:ind w:left="0"/>
        <w:jc w:val="both"/>
        <w:rPr>
          <w:rFonts w:cs="Arial"/>
          <w:lang w:val="es-ES"/>
        </w:rPr>
      </w:pPr>
    </w:p>
    <w:p w14:paraId="2C5C3724" w14:textId="7E2CE45B" w:rsidR="00114E8C" w:rsidRPr="008C21E4" w:rsidRDefault="000D32A0" w:rsidP="0000599D">
      <w:pPr>
        <w:pStyle w:val="ColorfulList-Accent11"/>
        <w:spacing w:before="120" w:after="100" w:afterAutospacing="1" w:line="240" w:lineRule="auto"/>
        <w:ind w:left="0"/>
        <w:jc w:val="both"/>
        <w:rPr>
          <w:rFonts w:cs="Arial"/>
          <w:lang w:val="es-ES"/>
        </w:rPr>
      </w:pPr>
      <w:r w:rsidRPr="008C21E4">
        <w:rPr>
          <w:rFonts w:cs="Arial"/>
          <w:lang w:val="es-ES"/>
        </w:rPr>
        <w:t xml:space="preserve">Mejor Salud BH </w:t>
      </w:r>
      <w:r w:rsidR="003C0AC1" w:rsidRPr="008C21E4">
        <w:rPr>
          <w:rFonts w:cs="Arial"/>
          <w:lang w:val="es-ES"/>
        </w:rPr>
        <w:t xml:space="preserve">es un programa que tiene el objetivo de </w:t>
      </w:r>
      <w:r w:rsidR="001263B7" w:rsidRPr="00E578A2">
        <w:rPr>
          <w:rFonts w:cs="Arial"/>
          <w:lang w:val="es-419"/>
        </w:rPr>
        <w:t>mejorar el estado de salud de la población en Belo Horizonte, mediante el aumento del acceso, calidad y eficiencia de los servicios de salud</w:t>
      </w:r>
      <w:r w:rsidR="001263B7" w:rsidRPr="008C21E4">
        <w:rPr>
          <w:rFonts w:cs="Arial"/>
          <w:lang w:val="es-ES"/>
        </w:rPr>
        <w:t xml:space="preserve"> </w:t>
      </w:r>
      <w:r w:rsidR="003C0AC1" w:rsidRPr="008C21E4">
        <w:rPr>
          <w:rFonts w:cs="Arial"/>
          <w:lang w:val="es-ES"/>
        </w:rPr>
        <w:t xml:space="preserve">en </w:t>
      </w:r>
      <w:r w:rsidR="00F54BDF" w:rsidRPr="008C21E4">
        <w:rPr>
          <w:rFonts w:cs="Arial"/>
          <w:lang w:val="es-ES"/>
        </w:rPr>
        <w:t>distintos</w:t>
      </w:r>
      <w:r w:rsidR="0000599D" w:rsidRPr="008C21E4">
        <w:rPr>
          <w:rFonts w:cs="Arial"/>
          <w:lang w:val="es-ES"/>
        </w:rPr>
        <w:t xml:space="preserve"> niveles de atención de la red</w:t>
      </w:r>
      <w:r w:rsidR="00463755" w:rsidRPr="008C21E4">
        <w:rPr>
          <w:rFonts w:cs="Arial"/>
          <w:lang w:val="es-ES"/>
        </w:rPr>
        <w:t>.</w:t>
      </w:r>
      <w:r w:rsidR="003C0AC1" w:rsidRPr="008C21E4">
        <w:rPr>
          <w:rFonts w:cs="Arial"/>
          <w:lang w:val="es-ES"/>
        </w:rPr>
        <w:t xml:space="preserve"> Los beneficios cuantificados en este documento provienen de la disminución en mortalidad y morbilidad derivados de una mayor cobertura y una mayor calidad en los servicios de salud. </w:t>
      </w:r>
      <w:r w:rsidR="008E2A4E" w:rsidRPr="008C21E4">
        <w:rPr>
          <w:rFonts w:cs="Arial"/>
          <w:lang w:val="es-ES"/>
        </w:rPr>
        <w:t>Existe evidencia de que la atención de salud organizada en redes genera mejores resultados en salud que acciones descoordinadas.</w:t>
      </w:r>
      <w:r w:rsidR="00D21C1E" w:rsidRPr="008C21E4">
        <w:rPr>
          <w:rFonts w:cs="Arial"/>
          <w:lang w:val="es-ES"/>
        </w:rPr>
        <w:t xml:space="preserve"> E</w:t>
      </w:r>
      <w:r w:rsidR="008E2A4E" w:rsidRPr="008C21E4">
        <w:rPr>
          <w:rFonts w:cs="Arial"/>
          <w:lang w:val="es-ES"/>
        </w:rPr>
        <w:t xml:space="preserve">xiste evidencia </w:t>
      </w:r>
      <w:r w:rsidR="00FE3B86" w:rsidRPr="008C21E4">
        <w:rPr>
          <w:rFonts w:cs="Arial"/>
          <w:lang w:val="es-ES"/>
        </w:rPr>
        <w:t xml:space="preserve">documentada </w:t>
      </w:r>
      <w:r w:rsidR="008E2A4E" w:rsidRPr="008C21E4">
        <w:rPr>
          <w:rFonts w:cs="Arial"/>
          <w:lang w:val="es-ES"/>
        </w:rPr>
        <w:t>para Brasil que muestra que el fortalecimiento del modelo de atención primaria en red ha tenido muy buenos resultados para reducir la morbi-mortalidad y para reducir las hospitalizaciones prevenibles y mejorar la gestión de las redes de salud (ver Guanais y Macinko; Macinko y Harris 2015; Macinko et al. 2011).</w:t>
      </w:r>
      <w:r w:rsidR="003C0AC1" w:rsidRPr="008C21E4">
        <w:rPr>
          <w:rFonts w:cs="Arial"/>
          <w:lang w:val="es-ES"/>
        </w:rPr>
        <w:t xml:space="preserve"> Este apartado presenta una breve explicación de los AVADs y después desarrolla la aplicación de la metodología</w:t>
      </w:r>
      <w:r w:rsidR="00A85176">
        <w:rPr>
          <w:rFonts w:cs="Arial"/>
          <w:lang w:val="es-ES"/>
        </w:rPr>
        <w:t xml:space="preserve"> para evaluar los beneficios de </w:t>
      </w:r>
      <w:r w:rsidR="00A85176" w:rsidRPr="008C21E4">
        <w:rPr>
          <w:rFonts w:cs="Arial"/>
          <w:lang w:val="es-ES"/>
        </w:rPr>
        <w:t>Mejor Salud BH</w:t>
      </w:r>
      <w:r w:rsidR="003C0AC1" w:rsidRPr="008C21E4">
        <w:rPr>
          <w:rFonts w:cs="Arial"/>
          <w:lang w:val="es-ES"/>
        </w:rPr>
        <w:t>.</w:t>
      </w:r>
    </w:p>
    <w:p w14:paraId="68BC3BA3" w14:textId="77777777" w:rsidR="00FA34E2" w:rsidRPr="008C21E4" w:rsidRDefault="00FA34E2" w:rsidP="008A41E6">
      <w:pPr>
        <w:pStyle w:val="Heading2"/>
        <w:numPr>
          <w:ilvl w:val="0"/>
          <w:numId w:val="5"/>
        </w:numPr>
        <w:rPr>
          <w:i/>
        </w:rPr>
      </w:pPr>
      <w:bookmarkStart w:id="15" w:name="_Toc296257187"/>
      <w:bookmarkStart w:id="16" w:name="_Toc525384017"/>
      <w:r w:rsidRPr="008C21E4">
        <w:t>Medida de efectividad</w:t>
      </w:r>
      <w:r w:rsidR="00472B16" w:rsidRPr="008C21E4">
        <w:t xml:space="preserve"> </w:t>
      </w:r>
      <w:r w:rsidR="00763381" w:rsidRPr="008C21E4">
        <w:t>de l</w:t>
      </w:r>
      <w:r w:rsidR="00763381" w:rsidRPr="008C21E4">
        <w:rPr>
          <w:rFonts w:eastAsia="Calibri"/>
        </w:rPr>
        <w:t>íneas</w:t>
      </w:r>
      <w:r w:rsidR="00763381" w:rsidRPr="008C21E4">
        <w:t xml:space="preserve"> </w:t>
      </w:r>
      <w:r w:rsidR="00763381" w:rsidRPr="008C21E4">
        <w:rPr>
          <w:rFonts w:eastAsia="Calibri"/>
        </w:rPr>
        <w:t>de</w:t>
      </w:r>
      <w:r w:rsidR="00763381" w:rsidRPr="008C21E4">
        <w:t xml:space="preserve"> </w:t>
      </w:r>
      <w:r w:rsidR="00763381" w:rsidRPr="008C21E4">
        <w:rPr>
          <w:rFonts w:eastAsia="Calibri"/>
        </w:rPr>
        <w:t>atención</w:t>
      </w:r>
      <w:r w:rsidR="00763381" w:rsidRPr="008C21E4">
        <w:t xml:space="preserve"> </w:t>
      </w:r>
      <w:r w:rsidR="00763381" w:rsidRPr="008C21E4">
        <w:rPr>
          <w:rFonts w:eastAsia="Calibri"/>
        </w:rPr>
        <w:t>en</w:t>
      </w:r>
      <w:r w:rsidR="00763381" w:rsidRPr="008C21E4">
        <w:t xml:space="preserve"> </w:t>
      </w:r>
      <w:r w:rsidRPr="008C21E4">
        <w:t>A</w:t>
      </w:r>
      <w:r w:rsidRPr="008C21E4">
        <w:rPr>
          <w:rFonts w:eastAsia="Calibri"/>
        </w:rPr>
        <w:t>ños</w:t>
      </w:r>
      <w:r w:rsidRPr="008C21E4">
        <w:t xml:space="preserve"> </w:t>
      </w:r>
      <w:r w:rsidRPr="008C21E4">
        <w:rPr>
          <w:rFonts w:eastAsia="Calibri"/>
        </w:rPr>
        <w:t>de</w:t>
      </w:r>
      <w:r w:rsidRPr="008C21E4">
        <w:t xml:space="preserve"> </w:t>
      </w:r>
      <w:r w:rsidRPr="008C21E4">
        <w:rPr>
          <w:rFonts w:eastAsia="Calibri"/>
        </w:rPr>
        <w:t>Vida</w:t>
      </w:r>
      <w:r w:rsidRPr="008C21E4">
        <w:t xml:space="preserve"> </w:t>
      </w:r>
      <w:r w:rsidRPr="008C21E4">
        <w:rPr>
          <w:rFonts w:eastAsia="Calibri"/>
        </w:rPr>
        <w:t>A</w:t>
      </w:r>
      <w:r w:rsidRPr="008C21E4">
        <w:t>justados por Discapacidad -AVAD</w:t>
      </w:r>
      <w:r w:rsidR="00230803" w:rsidRPr="008C21E4">
        <w:t>s</w:t>
      </w:r>
      <w:bookmarkEnd w:id="15"/>
      <w:bookmarkEnd w:id="16"/>
    </w:p>
    <w:p w14:paraId="3E0908DF" w14:textId="6FB255C8" w:rsidR="00FA34E2" w:rsidRPr="008C21E4" w:rsidRDefault="00FA34E2" w:rsidP="00E83BC5">
      <w:pPr>
        <w:pStyle w:val="ColorfulList-Accent11"/>
        <w:spacing w:before="120" w:after="100" w:afterAutospacing="1" w:line="240" w:lineRule="auto"/>
        <w:ind w:left="0"/>
        <w:jc w:val="both"/>
        <w:rPr>
          <w:rFonts w:cs="Arial"/>
          <w:lang w:val="es-ES"/>
        </w:rPr>
      </w:pPr>
      <w:r w:rsidRPr="008C21E4">
        <w:rPr>
          <w:rFonts w:cs="Arial"/>
          <w:lang w:val="es-ES"/>
        </w:rPr>
        <w:t>Los</w:t>
      </w:r>
      <w:r w:rsidR="005B08FD" w:rsidRPr="008C21E4">
        <w:rPr>
          <w:rFonts w:cs="Arial"/>
          <w:lang w:val="es-ES"/>
        </w:rPr>
        <w:t xml:space="preserve"> </w:t>
      </w:r>
      <w:r w:rsidRPr="008C21E4">
        <w:rPr>
          <w:rFonts w:cs="Arial"/>
          <w:lang w:val="es-ES"/>
        </w:rPr>
        <w:t>años de vida ajustados por discapacidad</w:t>
      </w:r>
      <w:r w:rsidR="005B08FD" w:rsidRPr="008C21E4">
        <w:rPr>
          <w:rFonts w:cs="Arial"/>
          <w:lang w:val="es-ES"/>
        </w:rPr>
        <w:t xml:space="preserve"> (AVAD</w:t>
      </w:r>
      <w:r w:rsidR="007907B9" w:rsidRPr="008C21E4">
        <w:rPr>
          <w:rFonts w:cs="Arial"/>
          <w:lang w:val="es-ES"/>
        </w:rPr>
        <w:t>s o DALYs por sus siglas en ing</w:t>
      </w:r>
      <w:r w:rsidR="00FF75D2" w:rsidRPr="008C21E4">
        <w:rPr>
          <w:rFonts w:cs="Arial"/>
          <w:lang w:val="es-ES"/>
        </w:rPr>
        <w:t>l</w:t>
      </w:r>
      <w:r w:rsidR="007907B9" w:rsidRPr="008C21E4">
        <w:rPr>
          <w:rFonts w:cs="Arial"/>
          <w:lang w:val="es-ES"/>
        </w:rPr>
        <w:t>és</w:t>
      </w:r>
      <w:r w:rsidR="005B08FD" w:rsidRPr="008C21E4">
        <w:rPr>
          <w:rFonts w:cs="Arial"/>
          <w:lang w:val="es-ES"/>
        </w:rPr>
        <w:t>)</w:t>
      </w:r>
      <w:r w:rsidRPr="008C21E4">
        <w:rPr>
          <w:rFonts w:cs="Arial"/>
          <w:lang w:val="es-ES"/>
        </w:rPr>
        <w:t xml:space="preserve"> son un indicador sintético que combina años de vid</w:t>
      </w:r>
      <w:r w:rsidR="00745172" w:rsidRPr="008C21E4">
        <w:rPr>
          <w:rFonts w:cs="Arial"/>
          <w:lang w:val="es-ES"/>
        </w:rPr>
        <w:t>a perdidos por muerte prematura</w:t>
      </w:r>
      <w:r w:rsidRPr="008C21E4">
        <w:rPr>
          <w:rFonts w:cs="Arial"/>
          <w:lang w:val="es-ES"/>
        </w:rPr>
        <w:t xml:space="preserve"> y </w:t>
      </w:r>
      <w:r w:rsidR="007907B9" w:rsidRPr="008C21E4">
        <w:rPr>
          <w:rFonts w:cs="Arial"/>
          <w:lang w:val="es-ES"/>
        </w:rPr>
        <w:t xml:space="preserve">los </w:t>
      </w:r>
      <w:r w:rsidRPr="008C21E4">
        <w:rPr>
          <w:rFonts w:cs="Arial"/>
          <w:lang w:val="es-ES"/>
        </w:rPr>
        <w:t>años</w:t>
      </w:r>
      <w:r w:rsidR="007907B9" w:rsidRPr="008C21E4">
        <w:rPr>
          <w:rFonts w:cs="Arial"/>
          <w:lang w:val="es-ES"/>
        </w:rPr>
        <w:t xml:space="preserve"> perdidos por </w:t>
      </w:r>
      <w:r w:rsidRPr="008C21E4">
        <w:rPr>
          <w:rFonts w:cs="Arial"/>
          <w:lang w:val="es-ES"/>
        </w:rPr>
        <w:t xml:space="preserve">discapacidad </w:t>
      </w:r>
      <w:r w:rsidR="007907B9" w:rsidRPr="008C21E4">
        <w:rPr>
          <w:rFonts w:cs="Arial"/>
          <w:lang w:val="es-ES"/>
        </w:rPr>
        <w:t>severa</w:t>
      </w:r>
      <w:r w:rsidRPr="008C21E4">
        <w:rPr>
          <w:rFonts w:cs="Arial"/>
          <w:lang w:val="es-ES"/>
        </w:rPr>
        <w:t xml:space="preserve">. </w:t>
      </w:r>
      <w:r w:rsidR="007907B9" w:rsidRPr="008C21E4">
        <w:rPr>
          <w:rFonts w:cs="Arial"/>
          <w:lang w:val="es-ES"/>
        </w:rPr>
        <w:t xml:space="preserve">Se espera que las intervenciones en la red de servicios de salud </w:t>
      </w:r>
      <w:r w:rsidR="00837513">
        <w:rPr>
          <w:rFonts w:cs="Arial"/>
          <w:lang w:val="es-ES"/>
        </w:rPr>
        <w:t xml:space="preserve">de Mejor Salud BH </w:t>
      </w:r>
      <w:r w:rsidR="007907B9" w:rsidRPr="008C21E4">
        <w:rPr>
          <w:rFonts w:cs="Arial"/>
          <w:lang w:val="es-ES"/>
        </w:rPr>
        <w:t>contribuyan a una población más saludabl</w:t>
      </w:r>
      <w:r w:rsidR="00175B06">
        <w:rPr>
          <w:rFonts w:cs="Arial"/>
          <w:lang w:val="es-ES"/>
        </w:rPr>
        <w:t>e y a reducir el número de AVADs</w:t>
      </w:r>
      <w:r w:rsidR="007907B9" w:rsidRPr="008C21E4">
        <w:rPr>
          <w:rFonts w:cs="Arial"/>
          <w:lang w:val="es-ES"/>
        </w:rPr>
        <w:t xml:space="preserve"> perdidos. Existe un sólido trabajo académico para medir los impactos de implementar diferentes líneas de atención de salud en una población en términos de AVADs. </w:t>
      </w:r>
      <w:r w:rsidRPr="008C21E4">
        <w:rPr>
          <w:rFonts w:cs="Arial"/>
          <w:lang w:val="es-ES"/>
        </w:rPr>
        <w:t xml:space="preserve">La primera vez que se utilizó </w:t>
      </w:r>
      <w:r w:rsidR="007907B9" w:rsidRPr="008C21E4">
        <w:rPr>
          <w:rFonts w:cs="Arial"/>
          <w:lang w:val="es-ES"/>
        </w:rPr>
        <w:t xml:space="preserve">este enfoque </w:t>
      </w:r>
      <w:r w:rsidRPr="008C21E4">
        <w:rPr>
          <w:rFonts w:cs="Arial"/>
          <w:lang w:val="es-ES"/>
        </w:rPr>
        <w:t xml:space="preserve">fue en el Informe de Desarrollo Mundial 1993 del Banco Mundial </w:t>
      </w:r>
      <w:r w:rsidR="0055093D" w:rsidRPr="008C21E4">
        <w:rPr>
          <w:rFonts w:cs="Arial"/>
          <w:lang w:val="es-ES"/>
        </w:rPr>
        <w:fldChar w:fldCharType="begin" w:fldLock="1"/>
      </w:r>
      <w:r w:rsidR="0055093D" w:rsidRPr="008C21E4">
        <w:rPr>
          <w:rFonts w:cs="Arial"/>
          <w:lang w:val="es-ES"/>
        </w:rPr>
        <w:instrText>ADDIN CSL_CITATION { "citationItems" : [ { "id" : "ITEM-1", "itemData" : { "abstract" : "This is the sixteenth in the annual series and examines the interplay between human health, health policy and economic development. Because good health increases the economic productivity of individuals and the economic growth rate of countries, investing in health is one means of accelerating development. More important, good health is a goal in itself. During the past forty years life expectancy in the developing world has risen and child mortality has decreased, sometimes dramatically. But progress is only one side of the picture. The toll from childhood and tropical diseases remains high even as new problems - including AIDS and the diseases of aging populations - appear on the scene. And all countries are struggling with the problems of controlling health expenditures and making health care accessible to the broad population. This report examines the controversial questions surrounding health care and health policy. Its findings are based in large part on innovative research, including estimation of the global burden of disease and the cost-effectiveness of interventions. These assessments can help in setting priorities for health spending. The report advocates a threefold approach to health policy for governments in developing countries and in the formerly socialist countries. First, to foster an economic environment that will enable households to improve their own health. Policies for economic growth that ensure income gains for the poor are essential. So, too, is expanded investment in schooling, particulary for girls. Second, redirect government spending away from specialized care and toward such low-cost and highly effective activities such as immunization, programs to combat micronutrient deficiencies, and control and treatment of infectious diseases. By adopting the packages of public health measures and essential clinical care dsecribed in the report, developing countries could reduce their burden of disease by 25 percent. Third, encourage greater diversity and competition in the provision of health services by decentralizing government services, promoting competitive procurement practices, fostering greater involvement by nongovernmental and other private organizations, and regulating insurance markets. These reforms could translate into longer, healthier, and more productive lives for people around the world, and especially for the more than 1 billion poor. As in previous editions, this report includes the World Development Indicators, wh\u2026", "author" : [ { "dropping-particle" : "", "family" : "Berkley", "given" : "Seth", "non-dropping-particle" : "", "parse-names" : false, "suffix" : "" }, { "dropping-particle" : "", "family" : "Murray", "given" : "Christopher J. L.", "non-dropping-particle" : "", "parse-names" : false, "suffix" : "" }, { "dropping-particle" : "", "family" : "Hecht", "given" : "Robert", "non-dropping-particle" : "", "parse-names" : false, "suffix" : "" }, { "dropping-particle" : "", "family" : "Saxenian", "given" : "Helen", "non-dropping-particle" : "", "parse-names" : false, "suffix" : "" }, { "dropping-particle" : "", "family" : "Musgrove", "given" : "Philip", "non-dropping-particle" : "", "parse-names" : false, "suffix" : "" }, { "dropping-particle" : "", "family" : "Tan", "given" : "Jee-Peng", "non-dropping-particle" : "", "parse-names" : false, "suffix" : "" }, { "dropping-particle" : "", "family" : "Bobadilla", "given" : "Jose-Luis", "non-dropping-particle" : "", "parse-names" : false, "suffix" : "" }, { "dropping-particle" : "", "family" : "Hill", "given" : "Kenneth", "non-dropping-particle" : "", "parse-names" : false, "suffix" : "" }, { "dropping-particle" : "", "family" : "Jamison", "given" : "Dean T.", "non-dropping-particle" : "", "parse-names" : false, "suffix" : "" } ], "id" : "ITEM-1", "issued" : { "date-parts" : [ [ "1993", "7", "1" ] ] }, "language" : "es", "page" : "1-351", "title" : "Informe sobre el desarrollo mundial 1993 : investir en salud", "type" : "article-journal" }, "uris" : [ "http://www.mendeley.com/documents/?uuid=aca2a692-f864-422d-882c-49c255a22f2c" ] } ], "mendeley" : { "formattedCitation" : "(Berkley et al. 1993)", "plainTextFormattedCitation" : "(Berkley et al. 1993)", "previouslyFormattedCitation" : "(Berkley et al. 1993)" }, "properties" : { "noteIndex" : 0 }, "schema" : "https://github.com/citation-style-language/schema/raw/master/csl-citation.json" }</w:instrText>
      </w:r>
      <w:r w:rsidR="0055093D" w:rsidRPr="008C21E4">
        <w:rPr>
          <w:rFonts w:cs="Arial"/>
          <w:lang w:val="es-ES"/>
        </w:rPr>
        <w:fldChar w:fldCharType="separate"/>
      </w:r>
      <w:r w:rsidR="0055093D" w:rsidRPr="008C21E4">
        <w:rPr>
          <w:rFonts w:cs="Arial"/>
          <w:noProof/>
          <w:lang w:val="es-ES"/>
        </w:rPr>
        <w:t>(Berkley et al. 1993)</w:t>
      </w:r>
      <w:r w:rsidR="0055093D" w:rsidRPr="008C21E4">
        <w:rPr>
          <w:rFonts w:cs="Arial"/>
          <w:lang w:val="es-ES"/>
        </w:rPr>
        <w:fldChar w:fldCharType="end"/>
      </w:r>
      <w:r w:rsidR="0055093D" w:rsidRPr="008C21E4">
        <w:rPr>
          <w:rFonts w:cs="Arial"/>
          <w:lang w:val="es-ES"/>
        </w:rPr>
        <w:t xml:space="preserve"> </w:t>
      </w:r>
      <w:r w:rsidRPr="008C21E4">
        <w:rPr>
          <w:rFonts w:cs="Arial"/>
          <w:lang w:val="es-ES"/>
        </w:rPr>
        <w:t xml:space="preserve">y en el respectivo libro de referencia </w:t>
      </w:r>
      <w:r w:rsidRPr="008C21E4">
        <w:rPr>
          <w:rFonts w:cs="Arial"/>
          <w:i/>
          <w:iCs/>
          <w:lang w:val="es-ES"/>
        </w:rPr>
        <w:t>Disease Control Priorities in Developing</w:t>
      </w:r>
      <w:r w:rsidRPr="008C21E4">
        <w:rPr>
          <w:rFonts w:cs="Arial"/>
          <w:lang w:val="es-ES"/>
        </w:rPr>
        <w:t xml:space="preserve"> </w:t>
      </w:r>
      <w:r w:rsidRPr="008C21E4">
        <w:rPr>
          <w:rFonts w:cs="Arial"/>
          <w:i/>
          <w:iCs/>
          <w:lang w:val="es-ES"/>
        </w:rPr>
        <w:t xml:space="preserve">Countries </w:t>
      </w:r>
      <w:r w:rsidR="0055093D" w:rsidRPr="008C21E4">
        <w:rPr>
          <w:rFonts w:cs="Arial"/>
          <w:i/>
          <w:iCs/>
          <w:lang w:val="es-ES"/>
        </w:rPr>
        <w:fldChar w:fldCharType="begin" w:fldLock="1"/>
      </w:r>
      <w:r w:rsidR="00D85DA0" w:rsidRPr="008C21E4">
        <w:rPr>
          <w:rFonts w:cs="Arial"/>
          <w:i/>
          <w:iCs/>
          <w:lang w:val="es-ES"/>
        </w:rPr>
        <w:instrText>ADDIN CSL_CITATION { "citationItems" : [ { "id" : "ITEM-1", "itemData" : { "PMID" : "21250309", "author" : [ { "dropping-particle" : "", "family" : "Jamison", "given" : "Dean T", "non-dropping-particle" : "", "parse-names" : false, "suffix" : "" }, { "dropping-particle" : "", "family" : "Breman", "given" : "Joel G", "non-dropping-particle" : "", "parse-names" : false, "suffix" : "" }, { "dropping-particle" : "", "family" : "Measham", "given" : "Anthony R", "non-dropping-particle" : "", "parse-names" : false, "suffix" : "" }, { "dropping-particle" : "", "family" : "Alleyne", "given" : "George", "non-dropping-particle" : "", "parse-names" : false, "suffix" : "" }, { "dropping-particle" : "", "family" : "Claeson", "given" : "Mariam", "non-dropping-particle" : "", "parse-names" : false, "suffix" : "" }, { "dropping-particle" : "", "family" : "Evans", "given" : "David B", "non-dropping-particle" : "", "parse-names" : false, "suffix" : "" }, { "dropping-particle" : "", "family" : "Jha", "given" : "Prabhat", "non-dropping-particle" : "", "parse-names" : false, "suffix" : "" }, { "dropping-particle" : "", "family" : "Mills", "given" : "Anne", "non-dropping-particle" : "", "parse-names" : false, "suffix" : "" }, { "dropping-particle" : "", "family" : "Musgrove", "given" : "Philip", "non-dropping-particle" : "", "parse-names" : false, "suffix" : "" } ], "id" : "ITEM-1", "issued" : { "date-parts" : [ [ "2006" ] ] }, "language" : "en", "publisher" : "World Bank", "title" : "Disease Control Priorities in Developing Countries", "type" : "article" }, "uris" : [ "http://www.mendeley.com/documents/?uuid=64a8ed3c-bb59-4fc6-ab56-b821ebef995e" ] } ], "mendeley" : { "formattedCitation" : "(Jamison et al. 2006)", "plainTextFormattedCitation" : "(Jamison et al. 2006)", "previouslyFormattedCitation" : "(Jamison et al. 2006)" }, "properties" : { "noteIndex" : 0 }, "schema" : "https://github.com/citation-style-language/schema/raw/master/csl-citation.json" }</w:instrText>
      </w:r>
      <w:r w:rsidR="0055093D" w:rsidRPr="008C21E4">
        <w:rPr>
          <w:rFonts w:cs="Arial"/>
          <w:i/>
          <w:iCs/>
          <w:lang w:val="es-ES"/>
        </w:rPr>
        <w:fldChar w:fldCharType="separate"/>
      </w:r>
      <w:r w:rsidR="0055093D" w:rsidRPr="008C21E4">
        <w:rPr>
          <w:rFonts w:cs="Arial"/>
          <w:iCs/>
          <w:noProof/>
          <w:lang w:val="es-ES"/>
        </w:rPr>
        <w:t>(Jamison et al. 2006)</w:t>
      </w:r>
      <w:r w:rsidR="0055093D" w:rsidRPr="008C21E4">
        <w:rPr>
          <w:rFonts w:cs="Arial"/>
          <w:i/>
          <w:iCs/>
          <w:lang w:val="es-ES"/>
        </w:rPr>
        <w:fldChar w:fldCharType="end"/>
      </w:r>
      <w:r w:rsidRPr="008C21E4">
        <w:rPr>
          <w:rFonts w:cs="Arial"/>
          <w:lang w:val="es-ES"/>
        </w:rPr>
        <w:t xml:space="preserve">. Hoy en día es un indicador ampliamente usado en el ámbito </w:t>
      </w:r>
      <w:r w:rsidR="008F6D7E" w:rsidRPr="008C21E4">
        <w:rPr>
          <w:rFonts w:cs="Arial"/>
          <w:lang w:val="es-ES"/>
        </w:rPr>
        <w:t xml:space="preserve">del desarrollo </w:t>
      </w:r>
      <w:r w:rsidRPr="008C21E4">
        <w:rPr>
          <w:rFonts w:cs="Arial"/>
          <w:lang w:val="es-ES"/>
        </w:rPr>
        <w:t>internacional para estimar la carga mundial de enfermedad y para estudios comparativos de costo-efectividad. El uso como medida de salud de los AVAD</w:t>
      </w:r>
      <w:r w:rsidR="007907B9" w:rsidRPr="008C21E4">
        <w:rPr>
          <w:rFonts w:cs="Arial"/>
          <w:lang w:val="es-ES"/>
        </w:rPr>
        <w:t>s</w:t>
      </w:r>
      <w:r w:rsidRPr="008C21E4">
        <w:rPr>
          <w:rFonts w:cs="Arial"/>
          <w:lang w:val="es-ES"/>
        </w:rPr>
        <w:t xml:space="preserve"> permite cuantificar el estado de salud de una población con las siguientes propiedades:</w:t>
      </w:r>
    </w:p>
    <w:p w14:paraId="7BA629DA" w14:textId="77777777" w:rsidR="00FA34E2" w:rsidRPr="008C21E4" w:rsidRDefault="00FA34E2" w:rsidP="008A41E6">
      <w:pPr>
        <w:numPr>
          <w:ilvl w:val="0"/>
          <w:numId w:val="4"/>
        </w:numPr>
        <w:spacing w:before="120" w:after="100" w:afterAutospacing="1"/>
        <w:contextualSpacing/>
        <w:jc w:val="both"/>
        <w:rPr>
          <w:rFonts w:ascii="Arial" w:eastAsia="Times New Roman" w:hAnsi="Arial" w:cs="Arial"/>
          <w:sz w:val="22"/>
          <w:szCs w:val="22"/>
          <w:lang w:val="es-ES"/>
        </w:rPr>
      </w:pPr>
      <w:r w:rsidRPr="008C21E4">
        <w:rPr>
          <w:rFonts w:ascii="Arial" w:eastAsia="Times New Roman" w:hAnsi="Arial" w:cs="Arial"/>
          <w:sz w:val="22"/>
          <w:szCs w:val="22"/>
          <w:lang w:val="es-ES"/>
        </w:rPr>
        <w:t>Incorporar condiciones no fatales en las evaluaciones de los estados de salud.</w:t>
      </w:r>
    </w:p>
    <w:p w14:paraId="30A07E0B" w14:textId="77777777" w:rsidR="00FA34E2" w:rsidRPr="008C21E4" w:rsidRDefault="00FA34E2" w:rsidP="008A41E6">
      <w:pPr>
        <w:numPr>
          <w:ilvl w:val="0"/>
          <w:numId w:val="4"/>
        </w:numPr>
        <w:spacing w:before="120" w:after="100" w:afterAutospacing="1"/>
        <w:contextualSpacing/>
        <w:jc w:val="both"/>
        <w:rPr>
          <w:rFonts w:ascii="Arial" w:eastAsia="Times New Roman" w:hAnsi="Arial" w:cs="Arial"/>
          <w:sz w:val="22"/>
          <w:szCs w:val="22"/>
          <w:lang w:val="es-ES"/>
        </w:rPr>
      </w:pPr>
      <w:r w:rsidRPr="008C21E4">
        <w:rPr>
          <w:rFonts w:ascii="Arial" w:eastAsia="Times New Roman" w:hAnsi="Arial" w:cs="Arial"/>
          <w:sz w:val="22"/>
          <w:szCs w:val="22"/>
          <w:lang w:val="es-ES"/>
        </w:rPr>
        <w:t>Obtener estimaciones objetivas y plausibles de las cargas de condiciones y enfermedades particulares.</w:t>
      </w:r>
    </w:p>
    <w:p w14:paraId="18102A90" w14:textId="77777777" w:rsidR="00FA34E2" w:rsidRPr="008C21E4" w:rsidRDefault="00FA34E2" w:rsidP="008A41E6">
      <w:pPr>
        <w:numPr>
          <w:ilvl w:val="0"/>
          <w:numId w:val="4"/>
        </w:numPr>
        <w:spacing w:before="120" w:after="100" w:afterAutospacing="1"/>
        <w:contextualSpacing/>
        <w:jc w:val="both"/>
        <w:rPr>
          <w:rFonts w:ascii="Arial" w:eastAsia="Times New Roman" w:hAnsi="Arial" w:cs="Arial"/>
          <w:sz w:val="22"/>
          <w:szCs w:val="22"/>
          <w:lang w:val="es-ES"/>
        </w:rPr>
      </w:pPr>
      <w:r w:rsidRPr="008C21E4">
        <w:rPr>
          <w:rFonts w:ascii="Arial" w:eastAsia="Times New Roman" w:hAnsi="Arial" w:cs="Arial"/>
          <w:sz w:val="22"/>
          <w:szCs w:val="22"/>
          <w:lang w:val="es-ES"/>
        </w:rPr>
        <w:t>Medir la carga de enfermedades y da</w:t>
      </w:r>
      <w:r w:rsidRPr="008C21E4">
        <w:rPr>
          <w:rFonts w:ascii="Arial" w:hAnsi="Arial" w:cs="Arial"/>
          <w:sz w:val="22"/>
          <w:szCs w:val="22"/>
          <w:lang w:val="es-ES"/>
        </w:rPr>
        <w:t>ños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físicos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una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unidad</w:t>
      </w:r>
      <w:r w:rsidRPr="008C21E4">
        <w:rPr>
          <w:rFonts w:ascii="Arial" w:eastAsia="Times New Roman" w:hAnsi="Arial" w:cs="Arial"/>
          <w:sz w:val="22"/>
          <w:szCs w:val="22"/>
          <w:lang w:val="es-ES"/>
        </w:rPr>
        <w:t xml:space="preserve"> </w:t>
      </w:r>
      <w:r w:rsidRPr="008C21E4">
        <w:rPr>
          <w:rFonts w:ascii="Arial" w:hAnsi="Arial" w:cs="Arial"/>
          <w:sz w:val="22"/>
          <w:szCs w:val="22"/>
          <w:lang w:val="es-ES"/>
        </w:rPr>
        <w:t>que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permita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también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evaluar</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el</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costo</w:t>
      </w:r>
      <w:r w:rsidRPr="008C21E4">
        <w:rPr>
          <w:rFonts w:ascii="Arial" w:eastAsia="Times New Roman" w:hAnsi="Arial" w:cs="Arial"/>
          <w:sz w:val="22"/>
          <w:szCs w:val="22"/>
          <w:lang w:val="es-ES"/>
        </w:rPr>
        <w:t>/</w:t>
      </w:r>
      <w:r w:rsidRPr="008C21E4">
        <w:rPr>
          <w:rFonts w:ascii="Arial" w:hAnsi="Arial" w:cs="Arial"/>
          <w:sz w:val="22"/>
          <w:szCs w:val="22"/>
          <w:lang w:val="es-ES"/>
        </w:rPr>
        <w:t>efectividad</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las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intervenciones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términos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costo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por</w:t>
      </w:r>
      <w:r w:rsidRPr="008C21E4">
        <w:rPr>
          <w:rFonts w:ascii="Arial" w:eastAsia="Times New Roman" w:hAnsi="Arial" w:cs="Arial"/>
          <w:sz w:val="22"/>
          <w:szCs w:val="22"/>
          <w:lang w:val="es-ES"/>
        </w:rPr>
        <w:t xml:space="preserve"> </w:t>
      </w:r>
      <w:r w:rsidRPr="008C21E4">
        <w:rPr>
          <w:rFonts w:ascii="Arial" w:hAnsi="Arial" w:cs="Arial"/>
          <w:sz w:val="22"/>
          <w:szCs w:val="22"/>
          <w:lang w:val="es-ES"/>
        </w:rPr>
        <w:t>unidad</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carga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enfermedad</w:t>
      </w:r>
      <w:r w:rsidRPr="008C21E4">
        <w:rPr>
          <w:rFonts w:ascii="Arial" w:eastAsia="Times New Roman" w:hAnsi="Arial" w:cs="Arial"/>
          <w:sz w:val="22"/>
          <w:szCs w:val="22"/>
          <w:lang w:val="es-ES"/>
        </w:rPr>
        <w:t xml:space="preserve"> eliminada.</w:t>
      </w:r>
    </w:p>
    <w:p w14:paraId="3F3DA37D" w14:textId="77777777" w:rsidR="00FA34E2" w:rsidRPr="008C21E4" w:rsidRDefault="00FA34E2" w:rsidP="001025F1">
      <w:pPr>
        <w:spacing w:before="120" w:after="100" w:afterAutospacing="1"/>
        <w:ind w:left="360"/>
        <w:contextualSpacing/>
        <w:jc w:val="both"/>
        <w:rPr>
          <w:rFonts w:ascii="Arial" w:eastAsia="Times New Roman" w:hAnsi="Arial" w:cs="Arial"/>
          <w:sz w:val="22"/>
          <w:szCs w:val="22"/>
          <w:lang w:val="es-ES"/>
        </w:rPr>
      </w:pPr>
    </w:p>
    <w:p w14:paraId="3AB5CFB2" w14:textId="62A7EB6B" w:rsidR="00FA34E2" w:rsidRPr="008C21E4" w:rsidRDefault="007907B9" w:rsidP="001025F1">
      <w:pPr>
        <w:spacing w:before="120" w:after="100" w:afterAutospacing="1"/>
        <w:contextualSpacing/>
        <w:jc w:val="both"/>
        <w:rPr>
          <w:rFonts w:ascii="Arial" w:hAnsi="Arial" w:cs="Arial"/>
          <w:sz w:val="22"/>
          <w:szCs w:val="22"/>
          <w:lang w:val="es-ES"/>
        </w:rPr>
      </w:pPr>
      <w:r w:rsidRPr="008C21E4">
        <w:rPr>
          <w:rFonts w:ascii="Arial" w:hAnsi="Arial" w:cs="Arial"/>
          <w:sz w:val="22"/>
          <w:szCs w:val="22"/>
          <w:lang w:val="es-ES"/>
        </w:rPr>
        <w:lastRenderedPageBreak/>
        <w:t>L</w:t>
      </w:r>
      <w:r w:rsidR="00FA34E2" w:rsidRPr="008C21E4">
        <w:rPr>
          <w:rFonts w:ascii="Arial" w:hAnsi="Arial" w:cs="Arial"/>
          <w:sz w:val="22"/>
          <w:szCs w:val="22"/>
          <w:lang w:val="es-ES"/>
        </w:rPr>
        <w:t xml:space="preserve">os años de vida perdidos por cada muerte </w:t>
      </w:r>
      <w:r w:rsidRPr="008C21E4">
        <w:rPr>
          <w:rFonts w:ascii="Arial" w:hAnsi="Arial" w:cs="Arial"/>
          <w:sz w:val="22"/>
          <w:szCs w:val="22"/>
          <w:lang w:val="es-ES"/>
        </w:rPr>
        <w:t xml:space="preserve">prematura </w:t>
      </w:r>
      <w:r w:rsidR="00841E8F">
        <w:rPr>
          <w:rFonts w:ascii="Arial" w:hAnsi="Arial" w:cs="Arial"/>
          <w:sz w:val="22"/>
          <w:szCs w:val="22"/>
          <w:lang w:val="es-ES"/>
        </w:rPr>
        <w:t>se establecen en función de la esperanza de v</w:t>
      </w:r>
      <w:r w:rsidR="00FA34E2" w:rsidRPr="008C21E4">
        <w:rPr>
          <w:rFonts w:ascii="Arial" w:hAnsi="Arial" w:cs="Arial"/>
          <w:sz w:val="22"/>
          <w:szCs w:val="22"/>
          <w:lang w:val="es-ES"/>
        </w:rPr>
        <w:t>ida</w:t>
      </w:r>
      <w:r w:rsidR="001A14D5" w:rsidRPr="008C21E4">
        <w:rPr>
          <w:rFonts w:ascii="Arial" w:hAnsi="Arial" w:cs="Arial"/>
          <w:sz w:val="22"/>
          <w:szCs w:val="22"/>
          <w:lang w:val="es-ES"/>
        </w:rPr>
        <w:t xml:space="preserve"> restante</w:t>
      </w:r>
      <w:r w:rsidR="00FA34E2" w:rsidRPr="008C21E4">
        <w:rPr>
          <w:rFonts w:ascii="Arial" w:hAnsi="Arial" w:cs="Arial"/>
          <w:sz w:val="22"/>
          <w:szCs w:val="22"/>
          <w:lang w:val="es-ES"/>
        </w:rPr>
        <w:t xml:space="preserve"> a la edad de cada muerte. Un AVAD representa la pérdida de un año que equiv</w:t>
      </w:r>
      <w:r w:rsidRPr="008C21E4">
        <w:rPr>
          <w:rFonts w:ascii="Arial" w:hAnsi="Arial" w:cs="Arial"/>
          <w:sz w:val="22"/>
          <w:szCs w:val="22"/>
          <w:lang w:val="es-ES"/>
        </w:rPr>
        <w:t xml:space="preserve">ale a un año </w:t>
      </w:r>
      <w:r w:rsidR="00917F3C" w:rsidRPr="008C21E4">
        <w:rPr>
          <w:rFonts w:ascii="Arial" w:hAnsi="Arial" w:cs="Arial"/>
          <w:sz w:val="22"/>
          <w:szCs w:val="22"/>
          <w:lang w:val="es-ES"/>
        </w:rPr>
        <w:t>totalmente</w:t>
      </w:r>
      <w:r w:rsidR="00FA34E2" w:rsidRPr="008C21E4">
        <w:rPr>
          <w:rFonts w:ascii="Arial" w:hAnsi="Arial" w:cs="Arial"/>
          <w:sz w:val="22"/>
          <w:szCs w:val="22"/>
          <w:lang w:val="es-ES"/>
        </w:rPr>
        <w:t xml:space="preserve"> saludable. </w:t>
      </w:r>
    </w:p>
    <w:p w14:paraId="6BEDBEF8" w14:textId="77777777" w:rsidR="00FE36C0" w:rsidRPr="008C21E4" w:rsidRDefault="00FE36C0" w:rsidP="001025F1">
      <w:pPr>
        <w:spacing w:before="120" w:after="100" w:afterAutospacing="1"/>
        <w:contextualSpacing/>
        <w:jc w:val="both"/>
        <w:rPr>
          <w:rFonts w:ascii="Arial" w:hAnsi="Arial" w:cs="Arial"/>
          <w:sz w:val="22"/>
          <w:szCs w:val="22"/>
          <w:lang w:val="es-ES"/>
        </w:rPr>
      </w:pPr>
    </w:p>
    <w:p w14:paraId="1AC43219" w14:textId="77777777" w:rsidR="00FE36C0" w:rsidRPr="008C21E4" w:rsidRDefault="00FE36C0" w:rsidP="001025F1">
      <w:pPr>
        <w:spacing w:before="120" w:after="100" w:afterAutospacing="1"/>
        <w:contextualSpacing/>
        <w:jc w:val="both"/>
        <w:rPr>
          <w:rFonts w:ascii="Arial" w:hAnsi="Arial" w:cs="Arial"/>
          <w:sz w:val="22"/>
          <w:szCs w:val="22"/>
          <w:lang w:val="es-ES"/>
        </w:rPr>
      </w:pPr>
      <w:bookmarkStart w:id="17" w:name="f1"/>
      <w:bookmarkEnd w:id="17"/>
      <w:r w:rsidRPr="008C21E4">
        <w:rPr>
          <w:rFonts w:ascii="Arial" w:hAnsi="Arial" w:cs="Arial"/>
          <w:sz w:val="22"/>
          <w:szCs w:val="22"/>
          <w:lang w:val="es-ES"/>
        </w:rPr>
        <w:t>En términos generales los A</w:t>
      </w:r>
      <w:r w:rsidR="005B08FD" w:rsidRPr="008C21E4">
        <w:rPr>
          <w:rFonts w:ascii="Arial" w:hAnsi="Arial" w:cs="Arial"/>
          <w:sz w:val="22"/>
          <w:szCs w:val="22"/>
          <w:lang w:val="es-ES"/>
        </w:rPr>
        <w:t>V</w:t>
      </w:r>
      <w:r w:rsidR="00917F3C" w:rsidRPr="008C21E4">
        <w:rPr>
          <w:rFonts w:ascii="Arial" w:hAnsi="Arial" w:cs="Arial"/>
          <w:sz w:val="22"/>
          <w:szCs w:val="22"/>
          <w:lang w:val="es-ES"/>
        </w:rPr>
        <w:t>A</w:t>
      </w:r>
      <w:r w:rsidRPr="008C21E4">
        <w:rPr>
          <w:rFonts w:ascii="Arial" w:hAnsi="Arial" w:cs="Arial"/>
          <w:sz w:val="22"/>
          <w:szCs w:val="22"/>
          <w:lang w:val="es-ES"/>
        </w:rPr>
        <w:t>D</w:t>
      </w:r>
      <w:r w:rsidR="007907B9" w:rsidRPr="008C21E4">
        <w:rPr>
          <w:rFonts w:ascii="Arial" w:hAnsi="Arial" w:cs="Arial"/>
          <w:sz w:val="22"/>
          <w:szCs w:val="22"/>
          <w:lang w:val="es-ES"/>
        </w:rPr>
        <w:t>s</w:t>
      </w:r>
      <w:r w:rsidRPr="008C21E4">
        <w:rPr>
          <w:rFonts w:ascii="Arial" w:hAnsi="Arial" w:cs="Arial"/>
          <w:sz w:val="22"/>
          <w:szCs w:val="22"/>
          <w:lang w:val="es-ES"/>
        </w:rPr>
        <w:t xml:space="preserve"> dependen de los siguientes parámetros: AVD: total Años Vividos con Discapacidad. N</w:t>
      </w:r>
      <w:r w:rsidRPr="008C21E4">
        <w:rPr>
          <w:rFonts w:ascii="Arial" w:hAnsi="Arial" w:cs="Arial"/>
          <w:sz w:val="22"/>
          <w:szCs w:val="22"/>
          <w:vertAlign w:val="subscript"/>
          <w:lang w:val="es-ES"/>
        </w:rPr>
        <w:t>j</w:t>
      </w:r>
      <w:r w:rsidRPr="008C21E4">
        <w:rPr>
          <w:rFonts w:ascii="Arial" w:hAnsi="Arial" w:cs="Arial"/>
          <w:sz w:val="22"/>
          <w:szCs w:val="22"/>
          <w:lang w:val="es-ES"/>
        </w:rPr>
        <w:t>: Población susceptible de enfermar a cada edad (0 - L). I</w:t>
      </w:r>
      <w:r w:rsidRPr="008C21E4">
        <w:rPr>
          <w:rFonts w:ascii="Arial" w:hAnsi="Arial" w:cs="Arial"/>
          <w:sz w:val="22"/>
          <w:szCs w:val="22"/>
          <w:vertAlign w:val="subscript"/>
          <w:lang w:val="es-ES"/>
        </w:rPr>
        <w:t>j</w:t>
      </w:r>
      <w:r w:rsidRPr="008C21E4">
        <w:rPr>
          <w:rFonts w:ascii="Arial" w:hAnsi="Arial" w:cs="Arial"/>
          <w:sz w:val="22"/>
          <w:szCs w:val="22"/>
          <w:lang w:val="es-ES"/>
        </w:rPr>
        <w:t>: Incidencia de la enfermedad a cada edad (0 - L). T</w:t>
      </w:r>
      <w:r w:rsidRPr="008C21E4">
        <w:rPr>
          <w:rFonts w:ascii="Arial" w:hAnsi="Arial" w:cs="Arial"/>
          <w:sz w:val="22"/>
          <w:szCs w:val="22"/>
          <w:vertAlign w:val="subscript"/>
          <w:lang w:val="es-ES"/>
        </w:rPr>
        <w:t>j</w:t>
      </w:r>
      <w:r w:rsidRPr="008C21E4">
        <w:rPr>
          <w:rFonts w:ascii="Arial" w:hAnsi="Arial" w:cs="Arial"/>
          <w:sz w:val="22"/>
          <w:szCs w:val="22"/>
          <w:lang w:val="es-ES"/>
        </w:rPr>
        <w:t>: Duración media de la enfermedad desde la edad de inicio (0 - L). D: Valor que pondera la discapacidad entre valores de "0 = salud perfecta" y "1 = máxima discapacidad o equivalente al estado de muerte". El método para establecer las escalas de severidad o ponderación de la discapacidad usada para los AVAD es el de Equivalencia de personas</w:t>
      </w:r>
      <w:r w:rsidR="00BF5924" w:rsidRPr="008C21E4">
        <w:rPr>
          <w:rFonts w:ascii="Arial" w:hAnsi="Arial" w:cs="Arial"/>
          <w:sz w:val="22"/>
          <w:szCs w:val="22"/>
          <w:lang w:val="es-ES"/>
        </w:rPr>
        <w:t xml:space="preserve"> </w:t>
      </w:r>
      <w:r w:rsidR="00BF5924" w:rsidRPr="008C21E4">
        <w:rPr>
          <w:rFonts w:ascii="Arial" w:hAnsi="Arial" w:cs="Arial"/>
          <w:sz w:val="22"/>
          <w:szCs w:val="22"/>
          <w:lang w:val="es-ES"/>
        </w:rPr>
        <w:fldChar w:fldCharType="begin" w:fldLock="1"/>
      </w:r>
      <w:r w:rsidR="00531F9F" w:rsidRPr="008C21E4">
        <w:rPr>
          <w:rFonts w:ascii="Arial" w:hAnsi="Arial" w:cs="Arial"/>
          <w:sz w:val="22"/>
          <w:szCs w:val="22"/>
          <w:lang w:val="es-ES"/>
        </w:rPr>
        <w:instrText>ADDIN CSL_CITATION { "citationItems" : [ { "id" : "ITEM-1", "itemData" : { "ISSN" : "0042-9686", "PMID" : "8062403", "abstract" : "Conventional methods for collecting, analysing and disseminating data and information on disability in populations have relied on cross-sectional censuses and surveys which measure prevalence in a given period. While this may be relevant for defining the extent and demographic pattern of disabilities in a population, and thus indicating the need for rehabilitative services, prevention requires detailed information on the underlying diseases and injuries that cause disabilities. The Global Burden of Disease methodology described in this paper provides a mechanism for quantifying the health consequences of the years of life lived with disabilities by first estimating the age-sex-specific incidence rates of underlying conditions, and then mapping these to a single disability index which collectively reflects the probability of progressing to a disability, the duration of life lived with the disability, and the approximate severity of the disability in terms of activity restriction. Detailed estimates of the number of disability-adjusted life years (DALYs) lived are provided in this paper, for eight geographical regions. The results should be useful to those concerned with planning health services for the disabled and, more particularly, with determining policies to prevent the underlying conditions which give rise to serious disabling sequelae.", "author" : [ { "dropping-particle" : "", "family" : "Murray", "given" : "C J", "non-dropping-particle" : "", "parse-names" : false, "suffix" : "" }, { "dropping-particle" : "", "family" : "Lopez", "given" : "A D", "non-dropping-particle" : "", "parse-names" : false, "suffix" : "" } ], "container-title" : "Bulletin of the World Health Organization", "id" : "ITEM-1", "issue" : "3", "issued" : { "date-parts" : [ [ "1994", "1" ] ] }, "page" : "481-94", "title" : "Quantifying disability: data, methods and results.", "type" : "article-journal", "volume" : "72" }, "uris" : [ "http://www.mendeley.com/documents/?uuid=4d26c997-ee43-4358-ad62-eb467cf111a9" ] } ], "mendeley" : { "formattedCitation" : "(C. J. Murray and Lopez 1994)", "manualFormatting" : "(Murray y Lopez 1994)", "plainTextFormattedCitation" : "(C. J. Murray and Lopez 1994)", "previouslyFormattedCitation" : "(C. J. Murray and Lopez 1994)" }, "properties" : { "noteIndex" : 0 }, "schema" : "https://github.com/citation-style-language/schema/raw/master/csl-citation.json" }</w:instrText>
      </w:r>
      <w:r w:rsidR="00BF5924" w:rsidRPr="008C21E4">
        <w:rPr>
          <w:rFonts w:ascii="Arial" w:hAnsi="Arial" w:cs="Arial"/>
          <w:sz w:val="22"/>
          <w:szCs w:val="22"/>
          <w:lang w:val="es-ES"/>
        </w:rPr>
        <w:fldChar w:fldCharType="separate"/>
      </w:r>
      <w:r w:rsidR="00BF5924" w:rsidRPr="008C21E4">
        <w:rPr>
          <w:rFonts w:ascii="Arial" w:hAnsi="Arial" w:cs="Arial"/>
          <w:noProof/>
          <w:sz w:val="22"/>
          <w:szCs w:val="22"/>
          <w:lang w:val="es-ES"/>
        </w:rPr>
        <w:t>(Murray y Lopez 1994)</w:t>
      </w:r>
      <w:r w:rsidR="00BF5924" w:rsidRPr="008C21E4">
        <w:rPr>
          <w:rFonts w:ascii="Arial" w:hAnsi="Arial" w:cs="Arial"/>
          <w:sz w:val="22"/>
          <w:szCs w:val="22"/>
          <w:lang w:val="es-ES"/>
        </w:rPr>
        <w:fldChar w:fldCharType="end"/>
      </w:r>
      <w:r w:rsidRPr="008C21E4">
        <w:rPr>
          <w:rFonts w:ascii="Arial" w:hAnsi="Arial" w:cs="Arial"/>
          <w:sz w:val="22"/>
          <w:szCs w:val="22"/>
          <w:lang w:val="es-ES"/>
        </w:rPr>
        <w:t>.</w:t>
      </w:r>
    </w:p>
    <w:p w14:paraId="73C2A240" w14:textId="77777777" w:rsidR="00FE36C0" w:rsidRPr="008C21E4" w:rsidRDefault="00FE36C0" w:rsidP="001025F1">
      <w:pPr>
        <w:spacing w:before="120" w:after="100" w:afterAutospacing="1"/>
        <w:contextualSpacing/>
        <w:jc w:val="both"/>
        <w:rPr>
          <w:rFonts w:ascii="Arial" w:eastAsia="Times New Roman" w:hAnsi="Arial" w:cs="Arial"/>
          <w:sz w:val="22"/>
          <w:szCs w:val="22"/>
          <w:lang w:val="es-ES"/>
        </w:rPr>
      </w:pPr>
    </w:p>
    <w:p w14:paraId="0CD761CC" w14:textId="77777777" w:rsidR="00FE36C0" w:rsidRPr="008C21E4" w:rsidRDefault="00FE36C0" w:rsidP="001025F1">
      <w:pPr>
        <w:spacing w:before="120" w:after="100" w:afterAutospacing="1"/>
        <w:contextualSpacing/>
        <w:jc w:val="both"/>
        <w:rPr>
          <w:rFonts w:ascii="Arial" w:eastAsia="Times New Roman" w:hAnsi="Arial" w:cs="Arial"/>
          <w:sz w:val="22"/>
          <w:szCs w:val="22"/>
          <w:lang w:val="es-ES"/>
        </w:rPr>
      </w:pPr>
      <w:r w:rsidRPr="008C21E4">
        <w:rPr>
          <w:rFonts w:ascii="Arial" w:eastAsia="Times New Roman" w:hAnsi="Arial" w:cs="Arial"/>
          <w:sz w:val="22"/>
          <w:szCs w:val="22"/>
          <w:lang w:val="es-ES"/>
        </w:rPr>
        <w:t>Como discu</w:t>
      </w:r>
      <w:r w:rsidR="005B08FD" w:rsidRPr="008C21E4">
        <w:rPr>
          <w:rFonts w:ascii="Arial" w:eastAsia="Times New Roman" w:hAnsi="Arial" w:cs="Arial"/>
          <w:sz w:val="22"/>
          <w:szCs w:val="22"/>
          <w:lang w:val="es-ES"/>
        </w:rPr>
        <w:t xml:space="preserve">ten </w:t>
      </w:r>
      <w:r w:rsidR="00D85DA0" w:rsidRPr="008C21E4">
        <w:rPr>
          <w:rFonts w:ascii="Arial" w:eastAsia="Times New Roman" w:hAnsi="Arial" w:cs="Arial"/>
          <w:sz w:val="22"/>
          <w:szCs w:val="22"/>
          <w:lang w:val="es-ES"/>
        </w:rPr>
        <w:fldChar w:fldCharType="begin" w:fldLock="1"/>
      </w:r>
      <w:r w:rsidR="00A04E82" w:rsidRPr="008C21E4">
        <w:rPr>
          <w:rFonts w:ascii="Arial" w:eastAsia="Times New Roman" w:hAnsi="Arial" w:cs="Arial"/>
          <w:sz w:val="22"/>
          <w:szCs w:val="22"/>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00D85DA0" w:rsidRPr="008C21E4">
        <w:rPr>
          <w:rFonts w:ascii="Arial" w:eastAsia="Times New Roman" w:hAnsi="Arial" w:cs="Arial"/>
          <w:sz w:val="22"/>
          <w:szCs w:val="22"/>
          <w:lang w:val="es-ES"/>
        </w:rPr>
        <w:fldChar w:fldCharType="separate"/>
      </w:r>
      <w:r w:rsidR="00D85DA0" w:rsidRPr="008C21E4">
        <w:rPr>
          <w:rFonts w:ascii="Arial" w:eastAsia="Times New Roman" w:hAnsi="Arial" w:cs="Arial"/>
          <w:noProof/>
          <w:sz w:val="22"/>
          <w:szCs w:val="22"/>
          <w:lang w:val="es-ES"/>
        </w:rPr>
        <w:t>Alvis</w:t>
      </w:r>
      <w:r w:rsidR="00073909" w:rsidRPr="008C21E4">
        <w:rPr>
          <w:rFonts w:ascii="Arial" w:eastAsia="Times New Roman" w:hAnsi="Arial" w:cs="Arial"/>
          <w:noProof/>
          <w:sz w:val="22"/>
          <w:szCs w:val="22"/>
          <w:lang w:val="es-ES"/>
        </w:rPr>
        <w:t xml:space="preserve"> y </w:t>
      </w:r>
      <w:r w:rsidR="00D85DA0" w:rsidRPr="008C21E4">
        <w:rPr>
          <w:rFonts w:ascii="Arial" w:eastAsia="Times New Roman" w:hAnsi="Arial" w:cs="Arial"/>
          <w:noProof/>
          <w:sz w:val="22"/>
          <w:szCs w:val="22"/>
          <w:lang w:val="es-ES"/>
        </w:rPr>
        <w:t>Valenzuela (2010)</w:t>
      </w:r>
      <w:r w:rsidR="00D85DA0" w:rsidRPr="008C21E4">
        <w:rPr>
          <w:rFonts w:ascii="Arial" w:eastAsia="Times New Roman" w:hAnsi="Arial" w:cs="Arial"/>
          <w:sz w:val="22"/>
          <w:szCs w:val="22"/>
          <w:lang w:val="es-ES"/>
        </w:rPr>
        <w:fldChar w:fldCharType="end"/>
      </w:r>
      <w:r w:rsidR="005B08FD" w:rsidRPr="008C21E4">
        <w:rPr>
          <w:rFonts w:ascii="Arial" w:eastAsia="Times New Roman" w:hAnsi="Arial" w:cs="Arial"/>
          <w:sz w:val="22"/>
          <w:szCs w:val="22"/>
          <w:lang w:val="es-ES"/>
        </w:rPr>
        <w:t xml:space="preserve">, </w:t>
      </w:r>
      <w:r w:rsidR="00D85DA0" w:rsidRPr="008C21E4">
        <w:rPr>
          <w:rFonts w:ascii="Arial" w:eastAsia="Times New Roman" w:hAnsi="Arial" w:cs="Arial"/>
          <w:sz w:val="22"/>
          <w:szCs w:val="22"/>
          <w:lang w:val="es-ES"/>
        </w:rPr>
        <w:fldChar w:fldCharType="begin" w:fldLock="1"/>
      </w:r>
      <w:r w:rsidR="00C55B87" w:rsidRPr="008C21E4">
        <w:rPr>
          <w:rFonts w:ascii="Arial" w:eastAsia="Times New Roman" w:hAnsi="Arial" w:cs="Arial"/>
          <w:sz w:val="22"/>
          <w:szCs w:val="22"/>
          <w:lang w:val="es-ES"/>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et al. 2001)", "manualFormatting" : "Mathers et al. (2001)", "plainTextFormattedCitation" : "(Mathers et al. 2001)", "previouslyFormattedCitation" : "(Mathers et al. 2001)" }, "properties" : { "noteIndex" : 0 }, "schema" : "https://github.com/citation-style-language/schema/raw/master/csl-citation.json" }</w:instrText>
      </w:r>
      <w:r w:rsidR="00D85DA0" w:rsidRPr="008C21E4">
        <w:rPr>
          <w:rFonts w:ascii="Arial" w:eastAsia="Times New Roman" w:hAnsi="Arial" w:cs="Arial"/>
          <w:sz w:val="22"/>
          <w:szCs w:val="22"/>
          <w:lang w:val="es-ES"/>
        </w:rPr>
        <w:fldChar w:fldCharType="separate"/>
      </w:r>
      <w:r w:rsidR="00D85DA0" w:rsidRPr="008C21E4">
        <w:rPr>
          <w:rFonts w:ascii="Arial" w:eastAsia="Times New Roman" w:hAnsi="Arial" w:cs="Arial"/>
          <w:noProof/>
          <w:sz w:val="22"/>
          <w:szCs w:val="22"/>
          <w:lang w:val="es-ES"/>
        </w:rPr>
        <w:t>Mathers et al. (2001)</w:t>
      </w:r>
      <w:r w:rsidR="00D85DA0" w:rsidRPr="008C21E4">
        <w:rPr>
          <w:rFonts w:ascii="Arial" w:eastAsia="Times New Roman" w:hAnsi="Arial" w:cs="Arial"/>
          <w:sz w:val="22"/>
          <w:szCs w:val="22"/>
          <w:lang w:val="es-ES"/>
        </w:rPr>
        <w:fldChar w:fldCharType="end"/>
      </w:r>
      <w:r w:rsidR="00D85DA0" w:rsidRPr="008C21E4">
        <w:rPr>
          <w:rFonts w:ascii="Arial" w:eastAsia="Times New Roman" w:hAnsi="Arial" w:cs="Arial"/>
          <w:sz w:val="22"/>
          <w:szCs w:val="22"/>
          <w:lang w:val="es-ES"/>
        </w:rPr>
        <w:t xml:space="preserve"> </w:t>
      </w:r>
      <w:r w:rsidR="00C55B87" w:rsidRPr="008C21E4">
        <w:rPr>
          <w:rFonts w:ascii="Arial" w:eastAsia="Times New Roman" w:hAnsi="Arial" w:cs="Arial"/>
          <w:sz w:val="22"/>
          <w:szCs w:val="22"/>
          <w:lang w:val="es-ES"/>
        </w:rPr>
        <w:t xml:space="preserve">y </w:t>
      </w:r>
      <w:r w:rsidR="00C55B87" w:rsidRPr="008C21E4">
        <w:rPr>
          <w:rFonts w:ascii="Arial" w:eastAsia="Times New Roman" w:hAnsi="Arial" w:cs="Arial"/>
          <w:sz w:val="22"/>
          <w:szCs w:val="22"/>
          <w:lang w:val="es-ES"/>
        </w:rPr>
        <w:fldChar w:fldCharType="begin" w:fldLock="1"/>
      </w:r>
      <w:r w:rsidR="0046041E" w:rsidRPr="008C21E4">
        <w:rPr>
          <w:rFonts w:ascii="Arial" w:eastAsia="Times New Roman" w:hAnsi="Arial" w:cs="Arial"/>
          <w:sz w:val="22"/>
          <w:szCs w:val="22"/>
          <w:lang w:val="es-ES"/>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"Tan-Torres Edeker et al. (2003)", "plainTextFormattedCitation" : "(Tan-Torres Edejer et al. 2003)", "previouslyFormattedCitation" : "(Tan-Torres Edejer et al. 2003)" }, "properties" : { "noteIndex" : 0 }, "schema" : "https://github.com/citation-style-language/schema/raw/master/csl-citation.json" }</w:instrText>
      </w:r>
      <w:r w:rsidR="00C55B87" w:rsidRPr="008C21E4">
        <w:rPr>
          <w:rFonts w:ascii="Arial" w:eastAsia="Times New Roman" w:hAnsi="Arial" w:cs="Arial"/>
          <w:sz w:val="22"/>
          <w:szCs w:val="22"/>
          <w:lang w:val="es-ES"/>
        </w:rPr>
        <w:fldChar w:fldCharType="separate"/>
      </w:r>
      <w:r w:rsidR="00C55B87" w:rsidRPr="008C21E4">
        <w:rPr>
          <w:rFonts w:ascii="Arial" w:eastAsia="Times New Roman" w:hAnsi="Arial" w:cs="Arial"/>
          <w:noProof/>
          <w:sz w:val="22"/>
          <w:szCs w:val="22"/>
          <w:lang w:val="es-ES"/>
        </w:rPr>
        <w:t>Tan-Torres Edeker et al. (2003)</w:t>
      </w:r>
      <w:r w:rsidR="00C55B87" w:rsidRPr="008C21E4">
        <w:rPr>
          <w:rFonts w:ascii="Arial" w:eastAsia="Times New Roman" w:hAnsi="Arial" w:cs="Arial"/>
          <w:sz w:val="22"/>
          <w:szCs w:val="22"/>
          <w:lang w:val="es-ES"/>
        </w:rPr>
        <w:fldChar w:fldCharType="end"/>
      </w:r>
      <w:r w:rsidRPr="008C21E4">
        <w:rPr>
          <w:rFonts w:ascii="Arial" w:eastAsia="Times New Roman" w:hAnsi="Arial" w:cs="Arial"/>
          <w:sz w:val="22"/>
          <w:szCs w:val="22"/>
          <w:lang w:val="es-ES"/>
        </w:rPr>
        <w:t>, entre muchos otras referencias, los AVAD</w:t>
      </w:r>
      <w:r w:rsidR="000C5214" w:rsidRPr="008C21E4">
        <w:rPr>
          <w:rFonts w:ascii="Arial" w:eastAsia="Times New Roman" w:hAnsi="Arial" w:cs="Arial"/>
          <w:sz w:val="22"/>
          <w:szCs w:val="22"/>
          <w:lang w:val="es-ES"/>
        </w:rPr>
        <w:t>s</w:t>
      </w:r>
      <w:r w:rsidRPr="008C21E4">
        <w:rPr>
          <w:rFonts w:ascii="Arial" w:eastAsia="Times New Roman" w:hAnsi="Arial" w:cs="Arial"/>
          <w:sz w:val="22"/>
          <w:szCs w:val="22"/>
          <w:lang w:val="es-ES"/>
        </w:rPr>
        <w:t xml:space="preserve"> resumen, mediante estudios de carga de la enfermedad, el impacto de la mortalidad y discapacidad asociada a enfermedades espec</w:t>
      </w:r>
      <w:r w:rsidRPr="008C21E4">
        <w:rPr>
          <w:rFonts w:ascii="Arial" w:hAnsi="Arial" w:cs="Arial"/>
          <w:sz w:val="22"/>
          <w:szCs w:val="22"/>
          <w:lang w:val="es-ES"/>
        </w:rPr>
        <w:t>íficas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distintas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comunidades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los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AVAD</w:t>
      </w:r>
      <w:r w:rsidRPr="008C21E4">
        <w:rPr>
          <w:rFonts w:ascii="Arial" w:eastAsia="Times New Roman" w:hAnsi="Arial" w:cs="Arial"/>
          <w:sz w:val="22"/>
          <w:szCs w:val="22"/>
          <w:lang w:val="es-ES"/>
        </w:rPr>
        <w:t xml:space="preserve"> </w:t>
      </w:r>
      <w:r w:rsidRPr="008C21E4">
        <w:rPr>
          <w:rFonts w:ascii="Arial" w:hAnsi="Arial" w:cs="Arial"/>
          <w:sz w:val="22"/>
          <w:szCs w:val="22"/>
          <w:lang w:val="es-ES"/>
        </w:rPr>
        <w:t>son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comúnmente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utilizados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como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medidas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resultado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los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estudios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evaluación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económica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midiendo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el</w:t>
      </w:r>
      <w:r w:rsidRPr="008C21E4">
        <w:rPr>
          <w:rFonts w:ascii="Arial" w:eastAsia="Times New Roman" w:hAnsi="Arial" w:cs="Arial"/>
          <w:sz w:val="22"/>
          <w:szCs w:val="22"/>
          <w:lang w:val="es-ES"/>
        </w:rPr>
        <w:t xml:space="preserve"> </w:t>
      </w:r>
      <w:r w:rsidRPr="008C21E4">
        <w:rPr>
          <w:rFonts w:ascii="Arial" w:hAnsi="Arial" w:cs="Arial"/>
          <w:sz w:val="22"/>
          <w:szCs w:val="22"/>
          <w:lang w:val="es-ES"/>
        </w:rPr>
        <w:t>impacto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acciones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intervenciones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específicas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para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reve</w:t>
      </w:r>
      <w:r w:rsidR="005B08FD" w:rsidRPr="008C21E4">
        <w:rPr>
          <w:rFonts w:ascii="Arial" w:eastAsia="Times New Roman" w:hAnsi="Arial" w:cs="Arial"/>
          <w:sz w:val="22"/>
          <w:szCs w:val="22"/>
          <w:lang w:val="es-ES"/>
        </w:rPr>
        <w:t xml:space="preserve">rtir la carga de la enfermedad. </w:t>
      </w:r>
      <w:r w:rsidRPr="008C21E4">
        <w:rPr>
          <w:rFonts w:ascii="Arial" w:eastAsia="Times New Roman" w:hAnsi="Arial" w:cs="Arial"/>
          <w:sz w:val="22"/>
          <w:szCs w:val="22"/>
          <w:lang w:val="es-ES"/>
        </w:rPr>
        <w:t>Su car</w:t>
      </w:r>
      <w:r w:rsidRPr="008C21E4">
        <w:rPr>
          <w:rFonts w:ascii="Arial" w:hAnsi="Arial" w:cs="Arial"/>
          <w:sz w:val="22"/>
          <w:szCs w:val="22"/>
          <w:lang w:val="es-ES"/>
        </w:rPr>
        <w:t>ácter</w:t>
      </w:r>
      <w:r w:rsidRPr="008C21E4">
        <w:rPr>
          <w:rFonts w:ascii="Arial" w:eastAsia="Times New Roman" w:hAnsi="Arial" w:cs="Arial"/>
          <w:sz w:val="22"/>
          <w:szCs w:val="22"/>
          <w:lang w:val="es-ES"/>
        </w:rPr>
        <w:t xml:space="preserve"> </w:t>
      </w:r>
      <w:r w:rsidRPr="008C21E4">
        <w:rPr>
          <w:rFonts w:ascii="Arial" w:hAnsi="Arial" w:cs="Arial"/>
          <w:sz w:val="22"/>
          <w:szCs w:val="22"/>
          <w:lang w:val="es-ES"/>
        </w:rPr>
        <w:t>genérico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permite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comparar</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el</w:t>
      </w:r>
      <w:r w:rsidRPr="008C21E4">
        <w:rPr>
          <w:rFonts w:ascii="Arial" w:eastAsia="Times New Roman" w:hAnsi="Arial" w:cs="Arial"/>
          <w:sz w:val="22"/>
          <w:szCs w:val="22"/>
          <w:lang w:val="es-ES"/>
        </w:rPr>
        <w:t xml:space="preserve"> </w:t>
      </w:r>
      <w:r w:rsidRPr="008C21E4">
        <w:rPr>
          <w:rFonts w:ascii="Arial" w:hAnsi="Arial" w:cs="Arial"/>
          <w:sz w:val="22"/>
          <w:szCs w:val="22"/>
          <w:lang w:val="es-ES"/>
        </w:rPr>
        <w:t>impacto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intervenciones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salud</w:t>
      </w:r>
      <w:r w:rsidRPr="008C21E4">
        <w:rPr>
          <w:rFonts w:ascii="Arial" w:eastAsia="Times New Roman" w:hAnsi="Arial" w:cs="Arial"/>
          <w:sz w:val="22"/>
          <w:szCs w:val="22"/>
          <w:lang w:val="es-ES"/>
        </w:rPr>
        <w:t xml:space="preserve"> </w:t>
      </w:r>
      <w:r w:rsidR="000C5214" w:rsidRPr="008C21E4">
        <w:rPr>
          <w:rFonts w:ascii="Arial" w:eastAsia="Times New Roman" w:hAnsi="Arial" w:cs="Arial"/>
          <w:sz w:val="22"/>
          <w:szCs w:val="22"/>
          <w:lang w:val="es-ES"/>
        </w:rPr>
        <w:t>enfocados en atender</w:t>
      </w:r>
      <w:r w:rsidRPr="008C21E4">
        <w:rPr>
          <w:rFonts w:ascii="Arial" w:eastAsia="Times New Roman" w:hAnsi="Arial" w:cs="Arial"/>
          <w:sz w:val="22"/>
          <w:szCs w:val="22"/>
          <w:lang w:val="es-ES"/>
        </w:rPr>
        <w:t xml:space="preserve"> diferentes enfermedades.</w:t>
      </w:r>
    </w:p>
    <w:p w14:paraId="5BD4918B" w14:textId="77777777" w:rsidR="00FE36C0" w:rsidRDefault="00FE36C0" w:rsidP="001025F1">
      <w:pPr>
        <w:spacing w:before="120" w:after="100" w:afterAutospacing="1"/>
        <w:contextualSpacing/>
        <w:jc w:val="both"/>
        <w:rPr>
          <w:rFonts w:ascii="Arial" w:eastAsia="Times New Roman" w:hAnsi="Arial" w:cs="Arial"/>
          <w:sz w:val="22"/>
          <w:szCs w:val="22"/>
          <w:lang w:val="es-ES"/>
        </w:rPr>
      </w:pPr>
      <w:r w:rsidRPr="008C21E4">
        <w:rPr>
          <w:rFonts w:ascii="Arial" w:eastAsia="Times New Roman" w:hAnsi="Arial" w:cs="Arial"/>
          <w:sz w:val="22"/>
          <w:szCs w:val="22"/>
          <w:lang w:val="es-ES"/>
        </w:rPr>
        <w:t>De acuerdo a la metodolog</w:t>
      </w:r>
      <w:r w:rsidRPr="008C21E4">
        <w:rPr>
          <w:rFonts w:ascii="Arial" w:hAnsi="Arial" w:cs="Arial"/>
          <w:sz w:val="22"/>
          <w:szCs w:val="22"/>
          <w:lang w:val="es-ES"/>
        </w:rPr>
        <w:t>ía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original</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el</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cálculo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los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AVADs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requiere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ponderar</w:t>
      </w:r>
      <w:r w:rsidRPr="008C21E4">
        <w:rPr>
          <w:rFonts w:ascii="Arial" w:eastAsia="Times New Roman" w:hAnsi="Arial" w:cs="Arial"/>
          <w:sz w:val="22"/>
          <w:szCs w:val="22"/>
          <w:lang w:val="es-ES"/>
        </w:rPr>
        <w:t xml:space="preserve"> </w:t>
      </w:r>
      <w:r w:rsidRPr="008C21E4">
        <w:rPr>
          <w:rFonts w:ascii="Arial" w:hAnsi="Arial" w:cs="Arial"/>
          <w:sz w:val="22"/>
          <w:szCs w:val="22"/>
          <w:lang w:val="es-ES"/>
        </w:rPr>
        <w:t>los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años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vividos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cada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edad</w:t>
      </w:r>
      <w:r w:rsidRPr="008C21E4">
        <w:rPr>
          <w:rFonts w:ascii="Arial" w:eastAsia="Times New Roman" w:hAnsi="Arial" w:cs="Arial"/>
          <w:sz w:val="22"/>
          <w:szCs w:val="22"/>
          <w:lang w:val="es-ES"/>
        </w:rPr>
        <w:t xml:space="preserve"> (</w:t>
      </w:r>
      <w:r w:rsidR="00917F3C" w:rsidRPr="008C21E4">
        <w:rPr>
          <w:rFonts w:ascii="Arial" w:eastAsia="Times New Roman" w:hAnsi="Arial" w:cs="Arial"/>
          <w:sz w:val="22"/>
          <w:szCs w:val="22"/>
          <w:lang w:val="es-ES"/>
        </w:rPr>
        <w:fldChar w:fldCharType="begin"/>
      </w:r>
      <w:r w:rsidR="00917F3C" w:rsidRPr="008C21E4">
        <w:rPr>
          <w:rFonts w:ascii="Arial" w:eastAsia="Times New Roman" w:hAnsi="Arial" w:cs="Arial"/>
          <w:sz w:val="22"/>
          <w:szCs w:val="22"/>
          <w:lang w:val="es-ES"/>
        </w:rPr>
        <w:instrText xml:space="preserve"> REF _Ref296067896 \h </w:instrText>
      </w:r>
      <w:r w:rsidR="000B185D" w:rsidRPr="008C21E4">
        <w:rPr>
          <w:rFonts w:ascii="Arial" w:eastAsia="Times New Roman" w:hAnsi="Arial" w:cs="Arial"/>
          <w:sz w:val="22"/>
          <w:szCs w:val="22"/>
          <w:lang w:val="es-ES"/>
        </w:rPr>
        <w:instrText xml:space="preserve"> \* MERGEFORMAT </w:instrText>
      </w:r>
      <w:r w:rsidR="00917F3C" w:rsidRPr="008C21E4">
        <w:rPr>
          <w:rFonts w:ascii="Arial" w:eastAsia="Times New Roman" w:hAnsi="Arial" w:cs="Arial"/>
          <w:sz w:val="22"/>
          <w:szCs w:val="22"/>
          <w:lang w:val="es-ES"/>
        </w:rPr>
      </w:r>
      <w:r w:rsidR="00917F3C" w:rsidRPr="008C21E4">
        <w:rPr>
          <w:rFonts w:ascii="Arial" w:eastAsia="Times New Roman" w:hAnsi="Arial" w:cs="Arial"/>
          <w:sz w:val="22"/>
          <w:szCs w:val="22"/>
          <w:lang w:val="es-ES"/>
        </w:rPr>
        <w:fldChar w:fldCharType="separate"/>
      </w:r>
      <w:r w:rsidR="0088018B" w:rsidRPr="008C21E4">
        <w:rPr>
          <w:rFonts w:ascii="Arial" w:hAnsi="Arial" w:cs="Arial"/>
          <w:sz w:val="22"/>
          <w:szCs w:val="22"/>
          <w:lang w:val="es-ES"/>
        </w:rPr>
        <w:t xml:space="preserve">Figura </w:t>
      </w:r>
      <w:r w:rsidR="0088018B" w:rsidRPr="008C21E4">
        <w:rPr>
          <w:rFonts w:ascii="Arial" w:hAnsi="Arial" w:cs="Arial"/>
          <w:noProof/>
          <w:sz w:val="22"/>
          <w:szCs w:val="22"/>
          <w:lang w:val="es-ES"/>
        </w:rPr>
        <w:t>1</w:t>
      </w:r>
      <w:r w:rsidR="00917F3C" w:rsidRPr="008C21E4">
        <w:rPr>
          <w:rFonts w:ascii="Arial" w:eastAsia="Times New Roman" w:hAnsi="Arial" w:cs="Arial"/>
          <w:sz w:val="22"/>
          <w:szCs w:val="22"/>
          <w:lang w:val="es-ES"/>
        </w:rPr>
        <w:fldChar w:fldCharType="end"/>
      </w:r>
      <w:r w:rsidRPr="008C21E4">
        <w:rPr>
          <w:rFonts w:ascii="Arial" w:eastAsia="Times New Roman" w:hAnsi="Arial" w:cs="Arial"/>
          <w:sz w:val="22"/>
          <w:szCs w:val="22"/>
          <w:lang w:val="es-ES"/>
        </w:rPr>
        <w:t>), lo cual se sustenta por el hecho de que en los a</w:t>
      </w:r>
      <w:r w:rsidRPr="008C21E4">
        <w:rPr>
          <w:rFonts w:ascii="Arial" w:hAnsi="Arial" w:cs="Arial"/>
          <w:sz w:val="22"/>
          <w:szCs w:val="22"/>
          <w:lang w:val="es-ES"/>
        </w:rPr>
        <w:t>ños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medios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la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vida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las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personas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no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sólo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sostienen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económicame</w:t>
      </w:r>
      <w:r w:rsidR="000C5214" w:rsidRPr="008C21E4">
        <w:rPr>
          <w:rFonts w:ascii="Arial" w:eastAsia="Times New Roman" w:hAnsi="Arial" w:cs="Arial"/>
          <w:sz w:val="22"/>
          <w:szCs w:val="22"/>
          <w:lang w:val="es-ES"/>
        </w:rPr>
        <w:t>nte a los m</w:t>
      </w:r>
      <w:r w:rsidR="000C5214" w:rsidRPr="008C21E4">
        <w:rPr>
          <w:rFonts w:ascii="Arial" w:hAnsi="Arial" w:cs="Arial"/>
          <w:sz w:val="22"/>
          <w:szCs w:val="22"/>
          <w:lang w:val="es-ES"/>
        </w:rPr>
        <w:t>ás</w:t>
      </w:r>
      <w:r w:rsidR="000C5214" w:rsidRPr="008C21E4">
        <w:rPr>
          <w:rFonts w:ascii="Arial" w:eastAsia="Times New Roman" w:hAnsi="Arial" w:cs="Arial"/>
          <w:sz w:val="22"/>
          <w:szCs w:val="22"/>
          <w:lang w:val="es-ES"/>
        </w:rPr>
        <w:t xml:space="preserve"> </w:t>
      </w:r>
      <w:r w:rsidR="000C5214" w:rsidRPr="008C21E4">
        <w:rPr>
          <w:rFonts w:ascii="Arial" w:hAnsi="Arial" w:cs="Arial"/>
          <w:sz w:val="22"/>
          <w:szCs w:val="22"/>
          <w:lang w:val="es-ES"/>
        </w:rPr>
        <w:t>jóvenes</w:t>
      </w:r>
      <w:r w:rsidR="000C5214" w:rsidRPr="008C21E4">
        <w:rPr>
          <w:rFonts w:ascii="Arial" w:eastAsia="Times New Roman" w:hAnsi="Arial" w:cs="Arial"/>
          <w:sz w:val="22"/>
          <w:szCs w:val="22"/>
          <w:lang w:val="es-ES"/>
        </w:rPr>
        <w:t xml:space="preserve"> </w:t>
      </w:r>
      <w:r w:rsidR="000C5214" w:rsidRPr="008C21E4">
        <w:rPr>
          <w:rFonts w:ascii="Arial" w:hAnsi="Arial" w:cs="Arial"/>
          <w:sz w:val="22"/>
          <w:szCs w:val="22"/>
          <w:lang w:val="es-ES"/>
        </w:rPr>
        <w:t>y</w:t>
      </w:r>
      <w:r w:rsidR="000C5214" w:rsidRPr="008C21E4">
        <w:rPr>
          <w:rFonts w:ascii="Arial" w:eastAsia="Times New Roman" w:hAnsi="Arial" w:cs="Arial"/>
          <w:sz w:val="22"/>
          <w:szCs w:val="22"/>
          <w:lang w:val="es-ES"/>
        </w:rPr>
        <w:t xml:space="preserve"> </w:t>
      </w:r>
      <w:r w:rsidR="000C5214" w:rsidRPr="008C21E4">
        <w:rPr>
          <w:rFonts w:ascii="Arial" w:hAnsi="Arial" w:cs="Arial"/>
          <w:sz w:val="22"/>
          <w:szCs w:val="22"/>
          <w:lang w:val="es-ES"/>
        </w:rPr>
        <w:t>adultos</w:t>
      </w:r>
      <w:r w:rsidR="000C5214" w:rsidRPr="008C21E4">
        <w:rPr>
          <w:rFonts w:ascii="Arial" w:eastAsia="Times New Roman" w:hAnsi="Arial" w:cs="Arial"/>
          <w:sz w:val="22"/>
          <w:szCs w:val="22"/>
          <w:lang w:val="es-ES"/>
        </w:rPr>
        <w:t xml:space="preserve"> </w:t>
      </w:r>
      <w:r w:rsidR="000C5214" w:rsidRPr="008C21E4">
        <w:rPr>
          <w:rFonts w:ascii="Arial" w:hAnsi="Arial" w:cs="Arial"/>
          <w:sz w:val="22"/>
          <w:szCs w:val="22"/>
          <w:lang w:val="es-ES"/>
        </w:rPr>
        <w:t>mayores</w:t>
      </w:r>
      <w:r w:rsidRPr="008C21E4">
        <w:rPr>
          <w:rFonts w:ascii="Arial" w:eastAsia="Times New Roman" w:hAnsi="Arial" w:cs="Arial"/>
          <w:sz w:val="22"/>
          <w:szCs w:val="22"/>
          <w:lang w:val="es-ES"/>
        </w:rPr>
        <w:t>, sino que realizan una serie de funciones sociales que repercuten favorablemente en la salud de los individuos de otras edades</w:t>
      </w:r>
      <w:r w:rsidR="000C5214" w:rsidRPr="008C21E4">
        <w:rPr>
          <w:rFonts w:ascii="Arial" w:eastAsia="Times New Roman" w:hAnsi="Arial" w:cs="Arial"/>
          <w:sz w:val="22"/>
          <w:szCs w:val="22"/>
          <w:lang w:val="es-ES"/>
        </w:rPr>
        <w:t xml:space="preserve"> (por ejemplo, proveer cuidados a ni</w:t>
      </w:r>
      <w:r w:rsidR="000C5214" w:rsidRPr="008C21E4">
        <w:rPr>
          <w:rFonts w:ascii="Arial" w:hAnsi="Arial" w:cs="Arial"/>
          <w:sz w:val="22"/>
          <w:szCs w:val="22"/>
          <w:lang w:val="es-ES"/>
        </w:rPr>
        <w:t>ños</w:t>
      </w:r>
      <w:r w:rsidR="000C5214" w:rsidRPr="008C21E4">
        <w:rPr>
          <w:rFonts w:ascii="Arial" w:eastAsia="Times New Roman" w:hAnsi="Arial" w:cs="Arial"/>
          <w:sz w:val="22"/>
          <w:szCs w:val="22"/>
          <w:lang w:val="es-ES"/>
        </w:rPr>
        <w:t xml:space="preserve"> </w:t>
      </w:r>
      <w:r w:rsidR="000C5214" w:rsidRPr="008C21E4">
        <w:rPr>
          <w:rFonts w:ascii="Arial" w:hAnsi="Arial" w:cs="Arial"/>
          <w:sz w:val="22"/>
          <w:szCs w:val="22"/>
          <w:lang w:val="es-ES"/>
        </w:rPr>
        <w:t>y</w:t>
      </w:r>
      <w:r w:rsidR="000C5214" w:rsidRPr="008C21E4">
        <w:rPr>
          <w:rFonts w:ascii="Arial" w:eastAsia="Times New Roman" w:hAnsi="Arial" w:cs="Arial"/>
          <w:sz w:val="22"/>
          <w:szCs w:val="22"/>
          <w:lang w:val="es-ES"/>
        </w:rPr>
        <w:t xml:space="preserve"> </w:t>
      </w:r>
      <w:r w:rsidR="000C5214" w:rsidRPr="008C21E4">
        <w:rPr>
          <w:rFonts w:ascii="Arial" w:hAnsi="Arial" w:cs="Arial"/>
          <w:sz w:val="22"/>
          <w:szCs w:val="22"/>
          <w:lang w:val="es-ES"/>
        </w:rPr>
        <w:t>adultos</w:t>
      </w:r>
      <w:r w:rsidR="000C5214" w:rsidRPr="008C21E4">
        <w:rPr>
          <w:rFonts w:ascii="Arial" w:eastAsia="Times New Roman" w:hAnsi="Arial" w:cs="Arial"/>
          <w:sz w:val="22"/>
          <w:szCs w:val="22"/>
          <w:lang w:val="es-ES"/>
        </w:rPr>
        <w:t xml:space="preserve"> </w:t>
      </w:r>
      <w:r w:rsidR="000C5214" w:rsidRPr="008C21E4">
        <w:rPr>
          <w:rFonts w:ascii="Arial" w:hAnsi="Arial" w:cs="Arial"/>
          <w:sz w:val="22"/>
          <w:szCs w:val="22"/>
          <w:lang w:val="es-ES"/>
        </w:rPr>
        <w:t>mayores</w:t>
      </w:r>
      <w:r w:rsidR="000C5214" w:rsidRPr="008C21E4">
        <w:rPr>
          <w:rFonts w:ascii="Arial" w:eastAsia="Times New Roman" w:hAnsi="Arial" w:cs="Arial"/>
          <w:sz w:val="22"/>
          <w:szCs w:val="22"/>
          <w:lang w:val="es-ES"/>
        </w:rPr>
        <w:t>)</w:t>
      </w:r>
      <w:r w:rsidRPr="008C21E4">
        <w:rPr>
          <w:rFonts w:ascii="Arial" w:eastAsia="Times New Roman" w:hAnsi="Arial" w:cs="Arial"/>
          <w:sz w:val="22"/>
          <w:szCs w:val="22"/>
          <w:lang w:val="es-ES"/>
        </w:rPr>
        <w:t>. Para una explicaci</w:t>
      </w:r>
      <w:r w:rsidRPr="008C21E4">
        <w:rPr>
          <w:rFonts w:ascii="Arial" w:hAnsi="Arial" w:cs="Arial"/>
          <w:sz w:val="22"/>
          <w:szCs w:val="22"/>
          <w:lang w:val="es-ES"/>
        </w:rPr>
        <w:t>ón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detallada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sobre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la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metodología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AVAD</w:t>
      </w:r>
      <w:r w:rsidR="000C5214" w:rsidRPr="008C21E4">
        <w:rPr>
          <w:rFonts w:ascii="Arial" w:eastAsia="Times New Roman" w:hAnsi="Arial" w:cs="Arial"/>
          <w:sz w:val="22"/>
          <w:szCs w:val="22"/>
          <w:lang w:val="es-ES"/>
        </w:rPr>
        <w:t>s</w:t>
      </w:r>
      <w:r w:rsidRPr="008C21E4">
        <w:rPr>
          <w:rFonts w:ascii="Arial" w:eastAsia="Times New Roman" w:hAnsi="Arial" w:cs="Arial"/>
          <w:sz w:val="22"/>
          <w:szCs w:val="22"/>
          <w:lang w:val="es-ES"/>
        </w:rPr>
        <w:t xml:space="preserve"> se recomienda ver el cap</w:t>
      </w:r>
      <w:r w:rsidRPr="008C21E4">
        <w:rPr>
          <w:rFonts w:ascii="Arial" w:hAnsi="Arial" w:cs="Arial"/>
          <w:sz w:val="22"/>
          <w:szCs w:val="22"/>
          <w:lang w:val="es-ES"/>
        </w:rPr>
        <w:t>ítulo</w:t>
      </w:r>
      <w:r w:rsidRPr="008C21E4">
        <w:rPr>
          <w:rFonts w:ascii="Arial" w:eastAsia="Times New Roman" w:hAnsi="Arial" w:cs="Arial"/>
          <w:sz w:val="22"/>
          <w:szCs w:val="22"/>
          <w:lang w:val="es-ES"/>
        </w:rPr>
        <w:t xml:space="preserve"> 3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la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Guía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Práctica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para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Estudios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Nacionales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Carga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Enfermedad</w:t>
      </w:r>
      <w:r w:rsidRPr="008C21E4">
        <w:rPr>
          <w:rFonts w:ascii="Arial" w:eastAsia="Times New Roman" w:hAnsi="Arial" w:cs="Arial"/>
          <w:sz w:val="22"/>
          <w:szCs w:val="22"/>
          <w:lang w:val="es-ES"/>
        </w:rPr>
        <w:t xml:space="preserve"> </w:t>
      </w:r>
      <w:r w:rsidR="0046041E" w:rsidRPr="008C21E4">
        <w:rPr>
          <w:rFonts w:ascii="Arial" w:eastAsia="Times New Roman" w:hAnsi="Arial" w:cs="Arial"/>
          <w:sz w:val="22"/>
          <w:szCs w:val="22"/>
          <w:lang w:val="es-ES"/>
        </w:rPr>
        <w:fldChar w:fldCharType="begin" w:fldLock="1"/>
      </w:r>
      <w:r w:rsidR="0046041E" w:rsidRPr="008C21E4">
        <w:rPr>
          <w:rFonts w:ascii="Arial" w:eastAsia="Times New Roman" w:hAnsi="Arial" w:cs="Arial"/>
          <w:sz w:val="22"/>
          <w:szCs w:val="22"/>
          <w:lang w:val="es-ES"/>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et al. 2001)", "plainTextFormattedCitation" : "(Mathers et al. 2001)", "previouslyFormattedCitation" : "(Mathers et al. 2001)" }, "properties" : { "noteIndex" : 0 }, "schema" : "https://github.com/citation-style-language/schema/raw/master/csl-citation.json" }</w:instrText>
      </w:r>
      <w:r w:rsidR="0046041E" w:rsidRPr="008C21E4">
        <w:rPr>
          <w:rFonts w:ascii="Arial" w:eastAsia="Times New Roman" w:hAnsi="Arial" w:cs="Arial"/>
          <w:sz w:val="22"/>
          <w:szCs w:val="22"/>
          <w:lang w:val="es-ES"/>
        </w:rPr>
        <w:fldChar w:fldCharType="separate"/>
      </w:r>
      <w:r w:rsidR="0046041E" w:rsidRPr="008C21E4">
        <w:rPr>
          <w:rFonts w:ascii="Arial" w:eastAsia="Times New Roman" w:hAnsi="Arial" w:cs="Arial"/>
          <w:noProof/>
          <w:sz w:val="22"/>
          <w:szCs w:val="22"/>
          <w:lang w:val="es-ES"/>
        </w:rPr>
        <w:t>(Mathers et al. 2001)</w:t>
      </w:r>
      <w:r w:rsidR="0046041E" w:rsidRPr="008C21E4">
        <w:rPr>
          <w:rFonts w:ascii="Arial" w:eastAsia="Times New Roman" w:hAnsi="Arial" w:cs="Arial"/>
          <w:sz w:val="22"/>
          <w:szCs w:val="22"/>
          <w:lang w:val="es-ES"/>
        </w:rPr>
        <w:fldChar w:fldCharType="end"/>
      </w:r>
      <w:r w:rsidR="00106632" w:rsidRPr="008C21E4">
        <w:rPr>
          <w:rFonts w:ascii="Arial" w:eastAsia="Times New Roman" w:hAnsi="Arial" w:cs="Arial"/>
          <w:sz w:val="22"/>
          <w:szCs w:val="22"/>
          <w:lang w:val="es-ES"/>
        </w:rPr>
        <w:t xml:space="preserve"> </w:t>
      </w:r>
      <w:r w:rsidRPr="008C21E4">
        <w:rPr>
          <w:rFonts w:ascii="Arial" w:eastAsia="Times New Roman" w:hAnsi="Arial" w:cs="Arial"/>
          <w:sz w:val="22"/>
          <w:szCs w:val="22"/>
          <w:lang w:val="es-ES"/>
        </w:rPr>
        <w:t>as</w:t>
      </w:r>
      <w:r w:rsidRPr="008C21E4">
        <w:rPr>
          <w:rFonts w:ascii="Arial" w:hAnsi="Arial" w:cs="Arial"/>
          <w:sz w:val="22"/>
          <w:szCs w:val="22"/>
          <w:lang w:val="es-ES"/>
        </w:rPr>
        <w:t>í</w:t>
      </w:r>
      <w:r w:rsidRPr="008C21E4">
        <w:rPr>
          <w:rFonts w:ascii="Arial" w:eastAsia="Times New Roman" w:hAnsi="Arial" w:cs="Arial"/>
          <w:sz w:val="22"/>
          <w:szCs w:val="22"/>
          <w:lang w:val="es-ES"/>
        </w:rPr>
        <w:t xml:space="preserve"> </w:t>
      </w:r>
      <w:r w:rsidRPr="008C21E4">
        <w:rPr>
          <w:rFonts w:ascii="Arial" w:hAnsi="Arial" w:cs="Arial"/>
          <w:sz w:val="22"/>
          <w:szCs w:val="22"/>
          <w:lang w:val="es-ES"/>
        </w:rPr>
        <w:t>como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el</w:t>
      </w:r>
      <w:r w:rsidRPr="008C21E4">
        <w:rPr>
          <w:rFonts w:ascii="Arial" w:eastAsia="Times New Roman" w:hAnsi="Arial" w:cs="Arial"/>
          <w:sz w:val="22"/>
          <w:szCs w:val="22"/>
          <w:lang w:val="es-ES"/>
        </w:rPr>
        <w:t xml:space="preserve"> </w:t>
      </w:r>
      <w:r w:rsidRPr="008C21E4">
        <w:rPr>
          <w:rFonts w:ascii="Arial" w:hAnsi="Arial" w:cs="Arial"/>
          <w:sz w:val="22"/>
          <w:szCs w:val="22"/>
          <w:lang w:val="es-ES"/>
        </w:rPr>
        <w:t>texto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00E73783" w:rsidRPr="008C21E4">
        <w:rPr>
          <w:rFonts w:ascii="Arial" w:eastAsia="Times New Roman" w:hAnsi="Arial" w:cs="Arial"/>
          <w:sz w:val="22"/>
          <w:szCs w:val="22"/>
          <w:lang w:val="es-ES"/>
        </w:rPr>
        <w:fldChar w:fldCharType="begin" w:fldLock="1"/>
      </w:r>
      <w:r w:rsidR="00180E1B" w:rsidRPr="008C21E4">
        <w:rPr>
          <w:rFonts w:ascii="Arial" w:eastAsia="Times New Roman" w:hAnsi="Arial" w:cs="Arial"/>
          <w:sz w:val="22"/>
          <w:szCs w:val="22"/>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00E73783" w:rsidRPr="008C21E4">
        <w:rPr>
          <w:rFonts w:ascii="Arial" w:eastAsia="Times New Roman" w:hAnsi="Arial" w:cs="Arial"/>
          <w:sz w:val="22"/>
          <w:szCs w:val="22"/>
          <w:lang w:val="es-ES"/>
        </w:rPr>
        <w:fldChar w:fldCharType="separate"/>
      </w:r>
      <w:r w:rsidR="00E73783" w:rsidRPr="008C21E4">
        <w:rPr>
          <w:rFonts w:ascii="Arial" w:eastAsia="Times New Roman" w:hAnsi="Arial" w:cs="Arial"/>
          <w:noProof/>
          <w:sz w:val="22"/>
          <w:szCs w:val="22"/>
          <w:lang w:val="es-ES"/>
        </w:rPr>
        <w:t>Alvis y Valenzuela (2010)</w:t>
      </w:r>
      <w:r w:rsidR="00E73783" w:rsidRPr="008C21E4">
        <w:rPr>
          <w:rFonts w:ascii="Arial" w:eastAsia="Times New Roman" w:hAnsi="Arial" w:cs="Arial"/>
          <w:sz w:val="22"/>
          <w:szCs w:val="22"/>
          <w:lang w:val="es-ES"/>
        </w:rPr>
        <w:fldChar w:fldCharType="end"/>
      </w:r>
      <w:r w:rsidR="00E73783" w:rsidRPr="008C21E4">
        <w:rPr>
          <w:rFonts w:ascii="Arial" w:eastAsia="Times New Roman" w:hAnsi="Arial" w:cs="Arial"/>
          <w:sz w:val="22"/>
          <w:szCs w:val="22"/>
          <w:lang w:val="es-ES"/>
        </w:rPr>
        <w:t xml:space="preserve"> </w:t>
      </w:r>
      <w:r w:rsidRPr="008C21E4">
        <w:rPr>
          <w:rFonts w:ascii="Arial" w:eastAsia="Times New Roman" w:hAnsi="Arial" w:cs="Arial"/>
          <w:sz w:val="22"/>
          <w:szCs w:val="22"/>
          <w:lang w:val="es-ES"/>
        </w:rPr>
        <w:t>y para un ejemplo de su aplicaci</w:t>
      </w:r>
      <w:r w:rsidRPr="008C21E4">
        <w:rPr>
          <w:rFonts w:ascii="Arial" w:hAnsi="Arial" w:cs="Arial"/>
          <w:sz w:val="22"/>
          <w:szCs w:val="22"/>
          <w:lang w:val="es-ES"/>
        </w:rPr>
        <w:t>ón</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detallado</w:t>
      </w:r>
      <w:r w:rsidRPr="008C21E4">
        <w:rPr>
          <w:rFonts w:ascii="Arial" w:eastAsia="Times New Roman" w:hAnsi="Arial" w:cs="Arial"/>
          <w:sz w:val="22"/>
          <w:szCs w:val="22"/>
          <w:lang w:val="es-ES"/>
        </w:rPr>
        <w:t xml:space="preserve">, </w:t>
      </w:r>
      <w:r w:rsidRPr="008C21E4">
        <w:rPr>
          <w:rFonts w:ascii="Arial" w:hAnsi="Arial" w:cs="Arial"/>
          <w:sz w:val="22"/>
          <w:szCs w:val="22"/>
          <w:lang w:val="es-ES"/>
        </w:rPr>
        <w:t>se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recomienda</w:t>
      </w:r>
      <w:r w:rsidRPr="008C21E4">
        <w:rPr>
          <w:rFonts w:ascii="Arial" w:eastAsia="Times New Roman" w:hAnsi="Arial" w:cs="Arial"/>
          <w:sz w:val="22"/>
          <w:szCs w:val="22"/>
          <w:lang w:val="es-ES"/>
        </w:rPr>
        <w:t xml:space="preserve"> </w:t>
      </w:r>
      <w:r w:rsidRPr="008C21E4">
        <w:rPr>
          <w:rFonts w:ascii="Arial" w:hAnsi="Arial" w:cs="Arial"/>
          <w:sz w:val="22"/>
          <w:szCs w:val="22"/>
          <w:lang w:val="es-ES"/>
        </w:rPr>
        <w:t>revisar</w:t>
      </w:r>
      <w:r w:rsidRPr="008C21E4">
        <w:rPr>
          <w:rFonts w:ascii="Arial" w:eastAsia="Times New Roman" w:hAnsi="Arial" w:cs="Arial"/>
          <w:sz w:val="22"/>
          <w:szCs w:val="22"/>
          <w:lang w:val="es-ES"/>
        </w:rPr>
        <w:t xml:space="preserve"> </w:t>
      </w:r>
      <w:r w:rsidR="0046041E" w:rsidRPr="008C21E4">
        <w:rPr>
          <w:rFonts w:ascii="Arial" w:eastAsia="Times New Roman" w:hAnsi="Arial" w:cs="Arial"/>
          <w:sz w:val="22"/>
          <w:szCs w:val="22"/>
          <w:lang w:val="es-ES"/>
        </w:rPr>
        <w:fldChar w:fldCharType="begin" w:fldLock="1"/>
      </w:r>
      <w:r w:rsidR="00E73783" w:rsidRPr="008C21E4">
        <w:rPr>
          <w:rFonts w:ascii="Arial" w:eastAsia="Times New Roman" w:hAnsi="Arial" w:cs="Arial"/>
          <w:sz w:val="22"/>
          <w:szCs w:val="22"/>
          <w:lang w:val="es-ES"/>
        </w:rPr>
        <w:instrText>ADDIN CSL_CITATION { "citationItems" : [ { "id" : "ITEM-1", "itemData" : { "ISSN" : "0268-1080", "PMID" : "11527874", "abstract" : "Disability adjusted life years (DALYs) are the sum of the present value of future years of lifetime lost through premature mortality, and the present value of years of future lifetime adjusted for the average severity (frequency and intensity) of any mental or physical disability caused by a disease or injury. They have been used as an outcome indicator in micro economic evaluations as well as sectoral prioritization exercises using league tables of cost-effectiveness. However, many of the current analyses are not comparable or transferable because either the assumptions used differ or are unclear, and because results are not presented in a way that allows researchers or policy-makers to re-calculate and re-interpret findings for use in an alternative context. However, at times there have also been miscalculations. This may happen either because evaluators disagree with the assumptions behind DALYs or because the methods of calculation have not been set out clearly. This paper shows how to calculate DALYs for cost-effectiveness analysis using a worked example. It also shows the impact of changing the age weighting and discount rates on estimates of cost-effectiveness, and suggests a set of minimum reporting criteria for using DALYs in cost-effectiveness analysis. Finally, readers are introduced briefly to a selected literature arguing for and against the use of DALYs.", "author" : [ { "dropping-particle" : "", "family" : "Fox-Rushby", "given" : "J A", "non-dropping-particle" : "", "parse-names" : false, "suffix" : "" }, { "dropping-particle" : "", "family" : "Hanson", "given" : "K", "non-dropping-particle" : "", "parse-names" : false, "suffix" : "" } ], "container-title" : "Health policy and planning", "id" : "ITEM-1", "issue" : "3", "issued" : { "date-parts" : [ [ "2001", "9" ] ] }, "page" : "326-31", "title" : "Calculating and presenting disability adjusted life years (DALYs) in cost-effectiveness analysis.", "type" : "article-journal", "volume" : "16" }, "uris" : [ "http://www.mendeley.com/documents/?uuid=4661134f-192c-4cf3-945b-d4be155de855" ] } ], "mendeley" : { "formattedCitation" : "(Fox-Rushby and Hanson 2001)", "manualFormatting" : "Fox-Rushby y Hanson (2001)", "plainTextFormattedCitation" : "(Fox-Rushby and Hanson 2001)", "previouslyFormattedCitation" : "(Fox-Rushby and Hanson 2001)" }, "properties" : { "noteIndex" : 0 }, "schema" : "https://github.com/citation-style-language/schema/raw/master/csl-citation.json" }</w:instrText>
      </w:r>
      <w:r w:rsidR="0046041E" w:rsidRPr="008C21E4">
        <w:rPr>
          <w:rFonts w:ascii="Arial" w:eastAsia="Times New Roman" w:hAnsi="Arial" w:cs="Arial"/>
          <w:sz w:val="22"/>
          <w:szCs w:val="22"/>
          <w:lang w:val="es-ES"/>
        </w:rPr>
        <w:fldChar w:fldCharType="separate"/>
      </w:r>
      <w:r w:rsidR="0046041E" w:rsidRPr="008C21E4">
        <w:rPr>
          <w:rFonts w:ascii="Arial" w:eastAsia="Times New Roman" w:hAnsi="Arial" w:cs="Arial"/>
          <w:noProof/>
          <w:sz w:val="22"/>
          <w:szCs w:val="22"/>
          <w:lang w:val="es-ES"/>
        </w:rPr>
        <w:t>Fox-Rushby y Hanson (2001)</w:t>
      </w:r>
      <w:r w:rsidR="0046041E" w:rsidRPr="008C21E4">
        <w:rPr>
          <w:rFonts w:ascii="Arial" w:eastAsia="Times New Roman" w:hAnsi="Arial" w:cs="Arial"/>
          <w:sz w:val="22"/>
          <w:szCs w:val="22"/>
          <w:lang w:val="es-ES"/>
        </w:rPr>
        <w:fldChar w:fldCharType="end"/>
      </w:r>
      <w:r w:rsidR="00E73783" w:rsidRPr="008C21E4">
        <w:rPr>
          <w:rFonts w:ascii="Arial" w:eastAsia="Times New Roman" w:hAnsi="Arial" w:cs="Arial"/>
          <w:sz w:val="22"/>
          <w:szCs w:val="22"/>
          <w:lang w:val="es-ES"/>
        </w:rPr>
        <w:t>.</w:t>
      </w:r>
    </w:p>
    <w:p w14:paraId="04E06C46" w14:textId="4415F9BA" w:rsidR="008C30C9" w:rsidRPr="008C21E4" w:rsidRDefault="00917F3C" w:rsidP="007809D2">
      <w:pPr>
        <w:pStyle w:val="Caption"/>
      </w:pPr>
      <w:bookmarkStart w:id="18" w:name="_Ref296067896"/>
      <w:r w:rsidRPr="008C21E4">
        <w:t xml:space="preserve">Figura </w:t>
      </w:r>
      <w:r w:rsidR="00A81D94">
        <w:rPr>
          <w:noProof/>
        </w:rPr>
        <w:fldChar w:fldCharType="begin"/>
      </w:r>
      <w:r w:rsidR="00A81D94">
        <w:rPr>
          <w:noProof/>
        </w:rPr>
        <w:instrText xml:space="preserve"> SEQ Figura \* ARABIC </w:instrText>
      </w:r>
      <w:r w:rsidR="00A81D94">
        <w:rPr>
          <w:noProof/>
        </w:rPr>
        <w:fldChar w:fldCharType="separate"/>
      </w:r>
      <w:r w:rsidR="00D40AF4" w:rsidRPr="008C21E4">
        <w:rPr>
          <w:noProof/>
        </w:rPr>
        <w:t>1</w:t>
      </w:r>
      <w:r w:rsidR="00A81D94">
        <w:rPr>
          <w:noProof/>
        </w:rPr>
        <w:fldChar w:fldCharType="end"/>
      </w:r>
      <w:bookmarkEnd w:id="18"/>
      <w:r w:rsidR="00477FBF" w:rsidRPr="008C21E4">
        <w:t xml:space="preserve">. </w:t>
      </w:r>
      <w:r w:rsidR="00FA34E2" w:rsidRPr="008C21E4">
        <w:t>Valor relativo de un a</w:t>
      </w:r>
      <w:r w:rsidR="00FA34E2" w:rsidRPr="008C21E4">
        <w:rPr>
          <w:rFonts w:eastAsia="Calibri"/>
        </w:rPr>
        <w:t>ño</w:t>
      </w:r>
      <w:r w:rsidR="00FA34E2" w:rsidRPr="008C21E4">
        <w:t xml:space="preserve"> </w:t>
      </w:r>
      <w:r w:rsidR="00FA34E2" w:rsidRPr="008C21E4">
        <w:rPr>
          <w:rFonts w:eastAsia="Calibri"/>
        </w:rPr>
        <w:t>de</w:t>
      </w:r>
      <w:r w:rsidR="00FA34E2" w:rsidRPr="008C21E4">
        <w:t xml:space="preserve"> </w:t>
      </w:r>
      <w:r w:rsidR="00FA34E2" w:rsidRPr="008C21E4">
        <w:rPr>
          <w:rFonts w:eastAsia="Calibri"/>
        </w:rPr>
        <w:t>la</w:t>
      </w:r>
      <w:r w:rsidR="00FA34E2" w:rsidRPr="008C21E4">
        <w:t xml:space="preserve"> </w:t>
      </w:r>
      <w:r w:rsidR="00FA34E2" w:rsidRPr="008C21E4">
        <w:rPr>
          <w:rFonts w:eastAsia="Calibri"/>
        </w:rPr>
        <w:t>vida</w:t>
      </w:r>
      <w:r w:rsidR="00FA34E2" w:rsidRPr="008C21E4">
        <w:t xml:space="preserve"> </w:t>
      </w:r>
      <w:r w:rsidR="00FA34E2" w:rsidRPr="008C21E4">
        <w:rPr>
          <w:rFonts w:eastAsia="Calibri"/>
        </w:rPr>
        <w:t>vivido</w:t>
      </w:r>
      <w:r w:rsidR="00FA34E2" w:rsidRPr="008C21E4">
        <w:t xml:space="preserve"> </w:t>
      </w:r>
      <w:r w:rsidR="00FA34E2" w:rsidRPr="008C21E4">
        <w:rPr>
          <w:rFonts w:eastAsia="Calibri"/>
        </w:rPr>
        <w:t>en</w:t>
      </w:r>
      <w:r w:rsidR="00FA34E2" w:rsidRPr="008C21E4">
        <w:t xml:space="preserve"> </w:t>
      </w:r>
      <w:r w:rsidR="00FA34E2" w:rsidRPr="008C21E4">
        <w:rPr>
          <w:rFonts w:eastAsia="Calibri"/>
        </w:rPr>
        <w:t>diversas</w:t>
      </w:r>
      <w:r w:rsidR="00FA34E2" w:rsidRPr="008C21E4">
        <w:t xml:space="preserve"> </w:t>
      </w:r>
      <w:r w:rsidR="00FA34E2" w:rsidRPr="008C21E4">
        <w:rPr>
          <w:rFonts w:eastAsia="Calibri"/>
        </w:rPr>
        <w:t>edades</w:t>
      </w:r>
      <w:r w:rsidR="00FA34E2" w:rsidRPr="008C21E4">
        <w:t>,</w:t>
      </w:r>
      <w:r w:rsidR="00477FBF" w:rsidRPr="008C21E4">
        <w:t xml:space="preserve"> seg</w:t>
      </w:r>
      <w:r w:rsidR="00477FBF" w:rsidRPr="008C21E4">
        <w:rPr>
          <w:rFonts w:eastAsia="Calibri"/>
        </w:rPr>
        <w:t>ún</w:t>
      </w:r>
      <w:r w:rsidR="00477FBF" w:rsidRPr="008C21E4">
        <w:t xml:space="preserve"> </w:t>
      </w:r>
      <w:r w:rsidR="00477FBF" w:rsidRPr="008C21E4">
        <w:rPr>
          <w:rFonts w:eastAsia="Calibri"/>
        </w:rPr>
        <w:t>lo</w:t>
      </w:r>
      <w:r w:rsidR="00477FBF" w:rsidRPr="008C21E4">
        <w:t xml:space="preserve"> </w:t>
      </w:r>
      <w:r w:rsidR="00477FBF" w:rsidRPr="008C21E4">
        <w:rPr>
          <w:rFonts w:eastAsia="Calibri"/>
        </w:rPr>
        <w:t>ponderado</w:t>
      </w:r>
      <w:r w:rsidR="00477FBF" w:rsidRPr="008C21E4">
        <w:t xml:space="preserve"> en AVADs</w:t>
      </w:r>
    </w:p>
    <w:p w14:paraId="30A666B0" w14:textId="1A1A3109" w:rsidR="00FA34E2" w:rsidRPr="008C21E4" w:rsidRDefault="00216A0C" w:rsidP="001025F1">
      <w:pPr>
        <w:spacing w:before="240" w:after="100" w:afterAutospacing="1"/>
        <w:jc w:val="center"/>
        <w:rPr>
          <w:rFonts w:ascii="Arial" w:hAnsi="Arial" w:cs="Arial"/>
          <w:sz w:val="16"/>
          <w:szCs w:val="16"/>
          <w:lang w:val="es-ES"/>
        </w:rPr>
      </w:pPr>
      <w:r w:rsidRPr="008C21E4">
        <w:rPr>
          <w:noProof/>
          <w:lang w:val="it-IT" w:eastAsia="it-IT"/>
        </w:rPr>
        <w:drawing>
          <wp:anchor distT="0" distB="0" distL="114300" distR="114300" simplePos="0" relativeHeight="251659776" behindDoc="0" locked="0" layoutInCell="1" allowOverlap="1" wp14:anchorId="5F8A929A" wp14:editId="686ED176">
            <wp:simplePos x="0" y="0"/>
            <wp:positionH relativeFrom="column">
              <wp:posOffset>1189990</wp:posOffset>
            </wp:positionH>
            <wp:positionV relativeFrom="paragraph">
              <wp:posOffset>250190</wp:posOffset>
            </wp:positionV>
            <wp:extent cx="3206115" cy="2088515"/>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6115" cy="2088515"/>
                    </a:xfrm>
                    <a:prstGeom prst="rect">
                      <a:avLst/>
                    </a:prstGeom>
                    <a:noFill/>
                    <a:ln>
                      <a:noFill/>
                    </a:ln>
                  </pic:spPr>
                </pic:pic>
              </a:graphicData>
            </a:graphic>
            <wp14:sizeRelH relativeFrom="page">
              <wp14:pctWidth>0</wp14:pctWidth>
            </wp14:sizeRelH>
            <wp14:sizeRelV relativeFrom="page">
              <wp14:pctHeight>0</wp14:pctHeight>
            </wp14:sizeRelV>
          </wp:anchor>
        </w:drawing>
      </w:r>
      <w:r w:rsidR="00FA34E2" w:rsidRPr="008C21E4">
        <w:rPr>
          <w:rFonts w:ascii="Arial" w:hAnsi="Arial" w:cs="Arial"/>
          <w:sz w:val="16"/>
          <w:szCs w:val="16"/>
          <w:lang w:val="es-ES"/>
        </w:rPr>
        <w:t xml:space="preserve">Fuente: </w:t>
      </w:r>
      <w:bookmarkStart w:id="19" w:name="t1"/>
      <w:bookmarkEnd w:id="19"/>
      <w:r w:rsidR="005F0471" w:rsidRPr="008C21E4">
        <w:rPr>
          <w:rFonts w:ascii="Arial" w:hAnsi="Arial" w:cs="Arial"/>
          <w:sz w:val="16"/>
          <w:szCs w:val="16"/>
          <w:lang w:val="es-ES"/>
        </w:rPr>
        <w:fldChar w:fldCharType="begin" w:fldLock="1"/>
      </w:r>
      <w:r w:rsidR="00616D26" w:rsidRPr="008C21E4">
        <w:rPr>
          <w:rFonts w:ascii="Arial" w:hAnsi="Arial" w:cs="Arial"/>
          <w:sz w:val="16"/>
          <w:szCs w:val="16"/>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005F0471" w:rsidRPr="008C21E4">
        <w:rPr>
          <w:rFonts w:ascii="Arial" w:hAnsi="Arial" w:cs="Arial"/>
          <w:sz w:val="16"/>
          <w:szCs w:val="16"/>
          <w:lang w:val="es-ES"/>
        </w:rPr>
        <w:fldChar w:fldCharType="separate"/>
      </w:r>
      <w:r w:rsidR="005F0471" w:rsidRPr="008C21E4">
        <w:rPr>
          <w:rFonts w:ascii="Arial" w:hAnsi="Arial" w:cs="Arial"/>
          <w:noProof/>
          <w:sz w:val="16"/>
          <w:szCs w:val="16"/>
          <w:lang w:val="es-ES"/>
        </w:rPr>
        <w:t>Alvis</w:t>
      </w:r>
      <w:r w:rsidR="00CE70F0" w:rsidRPr="008C21E4">
        <w:rPr>
          <w:rFonts w:ascii="Arial" w:hAnsi="Arial" w:cs="Arial"/>
          <w:noProof/>
          <w:sz w:val="16"/>
          <w:szCs w:val="16"/>
          <w:lang w:val="es-ES"/>
        </w:rPr>
        <w:t xml:space="preserve"> y </w:t>
      </w:r>
      <w:r w:rsidR="005F0471" w:rsidRPr="008C21E4">
        <w:rPr>
          <w:rFonts w:ascii="Arial" w:hAnsi="Arial" w:cs="Arial"/>
          <w:noProof/>
          <w:sz w:val="16"/>
          <w:szCs w:val="16"/>
          <w:lang w:val="es-ES"/>
        </w:rPr>
        <w:t>Valenzuela 2010.</w:t>
      </w:r>
      <w:r w:rsidR="005F0471" w:rsidRPr="008C21E4">
        <w:rPr>
          <w:rFonts w:ascii="Arial" w:hAnsi="Arial" w:cs="Arial"/>
          <w:sz w:val="16"/>
          <w:szCs w:val="16"/>
          <w:lang w:val="es-ES"/>
        </w:rPr>
        <w:fldChar w:fldCharType="end"/>
      </w:r>
    </w:p>
    <w:p w14:paraId="3EF20BB0" w14:textId="77777777" w:rsidR="001860F7" w:rsidRDefault="001860F7" w:rsidP="001025F1">
      <w:pPr>
        <w:pStyle w:val="ColorfulList-Accent11"/>
        <w:spacing w:before="120" w:after="100" w:afterAutospacing="1" w:line="240" w:lineRule="auto"/>
        <w:ind w:left="0"/>
        <w:jc w:val="both"/>
        <w:rPr>
          <w:rFonts w:cs="Arial"/>
          <w:lang w:val="es-ES"/>
        </w:rPr>
      </w:pPr>
    </w:p>
    <w:p w14:paraId="2A8B65CC" w14:textId="1373A0AE" w:rsidR="005535BC" w:rsidRDefault="000C5214" w:rsidP="001025F1">
      <w:pPr>
        <w:pStyle w:val="ColorfulList-Accent11"/>
        <w:spacing w:before="120" w:after="100" w:afterAutospacing="1" w:line="240" w:lineRule="auto"/>
        <w:ind w:left="0"/>
        <w:jc w:val="both"/>
        <w:rPr>
          <w:rFonts w:cs="Arial"/>
          <w:lang w:val="es-ES"/>
        </w:rPr>
      </w:pPr>
      <w:r w:rsidRPr="008C21E4">
        <w:rPr>
          <w:rFonts w:cs="Arial"/>
          <w:lang w:val="es-ES"/>
        </w:rPr>
        <w:t>En esta evaluación, s</w:t>
      </w:r>
      <w:r w:rsidR="00FE36C0" w:rsidRPr="008C21E4">
        <w:rPr>
          <w:rFonts w:cs="Arial"/>
          <w:lang w:val="es-ES"/>
        </w:rPr>
        <w:t>e utiliza como fuente para calcular los AVADs las estimaciones disponibles en la literatura internacional. Una de las fuentes utilizadas es el programa CHOICE de la O</w:t>
      </w:r>
      <w:r w:rsidR="00180E1B" w:rsidRPr="008C21E4">
        <w:rPr>
          <w:rFonts w:cs="Arial"/>
          <w:lang w:val="es-ES"/>
        </w:rPr>
        <w:t xml:space="preserve">rganización Mundial de la Salud </w:t>
      </w:r>
      <w:r w:rsidR="00180E1B" w:rsidRPr="008C21E4">
        <w:rPr>
          <w:rFonts w:cs="Arial"/>
          <w:lang w:val="es-ES"/>
        </w:rPr>
        <w:fldChar w:fldCharType="begin" w:fldLock="1"/>
      </w:r>
      <w:r w:rsidR="00180E1B" w:rsidRPr="008C21E4">
        <w:rPr>
          <w:rFonts w:cs="Arial"/>
          <w:lang w:val="es-ES"/>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"manualFormatting" : "(2015)", "plainTextFormattedCitation" : "(Organizaci\u00f3n Mundial de la Salud 2015)", "previouslyFormattedCitation" : "(Organizaci\u00f3n Mundial de la Salud 2015)" }, "properties" : { "noteIndex" : 0 }, "schema" : "https://github.com/citation-style-language/schema/raw/master/csl-citation.json" }</w:instrText>
      </w:r>
      <w:r w:rsidR="00180E1B" w:rsidRPr="008C21E4">
        <w:rPr>
          <w:rFonts w:cs="Arial"/>
          <w:lang w:val="es-ES"/>
        </w:rPr>
        <w:fldChar w:fldCharType="separate"/>
      </w:r>
      <w:r w:rsidR="00180E1B" w:rsidRPr="008C21E4">
        <w:rPr>
          <w:rFonts w:cs="Arial"/>
          <w:noProof/>
          <w:lang w:val="es-ES"/>
        </w:rPr>
        <w:t>(2015)</w:t>
      </w:r>
      <w:r w:rsidR="00180E1B" w:rsidRPr="008C21E4">
        <w:rPr>
          <w:rFonts w:cs="Arial"/>
          <w:lang w:val="es-ES"/>
        </w:rPr>
        <w:fldChar w:fldCharType="end"/>
      </w:r>
      <w:r w:rsidR="00FE36C0" w:rsidRPr="008C21E4">
        <w:rPr>
          <w:rFonts w:cs="Arial"/>
          <w:lang w:val="es-ES"/>
        </w:rPr>
        <w:t>, que estima el efecto de la inclusión gradual de intervenciones en un paquete de servicios sobre la incidencia, remisión y mortalidad. En cuanto al gru</w:t>
      </w:r>
      <w:r w:rsidR="009115FF">
        <w:rPr>
          <w:rFonts w:cs="Arial"/>
          <w:lang w:val="es-ES"/>
        </w:rPr>
        <w:t>po de país considerado, utilizam</w:t>
      </w:r>
      <w:r w:rsidR="00FE36C0" w:rsidRPr="008C21E4">
        <w:rPr>
          <w:rFonts w:cs="Arial"/>
          <w:lang w:val="es-ES"/>
        </w:rPr>
        <w:t>os el de “América B,” en el cual se encuentra agregada</w:t>
      </w:r>
      <w:r w:rsidR="00917F3C" w:rsidRPr="008C21E4">
        <w:rPr>
          <w:rFonts w:cs="Arial"/>
          <w:lang w:val="es-ES"/>
        </w:rPr>
        <w:t xml:space="preserve"> la </w:t>
      </w:r>
      <w:r w:rsidR="00917F3C" w:rsidRPr="008C21E4">
        <w:rPr>
          <w:rFonts w:cs="Arial"/>
          <w:lang w:val="es-ES"/>
        </w:rPr>
        <w:lastRenderedPageBreak/>
        <w:t xml:space="preserve">información de </w:t>
      </w:r>
      <w:r w:rsidR="00112CDB" w:rsidRPr="008C21E4">
        <w:rPr>
          <w:rFonts w:cs="Arial"/>
          <w:lang w:val="es-ES"/>
        </w:rPr>
        <w:t>Brasil</w:t>
      </w:r>
      <w:r w:rsidR="00BB5693" w:rsidRPr="008C21E4">
        <w:rPr>
          <w:rStyle w:val="FootnoteReference"/>
          <w:rFonts w:cs="Arial"/>
          <w:lang w:val="es-ES"/>
        </w:rPr>
        <w:footnoteReference w:id="18"/>
      </w:r>
      <w:r w:rsidR="00FE36C0" w:rsidRPr="008C21E4">
        <w:rPr>
          <w:rFonts w:cs="Arial"/>
          <w:lang w:val="es-ES"/>
        </w:rPr>
        <w:t xml:space="preserve">. Para otras intervenciones para las que no existe evidencia generada en los países de esta categoría, se utilizó la información para el nivel global. Se toman en cuenta las intervenciones de probada eficacia que serán incorporadas en las líneas de </w:t>
      </w:r>
      <w:r w:rsidR="00D136A9" w:rsidRPr="008C21E4">
        <w:rPr>
          <w:rFonts w:cs="Arial"/>
          <w:lang w:val="es-ES"/>
        </w:rPr>
        <w:t>atención</w:t>
      </w:r>
      <w:r w:rsidR="00FE36C0" w:rsidRPr="008C21E4">
        <w:rPr>
          <w:rFonts w:cs="Arial"/>
          <w:lang w:val="es-ES"/>
        </w:rPr>
        <w:t>.</w:t>
      </w:r>
      <w:r w:rsidR="008417EF" w:rsidRPr="008C21E4">
        <w:rPr>
          <w:rFonts w:cs="Arial"/>
          <w:lang w:val="es-ES"/>
        </w:rPr>
        <w:t xml:space="preserve"> </w:t>
      </w:r>
      <w:r w:rsidR="00FE36C0" w:rsidRPr="008C21E4">
        <w:rPr>
          <w:rFonts w:cs="Arial"/>
          <w:lang w:val="es-ES"/>
        </w:rPr>
        <w:t>Los beneficios totales</w:t>
      </w:r>
      <w:r w:rsidR="00D136A9" w:rsidRPr="008C21E4">
        <w:rPr>
          <w:rFonts w:cs="Arial"/>
          <w:lang w:val="es-ES"/>
        </w:rPr>
        <w:t xml:space="preserve"> en AVADs por cada millón de habitantes</w:t>
      </w:r>
      <w:r w:rsidR="00FE36C0" w:rsidRPr="008C21E4">
        <w:rPr>
          <w:rFonts w:cs="Arial"/>
          <w:lang w:val="es-ES"/>
        </w:rPr>
        <w:t xml:space="preserve"> asociados a </w:t>
      </w:r>
      <w:r w:rsidR="00D136A9" w:rsidRPr="008C21E4">
        <w:rPr>
          <w:rFonts w:cs="Arial"/>
          <w:lang w:val="es-ES"/>
        </w:rPr>
        <w:t xml:space="preserve">cada línea de atención incluida en </w:t>
      </w:r>
      <w:r w:rsidR="005535BC" w:rsidRPr="008C21E4">
        <w:rPr>
          <w:rFonts w:cs="Arial"/>
          <w:lang w:val="es-ES"/>
        </w:rPr>
        <w:t>Mejor Salud BH</w:t>
      </w:r>
      <w:r w:rsidR="00FE36C0" w:rsidRPr="008C21E4">
        <w:rPr>
          <w:rFonts w:cs="Arial"/>
          <w:lang w:val="es-ES"/>
        </w:rPr>
        <w:t xml:space="preserve">, se presentan en </w:t>
      </w:r>
      <w:r w:rsidR="00477FBF" w:rsidRPr="008C21E4">
        <w:rPr>
          <w:rFonts w:cs="Arial"/>
          <w:lang w:val="es-ES"/>
        </w:rPr>
        <w:t xml:space="preserve">la </w:t>
      </w:r>
      <w:r w:rsidR="00477FBF" w:rsidRPr="008C21E4">
        <w:rPr>
          <w:rFonts w:cs="Arial"/>
          <w:lang w:val="es-ES"/>
        </w:rPr>
        <w:fldChar w:fldCharType="begin"/>
      </w:r>
      <w:r w:rsidR="00477FBF" w:rsidRPr="008C21E4">
        <w:rPr>
          <w:rFonts w:cs="Arial"/>
          <w:lang w:val="es-ES"/>
        </w:rPr>
        <w:instrText xml:space="preserve"> REF _Ref285380310 \h </w:instrText>
      </w:r>
      <w:r w:rsidR="000B185D" w:rsidRPr="008C21E4">
        <w:rPr>
          <w:rFonts w:cs="Arial"/>
          <w:lang w:val="es-ES"/>
        </w:rPr>
        <w:instrText xml:space="preserve"> \* MERGEFORMAT </w:instrText>
      </w:r>
      <w:r w:rsidR="00477FBF" w:rsidRPr="008C21E4">
        <w:rPr>
          <w:rFonts w:cs="Arial"/>
          <w:lang w:val="es-ES"/>
        </w:rPr>
      </w:r>
      <w:r w:rsidR="00477FBF" w:rsidRPr="008C21E4">
        <w:rPr>
          <w:rFonts w:cs="Arial"/>
          <w:lang w:val="es-ES"/>
        </w:rPr>
        <w:fldChar w:fldCharType="separate"/>
      </w:r>
      <w:r w:rsidR="0088018B" w:rsidRPr="008C21E4">
        <w:rPr>
          <w:rFonts w:cs="Arial"/>
          <w:lang w:val="es-ES"/>
        </w:rPr>
        <w:t xml:space="preserve">Tabla </w:t>
      </w:r>
      <w:r w:rsidR="0088018B" w:rsidRPr="008C21E4">
        <w:rPr>
          <w:rFonts w:cs="Arial"/>
          <w:noProof/>
          <w:lang w:val="es-ES"/>
        </w:rPr>
        <w:t>2</w:t>
      </w:r>
      <w:r w:rsidR="00477FBF" w:rsidRPr="008C21E4">
        <w:rPr>
          <w:rFonts w:cs="Arial"/>
          <w:lang w:val="es-ES"/>
        </w:rPr>
        <w:fldChar w:fldCharType="end"/>
      </w:r>
      <w:r w:rsidR="00D136A9" w:rsidRPr="008C21E4">
        <w:rPr>
          <w:rFonts w:cs="Arial"/>
          <w:lang w:val="es-ES"/>
        </w:rPr>
        <w:t>.</w:t>
      </w:r>
      <w:r w:rsidR="00752CC7" w:rsidRPr="008C21E4">
        <w:rPr>
          <w:rFonts w:cs="Arial"/>
          <w:lang w:val="es-ES"/>
        </w:rPr>
        <w:t xml:space="preserve"> </w:t>
      </w:r>
    </w:p>
    <w:p w14:paraId="38B4ED9A" w14:textId="3B1A1EEF" w:rsidR="006E6E37" w:rsidRDefault="006E6E37">
      <w:pPr>
        <w:rPr>
          <w:rFonts w:ascii="Arial" w:hAnsi="Arial" w:cs="Arial"/>
          <w:sz w:val="22"/>
          <w:szCs w:val="22"/>
          <w:lang w:val="es-ES"/>
        </w:rPr>
      </w:pPr>
    </w:p>
    <w:p w14:paraId="722178F8" w14:textId="14B5C73A" w:rsidR="005535BC" w:rsidRDefault="00477FBF" w:rsidP="007809D2">
      <w:pPr>
        <w:pStyle w:val="Caption"/>
        <w:rPr>
          <w:noProof/>
        </w:rPr>
      </w:pPr>
      <w:bookmarkStart w:id="20" w:name="_Ref285380310"/>
      <w:r w:rsidRPr="008C21E4">
        <w:t xml:space="preserve">Tabla </w:t>
      </w:r>
      <w:r w:rsidR="00A81D94">
        <w:rPr>
          <w:noProof/>
        </w:rPr>
        <w:fldChar w:fldCharType="begin"/>
      </w:r>
      <w:r w:rsidR="00A81D94">
        <w:rPr>
          <w:noProof/>
        </w:rPr>
        <w:instrText xml:space="preserve"> SEQ Tabla \* ARABIC </w:instrText>
      </w:r>
      <w:r w:rsidR="00A81D94">
        <w:rPr>
          <w:noProof/>
        </w:rPr>
        <w:fldChar w:fldCharType="separate"/>
      </w:r>
      <w:r w:rsidR="002F5DFF" w:rsidRPr="008C21E4">
        <w:rPr>
          <w:noProof/>
        </w:rPr>
        <w:t>2</w:t>
      </w:r>
      <w:r w:rsidR="00A81D94">
        <w:rPr>
          <w:noProof/>
        </w:rPr>
        <w:fldChar w:fldCharType="end"/>
      </w:r>
      <w:bookmarkEnd w:id="20"/>
      <w:r w:rsidRPr="008C21E4">
        <w:t>.</w:t>
      </w:r>
      <w:r w:rsidR="00FA34E2" w:rsidRPr="008C21E4">
        <w:rPr>
          <w:noProof/>
        </w:rPr>
        <w:t xml:space="preserve"> Líneas de cuidado, intervenciones y efectividad en AVADs por millón</w:t>
      </w:r>
    </w:p>
    <w:p w14:paraId="19F07F55" w14:textId="6528BAF4" w:rsidR="00AF6A62" w:rsidRPr="00AF6A62" w:rsidRDefault="00AF6A62" w:rsidP="00AF6A62">
      <w:pPr>
        <w:jc w:val="center"/>
        <w:rPr>
          <w:lang w:val="es-ES_tradnl"/>
        </w:rPr>
      </w:pPr>
      <w:r>
        <w:rPr>
          <w:noProof/>
          <w:lang w:val="it-IT" w:eastAsia="it-IT"/>
        </w:rPr>
        <w:drawing>
          <wp:inline distT="0" distB="0" distL="0" distR="0" wp14:anchorId="6788F07A" wp14:editId="11F0FD0E">
            <wp:extent cx="5935345" cy="3948430"/>
            <wp:effectExtent l="0" t="0" r="8255" b="0"/>
            <wp:docPr id="1" name="Immagine 1" descr="../../../../../Desktop/Schermata%202018-09-21%20alle%2020.56.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hermata%202018-09-21%20alle%2020.56.2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5345" cy="3948430"/>
                    </a:xfrm>
                    <a:prstGeom prst="rect">
                      <a:avLst/>
                    </a:prstGeom>
                    <a:noFill/>
                    <a:ln>
                      <a:noFill/>
                    </a:ln>
                  </pic:spPr>
                </pic:pic>
              </a:graphicData>
            </a:graphic>
          </wp:inline>
        </w:drawing>
      </w:r>
    </w:p>
    <w:p w14:paraId="2ECF61A0" w14:textId="5E04A162" w:rsidR="00C60EF8" w:rsidRDefault="00FA34E2" w:rsidP="009115FF">
      <w:pPr>
        <w:rPr>
          <w:rFonts w:ascii="Arial" w:hAnsi="Arial" w:cs="Arial"/>
          <w:sz w:val="16"/>
          <w:szCs w:val="16"/>
          <w:lang w:val="es-ES" w:eastAsia="ko-KR"/>
        </w:rPr>
      </w:pPr>
      <w:r w:rsidRPr="008C21E4">
        <w:rPr>
          <w:rFonts w:ascii="Arial" w:hAnsi="Arial" w:cs="Arial"/>
          <w:i/>
          <w:sz w:val="16"/>
          <w:szCs w:val="16"/>
          <w:lang w:val="es-ES" w:eastAsia="ko-KR"/>
        </w:rPr>
        <w:t>Fuente</w:t>
      </w:r>
      <w:r w:rsidRPr="008C21E4">
        <w:rPr>
          <w:rFonts w:ascii="Arial" w:hAnsi="Arial" w:cs="Arial"/>
          <w:sz w:val="16"/>
          <w:szCs w:val="16"/>
          <w:lang w:val="es-ES" w:eastAsia="ko-KR"/>
        </w:rPr>
        <w:t xml:space="preserve">: elaboración propia a partir de referencias </w:t>
      </w:r>
      <w:r w:rsidR="00893637" w:rsidRPr="008C21E4">
        <w:rPr>
          <w:rFonts w:ascii="Arial" w:hAnsi="Arial" w:cs="Arial"/>
          <w:sz w:val="16"/>
          <w:szCs w:val="16"/>
          <w:lang w:val="es-ES" w:eastAsia="ko-KR"/>
        </w:rPr>
        <w:t>indicadas en la tabla</w:t>
      </w:r>
      <w:r w:rsidR="00AA3F6C" w:rsidRPr="008C21E4">
        <w:rPr>
          <w:rFonts w:ascii="Arial" w:hAnsi="Arial" w:cs="Arial"/>
          <w:sz w:val="16"/>
          <w:szCs w:val="16"/>
          <w:lang w:val="es-ES" w:eastAsia="ko-KR"/>
        </w:rPr>
        <w:t xml:space="preserve">; en el caso de WHO-CHOICE se toman como referencia los valores para la región América B, que incluye </w:t>
      </w:r>
      <w:r w:rsidR="00227AD6" w:rsidRPr="008C21E4">
        <w:rPr>
          <w:rFonts w:ascii="Arial" w:hAnsi="Arial" w:cs="Arial"/>
          <w:sz w:val="16"/>
          <w:szCs w:val="16"/>
          <w:lang w:val="es-ES" w:eastAsia="ko-KR"/>
        </w:rPr>
        <w:t>Brasil</w:t>
      </w:r>
      <w:r w:rsidR="00AA3F6C" w:rsidRPr="008C21E4">
        <w:rPr>
          <w:rFonts w:ascii="Arial" w:hAnsi="Arial" w:cs="Arial"/>
          <w:sz w:val="16"/>
          <w:szCs w:val="16"/>
          <w:lang w:val="es-ES" w:eastAsia="ko-KR"/>
        </w:rPr>
        <w:t>.</w:t>
      </w:r>
    </w:p>
    <w:p w14:paraId="01730CED" w14:textId="1756F59E" w:rsidR="00230803" w:rsidRPr="005C0D0E" w:rsidRDefault="00C60EF8" w:rsidP="009115FF">
      <w:pPr>
        <w:rPr>
          <w:rFonts w:ascii="Arial" w:hAnsi="Arial" w:cs="Arial"/>
          <w:sz w:val="16"/>
          <w:szCs w:val="16"/>
          <w:lang w:val="es-ES" w:eastAsia="ko-KR"/>
        </w:rPr>
      </w:pPr>
      <w:r>
        <w:rPr>
          <w:rFonts w:ascii="Arial" w:hAnsi="Arial" w:cs="Arial"/>
          <w:sz w:val="16"/>
          <w:szCs w:val="16"/>
          <w:lang w:val="es-ES" w:eastAsia="ko-KR"/>
        </w:rPr>
        <w:br w:type="page"/>
      </w:r>
    </w:p>
    <w:p w14:paraId="293DA670" w14:textId="4E28A588" w:rsidR="00751165" w:rsidRPr="008C21E4" w:rsidRDefault="00230803" w:rsidP="008A41E6">
      <w:pPr>
        <w:pStyle w:val="Heading2"/>
        <w:numPr>
          <w:ilvl w:val="0"/>
          <w:numId w:val="5"/>
        </w:numPr>
        <w:rPr>
          <w:lang w:eastAsia="ko-KR"/>
        </w:rPr>
      </w:pPr>
      <w:bookmarkStart w:id="21" w:name="_Toc296257188"/>
      <w:bookmarkStart w:id="22" w:name="_Toc525384018"/>
      <w:r w:rsidRPr="008C21E4">
        <w:rPr>
          <w:lang w:eastAsia="ko-KR"/>
        </w:rPr>
        <w:lastRenderedPageBreak/>
        <w:t>Procedimiento para la evaluaci</w:t>
      </w:r>
      <w:r w:rsidRPr="008C21E4">
        <w:rPr>
          <w:rFonts w:eastAsia="Calibri"/>
          <w:lang w:eastAsia="ko-KR"/>
        </w:rPr>
        <w:t>ón</w:t>
      </w:r>
      <w:bookmarkEnd w:id="21"/>
      <w:r w:rsidR="009E4400" w:rsidRPr="008C21E4">
        <w:rPr>
          <w:lang w:eastAsia="ko-KR"/>
        </w:rPr>
        <w:t xml:space="preserve"> econ</w:t>
      </w:r>
      <w:r w:rsidR="009E4400" w:rsidRPr="008C21E4">
        <w:rPr>
          <w:rFonts w:eastAsia="Calibri"/>
          <w:lang w:eastAsia="ko-KR"/>
        </w:rPr>
        <w:t>ómica</w:t>
      </w:r>
      <w:r w:rsidR="00752CC7" w:rsidRPr="008C21E4">
        <w:rPr>
          <w:lang w:eastAsia="ko-KR"/>
        </w:rPr>
        <w:t xml:space="preserve"> de </w:t>
      </w:r>
      <w:r w:rsidR="00C97A2B">
        <w:rPr>
          <w:rFonts w:cs="Arial"/>
          <w:lang w:eastAsia="ko-KR"/>
        </w:rPr>
        <w:t>Mejor</w:t>
      </w:r>
      <w:r w:rsidR="00E45EDC" w:rsidRPr="008C21E4">
        <w:rPr>
          <w:rFonts w:cs="Arial"/>
          <w:lang w:eastAsia="ko-KR"/>
        </w:rPr>
        <w:t xml:space="preserve"> Salud </w:t>
      </w:r>
      <w:r w:rsidR="00C97A2B">
        <w:rPr>
          <w:rFonts w:cs="Arial"/>
          <w:lang w:eastAsia="ko-KR"/>
        </w:rPr>
        <w:t>BH</w:t>
      </w:r>
      <w:bookmarkEnd w:id="22"/>
    </w:p>
    <w:p w14:paraId="128077C3" w14:textId="4274AA5C" w:rsidR="00220F06" w:rsidRDefault="00751165" w:rsidP="00220F06">
      <w:pPr>
        <w:spacing w:before="120" w:after="100" w:afterAutospacing="1"/>
        <w:jc w:val="both"/>
        <w:rPr>
          <w:rFonts w:ascii="Arial" w:hAnsi="Arial" w:cs="Arial"/>
          <w:sz w:val="22"/>
          <w:szCs w:val="22"/>
          <w:lang w:val="es-ES"/>
        </w:rPr>
      </w:pPr>
      <w:r w:rsidRPr="008C21E4">
        <w:rPr>
          <w:rFonts w:ascii="Arial" w:hAnsi="Arial" w:cs="Arial"/>
          <w:sz w:val="22"/>
          <w:szCs w:val="22"/>
          <w:lang w:val="es-ES" w:eastAsia="ko-KR"/>
        </w:rPr>
        <w:t>E</w:t>
      </w:r>
      <w:r w:rsidR="00E36A8D">
        <w:rPr>
          <w:rFonts w:ascii="Arial" w:hAnsi="Arial" w:cs="Arial"/>
          <w:sz w:val="22"/>
          <w:szCs w:val="22"/>
          <w:lang w:val="es-ES" w:eastAsia="ko-KR"/>
        </w:rPr>
        <w:t xml:space="preserve">n el </w:t>
      </w:r>
      <w:r w:rsidRPr="008C21E4">
        <w:rPr>
          <w:rFonts w:ascii="Arial" w:hAnsi="Arial" w:cs="Arial"/>
          <w:sz w:val="22"/>
          <w:szCs w:val="22"/>
          <w:lang w:val="es-ES" w:eastAsia="ko-KR"/>
        </w:rPr>
        <w:t>análisis</w:t>
      </w:r>
      <w:r w:rsidR="008417EF" w:rsidRPr="008C21E4">
        <w:rPr>
          <w:rFonts w:ascii="Arial" w:hAnsi="Arial" w:cs="Arial"/>
          <w:sz w:val="22"/>
          <w:szCs w:val="22"/>
          <w:lang w:val="es-ES" w:eastAsia="ko-KR"/>
        </w:rPr>
        <w:t xml:space="preserve"> económico de </w:t>
      </w:r>
      <w:r w:rsidR="00897206">
        <w:rPr>
          <w:rFonts w:ascii="Arial" w:hAnsi="Arial" w:cs="Arial"/>
          <w:sz w:val="22"/>
          <w:szCs w:val="22"/>
          <w:lang w:val="es-ES" w:eastAsia="ko-KR"/>
        </w:rPr>
        <w:t>Mejor Salud BH</w:t>
      </w:r>
      <w:r w:rsidR="009650F7" w:rsidRPr="008C21E4">
        <w:rPr>
          <w:rFonts w:ascii="Arial" w:hAnsi="Arial" w:cs="Arial"/>
          <w:sz w:val="22"/>
          <w:szCs w:val="22"/>
          <w:lang w:val="es-ES" w:eastAsia="ko-KR"/>
        </w:rPr>
        <w:t xml:space="preserve"> </w:t>
      </w:r>
      <w:r w:rsidR="00FF6EF3" w:rsidRPr="008C21E4">
        <w:rPr>
          <w:rFonts w:ascii="Arial" w:hAnsi="Arial" w:cs="Arial"/>
          <w:sz w:val="22"/>
          <w:szCs w:val="22"/>
          <w:lang w:val="es-ES" w:eastAsia="ko-KR"/>
        </w:rPr>
        <w:t>se</w:t>
      </w:r>
      <w:r w:rsidRPr="008C21E4">
        <w:rPr>
          <w:rFonts w:ascii="Arial" w:hAnsi="Arial" w:cs="Arial"/>
          <w:sz w:val="22"/>
          <w:szCs w:val="22"/>
          <w:lang w:val="es-ES" w:eastAsia="ko-KR"/>
        </w:rPr>
        <w:t xml:space="preserve"> considerar</w:t>
      </w:r>
      <w:r w:rsidR="00FF6EF3" w:rsidRPr="008C21E4">
        <w:rPr>
          <w:rFonts w:ascii="Arial" w:hAnsi="Arial" w:cs="Arial"/>
          <w:sz w:val="22"/>
          <w:szCs w:val="22"/>
          <w:lang w:val="es-ES" w:eastAsia="ko-KR"/>
        </w:rPr>
        <w:t>on</w:t>
      </w:r>
      <w:r w:rsidRPr="008C21E4">
        <w:rPr>
          <w:rFonts w:ascii="Arial" w:hAnsi="Arial" w:cs="Arial"/>
          <w:sz w:val="22"/>
          <w:szCs w:val="22"/>
          <w:lang w:val="es-ES" w:eastAsia="ko-KR"/>
        </w:rPr>
        <w:t xml:space="preserve"> l</w:t>
      </w:r>
      <w:r w:rsidR="00025D20" w:rsidRPr="008C21E4">
        <w:rPr>
          <w:rFonts w:ascii="Arial" w:hAnsi="Arial" w:cs="Arial"/>
          <w:sz w:val="22"/>
          <w:szCs w:val="22"/>
          <w:lang w:val="es-ES" w:eastAsia="ko-KR"/>
        </w:rPr>
        <w:t>a</w:t>
      </w:r>
      <w:r w:rsidRPr="008C21E4">
        <w:rPr>
          <w:rFonts w:ascii="Arial" w:hAnsi="Arial" w:cs="Arial"/>
          <w:sz w:val="22"/>
          <w:szCs w:val="22"/>
          <w:lang w:val="es-ES" w:eastAsia="ko-KR"/>
        </w:rPr>
        <w:t xml:space="preserve">s </w:t>
      </w:r>
      <w:r w:rsidR="00AB1B4F" w:rsidRPr="008C21E4">
        <w:rPr>
          <w:rFonts w:ascii="Arial" w:hAnsi="Arial" w:cs="Arial"/>
          <w:sz w:val="22"/>
          <w:szCs w:val="22"/>
          <w:lang w:val="es-ES" w:eastAsia="ko-KR"/>
        </w:rPr>
        <w:t xml:space="preserve">siguientes </w:t>
      </w:r>
      <w:r w:rsidRPr="008C21E4">
        <w:rPr>
          <w:rFonts w:ascii="Arial" w:hAnsi="Arial" w:cs="Arial"/>
          <w:sz w:val="22"/>
          <w:szCs w:val="22"/>
          <w:lang w:val="es-ES" w:eastAsia="ko-KR"/>
        </w:rPr>
        <w:t xml:space="preserve">líneas de atención </w:t>
      </w:r>
      <w:r w:rsidR="00EF0C98" w:rsidRPr="008C21E4">
        <w:rPr>
          <w:rFonts w:ascii="Arial" w:hAnsi="Arial" w:cs="Arial"/>
          <w:sz w:val="22"/>
          <w:szCs w:val="22"/>
          <w:lang w:val="es-ES" w:eastAsia="ko-KR"/>
        </w:rPr>
        <w:t xml:space="preserve">que atenderán a la población objetivo </w:t>
      </w:r>
      <w:r w:rsidR="003F42D5">
        <w:rPr>
          <w:rFonts w:ascii="Arial" w:hAnsi="Arial" w:cs="Arial"/>
          <w:sz w:val="22"/>
          <w:szCs w:val="22"/>
          <w:lang w:val="es-ES" w:eastAsia="ko-KR"/>
        </w:rPr>
        <w:t>de Mejor Salud B</w:t>
      </w:r>
      <w:r w:rsidR="00897206">
        <w:rPr>
          <w:rFonts w:ascii="Arial" w:hAnsi="Arial" w:cs="Arial"/>
          <w:sz w:val="22"/>
          <w:szCs w:val="22"/>
          <w:lang w:val="es-ES" w:eastAsia="ko-KR"/>
        </w:rPr>
        <w:t>H</w:t>
      </w:r>
      <w:r w:rsidR="008C73A2">
        <w:rPr>
          <w:rFonts w:ascii="Arial" w:hAnsi="Arial" w:cs="Arial"/>
          <w:sz w:val="22"/>
          <w:szCs w:val="22"/>
          <w:lang w:val="es-ES" w:eastAsia="ko-KR"/>
        </w:rPr>
        <w:t xml:space="preserve">. </w:t>
      </w:r>
      <w:r w:rsidR="00A26C93">
        <w:rPr>
          <w:rFonts w:ascii="Arial" w:hAnsi="Arial" w:cs="Arial"/>
          <w:sz w:val="22"/>
          <w:szCs w:val="22"/>
          <w:lang w:val="es-ES"/>
        </w:rPr>
        <w:t>Mejor Salud BH</w:t>
      </w:r>
      <w:r w:rsidR="00A26C93" w:rsidRPr="001875A2">
        <w:rPr>
          <w:rFonts w:ascii="Arial" w:hAnsi="Arial" w:cs="Arial"/>
          <w:sz w:val="22"/>
          <w:szCs w:val="22"/>
          <w:lang w:val="es-ES"/>
        </w:rPr>
        <w:t xml:space="preserve"> financia los servicios de salud del sistema público con cobertura universal de manera normativa. </w:t>
      </w:r>
      <w:r w:rsidR="004D780B">
        <w:rPr>
          <w:rFonts w:ascii="Arial" w:hAnsi="Arial" w:cs="Arial"/>
          <w:sz w:val="22"/>
          <w:szCs w:val="22"/>
          <w:lang w:val="es-ES"/>
        </w:rPr>
        <w:t xml:space="preserve">Por esta razón, la población </w:t>
      </w:r>
      <w:r w:rsidR="00220F06">
        <w:rPr>
          <w:rFonts w:ascii="Arial" w:hAnsi="Arial" w:cs="Arial"/>
          <w:sz w:val="22"/>
          <w:szCs w:val="22"/>
          <w:lang w:val="es-ES" w:eastAsia="ko-KR"/>
        </w:rPr>
        <w:t>objetivo</w:t>
      </w:r>
      <w:r w:rsidR="00220F06">
        <w:rPr>
          <w:rFonts w:ascii="Arial" w:hAnsi="Arial" w:cs="Arial"/>
          <w:sz w:val="22"/>
          <w:szCs w:val="22"/>
          <w:lang w:val="es-ES"/>
        </w:rPr>
        <w:t xml:space="preserve"> </w:t>
      </w:r>
      <w:r w:rsidR="004D780B">
        <w:rPr>
          <w:rFonts w:ascii="Arial" w:hAnsi="Arial" w:cs="Arial"/>
          <w:sz w:val="22"/>
          <w:szCs w:val="22"/>
          <w:lang w:val="es-ES"/>
        </w:rPr>
        <w:t xml:space="preserve">del análisis económico incluye </w:t>
      </w:r>
      <w:r w:rsidR="00220F06">
        <w:rPr>
          <w:rFonts w:ascii="Arial" w:hAnsi="Arial" w:cs="Arial"/>
          <w:sz w:val="22"/>
          <w:szCs w:val="22"/>
          <w:lang w:val="es-ES"/>
        </w:rPr>
        <w:t xml:space="preserve">a </w:t>
      </w:r>
      <w:r w:rsidR="004D780B">
        <w:rPr>
          <w:rFonts w:ascii="Arial" w:hAnsi="Arial" w:cs="Arial"/>
          <w:sz w:val="22"/>
          <w:szCs w:val="22"/>
          <w:lang w:val="es-ES"/>
        </w:rPr>
        <w:t xml:space="preserve">todos </w:t>
      </w:r>
      <w:r w:rsidR="00220F06">
        <w:rPr>
          <w:rFonts w:ascii="Arial" w:hAnsi="Arial" w:cs="Arial"/>
          <w:sz w:val="22"/>
          <w:szCs w:val="22"/>
          <w:lang w:val="es-ES"/>
        </w:rPr>
        <w:t xml:space="preserve">los ciudadanos que acceden a los </w:t>
      </w:r>
      <w:r w:rsidR="004D780B">
        <w:rPr>
          <w:rFonts w:ascii="Arial" w:hAnsi="Arial" w:cs="Arial"/>
          <w:sz w:val="22"/>
          <w:szCs w:val="22"/>
          <w:lang w:val="es-ES"/>
        </w:rPr>
        <w:t xml:space="preserve">distintos </w:t>
      </w:r>
      <w:r w:rsidR="00220F06">
        <w:rPr>
          <w:rFonts w:ascii="Arial" w:hAnsi="Arial" w:cs="Arial"/>
          <w:sz w:val="22"/>
          <w:szCs w:val="22"/>
          <w:lang w:val="es-ES"/>
        </w:rPr>
        <w:t xml:space="preserve">servicios de salud según </w:t>
      </w:r>
      <w:r w:rsidR="00220F06">
        <w:rPr>
          <w:rFonts w:ascii="Arial" w:hAnsi="Arial" w:cs="Arial"/>
          <w:sz w:val="22"/>
          <w:szCs w:val="22"/>
          <w:lang w:val="es-ES" w:eastAsia="ko-KR"/>
        </w:rPr>
        <w:t xml:space="preserve">en el </w:t>
      </w:r>
      <w:r w:rsidR="00891D9F">
        <w:rPr>
          <w:rFonts w:ascii="Arial" w:hAnsi="Arial" w:cs="Arial"/>
          <w:sz w:val="22"/>
          <w:szCs w:val="22"/>
          <w:lang w:val="es-ES" w:eastAsia="ko-KR"/>
        </w:rPr>
        <w:t xml:space="preserve">prontuario electrónico del SUS. </w:t>
      </w:r>
    </w:p>
    <w:p w14:paraId="5E5C1DFE" w14:textId="5ADA3291" w:rsidR="00CA6CFF" w:rsidRDefault="00891D9F" w:rsidP="001025F1">
      <w:pPr>
        <w:spacing w:before="120" w:after="100" w:afterAutospacing="1"/>
        <w:jc w:val="both"/>
        <w:rPr>
          <w:rFonts w:ascii="Arial" w:hAnsi="Arial" w:cs="Arial"/>
          <w:sz w:val="22"/>
          <w:szCs w:val="22"/>
          <w:lang w:val="es-ES" w:eastAsia="ko-KR"/>
        </w:rPr>
      </w:pPr>
      <w:r>
        <w:rPr>
          <w:rFonts w:ascii="Arial" w:hAnsi="Arial" w:cs="Arial"/>
          <w:sz w:val="22"/>
          <w:szCs w:val="22"/>
          <w:lang w:val="es-ES"/>
        </w:rPr>
        <w:t xml:space="preserve">El proyecto </w:t>
      </w:r>
      <w:r w:rsidR="00230C44" w:rsidRPr="001875A2">
        <w:rPr>
          <w:rFonts w:ascii="Arial" w:hAnsi="Arial" w:cs="Arial"/>
          <w:sz w:val="22"/>
          <w:szCs w:val="22"/>
          <w:lang w:val="es-ES"/>
        </w:rPr>
        <w:t>aportará una mayor cobertura efectiva en las diferentes líneas de atención.</w:t>
      </w:r>
      <w:r w:rsidR="00461A70">
        <w:rPr>
          <w:rFonts w:ascii="Arial" w:hAnsi="Arial" w:cs="Arial"/>
          <w:sz w:val="22"/>
          <w:szCs w:val="22"/>
          <w:lang w:val="es-ES" w:eastAsia="ko-KR"/>
        </w:rPr>
        <w:t xml:space="preserve"> </w:t>
      </w:r>
      <w:r w:rsidR="008C73A2">
        <w:rPr>
          <w:rFonts w:ascii="Arial" w:hAnsi="Arial" w:cs="Arial"/>
          <w:sz w:val="22"/>
          <w:szCs w:val="22"/>
          <w:lang w:val="es-ES" w:eastAsia="ko-KR"/>
        </w:rPr>
        <w:t>Cada línea de atención está asociada a una población objetivo especifica.</w:t>
      </w:r>
      <w:r w:rsidR="00E36A8D">
        <w:rPr>
          <w:rFonts w:ascii="Arial" w:hAnsi="Arial" w:cs="Arial"/>
          <w:sz w:val="22"/>
          <w:szCs w:val="22"/>
          <w:lang w:val="es-ES" w:eastAsia="ko-KR"/>
        </w:rPr>
        <w:t xml:space="preserve"> Por ejemplo, </w:t>
      </w:r>
      <w:r w:rsidR="000C334A" w:rsidRPr="007D7F0B">
        <w:rPr>
          <w:rFonts w:ascii="Arial" w:hAnsi="Arial" w:cs="Arial"/>
          <w:sz w:val="22"/>
          <w:szCs w:val="22"/>
          <w:lang w:val="es-ES" w:eastAsia="ko-KR"/>
        </w:rPr>
        <w:t xml:space="preserve">para </w:t>
      </w:r>
      <w:r w:rsidR="000C334A">
        <w:rPr>
          <w:rFonts w:ascii="Arial" w:hAnsi="Arial" w:cs="Arial"/>
          <w:sz w:val="22"/>
          <w:szCs w:val="22"/>
          <w:lang w:val="es-ES" w:eastAsia="ko-KR"/>
        </w:rPr>
        <w:t xml:space="preserve">las líneas de cuidados </w:t>
      </w:r>
      <w:r w:rsidR="008B5EE5">
        <w:rPr>
          <w:rFonts w:ascii="Arial" w:hAnsi="Arial" w:cs="Arial"/>
          <w:sz w:val="22"/>
          <w:szCs w:val="22"/>
          <w:lang w:val="es-ES" w:eastAsia="ko-KR"/>
        </w:rPr>
        <w:t xml:space="preserve">asociadas con </w:t>
      </w:r>
      <w:r w:rsidR="00CB0955">
        <w:rPr>
          <w:rFonts w:ascii="Arial" w:hAnsi="Arial" w:cs="Arial"/>
          <w:sz w:val="22"/>
          <w:szCs w:val="22"/>
          <w:lang w:val="es-ES" w:eastAsia="ko-KR"/>
        </w:rPr>
        <w:t xml:space="preserve">los </w:t>
      </w:r>
      <w:r w:rsidR="000C334A" w:rsidRPr="007D7F0B">
        <w:rPr>
          <w:rFonts w:ascii="Arial" w:hAnsi="Arial" w:cs="Arial"/>
          <w:sz w:val="22"/>
          <w:szCs w:val="22"/>
          <w:lang w:val="es-ES" w:eastAsia="ko-KR"/>
        </w:rPr>
        <w:t>CERSAM</w:t>
      </w:r>
      <w:r w:rsidR="000C334A">
        <w:rPr>
          <w:rFonts w:ascii="Arial" w:hAnsi="Arial" w:cs="Arial"/>
          <w:sz w:val="22"/>
          <w:szCs w:val="22"/>
          <w:lang w:val="es-ES" w:eastAsia="ko-KR"/>
        </w:rPr>
        <w:t xml:space="preserve"> </w:t>
      </w:r>
      <w:r w:rsidR="00E36A8D">
        <w:rPr>
          <w:rFonts w:ascii="Arial" w:hAnsi="Arial" w:cs="Arial"/>
          <w:sz w:val="22"/>
          <w:szCs w:val="22"/>
          <w:lang w:val="es-ES" w:eastAsia="ko-KR"/>
        </w:rPr>
        <w:t xml:space="preserve">se utiliza el total de la población usuaria del SUS </w:t>
      </w:r>
      <w:r w:rsidR="0015202C">
        <w:rPr>
          <w:rFonts w:ascii="Arial" w:hAnsi="Arial" w:cs="Arial"/>
          <w:sz w:val="22"/>
          <w:szCs w:val="22"/>
          <w:lang w:val="es-ES" w:eastAsia="ko-KR"/>
        </w:rPr>
        <w:t xml:space="preserve">según su </w:t>
      </w:r>
      <w:r w:rsidR="000C334A">
        <w:rPr>
          <w:rFonts w:ascii="Arial" w:hAnsi="Arial" w:cs="Arial"/>
          <w:sz w:val="22"/>
          <w:szCs w:val="22"/>
          <w:lang w:val="es-ES" w:eastAsia="ko-KR"/>
        </w:rPr>
        <w:t>prontuario e</w:t>
      </w:r>
      <w:r w:rsidR="00E36A8D" w:rsidRPr="007D7F0B">
        <w:rPr>
          <w:rFonts w:ascii="Arial" w:hAnsi="Arial" w:cs="Arial"/>
          <w:sz w:val="22"/>
          <w:szCs w:val="22"/>
          <w:lang w:val="es-ES" w:eastAsia="ko-KR"/>
        </w:rPr>
        <w:t xml:space="preserve">lectrónico </w:t>
      </w:r>
      <w:r w:rsidR="000C334A">
        <w:rPr>
          <w:rFonts w:ascii="Arial" w:hAnsi="Arial" w:cs="Arial"/>
          <w:sz w:val="22"/>
          <w:szCs w:val="22"/>
          <w:lang w:val="es-ES" w:eastAsia="ko-KR"/>
        </w:rPr>
        <w:t>(2.</w:t>
      </w:r>
      <w:r w:rsidR="00634810">
        <w:rPr>
          <w:rFonts w:ascii="Arial" w:hAnsi="Arial" w:cs="Arial"/>
          <w:sz w:val="22"/>
          <w:szCs w:val="22"/>
          <w:lang w:val="es-ES" w:eastAsia="ko-KR"/>
        </w:rPr>
        <w:t>1</w:t>
      </w:r>
      <w:r w:rsidR="000C334A">
        <w:rPr>
          <w:rFonts w:ascii="Arial" w:hAnsi="Arial" w:cs="Arial"/>
          <w:sz w:val="22"/>
          <w:szCs w:val="22"/>
          <w:lang w:val="es-ES" w:eastAsia="ko-KR"/>
        </w:rPr>
        <w:t xml:space="preserve"> millones), </w:t>
      </w:r>
      <w:r w:rsidR="00634810">
        <w:rPr>
          <w:rFonts w:ascii="Arial" w:hAnsi="Arial" w:cs="Arial"/>
          <w:sz w:val="22"/>
          <w:szCs w:val="22"/>
          <w:lang w:val="es-ES" w:eastAsia="ko-KR"/>
        </w:rPr>
        <w:t xml:space="preserve">mientras que </w:t>
      </w:r>
      <w:r w:rsidR="000C334A">
        <w:rPr>
          <w:rFonts w:ascii="Arial" w:hAnsi="Arial" w:cs="Arial"/>
          <w:sz w:val="22"/>
          <w:szCs w:val="22"/>
          <w:lang w:val="es-ES" w:eastAsia="ko-KR"/>
        </w:rPr>
        <w:t>p</w:t>
      </w:r>
      <w:r w:rsidR="000C334A" w:rsidRPr="007D7F0B">
        <w:rPr>
          <w:rFonts w:ascii="Arial" w:hAnsi="Arial" w:cs="Arial"/>
          <w:sz w:val="22"/>
          <w:szCs w:val="22"/>
          <w:lang w:val="es-ES" w:eastAsia="ko-KR"/>
        </w:rPr>
        <w:t>ara las lí</w:t>
      </w:r>
      <w:r w:rsidR="007C1EFE">
        <w:rPr>
          <w:rFonts w:ascii="Arial" w:hAnsi="Arial" w:cs="Arial"/>
          <w:sz w:val="22"/>
          <w:szCs w:val="22"/>
          <w:lang w:val="es-ES" w:eastAsia="ko-KR"/>
        </w:rPr>
        <w:t xml:space="preserve">neas de inmunización </w:t>
      </w:r>
      <w:r w:rsidR="000C334A">
        <w:rPr>
          <w:rFonts w:ascii="Arial" w:hAnsi="Arial" w:cs="Arial"/>
          <w:sz w:val="22"/>
          <w:szCs w:val="22"/>
          <w:lang w:val="es-ES" w:eastAsia="ko-KR"/>
        </w:rPr>
        <w:t xml:space="preserve">se considera </w:t>
      </w:r>
      <w:r w:rsidR="000C334A" w:rsidRPr="007D7F0B">
        <w:rPr>
          <w:rFonts w:ascii="Arial" w:hAnsi="Arial" w:cs="Arial"/>
          <w:sz w:val="22"/>
          <w:szCs w:val="22"/>
          <w:lang w:val="es-ES" w:eastAsia="ko-KR"/>
        </w:rPr>
        <w:t>toda la población de Belo Horizonte</w:t>
      </w:r>
      <w:r w:rsidR="000C334A">
        <w:rPr>
          <w:rFonts w:ascii="Arial" w:hAnsi="Arial" w:cs="Arial"/>
          <w:sz w:val="22"/>
          <w:szCs w:val="22"/>
          <w:lang w:val="es-ES" w:eastAsia="ko-KR"/>
        </w:rPr>
        <w:t xml:space="preserve"> </w:t>
      </w:r>
      <w:r w:rsidR="00634810">
        <w:rPr>
          <w:rFonts w:ascii="Arial" w:hAnsi="Arial" w:cs="Arial"/>
          <w:sz w:val="22"/>
          <w:szCs w:val="22"/>
          <w:lang w:val="es-ES" w:eastAsia="ko-KR"/>
        </w:rPr>
        <w:t>(2.5 millones)</w:t>
      </w:r>
      <w:r w:rsidR="00634810" w:rsidRPr="007D7F0B">
        <w:rPr>
          <w:rFonts w:ascii="Arial" w:hAnsi="Arial" w:cs="Arial"/>
          <w:sz w:val="22"/>
          <w:szCs w:val="22"/>
          <w:lang w:val="es-ES" w:eastAsia="ko-KR"/>
        </w:rPr>
        <w:t xml:space="preserve"> </w:t>
      </w:r>
      <w:r w:rsidR="000C334A">
        <w:rPr>
          <w:rFonts w:ascii="Arial" w:hAnsi="Arial" w:cs="Arial"/>
          <w:sz w:val="22"/>
          <w:szCs w:val="22"/>
          <w:lang w:val="es-ES" w:eastAsia="ko-KR"/>
        </w:rPr>
        <w:t xml:space="preserve">porque </w:t>
      </w:r>
      <w:r w:rsidR="00634810">
        <w:rPr>
          <w:rFonts w:ascii="Arial" w:hAnsi="Arial" w:cs="Arial"/>
          <w:sz w:val="22"/>
          <w:szCs w:val="22"/>
          <w:lang w:val="es-ES" w:eastAsia="ko-KR"/>
        </w:rPr>
        <w:t xml:space="preserve">también la </w:t>
      </w:r>
      <w:r w:rsidR="00634810" w:rsidRPr="007D7F0B">
        <w:rPr>
          <w:rFonts w:ascii="Arial" w:hAnsi="Arial" w:cs="Arial"/>
          <w:sz w:val="22"/>
          <w:szCs w:val="22"/>
          <w:lang w:val="es-ES" w:eastAsia="ko-KR"/>
        </w:rPr>
        <w:t>población q</w:t>
      </w:r>
      <w:r w:rsidR="0089175F">
        <w:rPr>
          <w:rFonts w:ascii="Arial" w:hAnsi="Arial" w:cs="Arial"/>
          <w:sz w:val="22"/>
          <w:szCs w:val="22"/>
          <w:lang w:val="es-ES" w:eastAsia="ko-KR"/>
        </w:rPr>
        <w:t>ue posee seguro de salud privado</w:t>
      </w:r>
      <w:r w:rsidR="00634810" w:rsidRPr="007D7F0B">
        <w:rPr>
          <w:rFonts w:ascii="Arial" w:hAnsi="Arial" w:cs="Arial"/>
          <w:sz w:val="22"/>
          <w:szCs w:val="22"/>
          <w:lang w:val="es-ES" w:eastAsia="ko-KR"/>
        </w:rPr>
        <w:t xml:space="preserve"> utiliza esos servicios</w:t>
      </w:r>
      <w:r w:rsidR="00220F06">
        <w:rPr>
          <w:rFonts w:ascii="Arial" w:hAnsi="Arial" w:cs="Arial"/>
          <w:sz w:val="22"/>
          <w:szCs w:val="22"/>
          <w:lang w:val="es-ES" w:eastAsia="ko-KR"/>
        </w:rPr>
        <w:t xml:space="preserve">. </w:t>
      </w:r>
      <w:r w:rsidR="00D12326">
        <w:rPr>
          <w:rFonts w:ascii="Arial" w:hAnsi="Arial" w:cs="Arial"/>
          <w:sz w:val="22"/>
          <w:szCs w:val="22"/>
          <w:lang w:val="es-ES" w:eastAsia="ko-KR"/>
        </w:rPr>
        <w:t>En el caso de líneas de atención de</w:t>
      </w:r>
      <w:r w:rsidR="0067769C">
        <w:rPr>
          <w:rFonts w:ascii="Arial" w:hAnsi="Arial" w:cs="Arial"/>
          <w:sz w:val="22"/>
          <w:szCs w:val="22"/>
          <w:lang w:val="es-ES" w:eastAsia="ko-KR"/>
        </w:rPr>
        <w:t xml:space="preserve"> urgencias relacionadas con el </w:t>
      </w:r>
      <w:r w:rsidR="00E36A8D" w:rsidRPr="007D7F0B">
        <w:rPr>
          <w:rFonts w:ascii="Arial" w:hAnsi="Arial" w:cs="Arial"/>
          <w:sz w:val="22"/>
          <w:szCs w:val="22"/>
          <w:lang w:val="es-ES" w:eastAsia="ko-KR"/>
        </w:rPr>
        <w:t>Hospital Odilon B</w:t>
      </w:r>
      <w:r w:rsidR="00D12326">
        <w:rPr>
          <w:rFonts w:ascii="Arial" w:hAnsi="Arial" w:cs="Arial"/>
          <w:sz w:val="22"/>
          <w:szCs w:val="22"/>
          <w:lang w:val="es-ES" w:eastAsia="ko-KR"/>
        </w:rPr>
        <w:t xml:space="preserve">ehrens y </w:t>
      </w:r>
      <w:r w:rsidR="0067769C">
        <w:rPr>
          <w:rFonts w:ascii="Arial" w:hAnsi="Arial" w:cs="Arial"/>
          <w:sz w:val="22"/>
          <w:szCs w:val="22"/>
          <w:lang w:val="es-ES" w:eastAsia="ko-KR"/>
        </w:rPr>
        <w:t xml:space="preserve">el Hospital Metropolitano </w:t>
      </w:r>
      <w:r w:rsidR="00D12326">
        <w:rPr>
          <w:rFonts w:ascii="Arial" w:hAnsi="Arial" w:cs="Arial"/>
          <w:sz w:val="22"/>
          <w:szCs w:val="22"/>
          <w:lang w:val="es-ES" w:eastAsia="ko-KR"/>
        </w:rPr>
        <w:t>se considera</w:t>
      </w:r>
      <w:r w:rsidR="00E36A8D" w:rsidRPr="007D7F0B">
        <w:rPr>
          <w:rFonts w:ascii="Arial" w:hAnsi="Arial" w:cs="Arial"/>
          <w:sz w:val="22"/>
          <w:szCs w:val="22"/>
          <w:lang w:val="es-ES" w:eastAsia="ko-KR"/>
        </w:rPr>
        <w:t xml:space="preserve"> a la población de la Región Metropolit</w:t>
      </w:r>
      <w:r w:rsidR="00D12326">
        <w:rPr>
          <w:rFonts w:ascii="Arial" w:hAnsi="Arial" w:cs="Arial"/>
          <w:sz w:val="22"/>
          <w:szCs w:val="22"/>
          <w:lang w:val="es-ES" w:eastAsia="ko-KR"/>
        </w:rPr>
        <w:t>ana de Belo Horizonte (2.5 millones</w:t>
      </w:r>
      <w:r w:rsidR="00E36A8D" w:rsidRPr="007D7F0B">
        <w:rPr>
          <w:rFonts w:ascii="Arial" w:hAnsi="Arial" w:cs="Arial"/>
          <w:sz w:val="22"/>
          <w:szCs w:val="22"/>
          <w:lang w:val="es-ES" w:eastAsia="ko-KR"/>
        </w:rPr>
        <w:t xml:space="preserve"> + municipios vecinos = 5</w:t>
      </w:r>
      <w:r w:rsidR="00D12326">
        <w:rPr>
          <w:rFonts w:ascii="Arial" w:hAnsi="Arial" w:cs="Arial"/>
          <w:sz w:val="22"/>
          <w:szCs w:val="22"/>
          <w:lang w:val="es-ES" w:eastAsia="ko-KR"/>
        </w:rPr>
        <w:t xml:space="preserve">.9 millones); mientras que para las demás líneas de atención </w:t>
      </w:r>
      <w:r w:rsidR="00E36A8D" w:rsidRPr="007D7F0B">
        <w:rPr>
          <w:rFonts w:ascii="Arial" w:hAnsi="Arial" w:cs="Arial"/>
          <w:sz w:val="22"/>
          <w:szCs w:val="22"/>
          <w:lang w:val="es-ES" w:eastAsia="ko-KR"/>
        </w:rPr>
        <w:t xml:space="preserve">sólo </w:t>
      </w:r>
      <w:r w:rsidR="0067769C">
        <w:rPr>
          <w:rFonts w:ascii="Arial" w:hAnsi="Arial" w:cs="Arial"/>
          <w:sz w:val="22"/>
          <w:szCs w:val="22"/>
          <w:lang w:val="es-ES" w:eastAsia="ko-KR"/>
        </w:rPr>
        <w:t xml:space="preserve">se considera </w:t>
      </w:r>
      <w:r w:rsidR="00E36A8D" w:rsidRPr="007D7F0B">
        <w:rPr>
          <w:rFonts w:ascii="Arial" w:hAnsi="Arial" w:cs="Arial"/>
          <w:sz w:val="22"/>
          <w:szCs w:val="22"/>
          <w:lang w:val="es-ES" w:eastAsia="ko-KR"/>
        </w:rPr>
        <w:t xml:space="preserve">la población usuaria </w:t>
      </w:r>
      <w:r w:rsidR="0067769C">
        <w:rPr>
          <w:rFonts w:ascii="Arial" w:hAnsi="Arial" w:cs="Arial"/>
          <w:sz w:val="22"/>
          <w:szCs w:val="22"/>
          <w:lang w:val="es-ES" w:eastAsia="ko-KR"/>
        </w:rPr>
        <w:t xml:space="preserve">del </w:t>
      </w:r>
      <w:r w:rsidR="00E36A8D" w:rsidRPr="007D7F0B">
        <w:rPr>
          <w:rFonts w:ascii="Arial" w:hAnsi="Arial" w:cs="Arial"/>
          <w:sz w:val="22"/>
          <w:szCs w:val="22"/>
          <w:lang w:val="es-ES" w:eastAsia="ko-KR"/>
        </w:rPr>
        <w:t>SUS</w:t>
      </w:r>
      <w:r w:rsidR="00D12326">
        <w:rPr>
          <w:rFonts w:ascii="Arial" w:hAnsi="Arial" w:cs="Arial"/>
          <w:sz w:val="22"/>
          <w:szCs w:val="22"/>
          <w:lang w:val="es-ES" w:eastAsia="ko-KR"/>
        </w:rPr>
        <w:t xml:space="preserve"> de la </w:t>
      </w:r>
      <w:r w:rsidR="00D12326" w:rsidRPr="007D7F0B">
        <w:rPr>
          <w:rFonts w:ascii="Arial" w:hAnsi="Arial" w:cs="Arial"/>
          <w:sz w:val="22"/>
          <w:szCs w:val="22"/>
          <w:lang w:val="es-ES" w:eastAsia="ko-KR"/>
        </w:rPr>
        <w:t>Región Metropolit</w:t>
      </w:r>
      <w:r w:rsidR="00D12326">
        <w:rPr>
          <w:rFonts w:ascii="Arial" w:hAnsi="Arial" w:cs="Arial"/>
          <w:sz w:val="22"/>
          <w:szCs w:val="22"/>
          <w:lang w:val="es-ES" w:eastAsia="ko-KR"/>
        </w:rPr>
        <w:t xml:space="preserve">ana de Belo Horizonte (3.9 millones). </w:t>
      </w:r>
      <w:r w:rsidR="00144E12" w:rsidRPr="008C21E4">
        <w:rPr>
          <w:rFonts w:ascii="Arial" w:hAnsi="Arial" w:cs="Arial"/>
          <w:sz w:val="22"/>
          <w:szCs w:val="22"/>
          <w:lang w:val="es-ES" w:eastAsia="ko-KR"/>
        </w:rPr>
        <w:t>La</w:t>
      </w:r>
      <w:r w:rsidR="00506968" w:rsidRPr="008C21E4">
        <w:rPr>
          <w:rFonts w:ascii="Arial" w:hAnsi="Arial" w:cs="Arial"/>
          <w:sz w:val="22"/>
          <w:szCs w:val="22"/>
          <w:lang w:val="es-ES" w:eastAsia="ko-KR"/>
        </w:rPr>
        <w:t xml:space="preserve"> Tabla 3</w:t>
      </w:r>
      <w:r w:rsidR="0035539C" w:rsidRPr="008C21E4">
        <w:rPr>
          <w:rFonts w:ascii="Arial" w:hAnsi="Arial" w:cs="Arial"/>
          <w:sz w:val="22"/>
          <w:szCs w:val="22"/>
          <w:lang w:val="es-ES" w:eastAsia="ko-KR"/>
        </w:rPr>
        <w:t xml:space="preserve"> indica </w:t>
      </w:r>
      <w:r w:rsidR="00634810">
        <w:rPr>
          <w:rFonts w:ascii="Arial" w:hAnsi="Arial" w:cs="Arial"/>
          <w:sz w:val="22"/>
          <w:szCs w:val="22"/>
          <w:lang w:val="es-ES" w:eastAsia="ko-KR"/>
        </w:rPr>
        <w:t xml:space="preserve">la población objetivo asociada a cada intervención. </w:t>
      </w:r>
    </w:p>
    <w:p w14:paraId="190606CE" w14:textId="5165C722" w:rsidR="00144E12" w:rsidRDefault="00144E12" w:rsidP="007809D2">
      <w:pPr>
        <w:pStyle w:val="Caption"/>
        <w:rPr>
          <w:lang w:eastAsia="ko-KR"/>
        </w:rPr>
      </w:pPr>
      <w:r w:rsidRPr="008C21E4">
        <w:rPr>
          <w:lang w:eastAsia="ko-KR"/>
        </w:rPr>
        <w:t xml:space="preserve">Tabla </w:t>
      </w:r>
      <w:r w:rsidRPr="008C21E4">
        <w:fldChar w:fldCharType="begin"/>
      </w:r>
      <w:r w:rsidRPr="008C21E4">
        <w:rPr>
          <w:lang w:eastAsia="ko-KR"/>
        </w:rPr>
        <w:instrText xml:space="preserve"> SEQ Tabla \* ARABIC </w:instrText>
      </w:r>
      <w:r w:rsidRPr="008C21E4">
        <w:fldChar w:fldCharType="separate"/>
      </w:r>
      <w:r w:rsidR="00E01503" w:rsidRPr="008C21E4">
        <w:rPr>
          <w:noProof/>
          <w:lang w:eastAsia="ko-KR"/>
        </w:rPr>
        <w:t>3</w:t>
      </w:r>
      <w:r w:rsidRPr="008C21E4">
        <w:fldChar w:fldCharType="end"/>
      </w:r>
      <w:r w:rsidRPr="008C21E4">
        <w:rPr>
          <w:lang w:eastAsia="ko-KR"/>
        </w:rPr>
        <w:t xml:space="preserve">. </w:t>
      </w:r>
      <w:r w:rsidR="00375D15" w:rsidRPr="008C21E4">
        <w:rPr>
          <w:lang w:eastAsia="ko-KR"/>
        </w:rPr>
        <w:t>Intervenciones consideradas en el análisis</w:t>
      </w:r>
      <w:r w:rsidR="00C97A2B">
        <w:rPr>
          <w:lang w:eastAsia="ko-KR"/>
        </w:rPr>
        <w:t xml:space="preserve"> de Mejor Salud BH</w:t>
      </w:r>
    </w:p>
    <w:p w14:paraId="111775B7" w14:textId="717CBE45" w:rsidR="00AF6A62" w:rsidRPr="00AF6A62" w:rsidRDefault="00AF6A62" w:rsidP="00AF6A62">
      <w:pPr>
        <w:rPr>
          <w:lang w:val="es-ES_tradnl" w:eastAsia="ko-KR"/>
        </w:rPr>
      </w:pPr>
      <w:r>
        <w:rPr>
          <w:noProof/>
          <w:lang w:val="it-IT" w:eastAsia="it-IT"/>
        </w:rPr>
        <w:drawing>
          <wp:inline distT="0" distB="0" distL="0" distR="0" wp14:anchorId="75196973" wp14:editId="1AE5806E">
            <wp:extent cx="5935345" cy="3915410"/>
            <wp:effectExtent l="0" t="0" r="8255" b="0"/>
            <wp:docPr id="6" name="Immagine 6" descr="../../../../../Desktop/Schermata%202018-09-21%20alle%2020.57.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hermata%202018-09-21%20alle%2020.57.1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5345" cy="3915410"/>
                    </a:xfrm>
                    <a:prstGeom prst="rect">
                      <a:avLst/>
                    </a:prstGeom>
                    <a:noFill/>
                    <a:ln>
                      <a:noFill/>
                    </a:ln>
                  </pic:spPr>
                </pic:pic>
              </a:graphicData>
            </a:graphic>
          </wp:inline>
        </w:drawing>
      </w:r>
    </w:p>
    <w:p w14:paraId="2B2E6215" w14:textId="66991DAC" w:rsidR="005C7F32" w:rsidRDefault="00144E12" w:rsidP="0067769C">
      <w:pPr>
        <w:rPr>
          <w:rFonts w:ascii="Arial" w:hAnsi="Arial" w:cs="Arial"/>
          <w:sz w:val="16"/>
          <w:szCs w:val="16"/>
          <w:lang w:val="es-ES"/>
        </w:rPr>
      </w:pPr>
      <w:r w:rsidRPr="008C21E4">
        <w:rPr>
          <w:rFonts w:ascii="Arial" w:hAnsi="Arial" w:cs="Arial"/>
          <w:i/>
          <w:sz w:val="16"/>
          <w:szCs w:val="16"/>
          <w:lang w:val="es-ES"/>
        </w:rPr>
        <w:t>Fuente</w:t>
      </w:r>
      <w:r w:rsidRPr="008C21E4">
        <w:rPr>
          <w:rFonts w:ascii="Arial" w:hAnsi="Arial" w:cs="Arial"/>
          <w:sz w:val="16"/>
          <w:szCs w:val="16"/>
          <w:lang w:val="es-ES"/>
        </w:rPr>
        <w:t xml:space="preserve">: elaboración propia a partir de referencias indicadas en la tabla; en el caso de WHO-CHOICE se toman como referencia los valores para la región América B, que incluye </w:t>
      </w:r>
      <w:r w:rsidR="00F1374B" w:rsidRPr="008C21E4">
        <w:rPr>
          <w:rFonts w:ascii="Arial" w:hAnsi="Arial" w:cs="Arial"/>
          <w:sz w:val="16"/>
          <w:szCs w:val="16"/>
          <w:lang w:val="es-ES"/>
        </w:rPr>
        <w:t>a Brasil</w:t>
      </w:r>
      <w:r w:rsidRPr="008C21E4">
        <w:rPr>
          <w:rFonts w:ascii="Arial" w:hAnsi="Arial" w:cs="Arial"/>
          <w:sz w:val="16"/>
          <w:szCs w:val="16"/>
          <w:lang w:val="es-ES"/>
        </w:rPr>
        <w:t>.</w:t>
      </w:r>
    </w:p>
    <w:p w14:paraId="4C41E8FE" w14:textId="77777777" w:rsidR="0067769C" w:rsidRPr="0067769C" w:rsidRDefault="0067769C" w:rsidP="0067769C">
      <w:pPr>
        <w:rPr>
          <w:lang w:val="es-ES" w:eastAsia="ko-KR"/>
        </w:rPr>
      </w:pPr>
    </w:p>
    <w:p w14:paraId="7A58F311" w14:textId="05B3FF10" w:rsidR="007809D2" w:rsidRPr="008C21E4" w:rsidRDefault="00535FBF" w:rsidP="001025F1">
      <w:pPr>
        <w:spacing w:before="120" w:after="100" w:afterAutospacing="1"/>
        <w:jc w:val="both"/>
        <w:rPr>
          <w:rFonts w:ascii="Arial" w:hAnsi="Arial" w:cs="Arial"/>
          <w:sz w:val="22"/>
          <w:szCs w:val="22"/>
          <w:lang w:val="es-ES"/>
        </w:rPr>
      </w:pPr>
      <w:r w:rsidRPr="008C21E4">
        <w:rPr>
          <w:rFonts w:ascii="Arial" w:hAnsi="Arial" w:cs="Arial"/>
          <w:sz w:val="22"/>
          <w:szCs w:val="22"/>
          <w:lang w:val="es-ES"/>
        </w:rPr>
        <w:t xml:space="preserve">Se definen tres escenarios de </w:t>
      </w:r>
      <w:r>
        <w:rPr>
          <w:rFonts w:ascii="Arial" w:hAnsi="Arial" w:cs="Arial"/>
          <w:sz w:val="22"/>
          <w:szCs w:val="22"/>
          <w:lang w:val="es-ES"/>
        </w:rPr>
        <w:t xml:space="preserve">contribución marginal a la cobertura efectiva (Tabla 4). </w:t>
      </w:r>
      <w:r w:rsidR="003D6CBB" w:rsidRPr="008C21E4">
        <w:rPr>
          <w:rFonts w:ascii="Arial" w:hAnsi="Arial" w:cs="Arial"/>
          <w:sz w:val="22"/>
          <w:szCs w:val="22"/>
          <w:lang w:val="es-ES"/>
        </w:rPr>
        <w:t>No existe un modelo para estimar con precisión la contribución marginal que</w:t>
      </w:r>
      <w:r w:rsidR="00082BF8" w:rsidRPr="008C21E4">
        <w:rPr>
          <w:rFonts w:ascii="Arial" w:hAnsi="Arial" w:cs="Arial"/>
          <w:sz w:val="22"/>
          <w:szCs w:val="22"/>
          <w:lang w:val="es-ES"/>
        </w:rPr>
        <w:t xml:space="preserve"> cada </w:t>
      </w:r>
      <w:r w:rsidR="003D6CBB" w:rsidRPr="008C21E4">
        <w:rPr>
          <w:rFonts w:ascii="Arial" w:hAnsi="Arial" w:cs="Arial"/>
          <w:sz w:val="22"/>
          <w:szCs w:val="22"/>
          <w:lang w:val="es-ES"/>
        </w:rPr>
        <w:t>intervenci</w:t>
      </w:r>
      <w:r w:rsidR="00082BF8" w:rsidRPr="008C21E4">
        <w:rPr>
          <w:rFonts w:ascii="Arial" w:hAnsi="Arial" w:cs="Arial"/>
          <w:sz w:val="22"/>
          <w:szCs w:val="22"/>
          <w:lang w:val="es-ES"/>
        </w:rPr>
        <w:t>ón</w:t>
      </w:r>
      <w:r w:rsidR="003D6CBB" w:rsidRPr="008C21E4">
        <w:rPr>
          <w:rFonts w:ascii="Arial" w:hAnsi="Arial" w:cs="Arial"/>
          <w:sz w:val="22"/>
          <w:szCs w:val="22"/>
          <w:lang w:val="es-ES"/>
        </w:rPr>
        <w:t xml:space="preserve"> tendrá a la </w:t>
      </w:r>
      <w:r w:rsidR="003D6CBB" w:rsidRPr="008C21E4">
        <w:rPr>
          <w:rFonts w:ascii="Arial" w:hAnsi="Arial" w:cs="Arial"/>
          <w:sz w:val="22"/>
          <w:szCs w:val="22"/>
          <w:lang w:val="es-ES"/>
        </w:rPr>
        <w:lastRenderedPageBreak/>
        <w:t>cobertura efectiva. Sin embargo</w:t>
      </w:r>
      <w:r w:rsidR="00082BF8" w:rsidRPr="008C21E4">
        <w:rPr>
          <w:rFonts w:ascii="Arial" w:hAnsi="Arial" w:cs="Arial"/>
          <w:sz w:val="22"/>
          <w:szCs w:val="22"/>
          <w:lang w:val="es-ES"/>
        </w:rPr>
        <w:t>,</w:t>
      </w:r>
      <w:r w:rsidR="003D6CBB" w:rsidRPr="008C21E4">
        <w:rPr>
          <w:rFonts w:ascii="Arial" w:hAnsi="Arial" w:cs="Arial"/>
          <w:sz w:val="22"/>
          <w:szCs w:val="22"/>
          <w:lang w:val="es-ES"/>
        </w:rPr>
        <w:t xml:space="preserve"> es posible identificar los márgenes de mejora en cada intervenci</w:t>
      </w:r>
      <w:r w:rsidR="009C5EF5" w:rsidRPr="008C21E4">
        <w:rPr>
          <w:rFonts w:ascii="Arial" w:hAnsi="Arial" w:cs="Arial"/>
          <w:sz w:val="22"/>
          <w:szCs w:val="22"/>
          <w:lang w:val="es-ES"/>
        </w:rPr>
        <w:t>ó</w:t>
      </w:r>
      <w:r w:rsidR="003D6CBB" w:rsidRPr="008C21E4">
        <w:rPr>
          <w:rFonts w:ascii="Arial" w:hAnsi="Arial" w:cs="Arial"/>
          <w:sz w:val="22"/>
          <w:szCs w:val="22"/>
          <w:lang w:val="es-ES"/>
        </w:rPr>
        <w:t>n y el análisis de sensibilidad permite analizar varios escenarios plausibles</w:t>
      </w:r>
      <w:r>
        <w:rPr>
          <w:rFonts w:ascii="Arial" w:hAnsi="Arial" w:cs="Arial"/>
          <w:sz w:val="22"/>
          <w:szCs w:val="22"/>
          <w:lang w:val="es-ES"/>
        </w:rPr>
        <w:t>.</w:t>
      </w:r>
      <w:r w:rsidR="0089175F">
        <w:rPr>
          <w:rFonts w:ascii="Arial" w:hAnsi="Arial" w:cs="Arial"/>
          <w:sz w:val="22"/>
          <w:szCs w:val="22"/>
          <w:lang w:val="es-ES"/>
        </w:rPr>
        <w:t xml:space="preserve"> </w:t>
      </w:r>
      <w:r w:rsidR="003D6CBB" w:rsidRPr="008C21E4">
        <w:rPr>
          <w:rFonts w:ascii="Arial" w:hAnsi="Arial" w:cs="Arial"/>
          <w:sz w:val="22"/>
          <w:szCs w:val="22"/>
          <w:lang w:val="es-ES"/>
        </w:rPr>
        <w:t xml:space="preserve">Los beneficios </w:t>
      </w:r>
      <w:r w:rsidR="003D6CBB" w:rsidRPr="009F78B5">
        <w:rPr>
          <w:rFonts w:ascii="Arial" w:hAnsi="Arial" w:cs="Arial"/>
          <w:sz w:val="22"/>
          <w:szCs w:val="22"/>
          <w:lang w:val="es-ES"/>
        </w:rPr>
        <w:t>en</w:t>
      </w:r>
      <w:r w:rsidR="00374E20" w:rsidRPr="009F78B5">
        <w:rPr>
          <w:rFonts w:ascii="Arial" w:hAnsi="Arial" w:cs="Arial"/>
          <w:sz w:val="22"/>
          <w:szCs w:val="22"/>
          <w:lang w:val="es-ES"/>
        </w:rPr>
        <w:t xml:space="preserve"> la cobertura marginal efectiva</w:t>
      </w:r>
      <w:r w:rsidR="00074D59" w:rsidRPr="009F78B5">
        <w:rPr>
          <w:rFonts w:ascii="Arial" w:hAnsi="Arial" w:cs="Arial"/>
          <w:sz w:val="22"/>
          <w:szCs w:val="22"/>
          <w:lang w:val="es-ES"/>
        </w:rPr>
        <w:t xml:space="preserve"> </w:t>
      </w:r>
      <w:r w:rsidR="003E24FE" w:rsidRPr="009F78B5">
        <w:rPr>
          <w:rFonts w:ascii="Arial" w:hAnsi="Arial" w:cs="Arial"/>
          <w:sz w:val="22"/>
          <w:szCs w:val="22"/>
          <w:lang w:val="es-ES"/>
        </w:rPr>
        <w:t xml:space="preserve">se justifican por </w:t>
      </w:r>
      <w:r w:rsidR="00CA11D7" w:rsidRPr="009F78B5">
        <w:rPr>
          <w:rFonts w:ascii="Arial" w:hAnsi="Arial" w:cs="Arial"/>
          <w:sz w:val="22"/>
          <w:szCs w:val="22"/>
          <w:lang w:val="es-ES"/>
        </w:rPr>
        <w:t xml:space="preserve">la </w:t>
      </w:r>
      <w:r w:rsidR="003E24FE" w:rsidRPr="009F78B5">
        <w:rPr>
          <w:rFonts w:ascii="Arial" w:hAnsi="Arial" w:cs="Arial"/>
          <w:sz w:val="22"/>
          <w:szCs w:val="22"/>
          <w:lang w:val="es-ES"/>
        </w:rPr>
        <w:t>reconstrucción</w:t>
      </w:r>
      <w:r w:rsidR="00CA11D7" w:rsidRPr="009F78B5">
        <w:rPr>
          <w:rFonts w:ascii="Arial" w:hAnsi="Arial" w:cs="Arial"/>
          <w:sz w:val="22"/>
          <w:szCs w:val="22"/>
          <w:lang w:val="es-ES"/>
        </w:rPr>
        <w:t xml:space="preserve">, reforma </w:t>
      </w:r>
      <w:r w:rsidR="003E24FE" w:rsidRPr="009F78B5">
        <w:rPr>
          <w:rFonts w:ascii="Arial" w:hAnsi="Arial" w:cs="Arial"/>
          <w:sz w:val="22"/>
          <w:szCs w:val="22"/>
          <w:lang w:val="es-ES"/>
        </w:rPr>
        <w:t xml:space="preserve">y </w:t>
      </w:r>
      <w:r w:rsidR="00591D70" w:rsidRPr="009F78B5">
        <w:rPr>
          <w:rFonts w:ascii="Arial" w:hAnsi="Arial" w:cs="Arial"/>
          <w:sz w:val="22"/>
          <w:szCs w:val="22"/>
          <w:lang w:val="es-ES"/>
        </w:rPr>
        <w:t xml:space="preserve">renovación de equipamiento y mobiliario de UBS, </w:t>
      </w:r>
      <w:r w:rsidR="00CA11D7" w:rsidRPr="009F78B5">
        <w:rPr>
          <w:rFonts w:ascii="Arial" w:hAnsi="Arial" w:cs="Arial"/>
          <w:sz w:val="22"/>
          <w:szCs w:val="22"/>
          <w:lang w:val="es-ES"/>
        </w:rPr>
        <w:t>rede de</w:t>
      </w:r>
      <w:r w:rsidR="009F78B5" w:rsidRPr="009F78B5">
        <w:rPr>
          <w:rFonts w:ascii="Arial" w:hAnsi="Arial" w:cs="Arial"/>
          <w:sz w:val="22"/>
          <w:szCs w:val="22"/>
          <w:lang w:val="es-ES"/>
        </w:rPr>
        <w:t xml:space="preserve"> frio, vigilancia, UPA y CERSAM. </w:t>
      </w:r>
      <w:r w:rsidR="00CA11D7">
        <w:rPr>
          <w:rFonts w:ascii="Arial" w:hAnsi="Arial" w:cs="Arial"/>
          <w:sz w:val="22"/>
          <w:szCs w:val="22"/>
          <w:lang w:val="es-ES"/>
        </w:rPr>
        <w:t xml:space="preserve"> Además, los beneficios se justifican por </w:t>
      </w:r>
      <w:r w:rsidR="00CA11D7" w:rsidRPr="00E578A2">
        <w:rPr>
          <w:rFonts w:ascii="Arial" w:hAnsi="Arial" w:cs="Arial"/>
          <w:sz w:val="22"/>
          <w:szCs w:val="22"/>
          <w:lang w:val="es-419"/>
        </w:rPr>
        <w:t>dotación de equipamiento adicional y de reemplazo para varios servicios del Hospital Odilon Behrens, especialmente el área de maternidad</w:t>
      </w:r>
      <w:r w:rsidR="00CA11D7">
        <w:rPr>
          <w:rFonts w:ascii="Arial" w:hAnsi="Arial" w:cs="Arial"/>
          <w:sz w:val="22"/>
          <w:szCs w:val="22"/>
          <w:lang w:val="es-419"/>
        </w:rPr>
        <w:t xml:space="preserve">, y el </w:t>
      </w:r>
      <w:r>
        <w:rPr>
          <w:rFonts w:ascii="Arial" w:hAnsi="Arial" w:cs="Arial"/>
          <w:sz w:val="22"/>
          <w:szCs w:val="22"/>
          <w:lang w:val="es-419"/>
        </w:rPr>
        <w:t>funcionamiento del Hospital M</w:t>
      </w:r>
      <w:r w:rsidR="00CA11D7" w:rsidRPr="00E578A2">
        <w:rPr>
          <w:rFonts w:ascii="Arial" w:hAnsi="Arial" w:cs="Arial"/>
          <w:sz w:val="22"/>
          <w:szCs w:val="22"/>
          <w:lang w:val="es-419"/>
        </w:rPr>
        <w:t>etropolitano</w:t>
      </w:r>
      <w:r w:rsidR="00CA11D7">
        <w:rPr>
          <w:rFonts w:ascii="Arial" w:hAnsi="Arial" w:cs="Arial"/>
          <w:sz w:val="22"/>
          <w:szCs w:val="22"/>
          <w:lang w:val="es-419"/>
        </w:rPr>
        <w:t xml:space="preserve">. </w:t>
      </w:r>
      <w:r w:rsidR="00074D59" w:rsidRPr="00374E20">
        <w:rPr>
          <w:rFonts w:ascii="Arial" w:hAnsi="Arial" w:cs="Arial"/>
          <w:sz w:val="22"/>
          <w:szCs w:val="22"/>
          <w:lang w:val="es-ES"/>
        </w:rPr>
        <w:t xml:space="preserve">El programa interviene </w:t>
      </w:r>
      <w:r w:rsidR="00CA11D7">
        <w:rPr>
          <w:rFonts w:ascii="Arial" w:hAnsi="Arial" w:cs="Arial"/>
          <w:sz w:val="22"/>
          <w:szCs w:val="22"/>
          <w:lang w:val="es-ES"/>
        </w:rPr>
        <w:t xml:space="preserve">también </w:t>
      </w:r>
      <w:r w:rsidR="00074D59" w:rsidRPr="00374E20">
        <w:rPr>
          <w:rFonts w:ascii="Arial" w:hAnsi="Arial" w:cs="Arial"/>
          <w:sz w:val="22"/>
          <w:szCs w:val="22"/>
          <w:lang w:val="es-ES"/>
        </w:rPr>
        <w:t>en generar mejoras en</w:t>
      </w:r>
      <w:r w:rsidR="00CA11D7" w:rsidRPr="00CA11D7">
        <w:rPr>
          <w:rFonts w:ascii="Arial" w:hAnsi="Arial" w:cs="Arial"/>
          <w:b/>
          <w:sz w:val="22"/>
          <w:szCs w:val="22"/>
          <w:lang w:val="es-419"/>
        </w:rPr>
        <w:t xml:space="preserve"> </w:t>
      </w:r>
      <w:r w:rsidR="00CA11D7" w:rsidRPr="00CA11D7">
        <w:rPr>
          <w:rFonts w:ascii="Arial" w:hAnsi="Arial" w:cs="Arial"/>
          <w:sz w:val="22"/>
          <w:szCs w:val="22"/>
          <w:lang w:val="es-419"/>
        </w:rPr>
        <w:t>gestión, calidad y eficiencia de las redes integradas,</w:t>
      </w:r>
      <w:r w:rsidR="00CA11D7">
        <w:rPr>
          <w:rFonts w:ascii="Arial" w:hAnsi="Arial" w:cs="Arial"/>
          <w:b/>
          <w:sz w:val="22"/>
          <w:szCs w:val="22"/>
          <w:lang w:val="es-419"/>
        </w:rPr>
        <w:t xml:space="preserve"> </w:t>
      </w:r>
      <w:r w:rsidR="00891D9F">
        <w:rPr>
          <w:rFonts w:ascii="Arial" w:hAnsi="Arial" w:cs="Arial"/>
          <w:sz w:val="22"/>
          <w:szCs w:val="22"/>
          <w:lang w:val="es-ES"/>
        </w:rPr>
        <w:t>los cuales potenciará</w:t>
      </w:r>
      <w:r w:rsidR="00074D59" w:rsidRPr="00374E20">
        <w:rPr>
          <w:rFonts w:ascii="Arial" w:hAnsi="Arial" w:cs="Arial"/>
          <w:sz w:val="22"/>
          <w:szCs w:val="22"/>
          <w:lang w:val="es-ES"/>
        </w:rPr>
        <w:t xml:space="preserve">n el impacto generado por las </w:t>
      </w:r>
      <w:r w:rsidR="00CA11D7">
        <w:rPr>
          <w:rFonts w:ascii="Arial" w:hAnsi="Arial" w:cs="Arial"/>
          <w:sz w:val="22"/>
          <w:szCs w:val="22"/>
          <w:lang w:val="es-ES"/>
        </w:rPr>
        <w:t xml:space="preserve">otras </w:t>
      </w:r>
      <w:r w:rsidR="00074D59" w:rsidRPr="00374E20">
        <w:rPr>
          <w:rFonts w:ascii="Arial" w:hAnsi="Arial" w:cs="Arial"/>
          <w:sz w:val="22"/>
          <w:szCs w:val="22"/>
          <w:lang w:val="es-ES"/>
        </w:rPr>
        <w:t>inversiones en</w:t>
      </w:r>
      <w:r w:rsidR="00891D9F">
        <w:rPr>
          <w:rFonts w:ascii="Arial" w:hAnsi="Arial" w:cs="Arial"/>
          <w:sz w:val="22"/>
          <w:szCs w:val="22"/>
          <w:lang w:val="es-ES"/>
        </w:rPr>
        <w:t xml:space="preserve"> el funcionamiento de las redes, a</w:t>
      </w:r>
      <w:r w:rsidR="00074D59" w:rsidRPr="008C21E4">
        <w:rPr>
          <w:rFonts w:ascii="Arial" w:hAnsi="Arial" w:cs="Arial"/>
          <w:sz w:val="22"/>
          <w:szCs w:val="22"/>
          <w:lang w:val="es-ES"/>
        </w:rPr>
        <w:t>demás de afectar positivamente a otras ares de cuidado no incluidas en el análisis.</w:t>
      </w:r>
      <w:r w:rsidR="00CA11D7">
        <w:rPr>
          <w:rFonts w:ascii="Arial" w:hAnsi="Arial" w:cs="Arial"/>
          <w:sz w:val="22"/>
          <w:szCs w:val="22"/>
          <w:lang w:val="es-ES"/>
        </w:rPr>
        <w:t xml:space="preserve"> </w:t>
      </w:r>
      <w:r w:rsidR="00CA11D7" w:rsidRPr="00374E20">
        <w:rPr>
          <w:rFonts w:ascii="Arial" w:hAnsi="Arial" w:cs="Arial"/>
          <w:sz w:val="22"/>
          <w:szCs w:val="22"/>
          <w:lang w:val="es-ES"/>
        </w:rPr>
        <w:t xml:space="preserve">Se espera que la </w:t>
      </w:r>
      <w:r w:rsidR="00CA11D7">
        <w:rPr>
          <w:rFonts w:ascii="Arial" w:hAnsi="Arial" w:cs="Arial"/>
          <w:sz w:val="22"/>
          <w:szCs w:val="22"/>
          <w:lang w:val="es-ES"/>
        </w:rPr>
        <w:t xml:space="preserve">mejoras en la cobertura sean </w:t>
      </w:r>
      <w:r w:rsidR="00CA11D7" w:rsidRPr="00374E20">
        <w:rPr>
          <w:rFonts w:ascii="Arial" w:hAnsi="Arial" w:cs="Arial"/>
          <w:sz w:val="22"/>
          <w:szCs w:val="22"/>
          <w:lang w:val="es-ES"/>
        </w:rPr>
        <w:t>entre el 8% y el 12</w:t>
      </w:r>
      <w:r w:rsidR="00CA11D7">
        <w:rPr>
          <w:rFonts w:ascii="Arial" w:hAnsi="Arial" w:cs="Arial"/>
          <w:sz w:val="22"/>
          <w:szCs w:val="22"/>
          <w:lang w:val="es-ES"/>
        </w:rPr>
        <w:t>%.</w:t>
      </w:r>
    </w:p>
    <w:p w14:paraId="3A1773C5" w14:textId="77777777" w:rsidR="007809D2" w:rsidRDefault="00B956BE" w:rsidP="007809D2">
      <w:pPr>
        <w:pStyle w:val="Caption"/>
      </w:pPr>
      <w:bookmarkStart w:id="23" w:name="_Ref296084206"/>
      <w:r w:rsidRPr="008C21E4">
        <w:t xml:space="preserve">Tabla </w:t>
      </w:r>
      <w:r w:rsidR="00A81D94">
        <w:rPr>
          <w:noProof/>
        </w:rPr>
        <w:fldChar w:fldCharType="begin"/>
      </w:r>
      <w:r w:rsidR="00A81D94">
        <w:rPr>
          <w:noProof/>
        </w:rPr>
        <w:instrText xml:space="preserve"> SEQ Tabla \* ARABIC </w:instrText>
      </w:r>
      <w:r w:rsidR="00A81D94">
        <w:rPr>
          <w:noProof/>
        </w:rPr>
        <w:fldChar w:fldCharType="separate"/>
      </w:r>
      <w:r w:rsidR="0061451B" w:rsidRPr="008C21E4">
        <w:rPr>
          <w:noProof/>
        </w:rPr>
        <w:t>4</w:t>
      </w:r>
      <w:r w:rsidR="00A81D94">
        <w:rPr>
          <w:noProof/>
        </w:rPr>
        <w:fldChar w:fldCharType="end"/>
      </w:r>
      <w:bookmarkEnd w:id="23"/>
      <w:r w:rsidR="007772F7" w:rsidRPr="008C21E4">
        <w:t>. Escenarios de contribuci</w:t>
      </w:r>
      <w:r w:rsidR="007772F7" w:rsidRPr="008C21E4">
        <w:rPr>
          <w:rFonts w:eastAsia="Calibri"/>
        </w:rPr>
        <w:t>ón</w:t>
      </w:r>
      <w:r w:rsidR="007772F7" w:rsidRPr="008C21E4">
        <w:t xml:space="preserve"> </w:t>
      </w:r>
      <w:r w:rsidR="007772F7" w:rsidRPr="008C21E4">
        <w:rPr>
          <w:rFonts w:eastAsia="Calibri"/>
        </w:rPr>
        <w:t>marginal</w:t>
      </w:r>
      <w:r w:rsidR="007772F7" w:rsidRPr="008C21E4">
        <w:t xml:space="preserve"> </w:t>
      </w:r>
      <w:r w:rsidR="007772F7" w:rsidRPr="008C21E4">
        <w:rPr>
          <w:rFonts w:eastAsia="Calibri"/>
        </w:rPr>
        <w:t>a</w:t>
      </w:r>
      <w:r w:rsidR="007772F7" w:rsidRPr="008C21E4">
        <w:t xml:space="preserve"> </w:t>
      </w:r>
      <w:r w:rsidR="007772F7" w:rsidRPr="008C21E4">
        <w:rPr>
          <w:rFonts w:eastAsia="Calibri"/>
        </w:rPr>
        <w:t>la</w:t>
      </w:r>
      <w:r w:rsidR="007772F7" w:rsidRPr="008C21E4">
        <w:t xml:space="preserve"> </w:t>
      </w:r>
      <w:r w:rsidR="007772F7" w:rsidRPr="008C21E4">
        <w:rPr>
          <w:rFonts w:eastAsia="Calibri"/>
        </w:rPr>
        <w:t>cobertura</w:t>
      </w:r>
      <w:r w:rsidR="007772F7" w:rsidRPr="008C21E4">
        <w:t xml:space="preserve"> </w:t>
      </w:r>
      <w:r w:rsidR="007772F7" w:rsidRPr="008C21E4">
        <w:rPr>
          <w:rFonts w:eastAsia="Calibri"/>
        </w:rPr>
        <w:t>efectiva</w:t>
      </w:r>
      <w:r w:rsidR="007772F7" w:rsidRPr="008C21E4">
        <w:t xml:space="preserve"> </w:t>
      </w:r>
      <w:r w:rsidR="007772F7" w:rsidRPr="008C21E4">
        <w:rPr>
          <w:rFonts w:eastAsia="Calibri"/>
        </w:rPr>
        <w:t>de</w:t>
      </w:r>
      <w:r w:rsidR="002D4A7E" w:rsidRPr="008C21E4">
        <w:t>l servic</w:t>
      </w:r>
      <w:r w:rsidR="00FA0960">
        <w:t xml:space="preserve">io público del </w:t>
      </w:r>
    </w:p>
    <w:p w14:paraId="2241C0C5" w14:textId="6621CF38" w:rsidR="00B956BE" w:rsidRDefault="00FA0960" w:rsidP="007809D2">
      <w:pPr>
        <w:pStyle w:val="Caption"/>
      </w:pPr>
      <w:r w:rsidRPr="00FA0960">
        <w:t>Municipio de Belo Horizonte</w:t>
      </w:r>
    </w:p>
    <w:tbl>
      <w:tblPr>
        <w:tblStyle w:val="GridTable5Dark-Accent11"/>
        <w:tblW w:w="0" w:type="auto"/>
        <w:jc w:val="center"/>
        <w:tblLayout w:type="fixed"/>
        <w:tblLook w:val="04A0" w:firstRow="1" w:lastRow="0" w:firstColumn="1" w:lastColumn="0" w:noHBand="0" w:noVBand="1"/>
      </w:tblPr>
      <w:tblGrid>
        <w:gridCol w:w="2266"/>
        <w:gridCol w:w="3399"/>
      </w:tblGrid>
      <w:tr w:rsidR="00701220" w:rsidRPr="00691971" w14:paraId="6F18A9D4" w14:textId="77777777" w:rsidTr="001860F7">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266" w:type="dxa"/>
            <w:tcBorders>
              <w:top w:val="single" w:sz="4" w:space="0" w:color="auto"/>
              <w:left w:val="single" w:sz="4" w:space="0" w:color="auto"/>
              <w:bottom w:val="single" w:sz="4" w:space="0" w:color="auto"/>
              <w:right w:val="single" w:sz="4" w:space="0" w:color="auto"/>
            </w:tcBorders>
            <w:shd w:val="clear" w:color="auto" w:fill="548DD4" w:themeFill="text2" w:themeFillTint="99"/>
            <w:noWrap/>
            <w:hideMark/>
          </w:tcPr>
          <w:p w14:paraId="4F8D0687" w14:textId="41CC6F8E" w:rsidR="00701220" w:rsidRPr="00CB4E99" w:rsidRDefault="00701220" w:rsidP="00CB4E99">
            <w:pPr>
              <w:keepNext/>
              <w:spacing w:after="100" w:afterAutospacing="1"/>
              <w:jc w:val="center"/>
              <w:rPr>
                <w:rFonts w:ascii="Arial" w:eastAsia="Times New Roman" w:hAnsi="Arial" w:cs="Arial"/>
                <w:color w:val="000000" w:themeColor="text1"/>
                <w:sz w:val="16"/>
                <w:szCs w:val="16"/>
                <w:lang w:val="es-ES"/>
              </w:rPr>
            </w:pPr>
          </w:p>
        </w:tc>
        <w:tc>
          <w:tcPr>
            <w:tcW w:w="3399"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70405563" w14:textId="6F606898" w:rsidR="00701220" w:rsidRPr="00CB4E99" w:rsidRDefault="00CB4E99" w:rsidP="00CB4E99">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6"/>
                <w:szCs w:val="16"/>
                <w:lang w:val="es-ES"/>
              </w:rPr>
            </w:pPr>
            <w:r w:rsidRPr="00CB4E99">
              <w:rPr>
                <w:rFonts w:ascii="Arial" w:eastAsia="Times New Roman" w:hAnsi="Arial" w:cs="Arial"/>
                <w:color w:val="000000" w:themeColor="text1"/>
                <w:sz w:val="16"/>
                <w:szCs w:val="16"/>
                <w:lang w:val="es-ES"/>
              </w:rPr>
              <w:t>Contribución marginal a la cobertura efectiva</w:t>
            </w:r>
          </w:p>
        </w:tc>
      </w:tr>
      <w:tr w:rsidR="00701220" w:rsidRPr="008C21E4" w14:paraId="706CED1B" w14:textId="77777777" w:rsidTr="00231AEB">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266" w:type="dxa"/>
            <w:tcBorders>
              <w:top w:val="single" w:sz="4" w:space="0" w:color="auto"/>
              <w:left w:val="single" w:sz="4" w:space="0" w:color="auto"/>
              <w:right w:val="single" w:sz="4" w:space="0" w:color="auto"/>
            </w:tcBorders>
            <w:shd w:val="clear" w:color="auto" w:fill="FFFFFF" w:themeFill="background1"/>
            <w:noWrap/>
            <w:vAlign w:val="center"/>
            <w:hideMark/>
          </w:tcPr>
          <w:p w14:paraId="20381564" w14:textId="77777777" w:rsidR="00701220" w:rsidRPr="008C21E4" w:rsidRDefault="00701220" w:rsidP="00231AEB">
            <w:pPr>
              <w:keepNext/>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Escenario 1: Pesimista</w:t>
            </w:r>
          </w:p>
        </w:tc>
        <w:tc>
          <w:tcPr>
            <w:tcW w:w="3399" w:type="dxa"/>
            <w:tcBorders>
              <w:top w:val="single" w:sz="4" w:space="0" w:color="auto"/>
              <w:left w:val="single" w:sz="4" w:space="0" w:color="auto"/>
              <w:right w:val="single" w:sz="4" w:space="0" w:color="auto"/>
            </w:tcBorders>
            <w:shd w:val="clear" w:color="auto" w:fill="FFFFFF" w:themeFill="background1"/>
            <w:noWrap/>
            <w:vAlign w:val="center"/>
            <w:hideMark/>
          </w:tcPr>
          <w:p w14:paraId="22995C0C" w14:textId="494FD13A" w:rsidR="00701220" w:rsidRPr="008C21E4" w:rsidRDefault="004A66D9" w:rsidP="00231AEB">
            <w:pPr>
              <w:keepNext/>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8</w:t>
            </w:r>
            <w:r w:rsidR="00701220" w:rsidRPr="008C21E4">
              <w:rPr>
                <w:rFonts w:ascii="Arial" w:eastAsia="Times New Roman" w:hAnsi="Arial" w:cs="Arial"/>
                <w:color w:val="000000"/>
                <w:sz w:val="16"/>
                <w:szCs w:val="16"/>
                <w:lang w:val="es-ES"/>
              </w:rPr>
              <w:t>%</w:t>
            </w:r>
          </w:p>
        </w:tc>
      </w:tr>
      <w:tr w:rsidR="00701220" w:rsidRPr="008C21E4" w14:paraId="42033A19" w14:textId="77777777" w:rsidTr="00231AEB">
        <w:trPr>
          <w:trHeight w:val="320"/>
          <w:jc w:val="center"/>
        </w:trPr>
        <w:tc>
          <w:tcPr>
            <w:cnfStyle w:val="001000000000" w:firstRow="0" w:lastRow="0" w:firstColumn="1" w:lastColumn="0" w:oddVBand="0" w:evenVBand="0" w:oddHBand="0" w:evenHBand="0" w:firstRowFirstColumn="0" w:firstRowLastColumn="0" w:lastRowFirstColumn="0" w:lastRowLastColumn="0"/>
            <w:tcW w:w="2266" w:type="dxa"/>
            <w:tcBorders>
              <w:left w:val="single" w:sz="4" w:space="0" w:color="auto"/>
              <w:right w:val="single" w:sz="4" w:space="0" w:color="auto"/>
            </w:tcBorders>
            <w:shd w:val="clear" w:color="auto" w:fill="FFFFFF" w:themeFill="background1"/>
            <w:noWrap/>
            <w:vAlign w:val="center"/>
            <w:hideMark/>
          </w:tcPr>
          <w:p w14:paraId="1DD12038" w14:textId="77777777" w:rsidR="00701220" w:rsidRPr="008C21E4" w:rsidRDefault="00701220" w:rsidP="00231AEB">
            <w:pPr>
              <w:keepNext/>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Escenario 2: Medio</w:t>
            </w:r>
          </w:p>
        </w:tc>
        <w:tc>
          <w:tcPr>
            <w:tcW w:w="3399" w:type="dxa"/>
            <w:tcBorders>
              <w:left w:val="single" w:sz="4" w:space="0" w:color="auto"/>
              <w:right w:val="single" w:sz="4" w:space="0" w:color="auto"/>
            </w:tcBorders>
            <w:shd w:val="clear" w:color="auto" w:fill="FFFFFF" w:themeFill="background1"/>
            <w:noWrap/>
            <w:vAlign w:val="center"/>
            <w:hideMark/>
          </w:tcPr>
          <w:p w14:paraId="7ACDBE1C" w14:textId="161A79DC" w:rsidR="00701220" w:rsidRPr="008C21E4" w:rsidRDefault="004A66D9" w:rsidP="00231AEB">
            <w:pPr>
              <w:keepNext/>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ES"/>
              </w:rPr>
            </w:pPr>
            <w:r w:rsidRPr="008C21E4">
              <w:rPr>
                <w:rFonts w:ascii="Arial" w:eastAsia="Times New Roman" w:hAnsi="Arial" w:cs="Arial"/>
                <w:sz w:val="16"/>
                <w:szCs w:val="16"/>
                <w:lang w:val="es-ES"/>
              </w:rPr>
              <w:t>10</w:t>
            </w:r>
            <w:r w:rsidR="00701220" w:rsidRPr="008C21E4">
              <w:rPr>
                <w:rFonts w:ascii="Arial" w:eastAsia="Times New Roman" w:hAnsi="Arial" w:cs="Arial"/>
                <w:sz w:val="16"/>
                <w:szCs w:val="16"/>
                <w:lang w:val="es-ES"/>
              </w:rPr>
              <w:t>%</w:t>
            </w:r>
          </w:p>
        </w:tc>
      </w:tr>
      <w:tr w:rsidR="00701220" w:rsidRPr="008C21E4" w14:paraId="43D05DEC" w14:textId="77777777" w:rsidTr="00231AEB">
        <w:trPr>
          <w:cnfStyle w:val="000000100000" w:firstRow="0" w:lastRow="0" w:firstColumn="0" w:lastColumn="0" w:oddVBand="0" w:evenVBand="0" w:oddHBand="1" w:evenHBand="0" w:firstRowFirstColumn="0" w:firstRowLastColumn="0" w:lastRowFirstColumn="0" w:lastRowLastColumn="0"/>
          <w:trHeight w:val="297"/>
          <w:jc w:val="center"/>
        </w:trPr>
        <w:tc>
          <w:tcPr>
            <w:cnfStyle w:val="001000000000" w:firstRow="0" w:lastRow="0" w:firstColumn="1" w:lastColumn="0" w:oddVBand="0" w:evenVBand="0" w:oddHBand="0" w:evenHBand="0" w:firstRowFirstColumn="0" w:firstRowLastColumn="0" w:lastRowFirstColumn="0" w:lastRowLastColumn="0"/>
            <w:tcW w:w="2266" w:type="dxa"/>
            <w:tcBorders>
              <w:left w:val="single" w:sz="4" w:space="0" w:color="auto"/>
              <w:bottom w:val="single" w:sz="4" w:space="0" w:color="auto"/>
              <w:right w:val="single" w:sz="4" w:space="0" w:color="auto"/>
            </w:tcBorders>
            <w:shd w:val="clear" w:color="auto" w:fill="FFFFFF" w:themeFill="background1"/>
            <w:noWrap/>
            <w:vAlign w:val="center"/>
            <w:hideMark/>
          </w:tcPr>
          <w:p w14:paraId="10D8A9BA" w14:textId="77777777" w:rsidR="00701220" w:rsidRPr="008C21E4" w:rsidRDefault="00701220" w:rsidP="00231AEB">
            <w:pPr>
              <w:keepNext/>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Escenario 3: Optimista</w:t>
            </w:r>
          </w:p>
        </w:tc>
        <w:tc>
          <w:tcPr>
            <w:tcW w:w="3399" w:type="dxa"/>
            <w:tcBorders>
              <w:left w:val="single" w:sz="4" w:space="0" w:color="auto"/>
              <w:bottom w:val="single" w:sz="4" w:space="0" w:color="auto"/>
              <w:right w:val="single" w:sz="4" w:space="0" w:color="auto"/>
            </w:tcBorders>
            <w:shd w:val="clear" w:color="auto" w:fill="FFFFFF" w:themeFill="background1"/>
            <w:noWrap/>
            <w:vAlign w:val="center"/>
            <w:hideMark/>
          </w:tcPr>
          <w:p w14:paraId="62F3F379" w14:textId="10C1B3F5" w:rsidR="00701220" w:rsidRPr="008C21E4" w:rsidRDefault="004A66D9" w:rsidP="00231AEB">
            <w:pPr>
              <w:keepNext/>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ES"/>
              </w:rPr>
            </w:pPr>
            <w:r w:rsidRPr="008C21E4">
              <w:rPr>
                <w:rFonts w:ascii="Arial" w:eastAsia="Times New Roman" w:hAnsi="Arial" w:cs="Arial"/>
                <w:sz w:val="16"/>
                <w:szCs w:val="16"/>
                <w:lang w:val="es-ES"/>
              </w:rPr>
              <w:t>12</w:t>
            </w:r>
            <w:r w:rsidR="00701220" w:rsidRPr="008C21E4">
              <w:rPr>
                <w:rFonts w:ascii="Arial" w:eastAsia="Times New Roman" w:hAnsi="Arial" w:cs="Arial"/>
                <w:sz w:val="16"/>
                <w:szCs w:val="16"/>
                <w:lang w:val="es-ES"/>
              </w:rPr>
              <w:t>%</w:t>
            </w:r>
          </w:p>
        </w:tc>
      </w:tr>
    </w:tbl>
    <w:p w14:paraId="2BAFEEF8" w14:textId="77777777" w:rsidR="00F7002E" w:rsidRPr="008C21E4" w:rsidRDefault="009A7753" w:rsidP="00D141F8">
      <w:pPr>
        <w:keepNext/>
        <w:spacing w:before="120"/>
        <w:ind w:left="1800"/>
        <w:rPr>
          <w:rFonts w:ascii="Arial" w:hAnsi="Arial" w:cs="Arial"/>
          <w:sz w:val="16"/>
          <w:szCs w:val="16"/>
          <w:lang w:val="es-ES"/>
        </w:rPr>
      </w:pPr>
      <w:r w:rsidRPr="008C21E4">
        <w:rPr>
          <w:rFonts w:ascii="Arial" w:hAnsi="Arial" w:cs="Arial"/>
          <w:sz w:val="16"/>
          <w:szCs w:val="16"/>
          <w:lang w:val="es-ES"/>
        </w:rPr>
        <w:t>Fuente: Elaboració</w:t>
      </w:r>
      <w:r w:rsidR="00FB6D56" w:rsidRPr="008C21E4">
        <w:rPr>
          <w:rFonts w:ascii="Arial" w:hAnsi="Arial" w:cs="Arial"/>
          <w:sz w:val="16"/>
          <w:szCs w:val="16"/>
          <w:lang w:val="es-ES"/>
        </w:rPr>
        <w:t>n de los autores.</w:t>
      </w:r>
    </w:p>
    <w:p w14:paraId="176F5778" w14:textId="4C040398" w:rsidR="00247BDD" w:rsidRPr="008C21E4" w:rsidRDefault="00FA34E2" w:rsidP="001025F1">
      <w:pPr>
        <w:autoSpaceDE w:val="0"/>
        <w:autoSpaceDN w:val="0"/>
        <w:adjustRightInd w:val="0"/>
        <w:spacing w:before="240" w:after="100" w:afterAutospacing="1"/>
        <w:jc w:val="both"/>
        <w:rPr>
          <w:rFonts w:ascii="Arial" w:hAnsi="Arial" w:cs="Arial"/>
          <w:sz w:val="22"/>
          <w:szCs w:val="22"/>
          <w:lang w:val="es-ES"/>
        </w:rPr>
      </w:pPr>
      <w:r w:rsidRPr="008C21E4">
        <w:rPr>
          <w:rFonts w:ascii="Arial" w:hAnsi="Arial" w:cs="Arial"/>
          <w:sz w:val="22"/>
          <w:szCs w:val="22"/>
          <w:lang w:val="es-ES"/>
        </w:rPr>
        <w:t>Para asigna</w:t>
      </w:r>
      <w:r w:rsidR="00B4231E" w:rsidRPr="008C21E4">
        <w:rPr>
          <w:rFonts w:ascii="Arial" w:hAnsi="Arial" w:cs="Arial"/>
          <w:sz w:val="22"/>
          <w:szCs w:val="22"/>
          <w:lang w:val="es-ES"/>
        </w:rPr>
        <w:t>r un valor monetario a los AVADs obtenidos por todas las intervenciones</w:t>
      </w:r>
      <w:r w:rsidR="00FB6D56" w:rsidRPr="008C21E4">
        <w:rPr>
          <w:rFonts w:ascii="Arial" w:hAnsi="Arial" w:cs="Arial"/>
          <w:sz w:val="22"/>
          <w:szCs w:val="22"/>
          <w:lang w:val="es-ES"/>
        </w:rPr>
        <w:t>, se presume que</w:t>
      </w:r>
      <w:r w:rsidRPr="008C21E4">
        <w:rPr>
          <w:rFonts w:ascii="Arial" w:hAnsi="Arial" w:cs="Arial"/>
          <w:sz w:val="22"/>
          <w:szCs w:val="22"/>
          <w:lang w:val="es-ES"/>
        </w:rPr>
        <w:t xml:space="preserve"> </w:t>
      </w:r>
      <w:r w:rsidR="00B4231E" w:rsidRPr="008C21E4">
        <w:rPr>
          <w:rFonts w:ascii="Arial" w:hAnsi="Arial" w:cs="Arial"/>
          <w:sz w:val="22"/>
          <w:szCs w:val="22"/>
          <w:lang w:val="es-ES"/>
        </w:rPr>
        <w:t>cada AVAD equivale</w:t>
      </w:r>
      <w:r w:rsidRPr="008C21E4">
        <w:rPr>
          <w:rFonts w:ascii="Arial" w:hAnsi="Arial" w:cs="Arial"/>
          <w:sz w:val="22"/>
          <w:szCs w:val="22"/>
          <w:lang w:val="es-ES"/>
        </w:rPr>
        <w:t xml:space="preserve"> a u</w:t>
      </w:r>
      <w:r w:rsidR="00B4231E" w:rsidRPr="008C21E4">
        <w:rPr>
          <w:rFonts w:ascii="Arial" w:hAnsi="Arial" w:cs="Arial"/>
          <w:sz w:val="22"/>
          <w:szCs w:val="22"/>
          <w:lang w:val="es-ES"/>
        </w:rPr>
        <w:t>n año de productividad plena</w:t>
      </w:r>
      <w:r w:rsidRPr="008C21E4">
        <w:rPr>
          <w:rFonts w:ascii="Arial" w:hAnsi="Arial" w:cs="Arial"/>
          <w:sz w:val="22"/>
          <w:szCs w:val="22"/>
          <w:lang w:val="es-ES"/>
        </w:rPr>
        <w:t xml:space="preserve">. </w:t>
      </w:r>
      <w:r w:rsidR="00FB6D56" w:rsidRPr="008C21E4">
        <w:rPr>
          <w:rFonts w:ascii="Arial" w:hAnsi="Arial" w:cs="Arial"/>
          <w:sz w:val="22"/>
          <w:szCs w:val="22"/>
          <w:lang w:val="es-ES"/>
        </w:rPr>
        <w:t>Basado en este supuesto el aumento en</w:t>
      </w:r>
      <w:r w:rsidRPr="008C21E4">
        <w:rPr>
          <w:rFonts w:ascii="Arial" w:hAnsi="Arial" w:cs="Arial"/>
          <w:sz w:val="22"/>
          <w:szCs w:val="22"/>
          <w:lang w:val="es-ES"/>
        </w:rPr>
        <w:t xml:space="preserve"> productivid</w:t>
      </w:r>
      <w:r w:rsidR="00FB6D56" w:rsidRPr="008C21E4">
        <w:rPr>
          <w:rFonts w:ascii="Arial" w:hAnsi="Arial" w:cs="Arial"/>
          <w:sz w:val="22"/>
          <w:szCs w:val="22"/>
          <w:lang w:val="es-ES"/>
        </w:rPr>
        <w:t xml:space="preserve">ad se puede valorar </w:t>
      </w:r>
      <w:r w:rsidR="00E72416" w:rsidRPr="008C21E4">
        <w:rPr>
          <w:rFonts w:ascii="Arial" w:hAnsi="Arial" w:cs="Arial"/>
          <w:sz w:val="22"/>
          <w:szCs w:val="22"/>
          <w:lang w:val="es-ES"/>
        </w:rPr>
        <w:t>utilizando</w:t>
      </w:r>
      <w:r w:rsidR="00FB6D56" w:rsidRPr="008C21E4">
        <w:rPr>
          <w:rFonts w:ascii="Arial" w:hAnsi="Arial" w:cs="Arial"/>
          <w:sz w:val="22"/>
          <w:szCs w:val="22"/>
          <w:lang w:val="es-ES"/>
        </w:rPr>
        <w:t xml:space="preserve"> el</w:t>
      </w:r>
      <w:r w:rsidRPr="008C21E4">
        <w:rPr>
          <w:rFonts w:ascii="Arial" w:hAnsi="Arial" w:cs="Arial"/>
          <w:sz w:val="22"/>
          <w:szCs w:val="22"/>
          <w:lang w:val="es-ES"/>
        </w:rPr>
        <w:t xml:space="preserve"> PIB per cápita </w:t>
      </w:r>
      <w:r w:rsidR="00413005" w:rsidRPr="008C21E4">
        <w:rPr>
          <w:rFonts w:ascii="Arial" w:hAnsi="Arial" w:cs="Arial"/>
          <w:sz w:val="22"/>
          <w:szCs w:val="22"/>
          <w:lang w:val="es-ES"/>
        </w:rPr>
        <w:t>en dólares</w:t>
      </w:r>
      <w:r w:rsidR="00F4093B" w:rsidRPr="008C21E4">
        <w:rPr>
          <w:rFonts w:ascii="Arial" w:hAnsi="Arial" w:cs="Arial"/>
          <w:sz w:val="22"/>
          <w:szCs w:val="22"/>
          <w:lang w:val="es-ES"/>
        </w:rPr>
        <w:t xml:space="preserve"> corrientes</w:t>
      </w:r>
      <w:r w:rsidR="00413005" w:rsidRPr="008C21E4">
        <w:rPr>
          <w:rFonts w:ascii="Arial" w:hAnsi="Arial" w:cs="Arial"/>
          <w:sz w:val="22"/>
          <w:szCs w:val="22"/>
          <w:lang w:val="es-ES"/>
        </w:rPr>
        <w:t xml:space="preserve"> </w:t>
      </w:r>
      <w:r w:rsidR="008336D2" w:rsidRPr="008C21E4">
        <w:rPr>
          <w:rFonts w:ascii="Arial" w:hAnsi="Arial" w:cs="Arial"/>
          <w:sz w:val="22"/>
          <w:szCs w:val="22"/>
          <w:lang w:val="es-ES"/>
        </w:rPr>
        <w:t xml:space="preserve">de </w:t>
      </w:r>
      <w:r w:rsidR="00E51881" w:rsidRPr="008C21E4">
        <w:rPr>
          <w:rFonts w:ascii="Arial" w:hAnsi="Arial" w:cs="Arial"/>
          <w:sz w:val="22"/>
          <w:szCs w:val="22"/>
          <w:lang w:val="es-ES"/>
        </w:rPr>
        <w:t>Brasil</w:t>
      </w:r>
      <w:r w:rsidR="00256486" w:rsidRPr="008C21E4">
        <w:rPr>
          <w:rFonts w:ascii="Arial" w:hAnsi="Arial" w:cs="Arial"/>
          <w:sz w:val="22"/>
          <w:szCs w:val="22"/>
          <w:lang w:val="es-ES"/>
        </w:rPr>
        <w:t xml:space="preserve"> que de</w:t>
      </w:r>
      <w:r w:rsidR="00C14AF3" w:rsidRPr="008C21E4">
        <w:rPr>
          <w:rFonts w:ascii="Arial" w:hAnsi="Arial" w:cs="Arial"/>
          <w:sz w:val="22"/>
          <w:szCs w:val="22"/>
          <w:lang w:val="es-ES"/>
        </w:rPr>
        <w:t xml:space="preserve"> acuerdo a las estimaciones del</w:t>
      </w:r>
      <w:r w:rsidR="008336D2" w:rsidRPr="008C21E4">
        <w:rPr>
          <w:rFonts w:ascii="Arial" w:hAnsi="Arial" w:cs="Arial"/>
          <w:sz w:val="22"/>
          <w:szCs w:val="22"/>
          <w:lang w:val="es-ES"/>
        </w:rPr>
        <w:t xml:space="preserve"> </w:t>
      </w:r>
      <w:r w:rsidR="00256486" w:rsidRPr="008C21E4">
        <w:rPr>
          <w:rFonts w:ascii="Arial" w:hAnsi="Arial" w:cs="Arial"/>
          <w:i/>
          <w:sz w:val="22"/>
          <w:szCs w:val="22"/>
          <w:lang w:val="es-ES"/>
        </w:rPr>
        <w:t>World Economic Outlook</w:t>
      </w:r>
      <w:r w:rsidR="006341C6" w:rsidRPr="008C21E4">
        <w:rPr>
          <w:rFonts w:ascii="Arial" w:hAnsi="Arial" w:cs="Arial"/>
          <w:sz w:val="22"/>
          <w:szCs w:val="22"/>
          <w:lang w:val="es-ES"/>
        </w:rPr>
        <w:t xml:space="preserve"> </w:t>
      </w:r>
      <w:r w:rsidR="00C957B7" w:rsidRPr="008C21E4">
        <w:rPr>
          <w:rFonts w:ascii="Arial" w:hAnsi="Arial" w:cs="Arial"/>
          <w:sz w:val="22"/>
          <w:szCs w:val="22"/>
          <w:lang w:val="es-ES"/>
        </w:rPr>
        <w:t>(</w:t>
      </w:r>
      <w:r w:rsidR="00362413">
        <w:rPr>
          <w:rFonts w:ascii="Arial" w:hAnsi="Arial" w:cs="Arial"/>
          <w:sz w:val="22"/>
          <w:szCs w:val="22"/>
          <w:lang w:val="es-ES"/>
        </w:rPr>
        <w:t>actualización de agosto</w:t>
      </w:r>
      <w:r w:rsidR="00F92346" w:rsidRPr="008C21E4">
        <w:rPr>
          <w:rFonts w:ascii="Arial" w:hAnsi="Arial" w:cs="Arial"/>
          <w:sz w:val="22"/>
          <w:szCs w:val="22"/>
          <w:lang w:val="es-ES"/>
        </w:rPr>
        <w:t xml:space="preserve"> de</w:t>
      </w:r>
      <w:r w:rsidR="00C957B7" w:rsidRPr="008C21E4">
        <w:rPr>
          <w:rFonts w:ascii="Arial" w:hAnsi="Arial" w:cs="Arial"/>
          <w:sz w:val="22"/>
          <w:szCs w:val="22"/>
          <w:lang w:val="es-ES"/>
        </w:rPr>
        <w:t xml:space="preserve"> 2018) </w:t>
      </w:r>
      <w:r w:rsidR="006341C6" w:rsidRPr="008C21E4">
        <w:rPr>
          <w:rFonts w:ascii="Arial" w:hAnsi="Arial" w:cs="Arial"/>
          <w:sz w:val="22"/>
          <w:szCs w:val="22"/>
          <w:lang w:val="es-ES"/>
        </w:rPr>
        <w:t>del Fondo Monetario I</w:t>
      </w:r>
      <w:r w:rsidR="00256486" w:rsidRPr="008C21E4">
        <w:rPr>
          <w:rFonts w:ascii="Arial" w:hAnsi="Arial" w:cs="Arial"/>
          <w:sz w:val="22"/>
          <w:szCs w:val="22"/>
          <w:lang w:val="es-ES"/>
        </w:rPr>
        <w:t>nternacional</w:t>
      </w:r>
      <w:r w:rsidR="006341C6" w:rsidRPr="008C21E4">
        <w:rPr>
          <w:rFonts w:ascii="Arial" w:hAnsi="Arial" w:cs="Arial"/>
          <w:sz w:val="22"/>
          <w:szCs w:val="22"/>
          <w:lang w:val="es-ES"/>
        </w:rPr>
        <w:t xml:space="preserve"> (FMI)</w:t>
      </w:r>
      <w:r w:rsidR="00256486" w:rsidRPr="008C21E4">
        <w:rPr>
          <w:rFonts w:ascii="Arial" w:hAnsi="Arial" w:cs="Arial"/>
          <w:sz w:val="22"/>
          <w:szCs w:val="22"/>
          <w:lang w:val="es-ES"/>
        </w:rPr>
        <w:t xml:space="preserve"> que ascenderá</w:t>
      </w:r>
      <w:r w:rsidR="004C3CAF" w:rsidRPr="008C21E4">
        <w:rPr>
          <w:rFonts w:ascii="Arial" w:hAnsi="Arial" w:cs="Arial"/>
          <w:sz w:val="22"/>
          <w:szCs w:val="22"/>
          <w:lang w:val="es-ES"/>
        </w:rPr>
        <w:t xml:space="preserve"> a </w:t>
      </w:r>
      <w:r w:rsidR="0027324D" w:rsidRPr="008C21E4">
        <w:rPr>
          <w:rFonts w:ascii="Arial" w:hAnsi="Arial" w:cs="Arial"/>
          <w:sz w:val="22"/>
          <w:szCs w:val="22"/>
          <w:lang w:val="es-ES"/>
        </w:rPr>
        <w:t>10</w:t>
      </w:r>
      <w:r w:rsidR="00B82AC4" w:rsidRPr="008C21E4">
        <w:rPr>
          <w:rFonts w:ascii="Arial" w:hAnsi="Arial" w:cs="Arial"/>
          <w:sz w:val="22"/>
          <w:szCs w:val="22"/>
          <w:lang w:val="es-ES"/>
        </w:rPr>
        <w:t>.</w:t>
      </w:r>
      <w:r w:rsidR="0027324D" w:rsidRPr="008C21E4">
        <w:rPr>
          <w:rFonts w:ascii="Arial" w:hAnsi="Arial" w:cs="Arial"/>
          <w:sz w:val="22"/>
          <w:szCs w:val="22"/>
          <w:lang w:val="es-ES"/>
        </w:rPr>
        <w:t xml:space="preserve">712 </w:t>
      </w:r>
      <w:r w:rsidR="00FA3392" w:rsidRPr="008C21E4">
        <w:rPr>
          <w:rFonts w:ascii="Arial" w:hAnsi="Arial" w:cs="Arial"/>
          <w:sz w:val="22"/>
          <w:szCs w:val="22"/>
          <w:lang w:val="es-ES"/>
        </w:rPr>
        <w:t>dólares en 201</w:t>
      </w:r>
      <w:r w:rsidR="0027324D" w:rsidRPr="008C21E4">
        <w:rPr>
          <w:rFonts w:ascii="Arial" w:hAnsi="Arial" w:cs="Arial"/>
          <w:sz w:val="22"/>
          <w:szCs w:val="22"/>
          <w:lang w:val="es-ES"/>
        </w:rPr>
        <w:t>9</w:t>
      </w:r>
      <w:r w:rsidRPr="008C21E4">
        <w:rPr>
          <w:rFonts w:ascii="Arial" w:hAnsi="Arial" w:cs="Arial"/>
          <w:sz w:val="22"/>
          <w:szCs w:val="22"/>
          <w:lang w:val="es-ES"/>
        </w:rPr>
        <w:t>.</w:t>
      </w:r>
      <w:r w:rsidR="00256486" w:rsidRPr="008C21E4">
        <w:rPr>
          <w:rFonts w:ascii="Arial" w:hAnsi="Arial" w:cs="Arial"/>
          <w:sz w:val="22"/>
          <w:szCs w:val="22"/>
          <w:lang w:val="es-ES"/>
        </w:rPr>
        <w:t xml:space="preserve"> Los valores</w:t>
      </w:r>
      <w:r w:rsidR="00BC58C8" w:rsidRPr="008C21E4">
        <w:rPr>
          <w:rFonts w:ascii="Arial" w:hAnsi="Arial" w:cs="Arial"/>
          <w:sz w:val="22"/>
          <w:szCs w:val="22"/>
          <w:lang w:val="es-ES"/>
        </w:rPr>
        <w:t xml:space="preserve"> del PIB</w:t>
      </w:r>
      <w:r w:rsidR="00256486" w:rsidRPr="008C21E4">
        <w:rPr>
          <w:rFonts w:ascii="Arial" w:hAnsi="Arial" w:cs="Arial"/>
          <w:sz w:val="22"/>
          <w:szCs w:val="22"/>
          <w:lang w:val="es-ES"/>
        </w:rPr>
        <w:t xml:space="preserve"> subsecuentes</w:t>
      </w:r>
      <w:r w:rsidR="00567A83">
        <w:rPr>
          <w:rFonts w:ascii="Arial" w:hAnsi="Arial" w:cs="Arial"/>
          <w:sz w:val="22"/>
          <w:szCs w:val="22"/>
          <w:lang w:val="es-ES"/>
        </w:rPr>
        <w:t xml:space="preserve"> a 2023 </w:t>
      </w:r>
      <w:r w:rsidR="00256486" w:rsidRPr="008C21E4">
        <w:rPr>
          <w:rFonts w:ascii="Arial" w:hAnsi="Arial" w:cs="Arial"/>
          <w:sz w:val="22"/>
          <w:szCs w:val="22"/>
          <w:lang w:val="es-ES"/>
        </w:rPr>
        <w:t xml:space="preserve">se </w:t>
      </w:r>
      <w:r w:rsidR="006341C6" w:rsidRPr="008C21E4">
        <w:rPr>
          <w:rFonts w:ascii="Arial" w:hAnsi="Arial" w:cs="Arial"/>
          <w:sz w:val="22"/>
          <w:szCs w:val="22"/>
          <w:lang w:val="es-ES"/>
        </w:rPr>
        <w:t xml:space="preserve">estiman </w:t>
      </w:r>
      <w:r w:rsidR="00E72416" w:rsidRPr="008C21E4">
        <w:rPr>
          <w:rFonts w:ascii="Arial" w:hAnsi="Arial" w:cs="Arial"/>
          <w:sz w:val="22"/>
          <w:szCs w:val="22"/>
          <w:lang w:val="es-ES"/>
        </w:rPr>
        <w:t>utilizando</w:t>
      </w:r>
      <w:r w:rsidR="006341C6" w:rsidRPr="008C21E4">
        <w:rPr>
          <w:rFonts w:ascii="Arial" w:hAnsi="Arial" w:cs="Arial"/>
          <w:sz w:val="22"/>
          <w:szCs w:val="22"/>
          <w:lang w:val="es-ES"/>
        </w:rPr>
        <w:t xml:space="preserve"> la tasa de crecimiento promedio</w:t>
      </w:r>
      <w:r w:rsidR="00F4093B" w:rsidRPr="008C21E4">
        <w:rPr>
          <w:rFonts w:ascii="Arial" w:hAnsi="Arial" w:cs="Arial"/>
          <w:sz w:val="22"/>
          <w:szCs w:val="22"/>
          <w:lang w:val="es-ES"/>
        </w:rPr>
        <w:t xml:space="preserve"> anual</w:t>
      </w:r>
      <w:r w:rsidR="006341C6" w:rsidRPr="008C21E4">
        <w:rPr>
          <w:rFonts w:ascii="Arial" w:hAnsi="Arial" w:cs="Arial"/>
          <w:sz w:val="22"/>
          <w:szCs w:val="22"/>
          <w:lang w:val="es-ES"/>
        </w:rPr>
        <w:t xml:space="preserve"> entre 201</w:t>
      </w:r>
      <w:r w:rsidR="00567A83">
        <w:rPr>
          <w:rFonts w:ascii="Arial" w:hAnsi="Arial" w:cs="Arial"/>
          <w:sz w:val="22"/>
          <w:szCs w:val="22"/>
          <w:lang w:val="es-ES"/>
        </w:rPr>
        <w:t>8</w:t>
      </w:r>
      <w:r w:rsidR="006341C6" w:rsidRPr="008C21E4">
        <w:rPr>
          <w:rFonts w:ascii="Arial" w:hAnsi="Arial" w:cs="Arial"/>
          <w:sz w:val="22"/>
          <w:szCs w:val="22"/>
          <w:lang w:val="es-ES"/>
        </w:rPr>
        <w:t xml:space="preserve"> y 20</w:t>
      </w:r>
      <w:r w:rsidR="00567A83">
        <w:rPr>
          <w:rFonts w:ascii="Arial" w:hAnsi="Arial" w:cs="Arial"/>
          <w:sz w:val="22"/>
          <w:szCs w:val="22"/>
          <w:lang w:val="es-ES"/>
        </w:rPr>
        <w:t>23</w:t>
      </w:r>
      <w:r w:rsidR="00247BDD" w:rsidRPr="008C21E4">
        <w:rPr>
          <w:rFonts w:ascii="Arial" w:hAnsi="Arial" w:cs="Arial"/>
          <w:sz w:val="22"/>
          <w:szCs w:val="22"/>
          <w:lang w:val="es-ES"/>
        </w:rPr>
        <w:t xml:space="preserve"> del PIB en precios constantes</w:t>
      </w:r>
      <w:r w:rsidR="0059193B" w:rsidRPr="008C21E4">
        <w:rPr>
          <w:rFonts w:ascii="Arial" w:hAnsi="Arial" w:cs="Arial"/>
          <w:sz w:val="22"/>
          <w:szCs w:val="22"/>
          <w:lang w:val="es-ES"/>
        </w:rPr>
        <w:t xml:space="preserve"> (</w:t>
      </w:r>
      <w:r w:rsidR="00567A83">
        <w:rPr>
          <w:rFonts w:ascii="Arial" w:hAnsi="Arial" w:cs="Arial"/>
          <w:sz w:val="22"/>
          <w:szCs w:val="22"/>
          <w:lang w:val="es-ES"/>
        </w:rPr>
        <w:t>1</w:t>
      </w:r>
      <w:r w:rsidR="0059193B" w:rsidRPr="008C21E4">
        <w:rPr>
          <w:rFonts w:ascii="Arial" w:hAnsi="Arial" w:cs="Arial"/>
          <w:sz w:val="22"/>
          <w:szCs w:val="22"/>
          <w:lang w:val="es-ES"/>
        </w:rPr>
        <w:t>,</w:t>
      </w:r>
      <w:r w:rsidR="00567A83">
        <w:rPr>
          <w:rFonts w:ascii="Arial" w:hAnsi="Arial" w:cs="Arial"/>
          <w:sz w:val="22"/>
          <w:szCs w:val="22"/>
          <w:lang w:val="es-ES"/>
        </w:rPr>
        <w:t>6</w:t>
      </w:r>
      <w:r w:rsidR="00F4093B" w:rsidRPr="008C21E4">
        <w:rPr>
          <w:rFonts w:ascii="Arial" w:hAnsi="Arial" w:cs="Arial"/>
          <w:sz w:val="22"/>
          <w:szCs w:val="22"/>
          <w:lang w:val="es-ES"/>
        </w:rPr>
        <w:t>%)</w:t>
      </w:r>
      <w:r w:rsidR="006341C6" w:rsidRPr="008C21E4">
        <w:rPr>
          <w:rFonts w:ascii="Arial" w:hAnsi="Arial" w:cs="Arial"/>
          <w:sz w:val="22"/>
          <w:szCs w:val="22"/>
          <w:lang w:val="es-ES"/>
        </w:rPr>
        <w:t xml:space="preserve"> </w:t>
      </w:r>
      <w:r w:rsidR="00DF13D6" w:rsidRPr="008C21E4">
        <w:rPr>
          <w:rFonts w:ascii="Arial" w:hAnsi="Arial" w:cs="Arial"/>
          <w:sz w:val="22"/>
          <w:szCs w:val="22"/>
          <w:lang w:val="es-ES"/>
        </w:rPr>
        <w:t>de acuerdo con</w:t>
      </w:r>
      <w:r w:rsidR="00BC58C8" w:rsidRPr="008C21E4">
        <w:rPr>
          <w:rFonts w:ascii="Arial" w:hAnsi="Arial" w:cs="Arial"/>
          <w:sz w:val="22"/>
          <w:szCs w:val="22"/>
          <w:lang w:val="es-ES"/>
        </w:rPr>
        <w:t xml:space="preserve"> la misma fuente</w:t>
      </w:r>
      <w:r w:rsidR="006341C6" w:rsidRPr="008C21E4">
        <w:rPr>
          <w:rFonts w:ascii="Arial" w:hAnsi="Arial" w:cs="Arial"/>
          <w:sz w:val="22"/>
          <w:szCs w:val="22"/>
          <w:lang w:val="es-ES"/>
        </w:rPr>
        <w:t>.</w:t>
      </w:r>
      <w:r w:rsidR="00FB6D56" w:rsidRPr="008C21E4">
        <w:rPr>
          <w:rFonts w:ascii="Arial" w:hAnsi="Arial" w:cs="Arial"/>
          <w:sz w:val="22"/>
          <w:szCs w:val="22"/>
          <w:lang w:val="es-ES"/>
        </w:rPr>
        <w:t xml:space="preserve"> </w:t>
      </w:r>
    </w:p>
    <w:p w14:paraId="257B52FD" w14:textId="2716BBDE" w:rsidR="00F7002E" w:rsidRDefault="00F4093B" w:rsidP="00363146">
      <w:pPr>
        <w:autoSpaceDE w:val="0"/>
        <w:autoSpaceDN w:val="0"/>
        <w:adjustRightInd w:val="0"/>
        <w:spacing w:before="240" w:after="100" w:afterAutospacing="1"/>
        <w:jc w:val="both"/>
        <w:rPr>
          <w:rFonts w:ascii="Arial" w:hAnsi="Arial" w:cs="Arial"/>
          <w:sz w:val="22"/>
          <w:szCs w:val="22"/>
          <w:lang w:val="es-ES"/>
        </w:rPr>
      </w:pPr>
      <w:r w:rsidRPr="008C21E4">
        <w:rPr>
          <w:rFonts w:ascii="Arial" w:hAnsi="Arial" w:cs="Arial"/>
          <w:sz w:val="22"/>
          <w:szCs w:val="22"/>
          <w:lang w:val="es-ES"/>
        </w:rPr>
        <w:t>Se espera que los beneficios de las inversiones empiecen a observarse a partir</w:t>
      </w:r>
      <w:r w:rsidR="00CB4A34" w:rsidRPr="008C21E4">
        <w:rPr>
          <w:rFonts w:ascii="Arial" w:hAnsi="Arial" w:cs="Arial"/>
          <w:sz w:val="22"/>
          <w:szCs w:val="22"/>
          <w:lang w:val="es-ES"/>
        </w:rPr>
        <w:t xml:space="preserve"> de </w:t>
      </w:r>
      <w:r w:rsidR="00272F08" w:rsidRPr="008C21E4">
        <w:rPr>
          <w:rFonts w:ascii="Arial" w:hAnsi="Arial" w:cs="Arial"/>
          <w:sz w:val="22"/>
          <w:szCs w:val="22"/>
          <w:lang w:val="es-ES"/>
        </w:rPr>
        <w:t>2020</w:t>
      </w:r>
      <w:r w:rsidR="00725697" w:rsidRPr="008C21E4">
        <w:rPr>
          <w:rFonts w:ascii="Arial" w:hAnsi="Arial" w:cs="Arial"/>
          <w:sz w:val="22"/>
          <w:szCs w:val="22"/>
          <w:lang w:val="es-ES"/>
        </w:rPr>
        <w:t>, sin embargo</w:t>
      </w:r>
      <w:r w:rsidR="00DF13D6" w:rsidRPr="008C21E4">
        <w:rPr>
          <w:rFonts w:ascii="Arial" w:hAnsi="Arial" w:cs="Arial"/>
          <w:sz w:val="22"/>
          <w:szCs w:val="22"/>
          <w:lang w:val="es-ES"/>
        </w:rPr>
        <w:t>,</w:t>
      </w:r>
      <w:r w:rsidR="00725697" w:rsidRPr="008C21E4">
        <w:rPr>
          <w:rFonts w:ascii="Arial" w:hAnsi="Arial" w:cs="Arial"/>
          <w:sz w:val="22"/>
          <w:szCs w:val="22"/>
          <w:lang w:val="es-ES"/>
        </w:rPr>
        <w:t xml:space="preserve"> </w:t>
      </w:r>
      <w:r w:rsidR="00F7002E" w:rsidRPr="008C21E4">
        <w:rPr>
          <w:rFonts w:ascii="Arial" w:hAnsi="Arial" w:cs="Arial"/>
          <w:sz w:val="22"/>
          <w:szCs w:val="22"/>
          <w:lang w:val="es-ES"/>
        </w:rPr>
        <w:t>se prevé que</w:t>
      </w:r>
      <w:r w:rsidR="00725697" w:rsidRPr="008C21E4">
        <w:rPr>
          <w:rFonts w:ascii="Arial" w:hAnsi="Arial" w:cs="Arial"/>
          <w:sz w:val="22"/>
          <w:szCs w:val="22"/>
          <w:lang w:val="es-ES"/>
        </w:rPr>
        <w:t xml:space="preserve"> al inicio</w:t>
      </w:r>
      <w:r w:rsidR="00F7002E" w:rsidRPr="008C21E4">
        <w:rPr>
          <w:rFonts w:ascii="Arial" w:hAnsi="Arial" w:cs="Arial"/>
          <w:sz w:val="22"/>
          <w:szCs w:val="22"/>
          <w:lang w:val="es-ES"/>
        </w:rPr>
        <w:t xml:space="preserve"> de la intervención se obtenga un porcentaje muy bajo de los beneficios potenciales y que a medida que se </w:t>
      </w:r>
      <w:r w:rsidR="008111C1">
        <w:rPr>
          <w:rFonts w:ascii="Arial" w:hAnsi="Arial" w:cs="Arial"/>
          <w:sz w:val="22"/>
          <w:szCs w:val="22"/>
          <w:lang w:val="es-ES"/>
        </w:rPr>
        <w:t xml:space="preserve">concluyen las mejoras de </w:t>
      </w:r>
      <w:r w:rsidR="00F7002E" w:rsidRPr="008C21E4">
        <w:rPr>
          <w:rFonts w:ascii="Arial" w:hAnsi="Arial" w:cs="Arial"/>
          <w:sz w:val="22"/>
          <w:szCs w:val="22"/>
          <w:lang w:val="es-ES"/>
        </w:rPr>
        <w:t>infraestructura de salud y se internalizan</w:t>
      </w:r>
      <w:r w:rsidR="00725697" w:rsidRPr="008C21E4">
        <w:rPr>
          <w:rFonts w:ascii="Arial" w:hAnsi="Arial" w:cs="Arial"/>
          <w:sz w:val="22"/>
          <w:szCs w:val="22"/>
          <w:lang w:val="es-ES"/>
        </w:rPr>
        <w:t xml:space="preserve"> los sistemas de mejora en la gestión</w:t>
      </w:r>
      <w:r w:rsidR="00F7002E" w:rsidRPr="008C21E4">
        <w:rPr>
          <w:rFonts w:ascii="Arial" w:hAnsi="Arial" w:cs="Arial"/>
          <w:sz w:val="22"/>
          <w:szCs w:val="22"/>
          <w:lang w:val="es-ES"/>
        </w:rPr>
        <w:t xml:space="preserve"> se obtenga una mayor proporción de los beneficios</w:t>
      </w:r>
      <w:r w:rsidR="00CB4A34" w:rsidRPr="008C21E4">
        <w:rPr>
          <w:rFonts w:ascii="Arial" w:hAnsi="Arial" w:cs="Arial"/>
          <w:sz w:val="22"/>
          <w:szCs w:val="22"/>
          <w:lang w:val="es-ES"/>
        </w:rPr>
        <w:t>.</w:t>
      </w:r>
      <w:r w:rsidR="00D41127" w:rsidRPr="008C21E4">
        <w:rPr>
          <w:rFonts w:ascii="Arial" w:hAnsi="Arial" w:cs="Arial"/>
          <w:sz w:val="22"/>
          <w:szCs w:val="22"/>
          <w:lang w:val="es-ES"/>
        </w:rPr>
        <w:t xml:space="preserve"> Se utilizan </w:t>
      </w:r>
      <w:r w:rsidR="00F7002E" w:rsidRPr="008C21E4">
        <w:rPr>
          <w:rFonts w:ascii="Arial" w:hAnsi="Arial" w:cs="Arial"/>
          <w:sz w:val="22"/>
          <w:szCs w:val="22"/>
          <w:lang w:val="es-ES"/>
        </w:rPr>
        <w:t>3 vectores de gradualidad</w:t>
      </w:r>
      <w:r w:rsidR="00C1787A" w:rsidRPr="008C21E4">
        <w:rPr>
          <w:rFonts w:ascii="Arial" w:hAnsi="Arial" w:cs="Arial"/>
          <w:sz w:val="22"/>
          <w:szCs w:val="22"/>
          <w:lang w:val="es-ES"/>
        </w:rPr>
        <w:t xml:space="preserve"> (lento, regular y rápido)</w:t>
      </w:r>
      <w:r w:rsidR="00F7002E" w:rsidRPr="008C21E4">
        <w:rPr>
          <w:rFonts w:ascii="Arial" w:hAnsi="Arial" w:cs="Arial"/>
          <w:sz w:val="22"/>
          <w:szCs w:val="22"/>
          <w:lang w:val="es-ES"/>
        </w:rPr>
        <w:t xml:space="preserve"> que se representan en la</w:t>
      </w:r>
      <w:r w:rsidR="007F2D30" w:rsidRPr="008C21E4">
        <w:rPr>
          <w:rFonts w:ascii="Arial" w:hAnsi="Arial" w:cs="Arial"/>
          <w:sz w:val="22"/>
          <w:szCs w:val="22"/>
          <w:lang w:val="es-ES"/>
        </w:rPr>
        <w:t xml:space="preserve"> </w:t>
      </w:r>
      <w:r w:rsidR="00CC74BF" w:rsidRPr="008C21E4">
        <w:rPr>
          <w:rFonts w:ascii="Arial" w:hAnsi="Arial" w:cs="Arial"/>
          <w:sz w:val="22"/>
          <w:szCs w:val="22"/>
          <w:lang w:val="es-ES"/>
        </w:rPr>
        <w:t>Figu</w:t>
      </w:r>
      <w:r w:rsidR="00F7002E" w:rsidRPr="008C21E4">
        <w:rPr>
          <w:rFonts w:ascii="Arial" w:hAnsi="Arial" w:cs="Arial"/>
          <w:sz w:val="22"/>
          <w:szCs w:val="22"/>
          <w:lang w:val="es-ES"/>
        </w:rPr>
        <w:t>ra 2. Dado que se prevé que al final del desembolso del préstamo en 202</w:t>
      </w:r>
      <w:r w:rsidR="00822E51" w:rsidRPr="008C21E4">
        <w:rPr>
          <w:rFonts w:ascii="Arial" w:hAnsi="Arial" w:cs="Arial"/>
          <w:sz w:val="22"/>
          <w:szCs w:val="22"/>
          <w:lang w:val="es-ES"/>
        </w:rPr>
        <w:t>3</w:t>
      </w:r>
      <w:r w:rsidR="00F7002E" w:rsidRPr="008C21E4">
        <w:rPr>
          <w:rFonts w:ascii="Arial" w:hAnsi="Arial" w:cs="Arial"/>
          <w:sz w:val="22"/>
          <w:szCs w:val="22"/>
          <w:lang w:val="es-ES"/>
        </w:rPr>
        <w:t xml:space="preserve"> no se hayan obtenido todos los beneficios de</w:t>
      </w:r>
      <w:r w:rsidR="008111C1">
        <w:rPr>
          <w:rFonts w:ascii="Arial" w:hAnsi="Arial" w:cs="Arial"/>
          <w:sz w:val="22"/>
          <w:szCs w:val="22"/>
          <w:lang w:val="es-ES"/>
        </w:rPr>
        <w:t xml:space="preserve"> Mejor Salud BH</w:t>
      </w:r>
      <w:r w:rsidR="00F7002E" w:rsidRPr="008C21E4">
        <w:rPr>
          <w:rFonts w:ascii="Arial" w:hAnsi="Arial" w:cs="Arial"/>
          <w:sz w:val="22"/>
          <w:szCs w:val="22"/>
          <w:lang w:val="es-ES"/>
        </w:rPr>
        <w:t>, se realiza un análisis alternativo que comprende de 201</w:t>
      </w:r>
      <w:r w:rsidR="008111C1">
        <w:rPr>
          <w:rFonts w:ascii="Arial" w:hAnsi="Arial" w:cs="Arial"/>
          <w:sz w:val="22"/>
          <w:szCs w:val="22"/>
          <w:lang w:val="es-ES"/>
        </w:rPr>
        <w:t>9</w:t>
      </w:r>
      <w:r w:rsidR="00F7002E" w:rsidRPr="008C21E4">
        <w:rPr>
          <w:rFonts w:ascii="Arial" w:hAnsi="Arial" w:cs="Arial"/>
          <w:sz w:val="22"/>
          <w:szCs w:val="22"/>
          <w:lang w:val="es-ES"/>
        </w:rPr>
        <w:t xml:space="preserve"> a 202</w:t>
      </w:r>
      <w:r w:rsidR="001C4C6D" w:rsidRPr="008C21E4">
        <w:rPr>
          <w:rFonts w:ascii="Arial" w:hAnsi="Arial" w:cs="Arial"/>
          <w:sz w:val="22"/>
          <w:szCs w:val="22"/>
          <w:lang w:val="es-ES"/>
        </w:rPr>
        <w:t>8</w:t>
      </w:r>
      <w:r w:rsidR="00F7002E" w:rsidRPr="008C21E4">
        <w:rPr>
          <w:rFonts w:ascii="Arial" w:hAnsi="Arial" w:cs="Arial"/>
          <w:sz w:val="22"/>
          <w:szCs w:val="22"/>
          <w:lang w:val="es-ES"/>
        </w:rPr>
        <w:t xml:space="preserve">. </w:t>
      </w:r>
    </w:p>
    <w:p w14:paraId="7E196E3C" w14:textId="77777777" w:rsidR="00C60EF8" w:rsidRDefault="00C60EF8" w:rsidP="00363146">
      <w:pPr>
        <w:autoSpaceDE w:val="0"/>
        <w:autoSpaceDN w:val="0"/>
        <w:adjustRightInd w:val="0"/>
        <w:spacing w:before="240" w:after="100" w:afterAutospacing="1"/>
        <w:jc w:val="both"/>
        <w:rPr>
          <w:rFonts w:ascii="Arial" w:hAnsi="Arial" w:cs="Arial"/>
          <w:sz w:val="22"/>
          <w:szCs w:val="22"/>
          <w:lang w:val="es-ES"/>
        </w:rPr>
      </w:pPr>
    </w:p>
    <w:p w14:paraId="30A6EAB6" w14:textId="77777777" w:rsidR="00C60EF8" w:rsidRDefault="00C60EF8" w:rsidP="00363146">
      <w:pPr>
        <w:autoSpaceDE w:val="0"/>
        <w:autoSpaceDN w:val="0"/>
        <w:adjustRightInd w:val="0"/>
        <w:spacing w:before="240" w:after="100" w:afterAutospacing="1"/>
        <w:jc w:val="both"/>
        <w:rPr>
          <w:rFonts w:ascii="Arial" w:hAnsi="Arial" w:cs="Arial"/>
          <w:sz w:val="22"/>
          <w:szCs w:val="22"/>
          <w:lang w:val="es-ES"/>
        </w:rPr>
      </w:pPr>
    </w:p>
    <w:p w14:paraId="0E8705C9" w14:textId="77777777" w:rsidR="00C60EF8" w:rsidRDefault="00C60EF8" w:rsidP="00363146">
      <w:pPr>
        <w:autoSpaceDE w:val="0"/>
        <w:autoSpaceDN w:val="0"/>
        <w:adjustRightInd w:val="0"/>
        <w:spacing w:before="240" w:after="100" w:afterAutospacing="1"/>
        <w:jc w:val="both"/>
        <w:rPr>
          <w:rFonts w:ascii="Arial" w:hAnsi="Arial" w:cs="Arial"/>
          <w:sz w:val="22"/>
          <w:szCs w:val="22"/>
          <w:lang w:val="es-ES"/>
        </w:rPr>
      </w:pPr>
    </w:p>
    <w:p w14:paraId="6CF5B64D" w14:textId="77777777" w:rsidR="00C60EF8" w:rsidRPr="008C21E4" w:rsidRDefault="00C60EF8" w:rsidP="00363146">
      <w:pPr>
        <w:autoSpaceDE w:val="0"/>
        <w:autoSpaceDN w:val="0"/>
        <w:adjustRightInd w:val="0"/>
        <w:spacing w:before="240" w:after="100" w:afterAutospacing="1"/>
        <w:jc w:val="both"/>
        <w:rPr>
          <w:rFonts w:ascii="Arial" w:hAnsi="Arial" w:cs="Arial"/>
          <w:sz w:val="22"/>
          <w:szCs w:val="22"/>
          <w:lang w:val="es-ES"/>
        </w:rPr>
      </w:pPr>
    </w:p>
    <w:p w14:paraId="032EC0B3" w14:textId="77777777" w:rsidR="00110C35" w:rsidRDefault="00110C35" w:rsidP="007809D2">
      <w:pPr>
        <w:pStyle w:val="Caption"/>
      </w:pPr>
    </w:p>
    <w:p w14:paraId="072B76D3" w14:textId="1BF68D1E" w:rsidR="00722247" w:rsidRPr="008C21E4" w:rsidRDefault="00D40AF4" w:rsidP="007809D2">
      <w:pPr>
        <w:pStyle w:val="Caption"/>
      </w:pPr>
      <w:r w:rsidRPr="008C21E4">
        <w:t xml:space="preserve">Figura </w:t>
      </w:r>
      <w:r w:rsidR="00A81D94">
        <w:rPr>
          <w:noProof/>
        </w:rPr>
        <w:fldChar w:fldCharType="begin"/>
      </w:r>
      <w:r w:rsidR="00A81D94">
        <w:rPr>
          <w:noProof/>
        </w:rPr>
        <w:instrText xml:space="preserve"> SEQ Figura \* ARABIC </w:instrText>
      </w:r>
      <w:r w:rsidR="00A81D94">
        <w:rPr>
          <w:noProof/>
        </w:rPr>
        <w:fldChar w:fldCharType="separate"/>
      </w:r>
      <w:r w:rsidR="0074186F" w:rsidRPr="008C21E4">
        <w:rPr>
          <w:noProof/>
        </w:rPr>
        <w:t>2</w:t>
      </w:r>
      <w:r w:rsidR="00A81D94">
        <w:rPr>
          <w:noProof/>
        </w:rPr>
        <w:fldChar w:fldCharType="end"/>
      </w:r>
      <w:r w:rsidRPr="008C21E4">
        <w:t>.</w:t>
      </w:r>
      <w:r w:rsidR="00722247" w:rsidRPr="008C21E4">
        <w:t xml:space="preserve"> Vectores de gradualidad para obtener los beneficios del programa</w:t>
      </w:r>
      <w:r w:rsidR="00C97A2B">
        <w:t xml:space="preserve"> Mejor Salud BH</w:t>
      </w:r>
    </w:p>
    <w:p w14:paraId="3D9133A0" w14:textId="0E3B0609" w:rsidR="00272F08" w:rsidRPr="008C21E4" w:rsidRDefault="00AF6A62" w:rsidP="00AF6A62">
      <w:pPr>
        <w:keepNext/>
        <w:jc w:val="center"/>
        <w:rPr>
          <w:lang w:val="es-ES"/>
        </w:rPr>
      </w:pPr>
      <w:r>
        <w:rPr>
          <w:noProof/>
          <w:lang w:val="it-IT" w:eastAsia="it-IT"/>
        </w:rPr>
        <w:lastRenderedPageBreak/>
        <w:drawing>
          <wp:inline distT="0" distB="0" distL="0" distR="0" wp14:anchorId="2BD85F2B" wp14:editId="4BCCE35B">
            <wp:extent cx="5943600" cy="2277745"/>
            <wp:effectExtent l="0" t="0" r="0" b="8255"/>
            <wp:docPr id="11" name="Immagine 11" descr="../../../../../Desktop/Schermata%202018-09-21%20alle%2020.58.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Schermata%202018-09-21%20alle%2020.58.3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277745"/>
                    </a:xfrm>
                    <a:prstGeom prst="rect">
                      <a:avLst/>
                    </a:prstGeom>
                    <a:noFill/>
                    <a:ln>
                      <a:noFill/>
                    </a:ln>
                  </pic:spPr>
                </pic:pic>
              </a:graphicData>
            </a:graphic>
          </wp:inline>
        </w:drawing>
      </w:r>
    </w:p>
    <w:p w14:paraId="50C30615" w14:textId="77777777" w:rsidR="00EE705A" w:rsidRPr="008C21E4" w:rsidRDefault="00722247" w:rsidP="007E1AE2">
      <w:pPr>
        <w:keepNext/>
        <w:autoSpaceDE w:val="0"/>
        <w:autoSpaceDN w:val="0"/>
        <w:adjustRightInd w:val="0"/>
        <w:spacing w:before="120" w:after="100" w:afterAutospacing="1"/>
        <w:ind w:left="450"/>
        <w:jc w:val="both"/>
        <w:rPr>
          <w:rFonts w:ascii="Arial" w:hAnsi="Arial" w:cs="Arial"/>
          <w:sz w:val="16"/>
          <w:szCs w:val="16"/>
          <w:lang w:val="es-ES"/>
        </w:rPr>
      </w:pPr>
      <w:r w:rsidRPr="008C21E4">
        <w:rPr>
          <w:rFonts w:ascii="Arial" w:hAnsi="Arial" w:cs="Arial"/>
          <w:sz w:val="16"/>
          <w:szCs w:val="16"/>
          <w:lang w:val="es-ES"/>
        </w:rPr>
        <w:t xml:space="preserve">Fuente: Elaboración de los autores. </w:t>
      </w:r>
    </w:p>
    <w:p w14:paraId="64CD224D" w14:textId="7A85A92F" w:rsidR="00AB0B5B" w:rsidRPr="0086350B" w:rsidRDefault="00722247" w:rsidP="001025F1">
      <w:pPr>
        <w:autoSpaceDE w:val="0"/>
        <w:autoSpaceDN w:val="0"/>
        <w:adjustRightInd w:val="0"/>
        <w:spacing w:before="240" w:after="100" w:afterAutospacing="1"/>
        <w:jc w:val="both"/>
        <w:rPr>
          <w:rFonts w:ascii="Arial" w:hAnsi="Arial" w:cs="Arial"/>
          <w:sz w:val="22"/>
          <w:szCs w:val="22"/>
          <w:lang w:val="es-ES"/>
        </w:rPr>
      </w:pPr>
      <w:r w:rsidRPr="008C21E4">
        <w:rPr>
          <w:rFonts w:ascii="Arial" w:hAnsi="Arial" w:cs="Arial"/>
          <w:sz w:val="22"/>
          <w:szCs w:val="22"/>
          <w:lang w:val="es-ES"/>
        </w:rPr>
        <w:t>Aunque se incluyen cuatro escenarios de tasas de descuento</w:t>
      </w:r>
      <w:r w:rsidR="00146EDA" w:rsidRPr="008C21E4">
        <w:rPr>
          <w:rStyle w:val="FootnoteReference"/>
          <w:rFonts w:ascii="Arial" w:hAnsi="Arial" w:cs="Arial"/>
          <w:sz w:val="22"/>
          <w:szCs w:val="22"/>
          <w:lang w:val="es-ES"/>
        </w:rPr>
        <w:footnoteReference w:id="19"/>
      </w:r>
      <w:r w:rsidRPr="008C21E4">
        <w:rPr>
          <w:rFonts w:ascii="Arial" w:hAnsi="Arial" w:cs="Arial"/>
          <w:sz w:val="22"/>
          <w:szCs w:val="22"/>
          <w:lang w:val="es-ES"/>
        </w:rPr>
        <w:t xml:space="preserve"> para evaluar la relación costo beneficio </w:t>
      </w:r>
      <w:r w:rsidR="00E970DC" w:rsidRPr="008C21E4">
        <w:rPr>
          <w:rFonts w:ascii="Arial" w:hAnsi="Arial" w:cs="Arial"/>
          <w:sz w:val="22"/>
          <w:szCs w:val="22"/>
          <w:lang w:val="es-ES"/>
        </w:rPr>
        <w:t>de</w:t>
      </w:r>
      <w:r w:rsidR="008111C1">
        <w:rPr>
          <w:rFonts w:ascii="Arial" w:hAnsi="Arial" w:cs="Arial"/>
          <w:sz w:val="22"/>
          <w:szCs w:val="22"/>
          <w:lang w:val="es-ES"/>
        </w:rPr>
        <w:t xml:space="preserve"> Mejor Salud BH</w:t>
      </w:r>
      <w:r w:rsidRPr="008C21E4">
        <w:rPr>
          <w:rFonts w:ascii="Arial" w:hAnsi="Arial" w:cs="Arial"/>
          <w:sz w:val="22"/>
          <w:szCs w:val="22"/>
          <w:lang w:val="es-ES"/>
        </w:rPr>
        <w:t xml:space="preserve">, </w:t>
      </w:r>
      <w:r w:rsidR="006C0AD0" w:rsidRPr="008C21E4">
        <w:rPr>
          <w:rFonts w:ascii="Arial" w:hAnsi="Arial" w:cs="Arial"/>
          <w:sz w:val="22"/>
          <w:szCs w:val="22"/>
          <w:lang w:val="es-ES"/>
        </w:rPr>
        <w:t xml:space="preserve">se favorece utilizar la tasa de 3% que resulta </w:t>
      </w:r>
      <w:r w:rsidRPr="008C21E4">
        <w:rPr>
          <w:rFonts w:ascii="Arial" w:hAnsi="Arial" w:cs="Arial"/>
          <w:sz w:val="22"/>
          <w:szCs w:val="22"/>
          <w:lang w:val="es-ES"/>
        </w:rPr>
        <w:t>más adecuada para eva</w:t>
      </w:r>
      <w:r w:rsidR="006C0AD0" w:rsidRPr="008C21E4">
        <w:rPr>
          <w:rFonts w:ascii="Arial" w:hAnsi="Arial" w:cs="Arial"/>
          <w:sz w:val="22"/>
          <w:szCs w:val="22"/>
          <w:lang w:val="es-ES"/>
        </w:rPr>
        <w:t xml:space="preserve">luar proyectos sociales que la </w:t>
      </w:r>
      <w:r w:rsidRPr="008C21E4">
        <w:rPr>
          <w:rFonts w:ascii="Arial" w:hAnsi="Arial" w:cs="Arial"/>
          <w:sz w:val="22"/>
          <w:szCs w:val="22"/>
          <w:lang w:val="es-ES"/>
        </w:rPr>
        <w:t xml:space="preserve">tasa de 12% que es comúnmente utilizada para evaluar proyectos de infraestructura </w:t>
      </w:r>
      <w:r w:rsidR="007F2D30" w:rsidRPr="008C21E4">
        <w:rPr>
          <w:rFonts w:ascii="Arial" w:hAnsi="Arial" w:cs="Arial"/>
          <w:sz w:val="22"/>
          <w:szCs w:val="22"/>
          <w:lang w:val="es-ES"/>
        </w:rPr>
        <w:t>de transporte o</w:t>
      </w:r>
      <w:r w:rsidRPr="008C21E4">
        <w:rPr>
          <w:rFonts w:ascii="Arial" w:hAnsi="Arial" w:cs="Arial"/>
          <w:sz w:val="22"/>
          <w:szCs w:val="22"/>
          <w:lang w:val="es-ES"/>
        </w:rPr>
        <w:t xml:space="preserve"> energía.</w:t>
      </w:r>
      <w:r w:rsidR="00AB0B5B" w:rsidRPr="008C21E4">
        <w:rPr>
          <w:rFonts w:ascii="Arial" w:hAnsi="Arial" w:cs="Arial"/>
          <w:sz w:val="22"/>
          <w:szCs w:val="22"/>
          <w:lang w:val="es-ES"/>
        </w:rPr>
        <w:t xml:space="preserve"> </w:t>
      </w:r>
      <w:r w:rsidR="00FF628C" w:rsidRPr="008C21E4">
        <w:rPr>
          <w:rFonts w:ascii="Arial" w:hAnsi="Arial" w:cs="Arial"/>
          <w:sz w:val="22"/>
          <w:szCs w:val="22"/>
          <w:lang w:val="es-ES"/>
        </w:rPr>
        <w:t>E</w:t>
      </w:r>
      <w:r w:rsidR="00EE705A" w:rsidRPr="008C21E4">
        <w:rPr>
          <w:rFonts w:ascii="Arial" w:hAnsi="Arial" w:cs="Arial"/>
          <w:sz w:val="22"/>
          <w:szCs w:val="22"/>
          <w:lang w:val="es-ES"/>
        </w:rPr>
        <w:t xml:space="preserve">xiste </w:t>
      </w:r>
      <w:r w:rsidRPr="008C21E4">
        <w:rPr>
          <w:rFonts w:ascii="Arial" w:hAnsi="Arial" w:cs="Arial"/>
          <w:sz w:val="22"/>
          <w:szCs w:val="22"/>
          <w:lang w:val="es-ES"/>
        </w:rPr>
        <w:t xml:space="preserve">una </w:t>
      </w:r>
      <w:r w:rsidR="00EE705A" w:rsidRPr="008C21E4">
        <w:rPr>
          <w:rFonts w:ascii="Arial" w:hAnsi="Arial" w:cs="Arial"/>
          <w:sz w:val="22"/>
          <w:szCs w:val="22"/>
          <w:lang w:val="es-ES"/>
        </w:rPr>
        <w:t xml:space="preserve">amplia literatura teórica y empírica que justifica utilizar valores </w:t>
      </w:r>
      <w:r w:rsidR="002A3D8F" w:rsidRPr="008C21E4">
        <w:rPr>
          <w:rFonts w:ascii="Arial" w:hAnsi="Arial" w:cs="Arial"/>
          <w:sz w:val="22"/>
          <w:szCs w:val="22"/>
          <w:lang w:val="es-ES"/>
        </w:rPr>
        <w:t xml:space="preserve">relativamente </w:t>
      </w:r>
      <w:r w:rsidR="00AB0B5B" w:rsidRPr="008C21E4">
        <w:rPr>
          <w:rFonts w:ascii="Arial" w:hAnsi="Arial" w:cs="Arial"/>
          <w:sz w:val="22"/>
          <w:szCs w:val="22"/>
          <w:lang w:val="es-ES"/>
        </w:rPr>
        <w:t>bajos</w:t>
      </w:r>
      <w:r w:rsidR="00EE705A" w:rsidRPr="008C21E4">
        <w:rPr>
          <w:rFonts w:ascii="Arial" w:hAnsi="Arial" w:cs="Arial"/>
          <w:sz w:val="22"/>
          <w:szCs w:val="22"/>
          <w:lang w:val="es-ES"/>
        </w:rPr>
        <w:t xml:space="preserve"> </w:t>
      </w:r>
      <w:r w:rsidR="00FF628C" w:rsidRPr="008C21E4">
        <w:rPr>
          <w:rFonts w:ascii="Arial" w:hAnsi="Arial" w:cs="Arial"/>
          <w:sz w:val="22"/>
          <w:szCs w:val="22"/>
          <w:lang w:val="es-ES"/>
        </w:rPr>
        <w:t xml:space="preserve">de la tasa </w:t>
      </w:r>
      <w:r w:rsidR="00EE705A" w:rsidRPr="008C21E4">
        <w:rPr>
          <w:rFonts w:ascii="Arial" w:hAnsi="Arial" w:cs="Arial"/>
          <w:sz w:val="22"/>
          <w:szCs w:val="22"/>
          <w:lang w:val="es-ES"/>
        </w:rPr>
        <w:t>para el anális</w:t>
      </w:r>
      <w:r w:rsidR="00AB0B5B" w:rsidRPr="008C21E4">
        <w:rPr>
          <w:rFonts w:ascii="Arial" w:hAnsi="Arial" w:cs="Arial"/>
          <w:sz w:val="22"/>
          <w:szCs w:val="22"/>
          <w:lang w:val="es-ES"/>
        </w:rPr>
        <w:t xml:space="preserve">is de proyectos sociales ya que estos proyectos tienen </w:t>
      </w:r>
      <w:r w:rsidR="00EE705A" w:rsidRPr="008C21E4">
        <w:rPr>
          <w:rFonts w:ascii="Arial" w:hAnsi="Arial" w:cs="Arial"/>
          <w:sz w:val="22"/>
          <w:szCs w:val="22"/>
          <w:lang w:val="es-ES"/>
        </w:rPr>
        <w:t>importantes externalidades, se realizan en e</w:t>
      </w:r>
      <w:r w:rsidR="00AB0B5B" w:rsidRPr="008C21E4">
        <w:rPr>
          <w:rFonts w:ascii="Arial" w:hAnsi="Arial" w:cs="Arial"/>
          <w:sz w:val="22"/>
          <w:szCs w:val="22"/>
          <w:lang w:val="es-ES"/>
        </w:rPr>
        <w:t>l mediano y largo plazo, y</w:t>
      </w:r>
      <w:r w:rsidR="00EE705A" w:rsidRPr="008C21E4">
        <w:rPr>
          <w:rFonts w:ascii="Arial" w:hAnsi="Arial" w:cs="Arial"/>
          <w:sz w:val="22"/>
          <w:szCs w:val="22"/>
          <w:lang w:val="es-ES"/>
        </w:rPr>
        <w:t xml:space="preserve"> la monetización de los beneficios no es tan directa. </w:t>
      </w:r>
      <w:r w:rsidR="00F84D8D" w:rsidRPr="008C21E4">
        <w:rPr>
          <w:rFonts w:ascii="Arial" w:hAnsi="Arial" w:cs="Arial"/>
          <w:sz w:val="22"/>
          <w:szCs w:val="22"/>
          <w:lang w:val="es-ES"/>
        </w:rPr>
        <w:t xml:space="preserve">El análisis de </w:t>
      </w:r>
      <w:r w:rsidR="001872C6" w:rsidRPr="008C21E4">
        <w:rPr>
          <w:rFonts w:ascii="Arial" w:hAnsi="Arial" w:cs="Arial"/>
          <w:sz w:val="22"/>
          <w:szCs w:val="22"/>
          <w:lang w:val="es-ES"/>
        </w:rPr>
        <w:fldChar w:fldCharType="begin" w:fldLock="1"/>
      </w:r>
      <w:r w:rsidR="001872C6" w:rsidRPr="008C21E4">
        <w:rPr>
          <w:rFonts w:ascii="Arial" w:hAnsi="Arial" w:cs="Arial"/>
          <w:sz w:val="22"/>
          <w:szCs w:val="22"/>
          <w:lang w:val="es-ES"/>
        </w:rPr>
        <w:instrText>ADDIN CSL_CITATION { "citationItems" : [ { "id" : "ITEM-1", "itemData" : { "author" : [ { "dropping-particle" : "", "family" : "Zhuang", "given" : "J", "non-dropping-particle" : "", "parse-names" : false, "suffix" : "" }, { "dropping-particle" : "", "family" : "Liang", "given" : "Z", "non-dropping-particle" : "", "parse-names" : false, "suffix" : "" }, { "dropping-particle" : "", "family" : "Lin", "given" : "T", "non-dropping-particle" : "", "parse-names" : false, "suffix" : "" }, { "dropping-particle" : "De", "family" : "Guzman", "given" : "F", "non-dropping-particle" : "", "parse-names" : false, "suffix" : "" } ], "id" : "ITEM-1", "issued" : { "date-parts" : [ [ "2007" ] ] }, "title" : "Theory and practice in the choice of social discount rate for cost-benefit analysis: a survey", "type" : "article-journal" }, "uris" : [ "http://www.mendeley.com/documents/?uuid=51604dde-2ed8-495a-9696-b3161bc180f6" ] } ], "mendeley" : { "formattedCitation" : "(Zhuang et al. 2007)", "manualFormatting" : "Zhuang et al. (2007)", "plainTextFormattedCitation" : "(Zhuang et al. 2007)", "previouslyFormattedCitation" : "(Zhuang et al. 2007)" }, "properties" : { "noteIndex" : 0 }, "schema" : "https://github.com/citation-style-language/schema/raw/master/csl-citation.json" }</w:instrText>
      </w:r>
      <w:r w:rsidR="001872C6" w:rsidRPr="008C21E4">
        <w:rPr>
          <w:rFonts w:ascii="Arial" w:hAnsi="Arial" w:cs="Arial"/>
          <w:sz w:val="22"/>
          <w:szCs w:val="22"/>
          <w:lang w:val="es-ES"/>
        </w:rPr>
        <w:fldChar w:fldCharType="separate"/>
      </w:r>
      <w:r w:rsidR="001872C6" w:rsidRPr="008C21E4">
        <w:rPr>
          <w:rFonts w:ascii="Arial" w:hAnsi="Arial" w:cs="Arial"/>
          <w:noProof/>
          <w:sz w:val="22"/>
          <w:szCs w:val="22"/>
          <w:lang w:val="es-ES"/>
        </w:rPr>
        <w:t>Zhuang et al. (2007)</w:t>
      </w:r>
      <w:r w:rsidR="001872C6" w:rsidRPr="008C21E4">
        <w:rPr>
          <w:rFonts w:ascii="Arial" w:hAnsi="Arial" w:cs="Arial"/>
          <w:sz w:val="22"/>
          <w:szCs w:val="22"/>
          <w:lang w:val="es-ES"/>
        </w:rPr>
        <w:fldChar w:fldCharType="end"/>
      </w:r>
      <w:r w:rsidR="001872C6" w:rsidRPr="008C21E4">
        <w:rPr>
          <w:rFonts w:ascii="Arial" w:hAnsi="Arial" w:cs="Arial"/>
          <w:sz w:val="22"/>
          <w:szCs w:val="22"/>
          <w:lang w:val="es-ES"/>
        </w:rPr>
        <w:t xml:space="preserve"> </w:t>
      </w:r>
      <w:r w:rsidR="00F84D8D" w:rsidRPr="008C21E4">
        <w:rPr>
          <w:rFonts w:ascii="Arial" w:hAnsi="Arial" w:cs="Arial"/>
          <w:sz w:val="22"/>
          <w:szCs w:val="22"/>
          <w:lang w:val="es-ES"/>
        </w:rPr>
        <w:t xml:space="preserve">encuentra que </w:t>
      </w:r>
      <w:r w:rsidR="00FF628C" w:rsidRPr="008C21E4">
        <w:rPr>
          <w:rFonts w:ascii="Arial" w:hAnsi="Arial" w:cs="Arial"/>
          <w:sz w:val="22"/>
          <w:szCs w:val="22"/>
          <w:lang w:val="es-ES"/>
        </w:rPr>
        <w:t xml:space="preserve">países desarrollados como Francia, Alemania, Italia y España utilizan tasas entre 3 y 7% para evaluar proyectos sociales mientras que los países en desarrollo optan por tasas entre 8 y 15%. </w:t>
      </w:r>
      <w:r w:rsidR="00F84D8D" w:rsidRPr="008C21E4">
        <w:rPr>
          <w:rFonts w:ascii="Arial" w:hAnsi="Arial" w:cs="Arial"/>
          <w:sz w:val="22"/>
          <w:szCs w:val="22"/>
          <w:lang w:val="es-ES"/>
        </w:rPr>
        <w:t xml:space="preserve">El trabajo de </w:t>
      </w:r>
      <w:r w:rsidR="001872C6" w:rsidRPr="008C21E4">
        <w:rPr>
          <w:rFonts w:ascii="Arial" w:hAnsi="Arial" w:cs="Arial"/>
          <w:sz w:val="22"/>
          <w:szCs w:val="22"/>
          <w:lang w:val="es-ES"/>
        </w:rPr>
        <w:fldChar w:fldCharType="begin" w:fldLock="1"/>
      </w:r>
      <w:r w:rsidR="001872C6" w:rsidRPr="008C21E4">
        <w:rPr>
          <w:rFonts w:ascii="Arial" w:hAnsi="Arial" w:cs="Arial"/>
          <w:sz w:val="22"/>
          <w:szCs w:val="22"/>
          <w:lang w:val="es-ES"/>
        </w:rPr>
        <w:instrText>ADDIN CSL_CITATION { "citationItems" : [ { "id" : "ITEM-1", "itemData" : { "DOI" : "10.1596/1813-9450-4639", "author" : [ { "dropping-particle" : "", "family" : "Lopez", "given" : "Humberto", "non-dropping-particle" : "", "parse-names" : false, "suffix" : "" } ], "collection-title" : "Policy Research Working Papers", "id" : "ITEM-1", "issued" : { "date-parts" : [ [ "2008", "6", "12" ] ] }, "language" : "English", "publisher" : "The World Bank", "title" : "The Social Discount Rate: Estimates For Nine Latin American Countries", "type" : "book" }, "uris" : [ "http://www.mendeley.com/documents/?uuid=1c1d3902-07ef-4655-9402-cdac0fbfa4be" ] } ], "mendeley" : { "formattedCitation" : "(Lopez 2008)", "manualFormatting" : "Lopez (2008)", "plainTextFormattedCitation" : "(Lopez 2008)", "previouslyFormattedCitation" : "(Lopez 2008)" }, "properties" : { "noteIndex" : 0 }, "schema" : "https://github.com/citation-style-language/schema/raw/master/csl-citation.json" }</w:instrText>
      </w:r>
      <w:r w:rsidR="001872C6" w:rsidRPr="008C21E4">
        <w:rPr>
          <w:rFonts w:ascii="Arial" w:hAnsi="Arial" w:cs="Arial"/>
          <w:sz w:val="22"/>
          <w:szCs w:val="22"/>
          <w:lang w:val="es-ES"/>
        </w:rPr>
        <w:fldChar w:fldCharType="separate"/>
      </w:r>
      <w:r w:rsidR="001872C6" w:rsidRPr="008C21E4">
        <w:rPr>
          <w:rFonts w:ascii="Arial" w:hAnsi="Arial" w:cs="Arial"/>
          <w:noProof/>
          <w:sz w:val="22"/>
          <w:szCs w:val="22"/>
          <w:lang w:val="es-ES"/>
        </w:rPr>
        <w:t>Lopez (2008)</w:t>
      </w:r>
      <w:r w:rsidR="001872C6" w:rsidRPr="008C21E4">
        <w:rPr>
          <w:rFonts w:ascii="Arial" w:hAnsi="Arial" w:cs="Arial"/>
          <w:sz w:val="22"/>
          <w:szCs w:val="22"/>
          <w:lang w:val="es-ES"/>
        </w:rPr>
        <w:fldChar w:fldCharType="end"/>
      </w:r>
      <w:r w:rsidR="001872C6" w:rsidRPr="008C21E4">
        <w:rPr>
          <w:rFonts w:ascii="Arial" w:hAnsi="Arial" w:cs="Arial"/>
          <w:sz w:val="22"/>
          <w:szCs w:val="22"/>
          <w:lang w:val="es-ES"/>
        </w:rPr>
        <w:t xml:space="preserve"> </w:t>
      </w:r>
      <w:r w:rsidR="00F84D8D" w:rsidRPr="008C21E4">
        <w:rPr>
          <w:rFonts w:ascii="Arial" w:hAnsi="Arial" w:cs="Arial"/>
          <w:sz w:val="22"/>
          <w:szCs w:val="22"/>
          <w:lang w:val="es-ES"/>
        </w:rPr>
        <w:t xml:space="preserve">que estima </w:t>
      </w:r>
      <w:r w:rsidR="00EE705A" w:rsidRPr="008C21E4">
        <w:rPr>
          <w:rFonts w:ascii="Arial" w:hAnsi="Arial" w:cs="Arial"/>
          <w:sz w:val="22"/>
          <w:szCs w:val="22"/>
          <w:lang w:val="es-ES"/>
        </w:rPr>
        <w:t>tasas de descuento para nueve países latinoamericano</w:t>
      </w:r>
      <w:r w:rsidR="00F84D8D" w:rsidRPr="008C21E4">
        <w:rPr>
          <w:rFonts w:ascii="Arial" w:hAnsi="Arial" w:cs="Arial"/>
          <w:sz w:val="22"/>
          <w:szCs w:val="22"/>
          <w:lang w:val="es-ES"/>
        </w:rPr>
        <w:t>s indica que la selección de la tasa depende las expectativas de crecimiento. Esto es que ante un escenario de crecimiento económico bajo la tasa de descuento debe situarse entre 3 y 4% mientras que en un escenario de crecimiento acelerado la tasa puede ser de un 5 o hasta 7%. En el caso de Latinoamérica algunos autores han utilizado tasas menores al 12% para</w:t>
      </w:r>
      <w:r w:rsidR="001872C6" w:rsidRPr="008C21E4">
        <w:rPr>
          <w:rFonts w:ascii="Arial" w:hAnsi="Arial" w:cs="Arial"/>
          <w:sz w:val="22"/>
          <w:szCs w:val="22"/>
          <w:lang w:val="es-ES"/>
        </w:rPr>
        <w:t xml:space="preserve"> evaluar proyectos. Por ejemplo, </w:t>
      </w:r>
      <w:r w:rsidR="001872C6" w:rsidRPr="008C21E4">
        <w:rPr>
          <w:rFonts w:ascii="Arial" w:hAnsi="Arial" w:cs="Arial"/>
          <w:sz w:val="22"/>
          <w:szCs w:val="22"/>
          <w:lang w:val="es-ES"/>
        </w:rPr>
        <w:fldChar w:fldCharType="begin" w:fldLock="1"/>
      </w:r>
      <w:r w:rsidR="001872C6" w:rsidRPr="008C21E4">
        <w:rPr>
          <w:rFonts w:ascii="Arial" w:hAnsi="Arial" w:cs="Arial"/>
          <w:sz w:val="22"/>
          <w:szCs w:val="22"/>
          <w:lang w:val="es-ES"/>
        </w:rPr>
        <w:instrText>ADDIN CSL_CITATION { "citationItems" : [ { "id" : "ITEM-1", "itemData" : { "author" : [ { "dropping-particle" : "", "family" : "Castillo", "given" : "CP", "non-dropping-particle" : "De", "parse-names" : false, "suffix" : "" }, { "dropping-particle" : "", "family" : "Lema", "given" : "R", "non-dropping-particle" : "", "parse-names" : false, "suffix" : "" } ], "id" : "ITEM-1", "issued" : { "date-parts" : [ [ "1998" ] ] }, "title" : "Economic Analysis of Social Investment Fund Projects: Case Studies and Minimum Requirements Proposal", "type" : "article-journal" }, "uris" : [ "http://www.mendeley.com/documents/?uuid=0e5a3df5-2ed5-414b-8877-801d78ccdf46" ] } ], "mendeley" : { "formattedCitation" : "(De Castillo and Lema 1998)", "manualFormatting" : "De Castillo y Lema (1998)", "plainTextFormattedCitation" : "(De Castillo and Lema 1998)", "previouslyFormattedCitation" : "(De Castillo and Lema 1998)" }, "properties" : { "noteIndex" : 0 }, "schema" : "https://github.com/citation-style-language/schema/raw/master/csl-citation.json" }</w:instrText>
      </w:r>
      <w:r w:rsidR="001872C6" w:rsidRPr="008C21E4">
        <w:rPr>
          <w:rFonts w:ascii="Arial" w:hAnsi="Arial" w:cs="Arial"/>
          <w:sz w:val="22"/>
          <w:szCs w:val="22"/>
          <w:lang w:val="es-ES"/>
        </w:rPr>
        <w:fldChar w:fldCharType="separate"/>
      </w:r>
      <w:r w:rsidR="001872C6" w:rsidRPr="008C21E4">
        <w:rPr>
          <w:rFonts w:ascii="Arial" w:hAnsi="Arial" w:cs="Arial"/>
          <w:noProof/>
          <w:sz w:val="22"/>
          <w:szCs w:val="22"/>
          <w:lang w:val="es-ES"/>
        </w:rPr>
        <w:t>De Castillo y Lema (1998)</w:t>
      </w:r>
      <w:r w:rsidR="001872C6" w:rsidRPr="008C21E4">
        <w:rPr>
          <w:rFonts w:ascii="Arial" w:hAnsi="Arial" w:cs="Arial"/>
          <w:sz w:val="22"/>
          <w:szCs w:val="22"/>
          <w:lang w:val="es-ES"/>
        </w:rPr>
        <w:fldChar w:fldCharType="end"/>
      </w:r>
      <w:r w:rsidR="001872C6" w:rsidRPr="008C21E4">
        <w:rPr>
          <w:rFonts w:ascii="Arial" w:hAnsi="Arial" w:cs="Arial"/>
          <w:sz w:val="22"/>
          <w:szCs w:val="22"/>
          <w:lang w:val="es-ES"/>
        </w:rPr>
        <w:t xml:space="preserve"> </w:t>
      </w:r>
      <w:r w:rsidR="00F84D8D" w:rsidRPr="008C21E4">
        <w:rPr>
          <w:rFonts w:ascii="Arial" w:hAnsi="Arial" w:cs="Arial"/>
          <w:sz w:val="22"/>
          <w:szCs w:val="22"/>
          <w:lang w:val="es-ES"/>
        </w:rPr>
        <w:t>utilizan</w:t>
      </w:r>
      <w:r w:rsidR="00EE705A" w:rsidRPr="008C21E4">
        <w:rPr>
          <w:rFonts w:ascii="Arial" w:hAnsi="Arial" w:cs="Arial"/>
          <w:sz w:val="22"/>
          <w:szCs w:val="22"/>
          <w:lang w:val="es-ES"/>
        </w:rPr>
        <w:t xml:space="preserve"> una tasa de descuento del 8% para analizar económicamente unos fondos soci</w:t>
      </w:r>
      <w:r w:rsidR="00F84D8D" w:rsidRPr="008C21E4">
        <w:rPr>
          <w:rFonts w:ascii="Arial" w:hAnsi="Arial" w:cs="Arial"/>
          <w:sz w:val="22"/>
          <w:szCs w:val="22"/>
          <w:lang w:val="es-ES"/>
        </w:rPr>
        <w:t xml:space="preserve">ales de inversión en Bolivia, </w:t>
      </w:r>
      <w:r w:rsidR="00EE705A" w:rsidRPr="008C21E4">
        <w:rPr>
          <w:rFonts w:ascii="Arial" w:hAnsi="Arial" w:cs="Arial"/>
          <w:sz w:val="22"/>
          <w:szCs w:val="22"/>
          <w:lang w:val="es-ES"/>
        </w:rPr>
        <w:t>evaluaciones económicas del impacto de proyectos de nutrición en salud y educación usan tasas</w:t>
      </w:r>
      <w:r w:rsidR="001872C6" w:rsidRPr="008C21E4">
        <w:rPr>
          <w:rFonts w:ascii="Arial" w:hAnsi="Arial" w:cs="Arial"/>
          <w:sz w:val="22"/>
          <w:szCs w:val="22"/>
          <w:lang w:val="es-ES"/>
        </w:rPr>
        <w:t xml:space="preserve"> de 8% </w:t>
      </w:r>
      <w:r w:rsidR="001872C6" w:rsidRPr="008C21E4">
        <w:rPr>
          <w:rFonts w:ascii="Arial" w:hAnsi="Arial" w:cs="Arial"/>
          <w:sz w:val="22"/>
          <w:szCs w:val="22"/>
          <w:lang w:val="es-ES"/>
        </w:rPr>
        <w:fldChar w:fldCharType="begin" w:fldLock="1"/>
      </w:r>
      <w:r w:rsidR="001872C6" w:rsidRPr="008C21E4">
        <w:rPr>
          <w:rFonts w:ascii="Arial" w:hAnsi="Arial" w:cs="Arial"/>
          <w:sz w:val="22"/>
          <w:szCs w:val="22"/>
          <w:lang w:val="es-ES"/>
        </w:rPr>
        <w:instrText>ADDIN CSL_CITATION { "citationItems" : [ { "id" : "ITEM-1", "itemData" : { "author" : [ { "dropping-particle" : "", "family" : "Martinez", "given" : "R", "non-dropping-particle" : "", "parse-names" : false, "suffix" : "" }, { "dropping-particle" : "", "family" : "Fern\u00e1ndez", "given" : "A", "non-dropping-particle" : "", "parse-names" : false, "suffix" : "" } ], "id" : "ITEM-1", "issued" : { "date-parts" : [ [ "2008" ] ] }, "title" : "The cost of hunger: social and economic impact of child undernutrition in Central America and the Dominican Republic", "type" : "book" }, "uris" : [ "http://www.mendeley.com/documents/?uuid=65013fa7-3187-46ea-9f70-c1a483e6658d" ] } ], "mendeley" : { "formattedCitation" : "(Martinez and Fern\u00e1ndez 2008)", "manualFormatting" : "Martinez y Fern\u00e1ndez (2008)", "plainTextFormattedCitation" : "(Martinez and Fern\u00e1ndez 2008)", "previouslyFormattedCitation" : "(Martinez and Fern\u00e1ndez 2008)" }, "properties" : { "noteIndex" : 0 }, "schema" : "https://github.com/citation-style-language/schema/raw/master/csl-citation.json" }</w:instrText>
      </w:r>
      <w:r w:rsidR="001872C6" w:rsidRPr="008C21E4">
        <w:rPr>
          <w:rFonts w:ascii="Arial" w:hAnsi="Arial" w:cs="Arial"/>
          <w:sz w:val="22"/>
          <w:szCs w:val="22"/>
          <w:lang w:val="es-ES"/>
        </w:rPr>
        <w:fldChar w:fldCharType="separate"/>
      </w:r>
      <w:r w:rsidR="001872C6" w:rsidRPr="008C21E4">
        <w:rPr>
          <w:rFonts w:ascii="Arial" w:hAnsi="Arial" w:cs="Arial"/>
          <w:noProof/>
          <w:sz w:val="22"/>
          <w:szCs w:val="22"/>
          <w:lang w:val="es-ES"/>
        </w:rPr>
        <w:t>Martinez y Fernández (2008)</w:t>
      </w:r>
      <w:r w:rsidR="001872C6" w:rsidRPr="008C21E4">
        <w:rPr>
          <w:rFonts w:ascii="Arial" w:hAnsi="Arial" w:cs="Arial"/>
          <w:sz w:val="22"/>
          <w:szCs w:val="22"/>
          <w:lang w:val="es-ES"/>
        </w:rPr>
        <w:fldChar w:fldCharType="end"/>
      </w:r>
      <w:r w:rsidR="00AC2FC7" w:rsidRPr="008C21E4">
        <w:rPr>
          <w:rFonts w:ascii="Arial" w:hAnsi="Arial" w:cs="Arial"/>
          <w:sz w:val="22"/>
          <w:szCs w:val="22"/>
          <w:lang w:val="es-ES"/>
        </w:rPr>
        <w:t xml:space="preserve">, </w:t>
      </w:r>
      <w:r w:rsidR="001872C6" w:rsidRPr="008C21E4">
        <w:rPr>
          <w:rFonts w:ascii="Arial" w:hAnsi="Arial" w:cs="Arial"/>
          <w:sz w:val="22"/>
          <w:szCs w:val="22"/>
          <w:lang w:val="es-ES"/>
        </w:rPr>
        <w:fldChar w:fldCharType="begin" w:fldLock="1"/>
      </w:r>
      <w:r w:rsidR="001872C6" w:rsidRPr="008C21E4">
        <w:rPr>
          <w:rFonts w:ascii="Arial" w:hAnsi="Arial" w:cs="Arial"/>
          <w:sz w:val="22"/>
          <w:szCs w:val="22"/>
          <w:lang w:val="es-ES"/>
        </w:rPr>
        <w:instrText>ADDIN CSL_CITATION { "citationItems" : [ { "id" : "ITEM-1", "itemData" : { "author" : [ { "dropping-particle" : "", "family" : "Heckman", "given" : "James J", "non-dropping-particle" : "", "parse-names" : false, "suffix" : "" }, { "dropping-particle" : "", "family" : "Moon", "given" : "Seong Hyeok", "non-dropping-particle" : "", "parse-names" : false, "suffix" : "" }, { "dropping-particle" : "", "family" : "Pinto", "given" : "Rodrigo", "non-dropping-particle" : "", "parse-names" : false, "suffix" : "" }, { "dropping-particle" : "", "family" : "Savelyev", "given" : "Peter", "non-dropping-particle" : "", "parse-names" : false, "suffix" : "" }, { "dropping-particle" : "", "family" : "Yavitz", "given" : "Adam", "non-dropping-particle" : "", "parse-names" : false, "suffix" : "" } ], "id" : "ITEM-1", "issued" : { "date-parts" : [ [ "2010", "7", "8" ] ] }, "title" : "A New Cost-Benefit and Rate of Return Analysis for the Perry Preschool Program: A Summary", "type" : "article-journal" }, "uris" : [ "http://www.mendeley.com/documents/?uuid=51756460-d664-4e2d-9acf-737c589d02aa" ] } ], "mendeley" : { "formattedCitation" : "(Heckman et al. 2010)", "manualFormatting" : "Heckman et al. (2010)", "plainTextFormattedCitation" : "(Heckman et al. 2010)", "previouslyFormattedCitation" : "(Heckman et al. 2010)" }, "properties" : { "noteIndex" : 0 }, "schema" : "https://github.com/citation-style-language/schema/raw/master/csl-citation.json" }</w:instrText>
      </w:r>
      <w:r w:rsidR="001872C6" w:rsidRPr="008C21E4">
        <w:rPr>
          <w:rFonts w:ascii="Arial" w:hAnsi="Arial" w:cs="Arial"/>
          <w:sz w:val="22"/>
          <w:szCs w:val="22"/>
          <w:lang w:val="es-ES"/>
        </w:rPr>
        <w:fldChar w:fldCharType="separate"/>
      </w:r>
      <w:r w:rsidR="001872C6" w:rsidRPr="008C21E4">
        <w:rPr>
          <w:rFonts w:ascii="Arial" w:hAnsi="Arial" w:cs="Arial"/>
          <w:noProof/>
          <w:sz w:val="22"/>
          <w:szCs w:val="22"/>
          <w:lang w:val="es-ES"/>
        </w:rPr>
        <w:t>Heckman et al. (2010)</w:t>
      </w:r>
      <w:r w:rsidR="001872C6" w:rsidRPr="008C21E4">
        <w:rPr>
          <w:rFonts w:ascii="Arial" w:hAnsi="Arial" w:cs="Arial"/>
          <w:sz w:val="22"/>
          <w:szCs w:val="22"/>
          <w:lang w:val="es-ES"/>
        </w:rPr>
        <w:fldChar w:fldCharType="end"/>
      </w:r>
      <w:r w:rsidR="00EE705A" w:rsidRPr="008C21E4">
        <w:rPr>
          <w:rFonts w:ascii="Arial" w:hAnsi="Arial" w:cs="Arial"/>
          <w:sz w:val="22"/>
          <w:szCs w:val="22"/>
          <w:lang w:val="es-ES"/>
        </w:rPr>
        <w:t xml:space="preserve"> utiliza</w:t>
      </w:r>
      <w:r w:rsidR="00AC2FC7" w:rsidRPr="008C21E4">
        <w:rPr>
          <w:rFonts w:ascii="Arial" w:hAnsi="Arial" w:cs="Arial"/>
          <w:sz w:val="22"/>
          <w:szCs w:val="22"/>
          <w:lang w:val="es-ES"/>
        </w:rPr>
        <w:t>n</w:t>
      </w:r>
      <w:r w:rsidR="00EE705A" w:rsidRPr="008C21E4">
        <w:rPr>
          <w:rFonts w:ascii="Arial" w:hAnsi="Arial" w:cs="Arial"/>
          <w:sz w:val="22"/>
          <w:szCs w:val="22"/>
          <w:lang w:val="es-ES"/>
        </w:rPr>
        <w:t xml:space="preserve"> una tasa de descue</w:t>
      </w:r>
      <w:r w:rsidR="00AC2FC7" w:rsidRPr="008C21E4">
        <w:rPr>
          <w:rFonts w:ascii="Arial" w:hAnsi="Arial" w:cs="Arial"/>
          <w:sz w:val="22"/>
          <w:szCs w:val="22"/>
          <w:lang w:val="es-ES"/>
        </w:rPr>
        <w:t xml:space="preserve">nto de entre 3 y 5%, y </w:t>
      </w:r>
      <w:r w:rsidR="001872C6" w:rsidRPr="008C21E4">
        <w:rPr>
          <w:rFonts w:ascii="Arial" w:hAnsi="Arial" w:cs="Arial"/>
          <w:sz w:val="22"/>
          <w:szCs w:val="22"/>
          <w:lang w:val="es-ES"/>
        </w:rPr>
        <w:fldChar w:fldCharType="begin" w:fldLock="1"/>
      </w:r>
      <w:r w:rsidR="001872C6" w:rsidRPr="008C21E4">
        <w:rPr>
          <w:rFonts w:ascii="Arial" w:hAnsi="Arial" w:cs="Arial"/>
          <w:sz w:val="22"/>
          <w:szCs w:val="22"/>
          <w:lang w:val="es-ES"/>
        </w:rPr>
        <w:instrText>ADDIN CSL_CITATION { "citationItems" : [ { "id" : "ITEM-1", "itemData" : { "author" : [ { "dropping-particle" : "", "family" : "Lomborg", "given" : "B", "non-dropping-particle" : "", "parse-names" : false, "suffix" : "" } ], "id" : "ITEM-1", "issued" : { "date-parts" : [ [ "2010" ] ] }, "publisher" : "Cambridge University Press", "publisher-place" : "Cambridge, Reino Unido", "title" : "Latin American Development Priorities: Costs and Benefits", "type" : "book" }, "uris" : [ "http://www.mendeley.com/documents/?uuid=1114e6b8-54cd-4c00-b9ce-ec3194cacac7" ] } ], "mendeley" : { "formattedCitation" : "(Lomborg 2010)", "manualFormatting" : "Lomborg (2010)", "plainTextFormattedCitation" : "(Lomborg 2010)", "previouslyFormattedCitation" : "(Lomborg 2010)" }, "properties" : { "noteIndex" : 0 }, "schema" : "https://github.com/citation-style-language/schema/raw/master/csl-citation.json" }</w:instrText>
      </w:r>
      <w:r w:rsidR="001872C6" w:rsidRPr="008C21E4">
        <w:rPr>
          <w:rFonts w:ascii="Arial" w:hAnsi="Arial" w:cs="Arial"/>
          <w:sz w:val="22"/>
          <w:szCs w:val="22"/>
          <w:lang w:val="es-ES"/>
        </w:rPr>
        <w:fldChar w:fldCharType="separate"/>
      </w:r>
      <w:r w:rsidR="001872C6" w:rsidRPr="008C21E4">
        <w:rPr>
          <w:rFonts w:ascii="Arial" w:hAnsi="Arial" w:cs="Arial"/>
          <w:noProof/>
          <w:sz w:val="22"/>
          <w:szCs w:val="22"/>
          <w:lang w:val="es-ES"/>
        </w:rPr>
        <w:t>Lomborg (2010)</w:t>
      </w:r>
      <w:r w:rsidR="001872C6" w:rsidRPr="008C21E4">
        <w:rPr>
          <w:rFonts w:ascii="Arial" w:hAnsi="Arial" w:cs="Arial"/>
          <w:sz w:val="22"/>
          <w:szCs w:val="22"/>
          <w:lang w:val="es-ES"/>
        </w:rPr>
        <w:fldChar w:fldCharType="end"/>
      </w:r>
      <w:r w:rsidR="009F2F7F" w:rsidRPr="008C21E4">
        <w:rPr>
          <w:rFonts w:ascii="Arial" w:hAnsi="Arial" w:cs="Arial"/>
          <w:sz w:val="22"/>
          <w:szCs w:val="22"/>
          <w:lang w:val="es-ES"/>
        </w:rPr>
        <w:t xml:space="preserve"> </w:t>
      </w:r>
      <w:r w:rsidR="00EE705A" w:rsidRPr="008C21E4">
        <w:rPr>
          <w:rFonts w:ascii="Arial" w:hAnsi="Arial" w:cs="Arial"/>
          <w:sz w:val="22"/>
          <w:szCs w:val="22"/>
          <w:lang w:val="es-ES"/>
        </w:rPr>
        <w:t xml:space="preserve">usa una tasa de descuento del 3 y del 6% para analizar el costo beneficio en </w:t>
      </w:r>
      <w:r w:rsidR="00AC2FC7" w:rsidRPr="008C21E4">
        <w:rPr>
          <w:rFonts w:ascii="Arial" w:hAnsi="Arial" w:cs="Arial"/>
          <w:sz w:val="22"/>
          <w:szCs w:val="22"/>
          <w:lang w:val="es-ES"/>
        </w:rPr>
        <w:t>términos de educación de un Programa de Transferencias Condicionadas</w:t>
      </w:r>
      <w:r w:rsidR="00EE705A" w:rsidRPr="008C21E4">
        <w:rPr>
          <w:rFonts w:ascii="Arial" w:hAnsi="Arial" w:cs="Arial"/>
          <w:sz w:val="22"/>
          <w:szCs w:val="22"/>
          <w:lang w:val="es-ES"/>
        </w:rPr>
        <w:t xml:space="preserve"> para el caso de tres países latinoamericanos. </w:t>
      </w:r>
      <w:r w:rsidR="00F84D8D" w:rsidRPr="008C21E4">
        <w:rPr>
          <w:rFonts w:ascii="Arial" w:hAnsi="Arial" w:cs="Arial"/>
          <w:sz w:val="22"/>
          <w:szCs w:val="22"/>
          <w:lang w:val="es-ES"/>
        </w:rPr>
        <w:t xml:space="preserve">Finalmente, para proyectos de Salud, la </w:t>
      </w:r>
      <w:r w:rsidR="001872C6" w:rsidRPr="008C21E4">
        <w:rPr>
          <w:rFonts w:ascii="Arial" w:hAnsi="Arial" w:cs="Arial"/>
          <w:sz w:val="22"/>
          <w:szCs w:val="22"/>
          <w:lang w:val="es-ES"/>
        </w:rPr>
        <w:t xml:space="preserve">OMS </w:t>
      </w:r>
      <w:r w:rsidR="001872C6" w:rsidRPr="008C21E4">
        <w:rPr>
          <w:rFonts w:ascii="Arial" w:hAnsi="Arial" w:cs="Arial"/>
          <w:sz w:val="22"/>
          <w:szCs w:val="22"/>
          <w:lang w:val="es-ES"/>
        </w:rPr>
        <w:fldChar w:fldCharType="begin" w:fldLock="1"/>
      </w:r>
      <w:r w:rsidR="001872C6" w:rsidRPr="008C21E4">
        <w:rPr>
          <w:rFonts w:ascii="Arial" w:hAnsi="Arial" w:cs="Arial"/>
          <w:sz w:val="22"/>
          <w:szCs w:val="22"/>
          <w:lang w:val="es-ES"/>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"(en Tan-Torres Edejer et al. 2003)", "plainTextFormattedCitation" : "(Tan-Torres Edejer et al. 2003)", "previouslyFormattedCitation" : "(Tan-Torres Edejer et al. 2003)" }, "properties" : { "noteIndex" : 0 }, "schema" : "https://github.com/citation-style-language/schema/raw/master/csl-citation.json" }</w:instrText>
      </w:r>
      <w:r w:rsidR="001872C6" w:rsidRPr="008C21E4">
        <w:rPr>
          <w:rFonts w:ascii="Arial" w:hAnsi="Arial" w:cs="Arial"/>
          <w:sz w:val="22"/>
          <w:szCs w:val="22"/>
          <w:lang w:val="es-ES"/>
        </w:rPr>
        <w:fldChar w:fldCharType="separate"/>
      </w:r>
      <w:r w:rsidR="001872C6" w:rsidRPr="008C21E4">
        <w:rPr>
          <w:rFonts w:ascii="Arial" w:hAnsi="Arial" w:cs="Arial"/>
          <w:noProof/>
          <w:sz w:val="22"/>
          <w:szCs w:val="22"/>
          <w:lang w:val="es-ES"/>
        </w:rPr>
        <w:t>(en Tan-Torres Edejer et al. 2003)</w:t>
      </w:r>
      <w:r w:rsidR="001872C6" w:rsidRPr="008C21E4">
        <w:rPr>
          <w:rFonts w:ascii="Arial" w:hAnsi="Arial" w:cs="Arial"/>
          <w:sz w:val="22"/>
          <w:szCs w:val="22"/>
          <w:lang w:val="es-ES"/>
        </w:rPr>
        <w:fldChar w:fldCharType="end"/>
      </w:r>
      <w:r w:rsidR="001872C6" w:rsidRPr="008C21E4">
        <w:rPr>
          <w:rFonts w:ascii="Arial" w:hAnsi="Arial" w:cs="Arial"/>
          <w:sz w:val="22"/>
          <w:szCs w:val="22"/>
          <w:lang w:val="es-ES"/>
        </w:rPr>
        <w:t xml:space="preserve"> </w:t>
      </w:r>
      <w:r w:rsidR="00F84D8D" w:rsidRPr="008C21E4">
        <w:rPr>
          <w:rFonts w:ascii="Arial" w:hAnsi="Arial" w:cs="Arial"/>
          <w:sz w:val="22"/>
          <w:szCs w:val="22"/>
          <w:lang w:val="es-ES"/>
        </w:rPr>
        <w:t xml:space="preserve">recomienda usar 3% como tasa de descuento y sugieren que para los análisis de sensibilidad se descuenten los efectos de </w:t>
      </w:r>
      <w:r w:rsidR="00F84D8D" w:rsidRPr="0086350B">
        <w:rPr>
          <w:rFonts w:ascii="Arial" w:hAnsi="Arial" w:cs="Arial"/>
          <w:sz w:val="22"/>
          <w:szCs w:val="22"/>
          <w:lang w:val="es-ES"/>
        </w:rPr>
        <w:t>salud con una tasa del 0% y los costos con una del 6%.</w:t>
      </w:r>
    </w:p>
    <w:p w14:paraId="2CA9D989" w14:textId="5E305BCD" w:rsidR="00FF628C" w:rsidRDefault="00FF628C" w:rsidP="001025F1">
      <w:pPr>
        <w:autoSpaceDE w:val="0"/>
        <w:autoSpaceDN w:val="0"/>
        <w:adjustRightInd w:val="0"/>
        <w:spacing w:before="120" w:after="100" w:afterAutospacing="1"/>
        <w:jc w:val="both"/>
        <w:rPr>
          <w:rFonts w:ascii="Arial" w:hAnsi="Arial" w:cs="Arial"/>
          <w:sz w:val="22"/>
          <w:szCs w:val="22"/>
          <w:lang w:val="es-ES"/>
        </w:rPr>
      </w:pPr>
      <w:r w:rsidRPr="008C21E4">
        <w:rPr>
          <w:rFonts w:ascii="Arial" w:hAnsi="Arial" w:cs="Arial"/>
          <w:sz w:val="22"/>
          <w:szCs w:val="22"/>
          <w:lang w:val="es-ES"/>
        </w:rPr>
        <w:t xml:space="preserve">Las ganancias económicas del proyecto están dadas por la combinación de los AVADs obtenidos </w:t>
      </w:r>
      <w:r w:rsidR="00344C86" w:rsidRPr="008C21E4">
        <w:rPr>
          <w:rFonts w:ascii="Arial" w:hAnsi="Arial" w:cs="Arial"/>
          <w:sz w:val="22"/>
          <w:szCs w:val="22"/>
          <w:lang w:val="es-ES"/>
        </w:rPr>
        <w:t xml:space="preserve">por las diferentes </w:t>
      </w:r>
      <w:r w:rsidR="00874A99" w:rsidRPr="008C21E4">
        <w:rPr>
          <w:rFonts w:ascii="Arial" w:hAnsi="Arial" w:cs="Arial"/>
          <w:sz w:val="22"/>
          <w:szCs w:val="22"/>
          <w:lang w:val="es-ES"/>
        </w:rPr>
        <w:t>intervencion</w:t>
      </w:r>
      <w:r w:rsidR="00874A99">
        <w:rPr>
          <w:rFonts w:ascii="Arial" w:hAnsi="Arial" w:cs="Arial"/>
          <w:sz w:val="22"/>
          <w:szCs w:val="22"/>
          <w:lang w:val="es-ES"/>
        </w:rPr>
        <w:t>es</w:t>
      </w:r>
      <w:r w:rsidR="00344C86" w:rsidRPr="008C21E4">
        <w:rPr>
          <w:rFonts w:ascii="Arial" w:hAnsi="Arial" w:cs="Arial"/>
          <w:sz w:val="22"/>
          <w:szCs w:val="22"/>
          <w:lang w:val="es-ES"/>
        </w:rPr>
        <w:t xml:space="preserve"> de</w:t>
      </w:r>
      <w:r w:rsidR="00874A99">
        <w:rPr>
          <w:rFonts w:ascii="Arial" w:hAnsi="Arial" w:cs="Arial"/>
          <w:sz w:val="22"/>
          <w:szCs w:val="22"/>
          <w:lang w:val="es-ES"/>
        </w:rPr>
        <w:t xml:space="preserve"> Mejor</w:t>
      </w:r>
      <w:r w:rsidR="00047E62">
        <w:rPr>
          <w:rFonts w:ascii="Arial" w:hAnsi="Arial" w:cs="Arial"/>
          <w:sz w:val="22"/>
          <w:szCs w:val="22"/>
          <w:lang w:val="es-ES"/>
        </w:rPr>
        <w:t xml:space="preserve"> Salud BH</w:t>
      </w:r>
      <w:r w:rsidR="00F84D8D" w:rsidRPr="008C21E4">
        <w:rPr>
          <w:rFonts w:ascii="Arial" w:hAnsi="Arial" w:cs="Arial"/>
          <w:sz w:val="22"/>
          <w:szCs w:val="22"/>
          <w:lang w:val="es-ES"/>
        </w:rPr>
        <w:t xml:space="preserve"> multiplicados por la productividad de la población</w:t>
      </w:r>
      <w:r w:rsidR="006D7E7E" w:rsidRPr="008C21E4">
        <w:rPr>
          <w:rFonts w:ascii="Arial" w:hAnsi="Arial" w:cs="Arial"/>
          <w:sz w:val="22"/>
          <w:szCs w:val="22"/>
          <w:lang w:val="es-ES"/>
        </w:rPr>
        <w:t xml:space="preserve"> (PIB per cápita)</w:t>
      </w:r>
      <w:r w:rsidR="00F84D8D" w:rsidRPr="008C21E4">
        <w:rPr>
          <w:rFonts w:ascii="Arial" w:hAnsi="Arial" w:cs="Arial"/>
          <w:sz w:val="22"/>
          <w:szCs w:val="22"/>
          <w:lang w:val="es-ES"/>
        </w:rPr>
        <w:t>. Posteriormente son ajustados por</w:t>
      </w:r>
      <w:r w:rsidR="009F66CE" w:rsidRPr="008C21E4">
        <w:rPr>
          <w:rFonts w:ascii="Arial" w:hAnsi="Arial" w:cs="Arial"/>
          <w:sz w:val="22"/>
          <w:szCs w:val="22"/>
          <w:lang w:val="es-ES"/>
        </w:rPr>
        <w:t xml:space="preserve"> la contribución marginal a la cobertura efectiva</w:t>
      </w:r>
      <w:r w:rsidR="00CE029D">
        <w:rPr>
          <w:rFonts w:ascii="Arial" w:hAnsi="Arial" w:cs="Arial"/>
          <w:sz w:val="22"/>
          <w:szCs w:val="22"/>
          <w:lang w:val="es-ES"/>
        </w:rPr>
        <w:t xml:space="preserve"> que se espera de las </w:t>
      </w:r>
      <w:r w:rsidR="00CE029D" w:rsidRPr="008C21E4">
        <w:rPr>
          <w:rFonts w:ascii="Arial" w:hAnsi="Arial" w:cs="Arial"/>
          <w:sz w:val="22"/>
          <w:szCs w:val="22"/>
          <w:lang w:val="es-ES"/>
        </w:rPr>
        <w:t>intervencion</w:t>
      </w:r>
      <w:r w:rsidR="00CE029D">
        <w:rPr>
          <w:rFonts w:ascii="Arial" w:hAnsi="Arial" w:cs="Arial"/>
          <w:sz w:val="22"/>
          <w:szCs w:val="22"/>
          <w:lang w:val="es-ES"/>
        </w:rPr>
        <w:t xml:space="preserve">es </w:t>
      </w:r>
      <w:r w:rsidR="009F66CE" w:rsidRPr="008C21E4">
        <w:rPr>
          <w:rFonts w:ascii="Arial" w:hAnsi="Arial" w:cs="Arial"/>
          <w:sz w:val="22"/>
          <w:szCs w:val="22"/>
          <w:lang w:val="es-ES"/>
        </w:rPr>
        <w:t>y por los</w:t>
      </w:r>
      <w:r w:rsidRPr="008C21E4">
        <w:rPr>
          <w:rFonts w:ascii="Arial" w:hAnsi="Arial" w:cs="Arial"/>
          <w:sz w:val="22"/>
          <w:szCs w:val="22"/>
          <w:lang w:val="es-ES"/>
        </w:rPr>
        <w:t xml:space="preserve"> vectores</w:t>
      </w:r>
      <w:r w:rsidR="006D7E7E" w:rsidRPr="008C21E4">
        <w:rPr>
          <w:rFonts w:ascii="Arial" w:hAnsi="Arial" w:cs="Arial"/>
          <w:sz w:val="22"/>
          <w:szCs w:val="22"/>
          <w:lang w:val="es-ES"/>
        </w:rPr>
        <w:t xml:space="preserve"> de gradualidad q</w:t>
      </w:r>
      <w:r w:rsidR="00CE029D">
        <w:rPr>
          <w:rFonts w:ascii="Arial" w:hAnsi="Arial" w:cs="Arial"/>
          <w:sz w:val="22"/>
          <w:szCs w:val="22"/>
          <w:lang w:val="es-ES"/>
        </w:rPr>
        <w:t xml:space="preserve">ue afectan a todas </w:t>
      </w:r>
      <w:r w:rsidR="00CE029D" w:rsidRPr="008C21E4">
        <w:rPr>
          <w:rFonts w:ascii="Arial" w:hAnsi="Arial" w:cs="Arial"/>
          <w:sz w:val="22"/>
          <w:szCs w:val="22"/>
          <w:lang w:val="es-ES"/>
        </w:rPr>
        <w:t>intervencion</w:t>
      </w:r>
      <w:r w:rsidR="00CE029D">
        <w:rPr>
          <w:rFonts w:ascii="Arial" w:hAnsi="Arial" w:cs="Arial"/>
          <w:sz w:val="22"/>
          <w:szCs w:val="22"/>
          <w:lang w:val="es-ES"/>
        </w:rPr>
        <w:t>es</w:t>
      </w:r>
      <w:r w:rsidR="006D7E7E" w:rsidRPr="008C21E4">
        <w:rPr>
          <w:rFonts w:ascii="Arial" w:hAnsi="Arial" w:cs="Arial"/>
          <w:sz w:val="22"/>
          <w:szCs w:val="22"/>
          <w:lang w:val="es-ES"/>
        </w:rPr>
        <w:t xml:space="preserve"> por igual.</w:t>
      </w:r>
    </w:p>
    <w:p w14:paraId="410CEA27" w14:textId="77777777" w:rsidR="00C60EF8" w:rsidRPr="008C21E4" w:rsidRDefault="00C60EF8" w:rsidP="001025F1">
      <w:pPr>
        <w:autoSpaceDE w:val="0"/>
        <w:autoSpaceDN w:val="0"/>
        <w:adjustRightInd w:val="0"/>
        <w:spacing w:before="120" w:after="100" w:afterAutospacing="1"/>
        <w:jc w:val="both"/>
        <w:rPr>
          <w:rFonts w:ascii="Arial" w:hAnsi="Arial" w:cs="Arial"/>
          <w:sz w:val="22"/>
          <w:szCs w:val="22"/>
          <w:lang w:val="es-ES"/>
        </w:rPr>
      </w:pPr>
    </w:p>
    <w:p w14:paraId="0B0B3663" w14:textId="0A0A9DD9" w:rsidR="00A66BBC" w:rsidRPr="008C21E4" w:rsidRDefault="00A66BBC" w:rsidP="007809D2">
      <w:pPr>
        <w:pStyle w:val="Caption"/>
      </w:pPr>
      <w:bookmarkStart w:id="24" w:name="_Ref296087688"/>
      <w:r w:rsidRPr="008C21E4">
        <w:t xml:space="preserve">Tabla </w:t>
      </w:r>
      <w:r w:rsidR="00A81D94">
        <w:rPr>
          <w:noProof/>
        </w:rPr>
        <w:fldChar w:fldCharType="begin"/>
      </w:r>
      <w:r w:rsidR="00A81D94">
        <w:rPr>
          <w:noProof/>
        </w:rPr>
        <w:instrText xml:space="preserve"> SEQ Tabla \* ARABIC </w:instrText>
      </w:r>
      <w:r w:rsidR="00A81D94">
        <w:rPr>
          <w:noProof/>
        </w:rPr>
        <w:fldChar w:fldCharType="separate"/>
      </w:r>
      <w:r w:rsidR="006141BB" w:rsidRPr="008C21E4">
        <w:rPr>
          <w:noProof/>
        </w:rPr>
        <w:t>5</w:t>
      </w:r>
      <w:r w:rsidR="00A81D94">
        <w:rPr>
          <w:noProof/>
        </w:rPr>
        <w:fldChar w:fldCharType="end"/>
      </w:r>
      <w:bookmarkEnd w:id="24"/>
      <w:r w:rsidRPr="008C21E4">
        <w:t xml:space="preserve">. </w:t>
      </w:r>
      <w:r w:rsidR="004268B3" w:rsidRPr="008C21E4">
        <w:t>An</w:t>
      </w:r>
      <w:r w:rsidR="004268B3" w:rsidRPr="008C21E4">
        <w:rPr>
          <w:rFonts w:eastAsia="Calibri"/>
        </w:rPr>
        <w:t>álisis</w:t>
      </w:r>
      <w:r w:rsidR="004268B3" w:rsidRPr="008C21E4">
        <w:t xml:space="preserve"> </w:t>
      </w:r>
      <w:r w:rsidR="004268B3" w:rsidRPr="008C21E4">
        <w:rPr>
          <w:rFonts w:eastAsia="Calibri"/>
        </w:rPr>
        <w:t>de</w:t>
      </w:r>
      <w:r w:rsidR="004268B3" w:rsidRPr="008C21E4">
        <w:t xml:space="preserve"> </w:t>
      </w:r>
      <w:r w:rsidR="004268B3" w:rsidRPr="008C21E4">
        <w:rPr>
          <w:rFonts w:eastAsia="Calibri"/>
        </w:rPr>
        <w:t>sensibilidad</w:t>
      </w:r>
      <w:r w:rsidRPr="008C21E4">
        <w:t xml:space="preserve"> de</w:t>
      </w:r>
      <w:r w:rsidR="004268B3" w:rsidRPr="008C21E4">
        <w:t xml:space="preserve"> los</w:t>
      </w:r>
      <w:r w:rsidRPr="008C21E4">
        <w:t xml:space="preserve"> beneficios </w:t>
      </w:r>
      <w:r w:rsidR="004268B3" w:rsidRPr="008C21E4">
        <w:t>en d</w:t>
      </w:r>
      <w:r w:rsidR="004268B3" w:rsidRPr="008C21E4">
        <w:rPr>
          <w:rFonts w:eastAsia="Calibri"/>
        </w:rPr>
        <w:t>ólares</w:t>
      </w:r>
      <w:r w:rsidR="006E64BD" w:rsidRPr="008C21E4">
        <w:t xml:space="preserve">, </w:t>
      </w:r>
      <w:r w:rsidR="00FE15D8" w:rsidRPr="008C21E4">
        <w:t xml:space="preserve">periodo </w:t>
      </w:r>
      <w:r w:rsidR="006F4482" w:rsidRPr="008C21E4">
        <w:t>201</w:t>
      </w:r>
      <w:r w:rsidR="00CE029D">
        <w:t>9</w:t>
      </w:r>
      <w:r w:rsidR="006E64BD" w:rsidRPr="008C21E4">
        <w:t>-202</w:t>
      </w:r>
      <w:r w:rsidR="00EF27FE" w:rsidRPr="008C21E4">
        <w:t>3</w:t>
      </w:r>
    </w:p>
    <w:tbl>
      <w:tblPr>
        <w:tblStyle w:val="GridTable4-Accent11"/>
        <w:tblW w:w="0" w:type="auto"/>
        <w:tblLayout w:type="fixed"/>
        <w:tblLook w:val="04A0" w:firstRow="1" w:lastRow="0" w:firstColumn="1" w:lastColumn="0" w:noHBand="0" w:noVBand="1"/>
      </w:tblPr>
      <w:tblGrid>
        <w:gridCol w:w="2075"/>
        <w:gridCol w:w="1390"/>
        <w:gridCol w:w="1439"/>
        <w:gridCol w:w="1441"/>
        <w:gridCol w:w="1438"/>
        <w:gridCol w:w="1440"/>
      </w:tblGrid>
      <w:tr w:rsidR="005F6C33" w:rsidRPr="008C21E4" w14:paraId="643E195D" w14:textId="77777777" w:rsidTr="00274305">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075" w:type="dxa"/>
            <w:tcBorders>
              <w:top w:val="single" w:sz="4" w:space="0" w:color="auto"/>
              <w:left w:val="single" w:sz="4" w:space="0" w:color="auto"/>
            </w:tcBorders>
            <w:vAlign w:val="center"/>
            <w:hideMark/>
          </w:tcPr>
          <w:p w14:paraId="662E11C6" w14:textId="77777777" w:rsidR="005F6C33" w:rsidRPr="008C21E4" w:rsidRDefault="005F6C33" w:rsidP="00E9238D">
            <w:pPr>
              <w:keepNext/>
              <w:spacing w:after="100" w:afterAutospacing="1"/>
              <w:jc w:val="center"/>
              <w:rPr>
                <w:rFonts w:ascii="Arial" w:eastAsia="Times New Roman" w:hAnsi="Arial" w:cs="Arial"/>
                <w:sz w:val="16"/>
                <w:szCs w:val="16"/>
                <w:lang w:val="es-ES"/>
              </w:rPr>
            </w:pPr>
            <w:r w:rsidRPr="008C21E4">
              <w:rPr>
                <w:rFonts w:ascii="Arial" w:eastAsia="Times New Roman" w:hAnsi="Arial" w:cs="Arial"/>
                <w:sz w:val="16"/>
                <w:szCs w:val="16"/>
                <w:lang w:val="es-ES"/>
              </w:rPr>
              <w:t>Vectores de gradualidad</w:t>
            </w:r>
          </w:p>
        </w:tc>
        <w:tc>
          <w:tcPr>
            <w:tcW w:w="1390" w:type="dxa"/>
            <w:tcBorders>
              <w:top w:val="single" w:sz="4" w:space="0" w:color="auto"/>
            </w:tcBorders>
            <w:vAlign w:val="center"/>
            <w:hideMark/>
          </w:tcPr>
          <w:p w14:paraId="106CB911" w14:textId="77777777" w:rsidR="005F6C33" w:rsidRPr="008C21E4" w:rsidRDefault="005F6C33" w:rsidP="00E9238D">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ES"/>
              </w:rPr>
            </w:pPr>
            <w:r w:rsidRPr="008C21E4">
              <w:rPr>
                <w:rFonts w:ascii="Arial" w:eastAsia="Times New Roman" w:hAnsi="Arial" w:cs="Arial"/>
                <w:sz w:val="16"/>
                <w:szCs w:val="16"/>
                <w:lang w:val="es-ES"/>
              </w:rPr>
              <w:t>Escenarios de cobertura efectiva</w:t>
            </w:r>
          </w:p>
        </w:tc>
        <w:tc>
          <w:tcPr>
            <w:tcW w:w="5758" w:type="dxa"/>
            <w:gridSpan w:val="4"/>
            <w:tcBorders>
              <w:top w:val="single" w:sz="4" w:space="0" w:color="auto"/>
              <w:right w:val="single" w:sz="4" w:space="0" w:color="auto"/>
            </w:tcBorders>
            <w:noWrap/>
            <w:vAlign w:val="center"/>
            <w:hideMark/>
          </w:tcPr>
          <w:p w14:paraId="36047660" w14:textId="6DD47D0E" w:rsidR="005F6C33" w:rsidRPr="008C21E4" w:rsidRDefault="00CE029D" w:rsidP="00E9238D">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ES"/>
              </w:rPr>
            </w:pPr>
            <w:r>
              <w:rPr>
                <w:rFonts w:ascii="Arial" w:eastAsia="Times New Roman" w:hAnsi="Arial" w:cs="Arial"/>
                <w:bCs w:val="0"/>
                <w:sz w:val="16"/>
                <w:szCs w:val="16"/>
                <w:lang w:val="es-ES"/>
              </w:rPr>
              <w:t>T</w:t>
            </w:r>
            <w:r w:rsidR="005F6C33" w:rsidRPr="008C21E4">
              <w:rPr>
                <w:rFonts w:ascii="Arial" w:eastAsia="Times New Roman" w:hAnsi="Arial" w:cs="Arial"/>
                <w:bCs w:val="0"/>
                <w:sz w:val="16"/>
                <w:szCs w:val="16"/>
                <w:lang w:val="es-ES"/>
              </w:rPr>
              <w:t>asa de descuento</w:t>
            </w:r>
          </w:p>
        </w:tc>
      </w:tr>
      <w:tr w:rsidR="005F6C33" w:rsidRPr="008C21E4" w14:paraId="20ACAECE" w14:textId="77777777" w:rsidTr="0027430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075" w:type="dxa"/>
            <w:tcBorders>
              <w:left w:val="single" w:sz="4" w:space="0" w:color="auto"/>
            </w:tcBorders>
            <w:vAlign w:val="center"/>
            <w:hideMark/>
          </w:tcPr>
          <w:p w14:paraId="3D5FF27B" w14:textId="77777777" w:rsidR="005F6C33" w:rsidRPr="008C21E4" w:rsidRDefault="005F6C33" w:rsidP="00E9238D">
            <w:pPr>
              <w:keepNext/>
              <w:spacing w:after="100" w:afterAutospacing="1"/>
              <w:jc w:val="center"/>
              <w:rPr>
                <w:rFonts w:ascii="Arial" w:eastAsia="Times New Roman" w:hAnsi="Arial" w:cs="Arial"/>
                <w:b w:val="0"/>
                <w:bCs w:val="0"/>
                <w:color w:val="000000"/>
                <w:sz w:val="16"/>
                <w:szCs w:val="16"/>
                <w:lang w:val="es-ES"/>
              </w:rPr>
            </w:pPr>
          </w:p>
        </w:tc>
        <w:tc>
          <w:tcPr>
            <w:tcW w:w="1390" w:type="dxa"/>
            <w:vAlign w:val="center"/>
            <w:hideMark/>
          </w:tcPr>
          <w:p w14:paraId="24E62F87" w14:textId="77777777" w:rsidR="005F6C33" w:rsidRPr="008C21E4" w:rsidRDefault="005F6C33" w:rsidP="00E9238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p>
        </w:tc>
        <w:tc>
          <w:tcPr>
            <w:tcW w:w="1439" w:type="dxa"/>
            <w:noWrap/>
            <w:vAlign w:val="center"/>
            <w:hideMark/>
          </w:tcPr>
          <w:p w14:paraId="2DBA1587" w14:textId="77777777" w:rsidR="005F6C33" w:rsidRPr="008C21E4" w:rsidRDefault="005F6C33" w:rsidP="00E9238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2%</w:t>
            </w:r>
          </w:p>
        </w:tc>
        <w:tc>
          <w:tcPr>
            <w:tcW w:w="1441" w:type="dxa"/>
            <w:noWrap/>
            <w:vAlign w:val="center"/>
            <w:hideMark/>
          </w:tcPr>
          <w:p w14:paraId="56D89A75" w14:textId="77777777" w:rsidR="005F6C33" w:rsidRPr="008C21E4" w:rsidRDefault="005F6C33" w:rsidP="00E9238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3%</w:t>
            </w:r>
          </w:p>
        </w:tc>
        <w:tc>
          <w:tcPr>
            <w:tcW w:w="1438" w:type="dxa"/>
            <w:noWrap/>
            <w:vAlign w:val="center"/>
            <w:hideMark/>
          </w:tcPr>
          <w:p w14:paraId="4EAA601B" w14:textId="77777777" w:rsidR="005F6C33" w:rsidRPr="008C21E4" w:rsidRDefault="005F6C33" w:rsidP="00E9238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6%</w:t>
            </w:r>
          </w:p>
        </w:tc>
        <w:tc>
          <w:tcPr>
            <w:tcW w:w="1440" w:type="dxa"/>
            <w:tcBorders>
              <w:right w:val="single" w:sz="4" w:space="0" w:color="auto"/>
            </w:tcBorders>
            <w:noWrap/>
            <w:vAlign w:val="center"/>
            <w:hideMark/>
          </w:tcPr>
          <w:p w14:paraId="7935D155" w14:textId="77777777" w:rsidR="005F6C33" w:rsidRPr="008C21E4" w:rsidRDefault="005F6C33" w:rsidP="00E9238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9%</w:t>
            </w:r>
          </w:p>
        </w:tc>
      </w:tr>
      <w:tr w:rsidR="00AF6A62" w:rsidRPr="008C21E4" w14:paraId="271BAA98" w14:textId="77777777" w:rsidTr="00274305">
        <w:trPr>
          <w:trHeight w:val="320"/>
        </w:trPr>
        <w:tc>
          <w:tcPr>
            <w:cnfStyle w:val="001000000000" w:firstRow="0" w:lastRow="0" w:firstColumn="1" w:lastColumn="0" w:oddVBand="0" w:evenVBand="0" w:oddHBand="0" w:evenHBand="0" w:firstRowFirstColumn="0" w:firstRowLastColumn="0" w:lastRowFirstColumn="0" w:lastRowLastColumn="0"/>
            <w:tcW w:w="2075" w:type="dxa"/>
            <w:vMerge w:val="restart"/>
            <w:tcBorders>
              <w:left w:val="single" w:sz="4" w:space="0" w:color="auto"/>
            </w:tcBorders>
            <w:noWrap/>
            <w:vAlign w:val="center"/>
            <w:hideMark/>
          </w:tcPr>
          <w:p w14:paraId="1BBAD14E" w14:textId="77777777" w:rsidR="00AF6A62" w:rsidRPr="008C21E4" w:rsidRDefault="00AF6A62" w:rsidP="004E5AE0">
            <w:pPr>
              <w:keepNext/>
              <w:spacing w:after="100" w:afterAutospacing="1"/>
              <w:jc w:val="center"/>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Lento</w:t>
            </w:r>
          </w:p>
        </w:tc>
        <w:tc>
          <w:tcPr>
            <w:tcW w:w="1390" w:type="dxa"/>
            <w:noWrap/>
            <w:vAlign w:val="center"/>
            <w:hideMark/>
          </w:tcPr>
          <w:p w14:paraId="68FC6737" w14:textId="77777777" w:rsidR="00AF6A62" w:rsidRPr="008C21E4" w:rsidRDefault="00AF6A62" w:rsidP="004E5AE0">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Pesimista</w:t>
            </w:r>
          </w:p>
        </w:tc>
        <w:tc>
          <w:tcPr>
            <w:tcW w:w="1439" w:type="dxa"/>
            <w:noWrap/>
            <w:vAlign w:val="bottom"/>
            <w:hideMark/>
          </w:tcPr>
          <w:p w14:paraId="36108691" w14:textId="7CFED45D"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88,791,990</w:t>
            </w:r>
          </w:p>
        </w:tc>
        <w:tc>
          <w:tcPr>
            <w:tcW w:w="1441" w:type="dxa"/>
            <w:noWrap/>
            <w:vAlign w:val="bottom"/>
            <w:hideMark/>
          </w:tcPr>
          <w:p w14:paraId="33073D7F" w14:textId="6627E16B" w:rsidR="00AF6A62" w:rsidRPr="008C21E4" w:rsidRDefault="00AF6A62" w:rsidP="0086350B">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85,052,006</w:t>
            </w:r>
          </w:p>
        </w:tc>
        <w:tc>
          <w:tcPr>
            <w:tcW w:w="1438" w:type="dxa"/>
            <w:noWrap/>
            <w:vAlign w:val="bottom"/>
            <w:hideMark/>
          </w:tcPr>
          <w:p w14:paraId="37CEFC4A" w14:textId="43BE795E"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74,585,441</w:t>
            </w:r>
          </w:p>
        </w:tc>
        <w:tc>
          <w:tcPr>
            <w:tcW w:w="1440" w:type="dxa"/>
            <w:tcBorders>
              <w:right w:val="single" w:sz="4" w:space="0" w:color="auto"/>
            </w:tcBorders>
            <w:noWrap/>
            <w:vAlign w:val="bottom"/>
            <w:hideMark/>
          </w:tcPr>
          <w:p w14:paraId="1AB183D8" w14:textId="093AFC64"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65,180,822</w:t>
            </w:r>
          </w:p>
        </w:tc>
      </w:tr>
      <w:tr w:rsidR="00AF6A62" w:rsidRPr="008C21E4" w14:paraId="4D516AEF" w14:textId="77777777" w:rsidTr="0027430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6B6C5ABD" w14:textId="77777777" w:rsidR="00AF6A62" w:rsidRPr="008C21E4" w:rsidRDefault="00AF6A62" w:rsidP="004E5AE0">
            <w:pPr>
              <w:keepNext/>
              <w:spacing w:after="100" w:afterAutospacing="1"/>
              <w:jc w:val="center"/>
              <w:rPr>
                <w:rFonts w:ascii="Arial" w:eastAsia="Times New Roman" w:hAnsi="Arial" w:cs="Arial"/>
                <w:color w:val="000000"/>
                <w:sz w:val="16"/>
                <w:szCs w:val="16"/>
                <w:lang w:val="es-ES"/>
              </w:rPr>
            </w:pPr>
          </w:p>
        </w:tc>
        <w:tc>
          <w:tcPr>
            <w:tcW w:w="1390" w:type="dxa"/>
            <w:noWrap/>
            <w:vAlign w:val="center"/>
            <w:hideMark/>
          </w:tcPr>
          <w:p w14:paraId="36E1F67A" w14:textId="77777777" w:rsidR="00AF6A62" w:rsidRPr="008C21E4" w:rsidRDefault="00AF6A62" w:rsidP="004E5AE0">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Medio</w:t>
            </w:r>
          </w:p>
        </w:tc>
        <w:tc>
          <w:tcPr>
            <w:tcW w:w="1439" w:type="dxa"/>
            <w:noWrap/>
            <w:vAlign w:val="bottom"/>
            <w:hideMark/>
          </w:tcPr>
          <w:p w14:paraId="15B97CDE" w14:textId="5D683856"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110,989,988</w:t>
            </w:r>
          </w:p>
        </w:tc>
        <w:tc>
          <w:tcPr>
            <w:tcW w:w="1441" w:type="dxa"/>
            <w:noWrap/>
            <w:vAlign w:val="bottom"/>
            <w:hideMark/>
          </w:tcPr>
          <w:p w14:paraId="07F7FC43" w14:textId="592A2FB1" w:rsidR="00AF6A62" w:rsidRPr="008C21E4" w:rsidRDefault="00AF6A62" w:rsidP="0086350B">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106,315,007</w:t>
            </w:r>
          </w:p>
        </w:tc>
        <w:tc>
          <w:tcPr>
            <w:tcW w:w="1438" w:type="dxa"/>
            <w:noWrap/>
            <w:vAlign w:val="bottom"/>
            <w:hideMark/>
          </w:tcPr>
          <w:p w14:paraId="4F953EE0" w14:textId="09ED83B0"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93,231,801</w:t>
            </w:r>
          </w:p>
        </w:tc>
        <w:tc>
          <w:tcPr>
            <w:tcW w:w="1440" w:type="dxa"/>
            <w:tcBorders>
              <w:right w:val="single" w:sz="4" w:space="0" w:color="auto"/>
            </w:tcBorders>
            <w:noWrap/>
            <w:vAlign w:val="bottom"/>
            <w:hideMark/>
          </w:tcPr>
          <w:p w14:paraId="2B99FB7B" w14:textId="24DDF281"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81,476,028</w:t>
            </w:r>
          </w:p>
        </w:tc>
      </w:tr>
      <w:tr w:rsidR="00AF6A62" w:rsidRPr="008C21E4" w14:paraId="4C3D9A0F" w14:textId="77777777" w:rsidTr="00274305">
        <w:trPr>
          <w:trHeight w:val="34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47803714" w14:textId="77777777" w:rsidR="00AF6A62" w:rsidRPr="008C21E4" w:rsidRDefault="00AF6A62" w:rsidP="004E5AE0">
            <w:pPr>
              <w:keepNext/>
              <w:spacing w:after="100" w:afterAutospacing="1"/>
              <w:jc w:val="center"/>
              <w:rPr>
                <w:rFonts w:ascii="Arial" w:eastAsia="Times New Roman" w:hAnsi="Arial" w:cs="Arial"/>
                <w:color w:val="000000"/>
                <w:sz w:val="16"/>
                <w:szCs w:val="16"/>
                <w:lang w:val="es-ES"/>
              </w:rPr>
            </w:pPr>
          </w:p>
        </w:tc>
        <w:tc>
          <w:tcPr>
            <w:tcW w:w="1390" w:type="dxa"/>
            <w:noWrap/>
            <w:vAlign w:val="center"/>
            <w:hideMark/>
          </w:tcPr>
          <w:p w14:paraId="1CCDD575" w14:textId="77777777" w:rsidR="00AF6A62" w:rsidRPr="008C21E4" w:rsidRDefault="00AF6A62" w:rsidP="004E5AE0">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Optimista</w:t>
            </w:r>
          </w:p>
        </w:tc>
        <w:tc>
          <w:tcPr>
            <w:tcW w:w="1439" w:type="dxa"/>
            <w:noWrap/>
            <w:vAlign w:val="bottom"/>
            <w:hideMark/>
          </w:tcPr>
          <w:p w14:paraId="1F829F28" w14:textId="15D0A323"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133,187,985</w:t>
            </w:r>
          </w:p>
        </w:tc>
        <w:tc>
          <w:tcPr>
            <w:tcW w:w="1441" w:type="dxa"/>
            <w:noWrap/>
            <w:vAlign w:val="bottom"/>
            <w:hideMark/>
          </w:tcPr>
          <w:p w14:paraId="7120771A" w14:textId="644F6492" w:rsidR="00AF6A62" w:rsidRPr="008C21E4" w:rsidRDefault="00AF6A62" w:rsidP="0086350B">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127,578,009</w:t>
            </w:r>
          </w:p>
        </w:tc>
        <w:tc>
          <w:tcPr>
            <w:tcW w:w="1438" w:type="dxa"/>
            <w:noWrap/>
            <w:vAlign w:val="bottom"/>
            <w:hideMark/>
          </w:tcPr>
          <w:p w14:paraId="05861BC8" w14:textId="1A9FE0E5"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111,878,161</w:t>
            </w:r>
          </w:p>
        </w:tc>
        <w:tc>
          <w:tcPr>
            <w:tcW w:w="1440" w:type="dxa"/>
            <w:tcBorders>
              <w:right w:val="single" w:sz="4" w:space="0" w:color="auto"/>
            </w:tcBorders>
            <w:noWrap/>
            <w:vAlign w:val="bottom"/>
            <w:hideMark/>
          </w:tcPr>
          <w:p w14:paraId="04E47A89" w14:textId="056F0929"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97,771,233</w:t>
            </w:r>
          </w:p>
        </w:tc>
      </w:tr>
      <w:tr w:rsidR="00AF6A62" w:rsidRPr="008C21E4" w14:paraId="50188A35" w14:textId="77777777" w:rsidTr="0027430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075" w:type="dxa"/>
            <w:vMerge w:val="restart"/>
            <w:tcBorders>
              <w:left w:val="single" w:sz="4" w:space="0" w:color="auto"/>
            </w:tcBorders>
            <w:noWrap/>
            <w:vAlign w:val="center"/>
            <w:hideMark/>
          </w:tcPr>
          <w:p w14:paraId="724C0571" w14:textId="77777777" w:rsidR="00AF6A62" w:rsidRPr="008C21E4" w:rsidRDefault="00AF6A62" w:rsidP="004E5AE0">
            <w:pPr>
              <w:keepNext/>
              <w:spacing w:after="100" w:afterAutospacing="1"/>
              <w:jc w:val="center"/>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Regular</w:t>
            </w:r>
          </w:p>
        </w:tc>
        <w:tc>
          <w:tcPr>
            <w:tcW w:w="1390" w:type="dxa"/>
            <w:noWrap/>
            <w:vAlign w:val="center"/>
            <w:hideMark/>
          </w:tcPr>
          <w:p w14:paraId="6979B1A4" w14:textId="77777777" w:rsidR="00AF6A62" w:rsidRPr="008C21E4" w:rsidRDefault="00AF6A62" w:rsidP="004E5AE0">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Pesimista</w:t>
            </w:r>
          </w:p>
        </w:tc>
        <w:tc>
          <w:tcPr>
            <w:tcW w:w="1439" w:type="dxa"/>
            <w:noWrap/>
            <w:vAlign w:val="bottom"/>
            <w:hideMark/>
          </w:tcPr>
          <w:p w14:paraId="7CA0C880" w14:textId="3094BCAA"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107,934,012</w:t>
            </w:r>
          </w:p>
        </w:tc>
        <w:tc>
          <w:tcPr>
            <w:tcW w:w="1441" w:type="dxa"/>
            <w:noWrap/>
            <w:vAlign w:val="bottom"/>
            <w:hideMark/>
          </w:tcPr>
          <w:p w14:paraId="3F38D43B" w14:textId="5C6D7AED" w:rsidR="00AF6A62" w:rsidRPr="008C21E4" w:rsidRDefault="00AF6A62" w:rsidP="0086350B">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103,464,948</w:t>
            </w:r>
          </w:p>
        </w:tc>
        <w:tc>
          <w:tcPr>
            <w:tcW w:w="1438" w:type="dxa"/>
            <w:noWrap/>
            <w:vAlign w:val="bottom"/>
            <w:hideMark/>
          </w:tcPr>
          <w:p w14:paraId="0232AD7C" w14:textId="1626E9E3"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90,944,214</w:t>
            </w:r>
          </w:p>
        </w:tc>
        <w:tc>
          <w:tcPr>
            <w:tcW w:w="1440" w:type="dxa"/>
            <w:tcBorders>
              <w:right w:val="single" w:sz="4" w:space="0" w:color="auto"/>
            </w:tcBorders>
            <w:noWrap/>
            <w:vAlign w:val="bottom"/>
            <w:hideMark/>
          </w:tcPr>
          <w:p w14:paraId="6D361D8D" w14:textId="603B9757"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79,674,033</w:t>
            </w:r>
          </w:p>
        </w:tc>
      </w:tr>
      <w:tr w:rsidR="00AF6A62" w:rsidRPr="008C21E4" w14:paraId="0FFA58F1" w14:textId="77777777" w:rsidTr="00274305">
        <w:trPr>
          <w:trHeight w:val="32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587AF7E2" w14:textId="77777777" w:rsidR="00AF6A62" w:rsidRPr="008C21E4" w:rsidRDefault="00AF6A62" w:rsidP="004E5AE0">
            <w:pPr>
              <w:keepNext/>
              <w:spacing w:after="100" w:afterAutospacing="1"/>
              <w:jc w:val="center"/>
              <w:rPr>
                <w:rFonts w:ascii="Arial" w:eastAsia="Times New Roman" w:hAnsi="Arial" w:cs="Arial"/>
                <w:b w:val="0"/>
                <w:color w:val="000000"/>
                <w:sz w:val="16"/>
                <w:szCs w:val="16"/>
                <w:lang w:val="es-ES"/>
              </w:rPr>
            </w:pPr>
          </w:p>
        </w:tc>
        <w:tc>
          <w:tcPr>
            <w:tcW w:w="1390" w:type="dxa"/>
            <w:noWrap/>
            <w:vAlign w:val="center"/>
            <w:hideMark/>
          </w:tcPr>
          <w:p w14:paraId="008470C6" w14:textId="77777777" w:rsidR="00AF6A62" w:rsidRPr="008C21E4" w:rsidRDefault="00AF6A62" w:rsidP="004E5AE0">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Medio</w:t>
            </w:r>
          </w:p>
        </w:tc>
        <w:tc>
          <w:tcPr>
            <w:tcW w:w="1439" w:type="dxa"/>
            <w:noWrap/>
            <w:vAlign w:val="bottom"/>
            <w:hideMark/>
          </w:tcPr>
          <w:p w14:paraId="73E6FCF8" w14:textId="05E2BA65"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134,917,515</w:t>
            </w:r>
          </w:p>
        </w:tc>
        <w:tc>
          <w:tcPr>
            <w:tcW w:w="1441" w:type="dxa"/>
            <w:noWrap/>
            <w:vAlign w:val="bottom"/>
            <w:hideMark/>
          </w:tcPr>
          <w:p w14:paraId="7F83BA44" w14:textId="5D97D34F" w:rsidR="00AF6A62" w:rsidRPr="008C21E4" w:rsidRDefault="00AF6A62" w:rsidP="0086350B">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129,331,185</w:t>
            </w:r>
          </w:p>
        </w:tc>
        <w:tc>
          <w:tcPr>
            <w:tcW w:w="1438" w:type="dxa"/>
            <w:noWrap/>
            <w:vAlign w:val="bottom"/>
            <w:hideMark/>
          </w:tcPr>
          <w:p w14:paraId="7B8DB7F6" w14:textId="20EF6FDF"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113,680,267</w:t>
            </w:r>
          </w:p>
        </w:tc>
        <w:tc>
          <w:tcPr>
            <w:tcW w:w="1440" w:type="dxa"/>
            <w:tcBorders>
              <w:right w:val="single" w:sz="4" w:space="0" w:color="auto"/>
            </w:tcBorders>
            <w:noWrap/>
            <w:vAlign w:val="bottom"/>
            <w:hideMark/>
          </w:tcPr>
          <w:p w14:paraId="06D762EA" w14:textId="4722C49D"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99,592,541</w:t>
            </w:r>
          </w:p>
        </w:tc>
      </w:tr>
      <w:tr w:rsidR="00AF6A62" w:rsidRPr="008C21E4" w14:paraId="42609F29" w14:textId="77777777" w:rsidTr="0027430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1232D64B" w14:textId="77777777" w:rsidR="00AF6A62" w:rsidRPr="008C21E4" w:rsidRDefault="00AF6A62" w:rsidP="004E5AE0">
            <w:pPr>
              <w:keepNext/>
              <w:spacing w:after="100" w:afterAutospacing="1"/>
              <w:jc w:val="center"/>
              <w:rPr>
                <w:rFonts w:ascii="Arial" w:eastAsia="Times New Roman" w:hAnsi="Arial" w:cs="Arial"/>
                <w:color w:val="000000"/>
                <w:sz w:val="16"/>
                <w:szCs w:val="16"/>
                <w:lang w:val="es-ES"/>
              </w:rPr>
            </w:pPr>
          </w:p>
        </w:tc>
        <w:tc>
          <w:tcPr>
            <w:tcW w:w="1390" w:type="dxa"/>
            <w:noWrap/>
            <w:vAlign w:val="center"/>
            <w:hideMark/>
          </w:tcPr>
          <w:p w14:paraId="4353AC53" w14:textId="77777777" w:rsidR="00AF6A62" w:rsidRPr="008C21E4" w:rsidRDefault="00AF6A62" w:rsidP="004E5AE0">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Optimista</w:t>
            </w:r>
          </w:p>
        </w:tc>
        <w:tc>
          <w:tcPr>
            <w:tcW w:w="1439" w:type="dxa"/>
            <w:noWrap/>
            <w:vAlign w:val="bottom"/>
            <w:hideMark/>
          </w:tcPr>
          <w:p w14:paraId="7C06C504" w14:textId="1F8B1CB4"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161,901,018</w:t>
            </w:r>
          </w:p>
        </w:tc>
        <w:tc>
          <w:tcPr>
            <w:tcW w:w="1441" w:type="dxa"/>
            <w:noWrap/>
            <w:vAlign w:val="bottom"/>
            <w:hideMark/>
          </w:tcPr>
          <w:p w14:paraId="2AC114A1" w14:textId="3A493432" w:rsidR="00AF6A62" w:rsidRPr="008C21E4" w:rsidRDefault="00AF6A62" w:rsidP="0086350B">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155,197,422</w:t>
            </w:r>
          </w:p>
        </w:tc>
        <w:tc>
          <w:tcPr>
            <w:tcW w:w="1438" w:type="dxa"/>
            <w:noWrap/>
            <w:vAlign w:val="bottom"/>
            <w:hideMark/>
          </w:tcPr>
          <w:p w14:paraId="4C4126CD" w14:textId="130830E6"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136,416,320</w:t>
            </w:r>
          </w:p>
        </w:tc>
        <w:tc>
          <w:tcPr>
            <w:tcW w:w="1440" w:type="dxa"/>
            <w:tcBorders>
              <w:right w:val="single" w:sz="4" w:space="0" w:color="auto"/>
            </w:tcBorders>
            <w:noWrap/>
            <w:vAlign w:val="bottom"/>
            <w:hideMark/>
          </w:tcPr>
          <w:p w14:paraId="7A7A56CB" w14:textId="48F48DA1"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119,511,049</w:t>
            </w:r>
          </w:p>
        </w:tc>
      </w:tr>
      <w:tr w:rsidR="00AF6A62" w:rsidRPr="008C21E4" w14:paraId="47167670" w14:textId="77777777" w:rsidTr="00274305">
        <w:trPr>
          <w:trHeight w:val="320"/>
        </w:trPr>
        <w:tc>
          <w:tcPr>
            <w:cnfStyle w:val="001000000000" w:firstRow="0" w:lastRow="0" w:firstColumn="1" w:lastColumn="0" w:oddVBand="0" w:evenVBand="0" w:oddHBand="0" w:evenHBand="0" w:firstRowFirstColumn="0" w:firstRowLastColumn="0" w:lastRowFirstColumn="0" w:lastRowLastColumn="0"/>
            <w:tcW w:w="2075" w:type="dxa"/>
            <w:vMerge w:val="restart"/>
            <w:tcBorders>
              <w:left w:val="single" w:sz="4" w:space="0" w:color="auto"/>
            </w:tcBorders>
            <w:noWrap/>
            <w:vAlign w:val="center"/>
            <w:hideMark/>
          </w:tcPr>
          <w:p w14:paraId="0FC6B3A6" w14:textId="77777777" w:rsidR="00AF6A62" w:rsidRPr="008C21E4" w:rsidRDefault="00AF6A62" w:rsidP="004E5AE0">
            <w:pPr>
              <w:keepNext/>
              <w:spacing w:after="100" w:afterAutospacing="1"/>
              <w:jc w:val="center"/>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R</w:t>
            </w:r>
            <w:r w:rsidRPr="008C21E4">
              <w:rPr>
                <w:rFonts w:ascii="Arial" w:hAnsi="Arial" w:cs="Arial"/>
                <w:color w:val="000000"/>
                <w:sz w:val="16"/>
                <w:szCs w:val="16"/>
                <w:lang w:val="es-ES"/>
              </w:rPr>
              <w:t>ápido</w:t>
            </w:r>
          </w:p>
        </w:tc>
        <w:tc>
          <w:tcPr>
            <w:tcW w:w="1390" w:type="dxa"/>
            <w:noWrap/>
            <w:vAlign w:val="center"/>
            <w:hideMark/>
          </w:tcPr>
          <w:p w14:paraId="54E6B348" w14:textId="77777777" w:rsidR="00AF6A62" w:rsidRPr="008C21E4" w:rsidRDefault="00AF6A62" w:rsidP="004E5AE0">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Pesimista</w:t>
            </w:r>
          </w:p>
        </w:tc>
        <w:tc>
          <w:tcPr>
            <w:tcW w:w="1439" w:type="dxa"/>
            <w:noWrap/>
            <w:vAlign w:val="bottom"/>
            <w:hideMark/>
          </w:tcPr>
          <w:p w14:paraId="3178B20A" w14:textId="7C04EC15"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175,764,496</w:t>
            </w:r>
          </w:p>
        </w:tc>
        <w:tc>
          <w:tcPr>
            <w:tcW w:w="1441" w:type="dxa"/>
            <w:noWrap/>
            <w:vAlign w:val="bottom"/>
            <w:hideMark/>
          </w:tcPr>
          <w:p w14:paraId="7E52FE26" w14:textId="683D612E" w:rsidR="00AF6A62" w:rsidRPr="008C21E4" w:rsidRDefault="00AF6A62" w:rsidP="0086350B">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168,611,644</w:t>
            </w:r>
          </w:p>
        </w:tc>
        <w:tc>
          <w:tcPr>
            <w:tcW w:w="1438" w:type="dxa"/>
            <w:noWrap/>
            <w:vAlign w:val="bottom"/>
            <w:hideMark/>
          </w:tcPr>
          <w:p w14:paraId="50ECF3CF" w14:textId="6AD3D96A"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148,547,475</w:t>
            </w:r>
          </w:p>
        </w:tc>
        <w:tc>
          <w:tcPr>
            <w:tcW w:w="1440" w:type="dxa"/>
            <w:tcBorders>
              <w:right w:val="single" w:sz="4" w:space="0" w:color="auto"/>
            </w:tcBorders>
            <w:noWrap/>
            <w:vAlign w:val="bottom"/>
            <w:hideMark/>
          </w:tcPr>
          <w:p w14:paraId="2D523DB8" w14:textId="69165CF8"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130,452,510</w:t>
            </w:r>
          </w:p>
        </w:tc>
      </w:tr>
      <w:tr w:rsidR="00AF6A62" w:rsidRPr="008C21E4" w14:paraId="40F2C8D4" w14:textId="77777777" w:rsidTr="0027430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43CA822D" w14:textId="77777777" w:rsidR="00AF6A62" w:rsidRPr="008C21E4" w:rsidRDefault="00AF6A62" w:rsidP="004E5AE0">
            <w:pPr>
              <w:keepNext/>
              <w:spacing w:after="100" w:afterAutospacing="1"/>
              <w:jc w:val="center"/>
              <w:rPr>
                <w:rFonts w:ascii="Arial" w:eastAsia="Times New Roman" w:hAnsi="Arial" w:cs="Arial"/>
                <w:color w:val="000000"/>
                <w:sz w:val="16"/>
                <w:szCs w:val="16"/>
                <w:lang w:val="es-ES"/>
              </w:rPr>
            </w:pPr>
          </w:p>
        </w:tc>
        <w:tc>
          <w:tcPr>
            <w:tcW w:w="1390" w:type="dxa"/>
            <w:noWrap/>
            <w:vAlign w:val="center"/>
            <w:hideMark/>
          </w:tcPr>
          <w:p w14:paraId="4AF0C9DF" w14:textId="77777777" w:rsidR="00AF6A62" w:rsidRPr="008C21E4" w:rsidRDefault="00AF6A62" w:rsidP="004E5AE0">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Medio</w:t>
            </w:r>
          </w:p>
        </w:tc>
        <w:tc>
          <w:tcPr>
            <w:tcW w:w="1439" w:type="dxa"/>
            <w:noWrap/>
            <w:vAlign w:val="bottom"/>
            <w:hideMark/>
          </w:tcPr>
          <w:p w14:paraId="127D3B78" w14:textId="12CC040A"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219,705,621</w:t>
            </w:r>
          </w:p>
        </w:tc>
        <w:tc>
          <w:tcPr>
            <w:tcW w:w="1441" w:type="dxa"/>
            <w:noWrap/>
            <w:vAlign w:val="bottom"/>
            <w:hideMark/>
          </w:tcPr>
          <w:p w14:paraId="695F1AB2" w14:textId="6ABA6EA4" w:rsidR="00AF6A62" w:rsidRPr="008C21E4" w:rsidRDefault="00AF6A62" w:rsidP="0086350B">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210,764,555</w:t>
            </w:r>
          </w:p>
        </w:tc>
        <w:tc>
          <w:tcPr>
            <w:tcW w:w="1438" w:type="dxa"/>
            <w:noWrap/>
            <w:vAlign w:val="bottom"/>
            <w:hideMark/>
          </w:tcPr>
          <w:p w14:paraId="00901009" w14:textId="08DB61A4"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185,684,344</w:t>
            </w:r>
          </w:p>
        </w:tc>
        <w:tc>
          <w:tcPr>
            <w:tcW w:w="1440" w:type="dxa"/>
            <w:tcBorders>
              <w:right w:val="single" w:sz="4" w:space="0" w:color="auto"/>
            </w:tcBorders>
            <w:noWrap/>
            <w:vAlign w:val="bottom"/>
            <w:hideMark/>
          </w:tcPr>
          <w:p w14:paraId="31C3D5EE" w14:textId="48B54DA1" w:rsidR="00AF6A62" w:rsidRPr="008C21E4" w:rsidRDefault="00AF6A62" w:rsidP="00CE029D">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163,065,638</w:t>
            </w:r>
          </w:p>
        </w:tc>
      </w:tr>
      <w:tr w:rsidR="00AF6A62" w:rsidRPr="008C21E4" w14:paraId="5B992733" w14:textId="77777777" w:rsidTr="00274305">
        <w:trPr>
          <w:trHeight w:val="32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bottom w:val="single" w:sz="4" w:space="0" w:color="auto"/>
            </w:tcBorders>
            <w:noWrap/>
            <w:vAlign w:val="center"/>
            <w:hideMark/>
          </w:tcPr>
          <w:p w14:paraId="3D0F494A" w14:textId="77777777" w:rsidR="00AF6A62" w:rsidRPr="008C21E4" w:rsidRDefault="00AF6A62" w:rsidP="004E5AE0">
            <w:pPr>
              <w:keepNext/>
              <w:spacing w:after="100" w:afterAutospacing="1"/>
              <w:jc w:val="center"/>
              <w:rPr>
                <w:rFonts w:ascii="Arial" w:eastAsia="Times New Roman" w:hAnsi="Arial" w:cs="Arial"/>
                <w:color w:val="000000"/>
                <w:sz w:val="16"/>
                <w:szCs w:val="16"/>
                <w:lang w:val="es-ES"/>
              </w:rPr>
            </w:pPr>
          </w:p>
        </w:tc>
        <w:tc>
          <w:tcPr>
            <w:tcW w:w="1390" w:type="dxa"/>
            <w:tcBorders>
              <w:bottom w:val="single" w:sz="4" w:space="0" w:color="auto"/>
            </w:tcBorders>
            <w:noWrap/>
            <w:vAlign w:val="center"/>
            <w:hideMark/>
          </w:tcPr>
          <w:p w14:paraId="0E7B7CFE" w14:textId="77777777" w:rsidR="00AF6A62" w:rsidRPr="008C21E4" w:rsidRDefault="00AF6A62" w:rsidP="004E5AE0">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Optimista</w:t>
            </w:r>
          </w:p>
        </w:tc>
        <w:tc>
          <w:tcPr>
            <w:tcW w:w="1439" w:type="dxa"/>
            <w:tcBorders>
              <w:bottom w:val="single" w:sz="4" w:space="0" w:color="auto"/>
            </w:tcBorders>
            <w:noWrap/>
            <w:vAlign w:val="bottom"/>
            <w:hideMark/>
          </w:tcPr>
          <w:p w14:paraId="3276DF56" w14:textId="59CDB88E"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263,646,745</w:t>
            </w:r>
          </w:p>
        </w:tc>
        <w:tc>
          <w:tcPr>
            <w:tcW w:w="1441" w:type="dxa"/>
            <w:tcBorders>
              <w:bottom w:val="single" w:sz="4" w:space="0" w:color="auto"/>
            </w:tcBorders>
            <w:noWrap/>
            <w:vAlign w:val="bottom"/>
            <w:hideMark/>
          </w:tcPr>
          <w:p w14:paraId="1562AF86" w14:textId="33E04F99" w:rsidR="00AF6A62" w:rsidRPr="008C21E4" w:rsidRDefault="00AF6A62" w:rsidP="0086350B">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252,917,467</w:t>
            </w:r>
          </w:p>
        </w:tc>
        <w:tc>
          <w:tcPr>
            <w:tcW w:w="1438" w:type="dxa"/>
            <w:tcBorders>
              <w:bottom w:val="single" w:sz="4" w:space="0" w:color="auto"/>
            </w:tcBorders>
            <w:noWrap/>
            <w:vAlign w:val="bottom"/>
            <w:hideMark/>
          </w:tcPr>
          <w:p w14:paraId="05F473E3" w14:textId="09FDF69B"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222,821,213</w:t>
            </w:r>
          </w:p>
        </w:tc>
        <w:tc>
          <w:tcPr>
            <w:tcW w:w="1440" w:type="dxa"/>
            <w:tcBorders>
              <w:bottom w:val="single" w:sz="4" w:space="0" w:color="auto"/>
              <w:right w:val="single" w:sz="4" w:space="0" w:color="auto"/>
            </w:tcBorders>
            <w:noWrap/>
            <w:vAlign w:val="bottom"/>
            <w:hideMark/>
          </w:tcPr>
          <w:p w14:paraId="0E0E7487" w14:textId="2B5387BF" w:rsidR="00AF6A62" w:rsidRPr="008C21E4" w:rsidRDefault="00AF6A62" w:rsidP="00CE029D">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195,678,765</w:t>
            </w:r>
          </w:p>
        </w:tc>
      </w:tr>
    </w:tbl>
    <w:p w14:paraId="1D81A64C" w14:textId="77777777" w:rsidR="005F6C33" w:rsidRPr="008C21E4" w:rsidRDefault="005F6C33" w:rsidP="00E9238D">
      <w:pPr>
        <w:keepNext/>
        <w:autoSpaceDE w:val="0"/>
        <w:autoSpaceDN w:val="0"/>
        <w:adjustRightInd w:val="0"/>
        <w:spacing w:after="100" w:afterAutospacing="1"/>
        <w:jc w:val="both"/>
        <w:rPr>
          <w:rFonts w:ascii="Arial" w:hAnsi="Arial" w:cs="Arial"/>
          <w:sz w:val="16"/>
          <w:szCs w:val="16"/>
          <w:lang w:val="es-ES"/>
        </w:rPr>
      </w:pPr>
      <w:r w:rsidRPr="008C21E4">
        <w:rPr>
          <w:rFonts w:ascii="Arial" w:hAnsi="Arial" w:cs="Arial"/>
          <w:sz w:val="16"/>
          <w:szCs w:val="16"/>
          <w:lang w:val="es-ES"/>
        </w:rPr>
        <w:t>Fuente: Elaboración de los autores.</w:t>
      </w:r>
    </w:p>
    <w:p w14:paraId="7589689D" w14:textId="3091CBFD" w:rsidR="00F71289" w:rsidRPr="008C21E4" w:rsidRDefault="007657D8" w:rsidP="001025F1">
      <w:pPr>
        <w:autoSpaceDE w:val="0"/>
        <w:autoSpaceDN w:val="0"/>
        <w:adjustRightInd w:val="0"/>
        <w:spacing w:before="120" w:after="100" w:afterAutospacing="1"/>
        <w:jc w:val="both"/>
        <w:rPr>
          <w:rFonts w:ascii="Arial" w:hAnsi="Arial" w:cs="Arial"/>
          <w:sz w:val="22"/>
          <w:szCs w:val="22"/>
          <w:lang w:val="es-ES"/>
        </w:rPr>
      </w:pPr>
      <w:r w:rsidRPr="008C21E4">
        <w:rPr>
          <w:rFonts w:ascii="Arial" w:hAnsi="Arial" w:cs="Arial"/>
          <w:sz w:val="22"/>
          <w:szCs w:val="22"/>
          <w:lang w:val="es-ES"/>
        </w:rPr>
        <w:t>Considerando</w:t>
      </w:r>
      <w:r w:rsidR="006F4482" w:rsidRPr="008C21E4">
        <w:rPr>
          <w:rFonts w:ascii="Arial" w:hAnsi="Arial" w:cs="Arial"/>
          <w:sz w:val="22"/>
          <w:szCs w:val="22"/>
          <w:lang w:val="es-ES"/>
        </w:rPr>
        <w:t xml:space="preserve"> el escenario más realista; es decir </w:t>
      </w:r>
      <w:r w:rsidR="00257C99" w:rsidRPr="008C21E4">
        <w:rPr>
          <w:rFonts w:ascii="Arial" w:hAnsi="Arial" w:cs="Arial"/>
          <w:sz w:val="22"/>
          <w:szCs w:val="22"/>
          <w:lang w:val="es-ES"/>
        </w:rPr>
        <w:t>donde</w:t>
      </w:r>
      <w:r w:rsidR="006F4482" w:rsidRPr="008C21E4">
        <w:rPr>
          <w:rFonts w:ascii="Arial" w:hAnsi="Arial" w:cs="Arial"/>
          <w:sz w:val="22"/>
          <w:szCs w:val="22"/>
          <w:lang w:val="es-ES"/>
        </w:rPr>
        <w:t xml:space="preserve"> los beneficios graduales se presentan en forma regular y se alcanza un factor marginal de efectividad medio; los beneficios esperados del proyecto en cinco años ascienden a US$</w:t>
      </w:r>
      <w:r w:rsidR="00AF6A62">
        <w:rPr>
          <w:rFonts w:ascii="Arial" w:hAnsi="Arial" w:cs="Arial"/>
          <w:sz w:val="22"/>
          <w:szCs w:val="22"/>
          <w:lang w:val="es-ES"/>
        </w:rPr>
        <w:t>129.331.</w:t>
      </w:r>
      <w:r w:rsidR="00AF6A62" w:rsidRPr="00AF6A62">
        <w:rPr>
          <w:rFonts w:ascii="Arial" w:hAnsi="Arial" w:cs="Arial"/>
          <w:sz w:val="22"/>
          <w:szCs w:val="22"/>
          <w:lang w:val="es-ES"/>
        </w:rPr>
        <w:t>185</w:t>
      </w:r>
      <w:r w:rsidR="006F4482" w:rsidRPr="008C21E4">
        <w:rPr>
          <w:rFonts w:ascii="Arial" w:hAnsi="Arial" w:cs="Arial"/>
          <w:sz w:val="22"/>
          <w:szCs w:val="22"/>
          <w:lang w:val="es-ES"/>
        </w:rPr>
        <w:t>. El análisis de sensi</w:t>
      </w:r>
      <w:r w:rsidR="00363CDC" w:rsidRPr="008C21E4">
        <w:rPr>
          <w:rFonts w:ascii="Arial" w:hAnsi="Arial" w:cs="Arial"/>
          <w:sz w:val="22"/>
          <w:szCs w:val="22"/>
          <w:lang w:val="es-ES"/>
        </w:rPr>
        <w:t xml:space="preserve">bilidad presentado en la Tabla </w:t>
      </w:r>
      <w:r w:rsidR="006141BB" w:rsidRPr="008C21E4">
        <w:rPr>
          <w:rFonts w:ascii="Arial" w:hAnsi="Arial" w:cs="Arial"/>
          <w:sz w:val="22"/>
          <w:szCs w:val="22"/>
          <w:lang w:val="es-ES"/>
        </w:rPr>
        <w:t>5</w:t>
      </w:r>
      <w:r w:rsidR="00113B13" w:rsidRPr="008C21E4">
        <w:rPr>
          <w:rFonts w:ascii="Arial" w:hAnsi="Arial" w:cs="Arial"/>
          <w:sz w:val="22"/>
          <w:szCs w:val="22"/>
          <w:lang w:val="es-ES"/>
        </w:rPr>
        <w:t xml:space="preserve"> </w:t>
      </w:r>
      <w:r w:rsidR="006F4482" w:rsidRPr="008C21E4">
        <w:rPr>
          <w:rFonts w:ascii="Arial" w:hAnsi="Arial" w:cs="Arial"/>
          <w:sz w:val="22"/>
          <w:szCs w:val="22"/>
          <w:lang w:val="es-ES"/>
        </w:rPr>
        <w:t>muestra que los</w:t>
      </w:r>
      <w:r w:rsidR="00FB7FB9">
        <w:rPr>
          <w:rFonts w:ascii="Arial" w:hAnsi="Arial" w:cs="Arial"/>
          <w:sz w:val="22"/>
          <w:szCs w:val="22"/>
          <w:lang w:val="es-ES"/>
        </w:rPr>
        <w:t xml:space="preserve"> beneficios oscilan entre US$</w:t>
      </w:r>
      <w:r w:rsidR="00AF6A62">
        <w:rPr>
          <w:rFonts w:ascii="Arial" w:hAnsi="Arial" w:cs="Arial"/>
          <w:sz w:val="22"/>
          <w:szCs w:val="22"/>
          <w:lang w:val="es-ES"/>
        </w:rPr>
        <w:t>65</w:t>
      </w:r>
      <w:r w:rsidR="00407DC6" w:rsidRPr="008C21E4">
        <w:rPr>
          <w:rFonts w:ascii="Arial" w:hAnsi="Arial" w:cs="Arial"/>
          <w:sz w:val="22"/>
          <w:szCs w:val="22"/>
          <w:lang w:val="es-ES"/>
        </w:rPr>
        <w:t xml:space="preserve"> </w:t>
      </w:r>
      <w:r w:rsidR="006F4482" w:rsidRPr="008C21E4">
        <w:rPr>
          <w:rFonts w:ascii="Arial" w:hAnsi="Arial" w:cs="Arial"/>
          <w:sz w:val="22"/>
          <w:szCs w:val="22"/>
          <w:lang w:val="es-ES"/>
        </w:rPr>
        <w:t xml:space="preserve">millones en los escenarios más negativos y con una </w:t>
      </w:r>
      <w:r w:rsidR="00363CDC" w:rsidRPr="008C21E4">
        <w:rPr>
          <w:rFonts w:ascii="Arial" w:hAnsi="Arial" w:cs="Arial"/>
          <w:sz w:val="22"/>
          <w:szCs w:val="22"/>
          <w:lang w:val="es-ES"/>
        </w:rPr>
        <w:t>tasa de descuento de 9% y US$</w:t>
      </w:r>
      <w:r w:rsidR="00AF6A62">
        <w:rPr>
          <w:rFonts w:ascii="Arial" w:hAnsi="Arial" w:cs="Arial"/>
          <w:sz w:val="22"/>
          <w:szCs w:val="22"/>
          <w:lang w:val="es-ES"/>
        </w:rPr>
        <w:t>264</w:t>
      </w:r>
      <w:r w:rsidR="00A615E7" w:rsidRPr="008C21E4">
        <w:rPr>
          <w:rFonts w:ascii="Arial" w:hAnsi="Arial" w:cs="Arial"/>
          <w:sz w:val="22"/>
          <w:szCs w:val="22"/>
          <w:lang w:val="es-ES"/>
        </w:rPr>
        <w:t xml:space="preserve"> </w:t>
      </w:r>
      <w:r w:rsidR="006F4482" w:rsidRPr="008C21E4">
        <w:rPr>
          <w:rFonts w:ascii="Arial" w:hAnsi="Arial" w:cs="Arial"/>
          <w:sz w:val="22"/>
          <w:szCs w:val="22"/>
          <w:lang w:val="es-ES"/>
        </w:rPr>
        <w:t>millones de dólares en el escenario más optimista con una tasa de descuento de 2%.</w:t>
      </w:r>
    </w:p>
    <w:p w14:paraId="337F4905" w14:textId="3B42E994" w:rsidR="006E64BD" w:rsidRPr="008C21E4" w:rsidRDefault="006E64BD" w:rsidP="007809D2">
      <w:pPr>
        <w:pStyle w:val="Caption"/>
      </w:pPr>
      <w:r w:rsidRPr="008C21E4">
        <w:t xml:space="preserve">Tabla </w:t>
      </w:r>
      <w:r w:rsidR="00A81D94">
        <w:rPr>
          <w:noProof/>
        </w:rPr>
        <w:fldChar w:fldCharType="begin"/>
      </w:r>
      <w:r w:rsidR="00A81D94">
        <w:rPr>
          <w:noProof/>
        </w:rPr>
        <w:instrText xml:space="preserve"> SEQ Tabla \* ARABIC </w:instrText>
      </w:r>
      <w:r w:rsidR="00A81D94">
        <w:rPr>
          <w:noProof/>
        </w:rPr>
        <w:fldChar w:fldCharType="separate"/>
      </w:r>
      <w:r w:rsidR="006141BB" w:rsidRPr="008C21E4">
        <w:rPr>
          <w:noProof/>
        </w:rPr>
        <w:t>6</w:t>
      </w:r>
      <w:r w:rsidR="00A81D94">
        <w:rPr>
          <w:noProof/>
        </w:rPr>
        <w:fldChar w:fldCharType="end"/>
      </w:r>
      <w:r w:rsidRPr="008C21E4">
        <w:t>. An</w:t>
      </w:r>
      <w:r w:rsidRPr="008C21E4">
        <w:rPr>
          <w:rFonts w:eastAsia="Calibri"/>
        </w:rPr>
        <w:t>álisis</w:t>
      </w:r>
      <w:r w:rsidRPr="008C21E4">
        <w:t xml:space="preserve"> </w:t>
      </w:r>
      <w:r w:rsidRPr="008C21E4">
        <w:rPr>
          <w:rFonts w:eastAsia="Calibri"/>
        </w:rPr>
        <w:t>de</w:t>
      </w:r>
      <w:r w:rsidRPr="008C21E4">
        <w:t xml:space="preserve"> </w:t>
      </w:r>
      <w:r w:rsidRPr="008C21E4">
        <w:rPr>
          <w:rFonts w:eastAsia="Calibri"/>
        </w:rPr>
        <w:t>sensibilidad</w:t>
      </w:r>
      <w:r w:rsidRPr="008C21E4">
        <w:t xml:space="preserve"> de los beneficios en d</w:t>
      </w:r>
      <w:r w:rsidRPr="008C21E4">
        <w:rPr>
          <w:rFonts w:eastAsia="Calibri"/>
        </w:rPr>
        <w:t>ólares</w:t>
      </w:r>
      <w:r w:rsidRPr="008C21E4">
        <w:t xml:space="preserve">, </w:t>
      </w:r>
      <w:r w:rsidR="00FE15D8" w:rsidRPr="008C21E4">
        <w:t xml:space="preserve">periodo </w:t>
      </w:r>
      <w:r w:rsidR="006F4482" w:rsidRPr="008C21E4">
        <w:t>201</w:t>
      </w:r>
      <w:r w:rsidR="00FB7FB9">
        <w:t>9</w:t>
      </w:r>
      <w:r w:rsidR="006F4482" w:rsidRPr="008C21E4">
        <w:t>-202</w:t>
      </w:r>
      <w:r w:rsidR="00535F74" w:rsidRPr="008C21E4">
        <w:t>8</w:t>
      </w:r>
    </w:p>
    <w:tbl>
      <w:tblPr>
        <w:tblStyle w:val="GridTable4-Accent11"/>
        <w:tblW w:w="0" w:type="auto"/>
        <w:tblLayout w:type="fixed"/>
        <w:tblLook w:val="04A0" w:firstRow="1" w:lastRow="0" w:firstColumn="1" w:lastColumn="0" w:noHBand="0" w:noVBand="1"/>
      </w:tblPr>
      <w:tblGrid>
        <w:gridCol w:w="2075"/>
        <w:gridCol w:w="1390"/>
        <w:gridCol w:w="1439"/>
        <w:gridCol w:w="1441"/>
        <w:gridCol w:w="1438"/>
        <w:gridCol w:w="1440"/>
      </w:tblGrid>
      <w:tr w:rsidR="006E64BD" w:rsidRPr="008C21E4" w14:paraId="4219C491" w14:textId="77777777" w:rsidTr="00274305">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075" w:type="dxa"/>
            <w:tcBorders>
              <w:top w:val="single" w:sz="4" w:space="0" w:color="auto"/>
              <w:left w:val="single" w:sz="4" w:space="0" w:color="auto"/>
            </w:tcBorders>
            <w:vAlign w:val="center"/>
            <w:hideMark/>
          </w:tcPr>
          <w:p w14:paraId="3E48B0C7" w14:textId="77777777" w:rsidR="006E64BD" w:rsidRPr="008C21E4" w:rsidRDefault="006E64BD" w:rsidP="00CE029D">
            <w:pPr>
              <w:keepNext/>
              <w:spacing w:after="100" w:afterAutospacing="1"/>
              <w:jc w:val="center"/>
              <w:rPr>
                <w:rFonts w:ascii="Arial" w:eastAsia="Times New Roman" w:hAnsi="Arial" w:cs="Arial"/>
                <w:sz w:val="16"/>
                <w:szCs w:val="16"/>
                <w:lang w:val="es-ES"/>
              </w:rPr>
            </w:pPr>
            <w:r w:rsidRPr="008C21E4">
              <w:rPr>
                <w:rFonts w:ascii="Arial" w:eastAsia="Times New Roman" w:hAnsi="Arial" w:cs="Arial"/>
                <w:sz w:val="16"/>
                <w:szCs w:val="16"/>
                <w:lang w:val="es-ES"/>
              </w:rPr>
              <w:t>Vectores de gradualidad</w:t>
            </w:r>
          </w:p>
        </w:tc>
        <w:tc>
          <w:tcPr>
            <w:tcW w:w="1390" w:type="dxa"/>
            <w:tcBorders>
              <w:top w:val="single" w:sz="4" w:space="0" w:color="auto"/>
            </w:tcBorders>
            <w:vAlign w:val="center"/>
            <w:hideMark/>
          </w:tcPr>
          <w:p w14:paraId="05B29757" w14:textId="77777777" w:rsidR="006E64BD" w:rsidRPr="008C21E4" w:rsidRDefault="006E64BD" w:rsidP="00CE029D">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ES"/>
              </w:rPr>
            </w:pPr>
            <w:r w:rsidRPr="008C21E4">
              <w:rPr>
                <w:rFonts w:ascii="Arial" w:eastAsia="Times New Roman" w:hAnsi="Arial" w:cs="Arial"/>
                <w:sz w:val="16"/>
                <w:szCs w:val="16"/>
                <w:lang w:val="es-ES"/>
              </w:rPr>
              <w:t>Escenarios de cobertura efectiva</w:t>
            </w:r>
          </w:p>
        </w:tc>
        <w:tc>
          <w:tcPr>
            <w:tcW w:w="5758" w:type="dxa"/>
            <w:gridSpan w:val="4"/>
            <w:tcBorders>
              <w:top w:val="single" w:sz="4" w:space="0" w:color="auto"/>
              <w:right w:val="single" w:sz="4" w:space="0" w:color="auto"/>
            </w:tcBorders>
            <w:noWrap/>
            <w:vAlign w:val="center"/>
            <w:hideMark/>
          </w:tcPr>
          <w:p w14:paraId="2F649E4D" w14:textId="77777777" w:rsidR="006E64BD" w:rsidRPr="008C21E4" w:rsidRDefault="006E64BD" w:rsidP="00CE029D">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ES"/>
              </w:rPr>
            </w:pPr>
            <w:r w:rsidRPr="008C21E4">
              <w:rPr>
                <w:rFonts w:ascii="Arial" w:eastAsia="Times New Roman" w:hAnsi="Arial" w:cs="Arial"/>
                <w:bCs w:val="0"/>
                <w:sz w:val="16"/>
                <w:szCs w:val="16"/>
                <w:lang w:val="es-ES"/>
              </w:rPr>
              <w:t>tasa de descuento</w:t>
            </w:r>
          </w:p>
        </w:tc>
      </w:tr>
      <w:tr w:rsidR="006E64BD" w:rsidRPr="008C21E4" w14:paraId="50394E00" w14:textId="77777777" w:rsidTr="0027430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075" w:type="dxa"/>
            <w:tcBorders>
              <w:left w:val="single" w:sz="4" w:space="0" w:color="auto"/>
            </w:tcBorders>
            <w:vAlign w:val="center"/>
            <w:hideMark/>
          </w:tcPr>
          <w:p w14:paraId="7196CB49" w14:textId="77777777" w:rsidR="006E64BD" w:rsidRPr="008C21E4" w:rsidRDefault="006E64BD" w:rsidP="00CE029D">
            <w:pPr>
              <w:keepNext/>
              <w:spacing w:after="100" w:afterAutospacing="1"/>
              <w:jc w:val="center"/>
              <w:rPr>
                <w:rFonts w:ascii="Arial" w:eastAsia="Times New Roman" w:hAnsi="Arial" w:cs="Arial"/>
                <w:b w:val="0"/>
                <w:bCs w:val="0"/>
                <w:color w:val="000000"/>
                <w:sz w:val="16"/>
                <w:szCs w:val="16"/>
                <w:lang w:val="es-ES"/>
              </w:rPr>
            </w:pPr>
          </w:p>
        </w:tc>
        <w:tc>
          <w:tcPr>
            <w:tcW w:w="1390" w:type="dxa"/>
            <w:vAlign w:val="center"/>
            <w:hideMark/>
          </w:tcPr>
          <w:p w14:paraId="41019CD7" w14:textId="77777777" w:rsidR="006E64BD" w:rsidRPr="008C21E4" w:rsidRDefault="006E64BD"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p>
        </w:tc>
        <w:tc>
          <w:tcPr>
            <w:tcW w:w="1439" w:type="dxa"/>
            <w:noWrap/>
            <w:vAlign w:val="center"/>
            <w:hideMark/>
          </w:tcPr>
          <w:p w14:paraId="75EABE8A" w14:textId="77777777" w:rsidR="006E64BD" w:rsidRPr="008C21E4" w:rsidRDefault="006E64BD"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2%</w:t>
            </w:r>
          </w:p>
        </w:tc>
        <w:tc>
          <w:tcPr>
            <w:tcW w:w="1441" w:type="dxa"/>
            <w:noWrap/>
            <w:vAlign w:val="center"/>
            <w:hideMark/>
          </w:tcPr>
          <w:p w14:paraId="499CBD8D" w14:textId="77777777" w:rsidR="006E64BD" w:rsidRPr="008C21E4" w:rsidRDefault="006E64BD"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3%</w:t>
            </w:r>
          </w:p>
        </w:tc>
        <w:tc>
          <w:tcPr>
            <w:tcW w:w="1438" w:type="dxa"/>
            <w:noWrap/>
            <w:vAlign w:val="center"/>
            <w:hideMark/>
          </w:tcPr>
          <w:p w14:paraId="1D20A929" w14:textId="77777777" w:rsidR="006E64BD" w:rsidRPr="008C21E4" w:rsidRDefault="006E64BD"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6%</w:t>
            </w:r>
          </w:p>
        </w:tc>
        <w:tc>
          <w:tcPr>
            <w:tcW w:w="1440" w:type="dxa"/>
            <w:tcBorders>
              <w:right w:val="single" w:sz="4" w:space="0" w:color="auto"/>
            </w:tcBorders>
            <w:noWrap/>
            <w:vAlign w:val="center"/>
            <w:hideMark/>
          </w:tcPr>
          <w:p w14:paraId="090642B2" w14:textId="77777777" w:rsidR="006E64BD" w:rsidRPr="008C21E4" w:rsidRDefault="006E64BD"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9%</w:t>
            </w:r>
          </w:p>
        </w:tc>
      </w:tr>
      <w:tr w:rsidR="00AF6A62" w:rsidRPr="008C21E4" w14:paraId="778A40D0" w14:textId="77777777" w:rsidTr="00274305">
        <w:trPr>
          <w:trHeight w:val="320"/>
        </w:trPr>
        <w:tc>
          <w:tcPr>
            <w:cnfStyle w:val="001000000000" w:firstRow="0" w:lastRow="0" w:firstColumn="1" w:lastColumn="0" w:oddVBand="0" w:evenVBand="0" w:oddHBand="0" w:evenHBand="0" w:firstRowFirstColumn="0" w:firstRowLastColumn="0" w:lastRowFirstColumn="0" w:lastRowLastColumn="0"/>
            <w:tcW w:w="2075" w:type="dxa"/>
            <w:vMerge w:val="restart"/>
            <w:tcBorders>
              <w:left w:val="single" w:sz="4" w:space="0" w:color="auto"/>
            </w:tcBorders>
            <w:noWrap/>
            <w:vAlign w:val="center"/>
            <w:hideMark/>
          </w:tcPr>
          <w:p w14:paraId="41723DB3" w14:textId="77777777" w:rsidR="00AF6A62" w:rsidRPr="008C21E4" w:rsidRDefault="00AF6A62" w:rsidP="00CE029D">
            <w:pPr>
              <w:keepNext/>
              <w:spacing w:after="100" w:afterAutospacing="1"/>
              <w:jc w:val="center"/>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Lento</w:t>
            </w:r>
          </w:p>
        </w:tc>
        <w:tc>
          <w:tcPr>
            <w:tcW w:w="1390" w:type="dxa"/>
            <w:noWrap/>
            <w:vAlign w:val="center"/>
            <w:hideMark/>
          </w:tcPr>
          <w:p w14:paraId="56B5E4DA" w14:textId="77777777"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Pesimista</w:t>
            </w:r>
          </w:p>
        </w:tc>
        <w:tc>
          <w:tcPr>
            <w:tcW w:w="1439" w:type="dxa"/>
            <w:noWrap/>
            <w:vAlign w:val="bottom"/>
            <w:hideMark/>
          </w:tcPr>
          <w:p w14:paraId="1B195D75" w14:textId="625DF393"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490,724,816</w:t>
            </w:r>
          </w:p>
        </w:tc>
        <w:tc>
          <w:tcPr>
            <w:tcW w:w="1441" w:type="dxa"/>
            <w:noWrap/>
            <w:vAlign w:val="bottom"/>
            <w:hideMark/>
          </w:tcPr>
          <w:p w14:paraId="37231850" w14:textId="0A9495B7"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453,981,982</w:t>
            </w:r>
          </w:p>
        </w:tc>
        <w:tc>
          <w:tcPr>
            <w:tcW w:w="1438" w:type="dxa"/>
            <w:noWrap/>
            <w:vAlign w:val="bottom"/>
            <w:hideMark/>
          </w:tcPr>
          <w:p w14:paraId="5868817D" w14:textId="18C98B86"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358,709,406</w:t>
            </w:r>
          </w:p>
        </w:tc>
        <w:tc>
          <w:tcPr>
            <w:tcW w:w="1440" w:type="dxa"/>
            <w:tcBorders>
              <w:right w:val="single" w:sz="4" w:space="0" w:color="auto"/>
            </w:tcBorders>
            <w:noWrap/>
            <w:vAlign w:val="bottom"/>
            <w:hideMark/>
          </w:tcPr>
          <w:p w14:paraId="3C3C7CBD" w14:textId="4C8E0F6D"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282,577,327</w:t>
            </w:r>
          </w:p>
        </w:tc>
      </w:tr>
      <w:tr w:rsidR="00AF6A62" w:rsidRPr="008C21E4" w14:paraId="63EE4D04" w14:textId="77777777" w:rsidTr="0027430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0DE569D2" w14:textId="77777777" w:rsidR="00AF6A62" w:rsidRPr="008C21E4" w:rsidRDefault="00AF6A62" w:rsidP="00CE029D">
            <w:pPr>
              <w:keepNext/>
              <w:spacing w:after="100" w:afterAutospacing="1"/>
              <w:jc w:val="center"/>
              <w:rPr>
                <w:rFonts w:ascii="Arial" w:eastAsia="Times New Roman" w:hAnsi="Arial" w:cs="Arial"/>
                <w:color w:val="000000"/>
                <w:sz w:val="16"/>
                <w:szCs w:val="16"/>
                <w:lang w:val="es-ES"/>
              </w:rPr>
            </w:pPr>
          </w:p>
        </w:tc>
        <w:tc>
          <w:tcPr>
            <w:tcW w:w="1390" w:type="dxa"/>
            <w:noWrap/>
            <w:vAlign w:val="center"/>
            <w:hideMark/>
          </w:tcPr>
          <w:p w14:paraId="35195350" w14:textId="77777777"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Medio</w:t>
            </w:r>
          </w:p>
        </w:tc>
        <w:tc>
          <w:tcPr>
            <w:tcW w:w="1439" w:type="dxa"/>
            <w:noWrap/>
            <w:vAlign w:val="bottom"/>
            <w:hideMark/>
          </w:tcPr>
          <w:p w14:paraId="279DFC7B" w14:textId="7780C221"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613,406,020</w:t>
            </w:r>
          </w:p>
        </w:tc>
        <w:tc>
          <w:tcPr>
            <w:tcW w:w="1441" w:type="dxa"/>
            <w:noWrap/>
            <w:vAlign w:val="bottom"/>
            <w:hideMark/>
          </w:tcPr>
          <w:p w14:paraId="72EBBB0B" w14:textId="3CFCA3E5"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567,477,477</w:t>
            </w:r>
          </w:p>
        </w:tc>
        <w:tc>
          <w:tcPr>
            <w:tcW w:w="1438" w:type="dxa"/>
            <w:noWrap/>
            <w:vAlign w:val="bottom"/>
            <w:hideMark/>
          </w:tcPr>
          <w:p w14:paraId="58739652" w14:textId="0056B24C"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448,386,758</w:t>
            </w:r>
          </w:p>
        </w:tc>
        <w:tc>
          <w:tcPr>
            <w:tcW w:w="1440" w:type="dxa"/>
            <w:tcBorders>
              <w:right w:val="single" w:sz="4" w:space="0" w:color="auto"/>
            </w:tcBorders>
            <w:noWrap/>
            <w:vAlign w:val="bottom"/>
            <w:hideMark/>
          </w:tcPr>
          <w:p w14:paraId="655AB568" w14:textId="18772906"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353,221,658</w:t>
            </w:r>
          </w:p>
        </w:tc>
      </w:tr>
      <w:tr w:rsidR="00AF6A62" w:rsidRPr="008C21E4" w14:paraId="74303D4D" w14:textId="77777777" w:rsidTr="00274305">
        <w:trPr>
          <w:trHeight w:val="366"/>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480D846B" w14:textId="77777777" w:rsidR="00AF6A62" w:rsidRPr="008C21E4" w:rsidRDefault="00AF6A62" w:rsidP="00CE029D">
            <w:pPr>
              <w:keepNext/>
              <w:spacing w:after="100" w:afterAutospacing="1"/>
              <w:jc w:val="center"/>
              <w:rPr>
                <w:rFonts w:ascii="Arial" w:eastAsia="Times New Roman" w:hAnsi="Arial" w:cs="Arial"/>
                <w:color w:val="000000"/>
                <w:sz w:val="16"/>
                <w:szCs w:val="16"/>
                <w:lang w:val="es-ES"/>
              </w:rPr>
            </w:pPr>
          </w:p>
        </w:tc>
        <w:tc>
          <w:tcPr>
            <w:tcW w:w="1390" w:type="dxa"/>
            <w:noWrap/>
            <w:vAlign w:val="center"/>
            <w:hideMark/>
          </w:tcPr>
          <w:p w14:paraId="499DE146" w14:textId="77777777"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Optimista</w:t>
            </w:r>
          </w:p>
        </w:tc>
        <w:tc>
          <w:tcPr>
            <w:tcW w:w="1439" w:type="dxa"/>
            <w:noWrap/>
            <w:vAlign w:val="bottom"/>
            <w:hideMark/>
          </w:tcPr>
          <w:p w14:paraId="48D8238E" w14:textId="3B4699BA"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736,087,224</w:t>
            </w:r>
          </w:p>
        </w:tc>
        <w:tc>
          <w:tcPr>
            <w:tcW w:w="1441" w:type="dxa"/>
            <w:noWrap/>
            <w:vAlign w:val="bottom"/>
            <w:hideMark/>
          </w:tcPr>
          <w:p w14:paraId="26D8D25C" w14:textId="51BBA69B"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680,972,973</w:t>
            </w:r>
          </w:p>
        </w:tc>
        <w:tc>
          <w:tcPr>
            <w:tcW w:w="1438" w:type="dxa"/>
            <w:noWrap/>
            <w:vAlign w:val="bottom"/>
            <w:hideMark/>
          </w:tcPr>
          <w:p w14:paraId="670AC9BE" w14:textId="615F851B"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538,064,109</w:t>
            </w:r>
          </w:p>
        </w:tc>
        <w:tc>
          <w:tcPr>
            <w:tcW w:w="1440" w:type="dxa"/>
            <w:tcBorders>
              <w:right w:val="single" w:sz="4" w:space="0" w:color="auto"/>
            </w:tcBorders>
            <w:noWrap/>
            <w:vAlign w:val="bottom"/>
            <w:hideMark/>
          </w:tcPr>
          <w:p w14:paraId="23EA7250" w14:textId="28575A62"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423,865,990</w:t>
            </w:r>
          </w:p>
        </w:tc>
      </w:tr>
      <w:tr w:rsidR="00AF6A62" w:rsidRPr="008C21E4" w14:paraId="43A882BA" w14:textId="77777777" w:rsidTr="0027430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075" w:type="dxa"/>
            <w:vMerge w:val="restart"/>
            <w:tcBorders>
              <w:left w:val="single" w:sz="4" w:space="0" w:color="auto"/>
            </w:tcBorders>
            <w:noWrap/>
            <w:vAlign w:val="center"/>
            <w:hideMark/>
          </w:tcPr>
          <w:p w14:paraId="79ACB5CB" w14:textId="77777777" w:rsidR="00AF6A62" w:rsidRPr="008C21E4" w:rsidRDefault="00AF6A62" w:rsidP="00CE029D">
            <w:pPr>
              <w:keepNext/>
              <w:spacing w:after="100" w:afterAutospacing="1"/>
              <w:jc w:val="center"/>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Regular</w:t>
            </w:r>
          </w:p>
        </w:tc>
        <w:tc>
          <w:tcPr>
            <w:tcW w:w="1390" w:type="dxa"/>
            <w:noWrap/>
            <w:vAlign w:val="center"/>
            <w:hideMark/>
          </w:tcPr>
          <w:p w14:paraId="71C732A4" w14:textId="77777777"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Pesimista</w:t>
            </w:r>
          </w:p>
        </w:tc>
        <w:tc>
          <w:tcPr>
            <w:tcW w:w="1439" w:type="dxa"/>
            <w:noWrap/>
            <w:vAlign w:val="bottom"/>
            <w:hideMark/>
          </w:tcPr>
          <w:p w14:paraId="01EEAE33" w14:textId="55044EB4"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550,022,472</w:t>
            </w:r>
          </w:p>
        </w:tc>
        <w:tc>
          <w:tcPr>
            <w:tcW w:w="1441" w:type="dxa"/>
            <w:noWrap/>
            <w:vAlign w:val="bottom"/>
            <w:hideMark/>
          </w:tcPr>
          <w:p w14:paraId="3C9D8E4E" w14:textId="03941A10"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509,503,981</w:t>
            </w:r>
          </w:p>
        </w:tc>
        <w:tc>
          <w:tcPr>
            <w:tcW w:w="1438" w:type="dxa"/>
            <w:noWrap/>
            <w:vAlign w:val="bottom"/>
            <w:hideMark/>
          </w:tcPr>
          <w:p w14:paraId="03690D86" w14:textId="3BB5B12F"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404,230,470</w:t>
            </w:r>
          </w:p>
        </w:tc>
        <w:tc>
          <w:tcPr>
            <w:tcW w:w="1440" w:type="dxa"/>
            <w:tcBorders>
              <w:right w:val="single" w:sz="4" w:space="0" w:color="auto"/>
            </w:tcBorders>
            <w:noWrap/>
            <w:vAlign w:val="bottom"/>
            <w:hideMark/>
          </w:tcPr>
          <w:p w14:paraId="70388739" w14:textId="7629F71F"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319,834,496</w:t>
            </w:r>
          </w:p>
        </w:tc>
      </w:tr>
      <w:tr w:rsidR="00AF6A62" w:rsidRPr="008C21E4" w14:paraId="1DEF3483" w14:textId="77777777" w:rsidTr="00274305">
        <w:trPr>
          <w:trHeight w:val="32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32ABFE80" w14:textId="77777777" w:rsidR="00AF6A62" w:rsidRPr="008C21E4" w:rsidRDefault="00AF6A62" w:rsidP="00CE029D">
            <w:pPr>
              <w:keepNext/>
              <w:spacing w:after="100" w:afterAutospacing="1"/>
              <w:jc w:val="center"/>
              <w:rPr>
                <w:rFonts w:ascii="Arial" w:eastAsia="Times New Roman" w:hAnsi="Arial" w:cs="Arial"/>
                <w:b w:val="0"/>
                <w:color w:val="000000"/>
                <w:sz w:val="16"/>
                <w:szCs w:val="16"/>
                <w:lang w:val="es-ES"/>
              </w:rPr>
            </w:pPr>
          </w:p>
        </w:tc>
        <w:tc>
          <w:tcPr>
            <w:tcW w:w="1390" w:type="dxa"/>
            <w:noWrap/>
            <w:vAlign w:val="center"/>
            <w:hideMark/>
          </w:tcPr>
          <w:p w14:paraId="0B4F41AE" w14:textId="77777777"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Medio</w:t>
            </w:r>
          </w:p>
        </w:tc>
        <w:tc>
          <w:tcPr>
            <w:tcW w:w="1439" w:type="dxa"/>
            <w:noWrap/>
            <w:vAlign w:val="bottom"/>
            <w:hideMark/>
          </w:tcPr>
          <w:p w14:paraId="7A976721" w14:textId="18E67754"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687,528,090</w:t>
            </w:r>
          </w:p>
        </w:tc>
        <w:tc>
          <w:tcPr>
            <w:tcW w:w="1441" w:type="dxa"/>
            <w:noWrap/>
            <w:vAlign w:val="bottom"/>
            <w:hideMark/>
          </w:tcPr>
          <w:p w14:paraId="1D5C62AA" w14:textId="33A74C2D"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636,879,977</w:t>
            </w:r>
          </w:p>
        </w:tc>
        <w:tc>
          <w:tcPr>
            <w:tcW w:w="1438" w:type="dxa"/>
            <w:noWrap/>
            <w:vAlign w:val="bottom"/>
            <w:hideMark/>
          </w:tcPr>
          <w:p w14:paraId="7C41C907" w14:textId="1B25760F"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505,288,087</w:t>
            </w:r>
          </w:p>
        </w:tc>
        <w:tc>
          <w:tcPr>
            <w:tcW w:w="1440" w:type="dxa"/>
            <w:tcBorders>
              <w:right w:val="single" w:sz="4" w:space="0" w:color="auto"/>
            </w:tcBorders>
            <w:noWrap/>
            <w:vAlign w:val="bottom"/>
            <w:hideMark/>
          </w:tcPr>
          <w:p w14:paraId="02CA175E" w14:textId="29F806EF"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399,793,120</w:t>
            </w:r>
          </w:p>
        </w:tc>
      </w:tr>
      <w:tr w:rsidR="00AF6A62" w:rsidRPr="008C21E4" w14:paraId="0678FE83" w14:textId="77777777" w:rsidTr="0027430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7CBE4461" w14:textId="77777777" w:rsidR="00AF6A62" w:rsidRPr="008C21E4" w:rsidRDefault="00AF6A62" w:rsidP="00CE029D">
            <w:pPr>
              <w:keepNext/>
              <w:spacing w:after="100" w:afterAutospacing="1"/>
              <w:jc w:val="center"/>
              <w:rPr>
                <w:rFonts w:ascii="Arial" w:eastAsia="Times New Roman" w:hAnsi="Arial" w:cs="Arial"/>
                <w:color w:val="000000"/>
                <w:sz w:val="16"/>
                <w:szCs w:val="16"/>
                <w:lang w:val="es-ES"/>
              </w:rPr>
            </w:pPr>
          </w:p>
        </w:tc>
        <w:tc>
          <w:tcPr>
            <w:tcW w:w="1390" w:type="dxa"/>
            <w:noWrap/>
            <w:vAlign w:val="center"/>
            <w:hideMark/>
          </w:tcPr>
          <w:p w14:paraId="2A523653" w14:textId="77777777"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Optimista</w:t>
            </w:r>
          </w:p>
        </w:tc>
        <w:tc>
          <w:tcPr>
            <w:tcW w:w="1439" w:type="dxa"/>
            <w:noWrap/>
            <w:vAlign w:val="bottom"/>
            <w:hideMark/>
          </w:tcPr>
          <w:p w14:paraId="2EFAD603" w14:textId="3EF8A668"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825,033,708</w:t>
            </w:r>
          </w:p>
        </w:tc>
        <w:tc>
          <w:tcPr>
            <w:tcW w:w="1441" w:type="dxa"/>
            <w:noWrap/>
            <w:vAlign w:val="bottom"/>
            <w:hideMark/>
          </w:tcPr>
          <w:p w14:paraId="67F0EBFB" w14:textId="079F1243"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764,255,972</w:t>
            </w:r>
          </w:p>
        </w:tc>
        <w:tc>
          <w:tcPr>
            <w:tcW w:w="1438" w:type="dxa"/>
            <w:noWrap/>
            <w:vAlign w:val="bottom"/>
            <w:hideMark/>
          </w:tcPr>
          <w:p w14:paraId="2099F38C" w14:textId="2B335F8A"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606,345,704</w:t>
            </w:r>
          </w:p>
        </w:tc>
        <w:tc>
          <w:tcPr>
            <w:tcW w:w="1440" w:type="dxa"/>
            <w:tcBorders>
              <w:right w:val="single" w:sz="4" w:space="0" w:color="auto"/>
            </w:tcBorders>
            <w:noWrap/>
            <w:vAlign w:val="bottom"/>
            <w:hideMark/>
          </w:tcPr>
          <w:p w14:paraId="4D2102E6" w14:textId="2A3EBFFE"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479,751,744</w:t>
            </w:r>
          </w:p>
        </w:tc>
      </w:tr>
      <w:tr w:rsidR="00AF6A62" w:rsidRPr="008C21E4" w14:paraId="33FAF070" w14:textId="77777777" w:rsidTr="00274305">
        <w:trPr>
          <w:trHeight w:val="320"/>
        </w:trPr>
        <w:tc>
          <w:tcPr>
            <w:cnfStyle w:val="001000000000" w:firstRow="0" w:lastRow="0" w:firstColumn="1" w:lastColumn="0" w:oddVBand="0" w:evenVBand="0" w:oddHBand="0" w:evenHBand="0" w:firstRowFirstColumn="0" w:firstRowLastColumn="0" w:lastRowFirstColumn="0" w:lastRowLastColumn="0"/>
            <w:tcW w:w="2075" w:type="dxa"/>
            <w:vMerge w:val="restart"/>
            <w:tcBorders>
              <w:left w:val="single" w:sz="4" w:space="0" w:color="auto"/>
            </w:tcBorders>
            <w:noWrap/>
            <w:vAlign w:val="center"/>
            <w:hideMark/>
          </w:tcPr>
          <w:p w14:paraId="6AC8899B" w14:textId="77777777" w:rsidR="00AF6A62" w:rsidRPr="008C21E4" w:rsidRDefault="00AF6A62" w:rsidP="00CE029D">
            <w:pPr>
              <w:keepNext/>
              <w:spacing w:after="100" w:afterAutospacing="1"/>
              <w:jc w:val="center"/>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R</w:t>
            </w:r>
            <w:r w:rsidRPr="008C21E4">
              <w:rPr>
                <w:rFonts w:ascii="Arial" w:hAnsi="Arial" w:cs="Arial"/>
                <w:color w:val="000000"/>
                <w:sz w:val="16"/>
                <w:szCs w:val="16"/>
                <w:lang w:val="es-ES"/>
              </w:rPr>
              <w:t>ápido</w:t>
            </w:r>
          </w:p>
        </w:tc>
        <w:tc>
          <w:tcPr>
            <w:tcW w:w="1390" w:type="dxa"/>
            <w:noWrap/>
            <w:vAlign w:val="center"/>
            <w:hideMark/>
          </w:tcPr>
          <w:p w14:paraId="2A53EAFB" w14:textId="77777777"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Pesimista</w:t>
            </w:r>
          </w:p>
        </w:tc>
        <w:tc>
          <w:tcPr>
            <w:tcW w:w="1439" w:type="dxa"/>
            <w:noWrap/>
            <w:vAlign w:val="bottom"/>
            <w:hideMark/>
          </w:tcPr>
          <w:p w14:paraId="706A79C5" w14:textId="0803C0B2"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675,719,698</w:t>
            </w:r>
          </w:p>
        </w:tc>
        <w:tc>
          <w:tcPr>
            <w:tcW w:w="1441" w:type="dxa"/>
            <w:noWrap/>
            <w:vAlign w:val="bottom"/>
            <w:hideMark/>
          </w:tcPr>
          <w:p w14:paraId="3FCE6B8F" w14:textId="2314F6F0"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628,517,504</w:t>
            </w:r>
          </w:p>
        </w:tc>
        <w:tc>
          <w:tcPr>
            <w:tcW w:w="1438" w:type="dxa"/>
            <w:noWrap/>
            <w:vAlign w:val="bottom"/>
            <w:hideMark/>
          </w:tcPr>
          <w:p w14:paraId="6D01237D" w14:textId="475F0E2F"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505,116,486</w:t>
            </w:r>
          </w:p>
        </w:tc>
        <w:tc>
          <w:tcPr>
            <w:tcW w:w="1440" w:type="dxa"/>
            <w:tcBorders>
              <w:right w:val="single" w:sz="4" w:space="0" w:color="auto"/>
            </w:tcBorders>
            <w:noWrap/>
            <w:vAlign w:val="bottom"/>
            <w:hideMark/>
          </w:tcPr>
          <w:p w14:paraId="5FBB6ABE" w14:textId="0E8A3110"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405,179,770</w:t>
            </w:r>
          </w:p>
        </w:tc>
      </w:tr>
      <w:tr w:rsidR="00AF6A62" w:rsidRPr="008C21E4" w14:paraId="3F3C6A3D" w14:textId="77777777" w:rsidTr="0027430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tcBorders>
            <w:noWrap/>
            <w:vAlign w:val="center"/>
            <w:hideMark/>
          </w:tcPr>
          <w:p w14:paraId="3CE6C45E" w14:textId="77777777" w:rsidR="00AF6A62" w:rsidRPr="008C21E4" w:rsidRDefault="00AF6A62" w:rsidP="00CE029D">
            <w:pPr>
              <w:keepNext/>
              <w:spacing w:after="100" w:afterAutospacing="1"/>
              <w:jc w:val="center"/>
              <w:rPr>
                <w:rFonts w:ascii="Arial" w:eastAsia="Times New Roman" w:hAnsi="Arial" w:cs="Arial"/>
                <w:color w:val="000000"/>
                <w:sz w:val="16"/>
                <w:szCs w:val="16"/>
                <w:lang w:val="es-ES"/>
              </w:rPr>
            </w:pPr>
          </w:p>
        </w:tc>
        <w:tc>
          <w:tcPr>
            <w:tcW w:w="1390" w:type="dxa"/>
            <w:noWrap/>
            <w:vAlign w:val="center"/>
            <w:hideMark/>
          </w:tcPr>
          <w:p w14:paraId="7C080F27" w14:textId="77777777"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Medio</w:t>
            </w:r>
          </w:p>
        </w:tc>
        <w:tc>
          <w:tcPr>
            <w:tcW w:w="1439" w:type="dxa"/>
            <w:noWrap/>
            <w:vAlign w:val="bottom"/>
            <w:hideMark/>
          </w:tcPr>
          <w:p w14:paraId="5C3A5688" w14:textId="2CDAB7D9"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844,649,622</w:t>
            </w:r>
          </w:p>
        </w:tc>
        <w:tc>
          <w:tcPr>
            <w:tcW w:w="1441" w:type="dxa"/>
            <w:noWrap/>
            <w:vAlign w:val="bottom"/>
            <w:hideMark/>
          </w:tcPr>
          <w:p w14:paraId="451699EA" w14:textId="70C66904"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785,646,879</w:t>
            </w:r>
          </w:p>
        </w:tc>
        <w:tc>
          <w:tcPr>
            <w:tcW w:w="1438" w:type="dxa"/>
            <w:noWrap/>
            <w:vAlign w:val="bottom"/>
            <w:hideMark/>
          </w:tcPr>
          <w:p w14:paraId="0F1B7F2D" w14:textId="4F84E286"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631,395,607</w:t>
            </w:r>
          </w:p>
        </w:tc>
        <w:tc>
          <w:tcPr>
            <w:tcW w:w="1440" w:type="dxa"/>
            <w:tcBorders>
              <w:right w:val="single" w:sz="4" w:space="0" w:color="auto"/>
            </w:tcBorders>
            <w:noWrap/>
            <w:vAlign w:val="bottom"/>
            <w:hideMark/>
          </w:tcPr>
          <w:p w14:paraId="2CEA9AAB" w14:textId="00E59024" w:rsidR="00AF6A62" w:rsidRPr="008C21E4" w:rsidRDefault="00AF6A62" w:rsidP="00CE029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506,474,713</w:t>
            </w:r>
          </w:p>
        </w:tc>
      </w:tr>
      <w:tr w:rsidR="00AF6A62" w:rsidRPr="008C21E4" w14:paraId="51CD74DB" w14:textId="77777777" w:rsidTr="00274305">
        <w:trPr>
          <w:trHeight w:val="320"/>
        </w:trPr>
        <w:tc>
          <w:tcPr>
            <w:cnfStyle w:val="001000000000" w:firstRow="0" w:lastRow="0" w:firstColumn="1" w:lastColumn="0" w:oddVBand="0" w:evenVBand="0" w:oddHBand="0" w:evenHBand="0" w:firstRowFirstColumn="0" w:firstRowLastColumn="0" w:lastRowFirstColumn="0" w:lastRowLastColumn="0"/>
            <w:tcW w:w="2075" w:type="dxa"/>
            <w:vMerge/>
            <w:tcBorders>
              <w:left w:val="single" w:sz="4" w:space="0" w:color="auto"/>
              <w:bottom w:val="single" w:sz="4" w:space="0" w:color="auto"/>
            </w:tcBorders>
            <w:noWrap/>
            <w:vAlign w:val="center"/>
            <w:hideMark/>
          </w:tcPr>
          <w:p w14:paraId="0BC47104" w14:textId="77777777" w:rsidR="00AF6A62" w:rsidRPr="008C21E4" w:rsidRDefault="00AF6A62" w:rsidP="00CE029D">
            <w:pPr>
              <w:keepNext/>
              <w:spacing w:after="100" w:afterAutospacing="1"/>
              <w:jc w:val="center"/>
              <w:rPr>
                <w:rFonts w:ascii="Arial" w:eastAsia="Times New Roman" w:hAnsi="Arial" w:cs="Arial"/>
                <w:color w:val="000000"/>
                <w:sz w:val="16"/>
                <w:szCs w:val="16"/>
                <w:lang w:val="es-ES"/>
              </w:rPr>
            </w:pPr>
          </w:p>
        </w:tc>
        <w:tc>
          <w:tcPr>
            <w:tcW w:w="1390" w:type="dxa"/>
            <w:tcBorders>
              <w:bottom w:val="single" w:sz="4" w:space="0" w:color="auto"/>
            </w:tcBorders>
            <w:noWrap/>
            <w:vAlign w:val="center"/>
            <w:hideMark/>
          </w:tcPr>
          <w:p w14:paraId="0A306B8A" w14:textId="77777777"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8C21E4">
              <w:rPr>
                <w:rFonts w:ascii="Arial" w:eastAsia="Times New Roman" w:hAnsi="Arial" w:cs="Arial"/>
                <w:color w:val="000000"/>
                <w:sz w:val="16"/>
                <w:szCs w:val="16"/>
                <w:lang w:val="es-ES"/>
              </w:rPr>
              <w:t>Optimista</w:t>
            </w:r>
          </w:p>
        </w:tc>
        <w:tc>
          <w:tcPr>
            <w:tcW w:w="1439" w:type="dxa"/>
            <w:tcBorders>
              <w:bottom w:val="single" w:sz="4" w:space="0" w:color="auto"/>
            </w:tcBorders>
            <w:noWrap/>
            <w:vAlign w:val="bottom"/>
            <w:hideMark/>
          </w:tcPr>
          <w:p w14:paraId="7E9A52BD" w14:textId="3E6B916D"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1,013,579,547</w:t>
            </w:r>
          </w:p>
        </w:tc>
        <w:tc>
          <w:tcPr>
            <w:tcW w:w="1441" w:type="dxa"/>
            <w:tcBorders>
              <w:bottom w:val="single" w:sz="4" w:space="0" w:color="auto"/>
            </w:tcBorders>
            <w:noWrap/>
            <w:vAlign w:val="bottom"/>
            <w:hideMark/>
          </w:tcPr>
          <w:p w14:paraId="0165130D" w14:textId="63913235"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942,776,255</w:t>
            </w:r>
          </w:p>
        </w:tc>
        <w:tc>
          <w:tcPr>
            <w:tcW w:w="1438" w:type="dxa"/>
            <w:tcBorders>
              <w:bottom w:val="single" w:sz="4" w:space="0" w:color="auto"/>
            </w:tcBorders>
            <w:noWrap/>
            <w:vAlign w:val="bottom"/>
            <w:hideMark/>
          </w:tcPr>
          <w:p w14:paraId="1D988CE7" w14:textId="3A19ACCC"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757,674,728</w:t>
            </w:r>
          </w:p>
        </w:tc>
        <w:tc>
          <w:tcPr>
            <w:tcW w:w="1440" w:type="dxa"/>
            <w:tcBorders>
              <w:bottom w:val="single" w:sz="4" w:space="0" w:color="auto"/>
              <w:right w:val="single" w:sz="4" w:space="0" w:color="auto"/>
            </w:tcBorders>
            <w:noWrap/>
            <w:vAlign w:val="bottom"/>
            <w:hideMark/>
          </w:tcPr>
          <w:p w14:paraId="00622FB9" w14:textId="51F76735" w:rsidR="00AF6A62" w:rsidRPr="008C21E4" w:rsidRDefault="00AF6A62" w:rsidP="00CE029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
              </w:rPr>
            </w:pPr>
            <w:r w:rsidRPr="00AF6A62">
              <w:rPr>
                <w:rFonts w:ascii="Arial" w:eastAsia="Times New Roman" w:hAnsi="Arial" w:cs="Arial"/>
                <w:color w:val="000000"/>
                <w:sz w:val="16"/>
                <w:szCs w:val="16"/>
                <w:lang w:val="es-ES"/>
              </w:rPr>
              <w:t>607,769,656</w:t>
            </w:r>
          </w:p>
        </w:tc>
      </w:tr>
    </w:tbl>
    <w:p w14:paraId="5208D0EF" w14:textId="77777777" w:rsidR="006E64BD" w:rsidRPr="008C21E4" w:rsidRDefault="006E64BD" w:rsidP="00FB7FB9">
      <w:pPr>
        <w:keepNext/>
        <w:autoSpaceDE w:val="0"/>
        <w:autoSpaceDN w:val="0"/>
        <w:adjustRightInd w:val="0"/>
        <w:spacing w:after="100" w:afterAutospacing="1"/>
        <w:jc w:val="both"/>
        <w:rPr>
          <w:rFonts w:ascii="Arial" w:hAnsi="Arial" w:cs="Arial"/>
          <w:sz w:val="16"/>
          <w:szCs w:val="16"/>
          <w:lang w:val="es-ES"/>
        </w:rPr>
      </w:pPr>
      <w:r w:rsidRPr="008C21E4">
        <w:rPr>
          <w:rFonts w:ascii="Arial" w:hAnsi="Arial" w:cs="Arial"/>
          <w:sz w:val="16"/>
          <w:szCs w:val="16"/>
          <w:lang w:val="es-ES"/>
        </w:rPr>
        <w:t>Fuente: Elaboración de los autores.</w:t>
      </w:r>
    </w:p>
    <w:p w14:paraId="3744496D" w14:textId="7AB6CD18" w:rsidR="006E64BD" w:rsidRPr="008C21E4" w:rsidRDefault="00F71289" w:rsidP="001025F1">
      <w:pPr>
        <w:autoSpaceDE w:val="0"/>
        <w:autoSpaceDN w:val="0"/>
        <w:adjustRightInd w:val="0"/>
        <w:spacing w:after="100" w:afterAutospacing="1"/>
        <w:jc w:val="both"/>
        <w:rPr>
          <w:rFonts w:ascii="Arial" w:hAnsi="Arial" w:cs="Arial"/>
          <w:sz w:val="22"/>
          <w:szCs w:val="22"/>
          <w:lang w:val="es-ES"/>
        </w:rPr>
      </w:pPr>
      <w:r w:rsidRPr="008C21E4">
        <w:rPr>
          <w:rFonts w:ascii="Arial" w:hAnsi="Arial" w:cs="Arial"/>
          <w:sz w:val="22"/>
          <w:szCs w:val="22"/>
          <w:lang w:val="es-ES"/>
        </w:rPr>
        <w:t>Los diferentes escenarios de beneficios del análisis complementario con un horizonte de diez años se muestran en l</w:t>
      </w:r>
      <w:r w:rsidR="000B0D47" w:rsidRPr="008C21E4">
        <w:rPr>
          <w:rFonts w:ascii="Arial" w:hAnsi="Arial" w:cs="Arial"/>
          <w:sz w:val="22"/>
          <w:szCs w:val="22"/>
          <w:lang w:val="es-ES"/>
        </w:rPr>
        <w:t xml:space="preserve">a Tabla </w:t>
      </w:r>
      <w:r w:rsidR="00205B46" w:rsidRPr="008C21E4">
        <w:rPr>
          <w:rFonts w:ascii="Arial" w:hAnsi="Arial" w:cs="Arial"/>
          <w:sz w:val="22"/>
          <w:szCs w:val="22"/>
          <w:lang w:val="es-ES"/>
        </w:rPr>
        <w:t>6</w:t>
      </w:r>
      <w:r w:rsidR="000B0D47" w:rsidRPr="008C21E4">
        <w:rPr>
          <w:rFonts w:ascii="Arial" w:hAnsi="Arial" w:cs="Arial"/>
          <w:sz w:val="22"/>
          <w:szCs w:val="22"/>
          <w:lang w:val="es-ES"/>
        </w:rPr>
        <w:t xml:space="preserve"> y oscilan entre US$</w:t>
      </w:r>
      <w:r w:rsidR="00AF6A62">
        <w:rPr>
          <w:rFonts w:ascii="Arial" w:hAnsi="Arial" w:cs="Arial"/>
          <w:sz w:val="22"/>
          <w:szCs w:val="22"/>
          <w:lang w:val="es-ES"/>
        </w:rPr>
        <w:t>283</w:t>
      </w:r>
      <w:r w:rsidR="00FB7FB9">
        <w:rPr>
          <w:rFonts w:ascii="Arial" w:hAnsi="Arial" w:cs="Arial"/>
          <w:sz w:val="22"/>
          <w:szCs w:val="22"/>
          <w:lang w:val="es-ES"/>
        </w:rPr>
        <w:t xml:space="preserve"> </w:t>
      </w:r>
      <w:r w:rsidRPr="008C21E4">
        <w:rPr>
          <w:rFonts w:ascii="Arial" w:hAnsi="Arial" w:cs="Arial"/>
          <w:sz w:val="22"/>
          <w:szCs w:val="22"/>
          <w:lang w:val="es-ES"/>
        </w:rPr>
        <w:t>y US$</w:t>
      </w:r>
      <w:r w:rsidR="001B4F5E">
        <w:rPr>
          <w:rFonts w:ascii="Arial" w:hAnsi="Arial" w:cs="Arial"/>
          <w:sz w:val="22"/>
          <w:szCs w:val="22"/>
          <w:lang w:val="es-ES"/>
        </w:rPr>
        <w:t>1.</w:t>
      </w:r>
      <w:r w:rsidR="00AF6A62">
        <w:rPr>
          <w:rFonts w:ascii="Arial" w:hAnsi="Arial" w:cs="Arial"/>
          <w:sz w:val="22"/>
          <w:szCs w:val="22"/>
          <w:lang w:val="es-ES"/>
        </w:rPr>
        <w:t>014</w:t>
      </w:r>
      <w:r w:rsidR="001B4F5E">
        <w:rPr>
          <w:rFonts w:ascii="Arial" w:hAnsi="Arial" w:cs="Arial"/>
          <w:sz w:val="22"/>
          <w:szCs w:val="22"/>
          <w:lang w:val="es-ES"/>
        </w:rPr>
        <w:t xml:space="preserve"> </w:t>
      </w:r>
      <w:r w:rsidRPr="008C21E4">
        <w:rPr>
          <w:rFonts w:ascii="Arial" w:hAnsi="Arial" w:cs="Arial"/>
          <w:sz w:val="22"/>
          <w:szCs w:val="22"/>
          <w:lang w:val="es-ES"/>
        </w:rPr>
        <w:t xml:space="preserve">millones. Sin embargo, cabe resaltar que dichos beneficios </w:t>
      </w:r>
      <w:r w:rsidR="000B0D47" w:rsidRPr="008C21E4">
        <w:rPr>
          <w:rFonts w:ascii="Arial" w:hAnsi="Arial" w:cs="Arial"/>
          <w:sz w:val="22"/>
          <w:szCs w:val="22"/>
          <w:lang w:val="es-ES"/>
        </w:rPr>
        <w:t>dependen de inversiones adicionales posteriores a</w:t>
      </w:r>
      <w:r w:rsidR="00FB7FB9">
        <w:rPr>
          <w:rFonts w:ascii="Arial" w:hAnsi="Arial" w:cs="Arial"/>
          <w:sz w:val="22"/>
          <w:szCs w:val="22"/>
          <w:lang w:val="es-ES"/>
        </w:rPr>
        <w:t xml:space="preserve"> Mejor Salud BH</w:t>
      </w:r>
      <w:r w:rsidR="000B0D47" w:rsidRPr="008C21E4">
        <w:rPr>
          <w:rFonts w:ascii="Arial" w:hAnsi="Arial" w:cs="Arial"/>
          <w:sz w:val="22"/>
          <w:szCs w:val="22"/>
          <w:lang w:val="es-ES"/>
        </w:rPr>
        <w:t xml:space="preserve">. </w:t>
      </w:r>
    </w:p>
    <w:p w14:paraId="51C1A3F4" w14:textId="77777777" w:rsidR="006D26AB" w:rsidRPr="008C21E4" w:rsidRDefault="00AC4BFE" w:rsidP="008A41E6">
      <w:pPr>
        <w:pStyle w:val="Heading2"/>
        <w:numPr>
          <w:ilvl w:val="0"/>
          <w:numId w:val="5"/>
        </w:numPr>
      </w:pPr>
      <w:bookmarkStart w:id="25" w:name="_Toc296257189"/>
      <w:bookmarkStart w:id="26" w:name="_Toc525384019"/>
      <w:r w:rsidRPr="008C21E4">
        <w:lastRenderedPageBreak/>
        <w:t>Resultados del a</w:t>
      </w:r>
      <w:r w:rsidR="006D26AB" w:rsidRPr="008C21E4">
        <w:t>n</w:t>
      </w:r>
      <w:r w:rsidR="006D26AB" w:rsidRPr="008C21E4">
        <w:rPr>
          <w:rFonts w:eastAsia="Calibri"/>
        </w:rPr>
        <w:t>álisis</w:t>
      </w:r>
      <w:r w:rsidR="006D26AB" w:rsidRPr="008C21E4">
        <w:t xml:space="preserve"> </w:t>
      </w:r>
      <w:r w:rsidR="00BC66F4" w:rsidRPr="008C21E4">
        <w:rPr>
          <w:rFonts w:eastAsia="Calibri"/>
        </w:rPr>
        <w:t>c</w:t>
      </w:r>
      <w:r w:rsidR="006D26AB" w:rsidRPr="008C21E4">
        <w:rPr>
          <w:rFonts w:eastAsia="Calibri"/>
        </w:rPr>
        <w:t>osto</w:t>
      </w:r>
      <w:r w:rsidR="006D26AB" w:rsidRPr="008C21E4">
        <w:t xml:space="preserve"> – </w:t>
      </w:r>
      <w:r w:rsidR="00BC66F4" w:rsidRPr="008C21E4">
        <w:rPr>
          <w:rFonts w:eastAsia="Calibri"/>
        </w:rPr>
        <w:t>b</w:t>
      </w:r>
      <w:r w:rsidR="006D26AB" w:rsidRPr="008C21E4">
        <w:rPr>
          <w:rFonts w:eastAsia="Calibri"/>
        </w:rPr>
        <w:t>eneficio</w:t>
      </w:r>
      <w:bookmarkEnd w:id="25"/>
      <w:bookmarkEnd w:id="26"/>
    </w:p>
    <w:p w14:paraId="67D1A10B" w14:textId="78EED4DF" w:rsidR="00671021" w:rsidRPr="008C21E4" w:rsidRDefault="006D26AB" w:rsidP="00671021">
      <w:pPr>
        <w:jc w:val="both"/>
        <w:rPr>
          <w:rFonts w:ascii="Arial" w:eastAsia="Times New Roman" w:hAnsi="Arial" w:cs="Arial"/>
          <w:sz w:val="22"/>
          <w:szCs w:val="22"/>
          <w:lang w:val="es-ES"/>
        </w:rPr>
      </w:pPr>
      <w:r w:rsidRPr="008C21E4">
        <w:rPr>
          <w:rFonts w:ascii="Arial" w:eastAsia="Times New Roman" w:hAnsi="Arial" w:cs="Arial"/>
          <w:sz w:val="22"/>
          <w:szCs w:val="22"/>
          <w:lang w:val="es-ES"/>
        </w:rPr>
        <w:t>El costo</w:t>
      </w:r>
      <w:r w:rsidR="00ED0E5D">
        <w:rPr>
          <w:rFonts w:ascii="Arial" w:eastAsia="Times New Roman" w:hAnsi="Arial" w:cs="Arial"/>
          <w:sz w:val="22"/>
          <w:szCs w:val="22"/>
          <w:lang w:val="es-ES"/>
        </w:rPr>
        <w:t xml:space="preserve"> </w:t>
      </w:r>
      <w:r w:rsidR="00D41C4F" w:rsidRPr="008C21E4">
        <w:rPr>
          <w:rFonts w:ascii="Arial" w:eastAsia="Times New Roman" w:hAnsi="Arial" w:cs="Arial"/>
          <w:sz w:val="22"/>
          <w:szCs w:val="22"/>
          <w:lang w:val="es-ES"/>
        </w:rPr>
        <w:t xml:space="preserve">de </w:t>
      </w:r>
      <w:r w:rsidR="00ED0E5D">
        <w:rPr>
          <w:rFonts w:ascii="Arial" w:hAnsi="Arial" w:cs="Arial"/>
          <w:sz w:val="22"/>
          <w:szCs w:val="22"/>
          <w:lang w:val="es-ES"/>
        </w:rPr>
        <w:t>Mejor Salud BH</w:t>
      </w:r>
      <w:r w:rsidR="003A553B" w:rsidRPr="008C21E4">
        <w:rPr>
          <w:rFonts w:ascii="Arial" w:eastAsia="Times New Roman" w:hAnsi="Arial" w:cs="Arial"/>
          <w:sz w:val="22"/>
          <w:szCs w:val="22"/>
          <w:lang w:val="es-ES"/>
        </w:rPr>
        <w:t xml:space="preserve"> </w:t>
      </w:r>
      <w:r w:rsidR="008F1413" w:rsidRPr="008C21E4">
        <w:rPr>
          <w:rFonts w:ascii="Arial" w:eastAsia="Times New Roman" w:hAnsi="Arial" w:cs="Arial"/>
          <w:sz w:val="22"/>
          <w:szCs w:val="22"/>
          <w:lang w:val="es-ES"/>
        </w:rPr>
        <w:t>asciende a US</w:t>
      </w:r>
      <w:r w:rsidRPr="008C21E4">
        <w:rPr>
          <w:rFonts w:ascii="Arial" w:eastAsia="Times New Roman" w:hAnsi="Arial" w:cs="Arial"/>
          <w:sz w:val="22"/>
          <w:szCs w:val="22"/>
          <w:lang w:val="es-ES"/>
        </w:rPr>
        <w:t>$</w:t>
      </w:r>
      <w:r w:rsidR="00FB7FB9">
        <w:rPr>
          <w:rFonts w:ascii="Arial" w:eastAsia="Times New Roman" w:hAnsi="Arial" w:cs="Arial"/>
          <w:sz w:val="22"/>
          <w:szCs w:val="22"/>
          <w:lang w:val="es-ES"/>
        </w:rPr>
        <w:t>70</w:t>
      </w:r>
      <w:r w:rsidRPr="008C21E4">
        <w:rPr>
          <w:rFonts w:ascii="Arial" w:eastAsia="Times New Roman" w:hAnsi="Arial" w:cs="Arial"/>
          <w:sz w:val="22"/>
          <w:szCs w:val="22"/>
          <w:lang w:val="es-ES"/>
        </w:rPr>
        <w:t xml:space="preserve"> millones</w:t>
      </w:r>
      <w:r w:rsidR="00D41C4F" w:rsidRPr="008C21E4">
        <w:rPr>
          <w:rFonts w:ascii="Arial" w:eastAsia="Times New Roman" w:hAnsi="Arial" w:cs="Arial"/>
          <w:sz w:val="22"/>
          <w:szCs w:val="22"/>
          <w:lang w:val="es-ES"/>
        </w:rPr>
        <w:t>.</w:t>
      </w:r>
      <w:r w:rsidR="00840655" w:rsidRPr="008C21E4">
        <w:rPr>
          <w:rFonts w:ascii="Arial" w:eastAsia="Times New Roman" w:hAnsi="Arial" w:cs="Arial"/>
          <w:sz w:val="22"/>
          <w:szCs w:val="22"/>
          <w:lang w:val="es-ES"/>
        </w:rPr>
        <w:t xml:space="preserve"> El horizonte temporal del</w:t>
      </w:r>
      <w:r w:rsidRPr="008C21E4">
        <w:rPr>
          <w:rFonts w:ascii="Arial" w:eastAsia="Times New Roman" w:hAnsi="Arial" w:cs="Arial"/>
          <w:sz w:val="22"/>
          <w:szCs w:val="22"/>
          <w:lang w:val="es-ES"/>
        </w:rPr>
        <w:t xml:space="preserve"> an</w:t>
      </w:r>
      <w:r w:rsidRPr="008C21E4">
        <w:rPr>
          <w:rFonts w:ascii="Arial" w:hAnsi="Arial" w:cs="Arial"/>
          <w:sz w:val="22"/>
          <w:szCs w:val="22"/>
          <w:lang w:val="es-ES"/>
        </w:rPr>
        <w:t>álisis</w:t>
      </w:r>
      <w:r w:rsidR="00840655" w:rsidRPr="008C21E4">
        <w:rPr>
          <w:rFonts w:ascii="Arial" w:hAnsi="Arial" w:cs="Arial"/>
          <w:sz w:val="22"/>
          <w:szCs w:val="22"/>
          <w:lang w:val="es-ES"/>
        </w:rPr>
        <w:t xml:space="preserve"> económico comprende</w:t>
      </w:r>
      <w:r w:rsidRPr="008C21E4">
        <w:rPr>
          <w:rFonts w:ascii="Arial" w:eastAsia="Times New Roman" w:hAnsi="Arial" w:cs="Arial"/>
          <w:sz w:val="22"/>
          <w:szCs w:val="22"/>
          <w:lang w:val="es-ES"/>
        </w:rPr>
        <w:t xml:space="preserve"> </w:t>
      </w:r>
      <w:r w:rsidR="00B97FAF" w:rsidRPr="008C21E4">
        <w:rPr>
          <w:rFonts w:ascii="Arial" w:eastAsia="Times New Roman" w:hAnsi="Arial" w:cs="Arial"/>
          <w:sz w:val="22"/>
          <w:szCs w:val="22"/>
          <w:lang w:val="es-ES"/>
        </w:rPr>
        <w:t>de 201</w:t>
      </w:r>
      <w:r w:rsidR="00FB7FB9">
        <w:rPr>
          <w:rFonts w:ascii="Arial" w:eastAsia="Times New Roman" w:hAnsi="Arial" w:cs="Arial"/>
          <w:sz w:val="22"/>
          <w:szCs w:val="22"/>
          <w:lang w:val="es-ES"/>
        </w:rPr>
        <w:t>9</w:t>
      </w:r>
      <w:r w:rsidR="003E0A47" w:rsidRPr="008C21E4">
        <w:rPr>
          <w:rFonts w:ascii="Arial" w:eastAsia="Times New Roman" w:hAnsi="Arial" w:cs="Arial"/>
          <w:sz w:val="22"/>
          <w:szCs w:val="22"/>
          <w:lang w:val="es-ES"/>
        </w:rPr>
        <w:t xml:space="preserve"> a 202</w:t>
      </w:r>
      <w:r w:rsidR="002B329E" w:rsidRPr="008C21E4">
        <w:rPr>
          <w:rFonts w:ascii="Arial" w:eastAsia="Times New Roman" w:hAnsi="Arial" w:cs="Arial"/>
          <w:sz w:val="22"/>
          <w:szCs w:val="22"/>
          <w:lang w:val="es-ES"/>
        </w:rPr>
        <w:t>3</w:t>
      </w:r>
      <w:r w:rsidR="00AD15AA" w:rsidRPr="008C21E4">
        <w:rPr>
          <w:rFonts w:ascii="Arial" w:eastAsia="Times New Roman" w:hAnsi="Arial" w:cs="Arial"/>
          <w:sz w:val="22"/>
          <w:szCs w:val="22"/>
          <w:lang w:val="es-ES"/>
        </w:rPr>
        <w:t xml:space="preserve">. </w:t>
      </w:r>
      <w:r w:rsidR="00671021" w:rsidRPr="008645A3">
        <w:rPr>
          <w:rFonts w:ascii="Arial" w:eastAsia="Times New Roman" w:hAnsi="Arial" w:cs="Arial"/>
          <w:sz w:val="22"/>
          <w:szCs w:val="22"/>
          <w:lang w:val="es-ES"/>
        </w:rPr>
        <w:t>Adiciona</w:t>
      </w:r>
      <w:r w:rsidR="009876AF" w:rsidRPr="008645A3">
        <w:rPr>
          <w:rFonts w:ascii="Arial" w:eastAsia="Times New Roman" w:hAnsi="Arial" w:cs="Arial"/>
          <w:sz w:val="22"/>
          <w:szCs w:val="22"/>
          <w:lang w:val="es-ES"/>
        </w:rPr>
        <w:t xml:space="preserve">lmente a los costos de </w:t>
      </w:r>
      <w:r w:rsidR="008645A3" w:rsidRPr="008645A3">
        <w:rPr>
          <w:rFonts w:ascii="Arial" w:eastAsia="Times New Roman" w:hAnsi="Arial" w:cs="Arial"/>
          <w:sz w:val="22"/>
          <w:szCs w:val="22"/>
          <w:lang w:val="es-ES"/>
        </w:rPr>
        <w:t>re</w:t>
      </w:r>
      <w:r w:rsidR="003F2208">
        <w:rPr>
          <w:rFonts w:ascii="Arial" w:eastAsia="Times New Roman" w:hAnsi="Arial" w:cs="Arial"/>
          <w:sz w:val="22"/>
          <w:szCs w:val="22"/>
          <w:lang w:val="es-ES"/>
        </w:rPr>
        <w:t xml:space="preserve">construcción y </w:t>
      </w:r>
      <w:r w:rsidR="008645A3" w:rsidRPr="008645A3">
        <w:rPr>
          <w:rFonts w:ascii="Arial" w:eastAsia="Times New Roman" w:hAnsi="Arial" w:cs="Arial"/>
          <w:sz w:val="22"/>
          <w:szCs w:val="22"/>
          <w:lang w:val="es-ES"/>
        </w:rPr>
        <w:t>reforma</w:t>
      </w:r>
      <w:r w:rsidR="00671021" w:rsidRPr="008645A3">
        <w:rPr>
          <w:rFonts w:ascii="Arial" w:eastAsia="Times New Roman" w:hAnsi="Arial" w:cs="Arial"/>
          <w:sz w:val="22"/>
          <w:szCs w:val="22"/>
          <w:lang w:val="es-ES"/>
        </w:rPr>
        <w:t xml:space="preserve"> </w:t>
      </w:r>
      <w:r w:rsidR="003F2208">
        <w:rPr>
          <w:rFonts w:ascii="Arial" w:eastAsia="Times New Roman" w:hAnsi="Arial" w:cs="Arial"/>
          <w:sz w:val="22"/>
          <w:szCs w:val="22"/>
          <w:lang w:val="es-ES"/>
        </w:rPr>
        <w:t xml:space="preserve">de </w:t>
      </w:r>
      <w:r w:rsidR="008645A3" w:rsidRPr="008645A3">
        <w:rPr>
          <w:rFonts w:ascii="Arial" w:eastAsia="Times New Roman" w:hAnsi="Arial" w:cs="Arial"/>
          <w:sz w:val="22"/>
          <w:szCs w:val="22"/>
          <w:lang w:val="es-ES"/>
        </w:rPr>
        <w:t>UBS, r</w:t>
      </w:r>
      <w:r w:rsidR="003F2208">
        <w:rPr>
          <w:rFonts w:ascii="Arial" w:eastAsia="Times New Roman" w:hAnsi="Arial" w:cs="Arial"/>
          <w:sz w:val="22"/>
          <w:szCs w:val="22"/>
          <w:lang w:val="es-ES"/>
        </w:rPr>
        <w:t xml:space="preserve">ede de frio, UPA y </w:t>
      </w:r>
      <w:r w:rsidR="008645A3" w:rsidRPr="008645A3">
        <w:rPr>
          <w:rFonts w:ascii="Arial" w:eastAsia="Times New Roman" w:hAnsi="Arial" w:cs="Arial"/>
          <w:sz w:val="22"/>
          <w:szCs w:val="22"/>
          <w:lang w:val="es-ES"/>
        </w:rPr>
        <w:t>CER</w:t>
      </w:r>
      <w:r w:rsidR="003F2208">
        <w:rPr>
          <w:rFonts w:ascii="Arial" w:eastAsia="Times New Roman" w:hAnsi="Arial" w:cs="Arial"/>
          <w:sz w:val="22"/>
          <w:szCs w:val="22"/>
          <w:lang w:val="es-ES"/>
        </w:rPr>
        <w:t xml:space="preserve">SAM </w:t>
      </w:r>
      <w:r w:rsidR="008645A3" w:rsidRPr="008645A3">
        <w:rPr>
          <w:rFonts w:ascii="Arial" w:eastAsia="Times New Roman" w:hAnsi="Arial" w:cs="Arial"/>
          <w:sz w:val="22"/>
          <w:szCs w:val="22"/>
          <w:lang w:val="es-ES"/>
        </w:rPr>
        <w:t xml:space="preserve">incluidos </w:t>
      </w:r>
      <w:r w:rsidR="00D109BA">
        <w:rPr>
          <w:rFonts w:ascii="Arial" w:eastAsia="Times New Roman" w:hAnsi="Arial" w:cs="Arial"/>
          <w:sz w:val="22"/>
          <w:szCs w:val="22"/>
          <w:lang w:val="es-ES"/>
        </w:rPr>
        <w:t xml:space="preserve">en </w:t>
      </w:r>
      <w:r w:rsidR="00671021" w:rsidRPr="008645A3">
        <w:rPr>
          <w:rFonts w:ascii="Arial" w:eastAsia="Times New Roman" w:hAnsi="Arial" w:cs="Arial"/>
          <w:sz w:val="22"/>
          <w:szCs w:val="22"/>
          <w:lang w:val="es-ES"/>
        </w:rPr>
        <w:t>el costo total del proyecto</w:t>
      </w:r>
      <w:r w:rsidR="00671021" w:rsidRPr="00FB7FB9">
        <w:rPr>
          <w:rFonts w:ascii="Arial" w:eastAsia="Times New Roman" w:hAnsi="Arial" w:cs="Arial"/>
          <w:sz w:val="22"/>
          <w:szCs w:val="22"/>
          <w:lang w:val="es-ES"/>
        </w:rPr>
        <w:t xml:space="preserve"> se deb</w:t>
      </w:r>
      <w:r w:rsidR="00217A24">
        <w:rPr>
          <w:rFonts w:ascii="Arial" w:eastAsia="Times New Roman" w:hAnsi="Arial" w:cs="Arial"/>
          <w:sz w:val="22"/>
          <w:szCs w:val="22"/>
          <w:lang w:val="es-ES"/>
        </w:rPr>
        <w:t>en incorporar los costos operativos</w:t>
      </w:r>
      <w:r w:rsidR="00671021" w:rsidRPr="00FB7FB9">
        <w:rPr>
          <w:rFonts w:ascii="Arial" w:eastAsia="Times New Roman" w:hAnsi="Arial" w:cs="Arial"/>
          <w:sz w:val="22"/>
          <w:szCs w:val="22"/>
          <w:lang w:val="es-ES"/>
        </w:rPr>
        <w:t xml:space="preserve"> y </w:t>
      </w:r>
      <w:r w:rsidR="00FA10A4" w:rsidRPr="008C21E4">
        <w:rPr>
          <w:rFonts w:ascii="Arial" w:eastAsia="Times New Roman" w:hAnsi="Arial" w:cs="Arial"/>
          <w:sz w:val="22"/>
          <w:szCs w:val="22"/>
          <w:lang w:val="es-ES"/>
        </w:rPr>
        <w:t>costos de oportunidad</w:t>
      </w:r>
      <w:r w:rsidR="00671021" w:rsidRPr="00FB7FB9">
        <w:rPr>
          <w:rFonts w:ascii="Arial" w:eastAsia="Times New Roman" w:hAnsi="Arial" w:cs="Arial"/>
          <w:sz w:val="22"/>
          <w:szCs w:val="22"/>
          <w:lang w:val="es-ES"/>
        </w:rPr>
        <w:t xml:space="preserve"> c</w:t>
      </w:r>
      <w:r w:rsidR="00217A24">
        <w:rPr>
          <w:rFonts w:ascii="Arial" w:eastAsia="Times New Roman" w:hAnsi="Arial" w:cs="Arial"/>
          <w:sz w:val="22"/>
          <w:szCs w:val="22"/>
          <w:lang w:val="es-ES"/>
        </w:rPr>
        <w:t>omplementarios. Los costos operativos</w:t>
      </w:r>
      <w:r w:rsidR="00671021" w:rsidRPr="00FB7FB9">
        <w:rPr>
          <w:rFonts w:ascii="Arial" w:eastAsia="Times New Roman" w:hAnsi="Arial" w:cs="Arial"/>
          <w:sz w:val="22"/>
          <w:szCs w:val="22"/>
          <w:lang w:val="es-ES"/>
        </w:rPr>
        <w:t xml:space="preserve"> incluyen los costos de</w:t>
      </w:r>
      <w:r w:rsidR="008645A3">
        <w:rPr>
          <w:rFonts w:ascii="Arial" w:eastAsia="Times New Roman" w:hAnsi="Arial" w:cs="Arial"/>
          <w:sz w:val="22"/>
          <w:szCs w:val="22"/>
          <w:lang w:val="es-ES"/>
        </w:rPr>
        <w:t xml:space="preserve"> personal, </w:t>
      </w:r>
      <w:r w:rsidR="008645A3" w:rsidRPr="00FB7FB9">
        <w:rPr>
          <w:rFonts w:ascii="Arial" w:eastAsia="Times New Roman" w:hAnsi="Arial" w:cs="Arial"/>
          <w:sz w:val="22"/>
          <w:szCs w:val="22"/>
          <w:lang w:val="es-ES"/>
        </w:rPr>
        <w:t>administración</w:t>
      </w:r>
      <w:r w:rsidR="008645A3">
        <w:rPr>
          <w:rFonts w:ascii="Arial" w:eastAsia="Times New Roman" w:hAnsi="Arial" w:cs="Arial"/>
          <w:sz w:val="22"/>
          <w:szCs w:val="22"/>
          <w:lang w:val="es-ES"/>
        </w:rPr>
        <w:t xml:space="preserve"> y funcionamiento </w:t>
      </w:r>
      <w:r w:rsidR="003F2208">
        <w:rPr>
          <w:rFonts w:ascii="Arial" w:eastAsia="Times New Roman" w:hAnsi="Arial" w:cs="Arial"/>
          <w:sz w:val="22"/>
          <w:szCs w:val="22"/>
          <w:lang w:val="es-ES"/>
        </w:rPr>
        <w:t xml:space="preserve">y el costo de oportunidad </w:t>
      </w:r>
      <w:r w:rsidR="00D109BA">
        <w:rPr>
          <w:rFonts w:ascii="Arial" w:eastAsia="Times New Roman" w:hAnsi="Arial" w:cs="Arial"/>
          <w:sz w:val="22"/>
          <w:szCs w:val="22"/>
          <w:lang w:val="es-ES"/>
        </w:rPr>
        <w:t xml:space="preserve">se refiere al </w:t>
      </w:r>
      <w:r w:rsidR="00671021" w:rsidRPr="00FB7FB9">
        <w:rPr>
          <w:rFonts w:ascii="Arial" w:eastAsia="Times New Roman" w:hAnsi="Arial" w:cs="Arial"/>
          <w:sz w:val="22"/>
          <w:szCs w:val="22"/>
          <w:lang w:val="es-ES"/>
        </w:rPr>
        <w:t xml:space="preserve">impacto que el proyecto tendrá en el </w:t>
      </w:r>
      <w:r w:rsidR="00373CF5" w:rsidRPr="008C21E4">
        <w:rPr>
          <w:rFonts w:ascii="Arial" w:eastAsia="Times New Roman" w:hAnsi="Arial" w:cs="Arial"/>
          <w:sz w:val="22"/>
          <w:szCs w:val="22"/>
          <w:lang w:val="es-ES"/>
        </w:rPr>
        <w:t>número</w:t>
      </w:r>
      <w:r w:rsidR="00671021" w:rsidRPr="00FB7FB9">
        <w:rPr>
          <w:rFonts w:ascii="Arial" w:eastAsia="Times New Roman" w:hAnsi="Arial" w:cs="Arial"/>
          <w:sz w:val="22"/>
          <w:szCs w:val="22"/>
          <w:lang w:val="es-ES"/>
        </w:rPr>
        <w:t xml:space="preserve"> de visitas y el costo de viaje incurrido por estos pacientes.</w:t>
      </w:r>
    </w:p>
    <w:p w14:paraId="024B82E8" w14:textId="77777777" w:rsidR="00B72FAC" w:rsidRPr="00FB7FB9" w:rsidRDefault="00B72FAC" w:rsidP="00671021">
      <w:pPr>
        <w:jc w:val="both"/>
        <w:rPr>
          <w:rFonts w:ascii="Arial" w:eastAsia="Times New Roman" w:hAnsi="Arial" w:cs="Arial"/>
          <w:sz w:val="22"/>
          <w:szCs w:val="22"/>
          <w:lang w:val="es-ES"/>
        </w:rPr>
      </w:pPr>
    </w:p>
    <w:p w14:paraId="701C218C" w14:textId="4D856B08" w:rsidR="00671021" w:rsidRPr="00FB7FB9" w:rsidRDefault="00B72FAC" w:rsidP="00671021">
      <w:pPr>
        <w:jc w:val="both"/>
        <w:rPr>
          <w:rFonts w:ascii="Arial" w:eastAsia="Times New Roman" w:hAnsi="Arial" w:cs="Arial"/>
          <w:sz w:val="22"/>
          <w:szCs w:val="22"/>
          <w:lang w:val="es-ES"/>
        </w:rPr>
      </w:pPr>
      <w:r w:rsidRPr="008C21E4">
        <w:rPr>
          <w:rFonts w:ascii="Arial" w:eastAsia="Times New Roman" w:hAnsi="Arial" w:cs="Arial"/>
          <w:sz w:val="22"/>
          <w:szCs w:val="22"/>
          <w:lang w:val="es-ES"/>
        </w:rPr>
        <w:t>De forma conservadora, p</w:t>
      </w:r>
      <w:r w:rsidR="00671021" w:rsidRPr="00FB7FB9">
        <w:rPr>
          <w:rFonts w:ascii="Arial" w:eastAsia="Times New Roman" w:hAnsi="Arial" w:cs="Arial"/>
          <w:sz w:val="22"/>
          <w:szCs w:val="22"/>
          <w:lang w:val="es-ES"/>
        </w:rPr>
        <w:t>ara</w:t>
      </w:r>
      <w:r w:rsidR="008645A3">
        <w:rPr>
          <w:rFonts w:ascii="Arial" w:eastAsia="Times New Roman" w:hAnsi="Arial" w:cs="Arial"/>
          <w:sz w:val="22"/>
          <w:szCs w:val="22"/>
          <w:lang w:val="es-ES"/>
        </w:rPr>
        <w:t xml:space="preserve"> estimar los costos de operativos</w:t>
      </w:r>
      <w:r w:rsidR="00671021" w:rsidRPr="00FB7FB9">
        <w:rPr>
          <w:rFonts w:ascii="Arial" w:eastAsia="Times New Roman" w:hAnsi="Arial" w:cs="Arial"/>
          <w:sz w:val="22"/>
          <w:szCs w:val="22"/>
          <w:lang w:val="es-ES"/>
        </w:rPr>
        <w:t xml:space="preserve"> se tomaron los costos estimados basados en conversaciones con la asesoría técnica para cada tipo de servicio. Los costos mensuales se detallan a continuación: </w:t>
      </w:r>
    </w:p>
    <w:p w14:paraId="023FF00C" w14:textId="77777777" w:rsidR="00671021" w:rsidRPr="00FB7FB9" w:rsidRDefault="00671021" w:rsidP="00671021">
      <w:pPr>
        <w:shd w:val="clear" w:color="auto" w:fill="FFFFFF"/>
        <w:jc w:val="both"/>
        <w:rPr>
          <w:rFonts w:ascii="Arial" w:eastAsia="Times New Roman" w:hAnsi="Arial" w:cs="Arial"/>
          <w:sz w:val="22"/>
          <w:szCs w:val="22"/>
          <w:lang w:val="es-ES"/>
        </w:rPr>
      </w:pPr>
      <w:r w:rsidRPr="00FB7FB9">
        <w:rPr>
          <w:rFonts w:ascii="Arial" w:eastAsia="Times New Roman" w:hAnsi="Arial" w:cs="Arial"/>
          <w:sz w:val="22"/>
          <w:szCs w:val="22"/>
          <w:lang w:val="es-ES"/>
        </w:rPr>
        <w:t xml:space="preserve">  </w:t>
      </w:r>
    </w:p>
    <w:p w14:paraId="4EA413FA" w14:textId="0D15B51A" w:rsidR="00373CF5" w:rsidRPr="00274305" w:rsidRDefault="00355399" w:rsidP="00274305">
      <w:pPr>
        <w:shd w:val="clear" w:color="auto" w:fill="FFFFFF"/>
        <w:spacing w:after="120"/>
        <w:jc w:val="center"/>
        <w:rPr>
          <w:rFonts w:ascii="Arial" w:eastAsia="Times New Roman" w:hAnsi="Arial" w:cs="Arial"/>
          <w:b/>
          <w:color w:val="222222"/>
          <w:sz w:val="18"/>
          <w:szCs w:val="18"/>
          <w:lang w:val="es-ES" w:eastAsia="pt-BR"/>
        </w:rPr>
      </w:pPr>
      <w:r w:rsidRPr="00274305">
        <w:rPr>
          <w:rFonts w:ascii="Arial" w:hAnsi="Arial" w:cs="Arial"/>
          <w:b/>
          <w:sz w:val="18"/>
          <w:szCs w:val="18"/>
          <w:lang w:val="es-ES"/>
        </w:rPr>
        <w:t xml:space="preserve">Tabla </w:t>
      </w:r>
      <w:r w:rsidRPr="00274305">
        <w:rPr>
          <w:rFonts w:ascii="Arial" w:hAnsi="Arial" w:cs="Arial"/>
          <w:b/>
          <w:sz w:val="18"/>
          <w:szCs w:val="18"/>
          <w:lang w:val="es-ES"/>
        </w:rPr>
        <w:fldChar w:fldCharType="begin"/>
      </w:r>
      <w:r w:rsidRPr="00274305">
        <w:rPr>
          <w:rFonts w:ascii="Arial" w:hAnsi="Arial" w:cs="Arial"/>
          <w:b/>
          <w:sz w:val="18"/>
          <w:szCs w:val="18"/>
          <w:lang w:val="es-ES"/>
        </w:rPr>
        <w:instrText xml:space="preserve"> SEQ Tabla \* ARABIC </w:instrText>
      </w:r>
      <w:r w:rsidRPr="00274305">
        <w:rPr>
          <w:rFonts w:ascii="Arial" w:hAnsi="Arial" w:cs="Arial"/>
          <w:b/>
          <w:sz w:val="18"/>
          <w:szCs w:val="18"/>
          <w:lang w:val="es-ES"/>
        </w:rPr>
        <w:fldChar w:fldCharType="separate"/>
      </w:r>
      <w:r w:rsidRPr="00274305">
        <w:rPr>
          <w:rFonts w:ascii="Arial" w:hAnsi="Arial" w:cs="Arial"/>
          <w:b/>
          <w:noProof/>
          <w:sz w:val="18"/>
          <w:szCs w:val="18"/>
          <w:lang w:val="es-ES"/>
        </w:rPr>
        <w:t>7</w:t>
      </w:r>
      <w:r w:rsidRPr="00274305">
        <w:rPr>
          <w:rFonts w:ascii="Arial" w:hAnsi="Arial" w:cs="Arial"/>
          <w:b/>
          <w:noProof/>
          <w:sz w:val="18"/>
          <w:szCs w:val="18"/>
          <w:lang w:val="es-ES"/>
        </w:rPr>
        <w:fldChar w:fldCharType="end"/>
      </w:r>
      <w:r w:rsidRPr="00274305">
        <w:rPr>
          <w:rFonts w:ascii="Arial" w:hAnsi="Arial" w:cs="Arial"/>
          <w:b/>
          <w:sz w:val="18"/>
          <w:szCs w:val="18"/>
          <w:lang w:val="es-ES"/>
        </w:rPr>
        <w:t>. Costos operativos mensuales</w:t>
      </w:r>
    </w:p>
    <w:tbl>
      <w:tblPr>
        <w:tblW w:w="0" w:type="auto"/>
        <w:jc w:val="center"/>
        <w:shd w:val="clear" w:color="auto" w:fill="FFFFFF"/>
        <w:tblCellMar>
          <w:left w:w="0" w:type="dxa"/>
          <w:right w:w="0" w:type="dxa"/>
        </w:tblCellMar>
        <w:tblLook w:val="04A0" w:firstRow="1" w:lastRow="0" w:firstColumn="1" w:lastColumn="0" w:noHBand="0" w:noVBand="1"/>
      </w:tblPr>
      <w:tblGrid>
        <w:gridCol w:w="2194"/>
        <w:gridCol w:w="2954"/>
      </w:tblGrid>
      <w:tr w:rsidR="00373CF5" w:rsidRPr="00274305" w14:paraId="14C3F9F8" w14:textId="77777777" w:rsidTr="00274305">
        <w:trPr>
          <w:jc w:val="center"/>
        </w:trPr>
        <w:tc>
          <w:tcPr>
            <w:tcW w:w="2194" w:type="dxa"/>
            <w:tcBorders>
              <w:top w:val="single" w:sz="4" w:space="0" w:color="auto"/>
              <w:left w:val="single" w:sz="4" w:space="0" w:color="auto"/>
              <w:bottom w:val="single" w:sz="4" w:space="0" w:color="auto"/>
              <w:right w:val="single" w:sz="4" w:space="0" w:color="auto"/>
            </w:tcBorders>
            <w:shd w:val="clear" w:color="auto" w:fill="548DD4" w:themeFill="text2" w:themeFillTint="99"/>
            <w:tcMar>
              <w:top w:w="0" w:type="dxa"/>
              <w:left w:w="108" w:type="dxa"/>
              <w:bottom w:w="0" w:type="dxa"/>
              <w:right w:w="108" w:type="dxa"/>
            </w:tcMar>
            <w:hideMark/>
          </w:tcPr>
          <w:p w14:paraId="079F2C6D" w14:textId="13A47765" w:rsidR="00373CF5" w:rsidRPr="00274305" w:rsidRDefault="00373CF5" w:rsidP="00743362">
            <w:pPr>
              <w:jc w:val="both"/>
              <w:rPr>
                <w:rFonts w:ascii="Arial" w:eastAsia="Times New Roman" w:hAnsi="Arial" w:cs="Arial"/>
                <w:color w:val="222222"/>
                <w:sz w:val="18"/>
                <w:szCs w:val="18"/>
                <w:lang w:val="es-ES" w:eastAsia="pt-BR"/>
              </w:rPr>
            </w:pPr>
          </w:p>
        </w:tc>
        <w:tc>
          <w:tcPr>
            <w:tcW w:w="2954" w:type="dxa"/>
            <w:tcBorders>
              <w:top w:val="single" w:sz="4" w:space="0" w:color="auto"/>
              <w:left w:val="single" w:sz="4" w:space="0" w:color="auto"/>
              <w:bottom w:val="single" w:sz="4" w:space="0" w:color="auto"/>
              <w:right w:val="single" w:sz="4" w:space="0" w:color="auto"/>
            </w:tcBorders>
            <w:shd w:val="clear" w:color="auto" w:fill="548DD4" w:themeFill="text2" w:themeFillTint="99"/>
            <w:tcMar>
              <w:top w:w="0" w:type="dxa"/>
              <w:left w:w="108" w:type="dxa"/>
              <w:bottom w:w="0" w:type="dxa"/>
              <w:right w:w="108" w:type="dxa"/>
            </w:tcMar>
            <w:hideMark/>
          </w:tcPr>
          <w:p w14:paraId="0077F378" w14:textId="6922A13D" w:rsidR="00373CF5" w:rsidRPr="00274305" w:rsidRDefault="00355399" w:rsidP="00743362">
            <w:pPr>
              <w:jc w:val="both"/>
              <w:rPr>
                <w:rFonts w:ascii="Arial" w:eastAsia="Times New Roman" w:hAnsi="Arial" w:cs="Arial"/>
                <w:color w:val="222222"/>
                <w:sz w:val="18"/>
                <w:szCs w:val="18"/>
                <w:lang w:val="es-ES" w:eastAsia="pt-BR"/>
              </w:rPr>
            </w:pPr>
            <w:r w:rsidRPr="00274305">
              <w:rPr>
                <w:rFonts w:ascii="Arial" w:eastAsia="Times New Roman" w:hAnsi="Arial" w:cs="Arial"/>
                <w:b/>
                <w:bCs/>
                <w:color w:val="222222"/>
                <w:sz w:val="18"/>
                <w:szCs w:val="18"/>
                <w:lang w:val="es-ES" w:eastAsia="pt-BR"/>
              </w:rPr>
              <w:t>Costo mensual</w:t>
            </w:r>
            <w:r w:rsidR="00176A1A" w:rsidRPr="00274305">
              <w:rPr>
                <w:rFonts w:ascii="Arial" w:eastAsia="Times New Roman" w:hAnsi="Arial" w:cs="Arial"/>
                <w:b/>
                <w:bCs/>
                <w:color w:val="222222"/>
                <w:sz w:val="18"/>
                <w:szCs w:val="18"/>
                <w:lang w:val="es-ES" w:eastAsia="pt-BR"/>
              </w:rPr>
              <w:t xml:space="preserve"> por unidad</w:t>
            </w:r>
          </w:p>
        </w:tc>
      </w:tr>
      <w:tr w:rsidR="00373CF5" w:rsidRPr="00274305" w14:paraId="2C4EA0AF" w14:textId="77777777" w:rsidTr="00274305">
        <w:trPr>
          <w:jc w:val="center"/>
        </w:trPr>
        <w:tc>
          <w:tcPr>
            <w:tcW w:w="2194" w:type="dxa"/>
            <w:tcBorders>
              <w:top w:val="single" w:sz="4" w:space="0" w:color="auto"/>
              <w:left w:val="single" w:sz="4" w:space="0" w:color="auto"/>
              <w:bottom w:val="single" w:sz="8" w:space="0" w:color="4F81BD"/>
              <w:right w:val="single" w:sz="4" w:space="0" w:color="auto"/>
            </w:tcBorders>
            <w:shd w:val="clear" w:color="auto" w:fill="D3DFEE"/>
            <w:tcMar>
              <w:top w:w="0" w:type="dxa"/>
              <w:left w:w="108" w:type="dxa"/>
              <w:bottom w:w="0" w:type="dxa"/>
              <w:right w:w="108" w:type="dxa"/>
            </w:tcMar>
            <w:vAlign w:val="center"/>
            <w:hideMark/>
          </w:tcPr>
          <w:p w14:paraId="3D595B7D" w14:textId="3B2284D9" w:rsidR="00373CF5" w:rsidRPr="00274305" w:rsidRDefault="003F2208" w:rsidP="00743362">
            <w:pPr>
              <w:jc w:val="both"/>
              <w:rPr>
                <w:rFonts w:ascii="Arial" w:eastAsia="Times New Roman" w:hAnsi="Arial" w:cs="Arial"/>
                <w:color w:val="222222"/>
                <w:sz w:val="18"/>
                <w:szCs w:val="18"/>
                <w:lang w:val="es-ES" w:eastAsia="pt-BR"/>
              </w:rPr>
            </w:pPr>
            <w:r w:rsidRPr="00274305">
              <w:rPr>
                <w:rFonts w:ascii="Arial" w:eastAsia="Times New Roman" w:hAnsi="Arial" w:cs="Arial"/>
                <w:b/>
                <w:bCs/>
                <w:color w:val="222222"/>
                <w:sz w:val="18"/>
                <w:szCs w:val="18"/>
                <w:lang w:val="es-ES" w:eastAsia="pt-BR"/>
              </w:rPr>
              <w:t>UBS</w:t>
            </w:r>
            <w:r w:rsidR="00373CF5" w:rsidRPr="00274305">
              <w:rPr>
                <w:rFonts w:ascii="Arial" w:eastAsia="Times New Roman" w:hAnsi="Arial" w:cs="Arial"/>
                <w:b/>
                <w:bCs/>
                <w:color w:val="222222"/>
                <w:sz w:val="18"/>
                <w:szCs w:val="18"/>
                <w:lang w:val="es-ES" w:eastAsia="pt-BR"/>
              </w:rPr>
              <w:t xml:space="preserve"> </w:t>
            </w:r>
          </w:p>
        </w:tc>
        <w:tc>
          <w:tcPr>
            <w:tcW w:w="2954" w:type="dxa"/>
            <w:tcBorders>
              <w:top w:val="single" w:sz="4" w:space="0" w:color="auto"/>
              <w:left w:val="single" w:sz="4" w:space="0" w:color="auto"/>
              <w:bottom w:val="single" w:sz="8" w:space="0" w:color="4F81BD"/>
              <w:right w:val="single" w:sz="4" w:space="0" w:color="auto"/>
            </w:tcBorders>
            <w:shd w:val="clear" w:color="auto" w:fill="D3DFEE"/>
            <w:tcMar>
              <w:top w:w="0" w:type="dxa"/>
              <w:left w:w="108" w:type="dxa"/>
              <w:bottom w:w="0" w:type="dxa"/>
              <w:right w:w="108" w:type="dxa"/>
            </w:tcMar>
            <w:vAlign w:val="center"/>
            <w:hideMark/>
          </w:tcPr>
          <w:p w14:paraId="3126DAFC" w14:textId="682989B6" w:rsidR="00176A1A" w:rsidRPr="00274305" w:rsidRDefault="00176A1A" w:rsidP="00176A1A">
            <w:pPr>
              <w:jc w:val="right"/>
              <w:rPr>
                <w:rFonts w:ascii="Arial" w:eastAsia="Times New Roman" w:hAnsi="Arial" w:cs="Arial"/>
                <w:color w:val="222222"/>
                <w:sz w:val="18"/>
                <w:szCs w:val="18"/>
                <w:lang w:val="es-ES" w:eastAsia="pt-BR"/>
              </w:rPr>
            </w:pPr>
            <w:r w:rsidRPr="00274305">
              <w:rPr>
                <w:rFonts w:ascii="Arial" w:eastAsia="Times New Roman" w:hAnsi="Arial" w:cs="Arial"/>
                <w:color w:val="222222"/>
                <w:sz w:val="18"/>
                <w:szCs w:val="18"/>
                <w:lang w:val="es-ES" w:eastAsia="pt-BR"/>
              </w:rPr>
              <w:t xml:space="preserve">R$ </w:t>
            </w:r>
            <w:r w:rsidRPr="00274305">
              <w:rPr>
                <w:rFonts w:ascii="Arial" w:eastAsia="Times New Roman" w:hAnsi="Arial" w:cs="Arial"/>
                <w:color w:val="222222"/>
                <w:sz w:val="18"/>
                <w:szCs w:val="18"/>
                <w:lang w:eastAsia="pt-BR"/>
              </w:rPr>
              <w:t xml:space="preserve">700,000 </w:t>
            </w:r>
          </w:p>
          <w:p w14:paraId="281798D3" w14:textId="65BFDBEC" w:rsidR="00373CF5" w:rsidRPr="00274305" w:rsidRDefault="00373CF5" w:rsidP="00FB7FB9">
            <w:pPr>
              <w:jc w:val="right"/>
              <w:rPr>
                <w:rFonts w:ascii="Arial" w:eastAsia="Times New Roman" w:hAnsi="Arial" w:cs="Arial"/>
                <w:color w:val="222222"/>
                <w:sz w:val="18"/>
                <w:szCs w:val="18"/>
                <w:lang w:val="es-ES" w:eastAsia="pt-BR"/>
              </w:rPr>
            </w:pPr>
            <w:r w:rsidRPr="00274305">
              <w:rPr>
                <w:rFonts w:ascii="Arial" w:eastAsia="Times New Roman" w:hAnsi="Arial" w:cs="Arial"/>
                <w:color w:val="222222"/>
                <w:sz w:val="18"/>
                <w:szCs w:val="18"/>
                <w:lang w:val="es-ES" w:eastAsia="pt-BR"/>
              </w:rPr>
              <w:t xml:space="preserve"> </w:t>
            </w:r>
          </w:p>
        </w:tc>
      </w:tr>
      <w:tr w:rsidR="00373CF5" w:rsidRPr="00274305" w14:paraId="558D0347" w14:textId="77777777" w:rsidTr="00274305">
        <w:trPr>
          <w:jc w:val="center"/>
        </w:trPr>
        <w:tc>
          <w:tcPr>
            <w:tcW w:w="2194" w:type="dxa"/>
            <w:tcBorders>
              <w:top w:val="nil"/>
              <w:left w:val="single" w:sz="4" w:space="0" w:color="auto"/>
              <w:bottom w:val="single" w:sz="8" w:space="0" w:color="4F81BD"/>
              <w:right w:val="single" w:sz="4" w:space="0" w:color="auto"/>
            </w:tcBorders>
            <w:shd w:val="clear" w:color="auto" w:fill="FFFFFF"/>
            <w:tcMar>
              <w:top w:w="0" w:type="dxa"/>
              <w:left w:w="108" w:type="dxa"/>
              <w:bottom w:w="0" w:type="dxa"/>
              <w:right w:w="108" w:type="dxa"/>
            </w:tcMar>
            <w:vAlign w:val="center"/>
            <w:hideMark/>
          </w:tcPr>
          <w:p w14:paraId="5F771EBB" w14:textId="2BAB93F0" w:rsidR="00373CF5" w:rsidRPr="00274305" w:rsidRDefault="003F2208" w:rsidP="00743362">
            <w:pPr>
              <w:jc w:val="both"/>
              <w:rPr>
                <w:rFonts w:ascii="Arial" w:eastAsia="Times New Roman" w:hAnsi="Arial" w:cs="Arial"/>
                <w:color w:val="222222"/>
                <w:sz w:val="18"/>
                <w:szCs w:val="18"/>
                <w:lang w:val="es-ES" w:eastAsia="pt-BR"/>
              </w:rPr>
            </w:pPr>
            <w:r w:rsidRPr="00274305">
              <w:rPr>
                <w:rFonts w:ascii="Arial" w:eastAsia="Times New Roman" w:hAnsi="Arial" w:cs="Arial"/>
                <w:b/>
                <w:bCs/>
                <w:color w:val="222222"/>
                <w:sz w:val="18"/>
                <w:szCs w:val="18"/>
                <w:lang w:val="es-ES" w:eastAsia="pt-BR"/>
              </w:rPr>
              <w:t>Rede de frio</w:t>
            </w:r>
          </w:p>
        </w:tc>
        <w:tc>
          <w:tcPr>
            <w:tcW w:w="2954" w:type="dxa"/>
            <w:tcBorders>
              <w:top w:val="nil"/>
              <w:left w:val="single" w:sz="4" w:space="0" w:color="auto"/>
              <w:bottom w:val="single" w:sz="8" w:space="0" w:color="4F81BD"/>
              <w:right w:val="single" w:sz="4" w:space="0" w:color="auto"/>
            </w:tcBorders>
            <w:shd w:val="clear" w:color="auto" w:fill="FFFFFF"/>
            <w:tcMar>
              <w:top w:w="0" w:type="dxa"/>
              <w:left w:w="108" w:type="dxa"/>
              <w:bottom w:w="0" w:type="dxa"/>
              <w:right w:w="108" w:type="dxa"/>
            </w:tcMar>
            <w:vAlign w:val="center"/>
            <w:hideMark/>
          </w:tcPr>
          <w:p w14:paraId="77E2DEDF" w14:textId="200880B2" w:rsidR="00373CF5" w:rsidRPr="00274305" w:rsidRDefault="00176A1A" w:rsidP="00FB7FB9">
            <w:pPr>
              <w:jc w:val="right"/>
              <w:rPr>
                <w:rFonts w:ascii="Arial" w:eastAsia="Times New Roman" w:hAnsi="Arial" w:cs="Arial"/>
                <w:color w:val="222222"/>
                <w:sz w:val="18"/>
                <w:szCs w:val="18"/>
                <w:lang w:val="es-ES" w:eastAsia="pt-BR"/>
              </w:rPr>
            </w:pPr>
            <w:r w:rsidRPr="00274305">
              <w:rPr>
                <w:rFonts w:ascii="Arial" w:eastAsia="Times New Roman" w:hAnsi="Arial" w:cs="Arial"/>
                <w:color w:val="222222"/>
                <w:sz w:val="18"/>
                <w:szCs w:val="18"/>
                <w:lang w:val="es-ES" w:eastAsia="pt-BR"/>
              </w:rPr>
              <w:t>R$ 100,000</w:t>
            </w:r>
          </w:p>
        </w:tc>
      </w:tr>
      <w:tr w:rsidR="00373CF5" w:rsidRPr="00274305" w14:paraId="048AADDB" w14:textId="77777777" w:rsidTr="00274305">
        <w:trPr>
          <w:jc w:val="center"/>
        </w:trPr>
        <w:tc>
          <w:tcPr>
            <w:tcW w:w="2194" w:type="dxa"/>
            <w:tcBorders>
              <w:top w:val="nil"/>
              <w:left w:val="single" w:sz="4" w:space="0" w:color="auto"/>
              <w:bottom w:val="single" w:sz="8" w:space="0" w:color="4F81BD"/>
              <w:right w:val="single" w:sz="4" w:space="0" w:color="auto"/>
            </w:tcBorders>
            <w:shd w:val="clear" w:color="auto" w:fill="D3DFEE"/>
            <w:tcMar>
              <w:top w:w="0" w:type="dxa"/>
              <w:left w:w="108" w:type="dxa"/>
              <w:bottom w:w="0" w:type="dxa"/>
              <w:right w:w="108" w:type="dxa"/>
            </w:tcMar>
            <w:vAlign w:val="center"/>
            <w:hideMark/>
          </w:tcPr>
          <w:p w14:paraId="1DC394C9" w14:textId="0F3CA6D8" w:rsidR="00373CF5" w:rsidRPr="00274305" w:rsidRDefault="003F2208" w:rsidP="00743362">
            <w:pPr>
              <w:jc w:val="both"/>
              <w:rPr>
                <w:rFonts w:ascii="Arial" w:eastAsia="Times New Roman" w:hAnsi="Arial" w:cs="Arial"/>
                <w:color w:val="222222"/>
                <w:sz w:val="18"/>
                <w:szCs w:val="18"/>
                <w:lang w:val="es-ES" w:eastAsia="pt-BR"/>
              </w:rPr>
            </w:pPr>
            <w:r w:rsidRPr="00274305">
              <w:rPr>
                <w:rFonts w:ascii="Arial" w:eastAsia="Times New Roman" w:hAnsi="Arial" w:cs="Arial"/>
                <w:b/>
                <w:bCs/>
                <w:color w:val="222222"/>
                <w:sz w:val="18"/>
                <w:szCs w:val="18"/>
                <w:lang w:val="es-ES" w:eastAsia="pt-BR"/>
              </w:rPr>
              <w:t>UPA</w:t>
            </w:r>
          </w:p>
        </w:tc>
        <w:tc>
          <w:tcPr>
            <w:tcW w:w="2954" w:type="dxa"/>
            <w:tcBorders>
              <w:top w:val="nil"/>
              <w:left w:val="single" w:sz="4" w:space="0" w:color="auto"/>
              <w:bottom w:val="single" w:sz="8" w:space="0" w:color="4F81BD"/>
              <w:right w:val="single" w:sz="4" w:space="0" w:color="auto"/>
            </w:tcBorders>
            <w:shd w:val="clear" w:color="auto" w:fill="D3DFEE"/>
            <w:tcMar>
              <w:top w:w="0" w:type="dxa"/>
              <w:left w:w="108" w:type="dxa"/>
              <w:bottom w:w="0" w:type="dxa"/>
              <w:right w:w="108" w:type="dxa"/>
            </w:tcMar>
            <w:vAlign w:val="center"/>
            <w:hideMark/>
          </w:tcPr>
          <w:p w14:paraId="732F9C43" w14:textId="036C1B9F" w:rsidR="00373CF5" w:rsidRPr="00274305" w:rsidRDefault="00176A1A" w:rsidP="00FB7FB9">
            <w:pPr>
              <w:jc w:val="right"/>
              <w:rPr>
                <w:rFonts w:ascii="Arial" w:eastAsia="Times New Roman" w:hAnsi="Arial" w:cs="Arial"/>
                <w:color w:val="222222"/>
                <w:sz w:val="18"/>
                <w:szCs w:val="18"/>
                <w:lang w:val="es-ES" w:eastAsia="pt-BR"/>
              </w:rPr>
            </w:pPr>
            <w:r w:rsidRPr="00274305">
              <w:rPr>
                <w:rFonts w:ascii="Arial" w:eastAsia="Times New Roman" w:hAnsi="Arial" w:cs="Arial"/>
                <w:color w:val="222222"/>
                <w:sz w:val="18"/>
                <w:szCs w:val="18"/>
                <w:lang w:val="es-ES" w:eastAsia="pt-BR"/>
              </w:rPr>
              <w:t>R$ 1,800,000</w:t>
            </w:r>
          </w:p>
        </w:tc>
      </w:tr>
      <w:tr w:rsidR="00373CF5" w:rsidRPr="00274305" w14:paraId="33C276B0" w14:textId="77777777" w:rsidTr="00274305">
        <w:trPr>
          <w:jc w:val="center"/>
        </w:trPr>
        <w:tc>
          <w:tcPr>
            <w:tcW w:w="2194"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73C533E" w14:textId="110DDF33" w:rsidR="00373CF5" w:rsidRPr="00274305" w:rsidRDefault="003F2208" w:rsidP="00743362">
            <w:pPr>
              <w:jc w:val="both"/>
              <w:rPr>
                <w:rFonts w:ascii="Arial" w:eastAsia="Times New Roman" w:hAnsi="Arial" w:cs="Arial"/>
                <w:color w:val="222222"/>
                <w:sz w:val="18"/>
                <w:szCs w:val="18"/>
                <w:lang w:val="es-ES" w:eastAsia="pt-BR"/>
              </w:rPr>
            </w:pPr>
            <w:r w:rsidRPr="00274305">
              <w:rPr>
                <w:rFonts w:ascii="Arial" w:eastAsia="Times New Roman" w:hAnsi="Arial" w:cs="Arial"/>
                <w:b/>
                <w:bCs/>
                <w:color w:val="222222"/>
                <w:sz w:val="18"/>
                <w:szCs w:val="18"/>
                <w:lang w:val="es-ES" w:eastAsia="pt-BR"/>
              </w:rPr>
              <w:t>CERSAM</w:t>
            </w:r>
          </w:p>
        </w:tc>
        <w:tc>
          <w:tcPr>
            <w:tcW w:w="2954"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0526391" w14:textId="0B49526C" w:rsidR="00373CF5" w:rsidRPr="00274305" w:rsidRDefault="00355399" w:rsidP="00FB7FB9">
            <w:pPr>
              <w:jc w:val="right"/>
              <w:rPr>
                <w:rFonts w:ascii="Arial" w:eastAsia="Times New Roman" w:hAnsi="Arial" w:cs="Arial"/>
                <w:color w:val="222222"/>
                <w:sz w:val="18"/>
                <w:szCs w:val="18"/>
                <w:lang w:val="es-ES" w:eastAsia="pt-BR"/>
              </w:rPr>
            </w:pPr>
            <w:r w:rsidRPr="00274305">
              <w:rPr>
                <w:rFonts w:ascii="Arial" w:eastAsia="Times New Roman" w:hAnsi="Arial" w:cs="Arial"/>
                <w:color w:val="222222"/>
                <w:sz w:val="18"/>
                <w:szCs w:val="18"/>
                <w:lang w:val="es-ES" w:eastAsia="pt-BR"/>
              </w:rPr>
              <w:t xml:space="preserve">R$ </w:t>
            </w:r>
            <w:r w:rsidR="00176A1A" w:rsidRPr="00274305">
              <w:rPr>
                <w:rFonts w:ascii="Arial" w:eastAsia="Times New Roman" w:hAnsi="Arial" w:cs="Arial"/>
                <w:color w:val="222222"/>
                <w:sz w:val="18"/>
                <w:szCs w:val="18"/>
                <w:lang w:val="es-ES" w:eastAsia="pt-BR"/>
              </w:rPr>
              <w:t>200,000</w:t>
            </w:r>
          </w:p>
        </w:tc>
      </w:tr>
    </w:tbl>
    <w:p w14:paraId="0AFAD87A" w14:textId="77777777" w:rsidR="002D13AD" w:rsidRPr="008C21E4" w:rsidRDefault="002D13AD" w:rsidP="00274305">
      <w:pPr>
        <w:autoSpaceDE w:val="0"/>
        <w:autoSpaceDN w:val="0"/>
        <w:adjustRightInd w:val="0"/>
        <w:spacing w:before="120"/>
        <w:ind w:left="2070"/>
        <w:jc w:val="both"/>
        <w:rPr>
          <w:rFonts w:ascii="Arial" w:hAnsi="Arial" w:cs="Arial"/>
          <w:sz w:val="16"/>
          <w:szCs w:val="16"/>
          <w:lang w:val="es-ES"/>
        </w:rPr>
      </w:pPr>
      <w:r w:rsidRPr="008C21E4">
        <w:rPr>
          <w:rFonts w:ascii="Arial" w:hAnsi="Arial" w:cs="Arial"/>
          <w:sz w:val="16"/>
          <w:szCs w:val="16"/>
          <w:lang w:val="es-ES"/>
        </w:rPr>
        <w:t>Fuente: Elaboración de los autores.</w:t>
      </w:r>
    </w:p>
    <w:p w14:paraId="464FFC94" w14:textId="3F77FF09" w:rsidR="00373CF5" w:rsidRPr="008C21E4" w:rsidRDefault="00373CF5" w:rsidP="00373CF5">
      <w:pPr>
        <w:shd w:val="clear" w:color="auto" w:fill="FFFFFF"/>
        <w:jc w:val="both"/>
        <w:rPr>
          <w:rFonts w:ascii="Arial" w:eastAsia="Times New Roman" w:hAnsi="Arial" w:cs="Arial"/>
          <w:color w:val="222222"/>
          <w:sz w:val="19"/>
          <w:szCs w:val="19"/>
          <w:lang w:val="es-ES" w:eastAsia="pt-BR"/>
        </w:rPr>
      </w:pPr>
      <w:r w:rsidRPr="008C21E4">
        <w:rPr>
          <w:rFonts w:ascii="Arial" w:eastAsia="Times New Roman" w:hAnsi="Arial" w:cs="Arial"/>
          <w:color w:val="222222"/>
          <w:sz w:val="19"/>
          <w:szCs w:val="19"/>
          <w:lang w:val="es-ES" w:eastAsia="pt-BR"/>
        </w:rPr>
        <w:t> </w:t>
      </w:r>
    </w:p>
    <w:p w14:paraId="65F590BC" w14:textId="2731AD4C" w:rsidR="00671021" w:rsidRPr="008C21E4" w:rsidRDefault="00671021" w:rsidP="00671021">
      <w:pPr>
        <w:jc w:val="both"/>
        <w:rPr>
          <w:rFonts w:ascii="Arial" w:eastAsia="Times New Roman" w:hAnsi="Arial" w:cs="Arial"/>
          <w:sz w:val="22"/>
          <w:szCs w:val="22"/>
          <w:lang w:val="es-ES"/>
        </w:rPr>
      </w:pPr>
      <w:r w:rsidRPr="00FB7FB9">
        <w:rPr>
          <w:rFonts w:ascii="Arial" w:eastAsia="Times New Roman" w:hAnsi="Arial" w:cs="Arial"/>
          <w:sz w:val="22"/>
          <w:szCs w:val="22"/>
          <w:lang w:val="es-ES"/>
        </w:rPr>
        <w:t>Se estiman los montos reales en dólares consi</w:t>
      </w:r>
      <w:r w:rsidR="00176A1A">
        <w:rPr>
          <w:rFonts w:ascii="Arial" w:eastAsia="Times New Roman" w:hAnsi="Arial" w:cs="Arial"/>
          <w:sz w:val="22"/>
          <w:szCs w:val="22"/>
          <w:lang w:val="es-ES"/>
        </w:rPr>
        <w:t>derando un tipo de cambio de 3.5</w:t>
      </w:r>
      <w:r w:rsidRPr="00FB7FB9">
        <w:rPr>
          <w:rFonts w:ascii="Arial" w:eastAsia="Times New Roman" w:hAnsi="Arial" w:cs="Arial"/>
          <w:sz w:val="22"/>
          <w:szCs w:val="22"/>
          <w:lang w:val="es-ES"/>
        </w:rPr>
        <w:t xml:space="preserve"> dólares por Real. </w:t>
      </w:r>
      <w:r w:rsidR="001A64AF" w:rsidRPr="00A60333">
        <w:rPr>
          <w:rFonts w:ascii="Arial" w:eastAsia="Times New Roman" w:hAnsi="Arial" w:cs="Arial"/>
          <w:sz w:val="22"/>
          <w:szCs w:val="22"/>
          <w:lang w:val="es-ES"/>
        </w:rPr>
        <w:t>Solo se consideran los co</w:t>
      </w:r>
      <w:r w:rsidR="001A64AF">
        <w:rPr>
          <w:rFonts w:ascii="Arial" w:eastAsia="Times New Roman" w:hAnsi="Arial" w:cs="Arial"/>
          <w:sz w:val="22"/>
          <w:szCs w:val="22"/>
          <w:lang w:val="es-ES"/>
        </w:rPr>
        <w:t>stos operativos q</w:t>
      </w:r>
      <w:r w:rsidR="00A94119">
        <w:rPr>
          <w:rFonts w:ascii="Arial" w:eastAsia="Times New Roman" w:hAnsi="Arial" w:cs="Arial"/>
          <w:sz w:val="22"/>
          <w:szCs w:val="22"/>
          <w:lang w:val="es-ES"/>
        </w:rPr>
        <w:t xml:space="preserve">ue involucran construcción </w:t>
      </w:r>
      <w:r w:rsidR="001A64AF">
        <w:rPr>
          <w:rFonts w:ascii="Arial" w:eastAsia="Times New Roman" w:hAnsi="Arial" w:cs="Arial"/>
          <w:sz w:val="22"/>
          <w:szCs w:val="22"/>
          <w:lang w:val="es-ES"/>
        </w:rPr>
        <w:t xml:space="preserve">y se supone que en el caso de las </w:t>
      </w:r>
      <w:r w:rsidR="00D109BA">
        <w:rPr>
          <w:rFonts w:ascii="Arial" w:eastAsia="Times New Roman" w:hAnsi="Arial" w:cs="Arial"/>
          <w:sz w:val="22"/>
          <w:szCs w:val="22"/>
          <w:lang w:val="es-ES"/>
        </w:rPr>
        <w:t xml:space="preserve">ampliaciones y </w:t>
      </w:r>
      <w:r w:rsidR="00AB5887">
        <w:rPr>
          <w:rFonts w:ascii="Arial" w:eastAsia="Times New Roman" w:hAnsi="Arial" w:cs="Arial"/>
          <w:sz w:val="22"/>
          <w:szCs w:val="22"/>
          <w:lang w:val="es-ES"/>
        </w:rPr>
        <w:t>reforma</w:t>
      </w:r>
      <w:r w:rsidR="00680D41">
        <w:rPr>
          <w:rFonts w:ascii="Arial" w:eastAsia="Times New Roman" w:hAnsi="Arial" w:cs="Arial"/>
          <w:sz w:val="22"/>
          <w:szCs w:val="22"/>
          <w:lang w:val="es-ES"/>
        </w:rPr>
        <w:t>s</w:t>
      </w:r>
      <w:r w:rsidR="00AB5887">
        <w:rPr>
          <w:rFonts w:ascii="Arial" w:eastAsia="Times New Roman" w:hAnsi="Arial" w:cs="Arial"/>
          <w:sz w:val="22"/>
          <w:szCs w:val="22"/>
          <w:lang w:val="es-ES"/>
        </w:rPr>
        <w:t xml:space="preserve"> </w:t>
      </w:r>
      <w:r w:rsidR="001A64AF">
        <w:rPr>
          <w:rFonts w:ascii="Arial" w:eastAsia="Times New Roman" w:hAnsi="Arial" w:cs="Arial"/>
          <w:sz w:val="22"/>
          <w:szCs w:val="22"/>
          <w:lang w:val="es-ES"/>
        </w:rPr>
        <w:t xml:space="preserve">solo se considera un aumento de un 10% en los costos </w:t>
      </w:r>
      <w:r w:rsidR="001A64AF" w:rsidRPr="00A60333">
        <w:rPr>
          <w:rFonts w:ascii="Arial" w:eastAsia="Times New Roman" w:hAnsi="Arial" w:cs="Arial"/>
          <w:sz w:val="22"/>
          <w:szCs w:val="22"/>
          <w:lang w:val="es-ES"/>
        </w:rPr>
        <w:t xml:space="preserve">operativos </w:t>
      </w:r>
      <w:r w:rsidR="001A64AF">
        <w:rPr>
          <w:rFonts w:ascii="Arial" w:eastAsia="Times New Roman" w:hAnsi="Arial" w:cs="Arial"/>
          <w:sz w:val="22"/>
          <w:szCs w:val="22"/>
          <w:lang w:val="es-ES"/>
        </w:rPr>
        <w:t xml:space="preserve">adicionales ya que no se espera un aumento del costo operativo </w:t>
      </w:r>
      <w:r w:rsidR="001A64AF" w:rsidRPr="00A60333">
        <w:rPr>
          <w:rFonts w:ascii="Arial" w:eastAsia="Times New Roman" w:hAnsi="Arial" w:cs="Arial"/>
          <w:sz w:val="22"/>
          <w:szCs w:val="22"/>
          <w:lang w:val="es-ES"/>
        </w:rPr>
        <w:t>para los servicios existentes.</w:t>
      </w:r>
      <w:r w:rsidR="001A64AF">
        <w:rPr>
          <w:rFonts w:ascii="Arial" w:eastAsia="Times New Roman" w:hAnsi="Arial" w:cs="Arial"/>
          <w:sz w:val="22"/>
          <w:szCs w:val="22"/>
          <w:lang w:val="es-ES"/>
        </w:rPr>
        <w:t xml:space="preserve"> </w:t>
      </w:r>
      <w:r w:rsidRPr="00FB7FB9">
        <w:rPr>
          <w:rFonts w:ascii="Arial" w:eastAsia="Times New Roman" w:hAnsi="Arial" w:cs="Arial"/>
          <w:sz w:val="22"/>
          <w:szCs w:val="22"/>
          <w:lang w:val="es-ES"/>
        </w:rPr>
        <w:t xml:space="preserve">El costo operativo </w:t>
      </w:r>
      <w:r w:rsidR="00D7543D">
        <w:rPr>
          <w:rFonts w:ascii="Arial" w:eastAsia="Times New Roman" w:hAnsi="Arial" w:cs="Arial"/>
          <w:sz w:val="22"/>
          <w:szCs w:val="22"/>
          <w:lang w:val="es-ES"/>
        </w:rPr>
        <w:t xml:space="preserve">estimado es </w:t>
      </w:r>
      <w:r w:rsidR="00D109BA">
        <w:rPr>
          <w:rFonts w:ascii="Arial" w:eastAsia="Times New Roman" w:hAnsi="Arial" w:cs="Arial"/>
          <w:sz w:val="22"/>
          <w:szCs w:val="22"/>
          <w:lang w:val="es-ES"/>
        </w:rPr>
        <w:t>alrededor de $2</w:t>
      </w:r>
      <w:r w:rsidR="004609C0">
        <w:rPr>
          <w:rFonts w:ascii="Arial" w:eastAsia="Times New Roman" w:hAnsi="Arial" w:cs="Arial"/>
          <w:sz w:val="22"/>
          <w:szCs w:val="22"/>
          <w:lang w:val="es-ES"/>
        </w:rPr>
        <w:t>1,9</w:t>
      </w:r>
      <w:r w:rsidR="00F25AFC">
        <w:rPr>
          <w:rFonts w:ascii="Arial" w:eastAsia="Times New Roman" w:hAnsi="Arial" w:cs="Arial"/>
          <w:sz w:val="22"/>
          <w:szCs w:val="22"/>
          <w:lang w:val="es-ES"/>
        </w:rPr>
        <w:t xml:space="preserve"> </w:t>
      </w:r>
      <w:r w:rsidRPr="00FB7FB9">
        <w:rPr>
          <w:rFonts w:ascii="Arial" w:eastAsia="Times New Roman" w:hAnsi="Arial" w:cs="Arial"/>
          <w:sz w:val="22"/>
          <w:szCs w:val="22"/>
          <w:lang w:val="es-ES"/>
        </w:rPr>
        <w:t xml:space="preserve">millones de dólares. </w:t>
      </w:r>
    </w:p>
    <w:p w14:paraId="7333FC80" w14:textId="77777777" w:rsidR="00373CF5" w:rsidRPr="00FB7FB9" w:rsidRDefault="00373CF5" w:rsidP="00671021">
      <w:pPr>
        <w:jc w:val="both"/>
        <w:rPr>
          <w:rFonts w:ascii="Arial" w:eastAsia="Times New Roman" w:hAnsi="Arial" w:cs="Arial"/>
          <w:sz w:val="22"/>
          <w:szCs w:val="22"/>
          <w:lang w:val="es-ES"/>
        </w:rPr>
      </w:pPr>
    </w:p>
    <w:p w14:paraId="430F6575" w14:textId="50D68F36" w:rsidR="001B4F5E" w:rsidRPr="001B4F5E" w:rsidRDefault="00671021" w:rsidP="001B4F5E">
      <w:pPr>
        <w:jc w:val="both"/>
        <w:rPr>
          <w:rFonts w:ascii="Arial" w:eastAsia="Times New Roman" w:hAnsi="Arial" w:cs="Arial"/>
          <w:sz w:val="22"/>
          <w:szCs w:val="22"/>
          <w:lang w:val="it-IT"/>
        </w:rPr>
      </w:pPr>
      <w:r w:rsidRPr="00FB7FB9">
        <w:rPr>
          <w:rFonts w:ascii="Arial" w:eastAsia="Times New Roman" w:hAnsi="Arial" w:cs="Arial"/>
          <w:sz w:val="22"/>
          <w:szCs w:val="22"/>
          <w:lang w:val="es-ES"/>
        </w:rPr>
        <w:t xml:space="preserve">Por el lado del costo de oportunidad, solo se incluye el costo de oportunidad para los pacientes en el caso de utilizar los servicios de las UBS </w:t>
      </w:r>
      <w:r w:rsidR="00D56CF3">
        <w:rPr>
          <w:rFonts w:ascii="Arial" w:eastAsia="Times New Roman" w:hAnsi="Arial" w:cs="Arial"/>
          <w:sz w:val="22"/>
          <w:szCs w:val="22"/>
          <w:lang w:val="es-ES"/>
        </w:rPr>
        <w:t xml:space="preserve">ampliadas </w:t>
      </w:r>
      <w:r w:rsidRPr="00FB7FB9">
        <w:rPr>
          <w:rFonts w:ascii="Arial" w:eastAsia="Times New Roman" w:hAnsi="Arial" w:cs="Arial"/>
          <w:sz w:val="22"/>
          <w:szCs w:val="22"/>
          <w:lang w:val="es-ES"/>
        </w:rPr>
        <w:t>y no en el resto de los casos debido a que se supone que el paciente no incurriría en costo de oportunidad ya que no iría a trabajar en estos casos si no utilizaría los servicios. Para las UB</w:t>
      </w:r>
      <w:r w:rsidR="00D56CF3">
        <w:rPr>
          <w:rFonts w:ascii="Arial" w:eastAsia="Times New Roman" w:hAnsi="Arial" w:cs="Arial"/>
          <w:sz w:val="22"/>
          <w:szCs w:val="22"/>
          <w:lang w:val="es-ES"/>
        </w:rPr>
        <w:t>S ampliadas se estima que habrá 800 consultas nuevas por mes</w:t>
      </w:r>
      <w:r w:rsidRPr="00FB7FB9">
        <w:rPr>
          <w:rFonts w:ascii="Arial" w:eastAsia="Times New Roman" w:hAnsi="Arial" w:cs="Arial"/>
          <w:sz w:val="22"/>
          <w:szCs w:val="22"/>
          <w:lang w:val="es-ES"/>
        </w:rPr>
        <w:t xml:space="preserve"> de una hora cada una en promedio, con un costo aproximado por el salario mínimo de Brasil (R$954 por me</w:t>
      </w:r>
      <w:r w:rsidR="00D56CF3">
        <w:rPr>
          <w:rFonts w:ascii="Arial" w:eastAsia="Times New Roman" w:hAnsi="Arial" w:cs="Arial"/>
          <w:sz w:val="22"/>
          <w:szCs w:val="22"/>
          <w:lang w:val="es-ES"/>
        </w:rPr>
        <w:t>s en 2018). El costo de oportunidad</w:t>
      </w:r>
      <w:r w:rsidR="00CF7A7F">
        <w:rPr>
          <w:rFonts w:ascii="Arial" w:eastAsia="Times New Roman" w:hAnsi="Arial" w:cs="Arial"/>
          <w:sz w:val="22"/>
          <w:szCs w:val="22"/>
          <w:lang w:val="es-ES"/>
        </w:rPr>
        <w:t xml:space="preserve"> estimado es </w:t>
      </w:r>
      <w:r w:rsidRPr="00FB7FB9">
        <w:rPr>
          <w:rFonts w:ascii="Arial" w:eastAsia="Times New Roman" w:hAnsi="Arial" w:cs="Arial"/>
          <w:sz w:val="22"/>
          <w:szCs w:val="22"/>
          <w:lang w:val="es-ES"/>
        </w:rPr>
        <w:t>de</w:t>
      </w:r>
      <w:r w:rsidR="00CE39F1">
        <w:rPr>
          <w:rFonts w:ascii="Arial" w:eastAsia="Times New Roman" w:hAnsi="Arial" w:cs="Arial"/>
          <w:sz w:val="22"/>
          <w:szCs w:val="22"/>
          <w:lang w:val="es-ES"/>
        </w:rPr>
        <w:t xml:space="preserve"> </w:t>
      </w:r>
      <w:r w:rsidR="00CF7A7F">
        <w:rPr>
          <w:rFonts w:ascii="Arial" w:eastAsia="Times New Roman" w:hAnsi="Arial" w:cs="Arial"/>
          <w:sz w:val="22"/>
          <w:szCs w:val="22"/>
          <w:lang w:val="es-ES"/>
        </w:rPr>
        <w:t>US</w:t>
      </w:r>
      <w:r w:rsidR="00CE39F1">
        <w:rPr>
          <w:rFonts w:ascii="Arial" w:eastAsia="Times New Roman" w:hAnsi="Arial" w:cs="Arial"/>
          <w:sz w:val="22"/>
          <w:szCs w:val="22"/>
          <w:lang w:val="es-ES"/>
        </w:rPr>
        <w:t>$</w:t>
      </w:r>
      <w:r w:rsidR="00F00BC2">
        <w:rPr>
          <w:rFonts w:ascii="Arial" w:eastAsia="Times New Roman" w:hAnsi="Arial" w:cs="Arial"/>
          <w:sz w:val="22"/>
          <w:szCs w:val="22"/>
          <w:lang w:val="es-ES"/>
        </w:rPr>
        <w:t xml:space="preserve"> </w:t>
      </w:r>
      <w:r w:rsidR="00CE39F1">
        <w:rPr>
          <w:rFonts w:ascii="Arial" w:eastAsia="Times New Roman" w:hAnsi="Arial" w:cs="Arial"/>
          <w:sz w:val="22"/>
          <w:szCs w:val="22"/>
          <w:lang w:val="es-ES"/>
        </w:rPr>
        <w:t>915,840</w:t>
      </w:r>
      <w:r w:rsidR="00D56CF3">
        <w:rPr>
          <w:rFonts w:ascii="Arial" w:eastAsia="Times New Roman" w:hAnsi="Arial" w:cs="Arial"/>
          <w:sz w:val="22"/>
          <w:szCs w:val="22"/>
          <w:lang w:val="es-ES"/>
        </w:rPr>
        <w:t xml:space="preserve"> </w:t>
      </w:r>
      <w:r w:rsidRPr="00FB7FB9">
        <w:rPr>
          <w:rFonts w:ascii="Arial" w:eastAsia="Times New Roman" w:hAnsi="Arial" w:cs="Arial"/>
          <w:sz w:val="22"/>
          <w:szCs w:val="22"/>
          <w:lang w:val="es-ES"/>
        </w:rPr>
        <w:t>dólares. El costo total del proyecto adicionándole los costos</w:t>
      </w:r>
      <w:r w:rsidR="00CE39F1">
        <w:rPr>
          <w:rFonts w:ascii="Arial" w:eastAsia="Times New Roman" w:hAnsi="Arial" w:cs="Arial"/>
          <w:sz w:val="22"/>
          <w:szCs w:val="22"/>
          <w:lang w:val="es-ES"/>
        </w:rPr>
        <w:t xml:space="preserve"> complementarios asciende a </w:t>
      </w:r>
      <w:r w:rsidR="00CF7A7F">
        <w:rPr>
          <w:rFonts w:ascii="Arial" w:eastAsia="Times New Roman" w:hAnsi="Arial" w:cs="Arial"/>
          <w:sz w:val="22"/>
          <w:szCs w:val="22"/>
          <w:lang w:val="es-ES"/>
        </w:rPr>
        <w:t>US</w:t>
      </w:r>
      <w:r w:rsidR="00CE39F1">
        <w:rPr>
          <w:rFonts w:ascii="Arial" w:eastAsia="Times New Roman" w:hAnsi="Arial" w:cs="Arial"/>
          <w:sz w:val="22"/>
          <w:szCs w:val="22"/>
          <w:lang w:val="es-ES"/>
        </w:rPr>
        <w:t>$</w:t>
      </w:r>
      <w:r w:rsidR="001B4F5E">
        <w:rPr>
          <w:rFonts w:ascii="Arial" w:eastAsia="Times New Roman" w:hAnsi="Arial" w:cs="Arial"/>
          <w:sz w:val="22"/>
          <w:szCs w:val="22"/>
        </w:rPr>
        <w:t xml:space="preserve"> </w:t>
      </w:r>
      <w:r w:rsidR="001B4F5E" w:rsidRPr="005C0D0E">
        <w:rPr>
          <w:rFonts w:ascii="Arial" w:eastAsia="Times New Roman" w:hAnsi="Arial" w:cs="Arial"/>
          <w:sz w:val="22"/>
          <w:szCs w:val="22"/>
          <w:lang w:val="es-ES"/>
        </w:rPr>
        <w:t>22.892.983.</w:t>
      </w:r>
      <w:r w:rsidR="001B4F5E">
        <w:rPr>
          <w:rFonts w:ascii="Arial" w:eastAsia="Times New Roman" w:hAnsi="Arial" w:cs="Arial"/>
          <w:sz w:val="22"/>
          <w:szCs w:val="22"/>
        </w:rPr>
        <w:t xml:space="preserve"> </w:t>
      </w:r>
    </w:p>
    <w:p w14:paraId="5D5C5BF3" w14:textId="6F4ED69A" w:rsidR="00671021" w:rsidRPr="00FB7FB9" w:rsidRDefault="00CF7A7F" w:rsidP="00671021">
      <w:pPr>
        <w:jc w:val="both"/>
        <w:rPr>
          <w:rFonts w:ascii="Arial" w:eastAsia="Times New Roman" w:hAnsi="Arial" w:cs="Arial"/>
          <w:sz w:val="22"/>
          <w:szCs w:val="22"/>
          <w:lang w:val="es-ES"/>
        </w:rPr>
      </w:pPr>
      <w:r>
        <w:rPr>
          <w:rFonts w:ascii="Arial" w:eastAsia="Times New Roman" w:hAnsi="Arial" w:cs="Arial"/>
          <w:sz w:val="22"/>
          <w:szCs w:val="22"/>
          <w:lang w:val="es-ES"/>
        </w:rPr>
        <w:t xml:space="preserve"> </w:t>
      </w:r>
      <w:r w:rsidR="00671021" w:rsidRPr="00FB7FB9">
        <w:rPr>
          <w:rFonts w:ascii="Arial" w:eastAsia="Times New Roman" w:hAnsi="Arial" w:cs="Arial"/>
          <w:sz w:val="22"/>
          <w:szCs w:val="22"/>
          <w:lang w:val="es-ES"/>
        </w:rPr>
        <w:t xml:space="preserve"> </w:t>
      </w:r>
    </w:p>
    <w:p w14:paraId="0CBB9AD1" w14:textId="2F2AB268" w:rsidR="003277C6" w:rsidRPr="008C21E4" w:rsidRDefault="00D41C4F" w:rsidP="001025F1">
      <w:pPr>
        <w:spacing w:before="120" w:after="100" w:afterAutospacing="1"/>
        <w:jc w:val="both"/>
        <w:rPr>
          <w:rFonts w:ascii="Arial" w:eastAsia="Times New Roman" w:hAnsi="Arial" w:cs="Arial"/>
          <w:sz w:val="22"/>
          <w:szCs w:val="22"/>
          <w:lang w:val="es-ES"/>
        </w:rPr>
      </w:pPr>
      <w:r w:rsidRPr="008C21E4">
        <w:rPr>
          <w:rFonts w:ascii="Arial" w:eastAsia="Times New Roman" w:hAnsi="Arial" w:cs="Arial"/>
          <w:sz w:val="22"/>
          <w:szCs w:val="22"/>
          <w:lang w:val="es-ES"/>
        </w:rPr>
        <w:t>En el análisis de corto plazo, s</w:t>
      </w:r>
      <w:r w:rsidR="004268B3" w:rsidRPr="008C21E4">
        <w:rPr>
          <w:rFonts w:ascii="Arial" w:eastAsia="Times New Roman" w:hAnsi="Arial" w:cs="Arial"/>
          <w:sz w:val="22"/>
          <w:szCs w:val="22"/>
          <w:lang w:val="es-ES"/>
        </w:rPr>
        <w:t>e considera como un escenario realista que se presente un vector de gradualidad regular, un escenario de cobertura efectiva medio y se utiliza una tasa de descuento de 3%. En este escenario,</w:t>
      </w:r>
      <w:r w:rsidR="003277C6" w:rsidRPr="008C21E4">
        <w:rPr>
          <w:rFonts w:ascii="Arial" w:eastAsia="Times New Roman" w:hAnsi="Arial" w:cs="Arial"/>
          <w:sz w:val="22"/>
          <w:szCs w:val="22"/>
          <w:lang w:val="es-ES"/>
        </w:rPr>
        <w:t xml:space="preserve"> la raz</w:t>
      </w:r>
      <w:r w:rsidR="003277C6" w:rsidRPr="008C21E4">
        <w:rPr>
          <w:rFonts w:ascii="Arial" w:hAnsi="Arial" w:cs="Arial"/>
          <w:sz w:val="22"/>
          <w:szCs w:val="22"/>
          <w:lang w:val="es-ES"/>
        </w:rPr>
        <w:t>ón</w:t>
      </w:r>
      <w:r w:rsidR="003277C6" w:rsidRPr="008C21E4">
        <w:rPr>
          <w:rFonts w:ascii="Arial" w:eastAsia="Times New Roman" w:hAnsi="Arial" w:cs="Arial"/>
          <w:sz w:val="22"/>
          <w:szCs w:val="22"/>
          <w:lang w:val="es-ES"/>
        </w:rPr>
        <w:t xml:space="preserve"> </w:t>
      </w:r>
      <w:r w:rsidR="003277C6" w:rsidRPr="008C21E4">
        <w:rPr>
          <w:rFonts w:ascii="Arial" w:hAnsi="Arial" w:cs="Arial"/>
          <w:sz w:val="22"/>
          <w:szCs w:val="22"/>
          <w:lang w:val="es-ES"/>
        </w:rPr>
        <w:t>costo</w:t>
      </w:r>
      <w:r w:rsidR="003277C6" w:rsidRPr="008C21E4">
        <w:rPr>
          <w:rFonts w:ascii="Arial" w:eastAsia="Times New Roman" w:hAnsi="Arial" w:cs="Arial"/>
          <w:sz w:val="22"/>
          <w:szCs w:val="22"/>
          <w:lang w:val="es-ES"/>
        </w:rPr>
        <w:t xml:space="preserve"> </w:t>
      </w:r>
      <w:r w:rsidR="003277C6" w:rsidRPr="008C21E4">
        <w:rPr>
          <w:rFonts w:ascii="Arial" w:hAnsi="Arial" w:cs="Arial"/>
          <w:sz w:val="22"/>
          <w:szCs w:val="22"/>
          <w:lang w:val="es-ES"/>
        </w:rPr>
        <w:t>beneficio</w:t>
      </w:r>
      <w:r w:rsidR="003277C6" w:rsidRPr="008C21E4">
        <w:rPr>
          <w:rFonts w:ascii="Arial" w:eastAsia="Times New Roman" w:hAnsi="Arial" w:cs="Arial"/>
          <w:sz w:val="22"/>
          <w:szCs w:val="22"/>
          <w:lang w:val="es-ES"/>
        </w:rPr>
        <w:t xml:space="preserve"> </w:t>
      </w:r>
      <w:r w:rsidR="003277C6" w:rsidRPr="008C21E4">
        <w:rPr>
          <w:rFonts w:ascii="Arial" w:hAnsi="Arial" w:cs="Arial"/>
          <w:sz w:val="22"/>
          <w:szCs w:val="22"/>
          <w:lang w:val="es-ES"/>
        </w:rPr>
        <w:t>se</w:t>
      </w:r>
      <w:r w:rsidR="003277C6" w:rsidRPr="008C21E4">
        <w:rPr>
          <w:rFonts w:ascii="Arial" w:eastAsia="Times New Roman" w:hAnsi="Arial" w:cs="Arial"/>
          <w:sz w:val="22"/>
          <w:szCs w:val="22"/>
          <w:lang w:val="es-ES"/>
        </w:rPr>
        <w:t xml:space="preserve"> </w:t>
      </w:r>
      <w:r w:rsidR="003277C6" w:rsidRPr="008C21E4">
        <w:rPr>
          <w:rFonts w:ascii="Arial" w:hAnsi="Arial" w:cs="Arial"/>
          <w:sz w:val="22"/>
          <w:szCs w:val="22"/>
          <w:lang w:val="es-ES"/>
        </w:rPr>
        <w:t>define</w:t>
      </w:r>
      <w:r w:rsidR="003277C6" w:rsidRPr="008C21E4">
        <w:rPr>
          <w:rFonts w:ascii="Arial" w:eastAsia="Times New Roman" w:hAnsi="Arial" w:cs="Arial"/>
          <w:sz w:val="22"/>
          <w:szCs w:val="22"/>
          <w:lang w:val="es-ES"/>
        </w:rPr>
        <w:t xml:space="preserve"> </w:t>
      </w:r>
      <w:r w:rsidR="003277C6" w:rsidRPr="008C21E4">
        <w:rPr>
          <w:rFonts w:ascii="Arial" w:hAnsi="Arial" w:cs="Arial"/>
          <w:sz w:val="22"/>
          <w:szCs w:val="22"/>
          <w:lang w:val="es-ES"/>
        </w:rPr>
        <w:t>de</w:t>
      </w:r>
      <w:r w:rsidR="003277C6" w:rsidRPr="008C21E4">
        <w:rPr>
          <w:rFonts w:ascii="Arial" w:eastAsia="Times New Roman" w:hAnsi="Arial" w:cs="Arial"/>
          <w:sz w:val="22"/>
          <w:szCs w:val="22"/>
          <w:lang w:val="es-ES"/>
        </w:rPr>
        <w:t xml:space="preserve"> </w:t>
      </w:r>
      <w:r w:rsidR="003277C6" w:rsidRPr="008C21E4">
        <w:rPr>
          <w:rFonts w:ascii="Arial" w:hAnsi="Arial" w:cs="Arial"/>
          <w:sz w:val="22"/>
          <w:szCs w:val="22"/>
          <w:lang w:val="es-ES"/>
        </w:rPr>
        <w:t>la</w:t>
      </w:r>
      <w:r w:rsidR="003277C6" w:rsidRPr="008C21E4">
        <w:rPr>
          <w:rFonts w:ascii="Arial" w:eastAsia="Times New Roman" w:hAnsi="Arial" w:cs="Arial"/>
          <w:sz w:val="22"/>
          <w:szCs w:val="22"/>
          <w:lang w:val="es-ES"/>
        </w:rPr>
        <w:t xml:space="preserve"> </w:t>
      </w:r>
      <w:r w:rsidR="003277C6" w:rsidRPr="008C21E4">
        <w:rPr>
          <w:rFonts w:ascii="Arial" w:hAnsi="Arial" w:cs="Arial"/>
          <w:sz w:val="22"/>
          <w:szCs w:val="22"/>
          <w:lang w:val="es-ES"/>
        </w:rPr>
        <w:t>siguiente</w:t>
      </w:r>
      <w:r w:rsidR="003277C6" w:rsidRPr="008C21E4">
        <w:rPr>
          <w:rFonts w:ascii="Arial" w:eastAsia="Times New Roman" w:hAnsi="Arial" w:cs="Arial"/>
          <w:sz w:val="22"/>
          <w:szCs w:val="22"/>
          <w:lang w:val="es-ES"/>
        </w:rPr>
        <w:t xml:space="preserve"> </w:t>
      </w:r>
      <w:r w:rsidR="003277C6" w:rsidRPr="008C21E4">
        <w:rPr>
          <w:rFonts w:ascii="Arial" w:hAnsi="Arial" w:cs="Arial"/>
          <w:sz w:val="22"/>
          <w:szCs w:val="22"/>
          <w:lang w:val="es-ES"/>
        </w:rPr>
        <w:t>manera</w:t>
      </w:r>
      <w:r w:rsidR="003277C6" w:rsidRPr="008C21E4">
        <w:rPr>
          <w:rFonts w:ascii="Arial" w:eastAsia="Times New Roman" w:hAnsi="Arial" w:cs="Arial"/>
          <w:sz w:val="22"/>
          <w:szCs w:val="22"/>
          <w:lang w:val="es-ES"/>
        </w:rPr>
        <w:t>:</w:t>
      </w:r>
    </w:p>
    <w:p w14:paraId="142EE8DE" w14:textId="116C3733" w:rsidR="003277C6" w:rsidRPr="008C21E4" w:rsidRDefault="003277C6" w:rsidP="008A41E6">
      <w:pPr>
        <w:pStyle w:val="ColorfulList-Accent11"/>
        <w:numPr>
          <w:ilvl w:val="0"/>
          <w:numId w:val="2"/>
        </w:numPr>
        <w:spacing w:before="120" w:after="100" w:afterAutospacing="1" w:line="240" w:lineRule="auto"/>
        <w:jc w:val="both"/>
        <w:rPr>
          <w:rFonts w:eastAsia="Times New Roman" w:cs="Arial"/>
          <w:lang w:val="es-ES"/>
        </w:rPr>
      </w:pPr>
      <w:r w:rsidRPr="008C21E4">
        <w:rPr>
          <w:rFonts w:eastAsia="Times New Roman" w:cs="Arial"/>
          <w:lang w:val="es-ES"/>
        </w:rPr>
        <w:t>Costo del proyecto</w:t>
      </w:r>
      <w:r w:rsidR="00B9241D" w:rsidRPr="008C21E4">
        <w:rPr>
          <w:rFonts w:eastAsia="Times New Roman" w:cs="Arial"/>
          <w:lang w:val="es-ES"/>
        </w:rPr>
        <w:t xml:space="preserve"> </w:t>
      </w:r>
      <w:r w:rsidR="004268B3" w:rsidRPr="008C21E4">
        <w:rPr>
          <w:rFonts w:eastAsia="Times New Roman" w:cs="Arial"/>
          <w:lang w:val="es-ES"/>
        </w:rPr>
        <w:t>US</w:t>
      </w:r>
      <w:r w:rsidRPr="008C21E4">
        <w:rPr>
          <w:rFonts w:eastAsia="Times New Roman" w:cs="Arial"/>
          <w:lang w:val="es-ES"/>
        </w:rPr>
        <w:t>$</w:t>
      </w:r>
      <w:r w:rsidR="00CF7A7F">
        <w:rPr>
          <w:rFonts w:eastAsia="Times New Roman" w:cs="Arial"/>
          <w:lang w:val="es-ES"/>
        </w:rPr>
        <w:t>7</w:t>
      </w:r>
      <w:r w:rsidR="003A553B" w:rsidRPr="008C21E4">
        <w:rPr>
          <w:rFonts w:eastAsia="Times New Roman" w:cs="Arial"/>
          <w:lang w:val="es-ES"/>
        </w:rPr>
        <w:t>0</w:t>
      </w:r>
      <w:r w:rsidR="001B4F5E">
        <w:rPr>
          <w:rFonts w:eastAsia="Times New Roman" w:cs="Arial"/>
          <w:lang w:val="es-ES"/>
        </w:rPr>
        <w:t>.</w:t>
      </w:r>
      <w:r w:rsidR="00B9241D" w:rsidRPr="008C21E4">
        <w:rPr>
          <w:rFonts w:eastAsia="Times New Roman" w:cs="Arial"/>
          <w:lang w:val="es-ES"/>
        </w:rPr>
        <w:t>0</w:t>
      </w:r>
      <w:r w:rsidR="004268B3" w:rsidRPr="008C21E4">
        <w:rPr>
          <w:rFonts w:eastAsia="Times New Roman" w:cs="Arial"/>
          <w:lang w:val="es-ES"/>
        </w:rPr>
        <w:t>00</w:t>
      </w:r>
      <w:r w:rsidR="001B4F5E">
        <w:rPr>
          <w:rFonts w:eastAsia="Times New Roman" w:cs="Arial"/>
          <w:lang w:val="es-ES"/>
        </w:rPr>
        <w:t>.</w:t>
      </w:r>
      <w:r w:rsidR="00735E0F" w:rsidRPr="008C21E4">
        <w:rPr>
          <w:rFonts w:eastAsia="Times New Roman" w:cs="Arial"/>
          <w:lang w:val="es-ES"/>
        </w:rPr>
        <w:t>000</w:t>
      </w:r>
    </w:p>
    <w:p w14:paraId="2DA5B1C8" w14:textId="7F8E49C9" w:rsidR="006F6136" w:rsidRPr="008C21E4" w:rsidRDefault="006F6136" w:rsidP="008A41E6">
      <w:pPr>
        <w:pStyle w:val="ColorfulList-Accent11"/>
        <w:numPr>
          <w:ilvl w:val="0"/>
          <w:numId w:val="2"/>
        </w:numPr>
        <w:spacing w:before="120" w:after="100" w:afterAutospacing="1" w:line="240" w:lineRule="auto"/>
        <w:jc w:val="both"/>
        <w:rPr>
          <w:rFonts w:eastAsia="Times New Roman" w:cs="Arial"/>
          <w:lang w:val="es-ES"/>
        </w:rPr>
      </w:pPr>
      <w:r w:rsidRPr="008C21E4">
        <w:rPr>
          <w:rFonts w:eastAsia="Times New Roman" w:cs="Arial"/>
          <w:lang w:val="es-ES"/>
        </w:rPr>
        <w:t>Costos complementarios</w:t>
      </w:r>
      <w:r w:rsidR="00477522" w:rsidRPr="008C21E4">
        <w:rPr>
          <w:rFonts w:eastAsia="Times New Roman" w:cs="Arial"/>
          <w:lang w:val="es-ES"/>
        </w:rPr>
        <w:t xml:space="preserve">: </w:t>
      </w:r>
      <w:r w:rsidR="00CF7A7F" w:rsidRPr="008C21E4">
        <w:rPr>
          <w:rFonts w:eastAsia="Times New Roman" w:cs="Arial"/>
          <w:lang w:val="es-ES"/>
        </w:rPr>
        <w:t>US$</w:t>
      </w:r>
      <w:r w:rsidR="001B4F5E" w:rsidRPr="001B4F5E">
        <w:rPr>
          <w:rFonts w:eastAsia="Times New Roman" w:cs="Arial"/>
        </w:rPr>
        <w:t>22.892.983</w:t>
      </w:r>
    </w:p>
    <w:p w14:paraId="561B5813" w14:textId="10B18EF2" w:rsidR="00CF7A7F" w:rsidRPr="00AF6A62" w:rsidRDefault="004268B3" w:rsidP="00AF6A62">
      <w:pPr>
        <w:pStyle w:val="ColorfulList-Accent11"/>
        <w:numPr>
          <w:ilvl w:val="0"/>
          <w:numId w:val="2"/>
        </w:numPr>
        <w:spacing w:before="120" w:after="100" w:afterAutospacing="1"/>
        <w:rPr>
          <w:rFonts w:cs="Arial"/>
          <w:lang w:val="it-IT"/>
        </w:rPr>
      </w:pPr>
      <w:r w:rsidRPr="008C21E4">
        <w:rPr>
          <w:rFonts w:eastAsia="Times New Roman" w:cs="Arial"/>
          <w:lang w:val="es-ES"/>
        </w:rPr>
        <w:t xml:space="preserve">Beneficios del proyecto </w:t>
      </w:r>
      <w:r w:rsidR="000C6822" w:rsidRPr="008C21E4">
        <w:rPr>
          <w:rFonts w:eastAsia="Times New Roman" w:cs="Arial"/>
          <w:lang w:val="es-ES"/>
        </w:rPr>
        <w:t>a 202</w:t>
      </w:r>
      <w:r w:rsidR="004E1C90" w:rsidRPr="008C21E4">
        <w:rPr>
          <w:rFonts w:eastAsia="Times New Roman" w:cs="Arial"/>
          <w:lang w:val="es-ES"/>
        </w:rPr>
        <w:t>3</w:t>
      </w:r>
      <w:r w:rsidR="000C6822" w:rsidRPr="008C21E4">
        <w:rPr>
          <w:rFonts w:eastAsia="Times New Roman" w:cs="Arial"/>
          <w:lang w:val="es-ES"/>
        </w:rPr>
        <w:t xml:space="preserve"> </w:t>
      </w:r>
      <w:r w:rsidRPr="008C21E4">
        <w:rPr>
          <w:rFonts w:eastAsia="Times New Roman" w:cs="Arial"/>
          <w:lang w:val="es-ES"/>
        </w:rPr>
        <w:t xml:space="preserve">(tasa 3%) </w:t>
      </w:r>
      <w:r w:rsidR="00D41C4F" w:rsidRPr="008C21E4">
        <w:rPr>
          <w:rFonts w:cs="Arial"/>
          <w:lang w:val="es-ES"/>
        </w:rPr>
        <w:t>US$</w:t>
      </w:r>
      <w:r w:rsidR="00AF6A62">
        <w:rPr>
          <w:rFonts w:cs="Arial"/>
        </w:rPr>
        <w:t>129.331.</w:t>
      </w:r>
      <w:r w:rsidR="00AF6A62" w:rsidRPr="00AF6A62">
        <w:rPr>
          <w:rFonts w:cs="Arial"/>
        </w:rPr>
        <w:t>185</w:t>
      </w:r>
    </w:p>
    <w:p w14:paraId="4A55EE72" w14:textId="06C59530" w:rsidR="003108ED" w:rsidRPr="005C0D0E" w:rsidRDefault="003277C6" w:rsidP="00AF6A62">
      <w:pPr>
        <w:pStyle w:val="ColorfulList-Accent11"/>
        <w:numPr>
          <w:ilvl w:val="0"/>
          <w:numId w:val="2"/>
        </w:numPr>
        <w:spacing w:before="120" w:after="100" w:afterAutospacing="1"/>
        <w:rPr>
          <w:rFonts w:eastAsia="Times New Roman" w:cs="Arial"/>
          <w:lang w:val="it-IT"/>
        </w:rPr>
      </w:pPr>
      <w:r w:rsidRPr="00CF7A7F">
        <w:rPr>
          <w:rFonts w:eastAsia="Times New Roman" w:cs="Arial"/>
          <w:lang w:val="es-ES"/>
        </w:rPr>
        <w:t>B</w:t>
      </w:r>
      <w:r w:rsidR="004C5A71" w:rsidRPr="00CF7A7F">
        <w:rPr>
          <w:rFonts w:eastAsia="Times New Roman" w:cs="Arial"/>
          <w:lang w:val="es-ES"/>
        </w:rPr>
        <w:t>eneficio neto: US</w:t>
      </w:r>
      <w:r w:rsidR="004268B3" w:rsidRPr="00CF7A7F">
        <w:rPr>
          <w:rFonts w:eastAsia="Times New Roman" w:cs="Arial"/>
          <w:lang w:val="es-ES"/>
        </w:rPr>
        <w:t>$</w:t>
      </w:r>
      <w:r w:rsidR="00AF6A62">
        <w:rPr>
          <w:rFonts w:eastAsia="Times New Roman" w:cs="Arial"/>
        </w:rPr>
        <w:t>36.438.</w:t>
      </w:r>
      <w:r w:rsidR="00AF6A62" w:rsidRPr="00AF6A62">
        <w:rPr>
          <w:rFonts w:eastAsia="Times New Roman" w:cs="Arial"/>
        </w:rPr>
        <w:t>202</w:t>
      </w:r>
    </w:p>
    <w:p w14:paraId="2A70C147" w14:textId="5EEBB3A4" w:rsidR="003277C6" w:rsidRPr="008C21E4" w:rsidRDefault="003277C6" w:rsidP="003108ED">
      <w:pPr>
        <w:pStyle w:val="ColorfulList-Accent11"/>
        <w:numPr>
          <w:ilvl w:val="0"/>
          <w:numId w:val="2"/>
        </w:numPr>
        <w:spacing w:before="120" w:after="100" w:afterAutospacing="1" w:line="240" w:lineRule="auto"/>
        <w:jc w:val="both"/>
        <w:rPr>
          <w:rFonts w:eastAsia="Times New Roman" w:cs="Arial"/>
          <w:lang w:val="es-ES"/>
        </w:rPr>
      </w:pPr>
      <w:r w:rsidRPr="008C21E4">
        <w:rPr>
          <w:rFonts w:eastAsia="Times New Roman" w:cs="Arial"/>
          <w:lang w:val="es-ES"/>
        </w:rPr>
        <w:t>Raz</w:t>
      </w:r>
      <w:r w:rsidRPr="008C21E4">
        <w:rPr>
          <w:rFonts w:cs="Arial"/>
          <w:lang w:val="es-ES"/>
        </w:rPr>
        <w:t>ón</w:t>
      </w:r>
      <w:r w:rsidRPr="008C21E4">
        <w:rPr>
          <w:rFonts w:eastAsia="Times New Roman" w:cs="Arial"/>
          <w:lang w:val="es-ES"/>
        </w:rPr>
        <w:t xml:space="preserve"> </w:t>
      </w:r>
      <w:r w:rsidRPr="008C21E4">
        <w:rPr>
          <w:rFonts w:cs="Arial"/>
          <w:lang w:val="es-ES"/>
        </w:rPr>
        <w:t>Beneficio</w:t>
      </w:r>
      <w:r w:rsidRPr="008C21E4">
        <w:rPr>
          <w:rFonts w:eastAsia="Times New Roman" w:cs="Arial"/>
          <w:lang w:val="es-ES"/>
        </w:rPr>
        <w:t xml:space="preserve"> / </w:t>
      </w:r>
      <w:r w:rsidRPr="008C21E4">
        <w:rPr>
          <w:rFonts w:cs="Arial"/>
          <w:lang w:val="es-ES"/>
        </w:rPr>
        <w:t>Costo</w:t>
      </w:r>
      <w:r w:rsidRPr="008C21E4">
        <w:rPr>
          <w:rFonts w:eastAsia="Times New Roman" w:cs="Arial"/>
          <w:lang w:val="es-ES"/>
        </w:rPr>
        <w:t xml:space="preserve"> = </w:t>
      </w:r>
      <w:r w:rsidR="00AF6A62">
        <w:rPr>
          <w:rFonts w:eastAsia="Times New Roman" w:cs="Arial"/>
          <w:lang w:val="es-ES"/>
        </w:rPr>
        <w:t>1,39</w:t>
      </w:r>
    </w:p>
    <w:p w14:paraId="7E147743" w14:textId="77777777" w:rsidR="006C1615" w:rsidRDefault="006C1615" w:rsidP="00FC78A1">
      <w:pPr>
        <w:autoSpaceDE w:val="0"/>
        <w:autoSpaceDN w:val="0"/>
        <w:adjustRightInd w:val="0"/>
        <w:spacing w:before="120" w:after="100" w:afterAutospacing="1"/>
        <w:jc w:val="both"/>
        <w:rPr>
          <w:rFonts w:ascii="Arial" w:eastAsia="Times New Roman" w:hAnsi="Arial" w:cs="Arial"/>
          <w:sz w:val="22"/>
          <w:szCs w:val="22"/>
          <w:lang w:val="es-ES"/>
        </w:rPr>
      </w:pPr>
    </w:p>
    <w:p w14:paraId="61339565" w14:textId="135777B8" w:rsidR="0067769C" w:rsidRPr="008C21E4" w:rsidRDefault="00735E0F" w:rsidP="00FC78A1">
      <w:pPr>
        <w:autoSpaceDE w:val="0"/>
        <w:autoSpaceDN w:val="0"/>
        <w:adjustRightInd w:val="0"/>
        <w:spacing w:before="120" w:after="100" w:afterAutospacing="1"/>
        <w:jc w:val="both"/>
        <w:rPr>
          <w:rFonts w:ascii="Arial" w:eastAsia="Times New Roman" w:hAnsi="Arial" w:cs="Arial"/>
          <w:sz w:val="22"/>
          <w:szCs w:val="22"/>
          <w:lang w:val="es-ES"/>
        </w:rPr>
      </w:pPr>
      <w:r w:rsidRPr="008C21E4">
        <w:rPr>
          <w:rFonts w:ascii="Arial" w:eastAsia="Times New Roman" w:hAnsi="Arial" w:cs="Arial"/>
          <w:sz w:val="22"/>
          <w:szCs w:val="22"/>
          <w:lang w:val="es-ES"/>
        </w:rPr>
        <w:lastRenderedPageBreak/>
        <w:t>El an</w:t>
      </w:r>
      <w:r w:rsidRPr="008C21E4">
        <w:rPr>
          <w:rFonts w:ascii="Arial" w:hAnsi="Arial" w:cs="Arial"/>
          <w:sz w:val="22"/>
          <w:szCs w:val="22"/>
          <w:lang w:val="es-ES"/>
        </w:rPr>
        <w:t>álisis</w:t>
      </w:r>
      <w:r w:rsidRPr="008C21E4">
        <w:rPr>
          <w:rFonts w:ascii="Arial" w:eastAsia="Times New Roman" w:hAnsi="Arial" w:cs="Arial"/>
          <w:sz w:val="22"/>
          <w:szCs w:val="22"/>
          <w:lang w:val="es-ES"/>
        </w:rPr>
        <w:t xml:space="preserve"> </w:t>
      </w:r>
      <w:r w:rsidRPr="008C21E4">
        <w:rPr>
          <w:rFonts w:ascii="Arial" w:hAnsi="Arial" w:cs="Arial"/>
          <w:sz w:val="22"/>
          <w:szCs w:val="22"/>
          <w:lang w:val="es-ES"/>
        </w:rPr>
        <w:t>de</w:t>
      </w:r>
      <w:r w:rsidRPr="008C21E4">
        <w:rPr>
          <w:rFonts w:ascii="Arial" w:eastAsia="Times New Roman" w:hAnsi="Arial" w:cs="Arial"/>
          <w:sz w:val="22"/>
          <w:szCs w:val="22"/>
          <w:lang w:val="es-ES"/>
        </w:rPr>
        <w:t xml:space="preserve"> </w:t>
      </w:r>
      <w:r w:rsidRPr="008C21E4">
        <w:rPr>
          <w:rFonts w:ascii="Arial" w:hAnsi="Arial" w:cs="Arial"/>
          <w:sz w:val="22"/>
          <w:szCs w:val="22"/>
          <w:lang w:val="es-ES"/>
        </w:rPr>
        <w:t>sensibilidad</w:t>
      </w:r>
      <w:r w:rsidR="004268B3" w:rsidRPr="008C21E4">
        <w:rPr>
          <w:rFonts w:ascii="Arial" w:eastAsia="Times New Roman" w:hAnsi="Arial" w:cs="Arial"/>
          <w:sz w:val="22"/>
          <w:szCs w:val="22"/>
          <w:lang w:val="es-ES"/>
        </w:rPr>
        <w:t xml:space="preserve"> de la raz</w:t>
      </w:r>
      <w:r w:rsidR="004268B3" w:rsidRPr="008C21E4">
        <w:rPr>
          <w:rFonts w:ascii="Arial" w:hAnsi="Arial" w:cs="Arial"/>
          <w:sz w:val="22"/>
          <w:szCs w:val="22"/>
          <w:lang w:val="es-ES"/>
        </w:rPr>
        <w:t>ón</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costo</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beneficio</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resumido</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en</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la</w:t>
      </w:r>
      <w:r w:rsidR="004268B3" w:rsidRPr="008C21E4">
        <w:rPr>
          <w:rFonts w:ascii="Arial" w:eastAsia="Times New Roman" w:hAnsi="Arial" w:cs="Arial"/>
          <w:sz w:val="22"/>
          <w:szCs w:val="22"/>
          <w:lang w:val="es-ES"/>
        </w:rPr>
        <w:t xml:space="preserve"> </w:t>
      </w:r>
      <w:r w:rsidR="00757F5E" w:rsidRPr="008C21E4">
        <w:rPr>
          <w:rFonts w:ascii="Arial" w:eastAsia="Times New Roman" w:hAnsi="Arial" w:cs="Arial"/>
          <w:sz w:val="22"/>
          <w:szCs w:val="22"/>
          <w:lang w:val="es-ES"/>
        </w:rPr>
        <w:t xml:space="preserve">Tabla </w:t>
      </w:r>
      <w:r w:rsidR="00533BC2" w:rsidRPr="008C21E4">
        <w:rPr>
          <w:rFonts w:ascii="Arial" w:eastAsia="Times New Roman" w:hAnsi="Arial" w:cs="Arial"/>
          <w:sz w:val="22"/>
          <w:szCs w:val="22"/>
          <w:lang w:val="es-ES"/>
        </w:rPr>
        <w:t xml:space="preserve">8 </w:t>
      </w:r>
      <w:r w:rsidR="004268B3" w:rsidRPr="008C21E4">
        <w:rPr>
          <w:rFonts w:ascii="Arial" w:eastAsia="Times New Roman" w:hAnsi="Arial" w:cs="Arial"/>
          <w:sz w:val="22"/>
          <w:szCs w:val="22"/>
          <w:lang w:val="es-ES"/>
        </w:rPr>
        <w:t xml:space="preserve">muestra que </w:t>
      </w:r>
      <w:r w:rsidR="00A8251B" w:rsidRPr="008C21E4">
        <w:rPr>
          <w:rFonts w:ascii="Arial" w:eastAsia="Times New Roman" w:hAnsi="Arial" w:cs="Arial"/>
          <w:sz w:val="22"/>
          <w:szCs w:val="22"/>
          <w:lang w:val="es-ES"/>
        </w:rPr>
        <w:t xml:space="preserve">en </w:t>
      </w:r>
      <w:r w:rsidR="00F068FB" w:rsidRPr="008C21E4">
        <w:rPr>
          <w:rFonts w:ascii="Arial" w:eastAsia="Times New Roman" w:hAnsi="Arial" w:cs="Arial"/>
          <w:sz w:val="22"/>
          <w:szCs w:val="22"/>
          <w:lang w:val="es-ES"/>
        </w:rPr>
        <w:t xml:space="preserve">la mayoría de </w:t>
      </w:r>
      <w:r w:rsidR="004268B3" w:rsidRPr="008C21E4">
        <w:rPr>
          <w:rFonts w:ascii="Arial" w:hAnsi="Arial" w:cs="Arial"/>
          <w:sz w:val="22"/>
          <w:szCs w:val="22"/>
          <w:lang w:val="es-ES"/>
        </w:rPr>
        <w:t>los</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escenarios</w:t>
      </w:r>
      <w:r w:rsidR="00824835" w:rsidRPr="008C21E4">
        <w:rPr>
          <w:rFonts w:ascii="Arial" w:hAnsi="Arial" w:cs="Arial"/>
          <w:sz w:val="22"/>
          <w:szCs w:val="22"/>
          <w:lang w:val="es-ES"/>
        </w:rPr>
        <w:t xml:space="preserve"> estimados</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los</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beneficios</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del</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proyecto</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son</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mayores</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a</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los</w:t>
      </w:r>
      <w:r w:rsidR="004268B3" w:rsidRPr="008C21E4">
        <w:rPr>
          <w:rFonts w:ascii="Arial" w:eastAsia="Times New Roman" w:hAnsi="Arial" w:cs="Arial"/>
          <w:sz w:val="22"/>
          <w:szCs w:val="22"/>
          <w:lang w:val="es-ES"/>
        </w:rPr>
        <w:t xml:space="preserve"> </w:t>
      </w:r>
      <w:r w:rsidR="004268B3" w:rsidRPr="008C21E4">
        <w:rPr>
          <w:rFonts w:ascii="Arial" w:hAnsi="Arial" w:cs="Arial"/>
          <w:sz w:val="22"/>
          <w:szCs w:val="22"/>
          <w:lang w:val="es-ES"/>
        </w:rPr>
        <w:t>costos</w:t>
      </w:r>
      <w:r w:rsidR="00455583" w:rsidRPr="008C21E4">
        <w:rPr>
          <w:rFonts w:ascii="Arial" w:hAnsi="Arial" w:cs="Arial"/>
          <w:sz w:val="22"/>
          <w:szCs w:val="22"/>
          <w:lang w:val="es-ES"/>
        </w:rPr>
        <w:t>.</w:t>
      </w:r>
      <w:r w:rsidR="00D80A9B" w:rsidRPr="008C21E4">
        <w:rPr>
          <w:rFonts w:ascii="Arial" w:eastAsia="Times New Roman" w:hAnsi="Arial" w:cs="Arial"/>
          <w:sz w:val="22"/>
          <w:szCs w:val="22"/>
          <w:lang w:val="es-ES"/>
        </w:rPr>
        <w:t xml:space="preserve"> Dada la evidencia de los impactos potenciales, as</w:t>
      </w:r>
      <w:r w:rsidR="00D80A9B" w:rsidRPr="008C21E4">
        <w:rPr>
          <w:rFonts w:ascii="Arial" w:hAnsi="Arial" w:cs="Arial"/>
          <w:sz w:val="22"/>
          <w:szCs w:val="22"/>
          <w:lang w:val="es-ES"/>
        </w:rPr>
        <w:t>í</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como</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la</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coherencia</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de</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la</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intervención</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planteada</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se</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considera</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que</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los</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escenarios</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con</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una</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razón</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entre</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el</w:t>
      </w:r>
      <w:r w:rsidR="00D80A9B" w:rsidRPr="008C21E4">
        <w:rPr>
          <w:rFonts w:ascii="Arial" w:eastAsia="Times New Roman" w:hAnsi="Arial" w:cs="Arial"/>
          <w:sz w:val="22"/>
          <w:szCs w:val="22"/>
          <w:lang w:val="es-ES"/>
        </w:rPr>
        <w:t xml:space="preserve"> </w:t>
      </w:r>
      <w:r w:rsidR="00D80A9B" w:rsidRPr="008C21E4">
        <w:rPr>
          <w:rFonts w:ascii="Arial" w:hAnsi="Arial" w:cs="Arial"/>
          <w:sz w:val="22"/>
          <w:szCs w:val="22"/>
          <w:lang w:val="es-ES"/>
        </w:rPr>
        <w:t>beneficio</w:t>
      </w:r>
      <w:r w:rsidR="00D80A9B" w:rsidRPr="008C21E4">
        <w:rPr>
          <w:rFonts w:ascii="Arial" w:eastAsia="Times New Roman" w:hAnsi="Arial" w:cs="Arial"/>
          <w:sz w:val="22"/>
          <w:szCs w:val="22"/>
          <w:lang w:val="es-ES"/>
        </w:rPr>
        <w:t xml:space="preserve"> </w:t>
      </w:r>
      <w:r w:rsidR="003A0546" w:rsidRPr="008C21E4">
        <w:rPr>
          <w:rFonts w:ascii="Arial" w:eastAsia="Times New Roman" w:hAnsi="Arial" w:cs="Arial"/>
          <w:sz w:val="22"/>
          <w:szCs w:val="22"/>
          <w:lang w:val="es-ES"/>
        </w:rPr>
        <w:t xml:space="preserve">y </w:t>
      </w:r>
      <w:r w:rsidR="00A4731E" w:rsidRPr="008C21E4">
        <w:rPr>
          <w:rFonts w:ascii="Arial" w:eastAsia="Times New Roman" w:hAnsi="Arial" w:cs="Arial"/>
          <w:sz w:val="22"/>
          <w:szCs w:val="22"/>
          <w:lang w:val="es-ES"/>
        </w:rPr>
        <w:t>el costo menor</w:t>
      </w:r>
      <w:r w:rsidR="00AF6A62">
        <w:rPr>
          <w:rFonts w:ascii="Arial" w:eastAsia="Times New Roman" w:hAnsi="Arial" w:cs="Arial"/>
          <w:sz w:val="22"/>
          <w:szCs w:val="22"/>
          <w:lang w:val="es-ES"/>
        </w:rPr>
        <w:t xml:space="preserve"> </w:t>
      </w:r>
      <w:r w:rsidR="00A4731E" w:rsidRPr="008C21E4">
        <w:rPr>
          <w:rFonts w:ascii="Arial" w:eastAsia="Times New Roman" w:hAnsi="Arial" w:cs="Arial"/>
          <w:sz w:val="22"/>
          <w:szCs w:val="22"/>
          <w:lang w:val="es-ES"/>
        </w:rPr>
        <w:t xml:space="preserve">a uno son </w:t>
      </w:r>
      <w:r w:rsidR="00D80A9B" w:rsidRPr="008C21E4">
        <w:rPr>
          <w:rFonts w:ascii="Arial" w:eastAsia="Times New Roman" w:hAnsi="Arial" w:cs="Arial"/>
          <w:sz w:val="22"/>
          <w:szCs w:val="22"/>
          <w:lang w:val="es-ES"/>
        </w:rPr>
        <w:t>poco probables.</w:t>
      </w:r>
    </w:p>
    <w:p w14:paraId="7C09EF82" w14:textId="1B05F2D9" w:rsidR="00E0614F" w:rsidRDefault="00735E0F" w:rsidP="007809D2">
      <w:pPr>
        <w:pStyle w:val="Caption"/>
      </w:pPr>
      <w:bookmarkStart w:id="27" w:name="_Ref296181059"/>
      <w:r w:rsidRPr="008C21E4">
        <w:t xml:space="preserve">Tabla </w:t>
      </w:r>
      <w:r w:rsidR="00A81D94">
        <w:rPr>
          <w:noProof/>
        </w:rPr>
        <w:fldChar w:fldCharType="begin"/>
      </w:r>
      <w:r w:rsidR="00A81D94">
        <w:rPr>
          <w:noProof/>
        </w:rPr>
        <w:instrText xml:space="preserve"> SEQ Tabla \* ARABIC </w:instrText>
      </w:r>
      <w:r w:rsidR="00A81D94">
        <w:rPr>
          <w:noProof/>
        </w:rPr>
        <w:fldChar w:fldCharType="separate"/>
      </w:r>
      <w:r w:rsidR="00533BC2" w:rsidRPr="008C21E4">
        <w:rPr>
          <w:noProof/>
        </w:rPr>
        <w:t>8</w:t>
      </w:r>
      <w:r w:rsidR="00A81D94">
        <w:rPr>
          <w:noProof/>
        </w:rPr>
        <w:fldChar w:fldCharType="end"/>
      </w:r>
      <w:bookmarkEnd w:id="27"/>
      <w:r w:rsidRPr="008C21E4">
        <w:t>. Análisis de sensibilidad de la razón beneficio/costo</w:t>
      </w:r>
      <w:r w:rsidR="00EE7DCC" w:rsidRPr="008C21E4">
        <w:t xml:space="preserve">, </w:t>
      </w:r>
      <w:r w:rsidR="00467C36" w:rsidRPr="008C21E4">
        <w:t xml:space="preserve">periodo </w:t>
      </w:r>
      <w:r w:rsidR="00EE7DCC" w:rsidRPr="008C21E4">
        <w:t>201</w:t>
      </w:r>
      <w:r w:rsidR="00CF7A7F">
        <w:t>9</w:t>
      </w:r>
      <w:r w:rsidR="00EE7DCC" w:rsidRPr="008C21E4">
        <w:t>-202</w:t>
      </w:r>
      <w:r w:rsidR="00924880" w:rsidRPr="008C21E4">
        <w:t>3</w:t>
      </w:r>
    </w:p>
    <w:p w14:paraId="33674C80" w14:textId="520DFFA0" w:rsidR="00353D73" w:rsidRPr="00353D73" w:rsidRDefault="006C1615" w:rsidP="006C1615">
      <w:pPr>
        <w:jc w:val="center"/>
        <w:rPr>
          <w:lang w:val="es-ES_tradnl"/>
        </w:rPr>
      </w:pPr>
      <w:r>
        <w:rPr>
          <w:noProof/>
          <w:lang w:val="it-IT" w:eastAsia="it-IT"/>
        </w:rPr>
        <w:drawing>
          <wp:inline distT="0" distB="0" distL="0" distR="0" wp14:anchorId="6F27AD34" wp14:editId="07E407DB">
            <wp:extent cx="4904740" cy="2427605"/>
            <wp:effectExtent l="0" t="0" r="0" b="10795"/>
            <wp:docPr id="12" name="Immagine 12" descr="../../../../../Desktop/Schermata%202018-09-21%20alle%2021.04.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Schermata%202018-09-21%20alle%2021.04.0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4740" cy="2427605"/>
                    </a:xfrm>
                    <a:prstGeom prst="rect">
                      <a:avLst/>
                    </a:prstGeom>
                    <a:noFill/>
                    <a:ln>
                      <a:noFill/>
                    </a:ln>
                  </pic:spPr>
                </pic:pic>
              </a:graphicData>
            </a:graphic>
          </wp:inline>
        </w:drawing>
      </w:r>
    </w:p>
    <w:p w14:paraId="7C3939AA" w14:textId="77777777" w:rsidR="00E96BF7" w:rsidRPr="008C21E4" w:rsidRDefault="00E96BF7" w:rsidP="00353D73">
      <w:pPr>
        <w:keepNext/>
        <w:autoSpaceDE w:val="0"/>
        <w:autoSpaceDN w:val="0"/>
        <w:adjustRightInd w:val="0"/>
        <w:spacing w:before="120"/>
        <w:ind w:firstLine="634"/>
        <w:jc w:val="both"/>
        <w:rPr>
          <w:rFonts w:ascii="Arial" w:hAnsi="Arial" w:cs="Arial"/>
          <w:sz w:val="16"/>
          <w:szCs w:val="16"/>
          <w:lang w:val="es-ES"/>
        </w:rPr>
      </w:pPr>
      <w:r w:rsidRPr="008C21E4">
        <w:rPr>
          <w:rFonts w:ascii="Arial" w:hAnsi="Arial" w:cs="Arial"/>
          <w:sz w:val="16"/>
          <w:szCs w:val="16"/>
          <w:lang w:val="es-ES"/>
        </w:rPr>
        <w:t>Nota: En verde se resaltan los valores positivos de la razón beneficio/costo.</w:t>
      </w:r>
    </w:p>
    <w:p w14:paraId="3A6629B7" w14:textId="77777777" w:rsidR="00E96BF7" w:rsidRDefault="00E96BF7" w:rsidP="001520DF">
      <w:pPr>
        <w:autoSpaceDE w:val="0"/>
        <w:autoSpaceDN w:val="0"/>
        <w:adjustRightInd w:val="0"/>
        <w:ind w:left="634"/>
        <w:jc w:val="both"/>
        <w:rPr>
          <w:rFonts w:ascii="Arial" w:hAnsi="Arial" w:cs="Arial"/>
          <w:sz w:val="16"/>
          <w:szCs w:val="16"/>
          <w:lang w:val="es-ES"/>
        </w:rPr>
      </w:pPr>
      <w:r w:rsidRPr="008C21E4">
        <w:rPr>
          <w:rFonts w:ascii="Arial" w:hAnsi="Arial" w:cs="Arial"/>
          <w:sz w:val="16"/>
          <w:szCs w:val="16"/>
          <w:lang w:val="es-ES"/>
        </w:rPr>
        <w:t>Fuente: Elaboración de los autores.</w:t>
      </w:r>
    </w:p>
    <w:p w14:paraId="30EE549D" w14:textId="77777777" w:rsidR="00353D73" w:rsidRPr="008C21E4" w:rsidRDefault="00353D73" w:rsidP="001520DF">
      <w:pPr>
        <w:autoSpaceDE w:val="0"/>
        <w:autoSpaceDN w:val="0"/>
        <w:adjustRightInd w:val="0"/>
        <w:ind w:left="634"/>
        <w:jc w:val="both"/>
        <w:rPr>
          <w:rFonts w:ascii="Arial" w:hAnsi="Arial" w:cs="Arial"/>
          <w:sz w:val="16"/>
          <w:szCs w:val="16"/>
          <w:lang w:val="es-ES"/>
        </w:rPr>
      </w:pPr>
    </w:p>
    <w:p w14:paraId="3B5BE0C3" w14:textId="09166B4B" w:rsidR="00EB0342" w:rsidRDefault="00AD15AA" w:rsidP="001025F1">
      <w:pPr>
        <w:spacing w:after="100" w:afterAutospacing="1"/>
        <w:jc w:val="both"/>
        <w:rPr>
          <w:rFonts w:ascii="Arial" w:hAnsi="Arial" w:cs="Arial"/>
          <w:sz w:val="22"/>
          <w:szCs w:val="22"/>
          <w:lang w:val="es-ES"/>
        </w:rPr>
      </w:pPr>
      <w:r w:rsidRPr="008C21E4">
        <w:rPr>
          <w:rFonts w:ascii="Arial" w:eastAsia="Times New Roman" w:hAnsi="Arial" w:cs="Arial"/>
          <w:sz w:val="22"/>
          <w:szCs w:val="22"/>
          <w:lang w:val="es-ES"/>
        </w:rPr>
        <w:t>Se presentan también los resultados del análisis alternativo donde se considera un escenario más amplio que comprende 201</w:t>
      </w:r>
      <w:r w:rsidR="00EB0342">
        <w:rPr>
          <w:rFonts w:ascii="Arial" w:eastAsia="Times New Roman" w:hAnsi="Arial" w:cs="Arial"/>
          <w:sz w:val="22"/>
          <w:szCs w:val="22"/>
          <w:lang w:val="es-ES"/>
        </w:rPr>
        <w:t xml:space="preserve">9 a </w:t>
      </w:r>
      <w:r w:rsidRPr="008C21E4">
        <w:rPr>
          <w:rFonts w:ascii="Arial" w:eastAsia="Times New Roman" w:hAnsi="Arial" w:cs="Arial"/>
          <w:sz w:val="22"/>
          <w:szCs w:val="22"/>
          <w:lang w:val="es-ES"/>
        </w:rPr>
        <w:t>202</w:t>
      </w:r>
      <w:r w:rsidR="00455583" w:rsidRPr="008C21E4">
        <w:rPr>
          <w:rFonts w:ascii="Arial" w:eastAsia="Times New Roman" w:hAnsi="Arial" w:cs="Arial"/>
          <w:sz w:val="22"/>
          <w:szCs w:val="22"/>
          <w:lang w:val="es-ES"/>
        </w:rPr>
        <w:t>8</w:t>
      </w:r>
      <w:r w:rsidRPr="008C21E4">
        <w:rPr>
          <w:rFonts w:ascii="Arial" w:eastAsia="Times New Roman" w:hAnsi="Arial" w:cs="Arial"/>
          <w:sz w:val="22"/>
          <w:szCs w:val="22"/>
          <w:lang w:val="es-ES"/>
        </w:rPr>
        <w:t>. El anterior análisis permite reconocer que los beneficios de la intervención toman tiempo en observarse completamente. Sin embargo, una vez que se concluye el periodo de desembolso también se deben realizar inversiones adicionales para mantener los servicios de</w:t>
      </w:r>
      <w:r w:rsidR="00455583" w:rsidRPr="008C21E4">
        <w:rPr>
          <w:rFonts w:ascii="Arial" w:eastAsia="Times New Roman" w:hAnsi="Arial" w:cs="Arial"/>
          <w:sz w:val="22"/>
          <w:szCs w:val="22"/>
          <w:lang w:val="es-ES"/>
        </w:rPr>
        <w:t xml:space="preserve"> </w:t>
      </w:r>
      <w:r w:rsidR="00EB0342">
        <w:rPr>
          <w:rFonts w:ascii="Arial" w:eastAsia="Times New Roman" w:hAnsi="Arial" w:cs="Arial"/>
          <w:sz w:val="22"/>
          <w:szCs w:val="22"/>
          <w:lang w:val="es-ES"/>
        </w:rPr>
        <w:t>Mejor Salud BH</w:t>
      </w:r>
      <w:r w:rsidRPr="008C21E4">
        <w:rPr>
          <w:rFonts w:ascii="Arial" w:eastAsia="Times New Roman" w:hAnsi="Arial" w:cs="Arial"/>
          <w:sz w:val="22"/>
          <w:szCs w:val="22"/>
          <w:lang w:val="es-ES"/>
        </w:rPr>
        <w:t xml:space="preserve">. Por ejemplo, costos de mantenimiento, recursos humanos e insumos. En este análisis se estima que el </w:t>
      </w:r>
      <w:r w:rsidR="00B75263" w:rsidRPr="00CD0F43">
        <w:rPr>
          <w:rFonts w:ascii="Arial" w:eastAsia="Times New Roman" w:hAnsi="Arial" w:cs="Arial"/>
          <w:sz w:val="22"/>
          <w:szCs w:val="22"/>
          <w:lang w:val="es-ES"/>
        </w:rPr>
        <w:t>Municipio</w:t>
      </w:r>
      <w:r w:rsidR="00EB0342">
        <w:rPr>
          <w:rFonts w:ascii="Arial" w:eastAsia="Times New Roman" w:hAnsi="Arial" w:cs="Arial"/>
          <w:sz w:val="22"/>
          <w:szCs w:val="22"/>
          <w:lang w:val="es-ES"/>
        </w:rPr>
        <w:t xml:space="preserve"> de Belo Horizonte</w:t>
      </w:r>
      <w:r w:rsidR="00B75263" w:rsidRPr="008C21E4">
        <w:rPr>
          <w:rFonts w:ascii="Arial" w:eastAsia="Times New Roman" w:hAnsi="Arial" w:cs="Arial"/>
          <w:sz w:val="22"/>
          <w:szCs w:val="22"/>
          <w:lang w:val="es-ES"/>
        </w:rPr>
        <w:t xml:space="preserve"> </w:t>
      </w:r>
      <w:r w:rsidRPr="008C21E4">
        <w:rPr>
          <w:rFonts w:ascii="Arial" w:eastAsia="Times New Roman" w:hAnsi="Arial" w:cs="Arial"/>
          <w:sz w:val="22"/>
          <w:szCs w:val="22"/>
          <w:lang w:val="es-ES"/>
        </w:rPr>
        <w:t xml:space="preserve">debería asumir un costo de </w:t>
      </w:r>
      <w:r w:rsidR="003F4284" w:rsidRPr="008C21E4">
        <w:rPr>
          <w:rFonts w:ascii="Arial" w:eastAsia="Times New Roman" w:hAnsi="Arial" w:cs="Arial"/>
          <w:sz w:val="22"/>
          <w:szCs w:val="22"/>
          <w:lang w:val="es-ES"/>
        </w:rPr>
        <w:t>US$</w:t>
      </w:r>
      <w:r w:rsidR="00353D73">
        <w:rPr>
          <w:rFonts w:ascii="Arial" w:eastAsia="Times New Roman" w:hAnsi="Arial" w:cs="Arial"/>
          <w:sz w:val="22"/>
          <w:szCs w:val="22"/>
          <w:lang w:val="es-ES"/>
        </w:rPr>
        <w:t>23</w:t>
      </w:r>
      <w:r w:rsidR="0017442A" w:rsidRPr="008C21E4">
        <w:rPr>
          <w:rFonts w:ascii="Arial" w:eastAsia="Times New Roman" w:hAnsi="Arial" w:cs="Arial"/>
          <w:sz w:val="22"/>
          <w:szCs w:val="22"/>
          <w:lang w:val="es-ES"/>
        </w:rPr>
        <w:t xml:space="preserve"> </w:t>
      </w:r>
      <w:r w:rsidRPr="008C21E4">
        <w:rPr>
          <w:rFonts w:ascii="Arial" w:eastAsia="Times New Roman" w:hAnsi="Arial" w:cs="Arial"/>
          <w:sz w:val="22"/>
          <w:szCs w:val="22"/>
          <w:lang w:val="es-ES"/>
        </w:rPr>
        <w:t>millones anuales a partir de 202</w:t>
      </w:r>
      <w:r w:rsidR="0017442A" w:rsidRPr="008C21E4">
        <w:rPr>
          <w:rFonts w:ascii="Arial" w:eastAsia="Times New Roman" w:hAnsi="Arial" w:cs="Arial"/>
          <w:sz w:val="22"/>
          <w:szCs w:val="22"/>
          <w:lang w:val="es-ES"/>
        </w:rPr>
        <w:t>4</w:t>
      </w:r>
      <w:r w:rsidRPr="008C21E4">
        <w:rPr>
          <w:rFonts w:ascii="Arial" w:eastAsia="Times New Roman" w:hAnsi="Arial" w:cs="Arial"/>
          <w:sz w:val="22"/>
          <w:szCs w:val="22"/>
          <w:lang w:val="es-ES"/>
        </w:rPr>
        <w:t xml:space="preserve"> para apalancar los beneficios. </w:t>
      </w:r>
      <w:r w:rsidR="00EE7DCC" w:rsidRPr="008C21E4">
        <w:rPr>
          <w:rFonts w:ascii="Arial" w:hAnsi="Arial" w:cs="Arial"/>
          <w:sz w:val="22"/>
          <w:szCs w:val="22"/>
          <w:lang w:val="es-ES"/>
        </w:rPr>
        <w:t>Los result</w:t>
      </w:r>
      <w:r w:rsidR="000D3544" w:rsidRPr="008C21E4">
        <w:rPr>
          <w:rFonts w:ascii="Arial" w:hAnsi="Arial" w:cs="Arial"/>
          <w:sz w:val="22"/>
          <w:szCs w:val="22"/>
          <w:lang w:val="es-ES"/>
        </w:rPr>
        <w:t xml:space="preserve">ados de la tabla </w:t>
      </w:r>
      <w:r w:rsidR="00E87EE4">
        <w:rPr>
          <w:rFonts w:ascii="Arial" w:hAnsi="Arial" w:cs="Arial"/>
          <w:sz w:val="22"/>
          <w:szCs w:val="22"/>
          <w:lang w:val="es-ES"/>
        </w:rPr>
        <w:t>9</w:t>
      </w:r>
      <w:r w:rsidR="007416D4" w:rsidRPr="008C21E4">
        <w:rPr>
          <w:rFonts w:ascii="Arial" w:hAnsi="Arial" w:cs="Arial"/>
          <w:sz w:val="22"/>
          <w:szCs w:val="22"/>
          <w:lang w:val="es-ES"/>
        </w:rPr>
        <w:t xml:space="preserve"> </w:t>
      </w:r>
      <w:r w:rsidRPr="008C21E4">
        <w:rPr>
          <w:rFonts w:ascii="Arial" w:hAnsi="Arial" w:cs="Arial"/>
          <w:sz w:val="22"/>
          <w:szCs w:val="22"/>
          <w:lang w:val="es-ES"/>
        </w:rPr>
        <w:t xml:space="preserve">muestran que los beneficios siempre exceden a los costos aún en el escenario más lento y el vector de gradualidad más lento. El escenario más probable es que se presenta un escenario de cobertura </w:t>
      </w:r>
      <w:r w:rsidR="00AA2E61" w:rsidRPr="008C21E4">
        <w:rPr>
          <w:rFonts w:ascii="Arial" w:hAnsi="Arial" w:cs="Arial"/>
          <w:sz w:val="22"/>
          <w:szCs w:val="22"/>
          <w:lang w:val="es-ES"/>
        </w:rPr>
        <w:t xml:space="preserve">medio </w:t>
      </w:r>
      <w:r w:rsidRPr="008C21E4">
        <w:rPr>
          <w:rFonts w:ascii="Arial" w:hAnsi="Arial" w:cs="Arial"/>
          <w:sz w:val="22"/>
          <w:szCs w:val="22"/>
          <w:lang w:val="es-ES"/>
        </w:rPr>
        <w:t xml:space="preserve">y un vector de gradualidad regular con lo que se obtendría una razón de </w:t>
      </w:r>
      <w:r w:rsidR="006C1615">
        <w:rPr>
          <w:rFonts w:ascii="Arial" w:hAnsi="Arial" w:cs="Arial"/>
          <w:sz w:val="22"/>
          <w:szCs w:val="22"/>
          <w:lang w:val="es-ES"/>
        </w:rPr>
        <w:t>3</w:t>
      </w:r>
      <w:r w:rsidR="00353D73">
        <w:rPr>
          <w:rFonts w:ascii="Arial" w:hAnsi="Arial" w:cs="Arial"/>
          <w:sz w:val="22"/>
          <w:szCs w:val="22"/>
          <w:lang w:val="es-ES"/>
        </w:rPr>
        <w:t>,</w:t>
      </w:r>
      <w:r w:rsidR="006C1615">
        <w:rPr>
          <w:rFonts w:ascii="Arial" w:hAnsi="Arial" w:cs="Arial"/>
          <w:sz w:val="22"/>
          <w:szCs w:val="22"/>
          <w:lang w:val="es-ES"/>
        </w:rPr>
        <w:t>06</w:t>
      </w:r>
      <w:r w:rsidR="005F16FF">
        <w:rPr>
          <w:rFonts w:ascii="Arial" w:hAnsi="Arial" w:cs="Arial"/>
          <w:sz w:val="22"/>
          <w:szCs w:val="22"/>
          <w:lang w:val="es-ES"/>
        </w:rPr>
        <w:t>.</w:t>
      </w:r>
    </w:p>
    <w:p w14:paraId="3F18AAD1" w14:textId="77777777" w:rsidR="00353D73" w:rsidRDefault="00353D73" w:rsidP="007809D2">
      <w:pPr>
        <w:pStyle w:val="Caption"/>
      </w:pPr>
    </w:p>
    <w:p w14:paraId="305DD9FC" w14:textId="77777777" w:rsidR="00353D73" w:rsidRDefault="00353D73" w:rsidP="007809D2">
      <w:pPr>
        <w:pStyle w:val="Caption"/>
      </w:pPr>
    </w:p>
    <w:p w14:paraId="1B806C05" w14:textId="77777777" w:rsidR="00353D73" w:rsidRDefault="00353D73" w:rsidP="007809D2">
      <w:pPr>
        <w:pStyle w:val="Caption"/>
      </w:pPr>
    </w:p>
    <w:p w14:paraId="28BCBCA2" w14:textId="77777777" w:rsidR="00353D73" w:rsidRDefault="00353D73" w:rsidP="007809D2">
      <w:pPr>
        <w:pStyle w:val="Caption"/>
      </w:pPr>
    </w:p>
    <w:p w14:paraId="6B9D4AE5" w14:textId="77777777" w:rsidR="00353D73" w:rsidRDefault="00353D73" w:rsidP="007809D2">
      <w:pPr>
        <w:pStyle w:val="Caption"/>
      </w:pPr>
    </w:p>
    <w:p w14:paraId="0C4F2E4D" w14:textId="77777777" w:rsidR="00353D73" w:rsidRDefault="00353D73" w:rsidP="007809D2">
      <w:pPr>
        <w:pStyle w:val="Caption"/>
      </w:pPr>
    </w:p>
    <w:p w14:paraId="54B0043B" w14:textId="77777777" w:rsidR="00353D73" w:rsidRDefault="00353D73" w:rsidP="007809D2">
      <w:pPr>
        <w:pStyle w:val="Caption"/>
      </w:pPr>
    </w:p>
    <w:p w14:paraId="7F9F377A" w14:textId="77777777" w:rsidR="00353D73" w:rsidRDefault="00353D73" w:rsidP="007809D2">
      <w:pPr>
        <w:pStyle w:val="Caption"/>
      </w:pPr>
    </w:p>
    <w:p w14:paraId="1A2040AE" w14:textId="77777777" w:rsidR="00353D73" w:rsidRDefault="00353D73" w:rsidP="007809D2">
      <w:pPr>
        <w:pStyle w:val="Caption"/>
      </w:pPr>
    </w:p>
    <w:p w14:paraId="625E0257" w14:textId="77777777" w:rsidR="00353D73" w:rsidRDefault="00353D73" w:rsidP="007809D2">
      <w:pPr>
        <w:pStyle w:val="Caption"/>
      </w:pPr>
    </w:p>
    <w:p w14:paraId="4B8CA71C" w14:textId="77777777" w:rsidR="00353D73" w:rsidRDefault="00353D73" w:rsidP="007809D2">
      <w:pPr>
        <w:pStyle w:val="Caption"/>
      </w:pPr>
    </w:p>
    <w:p w14:paraId="6DF3BF66" w14:textId="77777777" w:rsidR="00353D73" w:rsidRDefault="00353D73" w:rsidP="007809D2">
      <w:pPr>
        <w:pStyle w:val="Caption"/>
      </w:pPr>
    </w:p>
    <w:p w14:paraId="1306D21B" w14:textId="2E968051" w:rsidR="00EE7DCC" w:rsidRDefault="00EE7DCC" w:rsidP="007809D2">
      <w:pPr>
        <w:pStyle w:val="Caption"/>
      </w:pPr>
      <w:r w:rsidRPr="008C21E4">
        <w:t xml:space="preserve">Tabla </w:t>
      </w:r>
      <w:r w:rsidR="00E87EE4">
        <w:t>9</w:t>
      </w:r>
      <w:r w:rsidRPr="008C21E4">
        <w:t>. Análisis de sensibilidad de la razón beneficio/costo</w:t>
      </w:r>
      <w:r w:rsidR="00644731" w:rsidRPr="008C21E4">
        <w:t xml:space="preserve">, </w:t>
      </w:r>
      <w:r w:rsidR="00302C75" w:rsidRPr="008C21E4">
        <w:t xml:space="preserve">periodo </w:t>
      </w:r>
      <w:r w:rsidR="00644731" w:rsidRPr="008C21E4">
        <w:t>2018-2028</w:t>
      </w:r>
    </w:p>
    <w:p w14:paraId="29E00A61" w14:textId="29EDC73A" w:rsidR="00353D73" w:rsidRPr="00353D73" w:rsidRDefault="002D0EDC" w:rsidP="00353D73">
      <w:pPr>
        <w:jc w:val="center"/>
        <w:rPr>
          <w:lang w:val="es-ES_tradnl"/>
        </w:rPr>
      </w:pPr>
      <w:r>
        <w:rPr>
          <w:noProof/>
          <w:lang w:val="it-IT" w:eastAsia="it-IT"/>
        </w:rPr>
        <w:drawing>
          <wp:inline distT="0" distB="0" distL="0" distR="0" wp14:anchorId="642627C0" wp14:editId="357D7B3E">
            <wp:extent cx="4937760" cy="2302510"/>
            <wp:effectExtent l="0" t="0" r="0" b="8890"/>
            <wp:docPr id="14" name="Immagine 14" descr="../../../../../Desktop/Schermata%202018-09-21%20alle%2021.04.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Schermata%202018-09-21%20alle%2021.04.0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37760" cy="2302510"/>
                    </a:xfrm>
                    <a:prstGeom prst="rect">
                      <a:avLst/>
                    </a:prstGeom>
                    <a:noFill/>
                    <a:ln>
                      <a:noFill/>
                    </a:ln>
                  </pic:spPr>
                </pic:pic>
              </a:graphicData>
            </a:graphic>
          </wp:inline>
        </w:drawing>
      </w:r>
    </w:p>
    <w:p w14:paraId="405B6749" w14:textId="77777777" w:rsidR="00E96BF7" w:rsidRPr="008C21E4" w:rsidRDefault="00E96BF7" w:rsidP="005F16FF">
      <w:pPr>
        <w:autoSpaceDE w:val="0"/>
        <w:autoSpaceDN w:val="0"/>
        <w:adjustRightInd w:val="0"/>
        <w:spacing w:before="120"/>
        <w:ind w:left="634"/>
        <w:jc w:val="both"/>
        <w:rPr>
          <w:rFonts w:ascii="Arial" w:hAnsi="Arial" w:cs="Arial"/>
          <w:sz w:val="16"/>
          <w:szCs w:val="16"/>
          <w:lang w:val="es-ES"/>
        </w:rPr>
      </w:pPr>
      <w:r w:rsidRPr="008C21E4">
        <w:rPr>
          <w:rFonts w:ascii="Arial" w:hAnsi="Arial" w:cs="Arial"/>
          <w:sz w:val="16"/>
          <w:szCs w:val="16"/>
          <w:lang w:val="es-ES"/>
        </w:rPr>
        <w:t>Nota: En verde se resaltan los valores positivos de la razón beneficio/costo.</w:t>
      </w:r>
    </w:p>
    <w:p w14:paraId="0D961FC8" w14:textId="77777777" w:rsidR="00E96BF7" w:rsidRPr="008C21E4" w:rsidRDefault="00E96BF7" w:rsidP="005F16FF">
      <w:pPr>
        <w:autoSpaceDE w:val="0"/>
        <w:autoSpaceDN w:val="0"/>
        <w:adjustRightInd w:val="0"/>
        <w:ind w:left="630"/>
        <w:jc w:val="both"/>
        <w:rPr>
          <w:rFonts w:ascii="Arial" w:hAnsi="Arial" w:cs="Arial"/>
          <w:sz w:val="16"/>
          <w:szCs w:val="16"/>
          <w:lang w:val="es-ES"/>
        </w:rPr>
      </w:pPr>
      <w:r w:rsidRPr="008C21E4">
        <w:rPr>
          <w:rFonts w:ascii="Arial" w:hAnsi="Arial" w:cs="Arial"/>
          <w:sz w:val="16"/>
          <w:szCs w:val="16"/>
          <w:lang w:val="es-ES"/>
        </w:rPr>
        <w:t>Fuente: Elaboración de los autores.</w:t>
      </w:r>
    </w:p>
    <w:p w14:paraId="2200D46A" w14:textId="77777777" w:rsidR="002D0EDC" w:rsidRDefault="002D0EDC" w:rsidP="00110C35">
      <w:pPr>
        <w:spacing w:after="100" w:afterAutospacing="1"/>
        <w:jc w:val="both"/>
        <w:rPr>
          <w:rFonts w:ascii="Arial" w:hAnsi="Arial" w:cs="Arial"/>
          <w:sz w:val="22"/>
          <w:szCs w:val="22"/>
          <w:lang w:val="es-ES"/>
        </w:rPr>
      </w:pPr>
    </w:p>
    <w:p w14:paraId="00519429" w14:textId="0D849838" w:rsidR="008676CC" w:rsidRPr="005C0D0E" w:rsidRDefault="008676CC" w:rsidP="008676CC">
      <w:pPr>
        <w:spacing w:after="100" w:afterAutospacing="1"/>
        <w:jc w:val="both"/>
        <w:rPr>
          <w:rFonts w:ascii="Arial" w:hAnsi="Arial" w:cs="Arial"/>
          <w:sz w:val="22"/>
          <w:szCs w:val="22"/>
          <w:lang w:val="it-IT"/>
        </w:rPr>
      </w:pPr>
      <w:r w:rsidRPr="0066743E">
        <w:rPr>
          <w:rFonts w:ascii="Arial" w:hAnsi="Arial" w:cs="Arial"/>
          <w:sz w:val="22"/>
          <w:szCs w:val="22"/>
          <w:lang w:val="es-ES"/>
        </w:rPr>
        <w:t>También se ha estimado la tasa i</w:t>
      </w:r>
      <w:r>
        <w:rPr>
          <w:rFonts w:ascii="Arial" w:hAnsi="Arial" w:cs="Arial"/>
          <w:sz w:val="22"/>
          <w:szCs w:val="22"/>
          <w:lang w:val="es-ES"/>
        </w:rPr>
        <w:t>nterna de retorno (TIR), es decir</w:t>
      </w:r>
      <w:r w:rsidRPr="0066743E">
        <w:rPr>
          <w:rFonts w:ascii="Arial" w:hAnsi="Arial" w:cs="Arial"/>
          <w:sz w:val="22"/>
          <w:szCs w:val="22"/>
          <w:lang w:val="es-ES"/>
        </w:rPr>
        <w:t xml:space="preserve"> la tasa de descuento con la que el valor presente neto (VPN) es igual a cero, para el escena</w:t>
      </w:r>
      <w:r>
        <w:rPr>
          <w:rFonts w:ascii="Arial" w:hAnsi="Arial" w:cs="Arial"/>
          <w:sz w:val="22"/>
          <w:szCs w:val="22"/>
          <w:lang w:val="es-ES"/>
        </w:rPr>
        <w:t>rio de cobertura media</w:t>
      </w:r>
      <w:r w:rsidRPr="0066743E">
        <w:rPr>
          <w:rFonts w:ascii="Arial" w:hAnsi="Arial" w:cs="Arial"/>
          <w:sz w:val="22"/>
          <w:szCs w:val="22"/>
          <w:lang w:val="es-ES"/>
        </w:rPr>
        <w:t xml:space="preserve"> con vector de gradualidad regular. </w:t>
      </w:r>
      <w:r>
        <w:rPr>
          <w:rFonts w:ascii="Arial" w:hAnsi="Arial" w:cs="Arial"/>
          <w:sz w:val="22"/>
          <w:szCs w:val="22"/>
          <w:lang w:val="es-ES"/>
        </w:rPr>
        <w:t>H</w:t>
      </w:r>
      <w:r w:rsidRPr="0066743E">
        <w:rPr>
          <w:rFonts w:ascii="Arial" w:hAnsi="Arial" w:cs="Arial"/>
          <w:sz w:val="22"/>
          <w:szCs w:val="22"/>
          <w:lang w:val="es-ES"/>
        </w:rPr>
        <w:t xml:space="preserve">emos calculado </w:t>
      </w:r>
      <w:r>
        <w:rPr>
          <w:rFonts w:ascii="Arial" w:hAnsi="Arial" w:cs="Arial"/>
          <w:sz w:val="22"/>
          <w:szCs w:val="22"/>
          <w:lang w:val="es-ES"/>
        </w:rPr>
        <w:t>los flujos de caja esperados</w:t>
      </w:r>
      <w:r w:rsidRPr="0066743E">
        <w:rPr>
          <w:rFonts w:ascii="Arial" w:hAnsi="Arial" w:cs="Arial"/>
          <w:sz w:val="22"/>
          <w:szCs w:val="22"/>
          <w:lang w:val="es-ES"/>
        </w:rPr>
        <w:t>, considerando los beneficios del pro</w:t>
      </w:r>
      <w:r>
        <w:rPr>
          <w:rFonts w:ascii="Arial" w:hAnsi="Arial" w:cs="Arial"/>
          <w:sz w:val="22"/>
          <w:szCs w:val="22"/>
          <w:lang w:val="es-ES"/>
        </w:rPr>
        <w:t>yecto menos sus costos en valores corrientes (Tabla 10</w:t>
      </w:r>
      <w:r w:rsidRPr="0066743E">
        <w:rPr>
          <w:rFonts w:ascii="Arial" w:hAnsi="Arial" w:cs="Arial"/>
          <w:sz w:val="22"/>
          <w:szCs w:val="22"/>
          <w:lang w:val="es-ES"/>
        </w:rPr>
        <w:t>). En el escenario más realista</w:t>
      </w:r>
      <w:r>
        <w:rPr>
          <w:rFonts w:ascii="Arial" w:hAnsi="Arial" w:cs="Arial"/>
          <w:sz w:val="22"/>
          <w:szCs w:val="22"/>
          <w:lang w:val="es-ES"/>
        </w:rPr>
        <w:t>, es decir el de cobertura media</w:t>
      </w:r>
      <w:r w:rsidRPr="0066743E">
        <w:rPr>
          <w:rFonts w:ascii="Arial" w:hAnsi="Arial" w:cs="Arial"/>
          <w:sz w:val="22"/>
          <w:szCs w:val="22"/>
          <w:lang w:val="es-ES"/>
        </w:rPr>
        <w:t xml:space="preserve"> con vector de gradualidad regular</w:t>
      </w:r>
      <w:r>
        <w:rPr>
          <w:rFonts w:ascii="Arial" w:hAnsi="Arial" w:cs="Arial"/>
          <w:sz w:val="22"/>
          <w:szCs w:val="22"/>
          <w:lang w:val="es-ES"/>
        </w:rPr>
        <w:t xml:space="preserve">, el VPN del proyecto considerando </w:t>
      </w:r>
      <w:r w:rsidRPr="0066743E">
        <w:rPr>
          <w:rFonts w:ascii="Arial" w:hAnsi="Arial" w:cs="Arial"/>
          <w:sz w:val="22"/>
          <w:szCs w:val="22"/>
          <w:lang w:val="es-ES"/>
        </w:rPr>
        <w:t xml:space="preserve">una tasa de descuento del 3% </w:t>
      </w:r>
      <w:r>
        <w:rPr>
          <w:rFonts w:ascii="Arial" w:hAnsi="Arial" w:cs="Arial"/>
          <w:sz w:val="22"/>
          <w:szCs w:val="22"/>
          <w:lang w:val="es-ES"/>
        </w:rPr>
        <w:t xml:space="preserve">es </w:t>
      </w:r>
      <w:r w:rsidRPr="0066743E">
        <w:rPr>
          <w:rFonts w:ascii="Arial" w:hAnsi="Arial" w:cs="Arial"/>
          <w:sz w:val="22"/>
          <w:szCs w:val="22"/>
          <w:lang w:val="es-ES"/>
        </w:rPr>
        <w:t>US$</w:t>
      </w:r>
      <w:r w:rsidR="00722513">
        <w:rPr>
          <w:rFonts w:ascii="Calibri" w:eastAsia="Times New Roman" w:hAnsi="Calibri"/>
          <w:color w:val="000000"/>
          <w:sz w:val="22"/>
          <w:szCs w:val="22"/>
        </w:rPr>
        <w:t xml:space="preserve"> </w:t>
      </w:r>
      <w:r w:rsidR="00722513">
        <w:rPr>
          <w:rFonts w:ascii="Arial" w:hAnsi="Arial" w:cs="Arial"/>
          <w:sz w:val="22"/>
          <w:szCs w:val="22"/>
        </w:rPr>
        <w:t>43,943,951</w:t>
      </w:r>
      <w:r w:rsidR="00722513">
        <w:rPr>
          <w:rFonts w:ascii="Arial" w:hAnsi="Arial" w:cs="Arial"/>
          <w:sz w:val="22"/>
          <w:szCs w:val="22"/>
          <w:lang w:val="it-IT"/>
        </w:rPr>
        <w:t xml:space="preserve"> </w:t>
      </w:r>
      <w:r>
        <w:rPr>
          <w:rFonts w:ascii="Arial" w:hAnsi="Arial" w:cs="Arial"/>
          <w:sz w:val="22"/>
          <w:szCs w:val="22"/>
          <w:lang w:val="es-ES"/>
        </w:rPr>
        <w:t>y la</w:t>
      </w:r>
      <w:r w:rsidRPr="0066743E">
        <w:rPr>
          <w:rFonts w:ascii="Arial" w:hAnsi="Arial" w:cs="Arial"/>
          <w:sz w:val="22"/>
          <w:szCs w:val="22"/>
          <w:lang w:val="es-ES"/>
        </w:rPr>
        <w:t xml:space="preserve"> TIR </w:t>
      </w:r>
      <w:r w:rsidR="00722513">
        <w:rPr>
          <w:rFonts w:ascii="Arial" w:hAnsi="Arial" w:cs="Arial"/>
          <w:sz w:val="22"/>
          <w:szCs w:val="22"/>
          <w:lang w:val="es-ES"/>
        </w:rPr>
        <w:t>es 34</w:t>
      </w:r>
      <w:r>
        <w:rPr>
          <w:rFonts w:ascii="Arial" w:hAnsi="Arial" w:cs="Arial"/>
          <w:sz w:val="22"/>
          <w:szCs w:val="22"/>
          <w:lang w:val="es-ES"/>
        </w:rPr>
        <w:t>,</w:t>
      </w:r>
      <w:r w:rsidR="00722513">
        <w:rPr>
          <w:rFonts w:ascii="Arial" w:hAnsi="Arial" w:cs="Arial"/>
          <w:sz w:val="22"/>
          <w:szCs w:val="22"/>
          <w:lang w:val="es-ES"/>
        </w:rPr>
        <w:t>7</w:t>
      </w:r>
      <w:r w:rsidRPr="0066743E">
        <w:rPr>
          <w:rFonts w:ascii="Arial" w:hAnsi="Arial" w:cs="Arial"/>
          <w:sz w:val="22"/>
          <w:szCs w:val="22"/>
          <w:lang w:val="es-ES"/>
        </w:rPr>
        <w:t xml:space="preserve">%. </w:t>
      </w:r>
    </w:p>
    <w:p w14:paraId="11E4D7FB" w14:textId="77777777" w:rsidR="008676CC" w:rsidRPr="005C0D0E" w:rsidRDefault="008676CC" w:rsidP="00110C35">
      <w:pPr>
        <w:spacing w:after="100" w:afterAutospacing="1"/>
        <w:jc w:val="both"/>
        <w:rPr>
          <w:rFonts w:ascii="Calibri" w:eastAsia="Times New Roman" w:hAnsi="Calibri"/>
          <w:color w:val="000000"/>
          <w:sz w:val="22"/>
          <w:szCs w:val="22"/>
          <w:lang w:val="it-IT"/>
        </w:rPr>
      </w:pPr>
    </w:p>
    <w:p w14:paraId="169EB6CC" w14:textId="77777777" w:rsidR="00110C35" w:rsidRPr="005C0D0E" w:rsidRDefault="00110C35" w:rsidP="00110C35">
      <w:pPr>
        <w:spacing w:after="100" w:afterAutospacing="1"/>
        <w:jc w:val="both"/>
        <w:rPr>
          <w:rFonts w:ascii="Arial" w:hAnsi="Arial" w:cs="Arial"/>
          <w:sz w:val="22"/>
          <w:szCs w:val="22"/>
          <w:lang w:val="es-ES"/>
        </w:rPr>
      </w:pPr>
    </w:p>
    <w:p w14:paraId="4B5C43CD" w14:textId="68558DB8" w:rsidR="00110C35" w:rsidRPr="00FE5706" w:rsidRDefault="00694492" w:rsidP="00110C35">
      <w:pPr>
        <w:keepNext/>
        <w:jc w:val="center"/>
        <w:rPr>
          <w:rFonts w:ascii="Arial" w:eastAsia="Cambria" w:hAnsi="Arial" w:cs="Arial"/>
          <w:b/>
          <w:bCs/>
          <w:sz w:val="20"/>
          <w:szCs w:val="20"/>
          <w:lang w:val="es-ES"/>
        </w:rPr>
      </w:pPr>
      <w:r>
        <w:rPr>
          <w:rFonts w:ascii="Arial" w:eastAsia="Cambria" w:hAnsi="Arial" w:cs="Arial"/>
          <w:b/>
          <w:bCs/>
          <w:sz w:val="20"/>
          <w:szCs w:val="20"/>
          <w:lang w:val="es-ES"/>
        </w:rPr>
        <w:t>Tabla 10</w:t>
      </w:r>
      <w:r w:rsidR="00110C35" w:rsidRPr="008A0D1D">
        <w:rPr>
          <w:rFonts w:ascii="Arial" w:eastAsia="Cambria" w:hAnsi="Arial" w:cs="Arial"/>
          <w:b/>
          <w:bCs/>
          <w:sz w:val="20"/>
          <w:szCs w:val="20"/>
          <w:lang w:val="es-ES"/>
        </w:rPr>
        <w:t>. Flujos de caja (beneficios - costos), 2019-2023</w:t>
      </w:r>
    </w:p>
    <w:p w14:paraId="2DA1F6A6" w14:textId="77777777" w:rsidR="00110C35" w:rsidRPr="00FE5706" w:rsidRDefault="00110C35" w:rsidP="00110C35">
      <w:pPr>
        <w:keepNext/>
        <w:jc w:val="both"/>
        <w:rPr>
          <w:rFonts w:ascii="Arial" w:hAnsi="Arial" w:cs="Arial"/>
          <w:sz w:val="22"/>
          <w:szCs w:val="22"/>
          <w:lang w:val="es-ES"/>
        </w:rPr>
      </w:pPr>
    </w:p>
    <w:tbl>
      <w:tblPr>
        <w:tblStyle w:val="GridTable4-Accent11"/>
        <w:tblW w:w="0" w:type="auto"/>
        <w:tblLook w:val="04A0" w:firstRow="1" w:lastRow="0" w:firstColumn="1" w:lastColumn="0" w:noHBand="0" w:noVBand="1"/>
      </w:tblPr>
      <w:tblGrid>
        <w:gridCol w:w="1558"/>
        <w:gridCol w:w="1558"/>
        <w:gridCol w:w="1558"/>
        <w:gridCol w:w="1558"/>
        <w:gridCol w:w="1559"/>
        <w:gridCol w:w="1559"/>
      </w:tblGrid>
      <w:tr w:rsidR="00110C35" w:rsidRPr="00FE5706" w14:paraId="76921995" w14:textId="77777777" w:rsidTr="004167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8" w:type="dxa"/>
          </w:tcPr>
          <w:p w14:paraId="39801CB7" w14:textId="77777777" w:rsidR="00110C35" w:rsidRPr="00FE5706" w:rsidRDefault="00110C35" w:rsidP="00416743">
            <w:pPr>
              <w:keepNext/>
              <w:jc w:val="center"/>
              <w:rPr>
                <w:rFonts w:ascii="Arial" w:hAnsi="Arial" w:cs="Arial"/>
                <w:sz w:val="20"/>
                <w:szCs w:val="20"/>
                <w:lang w:val="es-ES"/>
              </w:rPr>
            </w:pPr>
          </w:p>
        </w:tc>
        <w:tc>
          <w:tcPr>
            <w:tcW w:w="1558" w:type="dxa"/>
          </w:tcPr>
          <w:p w14:paraId="02DA6D3A" w14:textId="77777777" w:rsidR="00110C35" w:rsidRPr="00FE5706" w:rsidRDefault="00110C35" w:rsidP="00416743">
            <w:pPr>
              <w:keepNext/>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Pr>
                <w:rFonts w:ascii="Arial" w:hAnsi="Arial" w:cs="Arial"/>
                <w:sz w:val="20"/>
                <w:szCs w:val="20"/>
                <w:lang w:val="es-ES"/>
              </w:rPr>
              <w:t>2019</w:t>
            </w:r>
            <w:r w:rsidRPr="00FE5706">
              <w:rPr>
                <w:rFonts w:ascii="Arial" w:hAnsi="Arial" w:cs="Arial"/>
                <w:sz w:val="20"/>
                <w:szCs w:val="20"/>
                <w:lang w:val="es-ES"/>
              </w:rPr>
              <w:t xml:space="preserve"> (US$)</w:t>
            </w:r>
          </w:p>
        </w:tc>
        <w:tc>
          <w:tcPr>
            <w:tcW w:w="1558" w:type="dxa"/>
          </w:tcPr>
          <w:p w14:paraId="109D0E42" w14:textId="77777777" w:rsidR="00110C35" w:rsidRPr="00FE5706" w:rsidRDefault="00110C35" w:rsidP="00416743">
            <w:pPr>
              <w:keepNext/>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Pr>
                <w:rFonts w:ascii="Arial" w:hAnsi="Arial" w:cs="Arial"/>
                <w:sz w:val="20"/>
                <w:szCs w:val="20"/>
                <w:lang w:val="es-ES"/>
              </w:rPr>
              <w:t>2020</w:t>
            </w:r>
            <w:r w:rsidRPr="00FE5706">
              <w:rPr>
                <w:rFonts w:ascii="Arial" w:hAnsi="Arial" w:cs="Arial"/>
                <w:sz w:val="20"/>
                <w:szCs w:val="20"/>
                <w:lang w:val="es-ES"/>
              </w:rPr>
              <w:t xml:space="preserve"> (US$)</w:t>
            </w:r>
          </w:p>
        </w:tc>
        <w:tc>
          <w:tcPr>
            <w:tcW w:w="1558" w:type="dxa"/>
          </w:tcPr>
          <w:p w14:paraId="7438B8B1" w14:textId="77777777" w:rsidR="00110C35" w:rsidRPr="00FE5706" w:rsidRDefault="00110C35" w:rsidP="00416743">
            <w:pPr>
              <w:keepNext/>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Pr>
                <w:rFonts w:ascii="Arial" w:hAnsi="Arial" w:cs="Arial"/>
                <w:sz w:val="20"/>
                <w:szCs w:val="20"/>
                <w:lang w:val="es-ES"/>
              </w:rPr>
              <w:t>2021</w:t>
            </w:r>
            <w:r w:rsidRPr="00FE5706">
              <w:rPr>
                <w:rFonts w:ascii="Arial" w:hAnsi="Arial" w:cs="Arial"/>
                <w:sz w:val="20"/>
                <w:szCs w:val="20"/>
                <w:lang w:val="es-ES"/>
              </w:rPr>
              <w:t xml:space="preserve"> (US$)</w:t>
            </w:r>
          </w:p>
        </w:tc>
        <w:tc>
          <w:tcPr>
            <w:tcW w:w="1559" w:type="dxa"/>
          </w:tcPr>
          <w:p w14:paraId="3F12506B" w14:textId="77777777" w:rsidR="00110C35" w:rsidRPr="00FE5706" w:rsidRDefault="00110C35" w:rsidP="00416743">
            <w:pPr>
              <w:keepNext/>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Pr>
                <w:rFonts w:ascii="Arial" w:hAnsi="Arial" w:cs="Arial"/>
                <w:sz w:val="20"/>
                <w:szCs w:val="20"/>
                <w:lang w:val="es-ES"/>
              </w:rPr>
              <w:t>2022</w:t>
            </w:r>
            <w:r w:rsidRPr="00FE5706">
              <w:rPr>
                <w:rFonts w:ascii="Arial" w:hAnsi="Arial" w:cs="Arial"/>
                <w:sz w:val="20"/>
                <w:szCs w:val="20"/>
                <w:lang w:val="es-ES"/>
              </w:rPr>
              <w:t xml:space="preserve"> (US$)</w:t>
            </w:r>
          </w:p>
        </w:tc>
        <w:tc>
          <w:tcPr>
            <w:tcW w:w="1559" w:type="dxa"/>
          </w:tcPr>
          <w:p w14:paraId="3CA3E4ED" w14:textId="77777777" w:rsidR="00110C35" w:rsidRPr="00FE5706" w:rsidRDefault="00110C35" w:rsidP="00416743">
            <w:pPr>
              <w:keepNext/>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Pr>
                <w:rFonts w:ascii="Arial" w:hAnsi="Arial" w:cs="Arial"/>
                <w:sz w:val="20"/>
                <w:szCs w:val="20"/>
                <w:lang w:val="es-ES"/>
              </w:rPr>
              <w:t>2023</w:t>
            </w:r>
            <w:r w:rsidRPr="00FE5706">
              <w:rPr>
                <w:rFonts w:ascii="Arial" w:hAnsi="Arial" w:cs="Arial"/>
                <w:sz w:val="20"/>
                <w:szCs w:val="20"/>
                <w:lang w:val="es-ES"/>
              </w:rPr>
              <w:t xml:space="preserve"> (US$)</w:t>
            </w:r>
          </w:p>
        </w:tc>
      </w:tr>
      <w:tr w:rsidR="00166156" w:rsidRPr="00FE5706" w14:paraId="16DCD0CF" w14:textId="77777777" w:rsidTr="004167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8" w:type="dxa"/>
          </w:tcPr>
          <w:p w14:paraId="5DEC5FE4" w14:textId="77777777" w:rsidR="00166156" w:rsidRPr="00FE5706" w:rsidRDefault="00166156" w:rsidP="00416743">
            <w:pPr>
              <w:keepNext/>
              <w:jc w:val="both"/>
              <w:rPr>
                <w:rFonts w:ascii="Arial" w:hAnsi="Arial" w:cs="Arial"/>
                <w:sz w:val="20"/>
                <w:szCs w:val="20"/>
                <w:lang w:val="es-ES"/>
              </w:rPr>
            </w:pPr>
            <w:r w:rsidRPr="00FE5706">
              <w:rPr>
                <w:rFonts w:ascii="Arial" w:hAnsi="Arial" w:cs="Arial"/>
                <w:sz w:val="20"/>
                <w:szCs w:val="20"/>
                <w:lang w:val="es-ES"/>
              </w:rPr>
              <w:t xml:space="preserve">Beneficios </w:t>
            </w:r>
          </w:p>
        </w:tc>
        <w:tc>
          <w:tcPr>
            <w:tcW w:w="1558" w:type="dxa"/>
            <w:vAlign w:val="bottom"/>
          </w:tcPr>
          <w:p w14:paraId="502783EC" w14:textId="49EB8FD1"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0</w:t>
            </w:r>
          </w:p>
        </w:tc>
        <w:tc>
          <w:tcPr>
            <w:tcW w:w="1558" w:type="dxa"/>
            <w:vAlign w:val="bottom"/>
          </w:tcPr>
          <w:p w14:paraId="16FCC343" w14:textId="2F48B268"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6,993,222</w:t>
            </w:r>
          </w:p>
        </w:tc>
        <w:tc>
          <w:tcPr>
            <w:tcW w:w="1558" w:type="dxa"/>
            <w:vAlign w:val="bottom"/>
          </w:tcPr>
          <w:p w14:paraId="79DBA299" w14:textId="44B04E9C"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29,291,487</w:t>
            </w:r>
          </w:p>
        </w:tc>
        <w:tc>
          <w:tcPr>
            <w:tcW w:w="1559" w:type="dxa"/>
            <w:vAlign w:val="bottom"/>
          </w:tcPr>
          <w:p w14:paraId="79F9CFCC" w14:textId="20731414"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46,048,692</w:t>
            </w:r>
          </w:p>
        </w:tc>
        <w:tc>
          <w:tcPr>
            <w:tcW w:w="1559" w:type="dxa"/>
            <w:vAlign w:val="bottom"/>
          </w:tcPr>
          <w:p w14:paraId="7FA5CE00" w14:textId="2022ABCD"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64,340,221</w:t>
            </w:r>
          </w:p>
        </w:tc>
      </w:tr>
      <w:tr w:rsidR="00166156" w:rsidRPr="00FE5706" w14:paraId="2CD3E95D" w14:textId="77777777" w:rsidTr="00416743">
        <w:tc>
          <w:tcPr>
            <w:cnfStyle w:val="001000000000" w:firstRow="0" w:lastRow="0" w:firstColumn="1" w:lastColumn="0" w:oddVBand="0" w:evenVBand="0" w:oddHBand="0" w:evenHBand="0" w:firstRowFirstColumn="0" w:firstRowLastColumn="0" w:lastRowFirstColumn="0" w:lastRowLastColumn="0"/>
            <w:tcW w:w="1558" w:type="dxa"/>
          </w:tcPr>
          <w:p w14:paraId="304363F3" w14:textId="77777777" w:rsidR="00166156" w:rsidRPr="00FE5706" w:rsidRDefault="00166156" w:rsidP="00416743">
            <w:pPr>
              <w:keepNext/>
              <w:jc w:val="both"/>
              <w:rPr>
                <w:rFonts w:ascii="Arial" w:hAnsi="Arial" w:cs="Arial"/>
                <w:sz w:val="20"/>
                <w:szCs w:val="20"/>
                <w:lang w:val="es-ES"/>
              </w:rPr>
            </w:pPr>
            <w:r w:rsidRPr="00FE5706">
              <w:rPr>
                <w:rFonts w:ascii="Arial" w:hAnsi="Arial" w:cs="Arial"/>
                <w:sz w:val="20"/>
                <w:szCs w:val="20"/>
                <w:lang w:val="es-ES"/>
              </w:rPr>
              <w:t xml:space="preserve">Costos </w:t>
            </w:r>
          </w:p>
        </w:tc>
        <w:tc>
          <w:tcPr>
            <w:tcW w:w="1558" w:type="dxa"/>
            <w:vAlign w:val="bottom"/>
          </w:tcPr>
          <w:p w14:paraId="245E3772" w14:textId="0B8004B7" w:rsidR="00166156" w:rsidRPr="00166156" w:rsidRDefault="00166156" w:rsidP="00416743">
            <w:pPr>
              <w:keepNext/>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13,801,370</w:t>
            </w:r>
          </w:p>
        </w:tc>
        <w:tc>
          <w:tcPr>
            <w:tcW w:w="1558" w:type="dxa"/>
            <w:vAlign w:val="bottom"/>
          </w:tcPr>
          <w:p w14:paraId="4D81E5E8" w14:textId="30186239" w:rsidR="00166156" w:rsidRPr="00166156" w:rsidRDefault="00166156" w:rsidP="00416743">
            <w:pPr>
              <w:keepNext/>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34,098,766</w:t>
            </w:r>
          </w:p>
        </w:tc>
        <w:tc>
          <w:tcPr>
            <w:tcW w:w="1558" w:type="dxa"/>
            <w:vAlign w:val="bottom"/>
          </w:tcPr>
          <w:p w14:paraId="0B5DD8CA" w14:textId="74BC0608" w:rsidR="00166156" w:rsidRPr="00166156" w:rsidRDefault="00166156" w:rsidP="00416743">
            <w:pPr>
              <w:keepNext/>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22,561,182</w:t>
            </w:r>
          </w:p>
        </w:tc>
        <w:tc>
          <w:tcPr>
            <w:tcW w:w="1559" w:type="dxa"/>
            <w:vAlign w:val="bottom"/>
          </w:tcPr>
          <w:p w14:paraId="2A527941" w14:textId="6A0442E4" w:rsidR="00166156" w:rsidRPr="00166156" w:rsidRDefault="00166156" w:rsidP="00416743">
            <w:pPr>
              <w:keepNext/>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12,776,093</w:t>
            </w:r>
          </w:p>
        </w:tc>
        <w:tc>
          <w:tcPr>
            <w:tcW w:w="1559" w:type="dxa"/>
            <w:vAlign w:val="bottom"/>
          </w:tcPr>
          <w:p w14:paraId="39026B1C" w14:textId="6A61EC4C" w:rsidR="00166156" w:rsidRPr="00166156" w:rsidRDefault="00166156" w:rsidP="00416743">
            <w:pPr>
              <w:keepNext/>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9,655,570</w:t>
            </w:r>
          </w:p>
        </w:tc>
      </w:tr>
      <w:tr w:rsidR="00166156" w:rsidRPr="00FE5706" w14:paraId="75FF8557" w14:textId="77777777" w:rsidTr="00416743">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1558" w:type="dxa"/>
          </w:tcPr>
          <w:p w14:paraId="58AC669B" w14:textId="77777777" w:rsidR="00166156" w:rsidRPr="00FE5706" w:rsidRDefault="00166156" w:rsidP="00416743">
            <w:pPr>
              <w:keepNext/>
              <w:jc w:val="both"/>
              <w:rPr>
                <w:rFonts w:ascii="Arial" w:hAnsi="Arial" w:cs="Arial"/>
                <w:sz w:val="20"/>
                <w:szCs w:val="20"/>
                <w:lang w:val="es-ES"/>
              </w:rPr>
            </w:pPr>
            <w:r w:rsidRPr="00FE5706">
              <w:rPr>
                <w:rFonts w:ascii="Arial" w:hAnsi="Arial" w:cs="Arial"/>
                <w:sz w:val="20"/>
                <w:szCs w:val="20"/>
                <w:lang w:val="es-ES"/>
              </w:rPr>
              <w:t>Flujo de caja</w:t>
            </w:r>
          </w:p>
        </w:tc>
        <w:tc>
          <w:tcPr>
            <w:tcW w:w="1558" w:type="dxa"/>
            <w:vAlign w:val="bottom"/>
          </w:tcPr>
          <w:p w14:paraId="68E92FA2" w14:textId="7FEBF640"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-13,801,370</w:t>
            </w:r>
          </w:p>
        </w:tc>
        <w:tc>
          <w:tcPr>
            <w:tcW w:w="1558" w:type="dxa"/>
            <w:vAlign w:val="bottom"/>
          </w:tcPr>
          <w:p w14:paraId="54D54632" w14:textId="1A537071"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-27,105,544</w:t>
            </w:r>
          </w:p>
        </w:tc>
        <w:tc>
          <w:tcPr>
            <w:tcW w:w="1558" w:type="dxa"/>
            <w:vAlign w:val="bottom"/>
          </w:tcPr>
          <w:p w14:paraId="14F2DF08" w14:textId="3E2798C1"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6,730,305</w:t>
            </w:r>
          </w:p>
        </w:tc>
        <w:tc>
          <w:tcPr>
            <w:tcW w:w="1559" w:type="dxa"/>
            <w:vAlign w:val="bottom"/>
          </w:tcPr>
          <w:p w14:paraId="4462FAD7" w14:textId="2A1F50C9"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33,272,599</w:t>
            </w:r>
          </w:p>
        </w:tc>
        <w:tc>
          <w:tcPr>
            <w:tcW w:w="1559" w:type="dxa"/>
            <w:vAlign w:val="bottom"/>
          </w:tcPr>
          <w:p w14:paraId="243DE824" w14:textId="25FB3131" w:rsidR="00166156" w:rsidRPr="00166156" w:rsidRDefault="00166156" w:rsidP="00416743">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ES"/>
              </w:rPr>
            </w:pPr>
            <w:r w:rsidRPr="00166156">
              <w:rPr>
                <w:rFonts w:ascii="Arial" w:eastAsia="Times New Roman" w:hAnsi="Arial" w:cs="Arial"/>
                <w:color w:val="000000"/>
                <w:sz w:val="22"/>
                <w:szCs w:val="22"/>
              </w:rPr>
              <w:t>54,684,651</w:t>
            </w:r>
          </w:p>
        </w:tc>
      </w:tr>
    </w:tbl>
    <w:p w14:paraId="66AB59C2" w14:textId="77777777" w:rsidR="00110C35" w:rsidRPr="00FE5706" w:rsidRDefault="00110C35" w:rsidP="00110C35">
      <w:pPr>
        <w:keepNext/>
        <w:jc w:val="both"/>
        <w:rPr>
          <w:rFonts w:ascii="Arial" w:hAnsi="Arial" w:cs="Arial"/>
          <w:sz w:val="22"/>
          <w:szCs w:val="22"/>
          <w:lang w:val="es-ES"/>
        </w:rPr>
      </w:pPr>
    </w:p>
    <w:p w14:paraId="569F4AC1" w14:textId="77777777" w:rsidR="00110C35" w:rsidRPr="00FE5706" w:rsidRDefault="00110C35" w:rsidP="00110C35">
      <w:pPr>
        <w:autoSpaceDE w:val="0"/>
        <w:autoSpaceDN w:val="0"/>
        <w:adjustRightInd w:val="0"/>
        <w:jc w:val="both"/>
        <w:rPr>
          <w:rFonts w:ascii="Arial" w:hAnsi="Arial" w:cs="Arial"/>
          <w:sz w:val="16"/>
          <w:szCs w:val="16"/>
          <w:lang w:val="es-ES"/>
        </w:rPr>
      </w:pPr>
      <w:r w:rsidRPr="00FE5706">
        <w:rPr>
          <w:rFonts w:ascii="Arial" w:hAnsi="Arial" w:cs="Arial"/>
          <w:sz w:val="16"/>
          <w:szCs w:val="16"/>
          <w:lang w:val="es-ES"/>
        </w:rPr>
        <w:t>Fuente: Elaboración de los autores.</w:t>
      </w:r>
    </w:p>
    <w:p w14:paraId="3803C1CE" w14:textId="77777777" w:rsidR="00110C35" w:rsidRDefault="00110C35" w:rsidP="00B76B87">
      <w:pPr>
        <w:spacing w:before="100" w:beforeAutospacing="1" w:after="100" w:afterAutospacing="1"/>
        <w:jc w:val="both"/>
        <w:rPr>
          <w:rFonts w:ascii="Arial" w:hAnsi="Arial" w:cs="Arial"/>
          <w:sz w:val="22"/>
          <w:szCs w:val="22"/>
          <w:lang w:val="es-ES"/>
        </w:rPr>
      </w:pPr>
    </w:p>
    <w:p w14:paraId="5D7A98AE" w14:textId="77777777" w:rsidR="00110C35" w:rsidRDefault="00110C35" w:rsidP="00B76B87">
      <w:pPr>
        <w:spacing w:before="100" w:beforeAutospacing="1" w:after="100" w:afterAutospacing="1"/>
        <w:jc w:val="both"/>
        <w:rPr>
          <w:rFonts w:ascii="Arial" w:hAnsi="Arial" w:cs="Arial"/>
          <w:sz w:val="22"/>
          <w:szCs w:val="22"/>
          <w:lang w:val="es-ES"/>
        </w:rPr>
      </w:pPr>
    </w:p>
    <w:p w14:paraId="4340433F" w14:textId="77777777" w:rsidR="00110C35" w:rsidRDefault="00110C35" w:rsidP="00B76B87">
      <w:pPr>
        <w:spacing w:before="100" w:beforeAutospacing="1" w:after="100" w:afterAutospacing="1"/>
        <w:jc w:val="both"/>
        <w:rPr>
          <w:rFonts w:ascii="Arial" w:hAnsi="Arial" w:cs="Arial"/>
          <w:sz w:val="22"/>
          <w:szCs w:val="22"/>
          <w:lang w:val="es-ES"/>
        </w:rPr>
      </w:pPr>
    </w:p>
    <w:p w14:paraId="1360A147" w14:textId="77777777" w:rsidR="00110C35" w:rsidRDefault="00110C35" w:rsidP="00B76B87">
      <w:pPr>
        <w:spacing w:before="100" w:beforeAutospacing="1" w:after="100" w:afterAutospacing="1"/>
        <w:jc w:val="both"/>
        <w:rPr>
          <w:rFonts w:ascii="Arial" w:hAnsi="Arial" w:cs="Arial"/>
          <w:sz w:val="22"/>
          <w:szCs w:val="22"/>
          <w:lang w:val="es-ES"/>
        </w:rPr>
      </w:pPr>
    </w:p>
    <w:p w14:paraId="7D17EF04" w14:textId="77777777" w:rsidR="00110C35" w:rsidRDefault="00110C35" w:rsidP="00B76B87">
      <w:pPr>
        <w:spacing w:before="100" w:beforeAutospacing="1" w:after="100" w:afterAutospacing="1"/>
        <w:jc w:val="both"/>
        <w:rPr>
          <w:rFonts w:ascii="Arial" w:hAnsi="Arial" w:cs="Arial"/>
          <w:sz w:val="22"/>
          <w:szCs w:val="22"/>
          <w:lang w:val="es-ES"/>
        </w:rPr>
      </w:pPr>
    </w:p>
    <w:p w14:paraId="25EDD318" w14:textId="77777777" w:rsidR="00110C35" w:rsidRDefault="00110C35" w:rsidP="00B76B87">
      <w:pPr>
        <w:spacing w:before="100" w:beforeAutospacing="1" w:after="100" w:afterAutospacing="1"/>
        <w:jc w:val="both"/>
        <w:rPr>
          <w:rFonts w:ascii="Arial" w:hAnsi="Arial" w:cs="Arial"/>
          <w:sz w:val="22"/>
          <w:szCs w:val="22"/>
          <w:lang w:val="es-ES"/>
        </w:rPr>
      </w:pPr>
    </w:p>
    <w:p w14:paraId="72963D98" w14:textId="0B484238" w:rsidR="005F7D1E" w:rsidRPr="008C21E4" w:rsidRDefault="00550A78" w:rsidP="00B76B87">
      <w:pPr>
        <w:spacing w:before="100" w:beforeAutospacing="1" w:after="100" w:afterAutospacing="1"/>
        <w:jc w:val="both"/>
        <w:rPr>
          <w:rFonts w:ascii="Arial" w:hAnsi="Arial" w:cs="Arial"/>
          <w:sz w:val="22"/>
          <w:szCs w:val="22"/>
          <w:lang w:val="es-ES"/>
        </w:rPr>
      </w:pPr>
      <w:r w:rsidRPr="008C21E4">
        <w:rPr>
          <w:rFonts w:ascii="Arial" w:hAnsi="Arial" w:cs="Arial"/>
          <w:sz w:val="22"/>
          <w:szCs w:val="22"/>
          <w:lang w:val="es-ES"/>
        </w:rPr>
        <w:t>Finalmente, si bien el proyecto no plantea como método de eval</w:t>
      </w:r>
      <w:r w:rsidR="00156550" w:rsidRPr="008C21E4">
        <w:rPr>
          <w:rFonts w:ascii="Arial" w:hAnsi="Arial" w:cs="Arial"/>
          <w:sz w:val="22"/>
          <w:szCs w:val="22"/>
          <w:lang w:val="es-ES"/>
        </w:rPr>
        <w:t xml:space="preserve">uación un </w:t>
      </w:r>
      <w:r w:rsidR="00080942" w:rsidRPr="008C21E4">
        <w:rPr>
          <w:rFonts w:ascii="Arial" w:hAnsi="Arial" w:cs="Arial"/>
          <w:sz w:val="22"/>
          <w:szCs w:val="22"/>
          <w:lang w:val="es-ES"/>
        </w:rPr>
        <w:t xml:space="preserve">análisis económico </w:t>
      </w:r>
      <w:r w:rsidR="0017442A" w:rsidRPr="008C21E4">
        <w:rPr>
          <w:rFonts w:ascii="Arial" w:hAnsi="Arial" w:cs="Arial"/>
          <w:sz w:val="22"/>
          <w:szCs w:val="22"/>
          <w:lang w:val="es-ES"/>
        </w:rPr>
        <w:t>ex</w:t>
      </w:r>
      <w:r w:rsidR="007416D4" w:rsidRPr="008C21E4">
        <w:rPr>
          <w:rFonts w:ascii="Arial" w:hAnsi="Arial" w:cs="Arial"/>
          <w:sz w:val="22"/>
          <w:szCs w:val="22"/>
          <w:lang w:val="es-ES"/>
        </w:rPr>
        <w:t>-</w:t>
      </w:r>
      <w:r w:rsidRPr="008C21E4">
        <w:rPr>
          <w:rFonts w:ascii="Arial" w:hAnsi="Arial" w:cs="Arial"/>
          <w:sz w:val="22"/>
          <w:szCs w:val="22"/>
          <w:lang w:val="es-ES"/>
        </w:rPr>
        <w:t xml:space="preserve">post, los indicadores de impacto y resultados </w:t>
      </w:r>
      <w:r w:rsidR="00FE5921" w:rsidRPr="008C21E4">
        <w:rPr>
          <w:rFonts w:ascii="Arial" w:hAnsi="Arial" w:cs="Arial"/>
          <w:sz w:val="22"/>
          <w:szCs w:val="22"/>
          <w:lang w:val="es-ES"/>
        </w:rPr>
        <w:t>esperados</w:t>
      </w:r>
      <w:r w:rsidRPr="008C21E4">
        <w:rPr>
          <w:rFonts w:ascii="Arial" w:hAnsi="Arial" w:cs="Arial"/>
          <w:sz w:val="22"/>
          <w:szCs w:val="22"/>
          <w:lang w:val="es-ES"/>
        </w:rPr>
        <w:t xml:space="preserve"> incluidos en la matriz de resultados</w:t>
      </w:r>
      <w:r w:rsidR="00FE5921" w:rsidRPr="008C21E4">
        <w:rPr>
          <w:rFonts w:ascii="Arial" w:hAnsi="Arial" w:cs="Arial"/>
          <w:sz w:val="22"/>
          <w:szCs w:val="22"/>
          <w:lang w:val="es-ES"/>
        </w:rPr>
        <w:t xml:space="preserve"> del proyecto</w:t>
      </w:r>
      <w:r w:rsidRPr="008C21E4">
        <w:rPr>
          <w:rFonts w:ascii="Arial" w:hAnsi="Arial" w:cs="Arial"/>
          <w:sz w:val="22"/>
          <w:szCs w:val="22"/>
          <w:lang w:val="es-ES"/>
        </w:rPr>
        <w:t xml:space="preserve"> son consistente</w:t>
      </w:r>
      <w:r w:rsidR="00FE5921" w:rsidRPr="008C21E4">
        <w:rPr>
          <w:rFonts w:ascii="Arial" w:hAnsi="Arial" w:cs="Arial"/>
          <w:sz w:val="22"/>
          <w:szCs w:val="22"/>
          <w:lang w:val="es-ES"/>
        </w:rPr>
        <w:t xml:space="preserve">s con los </w:t>
      </w:r>
      <w:r w:rsidR="005F7D1E" w:rsidRPr="008C21E4">
        <w:rPr>
          <w:rFonts w:ascii="Arial" w:hAnsi="Arial" w:cs="Arial"/>
          <w:sz w:val="22"/>
          <w:szCs w:val="22"/>
          <w:lang w:val="es-ES"/>
        </w:rPr>
        <w:t>beneficios</w:t>
      </w:r>
      <w:r w:rsidR="00FE5921" w:rsidRPr="008C21E4">
        <w:rPr>
          <w:rFonts w:ascii="Arial" w:hAnsi="Arial" w:cs="Arial"/>
          <w:sz w:val="22"/>
          <w:szCs w:val="22"/>
          <w:lang w:val="es-ES"/>
        </w:rPr>
        <w:t xml:space="preserve"> esperados</w:t>
      </w:r>
      <w:r w:rsidRPr="008C21E4">
        <w:rPr>
          <w:rFonts w:ascii="Arial" w:hAnsi="Arial" w:cs="Arial"/>
          <w:sz w:val="22"/>
          <w:szCs w:val="22"/>
          <w:lang w:val="es-ES"/>
        </w:rPr>
        <w:t xml:space="preserve"> </w:t>
      </w:r>
      <w:r w:rsidR="005F7D1E" w:rsidRPr="008C21E4">
        <w:rPr>
          <w:rFonts w:ascii="Arial" w:hAnsi="Arial" w:cs="Arial"/>
          <w:sz w:val="22"/>
          <w:szCs w:val="22"/>
          <w:lang w:val="es-ES"/>
        </w:rPr>
        <w:t>de este</w:t>
      </w:r>
      <w:r w:rsidR="00FE5921" w:rsidRPr="008C21E4">
        <w:rPr>
          <w:rFonts w:ascii="Arial" w:hAnsi="Arial" w:cs="Arial"/>
          <w:sz w:val="22"/>
          <w:szCs w:val="22"/>
          <w:lang w:val="es-ES"/>
        </w:rPr>
        <w:t xml:space="preserve"> análisis económico. </w:t>
      </w:r>
    </w:p>
    <w:p w14:paraId="08C5EC01" w14:textId="6B5B44B7" w:rsidR="003D4FA3" w:rsidRPr="008C21E4" w:rsidRDefault="003D4FA3" w:rsidP="003D4FA3">
      <w:pPr>
        <w:spacing w:after="100" w:afterAutospacing="1"/>
        <w:jc w:val="both"/>
        <w:rPr>
          <w:rFonts w:ascii="Arial" w:hAnsi="Arial" w:cs="Arial"/>
          <w:sz w:val="22"/>
          <w:szCs w:val="22"/>
          <w:lang w:val="es-ES"/>
        </w:rPr>
      </w:pPr>
      <w:bookmarkStart w:id="28" w:name="_Toc296257192"/>
      <w:r w:rsidRPr="008C21E4">
        <w:rPr>
          <w:rFonts w:ascii="Arial" w:hAnsi="Arial" w:cs="Arial"/>
          <w:sz w:val="22"/>
          <w:szCs w:val="22"/>
          <w:lang w:val="es-ES"/>
        </w:rPr>
        <w:t xml:space="preserve">Específicamente, los indicadores de impacto planteados en el proyecto coinciden con los resultados esperados, expresados en AVADs, del fortalecimiento de algunas de las principales líneas de cuidado que se fortalecen con </w:t>
      </w:r>
      <w:r w:rsidR="0063747A">
        <w:rPr>
          <w:rFonts w:ascii="Arial" w:hAnsi="Arial" w:cs="Arial"/>
          <w:sz w:val="22"/>
          <w:szCs w:val="22"/>
          <w:lang w:val="es-ES"/>
        </w:rPr>
        <w:t>la intervención:</w:t>
      </w:r>
    </w:p>
    <w:p w14:paraId="52A0BC03" w14:textId="040A71BF" w:rsidR="00D70C02" w:rsidRDefault="00D70C02" w:rsidP="008A41E6">
      <w:pPr>
        <w:pStyle w:val="ListParagraph"/>
        <w:numPr>
          <w:ilvl w:val="0"/>
          <w:numId w:val="7"/>
        </w:numPr>
        <w:spacing w:after="100" w:afterAutospacing="1"/>
        <w:jc w:val="both"/>
        <w:rPr>
          <w:rFonts w:ascii="Arial" w:hAnsi="Arial" w:cs="Arial"/>
          <w:lang w:val="es-ES"/>
        </w:rPr>
      </w:pPr>
      <w:r w:rsidRPr="008C21E4">
        <w:rPr>
          <w:rFonts w:ascii="Arial" w:hAnsi="Arial" w:cs="Arial"/>
          <w:lang w:val="es-ES"/>
        </w:rPr>
        <w:t>Porcentaje de internaciones por condiciones sensibles a la atención básica</w:t>
      </w:r>
      <w:r w:rsidR="00BB3969">
        <w:rPr>
          <w:rFonts w:ascii="Arial" w:hAnsi="Arial" w:cs="Arial"/>
          <w:lang w:val="es-ES"/>
        </w:rPr>
        <w:t xml:space="preserve"> (por hombres, mujeres y total) </w:t>
      </w:r>
    </w:p>
    <w:p w14:paraId="050DF6C9" w14:textId="530E98D1" w:rsidR="00BB3969" w:rsidRPr="008C21E4" w:rsidRDefault="00BB3969" w:rsidP="008A41E6">
      <w:pPr>
        <w:pStyle w:val="ListParagraph"/>
        <w:numPr>
          <w:ilvl w:val="0"/>
          <w:numId w:val="7"/>
        </w:numPr>
        <w:spacing w:after="100" w:afterAutospacing="1"/>
        <w:jc w:val="both"/>
        <w:rPr>
          <w:rFonts w:ascii="Arial" w:hAnsi="Arial" w:cs="Arial"/>
          <w:lang w:val="es-ES"/>
        </w:rPr>
      </w:pPr>
      <w:r w:rsidRPr="00BB3969">
        <w:rPr>
          <w:rFonts w:ascii="Arial" w:hAnsi="Arial" w:cs="Arial"/>
          <w:lang w:val="es-MX"/>
        </w:rPr>
        <w:t>Tasa de mortalidad prematura por Enfermedades Crónicas no Transmisibles</w:t>
      </w:r>
      <w:r>
        <w:rPr>
          <w:rFonts w:ascii="Arial" w:hAnsi="Arial" w:cs="Arial"/>
          <w:lang w:val="es-MX"/>
        </w:rPr>
        <w:t xml:space="preserve"> </w:t>
      </w:r>
      <w:r>
        <w:rPr>
          <w:rFonts w:ascii="Arial" w:hAnsi="Arial" w:cs="Arial"/>
          <w:lang w:val="es-ES"/>
        </w:rPr>
        <w:t>(por hombres, mujeres y total)</w:t>
      </w:r>
    </w:p>
    <w:p w14:paraId="4C813AEC" w14:textId="77777777" w:rsidR="008C19B2" w:rsidRDefault="003D4FA3" w:rsidP="008A1DD3">
      <w:pPr>
        <w:spacing w:after="100" w:afterAutospacing="1"/>
        <w:jc w:val="both"/>
        <w:rPr>
          <w:rFonts w:ascii="Arial" w:hAnsi="Arial" w:cs="Arial"/>
          <w:sz w:val="22"/>
          <w:szCs w:val="22"/>
          <w:lang w:val="es-ES"/>
        </w:rPr>
      </w:pPr>
      <w:r w:rsidRPr="00EB0342">
        <w:rPr>
          <w:rFonts w:ascii="Arial" w:hAnsi="Arial" w:cs="Arial"/>
          <w:sz w:val="22"/>
          <w:szCs w:val="22"/>
          <w:lang w:val="es-ES"/>
        </w:rPr>
        <w:t>Por otro lado</w:t>
      </w:r>
      <w:r w:rsidR="00B4475F" w:rsidRPr="00EB0342">
        <w:rPr>
          <w:rFonts w:ascii="Arial" w:hAnsi="Arial" w:cs="Arial"/>
          <w:sz w:val="22"/>
          <w:szCs w:val="22"/>
          <w:lang w:val="es-ES"/>
        </w:rPr>
        <w:t>,</w:t>
      </w:r>
      <w:r w:rsidRPr="00EB0342">
        <w:rPr>
          <w:rFonts w:ascii="Arial" w:hAnsi="Arial" w:cs="Arial"/>
          <w:sz w:val="22"/>
          <w:szCs w:val="22"/>
          <w:lang w:val="es-ES"/>
        </w:rPr>
        <w:t xml:space="preserve"> </w:t>
      </w:r>
      <w:r w:rsidR="00B4475F" w:rsidRPr="00EB0342">
        <w:rPr>
          <w:rFonts w:ascii="Arial" w:hAnsi="Arial" w:cs="Arial"/>
          <w:sz w:val="22"/>
          <w:szCs w:val="22"/>
          <w:lang w:val="es-ES"/>
        </w:rPr>
        <w:t>la consecución de los indicadores de resultados esperados coincide</w:t>
      </w:r>
      <w:r w:rsidRPr="00EB0342">
        <w:rPr>
          <w:rFonts w:ascii="Arial" w:hAnsi="Arial" w:cs="Arial"/>
          <w:sz w:val="22"/>
          <w:szCs w:val="22"/>
          <w:lang w:val="es-ES"/>
        </w:rPr>
        <w:t xml:space="preserve"> con los resultados esperados de implementación adecuada de las diferentes intervenci</w:t>
      </w:r>
      <w:r w:rsidR="00D41B88" w:rsidRPr="00EB0342">
        <w:rPr>
          <w:rFonts w:ascii="Arial" w:hAnsi="Arial" w:cs="Arial"/>
          <w:sz w:val="22"/>
          <w:szCs w:val="22"/>
          <w:lang w:val="es-ES"/>
        </w:rPr>
        <w:t>o</w:t>
      </w:r>
      <w:r w:rsidRPr="00EB0342">
        <w:rPr>
          <w:rFonts w:ascii="Arial" w:hAnsi="Arial" w:cs="Arial"/>
          <w:sz w:val="22"/>
          <w:szCs w:val="22"/>
          <w:lang w:val="es-ES"/>
        </w:rPr>
        <w:t>n</w:t>
      </w:r>
      <w:r w:rsidR="00D41B88" w:rsidRPr="00EB0342">
        <w:rPr>
          <w:rFonts w:ascii="Arial" w:hAnsi="Arial" w:cs="Arial"/>
          <w:sz w:val="22"/>
          <w:szCs w:val="22"/>
          <w:lang w:val="es-ES"/>
        </w:rPr>
        <w:t>es</w:t>
      </w:r>
      <w:r w:rsidRPr="00EB0342">
        <w:rPr>
          <w:rFonts w:ascii="Arial" w:hAnsi="Arial" w:cs="Arial"/>
          <w:sz w:val="22"/>
          <w:szCs w:val="22"/>
          <w:lang w:val="es-ES"/>
        </w:rPr>
        <w:t xml:space="preserve"> consideradas en este análisis. Los indicadores de resultados esperados se relacionan con la obtención de mayor cobertura y mayor calidad de los servicios de salud ofrecidos </w:t>
      </w:r>
      <w:r w:rsidR="0063747A">
        <w:rPr>
          <w:rFonts w:ascii="Arial" w:hAnsi="Arial" w:cs="Arial"/>
          <w:sz w:val="22"/>
          <w:szCs w:val="22"/>
          <w:lang w:val="es-ES"/>
        </w:rPr>
        <w:t xml:space="preserve">en los distintos </w:t>
      </w:r>
      <w:r w:rsidRPr="00EB0342">
        <w:rPr>
          <w:rFonts w:ascii="Arial" w:hAnsi="Arial" w:cs="Arial"/>
          <w:sz w:val="22"/>
          <w:szCs w:val="22"/>
          <w:lang w:val="es-ES"/>
        </w:rPr>
        <w:t xml:space="preserve">niveles de atención </w:t>
      </w:r>
      <w:r w:rsidR="0063747A">
        <w:rPr>
          <w:rFonts w:ascii="Arial" w:hAnsi="Arial" w:cs="Arial"/>
          <w:sz w:val="22"/>
          <w:szCs w:val="22"/>
          <w:lang w:val="es-ES"/>
        </w:rPr>
        <w:t xml:space="preserve">en el </w:t>
      </w:r>
      <w:r w:rsidR="00B4475F" w:rsidRPr="0063747A">
        <w:rPr>
          <w:rFonts w:ascii="Arial" w:hAnsi="Arial" w:cs="Arial"/>
          <w:sz w:val="22"/>
          <w:szCs w:val="22"/>
          <w:lang w:val="es-ES"/>
        </w:rPr>
        <w:t>Municipio</w:t>
      </w:r>
      <w:r w:rsidR="00B4475F" w:rsidRPr="00EB0342">
        <w:rPr>
          <w:rFonts w:ascii="Arial" w:hAnsi="Arial" w:cs="Arial"/>
          <w:sz w:val="22"/>
          <w:szCs w:val="22"/>
          <w:lang w:val="es-ES"/>
        </w:rPr>
        <w:t xml:space="preserve"> de</w:t>
      </w:r>
      <w:r w:rsidR="0010136F">
        <w:rPr>
          <w:rFonts w:ascii="Arial" w:hAnsi="Arial" w:cs="Arial"/>
          <w:sz w:val="22"/>
          <w:szCs w:val="22"/>
          <w:lang w:val="es-ES"/>
        </w:rPr>
        <w:t xml:space="preserve"> Belo Horizonte</w:t>
      </w:r>
      <w:r w:rsidR="00B4475F" w:rsidRPr="00EB0342">
        <w:rPr>
          <w:rFonts w:ascii="Arial" w:hAnsi="Arial" w:cs="Arial"/>
          <w:sz w:val="22"/>
          <w:szCs w:val="22"/>
          <w:lang w:val="es-ES"/>
        </w:rPr>
        <w:t>,</w:t>
      </w:r>
      <w:r w:rsidR="00FC78A1" w:rsidRPr="00EB0342">
        <w:rPr>
          <w:rFonts w:ascii="Arial" w:hAnsi="Arial" w:cs="Arial"/>
          <w:sz w:val="22"/>
          <w:szCs w:val="22"/>
          <w:lang w:val="es-ES"/>
        </w:rPr>
        <w:t xml:space="preserve"> es decir el aumento marginal de la cobertura efectiva</w:t>
      </w:r>
      <w:r w:rsidRPr="00EB0342">
        <w:rPr>
          <w:rFonts w:ascii="Arial" w:hAnsi="Arial" w:cs="Arial"/>
          <w:sz w:val="22"/>
          <w:szCs w:val="22"/>
          <w:lang w:val="es-ES"/>
        </w:rPr>
        <w:t xml:space="preserve">. </w:t>
      </w:r>
      <w:r w:rsidR="008A1DD3" w:rsidRPr="00EB0342">
        <w:rPr>
          <w:rFonts w:ascii="Arial" w:hAnsi="Arial" w:cs="Arial"/>
          <w:sz w:val="22"/>
          <w:szCs w:val="22"/>
          <w:lang w:val="es-ES"/>
        </w:rPr>
        <w:t xml:space="preserve">A </w:t>
      </w:r>
      <w:r w:rsidR="00AC4A17" w:rsidRPr="00EB0342">
        <w:rPr>
          <w:rFonts w:ascii="Arial" w:hAnsi="Arial" w:cs="Arial"/>
          <w:sz w:val="22"/>
          <w:szCs w:val="22"/>
          <w:lang w:val="es-ES"/>
        </w:rPr>
        <w:t>continuación,</w:t>
      </w:r>
      <w:r w:rsidR="008A1DD3" w:rsidRPr="00EB0342">
        <w:rPr>
          <w:rFonts w:ascii="Arial" w:hAnsi="Arial" w:cs="Arial"/>
          <w:sz w:val="22"/>
          <w:szCs w:val="22"/>
          <w:lang w:val="es-ES"/>
        </w:rPr>
        <w:t xml:space="preserve"> se presenta la tabla con los resultados esperados del proyecto. </w:t>
      </w:r>
    </w:p>
    <w:tbl>
      <w:tblPr>
        <w:tblW w:w="51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7"/>
        <w:gridCol w:w="1118"/>
        <w:gridCol w:w="683"/>
        <w:gridCol w:w="957"/>
        <w:gridCol w:w="901"/>
        <w:gridCol w:w="1348"/>
        <w:gridCol w:w="2701"/>
      </w:tblGrid>
      <w:tr w:rsidR="00FA0948" w:rsidRPr="00CC17AB" w14:paraId="6E81DFC6" w14:textId="77777777" w:rsidTr="00FA0948">
        <w:trPr>
          <w:trHeight w:val="512"/>
          <w:tblHeader/>
        </w:trPr>
        <w:tc>
          <w:tcPr>
            <w:tcW w:w="996" w:type="pct"/>
            <w:shd w:val="clear" w:color="auto" w:fill="548DD4" w:themeFill="text2" w:themeFillTint="99"/>
            <w:vAlign w:val="center"/>
            <w:hideMark/>
          </w:tcPr>
          <w:p w14:paraId="14BE4947" w14:textId="77777777" w:rsidR="008C19B2" w:rsidRPr="00CC17AB" w:rsidRDefault="008C19B2" w:rsidP="00F85A63">
            <w:pPr>
              <w:jc w:val="center"/>
              <w:rPr>
                <w:rFonts w:ascii="Arial" w:hAnsi="Arial" w:cs="Arial"/>
                <w:b/>
                <w:sz w:val="18"/>
                <w:szCs w:val="18"/>
                <w:lang w:val="es-419" w:eastAsia="zh-CN"/>
              </w:rPr>
            </w:pPr>
            <w:bookmarkStart w:id="29" w:name="_Hlk522875094"/>
            <w:r w:rsidRPr="00CC17AB">
              <w:rPr>
                <w:rFonts w:ascii="Arial" w:hAnsi="Arial" w:cs="Arial"/>
                <w:b/>
                <w:sz w:val="18"/>
                <w:szCs w:val="18"/>
                <w:lang w:val="es-419" w:eastAsia="zh-CN"/>
              </w:rPr>
              <w:lastRenderedPageBreak/>
              <w:t>Indicadores</w:t>
            </w:r>
          </w:p>
        </w:tc>
        <w:tc>
          <w:tcPr>
            <w:tcW w:w="581" w:type="pct"/>
            <w:shd w:val="clear" w:color="auto" w:fill="548DD4" w:themeFill="text2" w:themeFillTint="99"/>
            <w:vAlign w:val="center"/>
            <w:hideMark/>
          </w:tcPr>
          <w:p w14:paraId="630DDE97" w14:textId="77777777" w:rsidR="008C19B2" w:rsidRPr="00CC17AB" w:rsidRDefault="008C19B2" w:rsidP="00F85A63">
            <w:pPr>
              <w:jc w:val="center"/>
              <w:rPr>
                <w:rFonts w:ascii="Arial" w:hAnsi="Arial" w:cs="Arial"/>
                <w:b/>
                <w:sz w:val="18"/>
                <w:szCs w:val="18"/>
                <w:lang w:val="es-419" w:eastAsia="zh-CN"/>
              </w:rPr>
            </w:pPr>
            <w:r w:rsidRPr="00CC17AB">
              <w:rPr>
                <w:rFonts w:ascii="Arial" w:hAnsi="Arial" w:cs="Arial"/>
                <w:b/>
                <w:sz w:val="18"/>
                <w:szCs w:val="18"/>
                <w:lang w:val="es-419" w:eastAsia="zh-CN"/>
              </w:rPr>
              <w:t>Unidad de Medida</w:t>
            </w:r>
          </w:p>
        </w:tc>
        <w:tc>
          <w:tcPr>
            <w:tcW w:w="355" w:type="pct"/>
            <w:shd w:val="clear" w:color="auto" w:fill="548DD4" w:themeFill="text2" w:themeFillTint="99"/>
            <w:vAlign w:val="center"/>
            <w:hideMark/>
          </w:tcPr>
          <w:p w14:paraId="262130BB" w14:textId="77777777" w:rsidR="008C19B2" w:rsidRPr="00CC17AB" w:rsidRDefault="008C19B2" w:rsidP="00F85A63">
            <w:pPr>
              <w:jc w:val="center"/>
              <w:rPr>
                <w:rFonts w:ascii="Arial" w:hAnsi="Arial" w:cs="Arial"/>
                <w:b/>
                <w:sz w:val="18"/>
                <w:szCs w:val="18"/>
                <w:lang w:val="es-419" w:eastAsia="zh-CN"/>
              </w:rPr>
            </w:pPr>
            <w:r w:rsidRPr="00CC17AB">
              <w:rPr>
                <w:rFonts w:ascii="Arial" w:hAnsi="Arial" w:cs="Arial"/>
                <w:b/>
                <w:sz w:val="18"/>
                <w:szCs w:val="18"/>
                <w:lang w:val="es-419" w:eastAsia="zh-CN"/>
              </w:rPr>
              <w:t>Línea de Base</w:t>
            </w:r>
          </w:p>
        </w:tc>
        <w:tc>
          <w:tcPr>
            <w:tcW w:w="497" w:type="pct"/>
            <w:shd w:val="clear" w:color="auto" w:fill="548DD4" w:themeFill="text2" w:themeFillTint="99"/>
            <w:vAlign w:val="center"/>
            <w:hideMark/>
          </w:tcPr>
          <w:p w14:paraId="625742A9" w14:textId="77777777" w:rsidR="008C19B2" w:rsidRPr="00CC17AB" w:rsidRDefault="008C19B2" w:rsidP="00F85A63">
            <w:pPr>
              <w:jc w:val="center"/>
              <w:rPr>
                <w:rFonts w:ascii="Arial" w:hAnsi="Arial" w:cs="Arial"/>
                <w:b/>
                <w:sz w:val="18"/>
                <w:szCs w:val="18"/>
                <w:lang w:val="es-419" w:eastAsia="zh-CN"/>
              </w:rPr>
            </w:pPr>
            <w:r w:rsidRPr="00CC17AB">
              <w:rPr>
                <w:rFonts w:ascii="Arial" w:hAnsi="Arial" w:cs="Arial"/>
                <w:b/>
                <w:sz w:val="18"/>
                <w:szCs w:val="18"/>
                <w:lang w:val="es-419" w:eastAsia="zh-CN"/>
              </w:rPr>
              <w:t>Año Línea de Base</w:t>
            </w:r>
          </w:p>
        </w:tc>
        <w:tc>
          <w:tcPr>
            <w:tcW w:w="468" w:type="pct"/>
            <w:shd w:val="clear" w:color="auto" w:fill="548DD4" w:themeFill="text2" w:themeFillTint="99"/>
            <w:vAlign w:val="center"/>
          </w:tcPr>
          <w:p w14:paraId="48A5273C" w14:textId="77777777" w:rsidR="008C19B2" w:rsidRPr="00CC17AB" w:rsidRDefault="008C19B2" w:rsidP="00F85A63">
            <w:pPr>
              <w:jc w:val="center"/>
              <w:rPr>
                <w:rFonts w:ascii="Arial" w:hAnsi="Arial" w:cs="Arial"/>
                <w:b/>
                <w:sz w:val="18"/>
                <w:szCs w:val="18"/>
                <w:lang w:val="es-419" w:eastAsia="zh-CN"/>
              </w:rPr>
            </w:pPr>
            <w:r w:rsidRPr="00CC17AB">
              <w:rPr>
                <w:rFonts w:ascii="Arial" w:hAnsi="Arial" w:cs="Arial"/>
                <w:b/>
                <w:sz w:val="18"/>
                <w:szCs w:val="18"/>
                <w:lang w:val="es-419" w:eastAsia="zh-CN"/>
              </w:rPr>
              <w:t>Meta Final (Año 5)</w:t>
            </w:r>
          </w:p>
        </w:tc>
        <w:tc>
          <w:tcPr>
            <w:tcW w:w="700" w:type="pct"/>
            <w:shd w:val="clear" w:color="auto" w:fill="548DD4" w:themeFill="text2" w:themeFillTint="99"/>
            <w:vAlign w:val="center"/>
            <w:hideMark/>
          </w:tcPr>
          <w:p w14:paraId="02DEFA79" w14:textId="77777777" w:rsidR="008C19B2" w:rsidRPr="00CC17AB" w:rsidRDefault="008C19B2" w:rsidP="00F85A63">
            <w:pPr>
              <w:jc w:val="center"/>
              <w:rPr>
                <w:rFonts w:ascii="Arial" w:hAnsi="Arial" w:cs="Arial"/>
                <w:b/>
                <w:sz w:val="18"/>
                <w:szCs w:val="18"/>
                <w:lang w:val="es-419" w:eastAsia="zh-CN"/>
              </w:rPr>
            </w:pPr>
            <w:r w:rsidRPr="00CC17AB">
              <w:rPr>
                <w:rFonts w:ascii="Arial" w:hAnsi="Arial" w:cs="Arial"/>
                <w:b/>
                <w:sz w:val="18"/>
                <w:szCs w:val="18"/>
                <w:lang w:val="es-419" w:eastAsia="zh-CN"/>
              </w:rPr>
              <w:t>Medios de Verificación</w:t>
            </w:r>
          </w:p>
        </w:tc>
        <w:tc>
          <w:tcPr>
            <w:tcW w:w="1403" w:type="pct"/>
            <w:shd w:val="clear" w:color="auto" w:fill="548DD4" w:themeFill="text2" w:themeFillTint="99"/>
            <w:vAlign w:val="center"/>
            <w:hideMark/>
          </w:tcPr>
          <w:p w14:paraId="3F3BA6FC" w14:textId="3CCDA426" w:rsidR="008C19B2" w:rsidRPr="00CC17AB" w:rsidRDefault="008C19B2" w:rsidP="00F85A63">
            <w:pPr>
              <w:jc w:val="center"/>
              <w:rPr>
                <w:rFonts w:ascii="Arial" w:hAnsi="Arial" w:cs="Arial"/>
                <w:b/>
                <w:sz w:val="18"/>
                <w:szCs w:val="18"/>
                <w:lang w:val="es-419" w:eastAsia="zh-CN"/>
              </w:rPr>
            </w:pPr>
            <w:r w:rsidRPr="00CC17AB">
              <w:rPr>
                <w:rFonts w:ascii="Arial" w:hAnsi="Arial" w:cs="Arial"/>
                <w:b/>
                <w:sz w:val="18"/>
                <w:szCs w:val="18"/>
                <w:lang w:val="es-419" w:eastAsia="zh-CN"/>
              </w:rPr>
              <w:t>Coment</w:t>
            </w:r>
            <w:r w:rsidR="00986C2E">
              <w:rPr>
                <w:rFonts w:ascii="Arial" w:hAnsi="Arial" w:cs="Arial"/>
                <w:b/>
                <w:sz w:val="18"/>
                <w:szCs w:val="18"/>
                <w:lang w:val="es-419" w:eastAsia="zh-CN"/>
              </w:rPr>
              <w:t>a</w:t>
            </w:r>
            <w:r w:rsidRPr="00CC17AB">
              <w:rPr>
                <w:rFonts w:ascii="Arial" w:hAnsi="Arial" w:cs="Arial"/>
                <w:b/>
                <w:sz w:val="18"/>
                <w:szCs w:val="18"/>
                <w:lang w:val="es-419" w:eastAsia="zh-CN"/>
              </w:rPr>
              <w:t>rios</w:t>
            </w:r>
          </w:p>
        </w:tc>
      </w:tr>
      <w:bookmarkEnd w:id="29"/>
      <w:tr w:rsidR="008C19B2" w:rsidRPr="00691971" w14:paraId="187D12BA" w14:textId="77777777" w:rsidTr="00FA0948">
        <w:trPr>
          <w:trHeight w:val="791"/>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7291B0"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 xml:space="preserve">Porcentaje de consultas médicas de la </w:t>
            </w:r>
            <w:r>
              <w:rPr>
                <w:rFonts w:ascii="Arial" w:hAnsi="Arial" w:cs="Arial"/>
                <w:sz w:val="18"/>
                <w:szCs w:val="18"/>
                <w:lang w:val="es-419" w:eastAsia="zh-CN"/>
              </w:rPr>
              <w:t>APS</w:t>
            </w:r>
            <w:r w:rsidRPr="00CC17AB">
              <w:rPr>
                <w:rFonts w:ascii="Arial" w:hAnsi="Arial" w:cs="Arial"/>
                <w:sz w:val="18"/>
                <w:szCs w:val="18"/>
                <w:lang w:val="es-419" w:eastAsia="zh-CN"/>
              </w:rPr>
              <w:t xml:space="preserve"> con solicitud de referencia para atención especializada</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4BCFFF"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Referencias /100 consultas</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775947"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17,5%</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A8EB5C"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5859F7D8"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15,0%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8607FE"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SISREDE</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ED4BAD"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Número de referencias para atención especializada solicitados en las consultas médicas realizadas en la red básica / Número total de consultas médicas realizadas en la red básica x 100</w:t>
            </w:r>
          </w:p>
        </w:tc>
      </w:tr>
      <w:tr w:rsidR="008C19B2" w:rsidRPr="00691971" w14:paraId="149A8B75" w14:textId="77777777" w:rsidTr="00FA0948">
        <w:trPr>
          <w:trHeight w:val="705"/>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442C1C"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Tiempo promedio mensual para distribución de vacunas para las unidades de salud</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CED08"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Dias</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FE5B52"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15</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0225BD"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1C6EB268"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7</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BF053D"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SIES</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8DD9D"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 xml:space="preserve">Número de días entre la fecha de recepción de vacunas de la SES/MG y la fecha de entrega para el último </w:t>
            </w:r>
            <w:r>
              <w:rPr>
                <w:rFonts w:ascii="Arial" w:hAnsi="Arial" w:cs="Arial"/>
                <w:sz w:val="18"/>
                <w:szCs w:val="18"/>
                <w:lang w:val="es-419" w:eastAsia="zh-CN"/>
              </w:rPr>
              <w:t>c</w:t>
            </w:r>
            <w:r w:rsidRPr="00CC17AB">
              <w:rPr>
                <w:rFonts w:ascii="Arial" w:hAnsi="Arial" w:cs="Arial"/>
                <w:sz w:val="18"/>
                <w:szCs w:val="18"/>
                <w:lang w:val="es-419" w:eastAsia="zh-CN"/>
              </w:rPr>
              <w:t xml:space="preserve">entro de </w:t>
            </w:r>
            <w:r>
              <w:rPr>
                <w:rFonts w:ascii="Arial" w:hAnsi="Arial" w:cs="Arial"/>
                <w:sz w:val="18"/>
                <w:szCs w:val="18"/>
                <w:lang w:val="es-419" w:eastAsia="zh-CN"/>
              </w:rPr>
              <w:t>s</w:t>
            </w:r>
            <w:r w:rsidRPr="00CC17AB">
              <w:rPr>
                <w:rFonts w:ascii="Arial" w:hAnsi="Arial" w:cs="Arial"/>
                <w:sz w:val="18"/>
                <w:szCs w:val="18"/>
                <w:lang w:val="es-419" w:eastAsia="zh-CN"/>
              </w:rPr>
              <w:t>alud de la programación mensual / 12</w:t>
            </w:r>
          </w:p>
        </w:tc>
      </w:tr>
      <w:tr w:rsidR="008C19B2" w:rsidRPr="00691971" w14:paraId="7B71D71E" w14:textId="77777777" w:rsidTr="00FA0948">
        <w:trPr>
          <w:trHeight w:val="606"/>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E4BC8F"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Tasa de exámenes citopatológicos del cuello del útero por mujer</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225E23"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Exámenes/ 3 mujeres</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825AA7"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29,0%</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DC8EE9"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09635D1C"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37,0%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7B431"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SIA-SUS/</w:t>
            </w:r>
            <w:r w:rsidRPr="00CC17AB">
              <w:rPr>
                <w:rFonts w:ascii="Arial" w:hAnsi="Arial" w:cs="Arial"/>
                <w:sz w:val="18"/>
                <w:szCs w:val="18"/>
                <w:lang w:val="es-419" w:eastAsia="zh-CN"/>
              </w:rPr>
              <w:br/>
              <w:t>IBGE</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C89E69" w14:textId="1195AC5F"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Número de exámenes citopatológicos del cuello del útero realizados / Población estimada del sexo femenino con edad entre 25 y 64 años x3</w:t>
            </w:r>
          </w:p>
        </w:tc>
      </w:tr>
      <w:tr w:rsidR="008C19B2" w:rsidRPr="00CC17AB" w14:paraId="0654620F" w14:textId="77777777" w:rsidTr="00FA0948">
        <w:trPr>
          <w:trHeight w:val="791"/>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683D9"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Tasa de solicitudes de hospitalización realizadas con diagnóstico de trombosis venosa profunda</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0CEFAD"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solicitudes/ hospitalizaciones</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53A380"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1,49</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B455AC"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7E4757CF"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1,33</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00A67A"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CINT/SIH</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FF4DB1" w14:textId="77777777" w:rsidR="008C19B2" w:rsidRPr="00CC17AB" w:rsidRDefault="008C19B2" w:rsidP="00F85A63">
            <w:pPr>
              <w:rPr>
                <w:rFonts w:ascii="Arial" w:hAnsi="Arial" w:cs="Arial"/>
                <w:sz w:val="18"/>
                <w:szCs w:val="18"/>
                <w:lang w:val="es-419" w:eastAsia="zh-CN"/>
              </w:rPr>
            </w:pPr>
            <w:r w:rsidRPr="006D6278">
              <w:rPr>
                <w:rFonts w:ascii="Arial" w:hAnsi="Arial" w:cs="Arial"/>
                <w:sz w:val="18"/>
                <w:szCs w:val="18"/>
                <w:lang w:val="es-MX" w:eastAsia="zh-CN"/>
              </w:rPr>
              <w:t>Número de solicitudes por TVP / hospitalizaciones con diagnóstico de TVP</w:t>
            </w:r>
          </w:p>
        </w:tc>
      </w:tr>
      <w:tr w:rsidR="008C19B2" w:rsidRPr="00CC17AB" w14:paraId="41000602" w14:textId="77777777" w:rsidTr="00FA0948">
        <w:trPr>
          <w:trHeight w:val="480"/>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429C5C"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Tiempo promedio de espera para la realización de endoscopia</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755722"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Meses</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9C6170"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5,2</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52ADFF"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 </w:t>
            </w:r>
            <w:r w:rsidRPr="00C13282">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0CEA0534"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D64F25"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SISREG</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A6FB36"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Número de solicitudes por endoscopia/ Número de endoscopias ofertadas</w:t>
            </w:r>
          </w:p>
        </w:tc>
      </w:tr>
      <w:tr w:rsidR="008C19B2" w:rsidRPr="00691971" w14:paraId="46160760" w14:textId="77777777" w:rsidTr="00FA0948">
        <w:trPr>
          <w:trHeight w:val="791"/>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F347D4"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Porcentaje de partos con cesárea en primerizas mayores que 32 semanas y presentación cefálica en la maternidad del Hospital Municipal Odilon Behrens</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176655"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/100 partos</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BDAE4F"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29,0%</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D4E7F6"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11D3AB5A"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614D27"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Comisión Perinatal</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D98026"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Número de hospitalizaciones por parto por cesárea en el HOB en primerizas mayores que 32 semanas y presentación cefálica / Total de hospitalizaciones por parto en primerizas mayores que 32 semanas y presentación cefálica en el HOB</w:t>
            </w:r>
          </w:p>
        </w:tc>
      </w:tr>
      <w:tr w:rsidR="008C19B2" w:rsidRPr="00691971" w14:paraId="575398C2" w14:textId="77777777" w:rsidTr="00FA0948">
        <w:trPr>
          <w:trHeight w:val="791"/>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5C05F"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Porcentaje de partos de maternidad del Hospital Municipal Odilon Behrens de gestantes referidas a maternidad</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1D5D5"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 100 hospitalizaciones</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4ED46"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61%</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8F664D"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19549568"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75%</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F46CF4"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Comisión Perinatal/ SINASC</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4B2FF"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Total de nacimientos referidos y ocurridos en la maternidad del HOB / Total de nacimientos referidos para maternidad del HOB x 100</w:t>
            </w:r>
          </w:p>
        </w:tc>
      </w:tr>
      <w:tr w:rsidR="008C19B2" w:rsidRPr="00691971" w14:paraId="46280A47" w14:textId="77777777" w:rsidTr="00FA0948">
        <w:trPr>
          <w:trHeight w:val="615"/>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182630"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Proporción de consultas registradas em el registro electrónico</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7DE5DD"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/100 consultas</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E834BE"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70%</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3C0E40"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27FB940E"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100%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B98A7"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E-SES/ CMD/ SIA</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CC2805"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Número de consultas con profesionales de nivel superior registradas en archivo electrónico / Número de consultas con profesionales de nivel superior realizadas</w:t>
            </w:r>
          </w:p>
        </w:tc>
      </w:tr>
      <w:tr w:rsidR="008C19B2" w:rsidRPr="00691971" w14:paraId="43DD9E28" w14:textId="77777777" w:rsidTr="00FA0948">
        <w:trPr>
          <w:trHeight w:val="791"/>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1F240E" w14:textId="58392A4D"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Tasa de infección del flujo sanguíneo asociada a catéter venoso central en las UTIs de los hospitales preparados para certificación de calidad</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B6F3E6"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 xml:space="preserve">infecciones/ 1000 catéter venoso central – día </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B7649F"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7,7</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9BE5BA"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14C8F2BB"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5,0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14A175"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 xml:space="preserve">CCIH </w:t>
            </w:r>
            <w:r>
              <w:rPr>
                <w:rFonts w:ascii="Arial" w:hAnsi="Arial" w:cs="Arial"/>
                <w:sz w:val="18"/>
                <w:szCs w:val="18"/>
                <w:lang w:val="es-419" w:eastAsia="zh-CN"/>
              </w:rPr>
              <w:t>de los</w:t>
            </w:r>
            <w:r w:rsidRPr="00CC17AB">
              <w:rPr>
                <w:rFonts w:ascii="Arial" w:hAnsi="Arial" w:cs="Arial"/>
                <w:sz w:val="18"/>
                <w:szCs w:val="18"/>
                <w:lang w:val="es-419" w:eastAsia="zh-CN"/>
              </w:rPr>
              <w:t xml:space="preserve"> hospita</w:t>
            </w:r>
            <w:r>
              <w:rPr>
                <w:rFonts w:ascii="Arial" w:hAnsi="Arial" w:cs="Arial"/>
                <w:sz w:val="18"/>
                <w:szCs w:val="18"/>
                <w:lang w:val="es-419" w:eastAsia="zh-CN"/>
              </w:rPr>
              <w:t>les</w:t>
            </w:r>
            <w:r w:rsidRPr="00CC17AB">
              <w:rPr>
                <w:rFonts w:ascii="Arial" w:hAnsi="Arial" w:cs="Arial"/>
                <w:sz w:val="18"/>
                <w:szCs w:val="18"/>
                <w:lang w:val="es-419" w:eastAsia="zh-CN"/>
              </w:rPr>
              <w:t xml:space="preserve"> 100% SUS</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83082E"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Cantidad de infecciones del flujo sanguíneo (CID A418 y A419) / cantidad de catéter venoso central / día x 1000</w:t>
            </w:r>
          </w:p>
        </w:tc>
      </w:tr>
      <w:tr w:rsidR="001517FD" w:rsidRPr="00CC17AB" w14:paraId="5C87A5A0" w14:textId="77777777" w:rsidTr="00FA0948">
        <w:trPr>
          <w:trHeight w:val="512"/>
          <w:tblHeader/>
        </w:trPr>
        <w:tc>
          <w:tcPr>
            <w:tcW w:w="996" w:type="pct"/>
            <w:shd w:val="clear" w:color="auto" w:fill="548DD4" w:themeFill="text2" w:themeFillTint="99"/>
            <w:vAlign w:val="center"/>
            <w:hideMark/>
          </w:tcPr>
          <w:p w14:paraId="392B8D26" w14:textId="77777777" w:rsidR="001517FD" w:rsidRPr="00CC17AB" w:rsidRDefault="001517FD" w:rsidP="00E006C6">
            <w:pPr>
              <w:jc w:val="center"/>
              <w:rPr>
                <w:rFonts w:ascii="Arial" w:hAnsi="Arial" w:cs="Arial"/>
                <w:b/>
                <w:sz w:val="18"/>
                <w:szCs w:val="18"/>
                <w:lang w:val="es-419" w:eastAsia="zh-CN"/>
              </w:rPr>
            </w:pPr>
            <w:r w:rsidRPr="00CC17AB">
              <w:rPr>
                <w:rFonts w:ascii="Arial" w:hAnsi="Arial" w:cs="Arial"/>
                <w:b/>
                <w:sz w:val="18"/>
                <w:szCs w:val="18"/>
                <w:lang w:val="es-419" w:eastAsia="zh-CN"/>
              </w:rPr>
              <w:lastRenderedPageBreak/>
              <w:t>Indicadores</w:t>
            </w:r>
          </w:p>
        </w:tc>
        <w:tc>
          <w:tcPr>
            <w:tcW w:w="581" w:type="pct"/>
            <w:shd w:val="clear" w:color="auto" w:fill="548DD4" w:themeFill="text2" w:themeFillTint="99"/>
            <w:vAlign w:val="center"/>
            <w:hideMark/>
          </w:tcPr>
          <w:p w14:paraId="56D2AA1E" w14:textId="77777777" w:rsidR="001517FD" w:rsidRPr="00CC17AB" w:rsidRDefault="001517FD" w:rsidP="00E006C6">
            <w:pPr>
              <w:jc w:val="center"/>
              <w:rPr>
                <w:rFonts w:ascii="Arial" w:hAnsi="Arial" w:cs="Arial"/>
                <w:b/>
                <w:sz w:val="18"/>
                <w:szCs w:val="18"/>
                <w:lang w:val="es-419" w:eastAsia="zh-CN"/>
              </w:rPr>
            </w:pPr>
            <w:r w:rsidRPr="00CC17AB">
              <w:rPr>
                <w:rFonts w:ascii="Arial" w:hAnsi="Arial" w:cs="Arial"/>
                <w:b/>
                <w:sz w:val="18"/>
                <w:szCs w:val="18"/>
                <w:lang w:val="es-419" w:eastAsia="zh-CN"/>
              </w:rPr>
              <w:t>Unidad de Medida</w:t>
            </w:r>
          </w:p>
        </w:tc>
        <w:tc>
          <w:tcPr>
            <w:tcW w:w="355" w:type="pct"/>
            <w:shd w:val="clear" w:color="auto" w:fill="548DD4" w:themeFill="text2" w:themeFillTint="99"/>
            <w:vAlign w:val="center"/>
            <w:hideMark/>
          </w:tcPr>
          <w:p w14:paraId="6AD52D64" w14:textId="77777777" w:rsidR="001517FD" w:rsidRPr="00CC17AB" w:rsidRDefault="001517FD" w:rsidP="00E006C6">
            <w:pPr>
              <w:jc w:val="center"/>
              <w:rPr>
                <w:rFonts w:ascii="Arial" w:hAnsi="Arial" w:cs="Arial"/>
                <w:b/>
                <w:sz w:val="18"/>
                <w:szCs w:val="18"/>
                <w:lang w:val="es-419" w:eastAsia="zh-CN"/>
              </w:rPr>
            </w:pPr>
            <w:r w:rsidRPr="00CC17AB">
              <w:rPr>
                <w:rFonts w:ascii="Arial" w:hAnsi="Arial" w:cs="Arial"/>
                <w:b/>
                <w:sz w:val="18"/>
                <w:szCs w:val="18"/>
                <w:lang w:val="es-419" w:eastAsia="zh-CN"/>
              </w:rPr>
              <w:t>Línea de Base</w:t>
            </w:r>
          </w:p>
        </w:tc>
        <w:tc>
          <w:tcPr>
            <w:tcW w:w="497" w:type="pct"/>
            <w:shd w:val="clear" w:color="auto" w:fill="548DD4" w:themeFill="text2" w:themeFillTint="99"/>
            <w:vAlign w:val="center"/>
            <w:hideMark/>
          </w:tcPr>
          <w:p w14:paraId="0F3B5622" w14:textId="77777777" w:rsidR="001517FD" w:rsidRPr="00CC17AB" w:rsidRDefault="001517FD" w:rsidP="00E006C6">
            <w:pPr>
              <w:jc w:val="center"/>
              <w:rPr>
                <w:rFonts w:ascii="Arial" w:hAnsi="Arial" w:cs="Arial"/>
                <w:b/>
                <w:sz w:val="18"/>
                <w:szCs w:val="18"/>
                <w:lang w:val="es-419" w:eastAsia="zh-CN"/>
              </w:rPr>
            </w:pPr>
            <w:r w:rsidRPr="00CC17AB">
              <w:rPr>
                <w:rFonts w:ascii="Arial" w:hAnsi="Arial" w:cs="Arial"/>
                <w:b/>
                <w:sz w:val="18"/>
                <w:szCs w:val="18"/>
                <w:lang w:val="es-419" w:eastAsia="zh-CN"/>
              </w:rPr>
              <w:t>Año Línea de Base</w:t>
            </w:r>
          </w:p>
        </w:tc>
        <w:tc>
          <w:tcPr>
            <w:tcW w:w="468" w:type="pct"/>
            <w:shd w:val="clear" w:color="auto" w:fill="548DD4" w:themeFill="text2" w:themeFillTint="99"/>
            <w:vAlign w:val="center"/>
          </w:tcPr>
          <w:p w14:paraId="7264131E" w14:textId="77777777" w:rsidR="001517FD" w:rsidRPr="00CC17AB" w:rsidRDefault="001517FD" w:rsidP="00E006C6">
            <w:pPr>
              <w:jc w:val="center"/>
              <w:rPr>
                <w:rFonts w:ascii="Arial" w:hAnsi="Arial" w:cs="Arial"/>
                <w:b/>
                <w:sz w:val="18"/>
                <w:szCs w:val="18"/>
                <w:lang w:val="es-419" w:eastAsia="zh-CN"/>
              </w:rPr>
            </w:pPr>
            <w:r w:rsidRPr="00CC17AB">
              <w:rPr>
                <w:rFonts w:ascii="Arial" w:hAnsi="Arial" w:cs="Arial"/>
                <w:b/>
                <w:sz w:val="18"/>
                <w:szCs w:val="18"/>
                <w:lang w:val="es-419" w:eastAsia="zh-CN"/>
              </w:rPr>
              <w:t>Meta Final (Año 5)</w:t>
            </w:r>
          </w:p>
        </w:tc>
        <w:tc>
          <w:tcPr>
            <w:tcW w:w="700" w:type="pct"/>
            <w:shd w:val="clear" w:color="auto" w:fill="548DD4" w:themeFill="text2" w:themeFillTint="99"/>
            <w:vAlign w:val="center"/>
            <w:hideMark/>
          </w:tcPr>
          <w:p w14:paraId="043E4BA8" w14:textId="77777777" w:rsidR="001517FD" w:rsidRPr="00CC17AB" w:rsidRDefault="001517FD" w:rsidP="00E006C6">
            <w:pPr>
              <w:jc w:val="center"/>
              <w:rPr>
                <w:rFonts w:ascii="Arial" w:hAnsi="Arial" w:cs="Arial"/>
                <w:b/>
                <w:sz w:val="18"/>
                <w:szCs w:val="18"/>
                <w:lang w:val="es-419" w:eastAsia="zh-CN"/>
              </w:rPr>
            </w:pPr>
            <w:r w:rsidRPr="00CC17AB">
              <w:rPr>
                <w:rFonts w:ascii="Arial" w:hAnsi="Arial" w:cs="Arial"/>
                <w:b/>
                <w:sz w:val="18"/>
                <w:szCs w:val="18"/>
                <w:lang w:val="es-419" w:eastAsia="zh-CN"/>
              </w:rPr>
              <w:t>Medios de Verificación</w:t>
            </w:r>
          </w:p>
        </w:tc>
        <w:tc>
          <w:tcPr>
            <w:tcW w:w="1403" w:type="pct"/>
            <w:shd w:val="clear" w:color="auto" w:fill="548DD4" w:themeFill="text2" w:themeFillTint="99"/>
            <w:vAlign w:val="center"/>
            <w:hideMark/>
          </w:tcPr>
          <w:p w14:paraId="64E912EB" w14:textId="77777777" w:rsidR="001517FD" w:rsidRPr="00CC17AB" w:rsidRDefault="001517FD" w:rsidP="00E006C6">
            <w:pPr>
              <w:jc w:val="center"/>
              <w:rPr>
                <w:rFonts w:ascii="Arial" w:hAnsi="Arial" w:cs="Arial"/>
                <w:b/>
                <w:sz w:val="18"/>
                <w:szCs w:val="18"/>
                <w:lang w:val="es-419" w:eastAsia="zh-CN"/>
              </w:rPr>
            </w:pPr>
            <w:r w:rsidRPr="00CC17AB">
              <w:rPr>
                <w:rFonts w:ascii="Arial" w:hAnsi="Arial" w:cs="Arial"/>
                <w:b/>
                <w:sz w:val="18"/>
                <w:szCs w:val="18"/>
                <w:lang w:val="es-419" w:eastAsia="zh-CN"/>
              </w:rPr>
              <w:t>Coment</w:t>
            </w:r>
            <w:r>
              <w:rPr>
                <w:rFonts w:ascii="Arial" w:hAnsi="Arial" w:cs="Arial"/>
                <w:b/>
                <w:sz w:val="18"/>
                <w:szCs w:val="18"/>
                <w:lang w:val="es-419" w:eastAsia="zh-CN"/>
              </w:rPr>
              <w:t>a</w:t>
            </w:r>
            <w:r w:rsidRPr="00CC17AB">
              <w:rPr>
                <w:rFonts w:ascii="Arial" w:hAnsi="Arial" w:cs="Arial"/>
                <w:b/>
                <w:sz w:val="18"/>
                <w:szCs w:val="18"/>
                <w:lang w:val="es-419" w:eastAsia="zh-CN"/>
              </w:rPr>
              <w:t>rios</w:t>
            </w:r>
          </w:p>
        </w:tc>
      </w:tr>
      <w:tr w:rsidR="008C19B2" w:rsidRPr="00691971" w14:paraId="7257F1BE" w14:textId="77777777" w:rsidTr="00FA0948">
        <w:trPr>
          <w:trHeight w:val="791"/>
          <w:tblHeader/>
        </w:trPr>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50B6CD" w14:textId="77777777" w:rsidR="008C19B2"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Porcentaje de adhesión a las propuestas de calidad en los hospitales preparados para la certificación de calidad</w:t>
            </w:r>
          </w:p>
          <w:p w14:paraId="28094F61" w14:textId="34F6A625" w:rsidR="00FA0948" w:rsidRPr="00CC17AB" w:rsidRDefault="00FA0948" w:rsidP="00F85A63">
            <w:pPr>
              <w:rPr>
                <w:rFonts w:ascii="Arial" w:hAnsi="Arial" w:cs="Arial"/>
                <w:sz w:val="18"/>
                <w:szCs w:val="18"/>
                <w:lang w:val="es-419" w:eastAsia="zh-CN"/>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3716D5"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/100 actividades</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738DA5"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0</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0DC97C"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2017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4BF76C05"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90%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F7CAB7" w14:textId="77777777" w:rsidR="008C19B2" w:rsidRPr="00CC17AB" w:rsidRDefault="008C19B2" w:rsidP="00F85A63">
            <w:pPr>
              <w:jc w:val="center"/>
              <w:rPr>
                <w:rFonts w:ascii="Arial" w:hAnsi="Arial" w:cs="Arial"/>
                <w:sz w:val="18"/>
                <w:szCs w:val="18"/>
                <w:lang w:val="es-419" w:eastAsia="zh-CN"/>
              </w:rPr>
            </w:pPr>
            <w:r w:rsidRPr="00CC17AB">
              <w:rPr>
                <w:rFonts w:ascii="Arial" w:hAnsi="Arial" w:cs="Arial"/>
                <w:sz w:val="18"/>
                <w:szCs w:val="18"/>
                <w:lang w:val="es-419" w:eastAsia="zh-CN"/>
              </w:rPr>
              <w:t>Datos recogidos por los hospitales</w:t>
            </w: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8B295" w14:textId="77777777" w:rsidR="008C19B2" w:rsidRPr="00CC17AB" w:rsidRDefault="008C19B2" w:rsidP="00F85A63">
            <w:pPr>
              <w:rPr>
                <w:rFonts w:ascii="Arial" w:hAnsi="Arial" w:cs="Arial"/>
                <w:sz w:val="18"/>
                <w:szCs w:val="18"/>
                <w:lang w:val="es-419" w:eastAsia="zh-CN"/>
              </w:rPr>
            </w:pPr>
            <w:r w:rsidRPr="00CC17AB">
              <w:rPr>
                <w:rFonts w:ascii="Arial" w:hAnsi="Arial" w:cs="Arial"/>
                <w:sz w:val="18"/>
                <w:szCs w:val="18"/>
                <w:lang w:val="es-419" w:eastAsia="zh-CN"/>
              </w:rPr>
              <w:t>Actividades propuestas por la calidad cumplidas dentro del plazo / Todas las actividades propuestas por la calidad</w:t>
            </w:r>
          </w:p>
        </w:tc>
      </w:tr>
    </w:tbl>
    <w:p w14:paraId="20C42A5D" w14:textId="5AD8DC1D" w:rsidR="00B700A0" w:rsidRDefault="00B700A0" w:rsidP="008A1DD3">
      <w:pPr>
        <w:spacing w:after="100" w:afterAutospacing="1"/>
        <w:jc w:val="both"/>
        <w:rPr>
          <w:rFonts w:ascii="Arial" w:hAnsi="Arial" w:cs="Arial"/>
          <w:sz w:val="22"/>
          <w:szCs w:val="22"/>
          <w:lang w:val="es-ES"/>
        </w:rPr>
      </w:pPr>
    </w:p>
    <w:p w14:paraId="209A027C" w14:textId="1E7CD395" w:rsidR="00B700A0" w:rsidRPr="008C21E4" w:rsidRDefault="00B700A0">
      <w:pPr>
        <w:rPr>
          <w:rFonts w:ascii="Arial" w:eastAsia="Times New Roman" w:hAnsi="Arial" w:cs="Arial"/>
          <w:b/>
          <w:bCs/>
          <w:sz w:val="22"/>
          <w:szCs w:val="22"/>
          <w:lang w:val="es-ES"/>
        </w:rPr>
      </w:pPr>
      <w:r w:rsidRPr="008C21E4">
        <w:rPr>
          <w:szCs w:val="22"/>
          <w:lang w:val="es-ES"/>
        </w:rPr>
        <w:br w:type="page"/>
      </w:r>
    </w:p>
    <w:p w14:paraId="4F5E1A93" w14:textId="77777777" w:rsidR="0023039F" w:rsidRPr="008C21E4" w:rsidRDefault="002F18E8" w:rsidP="00E44288">
      <w:pPr>
        <w:pStyle w:val="Heading1"/>
      </w:pPr>
      <w:bookmarkStart w:id="30" w:name="_Toc525384020"/>
      <w:r w:rsidRPr="008C21E4">
        <w:lastRenderedPageBreak/>
        <w:t>Referencias</w:t>
      </w:r>
      <w:bookmarkEnd w:id="28"/>
      <w:bookmarkEnd w:id="30"/>
      <w:r w:rsidRPr="008C21E4">
        <w:t xml:space="preserve"> </w:t>
      </w:r>
    </w:p>
    <w:p w14:paraId="682E56D6" w14:textId="77777777" w:rsidR="00FD5CE1" w:rsidRPr="00EB374F" w:rsidRDefault="001872C6" w:rsidP="001025F1">
      <w:pPr>
        <w:pStyle w:val="NormalWeb"/>
        <w:ind w:left="480" w:hanging="480"/>
        <w:divId w:val="136842363"/>
        <w:rPr>
          <w:rFonts w:ascii="Arial" w:eastAsiaTheme="minorEastAsia" w:hAnsi="Arial"/>
          <w:noProof/>
          <w:sz w:val="20"/>
          <w:szCs w:val="20"/>
          <w:lang w:val="pt-BR"/>
        </w:rPr>
      </w:pPr>
      <w:r w:rsidRPr="008C21E4">
        <w:rPr>
          <w:rFonts w:ascii="Arial" w:hAnsi="Arial" w:cs="Arial"/>
          <w:sz w:val="20"/>
          <w:szCs w:val="20"/>
          <w:lang w:val="es-ES"/>
        </w:rPr>
        <w:fldChar w:fldCharType="begin" w:fldLock="1"/>
      </w:r>
      <w:r w:rsidRPr="008C21E4">
        <w:rPr>
          <w:rFonts w:ascii="Arial" w:hAnsi="Arial" w:cs="Arial"/>
          <w:sz w:val="20"/>
          <w:szCs w:val="20"/>
          <w:lang w:val="es-ES"/>
        </w:rPr>
        <w:instrText xml:space="preserve">ADDIN Mendeley Bibliography CSL_BIBLIOGRAPHY </w:instrText>
      </w:r>
      <w:r w:rsidRPr="008C21E4">
        <w:rPr>
          <w:rFonts w:ascii="Arial" w:hAnsi="Arial" w:cs="Arial"/>
          <w:sz w:val="20"/>
          <w:szCs w:val="20"/>
          <w:lang w:val="es-ES"/>
        </w:rPr>
        <w:fldChar w:fldCharType="separate"/>
      </w:r>
      <w:r w:rsidR="00FD5CE1" w:rsidRPr="008C21E4">
        <w:rPr>
          <w:rFonts w:ascii="Arial" w:hAnsi="Arial"/>
          <w:noProof/>
          <w:sz w:val="20"/>
          <w:szCs w:val="20"/>
          <w:lang w:val="es-ES"/>
        </w:rPr>
        <w:t xml:space="preserve">Alvis, Nelson, y María Teresa Valenzuela. 2010. “Los QALYs Y DALYs Como Indicadores Sintéticos de Salud.” </w:t>
      </w:r>
      <w:r w:rsidR="00FD5CE1" w:rsidRPr="00EB374F">
        <w:rPr>
          <w:rFonts w:ascii="Arial" w:hAnsi="Arial"/>
          <w:i/>
          <w:iCs/>
          <w:noProof/>
          <w:sz w:val="20"/>
          <w:szCs w:val="20"/>
          <w:lang w:val="pt-BR"/>
        </w:rPr>
        <w:t>Revista Médica de Chile</w:t>
      </w:r>
      <w:r w:rsidR="00FD5CE1" w:rsidRPr="00EB374F">
        <w:rPr>
          <w:rFonts w:ascii="Arial" w:hAnsi="Arial"/>
          <w:noProof/>
          <w:sz w:val="20"/>
          <w:szCs w:val="20"/>
          <w:lang w:val="pt-BR"/>
        </w:rPr>
        <w:t xml:space="preserve"> 138 (September). Sociedad Médica de Santiago: 83–87. doi:10.4067/S0034-98872010001000005.</w:t>
      </w:r>
    </w:p>
    <w:p w14:paraId="54C63CFD" w14:textId="77777777" w:rsidR="00FD5CE1" w:rsidRPr="008C21E4" w:rsidRDefault="00FD5CE1" w:rsidP="001025F1">
      <w:pPr>
        <w:pStyle w:val="NormalWeb"/>
        <w:ind w:left="480" w:hanging="480"/>
        <w:divId w:val="136842363"/>
        <w:rPr>
          <w:rFonts w:ascii="Arial" w:hAnsi="Arial"/>
          <w:noProof/>
          <w:sz w:val="20"/>
          <w:szCs w:val="20"/>
          <w:lang w:val="es-ES"/>
        </w:rPr>
      </w:pPr>
      <w:r w:rsidRPr="00024AE0">
        <w:rPr>
          <w:rFonts w:ascii="Arial" w:hAnsi="Arial"/>
          <w:noProof/>
          <w:sz w:val="20"/>
          <w:szCs w:val="20"/>
          <w:lang w:val="pt-BR"/>
        </w:rPr>
        <w:t xml:space="preserve">Berkley, Seth, Christopher J. L. Murray, Robert Hecht, Helen Saxenian, Philip Musgrove, Jee-Peng Tan, Jose-Luis Bobadilla, Kenneth Hill, y Dean T. Jamison. </w:t>
      </w:r>
      <w:r w:rsidRPr="008C21E4">
        <w:rPr>
          <w:rFonts w:ascii="Arial" w:hAnsi="Arial"/>
          <w:noProof/>
          <w:sz w:val="20"/>
          <w:szCs w:val="20"/>
          <w:lang w:val="es-ES"/>
        </w:rPr>
        <w:t>1993. “Informe sobre el desarrollo mundial 1993 : investir en salud,” July, 1–351. http://documentos.bancomundial.org/curated/es/1993/07/12711504/world-development-report-1993-investing-health-informe-sobre-el-desarrollo-mundial-1993-investir-en-salud.</w:t>
      </w:r>
    </w:p>
    <w:p w14:paraId="541E894E" w14:textId="77777777" w:rsidR="00FD5CE1" w:rsidRPr="00EB374F" w:rsidRDefault="00FD5CE1" w:rsidP="001025F1">
      <w:pPr>
        <w:pStyle w:val="NormalWeb"/>
        <w:ind w:left="480" w:hanging="480"/>
        <w:divId w:val="136842363"/>
        <w:rPr>
          <w:rFonts w:ascii="Arial" w:hAnsi="Arial"/>
          <w:noProof/>
          <w:sz w:val="20"/>
          <w:szCs w:val="20"/>
        </w:rPr>
      </w:pPr>
      <w:r w:rsidRPr="008C21E4">
        <w:rPr>
          <w:rFonts w:ascii="Arial" w:hAnsi="Arial"/>
          <w:noProof/>
          <w:sz w:val="20"/>
          <w:szCs w:val="20"/>
          <w:lang w:val="es-ES"/>
        </w:rPr>
        <w:t xml:space="preserve">Bobadilla, J L, P Cowley, P Musgrove, y H Saxenian. </w:t>
      </w:r>
      <w:r w:rsidRPr="00EB374F">
        <w:rPr>
          <w:rFonts w:ascii="Arial" w:hAnsi="Arial"/>
          <w:noProof/>
          <w:sz w:val="20"/>
          <w:szCs w:val="20"/>
        </w:rPr>
        <w:t xml:space="preserve">1994. “Design, Content y Financing of an Essential National Package of Health Services.” </w:t>
      </w:r>
      <w:r w:rsidRPr="00EB374F">
        <w:rPr>
          <w:rFonts w:ascii="Arial" w:hAnsi="Arial"/>
          <w:i/>
          <w:iCs/>
          <w:noProof/>
          <w:sz w:val="20"/>
          <w:szCs w:val="20"/>
        </w:rPr>
        <w:t>Bulletin of the World Health Organization</w:t>
      </w:r>
      <w:r w:rsidRPr="00EB374F">
        <w:rPr>
          <w:rFonts w:ascii="Arial" w:hAnsi="Arial"/>
          <w:noProof/>
          <w:sz w:val="20"/>
          <w:szCs w:val="20"/>
        </w:rPr>
        <w:t xml:space="preserve"> 72 (4): 653–62. http://www.pubmedcentral.nih.gov/articlerender.fcgi?artid=2486601&amp;tool=pmcentrez&amp;rendertype=abstract.</w:t>
      </w:r>
    </w:p>
    <w:p w14:paraId="3286558C" w14:textId="77777777" w:rsidR="00FD5CE1" w:rsidRPr="00EB374F" w:rsidRDefault="00FD5CE1" w:rsidP="001025F1">
      <w:pPr>
        <w:pStyle w:val="NormalWeb"/>
        <w:ind w:left="480" w:hanging="480"/>
        <w:divId w:val="136842363"/>
        <w:rPr>
          <w:rFonts w:ascii="Arial" w:hAnsi="Arial"/>
          <w:noProof/>
          <w:sz w:val="20"/>
          <w:szCs w:val="20"/>
        </w:rPr>
      </w:pPr>
      <w:r w:rsidRPr="00024AE0">
        <w:rPr>
          <w:rFonts w:ascii="Arial" w:hAnsi="Arial"/>
          <w:noProof/>
          <w:sz w:val="20"/>
          <w:szCs w:val="20"/>
          <w:lang w:val="fr-FR"/>
        </w:rPr>
        <w:t xml:space="preserve">Cecchini, M, F Sassi, y JA Lauer. </w:t>
      </w:r>
      <w:r w:rsidRPr="00EB374F">
        <w:rPr>
          <w:rFonts w:ascii="Arial" w:hAnsi="Arial"/>
          <w:noProof/>
          <w:sz w:val="20"/>
          <w:szCs w:val="20"/>
        </w:rPr>
        <w:t xml:space="preserve">2010. “Tackling of Unhealthy Diets, Physical Inactivity, y Obesity: Health Effects y Cost-Effectiveness.” </w:t>
      </w:r>
      <w:r w:rsidRPr="00EB374F">
        <w:rPr>
          <w:rFonts w:ascii="Arial" w:hAnsi="Arial"/>
          <w:i/>
          <w:iCs/>
          <w:noProof/>
          <w:sz w:val="20"/>
          <w:szCs w:val="20"/>
        </w:rPr>
        <w:t>The Lancet</w:t>
      </w:r>
      <w:r w:rsidRPr="00EB374F">
        <w:rPr>
          <w:rFonts w:ascii="Arial" w:hAnsi="Arial"/>
          <w:noProof/>
          <w:sz w:val="20"/>
          <w:szCs w:val="20"/>
        </w:rPr>
        <w:t>. http://www.sciencedirect.com/science/article/pii/S0140673610615140.</w:t>
      </w:r>
    </w:p>
    <w:p w14:paraId="668C9806"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rPr>
        <w:t>De Castillo, CP, y R Lema. 1998. “Economic Analysis of Social Investment Fund Projects: Case Studies y Minimum Requirements Proposal.” http://siteresources.worldbank.org/INTCDD/Resources/EACAS.pdf.</w:t>
      </w:r>
    </w:p>
    <w:p w14:paraId="3AB118EA" w14:textId="77777777" w:rsidR="00FD5CE1" w:rsidRPr="00EB374F" w:rsidRDefault="00FD5CE1" w:rsidP="001025F1">
      <w:pPr>
        <w:pStyle w:val="NormalWeb"/>
        <w:ind w:left="480" w:hanging="480"/>
        <w:divId w:val="136842363"/>
        <w:rPr>
          <w:rFonts w:ascii="Arial" w:hAnsi="Arial"/>
          <w:noProof/>
          <w:sz w:val="20"/>
          <w:szCs w:val="20"/>
        </w:rPr>
      </w:pPr>
      <w:r w:rsidRPr="00024AE0">
        <w:rPr>
          <w:rFonts w:ascii="Arial" w:hAnsi="Arial"/>
          <w:noProof/>
          <w:sz w:val="20"/>
          <w:szCs w:val="20"/>
        </w:rPr>
        <w:t xml:space="preserve">Fox-Rushby, J A, y K Hanson. </w:t>
      </w:r>
      <w:r w:rsidRPr="00EB374F">
        <w:rPr>
          <w:rFonts w:ascii="Arial" w:hAnsi="Arial"/>
          <w:noProof/>
          <w:sz w:val="20"/>
          <w:szCs w:val="20"/>
        </w:rPr>
        <w:t xml:space="preserve">2001. “Calculating y Presenting Disability Adjusted Life Years (DALYs) in Cost-Effectiveness Analysis.” </w:t>
      </w:r>
      <w:r w:rsidRPr="00EB374F">
        <w:rPr>
          <w:rFonts w:ascii="Arial" w:hAnsi="Arial"/>
          <w:i/>
          <w:iCs/>
          <w:noProof/>
          <w:sz w:val="20"/>
          <w:szCs w:val="20"/>
        </w:rPr>
        <w:t>Health Policy y Planning</w:t>
      </w:r>
      <w:r w:rsidRPr="00EB374F">
        <w:rPr>
          <w:rFonts w:ascii="Arial" w:hAnsi="Arial"/>
          <w:noProof/>
          <w:sz w:val="20"/>
          <w:szCs w:val="20"/>
        </w:rPr>
        <w:t xml:space="preserve"> 16 (3): 326–31. http://www.ncbi.nlm.nih.gov/pubmed/11527874.</w:t>
      </w:r>
    </w:p>
    <w:p w14:paraId="371590B7"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rPr>
        <w:t xml:space="preserve">Guanais, Frederico, y James Macinko. “Primary Care y Avoidable Hospitalizations: Evidence from Brazil.” </w:t>
      </w:r>
      <w:r w:rsidRPr="00EB374F">
        <w:rPr>
          <w:rFonts w:ascii="Arial" w:hAnsi="Arial"/>
          <w:i/>
          <w:iCs/>
          <w:noProof/>
          <w:sz w:val="20"/>
          <w:szCs w:val="20"/>
        </w:rPr>
        <w:t>The Journal of Ambulatory Care Management</w:t>
      </w:r>
      <w:r w:rsidRPr="00EB374F">
        <w:rPr>
          <w:rFonts w:ascii="Arial" w:hAnsi="Arial"/>
          <w:noProof/>
          <w:sz w:val="20"/>
          <w:szCs w:val="20"/>
        </w:rPr>
        <w:t xml:space="preserve"> 32 (2): 115–22. doi:10.1097/JAC.0b013e31819942e51.</w:t>
      </w:r>
    </w:p>
    <w:p w14:paraId="515D8FCD"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rPr>
        <w:t>Heckman, James J, Seong Hyeok Moon, Rodrigo Pinto, Peter Savelyev, y Adam Yavitz. 2010. “A New Cost-Benefit y Rate of Return Analysis for the Perry Preschool Program: A Summary,” July. http://www.nber.org/papers/w16180.</w:t>
      </w:r>
    </w:p>
    <w:p w14:paraId="0D6284B7"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rPr>
        <w:t xml:space="preserve">Herrera, R, CM Orantes, y M Almaguer. 2014. “Características Clínicas de La Enfermedad Renal Crónica de Causas No Tradicionales En Las Comunidades Agrícolas Salvadoreñas.” </w:t>
      </w:r>
      <w:r w:rsidRPr="00EB374F">
        <w:rPr>
          <w:rFonts w:ascii="Arial" w:hAnsi="Arial"/>
          <w:i/>
          <w:iCs/>
          <w:noProof/>
          <w:sz w:val="20"/>
          <w:szCs w:val="20"/>
        </w:rPr>
        <w:t>Medicc Review</w:t>
      </w:r>
      <w:r w:rsidRPr="00EB374F">
        <w:rPr>
          <w:rFonts w:ascii="Arial" w:hAnsi="Arial"/>
          <w:noProof/>
          <w:sz w:val="20"/>
          <w:szCs w:val="20"/>
        </w:rPr>
        <w:t xml:space="preserve"> 16 (2). http://www.medicc.org/mediccreview/articles/mr_353_es.pdf.</w:t>
      </w:r>
    </w:p>
    <w:p w14:paraId="178A20C6"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rPr>
        <w:t>Jamison, Dean T, Joel G Breman, Anthony R Measham, George Alleyne, Mariam Claeson, David B Evans, Prabhat Jha, Anne Mills, y Philip Musgrove. 2006. “Disease Control Priorities in Developing Countries.” World Bank. http://www.ncbi.nlm.nih.gov/books/NBK11728/.</w:t>
      </w:r>
    </w:p>
    <w:p w14:paraId="2917F990" w14:textId="77777777" w:rsidR="00FD5CE1" w:rsidRPr="00024AE0" w:rsidRDefault="00FD5CE1" w:rsidP="001025F1">
      <w:pPr>
        <w:pStyle w:val="NormalWeb"/>
        <w:ind w:left="480" w:hanging="480"/>
        <w:divId w:val="136842363"/>
        <w:rPr>
          <w:rFonts w:ascii="Arial" w:hAnsi="Arial"/>
          <w:noProof/>
          <w:sz w:val="20"/>
          <w:szCs w:val="20"/>
          <w:lang w:val="es-ES_tradnl"/>
        </w:rPr>
      </w:pPr>
      <w:r w:rsidRPr="00EB374F">
        <w:rPr>
          <w:rFonts w:ascii="Arial" w:hAnsi="Arial"/>
          <w:noProof/>
          <w:sz w:val="20"/>
          <w:szCs w:val="20"/>
        </w:rPr>
        <w:t xml:space="preserve">Lomborg, B. 2010. </w:t>
      </w:r>
      <w:r w:rsidRPr="00EB374F">
        <w:rPr>
          <w:rFonts w:ascii="Arial" w:hAnsi="Arial"/>
          <w:i/>
          <w:iCs/>
          <w:noProof/>
          <w:sz w:val="20"/>
          <w:szCs w:val="20"/>
        </w:rPr>
        <w:t>Latin American Development Priorities: Costs y Benefits</w:t>
      </w:r>
      <w:r w:rsidRPr="00EB374F">
        <w:rPr>
          <w:rFonts w:ascii="Arial" w:hAnsi="Arial"/>
          <w:noProof/>
          <w:sz w:val="20"/>
          <w:szCs w:val="20"/>
        </w:rPr>
        <w:t xml:space="preserve">. </w:t>
      </w:r>
      <w:r w:rsidRPr="00024AE0">
        <w:rPr>
          <w:rFonts w:ascii="Arial" w:hAnsi="Arial"/>
          <w:noProof/>
          <w:sz w:val="20"/>
          <w:szCs w:val="20"/>
          <w:lang w:val="es-ES_tradnl"/>
        </w:rPr>
        <w:t>Cambridge, Reino Unido: Cambridge University Press. https://books.google.com/books?hl=en&amp;lr=&amp;id=O5V7K2n-ZJoC&amp;oi=fnd&amp;pg=PR5&amp;dq=Latin+American+Development+Priorities:+Costs+y+Benefits&amp;ots=vnG-qCOlbp&amp;sig=vP8HN44kpmIQa4p-kMllDudsV7s.</w:t>
      </w:r>
    </w:p>
    <w:p w14:paraId="17CDD48B"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rPr>
        <w:t xml:space="preserve">Lopez, Humberto. 2008. </w:t>
      </w:r>
      <w:r w:rsidRPr="00EB374F">
        <w:rPr>
          <w:rFonts w:ascii="Arial" w:hAnsi="Arial"/>
          <w:i/>
          <w:iCs/>
          <w:noProof/>
          <w:sz w:val="20"/>
          <w:szCs w:val="20"/>
        </w:rPr>
        <w:t>The Social Discount Rate: Estimates For Nine Latin American Countries</w:t>
      </w:r>
      <w:r w:rsidRPr="00EB374F">
        <w:rPr>
          <w:rFonts w:ascii="Arial" w:hAnsi="Arial"/>
          <w:noProof/>
          <w:sz w:val="20"/>
          <w:szCs w:val="20"/>
        </w:rPr>
        <w:t>. Policy Research Working Papers. The World Bank. doi:10.1596/1813-9450-4639.</w:t>
      </w:r>
    </w:p>
    <w:p w14:paraId="4E5F9A0F"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rPr>
        <w:lastRenderedPageBreak/>
        <w:t xml:space="preserve">Macinko, James, Veneza B de Oliveira, Maria A Turci, Frederico C Guanais, Palmira F Bonolo, y Maria F Lima-Costa. 2011. “The Influence of Primary Care y Hospital Supply on Ambulatory Care-Sensitive Hospitalizations among Adults in Brazil, 1999-2007.” </w:t>
      </w:r>
      <w:r w:rsidRPr="00EB374F">
        <w:rPr>
          <w:rFonts w:ascii="Arial" w:hAnsi="Arial"/>
          <w:i/>
          <w:iCs/>
          <w:noProof/>
          <w:sz w:val="20"/>
          <w:szCs w:val="20"/>
        </w:rPr>
        <w:t>American Journal of Public Health</w:t>
      </w:r>
      <w:r w:rsidRPr="00EB374F">
        <w:rPr>
          <w:rFonts w:ascii="Arial" w:hAnsi="Arial"/>
          <w:noProof/>
          <w:sz w:val="20"/>
          <w:szCs w:val="20"/>
        </w:rPr>
        <w:t xml:space="preserve"> 101 (10): 1963–70. doi:10.2105/AJPH.2010.198887.</w:t>
      </w:r>
    </w:p>
    <w:p w14:paraId="44A608D1"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rPr>
        <w:t xml:space="preserve">Macinko, James, y Matthew Harris. 2015. “Brazil’s Family Health Strategy — Delivering Community-Based Primary Care in a Universal Health System.” </w:t>
      </w:r>
      <w:r w:rsidRPr="00EB374F">
        <w:rPr>
          <w:rFonts w:ascii="Arial" w:hAnsi="Arial"/>
          <w:i/>
          <w:iCs/>
          <w:noProof/>
          <w:sz w:val="20"/>
          <w:szCs w:val="20"/>
        </w:rPr>
        <w:t>The New Engly Journal of Medicine</w:t>
      </w:r>
      <w:r w:rsidRPr="00EB374F">
        <w:rPr>
          <w:rFonts w:ascii="Arial" w:hAnsi="Arial"/>
          <w:noProof/>
          <w:sz w:val="20"/>
          <w:szCs w:val="20"/>
        </w:rPr>
        <w:t xml:space="preserve"> 372 (23): 2177–81. doi:10.1056/NEJMp1501140.</w:t>
      </w:r>
    </w:p>
    <w:p w14:paraId="30AD0BD3"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rPr>
        <w:t xml:space="preserve">Martinez, R, y A Fernández. 2008. </w:t>
      </w:r>
      <w:r w:rsidRPr="00EB374F">
        <w:rPr>
          <w:rFonts w:ascii="Arial" w:hAnsi="Arial"/>
          <w:i/>
          <w:iCs/>
          <w:noProof/>
          <w:sz w:val="20"/>
          <w:szCs w:val="20"/>
        </w:rPr>
        <w:t>The Cost of Hunger: Social y Economic Impact of Child Undernutrition in Central America y the Dominican Republic</w:t>
      </w:r>
      <w:r w:rsidRPr="00EB374F">
        <w:rPr>
          <w:rFonts w:ascii="Arial" w:hAnsi="Arial"/>
          <w:noProof/>
          <w:sz w:val="20"/>
          <w:szCs w:val="20"/>
        </w:rPr>
        <w:t>. http://gommes.net/wergosum/wp-content/uploads/2012/07/2008_cost-of-hunger_wfp.pdf.</w:t>
      </w:r>
    </w:p>
    <w:p w14:paraId="79AB6595" w14:textId="77777777" w:rsidR="00FD5CE1" w:rsidRPr="008C21E4" w:rsidRDefault="00FD5CE1" w:rsidP="001025F1">
      <w:pPr>
        <w:pStyle w:val="NormalWeb"/>
        <w:ind w:left="480" w:hanging="480"/>
        <w:divId w:val="136842363"/>
        <w:rPr>
          <w:rFonts w:ascii="Arial" w:hAnsi="Arial"/>
          <w:noProof/>
          <w:sz w:val="20"/>
          <w:szCs w:val="20"/>
          <w:lang w:val="es-ES"/>
        </w:rPr>
      </w:pPr>
      <w:r w:rsidRPr="00EB374F">
        <w:rPr>
          <w:rFonts w:ascii="Arial" w:hAnsi="Arial"/>
          <w:noProof/>
          <w:sz w:val="20"/>
          <w:szCs w:val="20"/>
        </w:rPr>
        <w:t xml:space="preserve">Mathers, Colin, Theo Vos, Alan Lopez, Josh Salomon, y Majid Ezzati, eds. 2001. </w:t>
      </w:r>
      <w:r w:rsidRPr="008C21E4">
        <w:rPr>
          <w:rFonts w:ascii="Arial" w:hAnsi="Arial"/>
          <w:i/>
          <w:iCs/>
          <w:noProof/>
          <w:sz w:val="20"/>
          <w:szCs w:val="20"/>
          <w:lang w:val="es-ES"/>
        </w:rPr>
        <w:t>National Burden of Disease Studies: A Practical Guide. Edition 2.0</w:t>
      </w:r>
      <w:r w:rsidRPr="008C21E4">
        <w:rPr>
          <w:rFonts w:ascii="Arial" w:hAnsi="Arial"/>
          <w:noProof/>
          <w:sz w:val="20"/>
          <w:szCs w:val="20"/>
          <w:lang w:val="es-ES"/>
        </w:rPr>
        <w:t>. Giinebra, Suiza: Organización Mundial de la Salud.</w:t>
      </w:r>
    </w:p>
    <w:p w14:paraId="3F64ED5B" w14:textId="77777777" w:rsidR="00FD5CE1" w:rsidRPr="008C21E4" w:rsidRDefault="00FD5CE1" w:rsidP="001025F1">
      <w:pPr>
        <w:pStyle w:val="NormalWeb"/>
        <w:ind w:left="480" w:hanging="480"/>
        <w:divId w:val="136842363"/>
        <w:rPr>
          <w:rFonts w:ascii="Arial" w:hAnsi="Arial"/>
          <w:noProof/>
          <w:sz w:val="20"/>
          <w:szCs w:val="20"/>
          <w:lang w:val="es-ES"/>
        </w:rPr>
      </w:pPr>
      <w:r w:rsidRPr="008C21E4">
        <w:rPr>
          <w:rFonts w:ascii="Arial" w:hAnsi="Arial"/>
          <w:noProof/>
          <w:sz w:val="20"/>
          <w:szCs w:val="20"/>
          <w:lang w:val="es-ES"/>
        </w:rPr>
        <w:t xml:space="preserve">Ministerio de Economia de El Salvador, DIGESTYC, UNFPA, CELADE. 2014. </w:t>
      </w:r>
      <w:r w:rsidRPr="008C21E4">
        <w:rPr>
          <w:rFonts w:ascii="Arial" w:hAnsi="Arial"/>
          <w:i/>
          <w:iCs/>
          <w:noProof/>
          <w:sz w:val="20"/>
          <w:szCs w:val="20"/>
          <w:lang w:val="es-ES"/>
        </w:rPr>
        <w:t>El Salvador: Estimaciones Y Proyecciones de Población Nacional 2005-2050 Departamental 2005-2025</w:t>
      </w:r>
      <w:r w:rsidRPr="008C21E4">
        <w:rPr>
          <w:rFonts w:ascii="Arial" w:hAnsi="Arial"/>
          <w:noProof/>
          <w:sz w:val="20"/>
          <w:szCs w:val="20"/>
          <w:lang w:val="es-ES"/>
        </w:rPr>
        <w:t>. San Salvador, El Salvador. http://www.digestyc.gob.sv/index.php/novedades/avisos/540-el-salvador-estimaciones-y-proyecciones-de-poblacion.html.</w:t>
      </w:r>
    </w:p>
    <w:p w14:paraId="1DF28903" w14:textId="77777777" w:rsidR="00FD5CE1" w:rsidRPr="008C21E4" w:rsidRDefault="00FD5CE1" w:rsidP="001025F1">
      <w:pPr>
        <w:pStyle w:val="NormalWeb"/>
        <w:ind w:left="480" w:hanging="480"/>
        <w:divId w:val="136842363"/>
        <w:rPr>
          <w:rFonts w:ascii="Arial" w:hAnsi="Arial"/>
          <w:noProof/>
          <w:sz w:val="20"/>
          <w:szCs w:val="20"/>
          <w:lang w:val="es-ES"/>
        </w:rPr>
      </w:pPr>
      <w:r w:rsidRPr="008C21E4">
        <w:rPr>
          <w:rFonts w:ascii="Arial" w:hAnsi="Arial"/>
          <w:noProof/>
          <w:sz w:val="20"/>
          <w:szCs w:val="20"/>
          <w:lang w:val="es-ES"/>
        </w:rPr>
        <w:t xml:space="preserve">Ministerio de Economía de El Salvador, DIGESTYC, UNFPA, CELADE. 2014. </w:t>
      </w:r>
      <w:r w:rsidRPr="008C21E4">
        <w:rPr>
          <w:rFonts w:ascii="Arial" w:hAnsi="Arial"/>
          <w:i/>
          <w:iCs/>
          <w:noProof/>
          <w:sz w:val="20"/>
          <w:szCs w:val="20"/>
          <w:lang w:val="es-ES"/>
        </w:rPr>
        <w:t>El Salvador: Estimaciones Y Proyecciones de Población Municipal 2005-2025</w:t>
      </w:r>
      <w:r w:rsidRPr="008C21E4">
        <w:rPr>
          <w:rFonts w:ascii="Arial" w:hAnsi="Arial"/>
          <w:noProof/>
          <w:sz w:val="20"/>
          <w:szCs w:val="20"/>
          <w:lang w:val="es-ES"/>
        </w:rPr>
        <w:t>. San Salvador, El Salvador.</w:t>
      </w:r>
    </w:p>
    <w:p w14:paraId="7C7F0078" w14:textId="77777777" w:rsidR="00FD5CE1" w:rsidRPr="00EB374F" w:rsidRDefault="00FD5CE1" w:rsidP="001025F1">
      <w:pPr>
        <w:pStyle w:val="NormalWeb"/>
        <w:ind w:left="480" w:hanging="480"/>
        <w:divId w:val="136842363"/>
        <w:rPr>
          <w:rFonts w:ascii="Arial" w:hAnsi="Arial"/>
          <w:noProof/>
          <w:sz w:val="20"/>
          <w:szCs w:val="20"/>
        </w:rPr>
      </w:pPr>
      <w:r w:rsidRPr="008C21E4">
        <w:rPr>
          <w:rFonts w:ascii="Arial" w:hAnsi="Arial"/>
          <w:noProof/>
          <w:sz w:val="20"/>
          <w:szCs w:val="20"/>
          <w:lang w:val="es-ES"/>
        </w:rPr>
        <w:t xml:space="preserve">Murray, C J, y A D Lopez. </w:t>
      </w:r>
      <w:r w:rsidRPr="00EB374F">
        <w:rPr>
          <w:rFonts w:ascii="Arial" w:hAnsi="Arial"/>
          <w:noProof/>
          <w:sz w:val="20"/>
          <w:szCs w:val="20"/>
        </w:rPr>
        <w:t xml:space="preserve">1994. “Quantifying Disability: Data, Methods y Results.” </w:t>
      </w:r>
      <w:r w:rsidRPr="00EB374F">
        <w:rPr>
          <w:rFonts w:ascii="Arial" w:hAnsi="Arial"/>
          <w:i/>
          <w:iCs/>
          <w:noProof/>
          <w:sz w:val="20"/>
          <w:szCs w:val="20"/>
        </w:rPr>
        <w:t>Bulletin of the World Health Organization</w:t>
      </w:r>
      <w:r w:rsidRPr="00EB374F">
        <w:rPr>
          <w:rFonts w:ascii="Arial" w:hAnsi="Arial"/>
          <w:noProof/>
          <w:sz w:val="20"/>
          <w:szCs w:val="20"/>
        </w:rPr>
        <w:t xml:space="preserve"> 72 (3): 481–94. http://www.pubmedcentral.nih.gov/articlerender.fcgi?artid=2486704&amp;tool=pmcentrez&amp;rendertype=abstract.</w:t>
      </w:r>
    </w:p>
    <w:p w14:paraId="2F41E744" w14:textId="77777777" w:rsidR="00FD5CE1" w:rsidRPr="00EB374F" w:rsidRDefault="00FD5CE1" w:rsidP="001025F1">
      <w:pPr>
        <w:pStyle w:val="NormalWeb"/>
        <w:ind w:left="480" w:hanging="480"/>
        <w:divId w:val="136842363"/>
        <w:rPr>
          <w:rFonts w:ascii="Arial" w:hAnsi="Arial"/>
          <w:noProof/>
          <w:sz w:val="20"/>
          <w:szCs w:val="20"/>
          <w:lang w:val="pt-BR"/>
        </w:rPr>
      </w:pPr>
      <w:r w:rsidRPr="00EB374F">
        <w:rPr>
          <w:rFonts w:ascii="Arial" w:hAnsi="Arial"/>
          <w:noProof/>
          <w:sz w:val="20"/>
          <w:szCs w:val="20"/>
        </w:rPr>
        <w:t xml:space="preserve">Murray, Christopher J L, Jeremy A Lauer, Raymond C W Hutubessy, Louis Niessen, Niels Tomijima, Anthony Rodgers, Carlene M M Lawes, y David B Evans. 2003. “Effectiveness y Costs of Interventions to Lower Systolic Blood Pressure y Cholesterol: A Global y Regional Analysis on Reduction of Cardiovascular-Disease Risk.” </w:t>
      </w:r>
      <w:r w:rsidRPr="00EB374F">
        <w:rPr>
          <w:rFonts w:ascii="Arial" w:hAnsi="Arial"/>
          <w:i/>
          <w:iCs/>
          <w:noProof/>
          <w:sz w:val="20"/>
          <w:szCs w:val="20"/>
          <w:lang w:val="pt-BR"/>
        </w:rPr>
        <w:t>Lancet</w:t>
      </w:r>
      <w:r w:rsidRPr="00EB374F">
        <w:rPr>
          <w:rFonts w:ascii="Arial" w:hAnsi="Arial"/>
          <w:noProof/>
          <w:sz w:val="20"/>
          <w:szCs w:val="20"/>
          <w:lang w:val="pt-BR"/>
        </w:rPr>
        <w:t xml:space="preserve"> 361 (9359): 717–25. doi:10.1016/S0140-6736(03)12655-4.</w:t>
      </w:r>
    </w:p>
    <w:p w14:paraId="0E51F64B" w14:textId="77777777" w:rsidR="00FD5CE1" w:rsidRPr="00EB374F" w:rsidRDefault="00FD5CE1" w:rsidP="001025F1">
      <w:pPr>
        <w:pStyle w:val="NormalWeb"/>
        <w:ind w:left="480" w:hanging="480"/>
        <w:divId w:val="136842363"/>
        <w:rPr>
          <w:rFonts w:ascii="Arial" w:hAnsi="Arial"/>
          <w:noProof/>
          <w:sz w:val="20"/>
          <w:szCs w:val="20"/>
        </w:rPr>
      </w:pPr>
      <w:r w:rsidRPr="00EB374F">
        <w:rPr>
          <w:rFonts w:ascii="Arial" w:hAnsi="Arial"/>
          <w:noProof/>
          <w:sz w:val="20"/>
          <w:szCs w:val="20"/>
          <w:lang w:val="pt-BR"/>
        </w:rPr>
        <w:t xml:space="preserve">Orantes, CM, R Herrera, y M Almaguer. </w:t>
      </w:r>
      <w:r w:rsidRPr="008C21E4">
        <w:rPr>
          <w:rFonts w:ascii="Arial" w:hAnsi="Arial"/>
          <w:noProof/>
          <w:sz w:val="20"/>
          <w:szCs w:val="20"/>
          <w:lang w:val="es-ES"/>
        </w:rPr>
        <w:t xml:space="preserve">2014. “Epidemiología de La Enfermedad Renal Crónica En Los Adultos de Las Comunidades Agrícolas Salvadoreñas.” </w:t>
      </w:r>
      <w:r w:rsidRPr="00EB374F">
        <w:rPr>
          <w:rFonts w:ascii="Arial" w:hAnsi="Arial"/>
          <w:i/>
          <w:iCs/>
          <w:noProof/>
          <w:sz w:val="20"/>
          <w:szCs w:val="20"/>
        </w:rPr>
        <w:t>Medicc Review</w:t>
      </w:r>
      <w:r w:rsidRPr="00EB374F">
        <w:rPr>
          <w:rFonts w:ascii="Arial" w:hAnsi="Arial"/>
          <w:noProof/>
          <w:sz w:val="20"/>
          <w:szCs w:val="20"/>
        </w:rPr>
        <w:t xml:space="preserve"> 16 (2). http://www.medicc.org/mediccreview/pdf.php?lang=es&amp;id=351.</w:t>
      </w:r>
    </w:p>
    <w:p w14:paraId="796265DF" w14:textId="77777777" w:rsidR="00FD5CE1" w:rsidRPr="008C21E4" w:rsidRDefault="00FD5CE1" w:rsidP="001025F1">
      <w:pPr>
        <w:pStyle w:val="NormalWeb"/>
        <w:ind w:left="480" w:hanging="480"/>
        <w:divId w:val="136842363"/>
        <w:rPr>
          <w:rFonts w:ascii="Arial" w:hAnsi="Arial"/>
          <w:noProof/>
          <w:sz w:val="20"/>
          <w:szCs w:val="20"/>
          <w:lang w:val="es-ES"/>
        </w:rPr>
      </w:pPr>
      <w:r w:rsidRPr="008C21E4">
        <w:rPr>
          <w:rFonts w:ascii="Arial" w:hAnsi="Arial"/>
          <w:noProof/>
          <w:sz w:val="20"/>
          <w:szCs w:val="20"/>
          <w:lang w:val="es-ES"/>
        </w:rPr>
        <w:t xml:space="preserve">Organización Mundial de la Salud. </w:t>
      </w:r>
      <w:r w:rsidRPr="00EB374F">
        <w:rPr>
          <w:rFonts w:ascii="Arial" w:hAnsi="Arial"/>
          <w:noProof/>
          <w:sz w:val="20"/>
          <w:szCs w:val="20"/>
        </w:rPr>
        <w:t xml:space="preserve">2015. “Cost Effectiveness y Strategic Planning (WHO-CHOICE).” </w:t>
      </w:r>
      <w:r w:rsidRPr="008C21E4">
        <w:rPr>
          <w:rFonts w:ascii="Arial" w:hAnsi="Arial"/>
          <w:noProof/>
          <w:sz w:val="20"/>
          <w:szCs w:val="20"/>
          <w:lang w:val="es-ES"/>
        </w:rPr>
        <w:t>Ginebra, Suiza: Organización Mundial de la Salud. http://www.who.int/choice/costs/CER_thresholds/en/.</w:t>
      </w:r>
    </w:p>
    <w:p w14:paraId="4EEB18EB" w14:textId="77777777" w:rsidR="00FD5CE1" w:rsidRPr="00EB374F" w:rsidRDefault="00FD5CE1" w:rsidP="001025F1">
      <w:pPr>
        <w:pStyle w:val="NormalWeb"/>
        <w:ind w:left="480" w:hanging="480"/>
        <w:divId w:val="136842363"/>
        <w:rPr>
          <w:rFonts w:ascii="Arial" w:hAnsi="Arial"/>
          <w:noProof/>
          <w:sz w:val="20"/>
          <w:szCs w:val="20"/>
        </w:rPr>
      </w:pPr>
      <w:r w:rsidRPr="00024AE0">
        <w:rPr>
          <w:rFonts w:ascii="Arial" w:hAnsi="Arial"/>
          <w:noProof/>
          <w:sz w:val="20"/>
          <w:szCs w:val="20"/>
          <w:lang w:val="pt-BR"/>
        </w:rPr>
        <w:t xml:space="preserve">Salomon, Joshua A, Natalie Carvalho, Cristina Gutiérrez-Delgado, Ricardo Orozco, Anna Mancuso, Daniel R Hogan, Diana Lee, et al. 2012. </w:t>
      </w:r>
      <w:r w:rsidRPr="00EB374F">
        <w:rPr>
          <w:rFonts w:ascii="Arial" w:hAnsi="Arial"/>
          <w:noProof/>
          <w:sz w:val="20"/>
          <w:szCs w:val="20"/>
        </w:rPr>
        <w:t xml:space="preserve">“Intervention Strategies to Reduce the Burden of Non-Communicable Diseases in Mexico: Cost Effectiveness Analysis.” </w:t>
      </w:r>
      <w:r w:rsidRPr="00EB374F">
        <w:rPr>
          <w:rFonts w:ascii="Arial" w:hAnsi="Arial"/>
          <w:i/>
          <w:iCs/>
          <w:noProof/>
          <w:sz w:val="20"/>
          <w:szCs w:val="20"/>
        </w:rPr>
        <w:t>BMJ (Clinical Research Ed.)</w:t>
      </w:r>
      <w:r w:rsidRPr="00EB374F">
        <w:rPr>
          <w:rFonts w:ascii="Arial" w:hAnsi="Arial"/>
          <w:noProof/>
          <w:sz w:val="20"/>
          <w:szCs w:val="20"/>
        </w:rPr>
        <w:t xml:space="preserve"> 344 (mar02_1): e355. doi:10.1136/bmj.e355.</w:t>
      </w:r>
    </w:p>
    <w:p w14:paraId="2C27C16B" w14:textId="77777777" w:rsidR="00FD5CE1" w:rsidRPr="008C21E4" w:rsidRDefault="00FD5CE1" w:rsidP="001025F1">
      <w:pPr>
        <w:pStyle w:val="NormalWeb"/>
        <w:ind w:left="480" w:hanging="480"/>
        <w:divId w:val="136842363"/>
        <w:rPr>
          <w:rFonts w:ascii="Arial" w:hAnsi="Arial"/>
          <w:noProof/>
          <w:sz w:val="20"/>
          <w:szCs w:val="20"/>
          <w:lang w:val="es-ES"/>
        </w:rPr>
      </w:pPr>
      <w:r w:rsidRPr="00EB374F">
        <w:rPr>
          <w:rFonts w:ascii="Arial" w:hAnsi="Arial"/>
          <w:noProof/>
          <w:sz w:val="20"/>
          <w:szCs w:val="20"/>
        </w:rPr>
        <w:t xml:space="preserve">Tan-Torres Edejer, T, R. Baltussen, T Adam, R Hutubessy, A. Acharya, D.B. Evans, y C.J.L. Murray, eds. 2003. </w:t>
      </w:r>
      <w:r w:rsidRPr="00EB374F">
        <w:rPr>
          <w:rFonts w:ascii="Arial" w:hAnsi="Arial"/>
          <w:i/>
          <w:iCs/>
          <w:noProof/>
          <w:sz w:val="20"/>
          <w:szCs w:val="20"/>
        </w:rPr>
        <w:t>Making Choices in Health:WHO Guide to Cost-Effectiveness Analysis</w:t>
      </w:r>
      <w:r w:rsidRPr="00EB374F">
        <w:rPr>
          <w:rFonts w:ascii="Arial" w:hAnsi="Arial"/>
          <w:noProof/>
          <w:sz w:val="20"/>
          <w:szCs w:val="20"/>
        </w:rPr>
        <w:t xml:space="preserve">. </w:t>
      </w:r>
      <w:r w:rsidRPr="008C21E4">
        <w:rPr>
          <w:rFonts w:ascii="Arial" w:hAnsi="Arial"/>
          <w:noProof/>
          <w:sz w:val="20"/>
          <w:szCs w:val="20"/>
          <w:lang w:val="es-ES"/>
        </w:rPr>
        <w:t>Ginebra, Suiza: Organización Mundial de la Salud.</w:t>
      </w:r>
    </w:p>
    <w:p w14:paraId="0C33FBBE" w14:textId="77777777" w:rsidR="00FD5CE1" w:rsidRPr="00EB374F" w:rsidRDefault="00FD5CE1" w:rsidP="001025F1">
      <w:pPr>
        <w:pStyle w:val="NormalWeb"/>
        <w:ind w:left="480" w:hanging="480"/>
        <w:divId w:val="136842363"/>
        <w:rPr>
          <w:rFonts w:ascii="Arial" w:hAnsi="Arial"/>
          <w:noProof/>
          <w:sz w:val="20"/>
          <w:szCs w:val="20"/>
        </w:rPr>
      </w:pPr>
      <w:r w:rsidRPr="008C21E4">
        <w:rPr>
          <w:rFonts w:ascii="Arial" w:hAnsi="Arial"/>
          <w:noProof/>
          <w:sz w:val="20"/>
          <w:szCs w:val="20"/>
          <w:lang w:val="es-ES"/>
        </w:rPr>
        <w:lastRenderedPageBreak/>
        <w:t xml:space="preserve">Zhuang, J, Z Liang, T Lin, y F De Guzman. </w:t>
      </w:r>
      <w:r w:rsidRPr="00EB374F">
        <w:rPr>
          <w:rFonts w:ascii="Arial" w:hAnsi="Arial"/>
          <w:noProof/>
          <w:sz w:val="20"/>
          <w:szCs w:val="20"/>
        </w:rPr>
        <w:t>2007. “Theory y Practice in the Choice of Social Discount Rate for Cost-Benefit Analysis: A Survey.” https://adb-test.atmire.com/hyle/11540/1853.</w:t>
      </w:r>
    </w:p>
    <w:p w14:paraId="414D61A5" w14:textId="77777777" w:rsidR="00857FE0" w:rsidRPr="00EB374F" w:rsidRDefault="001872C6" w:rsidP="001025F1">
      <w:pPr>
        <w:pStyle w:val="NormalWeb"/>
        <w:ind w:left="480" w:hanging="480"/>
        <w:divId w:val="1804535920"/>
        <w:rPr>
          <w:rFonts w:ascii="Arial" w:hAnsi="Arial" w:cs="Arial"/>
          <w:sz w:val="20"/>
          <w:szCs w:val="20"/>
        </w:rPr>
      </w:pPr>
      <w:r w:rsidRPr="008C21E4">
        <w:rPr>
          <w:rFonts w:ascii="Arial" w:hAnsi="Arial" w:cs="Arial"/>
          <w:sz w:val="20"/>
          <w:szCs w:val="20"/>
          <w:lang w:val="es-ES"/>
        </w:rPr>
        <w:fldChar w:fldCharType="end"/>
      </w:r>
      <w:r w:rsidR="00D80A9B" w:rsidRPr="00EB374F">
        <w:rPr>
          <w:rFonts w:ascii="Arial" w:hAnsi="Arial" w:cs="Arial"/>
          <w:sz w:val="20"/>
          <w:szCs w:val="20"/>
        </w:rPr>
        <w:t xml:space="preserve"> </w:t>
      </w:r>
    </w:p>
    <w:sectPr w:rsidR="00857FE0" w:rsidRPr="00EB374F" w:rsidSect="007A42A7">
      <w:headerReference w:type="even" r:id="rId21"/>
      <w:headerReference w:type="default" r:id="rId22"/>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22D0A" w14:textId="77777777" w:rsidR="00F617FA" w:rsidRDefault="00F617FA" w:rsidP="008C5F59">
      <w:r>
        <w:separator/>
      </w:r>
    </w:p>
  </w:endnote>
  <w:endnote w:type="continuationSeparator" w:id="0">
    <w:p w14:paraId="48718AF3" w14:textId="77777777" w:rsidR="00F617FA" w:rsidRDefault="00F617FA" w:rsidP="008C5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EF" w:usb1="C0007841" w:usb2="00000009" w:usb3="00000000" w:csb0="000001FF" w:csb1="00000000"/>
  </w:font>
  <w:font w:name="Bitstream Vera Sans">
    <w:altName w:val="MS Mincho"/>
    <w:charset w:val="80"/>
    <w:family w:val="auto"/>
    <w:pitch w:val="variable"/>
  </w:font>
  <w:font w:name="Arial Unicode MS">
    <w:panose1 w:val="020B0604020202020204"/>
    <w:charset w:val="00"/>
    <w:family w:val="auto"/>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F9DA7" w14:textId="77777777" w:rsidR="00F617FA" w:rsidRDefault="00F617FA" w:rsidP="008C5F59">
      <w:r>
        <w:separator/>
      </w:r>
    </w:p>
  </w:footnote>
  <w:footnote w:type="continuationSeparator" w:id="0">
    <w:p w14:paraId="3CD427DE" w14:textId="77777777" w:rsidR="00F617FA" w:rsidRDefault="00F617FA" w:rsidP="008C5F59">
      <w:r>
        <w:continuationSeparator/>
      </w:r>
    </w:p>
  </w:footnote>
  <w:footnote w:id="1">
    <w:p w14:paraId="49C6FD49" w14:textId="477EF327" w:rsidR="006F1FDF" w:rsidRPr="00FB524D" w:rsidRDefault="006F1FDF" w:rsidP="00E44288">
      <w:pPr>
        <w:pStyle w:val="FootnoteText"/>
        <w:spacing w:after="0"/>
        <w:ind w:left="270" w:hanging="270"/>
        <w:rPr>
          <w:rFonts w:ascii="Arial" w:hAnsi="Arial" w:cs="Arial"/>
          <w:sz w:val="18"/>
          <w:szCs w:val="18"/>
          <w:lang w:val="es-ES"/>
        </w:rPr>
      </w:pPr>
      <w:r w:rsidRPr="00FB524D">
        <w:rPr>
          <w:rStyle w:val="FootnoteReference"/>
          <w:rFonts w:ascii="Arial" w:hAnsi="Arial" w:cs="Arial"/>
          <w:sz w:val="18"/>
          <w:szCs w:val="18"/>
          <w:lang w:val="es-ES"/>
        </w:rPr>
        <w:footnoteRef/>
      </w:r>
      <w:r w:rsidRPr="00FB524D">
        <w:rPr>
          <w:rFonts w:ascii="Arial" w:hAnsi="Arial" w:cs="Arial"/>
          <w:sz w:val="18"/>
          <w:szCs w:val="18"/>
          <w:lang w:val="es-ES"/>
        </w:rPr>
        <w:t xml:space="preserve"> </w:t>
      </w:r>
      <w:r w:rsidRPr="00FB524D">
        <w:rPr>
          <w:rFonts w:ascii="Arial" w:hAnsi="Arial" w:cs="Arial"/>
          <w:sz w:val="18"/>
          <w:szCs w:val="18"/>
          <w:lang w:val="es-ES"/>
        </w:rPr>
        <w:tab/>
        <w:t>Esta sección presenta los antecedentes y descripción del programa, y está basada en el documento de propuesta de préstamo. Por tanto, puede si el lector ya revisó la propuesta de préstamo, puede pasar a la sección II.</w:t>
      </w:r>
    </w:p>
  </w:footnote>
  <w:footnote w:id="2">
    <w:p w14:paraId="54E0B16D" w14:textId="1297BFD8" w:rsidR="006F1FDF" w:rsidRPr="00FB524D" w:rsidRDefault="006F1FDF" w:rsidP="00E44288">
      <w:pPr>
        <w:pStyle w:val="FootnoteText"/>
        <w:spacing w:after="0"/>
        <w:rPr>
          <w:rFonts w:ascii="Arial" w:hAnsi="Arial" w:cs="Arial"/>
          <w:sz w:val="18"/>
          <w:szCs w:val="18"/>
          <w:lang w:val="es-ES"/>
        </w:rPr>
      </w:pPr>
      <w:r w:rsidRPr="00FB524D">
        <w:rPr>
          <w:rStyle w:val="FootnoteReference"/>
          <w:lang w:val="es-ES"/>
        </w:rPr>
        <w:footnoteRef/>
      </w:r>
      <w:r w:rsidRPr="00FB524D">
        <w:rPr>
          <w:lang w:val="es-ES"/>
        </w:rPr>
        <w:t xml:space="preserve">  </w:t>
      </w:r>
      <w:r w:rsidRPr="00FB524D">
        <w:rPr>
          <w:lang w:val="es-ES"/>
        </w:rPr>
        <w:tab/>
      </w:r>
      <w:r w:rsidRPr="00FB524D">
        <w:rPr>
          <w:rFonts w:ascii="Arial" w:hAnsi="Arial" w:cs="Arial"/>
          <w:sz w:val="18"/>
          <w:szCs w:val="18"/>
          <w:lang w:val="es-ES"/>
        </w:rPr>
        <w:t>Atlas de Desarrollo Humano en Brasil (Programa de Naciones Unidas para el Desarrollo -PNUD, Instituto de Investigación Económica Aplicada -IPEA, Fundação João Pinheiro -FJP). </w:t>
      </w:r>
    </w:p>
  </w:footnote>
  <w:footnote w:id="3">
    <w:p w14:paraId="1546162D" w14:textId="4324C6DD" w:rsidR="006F1FDF" w:rsidRPr="00EB374F" w:rsidRDefault="006F1FDF" w:rsidP="00E44288">
      <w:pPr>
        <w:pStyle w:val="FootnoteText"/>
        <w:spacing w:after="0"/>
        <w:rPr>
          <w:lang w:val="pt-BR"/>
        </w:rPr>
      </w:pPr>
      <w:r w:rsidRPr="00FB524D">
        <w:rPr>
          <w:rStyle w:val="FootnoteReference"/>
          <w:lang w:val="es-ES"/>
        </w:rPr>
        <w:footnoteRef/>
      </w:r>
      <w:r w:rsidRPr="00FB524D">
        <w:rPr>
          <w:lang w:val="es-ES"/>
        </w:rPr>
        <w:t xml:space="preserve"> </w:t>
      </w:r>
      <w:r w:rsidRPr="00FB524D">
        <w:rPr>
          <w:lang w:val="es-ES"/>
        </w:rPr>
        <w:tab/>
      </w:r>
      <w:r w:rsidRPr="00FB524D">
        <w:rPr>
          <w:rFonts w:ascii="Arial" w:hAnsi="Arial" w:cs="Arial"/>
          <w:sz w:val="18"/>
          <w:szCs w:val="18"/>
          <w:lang w:val="es-ES"/>
        </w:rPr>
        <w:t xml:space="preserve">El IVS está compuesto de indicadores de saneamiento, vivienda, educación, ingreso, social y condiciones urbanas. </w:t>
      </w:r>
      <w:r w:rsidRPr="00EB374F">
        <w:rPr>
          <w:rFonts w:ascii="Arial" w:hAnsi="Arial" w:cs="Arial"/>
          <w:sz w:val="18"/>
          <w:szCs w:val="18"/>
          <w:lang w:val="pt-BR"/>
        </w:rPr>
        <w:t>Ver: Prefeitura Belo Horizonte. 2013. Índice de Vulnerabilidade da Saúde 2012. Belo Horizonte.</w:t>
      </w:r>
      <w:r w:rsidRPr="00EB374F">
        <w:rPr>
          <w:lang w:val="pt-BR"/>
        </w:rPr>
        <w:t xml:space="preserve"> </w:t>
      </w:r>
    </w:p>
  </w:footnote>
  <w:footnote w:id="4">
    <w:p w14:paraId="42D7575E" w14:textId="391D3E8D" w:rsidR="006F1FDF" w:rsidRPr="00FB524D" w:rsidRDefault="006F1FDF" w:rsidP="00E44288">
      <w:pPr>
        <w:pStyle w:val="FootnoteText"/>
        <w:spacing w:after="0"/>
        <w:rPr>
          <w:lang w:val="es-ES"/>
        </w:rPr>
      </w:pPr>
      <w:r w:rsidRPr="00FB524D">
        <w:rPr>
          <w:rStyle w:val="FootnoteReference"/>
          <w:lang w:val="es-ES"/>
        </w:rPr>
        <w:footnoteRef/>
      </w:r>
      <w:r w:rsidRPr="00FB524D">
        <w:rPr>
          <w:lang w:val="es-ES"/>
        </w:rPr>
        <w:t xml:space="preserve"> </w:t>
      </w:r>
      <w:r w:rsidRPr="00FB524D">
        <w:rPr>
          <w:lang w:val="es-ES"/>
        </w:rPr>
        <w:tab/>
      </w:r>
      <w:r w:rsidRPr="00FB524D">
        <w:rPr>
          <w:rFonts w:ascii="Arial" w:hAnsi="Arial" w:cs="Arial"/>
          <w:sz w:val="18"/>
          <w:szCs w:val="18"/>
          <w:lang w:val="es-ES"/>
        </w:rPr>
        <w:t>Con la reducción de la desnutrición y las enfermedades infecciosas, parasitarias, y respiratorias, principales causas de la mortalidad post-neonatal, se incrementaron relativamente las causas de muertes neonatales, incluyendo la prematuridad, la asfixia durante el parto y las infecciones neonatales.</w:t>
      </w:r>
      <w:r w:rsidRPr="00FB524D">
        <w:rPr>
          <w:lang w:val="es-ES"/>
        </w:rPr>
        <w:t xml:space="preserve"> </w:t>
      </w:r>
    </w:p>
  </w:footnote>
  <w:footnote w:id="5">
    <w:p w14:paraId="443BD7E1" w14:textId="18F98819" w:rsidR="006F1FDF" w:rsidRPr="00FB524D" w:rsidRDefault="006F1FDF" w:rsidP="00E44288">
      <w:pPr>
        <w:pStyle w:val="FootnoteText"/>
        <w:spacing w:after="0"/>
        <w:rPr>
          <w:lang w:val="es-ES"/>
        </w:rPr>
      </w:pPr>
      <w:r w:rsidRPr="00FB524D">
        <w:rPr>
          <w:rStyle w:val="FootnoteReference"/>
          <w:lang w:val="es-ES"/>
        </w:rPr>
        <w:footnoteRef/>
      </w:r>
      <w:r w:rsidRPr="00FB524D">
        <w:rPr>
          <w:lang w:val="es-ES"/>
        </w:rPr>
        <w:t xml:space="preserve"> </w:t>
      </w:r>
      <w:r w:rsidRPr="00FB524D">
        <w:rPr>
          <w:lang w:val="es-ES"/>
        </w:rPr>
        <w:tab/>
      </w:r>
      <w:r w:rsidRPr="00112D95">
        <w:rPr>
          <w:rFonts w:ascii="Arial" w:hAnsi="Arial" w:cs="Arial"/>
          <w:sz w:val="18"/>
          <w:szCs w:val="18"/>
          <w:lang w:val="es-ES"/>
        </w:rPr>
        <w:t>Entre las principales causas de la muerte materna están el síndrome hipertensivo (preclamsia) y la hemorragia post-parto.</w:t>
      </w:r>
      <w:r w:rsidRPr="00FB524D">
        <w:rPr>
          <w:lang w:val="es-ES"/>
        </w:rPr>
        <w:t xml:space="preserve"> </w:t>
      </w:r>
    </w:p>
  </w:footnote>
  <w:footnote w:id="6">
    <w:p w14:paraId="136F7FA6" w14:textId="777B4864" w:rsidR="006F1FDF" w:rsidRPr="00702E90" w:rsidRDefault="006F1FDF" w:rsidP="00E44288">
      <w:pPr>
        <w:pStyle w:val="FootnoteText"/>
        <w:spacing w:after="0"/>
        <w:rPr>
          <w:rFonts w:ascii="Arial" w:hAnsi="Arial" w:cs="Arial"/>
          <w:sz w:val="18"/>
          <w:szCs w:val="18"/>
          <w:lang w:val="es-ES"/>
        </w:rPr>
      </w:pPr>
      <w:r>
        <w:rPr>
          <w:rStyle w:val="FootnoteReference"/>
        </w:rPr>
        <w:footnoteRef/>
      </w:r>
      <w:r w:rsidRPr="00EB374F">
        <w:rPr>
          <w:lang w:val="es-ES"/>
        </w:rPr>
        <w:t xml:space="preserve"> </w:t>
      </w:r>
      <w:r w:rsidRPr="00EB374F">
        <w:rPr>
          <w:lang w:val="es-ES"/>
        </w:rPr>
        <w:tab/>
      </w:r>
      <w:r w:rsidRPr="00112D95">
        <w:rPr>
          <w:rFonts w:ascii="Arial" w:hAnsi="Arial" w:cs="Arial"/>
          <w:sz w:val="18"/>
          <w:szCs w:val="18"/>
          <w:lang w:val="es-ES"/>
        </w:rPr>
        <w:t xml:space="preserve">Esta cifra es preocupante ya que la mayoría de las muertes son prematuras y, en principio, evitables. </w:t>
      </w:r>
    </w:p>
  </w:footnote>
  <w:footnote w:id="7">
    <w:p w14:paraId="4C681DA8" w14:textId="50EDA842" w:rsidR="006F1FDF" w:rsidRPr="00702E90" w:rsidRDefault="006F1FDF" w:rsidP="00E44288">
      <w:pPr>
        <w:pStyle w:val="FootnoteText"/>
        <w:spacing w:after="0"/>
        <w:rPr>
          <w:lang w:val="it-IT"/>
        </w:rPr>
      </w:pPr>
      <w:r>
        <w:rPr>
          <w:rStyle w:val="FootnoteReference"/>
        </w:rPr>
        <w:footnoteRef/>
      </w:r>
      <w:r w:rsidRPr="00EB374F">
        <w:rPr>
          <w:lang w:val="es-ES"/>
        </w:rPr>
        <w:t xml:space="preserve"> </w:t>
      </w:r>
      <w:r w:rsidRPr="00EB374F">
        <w:rPr>
          <w:lang w:val="es-ES"/>
        </w:rPr>
        <w:tab/>
      </w:r>
      <w:r w:rsidRPr="00702E90">
        <w:rPr>
          <w:rFonts w:ascii="Arial" w:hAnsi="Arial" w:cs="Arial"/>
          <w:sz w:val="18"/>
          <w:szCs w:val="18"/>
          <w:lang w:val="es-ES"/>
        </w:rPr>
        <w:t>Dengue, Zika, Chikunguña y Leishmaniosis visceral son de mucha importancia desde la perspectiva de la vigilancia de salud y control de las epidemias. </w:t>
      </w:r>
    </w:p>
  </w:footnote>
  <w:footnote w:id="8">
    <w:p w14:paraId="53FCD0F9" w14:textId="54358538" w:rsidR="006F1FDF" w:rsidRPr="00702E90" w:rsidRDefault="006F1FDF" w:rsidP="00E44288">
      <w:pPr>
        <w:pStyle w:val="FootnoteText"/>
        <w:spacing w:after="0"/>
        <w:rPr>
          <w:lang w:val="it-IT"/>
        </w:rPr>
      </w:pPr>
      <w:r>
        <w:rPr>
          <w:rStyle w:val="FootnoteReference"/>
        </w:rPr>
        <w:footnoteRef/>
      </w:r>
      <w:r w:rsidRPr="00EB374F">
        <w:rPr>
          <w:lang w:val="es-ES"/>
        </w:rPr>
        <w:t xml:space="preserve"> </w:t>
      </w:r>
      <w:r w:rsidRPr="00EB374F">
        <w:rPr>
          <w:lang w:val="es-ES"/>
        </w:rPr>
        <w:tab/>
      </w:r>
      <w:r w:rsidRPr="00702E90">
        <w:rPr>
          <w:rFonts w:ascii="Arial" w:hAnsi="Arial" w:cs="Arial"/>
          <w:sz w:val="18"/>
          <w:szCs w:val="18"/>
          <w:lang w:val="es-ES"/>
        </w:rPr>
        <w:t>La red municipal de atención en salud está compuesta de 152 centros de salud, 9 unidades de atención urgente, 9 centros de especialidades médicas, 5 unidades de referencia secundaria, 29 hospitales, 15 unidades de apoyo, diagnosis y terapia, 13 centros de atención psicosocial, 77 academias de salud, 588 equipos de salud de la familia, y 302 equipos de salud bucal. </w:t>
      </w:r>
    </w:p>
  </w:footnote>
  <w:footnote w:id="9">
    <w:p w14:paraId="7F1EE4D4" w14:textId="52F44D04" w:rsidR="006F1FDF" w:rsidRPr="00702E90" w:rsidRDefault="006F1FDF" w:rsidP="00E44288">
      <w:pPr>
        <w:pStyle w:val="FootnoteText"/>
        <w:spacing w:after="0"/>
        <w:rPr>
          <w:lang w:val="it-IT"/>
        </w:rPr>
      </w:pPr>
      <w:r>
        <w:rPr>
          <w:rStyle w:val="FootnoteReference"/>
        </w:rPr>
        <w:footnoteRef/>
      </w:r>
      <w:r w:rsidRPr="00EB374F">
        <w:rPr>
          <w:lang w:val="es-ES"/>
        </w:rPr>
        <w:t xml:space="preserve"> </w:t>
      </w:r>
      <w:r w:rsidRPr="00EB374F">
        <w:rPr>
          <w:lang w:val="es-ES"/>
        </w:rPr>
        <w:tab/>
      </w:r>
      <w:r w:rsidRPr="00702E90">
        <w:rPr>
          <w:rFonts w:ascii="Arial" w:hAnsi="Arial" w:cs="Arial"/>
          <w:sz w:val="18"/>
          <w:szCs w:val="18"/>
          <w:lang w:val="es-ES"/>
        </w:rPr>
        <w:t>Entre 2008 y 2017 las hospitalizaciones subieron el 15%, y la producción ambulatoria 53%, mientras que de 2014 a 2017 los recursos financieros aplicados se mantuvieron constantes en términos nominales.</w:t>
      </w:r>
      <w:r w:rsidRPr="00702E90">
        <w:rPr>
          <w:lang w:val="it-IT"/>
        </w:rPr>
        <w:t xml:space="preserve"> </w:t>
      </w:r>
    </w:p>
  </w:footnote>
  <w:footnote w:id="10">
    <w:p w14:paraId="2129CFD7" w14:textId="2307EEAB" w:rsidR="006F1FDF" w:rsidRPr="00EB374F" w:rsidRDefault="006F1FDF" w:rsidP="00E44288">
      <w:pPr>
        <w:pStyle w:val="FootnoteText"/>
        <w:spacing w:after="0"/>
        <w:rPr>
          <w:rFonts w:ascii="Arial" w:hAnsi="Arial" w:cs="Arial"/>
          <w:sz w:val="18"/>
          <w:szCs w:val="18"/>
          <w:lang w:val="pt-BR"/>
        </w:rPr>
      </w:pPr>
      <w:r>
        <w:rPr>
          <w:rStyle w:val="FootnoteReference"/>
        </w:rPr>
        <w:footnoteRef/>
      </w:r>
      <w:r w:rsidRPr="00EB374F">
        <w:rPr>
          <w:lang w:val="pt-BR"/>
        </w:rPr>
        <w:t xml:space="preserve"> </w:t>
      </w:r>
      <w:r w:rsidRPr="00EB374F">
        <w:rPr>
          <w:lang w:val="pt-BR"/>
        </w:rPr>
        <w:tab/>
      </w:r>
      <w:r w:rsidRPr="00EB374F">
        <w:rPr>
          <w:rFonts w:ascii="Arial" w:hAnsi="Arial" w:cs="Arial"/>
          <w:sz w:val="18"/>
          <w:szCs w:val="18"/>
          <w:lang w:val="pt-BR"/>
        </w:rPr>
        <w:t xml:space="preserve">Vilaça Mendes, E. 2011. As Redes de Atenção à Saúde. Organização Pan-Americana da Saúde (OPAS) e Conselho Nacional de Secretários de Saúde (CONASS): Brasilia. </w:t>
      </w:r>
    </w:p>
  </w:footnote>
  <w:footnote w:id="11">
    <w:p w14:paraId="621D89FB" w14:textId="317D14B4" w:rsidR="006F1FDF" w:rsidRPr="00702E90" w:rsidRDefault="006F1FDF" w:rsidP="00E44288">
      <w:pPr>
        <w:pStyle w:val="FootnoteText"/>
        <w:spacing w:after="0"/>
        <w:rPr>
          <w:lang w:val="it-IT"/>
        </w:rPr>
      </w:pPr>
      <w:r>
        <w:rPr>
          <w:rStyle w:val="FootnoteReference"/>
        </w:rPr>
        <w:footnoteRef/>
      </w:r>
      <w:r w:rsidRPr="00EB374F">
        <w:rPr>
          <w:lang w:val="es-ES"/>
        </w:rPr>
        <w:t xml:space="preserve"> </w:t>
      </w:r>
      <w:r w:rsidRPr="00EB374F">
        <w:rPr>
          <w:lang w:val="es-ES"/>
        </w:rPr>
        <w:tab/>
      </w:r>
      <w:r w:rsidRPr="00702E90">
        <w:rPr>
          <w:rFonts w:ascii="Arial" w:hAnsi="Arial" w:cs="Arial"/>
          <w:sz w:val="18"/>
          <w:szCs w:val="18"/>
          <w:lang w:val="es-ES"/>
        </w:rPr>
        <w:t>Levantamiento completado por la Gerencia de Atención a la Salud de la SMS de BH.  </w:t>
      </w:r>
    </w:p>
  </w:footnote>
  <w:footnote w:id="12">
    <w:p w14:paraId="3E9C6464" w14:textId="0C79D68E" w:rsidR="006F1FDF" w:rsidRPr="00702E90" w:rsidRDefault="006F1FDF" w:rsidP="00E44288">
      <w:pPr>
        <w:pStyle w:val="FootnoteText"/>
        <w:spacing w:after="0"/>
        <w:rPr>
          <w:lang w:val="it-IT"/>
        </w:rPr>
      </w:pPr>
      <w:r>
        <w:rPr>
          <w:rStyle w:val="FootnoteReference"/>
        </w:rPr>
        <w:footnoteRef/>
      </w:r>
      <w:r w:rsidRPr="00EB374F">
        <w:rPr>
          <w:lang w:val="es-ES"/>
        </w:rPr>
        <w:t xml:space="preserve"> </w:t>
      </w:r>
      <w:r w:rsidRPr="00EB374F">
        <w:rPr>
          <w:lang w:val="es-ES"/>
        </w:rPr>
        <w:tab/>
      </w:r>
      <w:r w:rsidRPr="00702E90">
        <w:rPr>
          <w:rFonts w:ascii="Arial" w:hAnsi="Arial" w:cs="Arial"/>
          <w:sz w:val="18"/>
          <w:szCs w:val="18"/>
          <w:lang w:val="es-ES"/>
        </w:rPr>
        <w:t>En 2016 se perdieron una cantidad significante de vacunas debido a una falla de la red de frío  </w:t>
      </w:r>
    </w:p>
  </w:footnote>
  <w:footnote w:id="13">
    <w:p w14:paraId="3EF5B121" w14:textId="627F2AD8" w:rsidR="006F1FDF" w:rsidRPr="005D4ACB" w:rsidRDefault="006F1FDF" w:rsidP="00E44288">
      <w:pPr>
        <w:pStyle w:val="FootnoteText"/>
        <w:spacing w:after="0"/>
        <w:rPr>
          <w:rFonts w:ascii="Arial" w:hAnsi="Arial" w:cs="Arial"/>
          <w:sz w:val="18"/>
          <w:szCs w:val="18"/>
          <w:lang w:val="es-ES"/>
        </w:rPr>
      </w:pPr>
      <w:r>
        <w:rPr>
          <w:rStyle w:val="FootnoteReference"/>
        </w:rPr>
        <w:footnoteRef/>
      </w:r>
      <w:r w:rsidRPr="00EB374F">
        <w:rPr>
          <w:lang w:val="es-ES"/>
        </w:rPr>
        <w:tab/>
      </w:r>
      <w:r w:rsidRPr="00DC7A28">
        <w:rPr>
          <w:rFonts w:ascii="Arial" w:hAnsi="Arial" w:cs="Arial"/>
          <w:sz w:val="18"/>
          <w:szCs w:val="18"/>
          <w:lang w:val="es-ES"/>
        </w:rPr>
        <w:t>Estudios de la Universidad Federal de Minas Gerais indican que aproximadamente 50% de la incidencia  de la leishmaniosis visceral proviene de la transmisión por parte de insectos flebótomos que han picado a perros y gatos callejeros infectados y después a humanos. La SMS ha adoptado una política de castración de estos animales como mecanismo de reducción del potencial “reservatorio” de infección.  </w:t>
      </w:r>
    </w:p>
  </w:footnote>
  <w:footnote w:id="14">
    <w:p w14:paraId="63E70391" w14:textId="2BBE28B7" w:rsidR="006F1FDF" w:rsidRPr="00DC7A28" w:rsidRDefault="006F1FDF" w:rsidP="00E44288">
      <w:pPr>
        <w:pStyle w:val="FootnoteText"/>
        <w:spacing w:after="0"/>
        <w:rPr>
          <w:lang w:val="it-IT"/>
        </w:rPr>
      </w:pPr>
      <w:r>
        <w:rPr>
          <w:rStyle w:val="FootnoteReference"/>
        </w:rPr>
        <w:footnoteRef/>
      </w:r>
      <w:r>
        <w:t xml:space="preserve"> </w:t>
      </w:r>
      <w:r>
        <w:tab/>
      </w:r>
      <w:r w:rsidRPr="00EB374F">
        <w:rPr>
          <w:rFonts w:ascii="Arial" w:hAnsi="Arial" w:cs="Arial"/>
          <w:sz w:val="18"/>
          <w:szCs w:val="18"/>
        </w:rPr>
        <w:t xml:space="preserve">National Academies of Sciences, Engineering, and Medicine. 2015. Improving diagnosis in health care. </w:t>
      </w:r>
      <w:r w:rsidRPr="00DC7A28">
        <w:rPr>
          <w:rFonts w:ascii="Arial" w:hAnsi="Arial" w:cs="Arial"/>
          <w:sz w:val="18"/>
          <w:szCs w:val="18"/>
          <w:lang w:val="es-ES"/>
        </w:rPr>
        <w:t>Washington, DC: The National Academies Press.  </w:t>
      </w:r>
    </w:p>
  </w:footnote>
  <w:footnote w:id="15">
    <w:p w14:paraId="3EDD889A" w14:textId="392CAC27" w:rsidR="006F1FDF" w:rsidRPr="008C21E4" w:rsidRDefault="006F1FDF" w:rsidP="00E44288">
      <w:pPr>
        <w:pStyle w:val="FootnoteText"/>
        <w:spacing w:after="0"/>
        <w:rPr>
          <w:lang w:val="it-IT"/>
        </w:rPr>
      </w:pPr>
      <w:r>
        <w:rPr>
          <w:rStyle w:val="FootnoteReference"/>
        </w:rPr>
        <w:footnoteRef/>
      </w:r>
      <w:r w:rsidRPr="00EB374F">
        <w:rPr>
          <w:lang w:val="es-ES"/>
        </w:rPr>
        <w:t xml:space="preserve"> </w:t>
      </w:r>
      <w:r w:rsidRPr="00EB374F">
        <w:rPr>
          <w:lang w:val="es-ES"/>
        </w:rPr>
        <w:tab/>
      </w:r>
      <w:r w:rsidRPr="008C21E4">
        <w:rPr>
          <w:rFonts w:ascii="Arial" w:hAnsi="Arial" w:cs="Arial"/>
          <w:sz w:val="18"/>
          <w:szCs w:val="18"/>
          <w:lang w:val="es-ES"/>
        </w:rPr>
        <w:t>En cuatro años esta cantidad se ha mantenido casi sin incremento.  </w:t>
      </w:r>
    </w:p>
    <w:p w14:paraId="1CA59A58" w14:textId="72FA9C0E" w:rsidR="006F1FDF" w:rsidRPr="008C21E4" w:rsidRDefault="006F1FDF" w:rsidP="00E44288">
      <w:pPr>
        <w:pStyle w:val="FootnoteText"/>
        <w:spacing w:after="0"/>
        <w:rPr>
          <w:lang w:val="it-IT"/>
        </w:rPr>
      </w:pPr>
    </w:p>
  </w:footnote>
  <w:footnote w:id="16">
    <w:p w14:paraId="7E357ECD" w14:textId="77777777" w:rsidR="006F1FDF" w:rsidRPr="008208EC" w:rsidRDefault="006F1FDF" w:rsidP="00E44288">
      <w:pPr>
        <w:pStyle w:val="FootnoteText"/>
        <w:spacing w:after="0"/>
        <w:rPr>
          <w:rFonts w:ascii="Arial" w:hAnsi="Arial" w:cs="Arial"/>
          <w:sz w:val="18"/>
          <w:szCs w:val="18"/>
          <w:lang w:val="es-ES"/>
        </w:rPr>
      </w:pPr>
      <w:r w:rsidRPr="008208EC">
        <w:rPr>
          <w:rStyle w:val="FootnoteReference"/>
          <w:rFonts w:ascii="Arial" w:hAnsi="Arial" w:cs="Arial"/>
          <w:sz w:val="18"/>
          <w:szCs w:val="18"/>
        </w:rPr>
        <w:footnoteRef/>
      </w:r>
      <w:r w:rsidRPr="00045449">
        <w:rPr>
          <w:rFonts w:ascii="Arial" w:hAnsi="Arial" w:cs="Arial"/>
          <w:sz w:val="18"/>
          <w:szCs w:val="18"/>
          <w:lang w:val="es-ES"/>
        </w:rPr>
        <w:t xml:space="preserve"> </w:t>
      </w:r>
      <w:r w:rsidRPr="00045449">
        <w:rPr>
          <w:rFonts w:ascii="Arial" w:hAnsi="Arial" w:cs="Arial"/>
          <w:sz w:val="18"/>
          <w:szCs w:val="18"/>
          <w:lang w:val="es-ES"/>
        </w:rPr>
        <w:tab/>
      </w:r>
      <w:r w:rsidRPr="008208EC">
        <w:rPr>
          <w:rFonts w:ascii="Arial" w:hAnsi="Arial" w:cs="Arial"/>
          <w:sz w:val="18"/>
          <w:szCs w:val="18"/>
          <w:lang w:val="es-ES"/>
        </w:rPr>
        <w:t>La capacidad de almacenamiento en 2016 fue de 3,8 millones de unidades anuales y se espera duplicarla. Esto deberá mejorar la eficiencia en el manejo de los insumos y sus correspondientes costos.</w:t>
      </w:r>
    </w:p>
  </w:footnote>
  <w:footnote w:id="17">
    <w:p w14:paraId="654E6EF0" w14:textId="77777777" w:rsidR="006F1FDF" w:rsidRPr="008208EC" w:rsidRDefault="006F1FDF" w:rsidP="00E44288">
      <w:pPr>
        <w:pStyle w:val="FootnoteText"/>
        <w:spacing w:after="0"/>
        <w:rPr>
          <w:rFonts w:ascii="Arial" w:hAnsi="Arial" w:cs="Arial"/>
          <w:sz w:val="18"/>
          <w:szCs w:val="18"/>
          <w:lang w:val="es-ES"/>
        </w:rPr>
      </w:pPr>
      <w:r w:rsidRPr="008208EC">
        <w:rPr>
          <w:rStyle w:val="FootnoteReference"/>
          <w:rFonts w:ascii="Arial" w:hAnsi="Arial" w:cs="Arial"/>
          <w:sz w:val="18"/>
          <w:szCs w:val="18"/>
        </w:rPr>
        <w:footnoteRef/>
      </w:r>
      <w:r w:rsidRPr="00045449">
        <w:rPr>
          <w:rFonts w:ascii="Arial" w:hAnsi="Arial" w:cs="Arial"/>
          <w:sz w:val="18"/>
          <w:szCs w:val="18"/>
          <w:lang w:val="es-ES"/>
        </w:rPr>
        <w:t xml:space="preserve"> </w:t>
      </w:r>
      <w:r w:rsidRPr="00045449">
        <w:rPr>
          <w:rFonts w:ascii="Arial" w:hAnsi="Arial" w:cs="Arial"/>
          <w:sz w:val="18"/>
          <w:szCs w:val="18"/>
          <w:lang w:val="es-ES"/>
        </w:rPr>
        <w:tab/>
      </w:r>
      <w:r w:rsidRPr="008208EC">
        <w:rPr>
          <w:rFonts w:ascii="Arial" w:hAnsi="Arial" w:cs="Arial"/>
          <w:sz w:val="18"/>
          <w:szCs w:val="18"/>
          <w:lang w:val="es-ES"/>
        </w:rPr>
        <w:t>La selección de UPA y unidades especializadas fue realizada con base en los criterios de brechas de la oferta de determinados servicios, cobertura poblacional, y grado de necesidad de mejoramiento de infraestructura y equipamiento.</w:t>
      </w:r>
    </w:p>
  </w:footnote>
  <w:footnote w:id="18">
    <w:p w14:paraId="117AC92D" w14:textId="5B941B81" w:rsidR="006F1FDF" w:rsidRPr="00FB524D" w:rsidRDefault="006F1FDF" w:rsidP="00E44288">
      <w:pPr>
        <w:pStyle w:val="FootnoteText"/>
        <w:spacing w:after="0"/>
        <w:rPr>
          <w:rFonts w:ascii="Arial" w:hAnsi="Arial" w:cs="Arial"/>
          <w:sz w:val="18"/>
          <w:szCs w:val="18"/>
          <w:lang w:val="es-ES"/>
        </w:rPr>
      </w:pPr>
      <w:r w:rsidRPr="00FB524D">
        <w:rPr>
          <w:rStyle w:val="FootnoteReference"/>
          <w:rFonts w:ascii="Arial" w:hAnsi="Arial" w:cs="Arial"/>
          <w:sz w:val="18"/>
          <w:szCs w:val="18"/>
          <w:lang w:val="es-ES"/>
        </w:rPr>
        <w:footnoteRef/>
      </w:r>
      <w:r w:rsidRPr="00FB524D">
        <w:rPr>
          <w:rFonts w:ascii="Arial" w:hAnsi="Arial" w:cs="Arial"/>
          <w:sz w:val="18"/>
          <w:szCs w:val="18"/>
          <w:lang w:val="es-ES"/>
        </w:rPr>
        <w:t xml:space="preserve"> </w:t>
      </w:r>
      <w:r w:rsidRPr="00FB524D">
        <w:rPr>
          <w:rFonts w:ascii="Arial" w:hAnsi="Arial" w:cs="Arial"/>
          <w:sz w:val="18"/>
          <w:szCs w:val="18"/>
          <w:lang w:val="es-ES"/>
        </w:rPr>
        <w:tab/>
        <w:t xml:space="preserve">En la página de WHO-Choice se definen regiones de acuerdo a perfil epidemiológico y de salud, y Brasil es parte de la región América B. No existen valores individuales para Brasil. Ver </w:t>
      </w:r>
      <w:hyperlink r:id="rId1" w:history="1">
        <w:r w:rsidRPr="00FB524D">
          <w:rPr>
            <w:rStyle w:val="Hyperlink"/>
            <w:rFonts w:ascii="Arial" w:hAnsi="Arial" w:cs="Arial"/>
            <w:sz w:val="18"/>
            <w:szCs w:val="18"/>
            <w:lang w:val="es-ES"/>
          </w:rPr>
          <w:t>http://www.who.int/choice/demography/american_region/en/</w:t>
        </w:r>
      </w:hyperlink>
    </w:p>
  </w:footnote>
  <w:footnote w:id="19">
    <w:p w14:paraId="5164FE9F" w14:textId="17773488" w:rsidR="006F1FDF" w:rsidRPr="00FB524D" w:rsidRDefault="006F1FDF" w:rsidP="00E44288">
      <w:pPr>
        <w:pStyle w:val="FootnoteText"/>
        <w:spacing w:after="0"/>
        <w:rPr>
          <w:rFonts w:ascii="Arial" w:hAnsi="Arial" w:cs="Arial"/>
          <w:sz w:val="18"/>
          <w:szCs w:val="18"/>
          <w:lang w:val="es-ES"/>
        </w:rPr>
      </w:pPr>
      <w:r w:rsidRPr="00FB524D">
        <w:rPr>
          <w:rStyle w:val="FootnoteReference"/>
          <w:rFonts w:ascii="Arial" w:hAnsi="Arial" w:cs="Arial"/>
          <w:sz w:val="18"/>
          <w:szCs w:val="18"/>
          <w:lang w:val="es-ES"/>
        </w:rPr>
        <w:footnoteRef/>
      </w:r>
      <w:r w:rsidRPr="00FB524D">
        <w:rPr>
          <w:rFonts w:ascii="Arial" w:hAnsi="Arial" w:cs="Arial"/>
          <w:sz w:val="18"/>
          <w:szCs w:val="18"/>
          <w:lang w:val="es-ES"/>
        </w:rPr>
        <w:t xml:space="preserve"> </w:t>
      </w:r>
      <w:r w:rsidRPr="00FB524D">
        <w:rPr>
          <w:rFonts w:ascii="Arial" w:hAnsi="Arial" w:cs="Arial"/>
          <w:sz w:val="18"/>
          <w:szCs w:val="18"/>
          <w:lang w:val="es-ES"/>
        </w:rPr>
        <w:tab/>
        <w:t xml:space="preserve">En el análisis </w:t>
      </w:r>
      <w:r>
        <w:rPr>
          <w:rFonts w:ascii="Arial" w:hAnsi="Arial" w:cs="Arial"/>
          <w:sz w:val="18"/>
          <w:szCs w:val="18"/>
          <w:lang w:val="es-ES"/>
        </w:rPr>
        <w:t xml:space="preserve">económico se consideran </w:t>
      </w:r>
      <w:r w:rsidRPr="00FB524D">
        <w:rPr>
          <w:rFonts w:ascii="Arial" w:hAnsi="Arial" w:cs="Arial"/>
          <w:sz w:val="18"/>
          <w:szCs w:val="18"/>
          <w:lang w:val="es-ES"/>
        </w:rPr>
        <w:t xml:space="preserve">escenarios con tasas de 2%, </w:t>
      </w:r>
      <w:r>
        <w:rPr>
          <w:rFonts w:ascii="Arial" w:hAnsi="Arial" w:cs="Arial"/>
          <w:sz w:val="18"/>
          <w:szCs w:val="18"/>
          <w:lang w:val="es-ES"/>
        </w:rPr>
        <w:t xml:space="preserve">3%, </w:t>
      </w:r>
      <w:r w:rsidRPr="00FB524D">
        <w:rPr>
          <w:rFonts w:ascii="Arial" w:hAnsi="Arial" w:cs="Arial"/>
          <w:sz w:val="18"/>
          <w:szCs w:val="18"/>
          <w:lang w:val="es-ES"/>
        </w:rPr>
        <w:t>6% y 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8A15C" w14:textId="08AC055C" w:rsidR="006F1FDF" w:rsidRPr="003F173C" w:rsidRDefault="006F1FDF" w:rsidP="0085279F">
    <w:pPr>
      <w:tabs>
        <w:tab w:val="center" w:pos="4680"/>
        <w:tab w:val="right" w:pos="9360"/>
      </w:tabs>
      <w:jc w:val="right"/>
      <w:rPr>
        <w:rFonts w:ascii="Arial" w:hAnsi="Arial" w:cs="Arial"/>
        <w:sz w:val="18"/>
        <w:szCs w:val="18"/>
        <w:lang w:val="es-ES"/>
      </w:rPr>
    </w:pPr>
    <w:r w:rsidRPr="003F173C">
      <w:rPr>
        <w:rFonts w:ascii="Arial" w:hAnsi="Arial" w:cs="Arial"/>
        <w:sz w:val="18"/>
        <w:szCs w:val="18"/>
        <w:lang w:val="es-ES"/>
      </w:rPr>
      <w:t>E</w:t>
    </w:r>
    <w:r>
      <w:rPr>
        <w:rFonts w:ascii="Arial" w:hAnsi="Arial" w:cs="Arial"/>
        <w:sz w:val="18"/>
        <w:szCs w:val="18"/>
        <w:lang w:val="es-ES"/>
      </w:rPr>
      <w:t>EO #1-BR-L151</w:t>
    </w:r>
    <w:r w:rsidRPr="003F173C">
      <w:rPr>
        <w:rFonts w:ascii="Arial" w:hAnsi="Arial" w:cs="Arial"/>
        <w:sz w:val="18"/>
        <w:szCs w:val="18"/>
        <w:lang w:val="es-ES"/>
      </w:rPr>
      <w:t>9</w:t>
    </w:r>
  </w:p>
  <w:p w14:paraId="40CB1868" w14:textId="013F4733" w:rsidR="006F1FDF" w:rsidRPr="00986C2E" w:rsidRDefault="006F1FDF" w:rsidP="00986C2E">
    <w:pPr>
      <w:tabs>
        <w:tab w:val="center" w:pos="4680"/>
        <w:tab w:val="right" w:pos="9360"/>
      </w:tabs>
      <w:jc w:val="right"/>
      <w:rPr>
        <w:rFonts w:ascii="Arial" w:hAnsi="Arial" w:cs="Arial"/>
        <w:lang w:val="es-ES"/>
      </w:rPr>
    </w:pPr>
    <w:r w:rsidRPr="003F173C">
      <w:rPr>
        <w:rFonts w:ascii="Arial" w:hAnsi="Arial" w:cs="Arial"/>
        <w:sz w:val="18"/>
        <w:szCs w:val="18"/>
        <w:lang w:val="es-ES"/>
      </w:rPr>
      <w:t xml:space="preserve">Página </w:t>
    </w:r>
    <w:r w:rsidRPr="003F173C">
      <w:rPr>
        <w:rFonts w:ascii="Arial" w:hAnsi="Arial" w:cs="Arial"/>
        <w:bCs/>
        <w:sz w:val="18"/>
        <w:szCs w:val="18"/>
        <w:lang w:val="es-ES"/>
      </w:rPr>
      <w:fldChar w:fldCharType="begin"/>
    </w:r>
    <w:r w:rsidRPr="003F173C">
      <w:rPr>
        <w:rFonts w:ascii="Arial" w:hAnsi="Arial" w:cs="Arial"/>
        <w:bCs/>
        <w:sz w:val="18"/>
        <w:szCs w:val="18"/>
        <w:lang w:val="es-ES"/>
      </w:rPr>
      <w:instrText xml:space="preserve"> PAGE </w:instrText>
    </w:r>
    <w:r w:rsidRPr="003F173C">
      <w:rPr>
        <w:rFonts w:ascii="Arial" w:hAnsi="Arial" w:cs="Arial"/>
        <w:bCs/>
        <w:sz w:val="18"/>
        <w:szCs w:val="18"/>
        <w:lang w:val="es-ES"/>
      </w:rPr>
      <w:fldChar w:fldCharType="separate"/>
    </w:r>
    <w:r w:rsidR="005C0D0E">
      <w:rPr>
        <w:rFonts w:ascii="Arial" w:hAnsi="Arial" w:cs="Arial"/>
        <w:bCs/>
        <w:noProof/>
        <w:sz w:val="18"/>
        <w:szCs w:val="18"/>
        <w:lang w:val="es-ES"/>
      </w:rPr>
      <w:t>24</w:t>
    </w:r>
    <w:r w:rsidRPr="003F173C">
      <w:rPr>
        <w:rFonts w:ascii="Arial" w:hAnsi="Arial" w:cs="Arial"/>
        <w:bCs/>
        <w:sz w:val="18"/>
        <w:szCs w:val="18"/>
        <w:lang w:val="es-ES"/>
      </w:rPr>
      <w:fldChar w:fldCharType="end"/>
    </w:r>
    <w:r w:rsidRPr="003F173C">
      <w:rPr>
        <w:rFonts w:ascii="Arial" w:hAnsi="Arial" w:cs="Arial"/>
        <w:sz w:val="18"/>
        <w:szCs w:val="18"/>
        <w:lang w:val="es-ES"/>
      </w:rPr>
      <w:t xml:space="preserve"> de </w:t>
    </w:r>
    <w:r w:rsidRPr="003F173C">
      <w:rPr>
        <w:rFonts w:ascii="Arial" w:hAnsi="Arial" w:cs="Arial"/>
        <w:bCs/>
        <w:sz w:val="18"/>
        <w:szCs w:val="18"/>
        <w:lang w:val="es-ES"/>
      </w:rPr>
      <w:fldChar w:fldCharType="begin"/>
    </w:r>
    <w:r w:rsidRPr="003F173C">
      <w:rPr>
        <w:rFonts w:ascii="Arial" w:hAnsi="Arial" w:cs="Arial"/>
        <w:bCs/>
        <w:sz w:val="18"/>
        <w:szCs w:val="18"/>
        <w:lang w:val="es-ES"/>
      </w:rPr>
      <w:instrText xml:space="preserve"> NUMPAGES  </w:instrText>
    </w:r>
    <w:r w:rsidRPr="003F173C">
      <w:rPr>
        <w:rFonts w:ascii="Arial" w:hAnsi="Arial" w:cs="Arial"/>
        <w:bCs/>
        <w:sz w:val="18"/>
        <w:szCs w:val="18"/>
        <w:lang w:val="es-ES"/>
      </w:rPr>
      <w:fldChar w:fldCharType="separate"/>
    </w:r>
    <w:r w:rsidR="005C0D0E">
      <w:rPr>
        <w:rFonts w:ascii="Arial" w:hAnsi="Arial" w:cs="Arial"/>
        <w:bCs/>
        <w:noProof/>
        <w:sz w:val="18"/>
        <w:szCs w:val="18"/>
        <w:lang w:val="es-ES"/>
      </w:rPr>
      <w:t>26</w:t>
    </w:r>
    <w:r w:rsidRPr="003F173C">
      <w:rPr>
        <w:rFonts w:ascii="Arial" w:hAnsi="Arial" w:cs="Arial"/>
        <w:bCs/>
        <w:sz w:val="18"/>
        <w:szCs w:val="18"/>
        <w:lang w:val="es-E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3E637" w14:textId="4D3CD6F5" w:rsidR="006F1FDF" w:rsidRPr="00C23C79" w:rsidRDefault="006F1FDF" w:rsidP="0085279F">
    <w:pPr>
      <w:tabs>
        <w:tab w:val="center" w:pos="4680"/>
        <w:tab w:val="right" w:pos="9360"/>
      </w:tabs>
      <w:rPr>
        <w:rFonts w:ascii="Arial" w:hAnsi="Arial" w:cs="Arial"/>
        <w:sz w:val="18"/>
        <w:szCs w:val="18"/>
        <w:lang w:val="es-ES"/>
      </w:rPr>
    </w:pPr>
    <w:r w:rsidRPr="00C23C79">
      <w:rPr>
        <w:rFonts w:ascii="Arial" w:hAnsi="Arial" w:cs="Arial"/>
        <w:sz w:val="18"/>
        <w:szCs w:val="18"/>
        <w:lang w:val="es-ES"/>
      </w:rPr>
      <w:t>E</w:t>
    </w:r>
    <w:r>
      <w:rPr>
        <w:rFonts w:ascii="Arial" w:hAnsi="Arial" w:cs="Arial"/>
        <w:sz w:val="18"/>
        <w:szCs w:val="18"/>
        <w:lang w:val="es-ES"/>
      </w:rPr>
      <w:t>EO #1-BR-L151</w:t>
    </w:r>
    <w:r w:rsidRPr="00C23C79">
      <w:rPr>
        <w:rFonts w:ascii="Arial" w:hAnsi="Arial" w:cs="Arial"/>
        <w:sz w:val="18"/>
        <w:szCs w:val="18"/>
        <w:lang w:val="es-ES"/>
      </w:rPr>
      <w:t>9</w:t>
    </w:r>
  </w:p>
  <w:p w14:paraId="3EA3B914" w14:textId="77777777" w:rsidR="006F1FDF" w:rsidRPr="00C23C79" w:rsidRDefault="006F1FDF" w:rsidP="0085279F">
    <w:pPr>
      <w:tabs>
        <w:tab w:val="center" w:pos="4680"/>
        <w:tab w:val="right" w:pos="9360"/>
      </w:tabs>
      <w:rPr>
        <w:rFonts w:ascii="Arial" w:hAnsi="Arial" w:cs="Arial"/>
        <w:lang w:val="es-ES"/>
      </w:rPr>
    </w:pPr>
    <w:r w:rsidRPr="00C23C79">
      <w:rPr>
        <w:rFonts w:ascii="Arial" w:hAnsi="Arial" w:cs="Arial"/>
        <w:sz w:val="18"/>
        <w:szCs w:val="18"/>
        <w:lang w:val="es-ES"/>
      </w:rPr>
      <w:t xml:space="preserve">Página </w:t>
    </w:r>
    <w:r w:rsidRPr="00C23C79">
      <w:rPr>
        <w:rFonts w:ascii="Arial" w:hAnsi="Arial" w:cs="Arial"/>
        <w:bCs/>
        <w:sz w:val="18"/>
        <w:szCs w:val="18"/>
        <w:lang w:val="es-ES"/>
      </w:rPr>
      <w:fldChar w:fldCharType="begin"/>
    </w:r>
    <w:r w:rsidRPr="00C23C79">
      <w:rPr>
        <w:rFonts w:ascii="Arial" w:hAnsi="Arial" w:cs="Arial"/>
        <w:bCs/>
        <w:sz w:val="18"/>
        <w:szCs w:val="18"/>
        <w:lang w:val="es-ES"/>
      </w:rPr>
      <w:instrText xml:space="preserve"> PAGE </w:instrText>
    </w:r>
    <w:r w:rsidRPr="00C23C79">
      <w:rPr>
        <w:rFonts w:ascii="Arial" w:hAnsi="Arial" w:cs="Arial"/>
        <w:bCs/>
        <w:sz w:val="18"/>
        <w:szCs w:val="18"/>
        <w:lang w:val="es-ES"/>
      </w:rPr>
      <w:fldChar w:fldCharType="separate"/>
    </w:r>
    <w:r w:rsidR="005C0D0E">
      <w:rPr>
        <w:rFonts w:ascii="Arial" w:hAnsi="Arial" w:cs="Arial"/>
        <w:bCs/>
        <w:noProof/>
        <w:sz w:val="18"/>
        <w:szCs w:val="18"/>
        <w:lang w:val="es-ES"/>
      </w:rPr>
      <w:t>25</w:t>
    </w:r>
    <w:r w:rsidRPr="00C23C79">
      <w:rPr>
        <w:rFonts w:ascii="Arial" w:hAnsi="Arial" w:cs="Arial"/>
        <w:bCs/>
        <w:sz w:val="18"/>
        <w:szCs w:val="18"/>
        <w:lang w:val="es-ES"/>
      </w:rPr>
      <w:fldChar w:fldCharType="end"/>
    </w:r>
    <w:r w:rsidRPr="00C23C79">
      <w:rPr>
        <w:rFonts w:ascii="Arial" w:hAnsi="Arial" w:cs="Arial"/>
        <w:sz w:val="18"/>
        <w:szCs w:val="18"/>
        <w:lang w:val="es-ES"/>
      </w:rPr>
      <w:t xml:space="preserve"> de </w:t>
    </w:r>
    <w:r w:rsidRPr="00C23C79">
      <w:rPr>
        <w:rFonts w:ascii="Arial" w:hAnsi="Arial" w:cs="Arial"/>
        <w:bCs/>
        <w:sz w:val="18"/>
        <w:szCs w:val="18"/>
        <w:lang w:val="es-ES"/>
      </w:rPr>
      <w:fldChar w:fldCharType="begin"/>
    </w:r>
    <w:r w:rsidRPr="00C23C79">
      <w:rPr>
        <w:rFonts w:ascii="Arial" w:hAnsi="Arial" w:cs="Arial"/>
        <w:bCs/>
        <w:sz w:val="18"/>
        <w:szCs w:val="18"/>
        <w:lang w:val="es-ES"/>
      </w:rPr>
      <w:instrText xml:space="preserve"> NUMPAGES  </w:instrText>
    </w:r>
    <w:r w:rsidRPr="00C23C79">
      <w:rPr>
        <w:rFonts w:ascii="Arial" w:hAnsi="Arial" w:cs="Arial"/>
        <w:bCs/>
        <w:sz w:val="18"/>
        <w:szCs w:val="18"/>
        <w:lang w:val="es-ES"/>
      </w:rPr>
      <w:fldChar w:fldCharType="separate"/>
    </w:r>
    <w:r w:rsidR="005C0D0E">
      <w:rPr>
        <w:rFonts w:ascii="Arial" w:hAnsi="Arial" w:cs="Arial"/>
        <w:bCs/>
        <w:noProof/>
        <w:sz w:val="18"/>
        <w:szCs w:val="18"/>
        <w:lang w:val="es-ES"/>
      </w:rPr>
      <w:t>26</w:t>
    </w:r>
    <w:r w:rsidRPr="00C23C79">
      <w:rPr>
        <w:rFonts w:ascii="Arial" w:hAnsi="Arial" w:cs="Arial"/>
        <w:bCs/>
        <w:sz w:val="18"/>
        <w:szCs w:val="18"/>
        <w:lang w:val="es-ES"/>
      </w:rPr>
      <w:fldChar w:fldCharType="end"/>
    </w:r>
  </w:p>
  <w:p w14:paraId="29FFF9BA" w14:textId="77777777" w:rsidR="006F1FDF" w:rsidRPr="005867C5" w:rsidRDefault="006F1FDF">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7846A81"/>
    <w:multiLevelType w:val="multilevel"/>
    <w:tmpl w:val="33049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50E5B"/>
    <w:multiLevelType w:val="hybridMultilevel"/>
    <w:tmpl w:val="977ACCE6"/>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EC5FD8"/>
    <w:multiLevelType w:val="hybridMultilevel"/>
    <w:tmpl w:val="539E3326"/>
    <w:lvl w:ilvl="0" w:tplc="C65E7B94">
      <w:start w:val="1"/>
      <w:numFmt w:val="decimal"/>
      <w:lvlText w:val="%1."/>
      <w:lvlJc w:val="left"/>
      <w:pPr>
        <w:ind w:left="1800" w:hanging="360"/>
      </w:pPr>
      <w:rPr>
        <w:rFonts w:eastAsiaTheme="minorHAns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6423E70"/>
    <w:multiLevelType w:val="hybridMultilevel"/>
    <w:tmpl w:val="2610B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CD357B"/>
    <w:multiLevelType w:val="multilevel"/>
    <w:tmpl w:val="9D2C3E18"/>
    <w:lvl w:ilvl="0">
      <w:start w:val="1"/>
      <w:numFmt w:val="decimal"/>
      <w:pStyle w:val="Chapter"/>
      <w:lvlText w:val="%1"/>
      <w:lvlJc w:val="left"/>
      <w:pPr>
        <w:ind w:left="792" w:hanging="432"/>
      </w:pPr>
    </w:lvl>
    <w:lvl w:ilvl="1">
      <w:start w:val="1"/>
      <w:numFmt w:val="decimal"/>
      <w:lvlText w:val="%1.%2"/>
      <w:lvlJc w:val="left"/>
      <w:pPr>
        <w:ind w:left="936" w:hanging="576"/>
      </w:pPr>
    </w:lvl>
    <w:lvl w:ilvl="2">
      <w:start w:val="1"/>
      <w:numFmt w:val="decimal"/>
      <w:pStyle w:val="Heading3"/>
      <w:lvlText w:val="%1.%2.%3"/>
      <w:lvlJc w:val="left"/>
      <w:pPr>
        <w:ind w:left="1080" w:hanging="720"/>
      </w:pPr>
    </w:lvl>
    <w:lvl w:ilvl="3">
      <w:start w:val="1"/>
      <w:numFmt w:val="decimal"/>
      <w:pStyle w:val="Heading4"/>
      <w:lvlText w:val="%1.%2.%3.%4"/>
      <w:lvlJc w:val="left"/>
      <w:pPr>
        <w:ind w:left="1224" w:hanging="864"/>
      </w:pPr>
    </w:lvl>
    <w:lvl w:ilvl="4">
      <w:start w:val="1"/>
      <w:numFmt w:val="decimal"/>
      <w:pStyle w:val="Heading5"/>
      <w:lvlText w:val="%1.%2.%3.%4.%5"/>
      <w:lvlJc w:val="left"/>
      <w:pPr>
        <w:ind w:left="1368" w:hanging="1008"/>
      </w:pPr>
    </w:lvl>
    <w:lvl w:ilvl="5">
      <w:start w:val="1"/>
      <w:numFmt w:val="decimal"/>
      <w:pStyle w:val="Heading6"/>
      <w:lvlText w:val="%1.%2.%3.%4.%5.%6"/>
      <w:lvlJc w:val="left"/>
      <w:pPr>
        <w:ind w:left="1512" w:hanging="1152"/>
      </w:pPr>
    </w:lvl>
    <w:lvl w:ilvl="6">
      <w:start w:val="1"/>
      <w:numFmt w:val="decimal"/>
      <w:pStyle w:val="Heading7"/>
      <w:lvlText w:val="%1.%2.%3.%4.%5.%6.%7"/>
      <w:lvlJc w:val="left"/>
      <w:pPr>
        <w:ind w:left="1656" w:hanging="1296"/>
      </w:pPr>
    </w:lvl>
    <w:lvl w:ilvl="7">
      <w:start w:val="1"/>
      <w:numFmt w:val="decimal"/>
      <w:pStyle w:val="Heading8"/>
      <w:lvlText w:val="%1.%2.%3.%4.%5.%6.%7.%8"/>
      <w:lvlJc w:val="left"/>
      <w:pPr>
        <w:ind w:left="1800" w:hanging="1440"/>
      </w:pPr>
    </w:lvl>
    <w:lvl w:ilvl="8">
      <w:start w:val="1"/>
      <w:numFmt w:val="decimal"/>
      <w:pStyle w:val="Heading9"/>
      <w:lvlText w:val="%1.%2.%3.%4.%5.%6.%7.%8.%9"/>
      <w:lvlJc w:val="left"/>
      <w:pPr>
        <w:ind w:left="1944" w:hanging="1584"/>
      </w:pPr>
    </w:lvl>
  </w:abstractNum>
  <w:abstractNum w:abstractNumId="6" w15:restartNumberingAfterBreak="0">
    <w:nsid w:val="57FC335B"/>
    <w:multiLevelType w:val="hybridMultilevel"/>
    <w:tmpl w:val="940C3CDC"/>
    <w:lvl w:ilvl="0" w:tplc="0EF6758A">
      <w:start w:val="3"/>
      <w:numFmt w:val="upperRoman"/>
      <w:pStyle w:val="FirstHeading"/>
      <w:lvlText w:val="%1."/>
      <w:lvlJc w:val="righ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3B37CBC"/>
    <w:multiLevelType w:val="hybridMultilevel"/>
    <w:tmpl w:val="FDAEA540"/>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91B5234"/>
    <w:multiLevelType w:val="hybridMultilevel"/>
    <w:tmpl w:val="41EED558"/>
    <w:lvl w:ilvl="0" w:tplc="1ABCE23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1"/>
  </w:num>
  <w:num w:numId="5">
    <w:abstractNumId w:val="2"/>
  </w:num>
  <w:num w:numId="6">
    <w:abstractNumId w:val="4"/>
  </w:num>
  <w:num w:numId="7">
    <w:abstractNumId w:val="3"/>
  </w:num>
  <w:num w:numId="8">
    <w:abstractNumId w:val="0"/>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US" w:vendorID="64" w:dllVersion="6" w:nlCheck="1" w:checkStyle="0"/>
  <w:activeWritingStyle w:appName="MSWord" w:lang="pt-BR" w:vendorID="64" w:dllVersion="6" w:nlCheck="1" w:checkStyle="0"/>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pt-BR" w:vendorID="64" w:dllVersion="0" w:nlCheck="1" w:checkStyle="0"/>
  <w:activeWritingStyle w:appName="MSWord" w:lang="en-US" w:vendorID="64" w:dllVersion="0" w:nlCheck="1" w:checkStyle="0"/>
  <w:activeWritingStyle w:appName="MSWord" w:lang="es-419" w:vendorID="64" w:dllVersion="0" w:nlCheck="1" w:checkStyle="0"/>
  <w:activeWritingStyle w:appName="MSWord" w:lang="es-MX" w:vendorID="64" w:dllVersion="0" w:nlCheck="1" w:checkStyle="0"/>
  <w:activeWritingStyle w:appName="MSWord" w:lang="pt-PT" w:vendorID="64" w:dllVersion="6" w:nlCheck="1" w:checkStyle="0"/>
  <w:activeWritingStyle w:appName="MSWord" w:lang="it-IT" w:vendorID="64" w:dllVersion="6" w:nlCheck="1" w:checkStyle="0"/>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73A"/>
    <w:rsid w:val="00002878"/>
    <w:rsid w:val="00004084"/>
    <w:rsid w:val="00004955"/>
    <w:rsid w:val="0000599D"/>
    <w:rsid w:val="0001287B"/>
    <w:rsid w:val="00012D5B"/>
    <w:rsid w:val="00013136"/>
    <w:rsid w:val="00013DB4"/>
    <w:rsid w:val="0001452A"/>
    <w:rsid w:val="00015A49"/>
    <w:rsid w:val="00015AFD"/>
    <w:rsid w:val="0001650F"/>
    <w:rsid w:val="00016B52"/>
    <w:rsid w:val="00017AE2"/>
    <w:rsid w:val="00021A59"/>
    <w:rsid w:val="00022199"/>
    <w:rsid w:val="0002223B"/>
    <w:rsid w:val="00023BDF"/>
    <w:rsid w:val="00023C22"/>
    <w:rsid w:val="00023F9D"/>
    <w:rsid w:val="00024AE0"/>
    <w:rsid w:val="00025D20"/>
    <w:rsid w:val="00027F3F"/>
    <w:rsid w:val="00032B9D"/>
    <w:rsid w:val="00032CBC"/>
    <w:rsid w:val="00033C52"/>
    <w:rsid w:val="000341D8"/>
    <w:rsid w:val="00040B47"/>
    <w:rsid w:val="00043316"/>
    <w:rsid w:val="000434C6"/>
    <w:rsid w:val="00044786"/>
    <w:rsid w:val="00045449"/>
    <w:rsid w:val="00047E62"/>
    <w:rsid w:val="0005030D"/>
    <w:rsid w:val="000510F8"/>
    <w:rsid w:val="000514B2"/>
    <w:rsid w:val="00052B4D"/>
    <w:rsid w:val="00052C5F"/>
    <w:rsid w:val="0005439E"/>
    <w:rsid w:val="000552FA"/>
    <w:rsid w:val="00055CEA"/>
    <w:rsid w:val="00060364"/>
    <w:rsid w:val="000604AF"/>
    <w:rsid w:val="000617C0"/>
    <w:rsid w:val="00061F96"/>
    <w:rsid w:val="00062421"/>
    <w:rsid w:val="00064AF1"/>
    <w:rsid w:val="00064E15"/>
    <w:rsid w:val="00064FE0"/>
    <w:rsid w:val="00065492"/>
    <w:rsid w:val="00067258"/>
    <w:rsid w:val="00067A82"/>
    <w:rsid w:val="00071025"/>
    <w:rsid w:val="0007199C"/>
    <w:rsid w:val="00072110"/>
    <w:rsid w:val="0007336C"/>
    <w:rsid w:val="00073909"/>
    <w:rsid w:val="00073F1F"/>
    <w:rsid w:val="000747C7"/>
    <w:rsid w:val="00074D59"/>
    <w:rsid w:val="00074FFB"/>
    <w:rsid w:val="000752E3"/>
    <w:rsid w:val="00076CA3"/>
    <w:rsid w:val="00077F07"/>
    <w:rsid w:val="000801E2"/>
    <w:rsid w:val="00080206"/>
    <w:rsid w:val="00080942"/>
    <w:rsid w:val="00081FA3"/>
    <w:rsid w:val="00082150"/>
    <w:rsid w:val="00082752"/>
    <w:rsid w:val="00082792"/>
    <w:rsid w:val="00082BF8"/>
    <w:rsid w:val="0008605A"/>
    <w:rsid w:val="00087620"/>
    <w:rsid w:val="00090738"/>
    <w:rsid w:val="00091508"/>
    <w:rsid w:val="00092158"/>
    <w:rsid w:val="00094F25"/>
    <w:rsid w:val="00095510"/>
    <w:rsid w:val="0009694F"/>
    <w:rsid w:val="00096A1C"/>
    <w:rsid w:val="000979F8"/>
    <w:rsid w:val="00097FAF"/>
    <w:rsid w:val="000A0162"/>
    <w:rsid w:val="000A1E8A"/>
    <w:rsid w:val="000A2E23"/>
    <w:rsid w:val="000A39C3"/>
    <w:rsid w:val="000A4088"/>
    <w:rsid w:val="000A586A"/>
    <w:rsid w:val="000B04C6"/>
    <w:rsid w:val="000B0D47"/>
    <w:rsid w:val="000B185D"/>
    <w:rsid w:val="000B1AAA"/>
    <w:rsid w:val="000B4134"/>
    <w:rsid w:val="000B4450"/>
    <w:rsid w:val="000B5002"/>
    <w:rsid w:val="000B5EFA"/>
    <w:rsid w:val="000B756B"/>
    <w:rsid w:val="000B7AEA"/>
    <w:rsid w:val="000B7C26"/>
    <w:rsid w:val="000C0A86"/>
    <w:rsid w:val="000C0C4C"/>
    <w:rsid w:val="000C334A"/>
    <w:rsid w:val="000C4331"/>
    <w:rsid w:val="000C4E2A"/>
    <w:rsid w:val="000C50DA"/>
    <w:rsid w:val="000C5214"/>
    <w:rsid w:val="000C6144"/>
    <w:rsid w:val="000C6822"/>
    <w:rsid w:val="000C7EE2"/>
    <w:rsid w:val="000D1BF4"/>
    <w:rsid w:val="000D2A58"/>
    <w:rsid w:val="000D32A0"/>
    <w:rsid w:val="000D3544"/>
    <w:rsid w:val="000D3F77"/>
    <w:rsid w:val="000D4047"/>
    <w:rsid w:val="000D5695"/>
    <w:rsid w:val="000D5964"/>
    <w:rsid w:val="000D5DA2"/>
    <w:rsid w:val="000D6636"/>
    <w:rsid w:val="000D7D85"/>
    <w:rsid w:val="000E1523"/>
    <w:rsid w:val="000E1E96"/>
    <w:rsid w:val="000E2612"/>
    <w:rsid w:val="000E4FFF"/>
    <w:rsid w:val="000E7905"/>
    <w:rsid w:val="000F0892"/>
    <w:rsid w:val="000F0B06"/>
    <w:rsid w:val="000F0BF3"/>
    <w:rsid w:val="000F1A9A"/>
    <w:rsid w:val="000F50CB"/>
    <w:rsid w:val="000F57AB"/>
    <w:rsid w:val="000F77DB"/>
    <w:rsid w:val="000F7B09"/>
    <w:rsid w:val="001006F5"/>
    <w:rsid w:val="0010136F"/>
    <w:rsid w:val="00101868"/>
    <w:rsid w:val="001025F1"/>
    <w:rsid w:val="0010281C"/>
    <w:rsid w:val="00103108"/>
    <w:rsid w:val="001039FA"/>
    <w:rsid w:val="001047FE"/>
    <w:rsid w:val="00104D90"/>
    <w:rsid w:val="00105BE7"/>
    <w:rsid w:val="00105DB2"/>
    <w:rsid w:val="00106632"/>
    <w:rsid w:val="001102CE"/>
    <w:rsid w:val="00110C35"/>
    <w:rsid w:val="00112220"/>
    <w:rsid w:val="00112BB6"/>
    <w:rsid w:val="00112C7F"/>
    <w:rsid w:val="00112CDB"/>
    <w:rsid w:val="00112D72"/>
    <w:rsid w:val="00112D95"/>
    <w:rsid w:val="00113B13"/>
    <w:rsid w:val="001143BC"/>
    <w:rsid w:val="00114E8C"/>
    <w:rsid w:val="00115066"/>
    <w:rsid w:val="00117EDF"/>
    <w:rsid w:val="00120E16"/>
    <w:rsid w:val="0012146E"/>
    <w:rsid w:val="00121F11"/>
    <w:rsid w:val="00122C90"/>
    <w:rsid w:val="00123FB4"/>
    <w:rsid w:val="0012478C"/>
    <w:rsid w:val="00124F43"/>
    <w:rsid w:val="00125085"/>
    <w:rsid w:val="0012522D"/>
    <w:rsid w:val="001263B7"/>
    <w:rsid w:val="0013035D"/>
    <w:rsid w:val="0013052C"/>
    <w:rsid w:val="00132DDD"/>
    <w:rsid w:val="00134C50"/>
    <w:rsid w:val="00135A24"/>
    <w:rsid w:val="0013630C"/>
    <w:rsid w:val="001417A3"/>
    <w:rsid w:val="00143114"/>
    <w:rsid w:val="001433E1"/>
    <w:rsid w:val="00144E12"/>
    <w:rsid w:val="00145812"/>
    <w:rsid w:val="00146EDA"/>
    <w:rsid w:val="00147541"/>
    <w:rsid w:val="00147D89"/>
    <w:rsid w:val="00150489"/>
    <w:rsid w:val="00150DAE"/>
    <w:rsid w:val="001517FD"/>
    <w:rsid w:val="0015202C"/>
    <w:rsid w:val="001520DF"/>
    <w:rsid w:val="00152817"/>
    <w:rsid w:val="001528BB"/>
    <w:rsid w:val="00154AEA"/>
    <w:rsid w:val="00155C84"/>
    <w:rsid w:val="00156550"/>
    <w:rsid w:val="00156A0F"/>
    <w:rsid w:val="00157A57"/>
    <w:rsid w:val="00160ACA"/>
    <w:rsid w:val="001613E5"/>
    <w:rsid w:val="001615C5"/>
    <w:rsid w:val="00163912"/>
    <w:rsid w:val="00164032"/>
    <w:rsid w:val="0016489A"/>
    <w:rsid w:val="0016610C"/>
    <w:rsid w:val="00166156"/>
    <w:rsid w:val="00172048"/>
    <w:rsid w:val="00174034"/>
    <w:rsid w:val="0017442A"/>
    <w:rsid w:val="00175B06"/>
    <w:rsid w:val="00176A1A"/>
    <w:rsid w:val="001773E6"/>
    <w:rsid w:val="00180E1B"/>
    <w:rsid w:val="001827A5"/>
    <w:rsid w:val="00182F49"/>
    <w:rsid w:val="00183612"/>
    <w:rsid w:val="00184B58"/>
    <w:rsid w:val="00185D8A"/>
    <w:rsid w:val="001860F7"/>
    <w:rsid w:val="001872C6"/>
    <w:rsid w:val="001875A2"/>
    <w:rsid w:val="00187A17"/>
    <w:rsid w:val="001917AD"/>
    <w:rsid w:val="00192973"/>
    <w:rsid w:val="00193F19"/>
    <w:rsid w:val="00195B30"/>
    <w:rsid w:val="00196122"/>
    <w:rsid w:val="00196F11"/>
    <w:rsid w:val="001A03DE"/>
    <w:rsid w:val="001A0F2B"/>
    <w:rsid w:val="001A14D5"/>
    <w:rsid w:val="001A38E1"/>
    <w:rsid w:val="001A498E"/>
    <w:rsid w:val="001A64AF"/>
    <w:rsid w:val="001B19BD"/>
    <w:rsid w:val="001B29B3"/>
    <w:rsid w:val="001B329F"/>
    <w:rsid w:val="001B4F5E"/>
    <w:rsid w:val="001B59A8"/>
    <w:rsid w:val="001C13B7"/>
    <w:rsid w:val="001C1D23"/>
    <w:rsid w:val="001C29B5"/>
    <w:rsid w:val="001C33DF"/>
    <w:rsid w:val="001C4C6D"/>
    <w:rsid w:val="001C5A77"/>
    <w:rsid w:val="001C5F4D"/>
    <w:rsid w:val="001C6A0D"/>
    <w:rsid w:val="001D0D21"/>
    <w:rsid w:val="001D24C2"/>
    <w:rsid w:val="001D259D"/>
    <w:rsid w:val="001D3A8A"/>
    <w:rsid w:val="001D3E27"/>
    <w:rsid w:val="001D69B2"/>
    <w:rsid w:val="001D6EF3"/>
    <w:rsid w:val="001E079D"/>
    <w:rsid w:val="001E0B3E"/>
    <w:rsid w:val="001E0BA3"/>
    <w:rsid w:val="001E141D"/>
    <w:rsid w:val="001E1549"/>
    <w:rsid w:val="001E32A9"/>
    <w:rsid w:val="001E388F"/>
    <w:rsid w:val="001E3EF5"/>
    <w:rsid w:val="001E41F1"/>
    <w:rsid w:val="001E57DE"/>
    <w:rsid w:val="001E6996"/>
    <w:rsid w:val="001F0EB0"/>
    <w:rsid w:val="001F1F36"/>
    <w:rsid w:val="001F225B"/>
    <w:rsid w:val="001F3D07"/>
    <w:rsid w:val="001F4011"/>
    <w:rsid w:val="001F4601"/>
    <w:rsid w:val="001F5709"/>
    <w:rsid w:val="001F6C62"/>
    <w:rsid w:val="001F7EDD"/>
    <w:rsid w:val="002023B1"/>
    <w:rsid w:val="00204D48"/>
    <w:rsid w:val="00205B46"/>
    <w:rsid w:val="00206155"/>
    <w:rsid w:val="002061E5"/>
    <w:rsid w:val="0020662B"/>
    <w:rsid w:val="00206E88"/>
    <w:rsid w:val="002079F9"/>
    <w:rsid w:val="00207DFC"/>
    <w:rsid w:val="00210037"/>
    <w:rsid w:val="00210577"/>
    <w:rsid w:val="00210F9D"/>
    <w:rsid w:val="00211047"/>
    <w:rsid w:val="002110BB"/>
    <w:rsid w:val="00211DD7"/>
    <w:rsid w:val="00212114"/>
    <w:rsid w:val="00212248"/>
    <w:rsid w:val="002126E1"/>
    <w:rsid w:val="00212FF9"/>
    <w:rsid w:val="00213045"/>
    <w:rsid w:val="00213E17"/>
    <w:rsid w:val="00216A0C"/>
    <w:rsid w:val="00217A24"/>
    <w:rsid w:val="00217E6C"/>
    <w:rsid w:val="00220ABD"/>
    <w:rsid w:val="00220F06"/>
    <w:rsid w:val="0022134A"/>
    <w:rsid w:val="00222FE3"/>
    <w:rsid w:val="002230DE"/>
    <w:rsid w:val="00224008"/>
    <w:rsid w:val="00225595"/>
    <w:rsid w:val="00226885"/>
    <w:rsid w:val="00227714"/>
    <w:rsid w:val="00227AD6"/>
    <w:rsid w:val="00230259"/>
    <w:rsid w:val="0023039F"/>
    <w:rsid w:val="00230803"/>
    <w:rsid w:val="00230C44"/>
    <w:rsid w:val="00231AEB"/>
    <w:rsid w:val="0023202F"/>
    <w:rsid w:val="00233A90"/>
    <w:rsid w:val="002356B7"/>
    <w:rsid w:val="00235A6F"/>
    <w:rsid w:val="002369A3"/>
    <w:rsid w:val="00236E76"/>
    <w:rsid w:val="00241C50"/>
    <w:rsid w:val="00241F1D"/>
    <w:rsid w:val="00242569"/>
    <w:rsid w:val="00242BD2"/>
    <w:rsid w:val="00243AEB"/>
    <w:rsid w:val="00247A82"/>
    <w:rsid w:val="00247BDD"/>
    <w:rsid w:val="00247E67"/>
    <w:rsid w:val="00251135"/>
    <w:rsid w:val="00252296"/>
    <w:rsid w:val="002544D8"/>
    <w:rsid w:val="00255476"/>
    <w:rsid w:val="00255C3E"/>
    <w:rsid w:val="00256486"/>
    <w:rsid w:val="00257C99"/>
    <w:rsid w:val="002637C7"/>
    <w:rsid w:val="002638B0"/>
    <w:rsid w:val="00263ACD"/>
    <w:rsid w:val="002645E5"/>
    <w:rsid w:val="002707EA"/>
    <w:rsid w:val="00271979"/>
    <w:rsid w:val="00272889"/>
    <w:rsid w:val="00272F08"/>
    <w:rsid w:val="0027324D"/>
    <w:rsid w:val="00273AEF"/>
    <w:rsid w:val="00274305"/>
    <w:rsid w:val="00280DAE"/>
    <w:rsid w:val="0028258E"/>
    <w:rsid w:val="002833BC"/>
    <w:rsid w:val="00283471"/>
    <w:rsid w:val="00283D68"/>
    <w:rsid w:val="0028469E"/>
    <w:rsid w:val="002854D9"/>
    <w:rsid w:val="00285DE0"/>
    <w:rsid w:val="00286022"/>
    <w:rsid w:val="002867CB"/>
    <w:rsid w:val="00290681"/>
    <w:rsid w:val="002932A3"/>
    <w:rsid w:val="00293F7D"/>
    <w:rsid w:val="00294242"/>
    <w:rsid w:val="0029666A"/>
    <w:rsid w:val="00297E57"/>
    <w:rsid w:val="002A0C0B"/>
    <w:rsid w:val="002A0D18"/>
    <w:rsid w:val="002A19CB"/>
    <w:rsid w:val="002A3D8F"/>
    <w:rsid w:val="002A67A0"/>
    <w:rsid w:val="002A68EC"/>
    <w:rsid w:val="002A6A5A"/>
    <w:rsid w:val="002A7CC7"/>
    <w:rsid w:val="002B0DC8"/>
    <w:rsid w:val="002B1920"/>
    <w:rsid w:val="002B1B9F"/>
    <w:rsid w:val="002B1C3A"/>
    <w:rsid w:val="002B2C88"/>
    <w:rsid w:val="002B329E"/>
    <w:rsid w:val="002B34F5"/>
    <w:rsid w:val="002B4406"/>
    <w:rsid w:val="002B4DC1"/>
    <w:rsid w:val="002B5444"/>
    <w:rsid w:val="002B639C"/>
    <w:rsid w:val="002C0A34"/>
    <w:rsid w:val="002C1B81"/>
    <w:rsid w:val="002C1D6A"/>
    <w:rsid w:val="002C4941"/>
    <w:rsid w:val="002C6C41"/>
    <w:rsid w:val="002C7513"/>
    <w:rsid w:val="002C7737"/>
    <w:rsid w:val="002D09CA"/>
    <w:rsid w:val="002D0EDC"/>
    <w:rsid w:val="002D13AD"/>
    <w:rsid w:val="002D4A7E"/>
    <w:rsid w:val="002D682B"/>
    <w:rsid w:val="002E195F"/>
    <w:rsid w:val="002E1A06"/>
    <w:rsid w:val="002E20A7"/>
    <w:rsid w:val="002E2768"/>
    <w:rsid w:val="002E3843"/>
    <w:rsid w:val="002E6A25"/>
    <w:rsid w:val="002F04AD"/>
    <w:rsid w:val="002F09B1"/>
    <w:rsid w:val="002F18E8"/>
    <w:rsid w:val="002F3050"/>
    <w:rsid w:val="002F5205"/>
    <w:rsid w:val="002F5DFF"/>
    <w:rsid w:val="002F5E0E"/>
    <w:rsid w:val="002F6236"/>
    <w:rsid w:val="002F645C"/>
    <w:rsid w:val="002F7D31"/>
    <w:rsid w:val="00300506"/>
    <w:rsid w:val="003011A5"/>
    <w:rsid w:val="00302C75"/>
    <w:rsid w:val="00304542"/>
    <w:rsid w:val="003046EC"/>
    <w:rsid w:val="0031029F"/>
    <w:rsid w:val="003108ED"/>
    <w:rsid w:val="00310C63"/>
    <w:rsid w:val="00311359"/>
    <w:rsid w:val="003115D3"/>
    <w:rsid w:val="0031237D"/>
    <w:rsid w:val="00313575"/>
    <w:rsid w:val="0031488C"/>
    <w:rsid w:val="00314A92"/>
    <w:rsid w:val="00317989"/>
    <w:rsid w:val="00320429"/>
    <w:rsid w:val="00320CD5"/>
    <w:rsid w:val="00320E2D"/>
    <w:rsid w:val="003216BF"/>
    <w:rsid w:val="00322384"/>
    <w:rsid w:val="003239A5"/>
    <w:rsid w:val="00324C9C"/>
    <w:rsid w:val="00324D3F"/>
    <w:rsid w:val="00326700"/>
    <w:rsid w:val="003277C6"/>
    <w:rsid w:val="003311D2"/>
    <w:rsid w:val="00332E49"/>
    <w:rsid w:val="00333674"/>
    <w:rsid w:val="00333B54"/>
    <w:rsid w:val="003343A8"/>
    <w:rsid w:val="00334E1D"/>
    <w:rsid w:val="0033584B"/>
    <w:rsid w:val="00336DBA"/>
    <w:rsid w:val="00337974"/>
    <w:rsid w:val="00344C86"/>
    <w:rsid w:val="0034537D"/>
    <w:rsid w:val="00345E67"/>
    <w:rsid w:val="00346ADB"/>
    <w:rsid w:val="00346F65"/>
    <w:rsid w:val="00351E02"/>
    <w:rsid w:val="00352AD6"/>
    <w:rsid w:val="00352EAB"/>
    <w:rsid w:val="00353BD9"/>
    <w:rsid w:val="00353D73"/>
    <w:rsid w:val="00354F8E"/>
    <w:rsid w:val="00355399"/>
    <w:rsid w:val="0035539C"/>
    <w:rsid w:val="00355D57"/>
    <w:rsid w:val="0035692A"/>
    <w:rsid w:val="00356A6F"/>
    <w:rsid w:val="00360348"/>
    <w:rsid w:val="003613F1"/>
    <w:rsid w:val="00361A79"/>
    <w:rsid w:val="00362413"/>
    <w:rsid w:val="00363146"/>
    <w:rsid w:val="00363CDC"/>
    <w:rsid w:val="0036549C"/>
    <w:rsid w:val="00367757"/>
    <w:rsid w:val="00370C0A"/>
    <w:rsid w:val="003721C3"/>
    <w:rsid w:val="00372324"/>
    <w:rsid w:val="00372DCE"/>
    <w:rsid w:val="00372F68"/>
    <w:rsid w:val="00373CF5"/>
    <w:rsid w:val="003748F1"/>
    <w:rsid w:val="00374E20"/>
    <w:rsid w:val="0037539F"/>
    <w:rsid w:val="00375C16"/>
    <w:rsid w:val="00375D15"/>
    <w:rsid w:val="00376551"/>
    <w:rsid w:val="00377031"/>
    <w:rsid w:val="0037748D"/>
    <w:rsid w:val="00382FE2"/>
    <w:rsid w:val="00383CC8"/>
    <w:rsid w:val="003843FE"/>
    <w:rsid w:val="00387162"/>
    <w:rsid w:val="00387C2D"/>
    <w:rsid w:val="0039053E"/>
    <w:rsid w:val="003915D4"/>
    <w:rsid w:val="00391E2A"/>
    <w:rsid w:val="003926B3"/>
    <w:rsid w:val="00392CEF"/>
    <w:rsid w:val="00394BDB"/>
    <w:rsid w:val="00395E0C"/>
    <w:rsid w:val="00396335"/>
    <w:rsid w:val="0039667A"/>
    <w:rsid w:val="003A0546"/>
    <w:rsid w:val="003A163D"/>
    <w:rsid w:val="003A24D2"/>
    <w:rsid w:val="003A39B0"/>
    <w:rsid w:val="003A3AF0"/>
    <w:rsid w:val="003A472F"/>
    <w:rsid w:val="003A553B"/>
    <w:rsid w:val="003A5A63"/>
    <w:rsid w:val="003A5CD6"/>
    <w:rsid w:val="003A606A"/>
    <w:rsid w:val="003A652C"/>
    <w:rsid w:val="003A797E"/>
    <w:rsid w:val="003B122D"/>
    <w:rsid w:val="003B3575"/>
    <w:rsid w:val="003B3C71"/>
    <w:rsid w:val="003B5589"/>
    <w:rsid w:val="003B7893"/>
    <w:rsid w:val="003C0AC1"/>
    <w:rsid w:val="003C4814"/>
    <w:rsid w:val="003C61E7"/>
    <w:rsid w:val="003C70F6"/>
    <w:rsid w:val="003D4D08"/>
    <w:rsid w:val="003D4FA3"/>
    <w:rsid w:val="003D5EAC"/>
    <w:rsid w:val="003D6CBB"/>
    <w:rsid w:val="003D78FD"/>
    <w:rsid w:val="003E0A47"/>
    <w:rsid w:val="003E24FE"/>
    <w:rsid w:val="003E2EBE"/>
    <w:rsid w:val="003E313F"/>
    <w:rsid w:val="003E4588"/>
    <w:rsid w:val="003E7559"/>
    <w:rsid w:val="003F101A"/>
    <w:rsid w:val="003F173C"/>
    <w:rsid w:val="003F1F67"/>
    <w:rsid w:val="003F2208"/>
    <w:rsid w:val="003F309D"/>
    <w:rsid w:val="003F4284"/>
    <w:rsid w:val="003F42D5"/>
    <w:rsid w:val="003F4344"/>
    <w:rsid w:val="003F46C3"/>
    <w:rsid w:val="003F4AC6"/>
    <w:rsid w:val="003F5306"/>
    <w:rsid w:val="003F68E1"/>
    <w:rsid w:val="003F6C93"/>
    <w:rsid w:val="003F6D30"/>
    <w:rsid w:val="004023A1"/>
    <w:rsid w:val="00404B23"/>
    <w:rsid w:val="004050D3"/>
    <w:rsid w:val="00406A59"/>
    <w:rsid w:val="00407DC6"/>
    <w:rsid w:val="004102BD"/>
    <w:rsid w:val="00411B19"/>
    <w:rsid w:val="00411BB6"/>
    <w:rsid w:val="00412926"/>
    <w:rsid w:val="00412CF8"/>
    <w:rsid w:val="00413005"/>
    <w:rsid w:val="0041368D"/>
    <w:rsid w:val="004142DC"/>
    <w:rsid w:val="00416743"/>
    <w:rsid w:val="0041711E"/>
    <w:rsid w:val="004174BF"/>
    <w:rsid w:val="00420EA0"/>
    <w:rsid w:val="00421791"/>
    <w:rsid w:val="004218C6"/>
    <w:rsid w:val="004252B5"/>
    <w:rsid w:val="004254B4"/>
    <w:rsid w:val="004262CA"/>
    <w:rsid w:val="004263CC"/>
    <w:rsid w:val="004268B3"/>
    <w:rsid w:val="00426C68"/>
    <w:rsid w:val="0043034A"/>
    <w:rsid w:val="00433517"/>
    <w:rsid w:val="00433B42"/>
    <w:rsid w:val="00434592"/>
    <w:rsid w:val="004350D0"/>
    <w:rsid w:val="0043621C"/>
    <w:rsid w:val="0043790F"/>
    <w:rsid w:val="004417DA"/>
    <w:rsid w:val="00442106"/>
    <w:rsid w:val="00444031"/>
    <w:rsid w:val="004449CD"/>
    <w:rsid w:val="0044751B"/>
    <w:rsid w:val="00447D90"/>
    <w:rsid w:val="00451890"/>
    <w:rsid w:val="00455583"/>
    <w:rsid w:val="0045731B"/>
    <w:rsid w:val="00460109"/>
    <w:rsid w:val="0046041E"/>
    <w:rsid w:val="0046066A"/>
    <w:rsid w:val="004609C0"/>
    <w:rsid w:val="004609DD"/>
    <w:rsid w:val="00461A70"/>
    <w:rsid w:val="00461FD7"/>
    <w:rsid w:val="00462822"/>
    <w:rsid w:val="0046348C"/>
    <w:rsid w:val="00463755"/>
    <w:rsid w:val="00463EAF"/>
    <w:rsid w:val="00464690"/>
    <w:rsid w:val="004653C3"/>
    <w:rsid w:val="004663BA"/>
    <w:rsid w:val="00466FE8"/>
    <w:rsid w:val="004674DD"/>
    <w:rsid w:val="00467C36"/>
    <w:rsid w:val="0047142F"/>
    <w:rsid w:val="00471A8F"/>
    <w:rsid w:val="00472B16"/>
    <w:rsid w:val="00473DF0"/>
    <w:rsid w:val="00475166"/>
    <w:rsid w:val="00477522"/>
    <w:rsid w:val="00477960"/>
    <w:rsid w:val="00477FBF"/>
    <w:rsid w:val="00480FD7"/>
    <w:rsid w:val="004817AC"/>
    <w:rsid w:val="00481A9A"/>
    <w:rsid w:val="00484B73"/>
    <w:rsid w:val="0048546F"/>
    <w:rsid w:val="0048658B"/>
    <w:rsid w:val="004877F5"/>
    <w:rsid w:val="004901CE"/>
    <w:rsid w:val="004907DE"/>
    <w:rsid w:val="00490D39"/>
    <w:rsid w:val="00490F2C"/>
    <w:rsid w:val="004921FF"/>
    <w:rsid w:val="00492945"/>
    <w:rsid w:val="00492D9F"/>
    <w:rsid w:val="004934CA"/>
    <w:rsid w:val="00494659"/>
    <w:rsid w:val="00494AC5"/>
    <w:rsid w:val="00494AF6"/>
    <w:rsid w:val="004963FD"/>
    <w:rsid w:val="004A271E"/>
    <w:rsid w:val="004A4053"/>
    <w:rsid w:val="004A4937"/>
    <w:rsid w:val="004A5255"/>
    <w:rsid w:val="004A552C"/>
    <w:rsid w:val="004A59CA"/>
    <w:rsid w:val="004A66D9"/>
    <w:rsid w:val="004A6898"/>
    <w:rsid w:val="004A6B46"/>
    <w:rsid w:val="004B0BCD"/>
    <w:rsid w:val="004B1B82"/>
    <w:rsid w:val="004B2772"/>
    <w:rsid w:val="004B42EE"/>
    <w:rsid w:val="004B6534"/>
    <w:rsid w:val="004B6D25"/>
    <w:rsid w:val="004C1405"/>
    <w:rsid w:val="004C3730"/>
    <w:rsid w:val="004C3CAF"/>
    <w:rsid w:val="004C472F"/>
    <w:rsid w:val="004C5824"/>
    <w:rsid w:val="004C5A71"/>
    <w:rsid w:val="004C62E5"/>
    <w:rsid w:val="004C7AE7"/>
    <w:rsid w:val="004D1576"/>
    <w:rsid w:val="004D327F"/>
    <w:rsid w:val="004D76DB"/>
    <w:rsid w:val="004D780B"/>
    <w:rsid w:val="004D7B94"/>
    <w:rsid w:val="004E1156"/>
    <w:rsid w:val="004E1C90"/>
    <w:rsid w:val="004E2392"/>
    <w:rsid w:val="004E272B"/>
    <w:rsid w:val="004E2CE4"/>
    <w:rsid w:val="004E3CA9"/>
    <w:rsid w:val="004E5AE0"/>
    <w:rsid w:val="004E62C3"/>
    <w:rsid w:val="004F01FF"/>
    <w:rsid w:val="004F05CB"/>
    <w:rsid w:val="004F0747"/>
    <w:rsid w:val="004F0ABC"/>
    <w:rsid w:val="004F0EBE"/>
    <w:rsid w:val="004F1D40"/>
    <w:rsid w:val="004F242C"/>
    <w:rsid w:val="004F27D7"/>
    <w:rsid w:val="004F3CE7"/>
    <w:rsid w:val="004F3E3E"/>
    <w:rsid w:val="004F4151"/>
    <w:rsid w:val="004F537E"/>
    <w:rsid w:val="004F6D1E"/>
    <w:rsid w:val="004F7BA1"/>
    <w:rsid w:val="005005F9"/>
    <w:rsid w:val="0050227A"/>
    <w:rsid w:val="00503130"/>
    <w:rsid w:val="00506968"/>
    <w:rsid w:val="00506FF0"/>
    <w:rsid w:val="00510000"/>
    <w:rsid w:val="00512105"/>
    <w:rsid w:val="00513EFF"/>
    <w:rsid w:val="00514ED5"/>
    <w:rsid w:val="00516CA1"/>
    <w:rsid w:val="00517D69"/>
    <w:rsid w:val="00520132"/>
    <w:rsid w:val="00522A67"/>
    <w:rsid w:val="00522ED6"/>
    <w:rsid w:val="00524F9B"/>
    <w:rsid w:val="00525373"/>
    <w:rsid w:val="0052631D"/>
    <w:rsid w:val="005273FD"/>
    <w:rsid w:val="0052774A"/>
    <w:rsid w:val="00530838"/>
    <w:rsid w:val="00531F9F"/>
    <w:rsid w:val="005322D4"/>
    <w:rsid w:val="00533BC2"/>
    <w:rsid w:val="00535F74"/>
    <w:rsid w:val="00535FBF"/>
    <w:rsid w:val="00535FF9"/>
    <w:rsid w:val="00536195"/>
    <w:rsid w:val="00541479"/>
    <w:rsid w:val="0054535D"/>
    <w:rsid w:val="005457A6"/>
    <w:rsid w:val="00545C03"/>
    <w:rsid w:val="0054617D"/>
    <w:rsid w:val="005470EE"/>
    <w:rsid w:val="00547A75"/>
    <w:rsid w:val="0055093D"/>
    <w:rsid w:val="00550A78"/>
    <w:rsid w:val="00551296"/>
    <w:rsid w:val="0055328C"/>
    <w:rsid w:val="005535BC"/>
    <w:rsid w:val="005565E2"/>
    <w:rsid w:val="005569E5"/>
    <w:rsid w:val="005576B9"/>
    <w:rsid w:val="005604AF"/>
    <w:rsid w:val="00563F35"/>
    <w:rsid w:val="00564521"/>
    <w:rsid w:val="0056518D"/>
    <w:rsid w:val="00567A83"/>
    <w:rsid w:val="00567F63"/>
    <w:rsid w:val="00572DBD"/>
    <w:rsid w:val="00572F08"/>
    <w:rsid w:val="0057378F"/>
    <w:rsid w:val="00573D36"/>
    <w:rsid w:val="0057512A"/>
    <w:rsid w:val="00580DEE"/>
    <w:rsid w:val="00582B00"/>
    <w:rsid w:val="00583A5C"/>
    <w:rsid w:val="00584DF5"/>
    <w:rsid w:val="00584F88"/>
    <w:rsid w:val="00586729"/>
    <w:rsid w:val="005867C5"/>
    <w:rsid w:val="005874F8"/>
    <w:rsid w:val="00590F3F"/>
    <w:rsid w:val="005912A8"/>
    <w:rsid w:val="005913D1"/>
    <w:rsid w:val="00591670"/>
    <w:rsid w:val="0059186D"/>
    <w:rsid w:val="0059193B"/>
    <w:rsid w:val="00591D70"/>
    <w:rsid w:val="00592A32"/>
    <w:rsid w:val="00592F85"/>
    <w:rsid w:val="00593654"/>
    <w:rsid w:val="005938CF"/>
    <w:rsid w:val="00594342"/>
    <w:rsid w:val="005949C1"/>
    <w:rsid w:val="00595FED"/>
    <w:rsid w:val="00597513"/>
    <w:rsid w:val="005976C7"/>
    <w:rsid w:val="005A17D5"/>
    <w:rsid w:val="005A1890"/>
    <w:rsid w:val="005A3C43"/>
    <w:rsid w:val="005A5C01"/>
    <w:rsid w:val="005A64C9"/>
    <w:rsid w:val="005B08FD"/>
    <w:rsid w:val="005B3E7C"/>
    <w:rsid w:val="005B72B4"/>
    <w:rsid w:val="005C0317"/>
    <w:rsid w:val="005C0D0E"/>
    <w:rsid w:val="005C1B5B"/>
    <w:rsid w:val="005C21D6"/>
    <w:rsid w:val="005C2599"/>
    <w:rsid w:val="005C2676"/>
    <w:rsid w:val="005C4334"/>
    <w:rsid w:val="005C4887"/>
    <w:rsid w:val="005C4A5D"/>
    <w:rsid w:val="005C55D4"/>
    <w:rsid w:val="005C620B"/>
    <w:rsid w:val="005C665C"/>
    <w:rsid w:val="005C7BC3"/>
    <w:rsid w:val="005C7F32"/>
    <w:rsid w:val="005D00D4"/>
    <w:rsid w:val="005D1E19"/>
    <w:rsid w:val="005D498F"/>
    <w:rsid w:val="005D4ACB"/>
    <w:rsid w:val="005D61E0"/>
    <w:rsid w:val="005E0320"/>
    <w:rsid w:val="005E4432"/>
    <w:rsid w:val="005E58BF"/>
    <w:rsid w:val="005E5BF6"/>
    <w:rsid w:val="005F0471"/>
    <w:rsid w:val="005F09CD"/>
    <w:rsid w:val="005F100D"/>
    <w:rsid w:val="005F16FF"/>
    <w:rsid w:val="005F4F6A"/>
    <w:rsid w:val="005F5261"/>
    <w:rsid w:val="005F6825"/>
    <w:rsid w:val="005F691A"/>
    <w:rsid w:val="005F6C33"/>
    <w:rsid w:val="005F7D1E"/>
    <w:rsid w:val="006016B5"/>
    <w:rsid w:val="00602115"/>
    <w:rsid w:val="00602250"/>
    <w:rsid w:val="00602690"/>
    <w:rsid w:val="0060449F"/>
    <w:rsid w:val="00606196"/>
    <w:rsid w:val="0060692F"/>
    <w:rsid w:val="006108CF"/>
    <w:rsid w:val="006129C2"/>
    <w:rsid w:val="006141BB"/>
    <w:rsid w:val="0061451B"/>
    <w:rsid w:val="00614577"/>
    <w:rsid w:val="00615DE3"/>
    <w:rsid w:val="00616D26"/>
    <w:rsid w:val="00620CD0"/>
    <w:rsid w:val="00620E0A"/>
    <w:rsid w:val="00620E72"/>
    <w:rsid w:val="006212FE"/>
    <w:rsid w:val="00621787"/>
    <w:rsid w:val="006236FA"/>
    <w:rsid w:val="00624039"/>
    <w:rsid w:val="00624264"/>
    <w:rsid w:val="00625580"/>
    <w:rsid w:val="0062575A"/>
    <w:rsid w:val="00625A77"/>
    <w:rsid w:val="00627559"/>
    <w:rsid w:val="00630B18"/>
    <w:rsid w:val="006310AF"/>
    <w:rsid w:val="006311E9"/>
    <w:rsid w:val="0063194D"/>
    <w:rsid w:val="00632642"/>
    <w:rsid w:val="006330EA"/>
    <w:rsid w:val="00634066"/>
    <w:rsid w:val="006340AF"/>
    <w:rsid w:val="006341C6"/>
    <w:rsid w:val="00634724"/>
    <w:rsid w:val="00634810"/>
    <w:rsid w:val="00635CD9"/>
    <w:rsid w:val="0063747A"/>
    <w:rsid w:val="00641299"/>
    <w:rsid w:val="0064190F"/>
    <w:rsid w:val="00642C73"/>
    <w:rsid w:val="00642FAE"/>
    <w:rsid w:val="00644593"/>
    <w:rsid w:val="00644731"/>
    <w:rsid w:val="00645416"/>
    <w:rsid w:val="0065188D"/>
    <w:rsid w:val="0065290E"/>
    <w:rsid w:val="006567B9"/>
    <w:rsid w:val="00656CDC"/>
    <w:rsid w:val="006573B6"/>
    <w:rsid w:val="00657543"/>
    <w:rsid w:val="00661091"/>
    <w:rsid w:val="00661D77"/>
    <w:rsid w:val="00662C5A"/>
    <w:rsid w:val="00664A32"/>
    <w:rsid w:val="00666126"/>
    <w:rsid w:val="0066759E"/>
    <w:rsid w:val="00671021"/>
    <w:rsid w:val="00671AEE"/>
    <w:rsid w:val="00673773"/>
    <w:rsid w:val="00673CC0"/>
    <w:rsid w:val="00677095"/>
    <w:rsid w:val="0067769C"/>
    <w:rsid w:val="00680292"/>
    <w:rsid w:val="00680D41"/>
    <w:rsid w:val="00682C68"/>
    <w:rsid w:val="00687A65"/>
    <w:rsid w:val="00691971"/>
    <w:rsid w:val="00692F44"/>
    <w:rsid w:val="00694492"/>
    <w:rsid w:val="00694BCF"/>
    <w:rsid w:val="00694E9C"/>
    <w:rsid w:val="006954E4"/>
    <w:rsid w:val="006961E0"/>
    <w:rsid w:val="00696FB9"/>
    <w:rsid w:val="006970B6"/>
    <w:rsid w:val="00697C9D"/>
    <w:rsid w:val="006A1D98"/>
    <w:rsid w:val="006A4084"/>
    <w:rsid w:val="006A4D06"/>
    <w:rsid w:val="006A6BC2"/>
    <w:rsid w:val="006A7A67"/>
    <w:rsid w:val="006B0FD4"/>
    <w:rsid w:val="006B2202"/>
    <w:rsid w:val="006B2371"/>
    <w:rsid w:val="006B28B6"/>
    <w:rsid w:val="006B2EE2"/>
    <w:rsid w:val="006B33C4"/>
    <w:rsid w:val="006B6E37"/>
    <w:rsid w:val="006B76B7"/>
    <w:rsid w:val="006C09FC"/>
    <w:rsid w:val="006C0AD0"/>
    <w:rsid w:val="006C1615"/>
    <w:rsid w:val="006C221B"/>
    <w:rsid w:val="006C2309"/>
    <w:rsid w:val="006C27ED"/>
    <w:rsid w:val="006C28AC"/>
    <w:rsid w:val="006C2928"/>
    <w:rsid w:val="006C35E8"/>
    <w:rsid w:val="006C3932"/>
    <w:rsid w:val="006C6409"/>
    <w:rsid w:val="006C73D9"/>
    <w:rsid w:val="006C7A12"/>
    <w:rsid w:val="006D0CB3"/>
    <w:rsid w:val="006D25A0"/>
    <w:rsid w:val="006D26AB"/>
    <w:rsid w:val="006D2FB5"/>
    <w:rsid w:val="006D3F3A"/>
    <w:rsid w:val="006D5561"/>
    <w:rsid w:val="006D5B77"/>
    <w:rsid w:val="006D5D4A"/>
    <w:rsid w:val="006D63AA"/>
    <w:rsid w:val="006D69C1"/>
    <w:rsid w:val="006D73FC"/>
    <w:rsid w:val="006D76C9"/>
    <w:rsid w:val="006D7E11"/>
    <w:rsid w:val="006D7E7E"/>
    <w:rsid w:val="006E03D2"/>
    <w:rsid w:val="006E0E90"/>
    <w:rsid w:val="006E44B1"/>
    <w:rsid w:val="006E5AC7"/>
    <w:rsid w:val="006E64BD"/>
    <w:rsid w:val="006E6798"/>
    <w:rsid w:val="006E6E37"/>
    <w:rsid w:val="006F1FDF"/>
    <w:rsid w:val="006F2356"/>
    <w:rsid w:val="006F4482"/>
    <w:rsid w:val="006F5284"/>
    <w:rsid w:val="006F540A"/>
    <w:rsid w:val="006F6136"/>
    <w:rsid w:val="006F6F71"/>
    <w:rsid w:val="00700731"/>
    <w:rsid w:val="00700E4E"/>
    <w:rsid w:val="00701220"/>
    <w:rsid w:val="0070150A"/>
    <w:rsid w:val="00701977"/>
    <w:rsid w:val="007027CA"/>
    <w:rsid w:val="00702E90"/>
    <w:rsid w:val="00704015"/>
    <w:rsid w:val="00704042"/>
    <w:rsid w:val="00704D1E"/>
    <w:rsid w:val="00705365"/>
    <w:rsid w:val="00707CA1"/>
    <w:rsid w:val="00711845"/>
    <w:rsid w:val="0071353F"/>
    <w:rsid w:val="00715D06"/>
    <w:rsid w:val="00715E7A"/>
    <w:rsid w:val="00716015"/>
    <w:rsid w:val="007161E3"/>
    <w:rsid w:val="007175E4"/>
    <w:rsid w:val="00720991"/>
    <w:rsid w:val="00720DBA"/>
    <w:rsid w:val="0072193A"/>
    <w:rsid w:val="00722247"/>
    <w:rsid w:val="0072236F"/>
    <w:rsid w:val="00722513"/>
    <w:rsid w:val="0072278F"/>
    <w:rsid w:val="00724F45"/>
    <w:rsid w:val="00725697"/>
    <w:rsid w:val="0072656D"/>
    <w:rsid w:val="007307E3"/>
    <w:rsid w:val="00731207"/>
    <w:rsid w:val="007318F0"/>
    <w:rsid w:val="007328D7"/>
    <w:rsid w:val="007344C7"/>
    <w:rsid w:val="0073461D"/>
    <w:rsid w:val="007346F4"/>
    <w:rsid w:val="00734B50"/>
    <w:rsid w:val="00735E0F"/>
    <w:rsid w:val="00736E8A"/>
    <w:rsid w:val="00740026"/>
    <w:rsid w:val="007400B9"/>
    <w:rsid w:val="007415CF"/>
    <w:rsid w:val="007416D4"/>
    <w:rsid w:val="0074186F"/>
    <w:rsid w:val="00741C2E"/>
    <w:rsid w:val="00743362"/>
    <w:rsid w:val="007446B6"/>
    <w:rsid w:val="00745172"/>
    <w:rsid w:val="00745195"/>
    <w:rsid w:val="007479B4"/>
    <w:rsid w:val="00751165"/>
    <w:rsid w:val="00751A3C"/>
    <w:rsid w:val="0075241E"/>
    <w:rsid w:val="007526B5"/>
    <w:rsid w:val="00752CC7"/>
    <w:rsid w:val="0075391F"/>
    <w:rsid w:val="00754521"/>
    <w:rsid w:val="00754F8F"/>
    <w:rsid w:val="00755038"/>
    <w:rsid w:val="0075717A"/>
    <w:rsid w:val="00757F5E"/>
    <w:rsid w:val="0076057E"/>
    <w:rsid w:val="00763381"/>
    <w:rsid w:val="0076398A"/>
    <w:rsid w:val="00764FBE"/>
    <w:rsid w:val="007657D8"/>
    <w:rsid w:val="0076612F"/>
    <w:rsid w:val="007666C0"/>
    <w:rsid w:val="00766E81"/>
    <w:rsid w:val="007756AB"/>
    <w:rsid w:val="007767BC"/>
    <w:rsid w:val="007772F7"/>
    <w:rsid w:val="00777EA7"/>
    <w:rsid w:val="007809D2"/>
    <w:rsid w:val="00780F65"/>
    <w:rsid w:val="00781F9F"/>
    <w:rsid w:val="0078406E"/>
    <w:rsid w:val="00785BB8"/>
    <w:rsid w:val="00786CC6"/>
    <w:rsid w:val="007871CC"/>
    <w:rsid w:val="00787A99"/>
    <w:rsid w:val="007907B9"/>
    <w:rsid w:val="00791157"/>
    <w:rsid w:val="00794613"/>
    <w:rsid w:val="00796C3D"/>
    <w:rsid w:val="00796E98"/>
    <w:rsid w:val="007A05B2"/>
    <w:rsid w:val="007A09BF"/>
    <w:rsid w:val="007A2FAB"/>
    <w:rsid w:val="007A42A7"/>
    <w:rsid w:val="007A7152"/>
    <w:rsid w:val="007A7846"/>
    <w:rsid w:val="007A7C8B"/>
    <w:rsid w:val="007B09C6"/>
    <w:rsid w:val="007B28D9"/>
    <w:rsid w:val="007B33BE"/>
    <w:rsid w:val="007B42F7"/>
    <w:rsid w:val="007B7213"/>
    <w:rsid w:val="007B76F5"/>
    <w:rsid w:val="007B7847"/>
    <w:rsid w:val="007C1007"/>
    <w:rsid w:val="007C133B"/>
    <w:rsid w:val="007C1DAD"/>
    <w:rsid w:val="007C1EFE"/>
    <w:rsid w:val="007C23C6"/>
    <w:rsid w:val="007C5236"/>
    <w:rsid w:val="007C5B35"/>
    <w:rsid w:val="007C5C62"/>
    <w:rsid w:val="007C6AD3"/>
    <w:rsid w:val="007D11C6"/>
    <w:rsid w:val="007D2563"/>
    <w:rsid w:val="007D2A23"/>
    <w:rsid w:val="007D2C10"/>
    <w:rsid w:val="007D53FF"/>
    <w:rsid w:val="007D57B6"/>
    <w:rsid w:val="007D5A43"/>
    <w:rsid w:val="007D7F0B"/>
    <w:rsid w:val="007E0007"/>
    <w:rsid w:val="007E0765"/>
    <w:rsid w:val="007E0F88"/>
    <w:rsid w:val="007E1665"/>
    <w:rsid w:val="007E1AE2"/>
    <w:rsid w:val="007E3DB8"/>
    <w:rsid w:val="007E5973"/>
    <w:rsid w:val="007F1132"/>
    <w:rsid w:val="007F2D30"/>
    <w:rsid w:val="007F36D1"/>
    <w:rsid w:val="007F3A37"/>
    <w:rsid w:val="007F3BCD"/>
    <w:rsid w:val="007F7950"/>
    <w:rsid w:val="007F7E9C"/>
    <w:rsid w:val="00800286"/>
    <w:rsid w:val="00800447"/>
    <w:rsid w:val="008017BE"/>
    <w:rsid w:val="00802302"/>
    <w:rsid w:val="00805ED8"/>
    <w:rsid w:val="0080647D"/>
    <w:rsid w:val="008064AF"/>
    <w:rsid w:val="00807151"/>
    <w:rsid w:val="008078D6"/>
    <w:rsid w:val="008110B8"/>
    <w:rsid w:val="008111C1"/>
    <w:rsid w:val="0081335E"/>
    <w:rsid w:val="0081454E"/>
    <w:rsid w:val="00822E51"/>
    <w:rsid w:val="00823B3D"/>
    <w:rsid w:val="00823CB2"/>
    <w:rsid w:val="008242ED"/>
    <w:rsid w:val="00824835"/>
    <w:rsid w:val="00825035"/>
    <w:rsid w:val="00825AD2"/>
    <w:rsid w:val="0082660D"/>
    <w:rsid w:val="00826A7D"/>
    <w:rsid w:val="00826BD8"/>
    <w:rsid w:val="00826C8F"/>
    <w:rsid w:val="00832C9A"/>
    <w:rsid w:val="008332A1"/>
    <w:rsid w:val="008336D2"/>
    <w:rsid w:val="00837513"/>
    <w:rsid w:val="00840655"/>
    <w:rsid w:val="00841672"/>
    <w:rsid w:val="0084172B"/>
    <w:rsid w:val="008417EF"/>
    <w:rsid w:val="00841E8F"/>
    <w:rsid w:val="00842AFF"/>
    <w:rsid w:val="00847640"/>
    <w:rsid w:val="008478BA"/>
    <w:rsid w:val="00847A80"/>
    <w:rsid w:val="0085192E"/>
    <w:rsid w:val="008526E5"/>
    <w:rsid w:val="0085279F"/>
    <w:rsid w:val="00852D12"/>
    <w:rsid w:val="00852F78"/>
    <w:rsid w:val="0085516E"/>
    <w:rsid w:val="0085564F"/>
    <w:rsid w:val="00855D2E"/>
    <w:rsid w:val="00856EEE"/>
    <w:rsid w:val="008576DE"/>
    <w:rsid w:val="00857BD6"/>
    <w:rsid w:val="00857FE0"/>
    <w:rsid w:val="00860D38"/>
    <w:rsid w:val="00861625"/>
    <w:rsid w:val="0086296B"/>
    <w:rsid w:val="0086350B"/>
    <w:rsid w:val="008645A3"/>
    <w:rsid w:val="0086531F"/>
    <w:rsid w:val="008653EC"/>
    <w:rsid w:val="008654A4"/>
    <w:rsid w:val="00865FCC"/>
    <w:rsid w:val="00866A9B"/>
    <w:rsid w:val="00866E15"/>
    <w:rsid w:val="008676CC"/>
    <w:rsid w:val="00871649"/>
    <w:rsid w:val="00872BA6"/>
    <w:rsid w:val="00874A99"/>
    <w:rsid w:val="00875956"/>
    <w:rsid w:val="008760E0"/>
    <w:rsid w:val="0088018B"/>
    <w:rsid w:val="008807A6"/>
    <w:rsid w:val="00881924"/>
    <w:rsid w:val="00883309"/>
    <w:rsid w:val="00883722"/>
    <w:rsid w:val="0088415C"/>
    <w:rsid w:val="008859BA"/>
    <w:rsid w:val="008911AE"/>
    <w:rsid w:val="00891547"/>
    <w:rsid w:val="0089175F"/>
    <w:rsid w:val="00891D9F"/>
    <w:rsid w:val="00893362"/>
    <w:rsid w:val="00893637"/>
    <w:rsid w:val="0089398D"/>
    <w:rsid w:val="00893DDF"/>
    <w:rsid w:val="00895AB6"/>
    <w:rsid w:val="00897206"/>
    <w:rsid w:val="008973E0"/>
    <w:rsid w:val="008A0644"/>
    <w:rsid w:val="008A14AC"/>
    <w:rsid w:val="008A175E"/>
    <w:rsid w:val="008A1DD3"/>
    <w:rsid w:val="008A33FF"/>
    <w:rsid w:val="008A41E6"/>
    <w:rsid w:val="008A53DA"/>
    <w:rsid w:val="008A5813"/>
    <w:rsid w:val="008A62FE"/>
    <w:rsid w:val="008A64AA"/>
    <w:rsid w:val="008A6740"/>
    <w:rsid w:val="008A72AA"/>
    <w:rsid w:val="008B0C5E"/>
    <w:rsid w:val="008B1645"/>
    <w:rsid w:val="008B1714"/>
    <w:rsid w:val="008B5EE5"/>
    <w:rsid w:val="008C1907"/>
    <w:rsid w:val="008C19B2"/>
    <w:rsid w:val="008C1D52"/>
    <w:rsid w:val="008C21E4"/>
    <w:rsid w:val="008C30C9"/>
    <w:rsid w:val="008C5287"/>
    <w:rsid w:val="008C5592"/>
    <w:rsid w:val="008C5F59"/>
    <w:rsid w:val="008C6312"/>
    <w:rsid w:val="008C6F70"/>
    <w:rsid w:val="008C7390"/>
    <w:rsid w:val="008C73A2"/>
    <w:rsid w:val="008D216D"/>
    <w:rsid w:val="008D45AE"/>
    <w:rsid w:val="008D5D3B"/>
    <w:rsid w:val="008D65CA"/>
    <w:rsid w:val="008D69CD"/>
    <w:rsid w:val="008D6A15"/>
    <w:rsid w:val="008D7BA2"/>
    <w:rsid w:val="008D7FD6"/>
    <w:rsid w:val="008E11A2"/>
    <w:rsid w:val="008E198D"/>
    <w:rsid w:val="008E2A4E"/>
    <w:rsid w:val="008E2A53"/>
    <w:rsid w:val="008E58B5"/>
    <w:rsid w:val="008E6F85"/>
    <w:rsid w:val="008E7041"/>
    <w:rsid w:val="008F0474"/>
    <w:rsid w:val="008F1413"/>
    <w:rsid w:val="008F32CF"/>
    <w:rsid w:val="008F38B8"/>
    <w:rsid w:val="008F6C16"/>
    <w:rsid w:val="008F6D7E"/>
    <w:rsid w:val="008F7EE5"/>
    <w:rsid w:val="00900687"/>
    <w:rsid w:val="0090178C"/>
    <w:rsid w:val="00901D27"/>
    <w:rsid w:val="00907A67"/>
    <w:rsid w:val="0091048E"/>
    <w:rsid w:val="00911582"/>
    <w:rsid w:val="009115FF"/>
    <w:rsid w:val="00911ADE"/>
    <w:rsid w:val="0091422B"/>
    <w:rsid w:val="00914E00"/>
    <w:rsid w:val="00917F3C"/>
    <w:rsid w:val="0092025E"/>
    <w:rsid w:val="0092096A"/>
    <w:rsid w:val="0092237A"/>
    <w:rsid w:val="0092425E"/>
    <w:rsid w:val="00924518"/>
    <w:rsid w:val="00924880"/>
    <w:rsid w:val="00924DF5"/>
    <w:rsid w:val="00924EEC"/>
    <w:rsid w:val="0092525A"/>
    <w:rsid w:val="00925274"/>
    <w:rsid w:val="00925B8F"/>
    <w:rsid w:val="00925C3F"/>
    <w:rsid w:val="009264A5"/>
    <w:rsid w:val="00926E37"/>
    <w:rsid w:val="0092786A"/>
    <w:rsid w:val="009308AF"/>
    <w:rsid w:val="00931FC5"/>
    <w:rsid w:val="009320D7"/>
    <w:rsid w:val="009328DB"/>
    <w:rsid w:val="00932EE3"/>
    <w:rsid w:val="009335E7"/>
    <w:rsid w:val="0093476D"/>
    <w:rsid w:val="00937C94"/>
    <w:rsid w:val="00937DFE"/>
    <w:rsid w:val="009403DD"/>
    <w:rsid w:val="00940453"/>
    <w:rsid w:val="00940A39"/>
    <w:rsid w:val="009436C1"/>
    <w:rsid w:val="009457FE"/>
    <w:rsid w:val="00946106"/>
    <w:rsid w:val="00947622"/>
    <w:rsid w:val="00950180"/>
    <w:rsid w:val="00950CF7"/>
    <w:rsid w:val="00951DFE"/>
    <w:rsid w:val="00951E46"/>
    <w:rsid w:val="0095362E"/>
    <w:rsid w:val="00953DD7"/>
    <w:rsid w:val="009547D1"/>
    <w:rsid w:val="00954FF8"/>
    <w:rsid w:val="00956E6A"/>
    <w:rsid w:val="00957344"/>
    <w:rsid w:val="009575A6"/>
    <w:rsid w:val="00961F0F"/>
    <w:rsid w:val="009624C7"/>
    <w:rsid w:val="00963A28"/>
    <w:rsid w:val="00965027"/>
    <w:rsid w:val="009650F7"/>
    <w:rsid w:val="00965B64"/>
    <w:rsid w:val="00965DEF"/>
    <w:rsid w:val="009660A1"/>
    <w:rsid w:val="00966AF3"/>
    <w:rsid w:val="00967A68"/>
    <w:rsid w:val="00967BBB"/>
    <w:rsid w:val="00970669"/>
    <w:rsid w:val="00971404"/>
    <w:rsid w:val="0097208B"/>
    <w:rsid w:val="009726B2"/>
    <w:rsid w:val="009738B7"/>
    <w:rsid w:val="00976524"/>
    <w:rsid w:val="009765F4"/>
    <w:rsid w:val="009773AC"/>
    <w:rsid w:val="00977FC1"/>
    <w:rsid w:val="0098176E"/>
    <w:rsid w:val="0098242D"/>
    <w:rsid w:val="00983915"/>
    <w:rsid w:val="00983B2D"/>
    <w:rsid w:val="0098403B"/>
    <w:rsid w:val="00984AB6"/>
    <w:rsid w:val="00985D9A"/>
    <w:rsid w:val="00986C2E"/>
    <w:rsid w:val="009876AF"/>
    <w:rsid w:val="009916BB"/>
    <w:rsid w:val="00991D53"/>
    <w:rsid w:val="0099240A"/>
    <w:rsid w:val="009926BB"/>
    <w:rsid w:val="009929C5"/>
    <w:rsid w:val="00993C9A"/>
    <w:rsid w:val="00993F3B"/>
    <w:rsid w:val="00994CEA"/>
    <w:rsid w:val="0099553A"/>
    <w:rsid w:val="00996767"/>
    <w:rsid w:val="009A11FE"/>
    <w:rsid w:val="009A140E"/>
    <w:rsid w:val="009A1649"/>
    <w:rsid w:val="009A2135"/>
    <w:rsid w:val="009A4B7C"/>
    <w:rsid w:val="009A4BC9"/>
    <w:rsid w:val="009A5D17"/>
    <w:rsid w:val="009A63DA"/>
    <w:rsid w:val="009A7589"/>
    <w:rsid w:val="009A7753"/>
    <w:rsid w:val="009A7F1B"/>
    <w:rsid w:val="009B028E"/>
    <w:rsid w:val="009B0E84"/>
    <w:rsid w:val="009B305D"/>
    <w:rsid w:val="009B43D3"/>
    <w:rsid w:val="009B5793"/>
    <w:rsid w:val="009B603B"/>
    <w:rsid w:val="009B628E"/>
    <w:rsid w:val="009B6FE6"/>
    <w:rsid w:val="009B7935"/>
    <w:rsid w:val="009C5EF5"/>
    <w:rsid w:val="009C6EBC"/>
    <w:rsid w:val="009D0341"/>
    <w:rsid w:val="009D1D0B"/>
    <w:rsid w:val="009D23F4"/>
    <w:rsid w:val="009D3489"/>
    <w:rsid w:val="009D34F1"/>
    <w:rsid w:val="009D3753"/>
    <w:rsid w:val="009D3BB2"/>
    <w:rsid w:val="009D57BC"/>
    <w:rsid w:val="009D5968"/>
    <w:rsid w:val="009E1265"/>
    <w:rsid w:val="009E2361"/>
    <w:rsid w:val="009E256D"/>
    <w:rsid w:val="009E2E49"/>
    <w:rsid w:val="009E4400"/>
    <w:rsid w:val="009E476F"/>
    <w:rsid w:val="009E4DDC"/>
    <w:rsid w:val="009E5208"/>
    <w:rsid w:val="009E602F"/>
    <w:rsid w:val="009F1919"/>
    <w:rsid w:val="009F1FBC"/>
    <w:rsid w:val="009F2F7F"/>
    <w:rsid w:val="009F4164"/>
    <w:rsid w:val="009F667F"/>
    <w:rsid w:val="009F66CE"/>
    <w:rsid w:val="009F6DF0"/>
    <w:rsid w:val="009F78B5"/>
    <w:rsid w:val="009F7AF6"/>
    <w:rsid w:val="00A030D8"/>
    <w:rsid w:val="00A03D34"/>
    <w:rsid w:val="00A04E82"/>
    <w:rsid w:val="00A06792"/>
    <w:rsid w:val="00A15950"/>
    <w:rsid w:val="00A16281"/>
    <w:rsid w:val="00A20606"/>
    <w:rsid w:val="00A219C9"/>
    <w:rsid w:val="00A22743"/>
    <w:rsid w:val="00A26C93"/>
    <w:rsid w:val="00A277EA"/>
    <w:rsid w:val="00A279BD"/>
    <w:rsid w:val="00A279FE"/>
    <w:rsid w:val="00A27BB4"/>
    <w:rsid w:val="00A307A9"/>
    <w:rsid w:val="00A32405"/>
    <w:rsid w:val="00A36FA7"/>
    <w:rsid w:val="00A409B5"/>
    <w:rsid w:val="00A41F48"/>
    <w:rsid w:val="00A437CC"/>
    <w:rsid w:val="00A45779"/>
    <w:rsid w:val="00A45A34"/>
    <w:rsid w:val="00A45B91"/>
    <w:rsid w:val="00A4731E"/>
    <w:rsid w:val="00A519EA"/>
    <w:rsid w:val="00A530AF"/>
    <w:rsid w:val="00A54191"/>
    <w:rsid w:val="00A54A61"/>
    <w:rsid w:val="00A54BAE"/>
    <w:rsid w:val="00A54FFD"/>
    <w:rsid w:val="00A56C99"/>
    <w:rsid w:val="00A615E7"/>
    <w:rsid w:val="00A616A5"/>
    <w:rsid w:val="00A61B0E"/>
    <w:rsid w:val="00A6356D"/>
    <w:rsid w:val="00A66628"/>
    <w:rsid w:val="00A66BBC"/>
    <w:rsid w:val="00A719A7"/>
    <w:rsid w:val="00A727CA"/>
    <w:rsid w:val="00A730F2"/>
    <w:rsid w:val="00A73B1F"/>
    <w:rsid w:val="00A73BC7"/>
    <w:rsid w:val="00A779A7"/>
    <w:rsid w:val="00A81718"/>
    <w:rsid w:val="00A81D94"/>
    <w:rsid w:val="00A8251B"/>
    <w:rsid w:val="00A834F0"/>
    <w:rsid w:val="00A85176"/>
    <w:rsid w:val="00A8524F"/>
    <w:rsid w:val="00A86CF2"/>
    <w:rsid w:val="00A87B65"/>
    <w:rsid w:val="00A9020A"/>
    <w:rsid w:val="00A94107"/>
    <w:rsid w:val="00A94119"/>
    <w:rsid w:val="00A95A22"/>
    <w:rsid w:val="00A9620D"/>
    <w:rsid w:val="00A963B2"/>
    <w:rsid w:val="00AA2E61"/>
    <w:rsid w:val="00AA3C84"/>
    <w:rsid w:val="00AA3F6C"/>
    <w:rsid w:val="00AA4788"/>
    <w:rsid w:val="00AA7A02"/>
    <w:rsid w:val="00AA7F2E"/>
    <w:rsid w:val="00AB03EC"/>
    <w:rsid w:val="00AB0B5B"/>
    <w:rsid w:val="00AB1B4F"/>
    <w:rsid w:val="00AB2636"/>
    <w:rsid w:val="00AB28C6"/>
    <w:rsid w:val="00AB2FC5"/>
    <w:rsid w:val="00AB4ABA"/>
    <w:rsid w:val="00AB4B01"/>
    <w:rsid w:val="00AB57E7"/>
    <w:rsid w:val="00AB5887"/>
    <w:rsid w:val="00AC0A5F"/>
    <w:rsid w:val="00AC2FC7"/>
    <w:rsid w:val="00AC32AC"/>
    <w:rsid w:val="00AC34E6"/>
    <w:rsid w:val="00AC4A17"/>
    <w:rsid w:val="00AC4BFE"/>
    <w:rsid w:val="00AD15AA"/>
    <w:rsid w:val="00AD2274"/>
    <w:rsid w:val="00AD24AF"/>
    <w:rsid w:val="00AD2B33"/>
    <w:rsid w:val="00AD392B"/>
    <w:rsid w:val="00AD3E67"/>
    <w:rsid w:val="00AD3EA7"/>
    <w:rsid w:val="00AD45CB"/>
    <w:rsid w:val="00AD465D"/>
    <w:rsid w:val="00AD5687"/>
    <w:rsid w:val="00AD628B"/>
    <w:rsid w:val="00AD709D"/>
    <w:rsid w:val="00AD759B"/>
    <w:rsid w:val="00AE1137"/>
    <w:rsid w:val="00AE1603"/>
    <w:rsid w:val="00AE2B56"/>
    <w:rsid w:val="00AE2C0C"/>
    <w:rsid w:val="00AE2D8D"/>
    <w:rsid w:val="00AE3243"/>
    <w:rsid w:val="00AE3830"/>
    <w:rsid w:val="00AE6DF0"/>
    <w:rsid w:val="00AE7C46"/>
    <w:rsid w:val="00AF01C9"/>
    <w:rsid w:val="00AF0436"/>
    <w:rsid w:val="00AF07E7"/>
    <w:rsid w:val="00AF197F"/>
    <w:rsid w:val="00AF219E"/>
    <w:rsid w:val="00AF3368"/>
    <w:rsid w:val="00AF3E97"/>
    <w:rsid w:val="00AF402F"/>
    <w:rsid w:val="00AF4629"/>
    <w:rsid w:val="00AF4D78"/>
    <w:rsid w:val="00AF5D48"/>
    <w:rsid w:val="00AF6028"/>
    <w:rsid w:val="00AF676E"/>
    <w:rsid w:val="00AF6A62"/>
    <w:rsid w:val="00B00D2A"/>
    <w:rsid w:val="00B016C7"/>
    <w:rsid w:val="00B01F53"/>
    <w:rsid w:val="00B03941"/>
    <w:rsid w:val="00B0547E"/>
    <w:rsid w:val="00B07F7F"/>
    <w:rsid w:val="00B132AE"/>
    <w:rsid w:val="00B1473F"/>
    <w:rsid w:val="00B15CCA"/>
    <w:rsid w:val="00B16C3B"/>
    <w:rsid w:val="00B17E5B"/>
    <w:rsid w:val="00B20830"/>
    <w:rsid w:val="00B21837"/>
    <w:rsid w:val="00B2357F"/>
    <w:rsid w:val="00B23B89"/>
    <w:rsid w:val="00B25581"/>
    <w:rsid w:val="00B25986"/>
    <w:rsid w:val="00B268F8"/>
    <w:rsid w:val="00B26D57"/>
    <w:rsid w:val="00B27F52"/>
    <w:rsid w:val="00B326C4"/>
    <w:rsid w:val="00B337AA"/>
    <w:rsid w:val="00B342DF"/>
    <w:rsid w:val="00B34B75"/>
    <w:rsid w:val="00B351AE"/>
    <w:rsid w:val="00B35E49"/>
    <w:rsid w:val="00B36CCB"/>
    <w:rsid w:val="00B37706"/>
    <w:rsid w:val="00B40503"/>
    <w:rsid w:val="00B40615"/>
    <w:rsid w:val="00B40E46"/>
    <w:rsid w:val="00B4231E"/>
    <w:rsid w:val="00B438AD"/>
    <w:rsid w:val="00B440C4"/>
    <w:rsid w:val="00B4424B"/>
    <w:rsid w:val="00B4475F"/>
    <w:rsid w:val="00B4650B"/>
    <w:rsid w:val="00B4708A"/>
    <w:rsid w:val="00B52DED"/>
    <w:rsid w:val="00B548AE"/>
    <w:rsid w:val="00B55A51"/>
    <w:rsid w:val="00B55C66"/>
    <w:rsid w:val="00B55E1A"/>
    <w:rsid w:val="00B573DB"/>
    <w:rsid w:val="00B60DCD"/>
    <w:rsid w:val="00B614AF"/>
    <w:rsid w:val="00B62217"/>
    <w:rsid w:val="00B628C7"/>
    <w:rsid w:val="00B62BBC"/>
    <w:rsid w:val="00B63D05"/>
    <w:rsid w:val="00B64746"/>
    <w:rsid w:val="00B64CE9"/>
    <w:rsid w:val="00B67B52"/>
    <w:rsid w:val="00B700A0"/>
    <w:rsid w:val="00B70A10"/>
    <w:rsid w:val="00B70E76"/>
    <w:rsid w:val="00B71159"/>
    <w:rsid w:val="00B72FAC"/>
    <w:rsid w:val="00B74BE9"/>
    <w:rsid w:val="00B75263"/>
    <w:rsid w:val="00B76B87"/>
    <w:rsid w:val="00B77E63"/>
    <w:rsid w:val="00B81A06"/>
    <w:rsid w:val="00B82011"/>
    <w:rsid w:val="00B820CC"/>
    <w:rsid w:val="00B827A1"/>
    <w:rsid w:val="00B82AC4"/>
    <w:rsid w:val="00B8393C"/>
    <w:rsid w:val="00B844AD"/>
    <w:rsid w:val="00B8463D"/>
    <w:rsid w:val="00B85DEA"/>
    <w:rsid w:val="00B902AA"/>
    <w:rsid w:val="00B9241D"/>
    <w:rsid w:val="00B93284"/>
    <w:rsid w:val="00B94448"/>
    <w:rsid w:val="00B956BE"/>
    <w:rsid w:val="00B95EDE"/>
    <w:rsid w:val="00B9637B"/>
    <w:rsid w:val="00B96596"/>
    <w:rsid w:val="00B97EB1"/>
    <w:rsid w:val="00B97FAF"/>
    <w:rsid w:val="00BA261E"/>
    <w:rsid w:val="00BA44B8"/>
    <w:rsid w:val="00BA525D"/>
    <w:rsid w:val="00BA70C9"/>
    <w:rsid w:val="00BB3145"/>
    <w:rsid w:val="00BB3969"/>
    <w:rsid w:val="00BB436F"/>
    <w:rsid w:val="00BB4D5F"/>
    <w:rsid w:val="00BB5693"/>
    <w:rsid w:val="00BB7511"/>
    <w:rsid w:val="00BB7E9E"/>
    <w:rsid w:val="00BC176B"/>
    <w:rsid w:val="00BC2101"/>
    <w:rsid w:val="00BC23E1"/>
    <w:rsid w:val="00BC2B68"/>
    <w:rsid w:val="00BC526A"/>
    <w:rsid w:val="00BC540A"/>
    <w:rsid w:val="00BC58C8"/>
    <w:rsid w:val="00BC5B71"/>
    <w:rsid w:val="00BC66F4"/>
    <w:rsid w:val="00BC6C05"/>
    <w:rsid w:val="00BD00F5"/>
    <w:rsid w:val="00BD02FB"/>
    <w:rsid w:val="00BD0BF4"/>
    <w:rsid w:val="00BD0F36"/>
    <w:rsid w:val="00BD0F5C"/>
    <w:rsid w:val="00BD1747"/>
    <w:rsid w:val="00BD388A"/>
    <w:rsid w:val="00BD3D2C"/>
    <w:rsid w:val="00BD3F23"/>
    <w:rsid w:val="00BD6135"/>
    <w:rsid w:val="00BD63BC"/>
    <w:rsid w:val="00BD749B"/>
    <w:rsid w:val="00BD74CC"/>
    <w:rsid w:val="00BE14E9"/>
    <w:rsid w:val="00BE17F4"/>
    <w:rsid w:val="00BE1B87"/>
    <w:rsid w:val="00BE2F16"/>
    <w:rsid w:val="00BE313B"/>
    <w:rsid w:val="00BE400D"/>
    <w:rsid w:val="00BE46F2"/>
    <w:rsid w:val="00BE5192"/>
    <w:rsid w:val="00BE5536"/>
    <w:rsid w:val="00BE5DE9"/>
    <w:rsid w:val="00BE679C"/>
    <w:rsid w:val="00BE77A0"/>
    <w:rsid w:val="00BE7830"/>
    <w:rsid w:val="00BF07D1"/>
    <w:rsid w:val="00BF0E83"/>
    <w:rsid w:val="00BF3DE3"/>
    <w:rsid w:val="00BF5862"/>
    <w:rsid w:val="00BF5924"/>
    <w:rsid w:val="00BF6DD9"/>
    <w:rsid w:val="00C01D9C"/>
    <w:rsid w:val="00C021DB"/>
    <w:rsid w:val="00C02D3A"/>
    <w:rsid w:val="00C03040"/>
    <w:rsid w:val="00C05D0E"/>
    <w:rsid w:val="00C10735"/>
    <w:rsid w:val="00C11E6A"/>
    <w:rsid w:val="00C124BF"/>
    <w:rsid w:val="00C12739"/>
    <w:rsid w:val="00C130CB"/>
    <w:rsid w:val="00C13F8F"/>
    <w:rsid w:val="00C14699"/>
    <w:rsid w:val="00C14AF3"/>
    <w:rsid w:val="00C172FB"/>
    <w:rsid w:val="00C1787A"/>
    <w:rsid w:val="00C20229"/>
    <w:rsid w:val="00C20719"/>
    <w:rsid w:val="00C214E1"/>
    <w:rsid w:val="00C215F1"/>
    <w:rsid w:val="00C23B2D"/>
    <w:rsid w:val="00C23C79"/>
    <w:rsid w:val="00C24C49"/>
    <w:rsid w:val="00C250E1"/>
    <w:rsid w:val="00C25C1D"/>
    <w:rsid w:val="00C32101"/>
    <w:rsid w:val="00C33764"/>
    <w:rsid w:val="00C344AA"/>
    <w:rsid w:val="00C34AAC"/>
    <w:rsid w:val="00C34E08"/>
    <w:rsid w:val="00C36580"/>
    <w:rsid w:val="00C37057"/>
    <w:rsid w:val="00C416FD"/>
    <w:rsid w:val="00C461D3"/>
    <w:rsid w:val="00C506D2"/>
    <w:rsid w:val="00C538BA"/>
    <w:rsid w:val="00C54840"/>
    <w:rsid w:val="00C558DB"/>
    <w:rsid w:val="00C55B87"/>
    <w:rsid w:val="00C57061"/>
    <w:rsid w:val="00C60B98"/>
    <w:rsid w:val="00C60EF8"/>
    <w:rsid w:val="00C6208A"/>
    <w:rsid w:val="00C621B9"/>
    <w:rsid w:val="00C62C5F"/>
    <w:rsid w:val="00C641B8"/>
    <w:rsid w:val="00C64414"/>
    <w:rsid w:val="00C66A50"/>
    <w:rsid w:val="00C672B9"/>
    <w:rsid w:val="00C672D2"/>
    <w:rsid w:val="00C67474"/>
    <w:rsid w:val="00C674EB"/>
    <w:rsid w:val="00C676BF"/>
    <w:rsid w:val="00C74449"/>
    <w:rsid w:val="00C77AFD"/>
    <w:rsid w:val="00C8131C"/>
    <w:rsid w:val="00C843E4"/>
    <w:rsid w:val="00C84F48"/>
    <w:rsid w:val="00C850BF"/>
    <w:rsid w:val="00C8695A"/>
    <w:rsid w:val="00C87780"/>
    <w:rsid w:val="00C908CA"/>
    <w:rsid w:val="00C91F6B"/>
    <w:rsid w:val="00C93E8C"/>
    <w:rsid w:val="00C94B0D"/>
    <w:rsid w:val="00C957B7"/>
    <w:rsid w:val="00C958A2"/>
    <w:rsid w:val="00C95981"/>
    <w:rsid w:val="00C97A2B"/>
    <w:rsid w:val="00CA011D"/>
    <w:rsid w:val="00CA0B6C"/>
    <w:rsid w:val="00CA0DE1"/>
    <w:rsid w:val="00CA11D7"/>
    <w:rsid w:val="00CA13B4"/>
    <w:rsid w:val="00CA26AD"/>
    <w:rsid w:val="00CA659E"/>
    <w:rsid w:val="00CA6CFF"/>
    <w:rsid w:val="00CA7B3D"/>
    <w:rsid w:val="00CB03D6"/>
    <w:rsid w:val="00CB0955"/>
    <w:rsid w:val="00CB21E4"/>
    <w:rsid w:val="00CB2FE8"/>
    <w:rsid w:val="00CB431D"/>
    <w:rsid w:val="00CB490E"/>
    <w:rsid w:val="00CB4A34"/>
    <w:rsid w:val="00CB4E99"/>
    <w:rsid w:val="00CB5F49"/>
    <w:rsid w:val="00CB715B"/>
    <w:rsid w:val="00CC04CE"/>
    <w:rsid w:val="00CC0F26"/>
    <w:rsid w:val="00CC1419"/>
    <w:rsid w:val="00CC6F3E"/>
    <w:rsid w:val="00CC74BF"/>
    <w:rsid w:val="00CC7A8F"/>
    <w:rsid w:val="00CD0736"/>
    <w:rsid w:val="00CD0F43"/>
    <w:rsid w:val="00CD23DD"/>
    <w:rsid w:val="00CD2442"/>
    <w:rsid w:val="00CD26D7"/>
    <w:rsid w:val="00CD308E"/>
    <w:rsid w:val="00CD36C8"/>
    <w:rsid w:val="00CD3C21"/>
    <w:rsid w:val="00CD3F09"/>
    <w:rsid w:val="00CD7894"/>
    <w:rsid w:val="00CE029D"/>
    <w:rsid w:val="00CE16D7"/>
    <w:rsid w:val="00CE27CA"/>
    <w:rsid w:val="00CE39F1"/>
    <w:rsid w:val="00CE3C89"/>
    <w:rsid w:val="00CE48B6"/>
    <w:rsid w:val="00CE573A"/>
    <w:rsid w:val="00CE70F0"/>
    <w:rsid w:val="00CE730F"/>
    <w:rsid w:val="00CE747B"/>
    <w:rsid w:val="00CE7574"/>
    <w:rsid w:val="00CF16B9"/>
    <w:rsid w:val="00CF2E16"/>
    <w:rsid w:val="00CF2EFE"/>
    <w:rsid w:val="00CF520B"/>
    <w:rsid w:val="00CF5819"/>
    <w:rsid w:val="00CF5CB0"/>
    <w:rsid w:val="00CF5DC6"/>
    <w:rsid w:val="00CF6EB7"/>
    <w:rsid w:val="00CF7A7F"/>
    <w:rsid w:val="00D00E99"/>
    <w:rsid w:val="00D00F80"/>
    <w:rsid w:val="00D01C26"/>
    <w:rsid w:val="00D0597E"/>
    <w:rsid w:val="00D05D38"/>
    <w:rsid w:val="00D05D5B"/>
    <w:rsid w:val="00D109BA"/>
    <w:rsid w:val="00D10ED4"/>
    <w:rsid w:val="00D12326"/>
    <w:rsid w:val="00D12478"/>
    <w:rsid w:val="00D136A9"/>
    <w:rsid w:val="00D141F8"/>
    <w:rsid w:val="00D14B35"/>
    <w:rsid w:val="00D15A45"/>
    <w:rsid w:val="00D164AD"/>
    <w:rsid w:val="00D21C1E"/>
    <w:rsid w:val="00D21CF3"/>
    <w:rsid w:val="00D22451"/>
    <w:rsid w:val="00D22F24"/>
    <w:rsid w:val="00D2379A"/>
    <w:rsid w:val="00D25C1B"/>
    <w:rsid w:val="00D25E35"/>
    <w:rsid w:val="00D30B0D"/>
    <w:rsid w:val="00D30B53"/>
    <w:rsid w:val="00D30BD7"/>
    <w:rsid w:val="00D30DAC"/>
    <w:rsid w:val="00D329E8"/>
    <w:rsid w:val="00D342E8"/>
    <w:rsid w:val="00D34D5F"/>
    <w:rsid w:val="00D356E0"/>
    <w:rsid w:val="00D35DC2"/>
    <w:rsid w:val="00D3685E"/>
    <w:rsid w:val="00D40AF4"/>
    <w:rsid w:val="00D41098"/>
    <w:rsid w:val="00D41127"/>
    <w:rsid w:val="00D411E7"/>
    <w:rsid w:val="00D41B88"/>
    <w:rsid w:val="00D41C4F"/>
    <w:rsid w:val="00D42DCB"/>
    <w:rsid w:val="00D43F4D"/>
    <w:rsid w:val="00D441A6"/>
    <w:rsid w:val="00D46D5D"/>
    <w:rsid w:val="00D46DA4"/>
    <w:rsid w:val="00D50710"/>
    <w:rsid w:val="00D52AE5"/>
    <w:rsid w:val="00D54451"/>
    <w:rsid w:val="00D547F5"/>
    <w:rsid w:val="00D548AD"/>
    <w:rsid w:val="00D559C3"/>
    <w:rsid w:val="00D56CF3"/>
    <w:rsid w:val="00D6075E"/>
    <w:rsid w:val="00D60D19"/>
    <w:rsid w:val="00D60E01"/>
    <w:rsid w:val="00D6160B"/>
    <w:rsid w:val="00D620C1"/>
    <w:rsid w:val="00D63309"/>
    <w:rsid w:val="00D657B0"/>
    <w:rsid w:val="00D65939"/>
    <w:rsid w:val="00D659BA"/>
    <w:rsid w:val="00D65C61"/>
    <w:rsid w:val="00D67AB8"/>
    <w:rsid w:val="00D705CB"/>
    <w:rsid w:val="00D70C02"/>
    <w:rsid w:val="00D70CF4"/>
    <w:rsid w:val="00D71B5C"/>
    <w:rsid w:val="00D7336B"/>
    <w:rsid w:val="00D74F9D"/>
    <w:rsid w:val="00D7543D"/>
    <w:rsid w:val="00D7561A"/>
    <w:rsid w:val="00D75F52"/>
    <w:rsid w:val="00D76E26"/>
    <w:rsid w:val="00D80471"/>
    <w:rsid w:val="00D80A9B"/>
    <w:rsid w:val="00D80FB5"/>
    <w:rsid w:val="00D82DCD"/>
    <w:rsid w:val="00D83B5B"/>
    <w:rsid w:val="00D846CF"/>
    <w:rsid w:val="00D84DB5"/>
    <w:rsid w:val="00D85A6A"/>
    <w:rsid w:val="00D85DA0"/>
    <w:rsid w:val="00D86085"/>
    <w:rsid w:val="00D872D1"/>
    <w:rsid w:val="00D874A4"/>
    <w:rsid w:val="00D92464"/>
    <w:rsid w:val="00D929D8"/>
    <w:rsid w:val="00D931AA"/>
    <w:rsid w:val="00D936C5"/>
    <w:rsid w:val="00D948A9"/>
    <w:rsid w:val="00D96A92"/>
    <w:rsid w:val="00D97F48"/>
    <w:rsid w:val="00DA05BA"/>
    <w:rsid w:val="00DA0A8E"/>
    <w:rsid w:val="00DA0C0D"/>
    <w:rsid w:val="00DA1C01"/>
    <w:rsid w:val="00DA23EC"/>
    <w:rsid w:val="00DA37BC"/>
    <w:rsid w:val="00DA3C95"/>
    <w:rsid w:val="00DA5753"/>
    <w:rsid w:val="00DA6EF4"/>
    <w:rsid w:val="00DA74EA"/>
    <w:rsid w:val="00DB1154"/>
    <w:rsid w:val="00DB345C"/>
    <w:rsid w:val="00DB6F2D"/>
    <w:rsid w:val="00DC0A5C"/>
    <w:rsid w:val="00DC0DDD"/>
    <w:rsid w:val="00DC0EC6"/>
    <w:rsid w:val="00DC1214"/>
    <w:rsid w:val="00DC4412"/>
    <w:rsid w:val="00DC5CEB"/>
    <w:rsid w:val="00DC61EC"/>
    <w:rsid w:val="00DC7A28"/>
    <w:rsid w:val="00DD0006"/>
    <w:rsid w:val="00DD0436"/>
    <w:rsid w:val="00DD12E9"/>
    <w:rsid w:val="00DD4BF0"/>
    <w:rsid w:val="00DD4DB8"/>
    <w:rsid w:val="00DD5D68"/>
    <w:rsid w:val="00DD65DC"/>
    <w:rsid w:val="00DE0E9C"/>
    <w:rsid w:val="00DE1D97"/>
    <w:rsid w:val="00DE37EB"/>
    <w:rsid w:val="00DE6CE4"/>
    <w:rsid w:val="00DE719C"/>
    <w:rsid w:val="00DE784D"/>
    <w:rsid w:val="00DF13D6"/>
    <w:rsid w:val="00DF2367"/>
    <w:rsid w:val="00DF2C24"/>
    <w:rsid w:val="00DF3770"/>
    <w:rsid w:val="00DF5C00"/>
    <w:rsid w:val="00E005CE"/>
    <w:rsid w:val="00E006C6"/>
    <w:rsid w:val="00E00E3F"/>
    <w:rsid w:val="00E011BE"/>
    <w:rsid w:val="00E01503"/>
    <w:rsid w:val="00E017D2"/>
    <w:rsid w:val="00E040FE"/>
    <w:rsid w:val="00E04118"/>
    <w:rsid w:val="00E0530D"/>
    <w:rsid w:val="00E05AF6"/>
    <w:rsid w:val="00E05C97"/>
    <w:rsid w:val="00E05CDB"/>
    <w:rsid w:val="00E0614F"/>
    <w:rsid w:val="00E07299"/>
    <w:rsid w:val="00E12586"/>
    <w:rsid w:val="00E12E68"/>
    <w:rsid w:val="00E149FB"/>
    <w:rsid w:val="00E151B6"/>
    <w:rsid w:val="00E17189"/>
    <w:rsid w:val="00E20796"/>
    <w:rsid w:val="00E212FC"/>
    <w:rsid w:val="00E222BE"/>
    <w:rsid w:val="00E240CC"/>
    <w:rsid w:val="00E24193"/>
    <w:rsid w:val="00E24D8C"/>
    <w:rsid w:val="00E26034"/>
    <w:rsid w:val="00E265F9"/>
    <w:rsid w:val="00E26B4E"/>
    <w:rsid w:val="00E27911"/>
    <w:rsid w:val="00E30D3F"/>
    <w:rsid w:val="00E30DE8"/>
    <w:rsid w:val="00E30FC4"/>
    <w:rsid w:val="00E32822"/>
    <w:rsid w:val="00E3375C"/>
    <w:rsid w:val="00E348B0"/>
    <w:rsid w:val="00E36A8D"/>
    <w:rsid w:val="00E36F4F"/>
    <w:rsid w:val="00E375F2"/>
    <w:rsid w:val="00E40E02"/>
    <w:rsid w:val="00E426CC"/>
    <w:rsid w:val="00E4284D"/>
    <w:rsid w:val="00E429F9"/>
    <w:rsid w:val="00E42D50"/>
    <w:rsid w:val="00E436CE"/>
    <w:rsid w:val="00E44038"/>
    <w:rsid w:val="00E44288"/>
    <w:rsid w:val="00E443FE"/>
    <w:rsid w:val="00E4549F"/>
    <w:rsid w:val="00E45EDC"/>
    <w:rsid w:val="00E46334"/>
    <w:rsid w:val="00E468A0"/>
    <w:rsid w:val="00E46DAE"/>
    <w:rsid w:val="00E5091E"/>
    <w:rsid w:val="00E51881"/>
    <w:rsid w:val="00E51C7B"/>
    <w:rsid w:val="00E52F7F"/>
    <w:rsid w:val="00E53758"/>
    <w:rsid w:val="00E56A80"/>
    <w:rsid w:val="00E578A2"/>
    <w:rsid w:val="00E638BA"/>
    <w:rsid w:val="00E6525E"/>
    <w:rsid w:val="00E6546E"/>
    <w:rsid w:val="00E67055"/>
    <w:rsid w:val="00E702A3"/>
    <w:rsid w:val="00E703D1"/>
    <w:rsid w:val="00E71624"/>
    <w:rsid w:val="00E72416"/>
    <w:rsid w:val="00E73783"/>
    <w:rsid w:val="00E74C3F"/>
    <w:rsid w:val="00E74EB1"/>
    <w:rsid w:val="00E750B1"/>
    <w:rsid w:val="00E75F26"/>
    <w:rsid w:val="00E76753"/>
    <w:rsid w:val="00E80138"/>
    <w:rsid w:val="00E808AB"/>
    <w:rsid w:val="00E80D9B"/>
    <w:rsid w:val="00E818B2"/>
    <w:rsid w:val="00E83725"/>
    <w:rsid w:val="00E83913"/>
    <w:rsid w:val="00E83BC5"/>
    <w:rsid w:val="00E83D31"/>
    <w:rsid w:val="00E841E2"/>
    <w:rsid w:val="00E84948"/>
    <w:rsid w:val="00E84C1D"/>
    <w:rsid w:val="00E85FE4"/>
    <w:rsid w:val="00E87EE4"/>
    <w:rsid w:val="00E905E4"/>
    <w:rsid w:val="00E91CFA"/>
    <w:rsid w:val="00E9238D"/>
    <w:rsid w:val="00E92D6E"/>
    <w:rsid w:val="00E94A5D"/>
    <w:rsid w:val="00E95875"/>
    <w:rsid w:val="00E95B43"/>
    <w:rsid w:val="00E96BF7"/>
    <w:rsid w:val="00E970DC"/>
    <w:rsid w:val="00EA0184"/>
    <w:rsid w:val="00EA1765"/>
    <w:rsid w:val="00EA21A6"/>
    <w:rsid w:val="00EA2260"/>
    <w:rsid w:val="00EA37C1"/>
    <w:rsid w:val="00EA3CD8"/>
    <w:rsid w:val="00EA4B9E"/>
    <w:rsid w:val="00EA54EF"/>
    <w:rsid w:val="00EA561A"/>
    <w:rsid w:val="00EA5A5E"/>
    <w:rsid w:val="00EA5CA5"/>
    <w:rsid w:val="00EB0342"/>
    <w:rsid w:val="00EB1DB6"/>
    <w:rsid w:val="00EB374F"/>
    <w:rsid w:val="00EB393D"/>
    <w:rsid w:val="00EB3BDB"/>
    <w:rsid w:val="00EB3C9B"/>
    <w:rsid w:val="00EB40E6"/>
    <w:rsid w:val="00EC04EC"/>
    <w:rsid w:val="00EC0792"/>
    <w:rsid w:val="00EC464E"/>
    <w:rsid w:val="00EC4C78"/>
    <w:rsid w:val="00EC4DA9"/>
    <w:rsid w:val="00EC6030"/>
    <w:rsid w:val="00EC6FA5"/>
    <w:rsid w:val="00EC72F6"/>
    <w:rsid w:val="00EC7AA6"/>
    <w:rsid w:val="00ED0111"/>
    <w:rsid w:val="00ED0E5D"/>
    <w:rsid w:val="00ED3918"/>
    <w:rsid w:val="00ED4A72"/>
    <w:rsid w:val="00ED4CDA"/>
    <w:rsid w:val="00ED5A45"/>
    <w:rsid w:val="00ED7C17"/>
    <w:rsid w:val="00EE0369"/>
    <w:rsid w:val="00EE2ACC"/>
    <w:rsid w:val="00EE2AD4"/>
    <w:rsid w:val="00EE3E3F"/>
    <w:rsid w:val="00EE55E0"/>
    <w:rsid w:val="00EE5E56"/>
    <w:rsid w:val="00EE5FD0"/>
    <w:rsid w:val="00EE6E08"/>
    <w:rsid w:val="00EE705A"/>
    <w:rsid w:val="00EE7220"/>
    <w:rsid w:val="00EE7DCC"/>
    <w:rsid w:val="00EF0C98"/>
    <w:rsid w:val="00EF1D87"/>
    <w:rsid w:val="00EF27FE"/>
    <w:rsid w:val="00EF2B7E"/>
    <w:rsid w:val="00EF339B"/>
    <w:rsid w:val="00EF4081"/>
    <w:rsid w:val="00F000F0"/>
    <w:rsid w:val="00F004B8"/>
    <w:rsid w:val="00F00BC2"/>
    <w:rsid w:val="00F04874"/>
    <w:rsid w:val="00F061B0"/>
    <w:rsid w:val="00F068FB"/>
    <w:rsid w:val="00F06C1B"/>
    <w:rsid w:val="00F070C6"/>
    <w:rsid w:val="00F1374B"/>
    <w:rsid w:val="00F15B67"/>
    <w:rsid w:val="00F16A57"/>
    <w:rsid w:val="00F211CD"/>
    <w:rsid w:val="00F227E3"/>
    <w:rsid w:val="00F23687"/>
    <w:rsid w:val="00F241B0"/>
    <w:rsid w:val="00F255A9"/>
    <w:rsid w:val="00F258A2"/>
    <w:rsid w:val="00F25AFC"/>
    <w:rsid w:val="00F2634D"/>
    <w:rsid w:val="00F26631"/>
    <w:rsid w:val="00F26AB4"/>
    <w:rsid w:val="00F27DD5"/>
    <w:rsid w:val="00F3042E"/>
    <w:rsid w:val="00F30797"/>
    <w:rsid w:val="00F30FA0"/>
    <w:rsid w:val="00F31E77"/>
    <w:rsid w:val="00F31F48"/>
    <w:rsid w:val="00F328C4"/>
    <w:rsid w:val="00F33A38"/>
    <w:rsid w:val="00F366F0"/>
    <w:rsid w:val="00F368ED"/>
    <w:rsid w:val="00F37149"/>
    <w:rsid w:val="00F4093B"/>
    <w:rsid w:val="00F40C20"/>
    <w:rsid w:val="00F411D3"/>
    <w:rsid w:val="00F416FB"/>
    <w:rsid w:val="00F4182F"/>
    <w:rsid w:val="00F439A3"/>
    <w:rsid w:val="00F46931"/>
    <w:rsid w:val="00F47F62"/>
    <w:rsid w:val="00F5159A"/>
    <w:rsid w:val="00F52B3E"/>
    <w:rsid w:val="00F531EA"/>
    <w:rsid w:val="00F54122"/>
    <w:rsid w:val="00F54774"/>
    <w:rsid w:val="00F54BDF"/>
    <w:rsid w:val="00F54D68"/>
    <w:rsid w:val="00F57DA8"/>
    <w:rsid w:val="00F617FA"/>
    <w:rsid w:val="00F62EC2"/>
    <w:rsid w:val="00F6457A"/>
    <w:rsid w:val="00F648BD"/>
    <w:rsid w:val="00F64D23"/>
    <w:rsid w:val="00F65AAA"/>
    <w:rsid w:val="00F66054"/>
    <w:rsid w:val="00F661C7"/>
    <w:rsid w:val="00F66DD2"/>
    <w:rsid w:val="00F7002E"/>
    <w:rsid w:val="00F707B0"/>
    <w:rsid w:val="00F70B04"/>
    <w:rsid w:val="00F71289"/>
    <w:rsid w:val="00F74366"/>
    <w:rsid w:val="00F74E7C"/>
    <w:rsid w:val="00F75D82"/>
    <w:rsid w:val="00F76AF0"/>
    <w:rsid w:val="00F76E03"/>
    <w:rsid w:val="00F76F7F"/>
    <w:rsid w:val="00F77241"/>
    <w:rsid w:val="00F7732F"/>
    <w:rsid w:val="00F77ECB"/>
    <w:rsid w:val="00F8108A"/>
    <w:rsid w:val="00F8116A"/>
    <w:rsid w:val="00F822AD"/>
    <w:rsid w:val="00F82D73"/>
    <w:rsid w:val="00F84BE4"/>
    <w:rsid w:val="00F84D8D"/>
    <w:rsid w:val="00F85A63"/>
    <w:rsid w:val="00F86489"/>
    <w:rsid w:val="00F875BA"/>
    <w:rsid w:val="00F87DC0"/>
    <w:rsid w:val="00F90126"/>
    <w:rsid w:val="00F9106E"/>
    <w:rsid w:val="00F92029"/>
    <w:rsid w:val="00F92346"/>
    <w:rsid w:val="00F92AC7"/>
    <w:rsid w:val="00F92FDE"/>
    <w:rsid w:val="00F955D3"/>
    <w:rsid w:val="00F9565F"/>
    <w:rsid w:val="00F9772F"/>
    <w:rsid w:val="00F97BAB"/>
    <w:rsid w:val="00FA0948"/>
    <w:rsid w:val="00FA0960"/>
    <w:rsid w:val="00FA0C26"/>
    <w:rsid w:val="00FA10A4"/>
    <w:rsid w:val="00FA1401"/>
    <w:rsid w:val="00FA1B3C"/>
    <w:rsid w:val="00FA3392"/>
    <w:rsid w:val="00FA34E2"/>
    <w:rsid w:val="00FA3F8E"/>
    <w:rsid w:val="00FA5CA4"/>
    <w:rsid w:val="00FA634F"/>
    <w:rsid w:val="00FA672D"/>
    <w:rsid w:val="00FA7034"/>
    <w:rsid w:val="00FA78A5"/>
    <w:rsid w:val="00FB0B25"/>
    <w:rsid w:val="00FB21ED"/>
    <w:rsid w:val="00FB26A8"/>
    <w:rsid w:val="00FB4850"/>
    <w:rsid w:val="00FB524D"/>
    <w:rsid w:val="00FB5898"/>
    <w:rsid w:val="00FB5F3F"/>
    <w:rsid w:val="00FB6D56"/>
    <w:rsid w:val="00FB6E19"/>
    <w:rsid w:val="00FB6F63"/>
    <w:rsid w:val="00FB7FB9"/>
    <w:rsid w:val="00FC0990"/>
    <w:rsid w:val="00FC2B5D"/>
    <w:rsid w:val="00FC2D1F"/>
    <w:rsid w:val="00FC3670"/>
    <w:rsid w:val="00FC6CC5"/>
    <w:rsid w:val="00FC7161"/>
    <w:rsid w:val="00FC74EA"/>
    <w:rsid w:val="00FC78A1"/>
    <w:rsid w:val="00FD01B7"/>
    <w:rsid w:val="00FD0865"/>
    <w:rsid w:val="00FD15EB"/>
    <w:rsid w:val="00FD30F3"/>
    <w:rsid w:val="00FD369C"/>
    <w:rsid w:val="00FD38D3"/>
    <w:rsid w:val="00FD4DD3"/>
    <w:rsid w:val="00FD53FF"/>
    <w:rsid w:val="00FD5CE1"/>
    <w:rsid w:val="00FD659A"/>
    <w:rsid w:val="00FD6F53"/>
    <w:rsid w:val="00FD7A49"/>
    <w:rsid w:val="00FE02C5"/>
    <w:rsid w:val="00FE15D8"/>
    <w:rsid w:val="00FE1803"/>
    <w:rsid w:val="00FE1B56"/>
    <w:rsid w:val="00FE26CF"/>
    <w:rsid w:val="00FE36C0"/>
    <w:rsid w:val="00FE3B86"/>
    <w:rsid w:val="00FE4F77"/>
    <w:rsid w:val="00FE5921"/>
    <w:rsid w:val="00FE5A50"/>
    <w:rsid w:val="00FF38C1"/>
    <w:rsid w:val="00FF58A7"/>
    <w:rsid w:val="00FF5D1C"/>
    <w:rsid w:val="00FF628C"/>
    <w:rsid w:val="00FF6EF3"/>
    <w:rsid w:val="00FF75D2"/>
    <w:rsid w:val="00FF7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6B2FB6F"/>
  <w15:docId w15:val="{12F511F2-000A-45A1-AAEE-86A2BAFDC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5DEA"/>
    <w:rPr>
      <w:rFonts w:ascii="Times New Roman" w:hAnsi="Times New Roman"/>
      <w:sz w:val="24"/>
      <w:szCs w:val="24"/>
    </w:rPr>
  </w:style>
  <w:style w:type="paragraph" w:styleId="Heading1">
    <w:name w:val="heading 1"/>
    <w:aliases w:val="Heading 1.I"/>
    <w:basedOn w:val="Normal"/>
    <w:next w:val="Normal"/>
    <w:link w:val="Heading1Char"/>
    <w:autoRedefine/>
    <w:uiPriority w:val="9"/>
    <w:qFormat/>
    <w:rsid w:val="00E44288"/>
    <w:pPr>
      <w:keepNext/>
      <w:keepLines/>
      <w:tabs>
        <w:tab w:val="left" w:pos="450"/>
      </w:tabs>
      <w:spacing w:after="100" w:afterAutospacing="1"/>
      <w:jc w:val="center"/>
      <w:outlineLvl w:val="0"/>
    </w:pPr>
    <w:rPr>
      <w:rFonts w:ascii="Arial" w:hAnsi="Arial" w:cs="Arial"/>
      <w:b/>
      <w:bCs/>
      <w:lang w:val="es-ES"/>
    </w:rPr>
  </w:style>
  <w:style w:type="paragraph" w:styleId="Heading2">
    <w:name w:val="heading 2"/>
    <w:basedOn w:val="Normal"/>
    <w:next w:val="Normal"/>
    <w:link w:val="Heading2Char"/>
    <w:autoRedefine/>
    <w:uiPriority w:val="9"/>
    <w:qFormat/>
    <w:rsid w:val="007B7847"/>
    <w:pPr>
      <w:keepNext/>
      <w:keepLines/>
      <w:spacing w:before="240" w:after="100" w:afterAutospacing="1"/>
      <w:ind w:left="360"/>
      <w:jc w:val="both"/>
      <w:outlineLvl w:val="1"/>
    </w:pPr>
    <w:rPr>
      <w:rFonts w:ascii="Arial" w:eastAsia="Times New Roman" w:hAnsi="Arial"/>
      <w:b/>
      <w:bCs/>
      <w:sz w:val="22"/>
      <w:szCs w:val="22"/>
      <w:lang w:val="es-ES"/>
    </w:rPr>
  </w:style>
  <w:style w:type="paragraph" w:styleId="Heading3">
    <w:name w:val="heading 3"/>
    <w:basedOn w:val="Normal"/>
    <w:next w:val="Normal"/>
    <w:link w:val="Heading3Char"/>
    <w:uiPriority w:val="9"/>
    <w:qFormat/>
    <w:rsid w:val="00AA7F2E"/>
    <w:pPr>
      <w:keepNext/>
      <w:keepLines/>
      <w:numPr>
        <w:ilvl w:val="2"/>
        <w:numId w:val="3"/>
      </w:numPr>
      <w:spacing w:before="200" w:line="259" w:lineRule="auto"/>
      <w:outlineLvl w:val="2"/>
    </w:pPr>
    <w:rPr>
      <w:rFonts w:ascii="Calibri Light" w:eastAsia="Times New Roman" w:hAnsi="Calibri Light"/>
      <w:b/>
      <w:bCs/>
      <w:color w:val="5B9BD5"/>
      <w:sz w:val="22"/>
      <w:szCs w:val="22"/>
    </w:rPr>
  </w:style>
  <w:style w:type="paragraph" w:styleId="Heading4">
    <w:name w:val="heading 4"/>
    <w:aliases w:val="Heading 4.a"/>
    <w:basedOn w:val="Normal"/>
    <w:next w:val="Normal"/>
    <w:link w:val="Heading4Char"/>
    <w:uiPriority w:val="9"/>
    <w:qFormat/>
    <w:rsid w:val="00AA7F2E"/>
    <w:pPr>
      <w:keepNext/>
      <w:keepLines/>
      <w:numPr>
        <w:ilvl w:val="3"/>
        <w:numId w:val="3"/>
      </w:numPr>
      <w:spacing w:before="200" w:line="259" w:lineRule="auto"/>
      <w:outlineLvl w:val="3"/>
    </w:pPr>
    <w:rPr>
      <w:rFonts w:ascii="Calibri Light" w:eastAsia="Times New Roman" w:hAnsi="Calibri Light"/>
      <w:b/>
      <w:bCs/>
      <w:i/>
      <w:iCs/>
      <w:color w:val="5B9BD5"/>
      <w:sz w:val="22"/>
      <w:szCs w:val="22"/>
    </w:rPr>
  </w:style>
  <w:style w:type="paragraph" w:styleId="Heading5">
    <w:name w:val="heading 5"/>
    <w:aliases w:val="Heading 5.(i)"/>
    <w:basedOn w:val="Normal"/>
    <w:link w:val="Heading5Char"/>
    <w:qFormat/>
    <w:rsid w:val="00AA7F2E"/>
    <w:pPr>
      <w:numPr>
        <w:ilvl w:val="4"/>
        <w:numId w:val="3"/>
      </w:numPr>
      <w:spacing w:before="100" w:beforeAutospacing="1" w:after="100" w:afterAutospacing="1"/>
      <w:outlineLvl w:val="4"/>
    </w:pPr>
    <w:rPr>
      <w:rFonts w:eastAsia="Times New Roman"/>
      <w:b/>
      <w:bCs/>
      <w:sz w:val="20"/>
      <w:szCs w:val="20"/>
    </w:rPr>
  </w:style>
  <w:style w:type="paragraph" w:styleId="Heading6">
    <w:name w:val="heading 6"/>
    <w:basedOn w:val="Normal"/>
    <w:next w:val="Normal"/>
    <w:link w:val="Heading6Char"/>
    <w:qFormat/>
    <w:rsid w:val="00AA7F2E"/>
    <w:pPr>
      <w:keepNext/>
      <w:keepLines/>
      <w:numPr>
        <w:ilvl w:val="5"/>
        <w:numId w:val="3"/>
      </w:numPr>
      <w:spacing w:before="200" w:line="259" w:lineRule="auto"/>
      <w:outlineLvl w:val="5"/>
    </w:pPr>
    <w:rPr>
      <w:rFonts w:ascii="Calibri Light" w:eastAsia="Times New Roman" w:hAnsi="Calibri Light"/>
      <w:i/>
      <w:iCs/>
      <w:color w:val="1F4D78"/>
      <w:sz w:val="22"/>
      <w:szCs w:val="22"/>
    </w:rPr>
  </w:style>
  <w:style w:type="paragraph" w:styleId="Heading7">
    <w:name w:val="heading 7"/>
    <w:basedOn w:val="Normal"/>
    <w:next w:val="Normal"/>
    <w:link w:val="Heading7Char"/>
    <w:qFormat/>
    <w:rsid w:val="00AA7F2E"/>
    <w:pPr>
      <w:keepNext/>
      <w:keepLines/>
      <w:numPr>
        <w:ilvl w:val="6"/>
        <w:numId w:val="3"/>
      </w:numPr>
      <w:spacing w:before="200" w:line="259" w:lineRule="auto"/>
      <w:outlineLvl w:val="6"/>
    </w:pPr>
    <w:rPr>
      <w:rFonts w:ascii="Calibri Light" w:eastAsia="Times New Roman" w:hAnsi="Calibri Light"/>
      <w:i/>
      <w:iCs/>
      <w:color w:val="404040"/>
      <w:sz w:val="22"/>
      <w:szCs w:val="22"/>
    </w:rPr>
  </w:style>
  <w:style w:type="paragraph" w:styleId="Heading8">
    <w:name w:val="heading 8"/>
    <w:basedOn w:val="Normal"/>
    <w:next w:val="Normal"/>
    <w:link w:val="Heading8Char"/>
    <w:qFormat/>
    <w:rsid w:val="00AA7F2E"/>
    <w:pPr>
      <w:keepNext/>
      <w:keepLines/>
      <w:numPr>
        <w:ilvl w:val="7"/>
        <w:numId w:val="3"/>
      </w:numPr>
      <w:spacing w:before="200" w:line="259" w:lineRule="auto"/>
      <w:outlineLvl w:val="7"/>
    </w:pPr>
    <w:rPr>
      <w:rFonts w:ascii="Calibri Light" w:eastAsia="Times New Roman" w:hAnsi="Calibri Light"/>
      <w:color w:val="404040"/>
      <w:sz w:val="20"/>
      <w:szCs w:val="20"/>
    </w:rPr>
  </w:style>
  <w:style w:type="paragraph" w:styleId="Heading9">
    <w:name w:val="heading 9"/>
    <w:basedOn w:val="Normal"/>
    <w:next w:val="Normal"/>
    <w:link w:val="Heading9Char"/>
    <w:qFormat/>
    <w:rsid w:val="00AA7F2E"/>
    <w:pPr>
      <w:keepNext/>
      <w:keepLines/>
      <w:numPr>
        <w:ilvl w:val="8"/>
        <w:numId w:val="3"/>
      </w:numPr>
      <w:spacing w:before="200" w:line="259" w:lineRule="auto"/>
      <w:outlineLvl w:val="8"/>
    </w:pPr>
    <w:rPr>
      <w:rFonts w:ascii="Calibri Light" w:eastAsia="Times New Roma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link w:val="Heading5"/>
    <w:rsid w:val="00AA7F2E"/>
    <w:rPr>
      <w:rFonts w:ascii="Times New Roman" w:eastAsia="Times New Roman" w:hAnsi="Times New Roman"/>
      <w:b/>
      <w:bCs/>
    </w:rPr>
  </w:style>
  <w:style w:type="paragraph" w:styleId="NormalWeb">
    <w:name w:val="Normal (Web)"/>
    <w:basedOn w:val="Normal"/>
    <w:uiPriority w:val="99"/>
    <w:unhideWhenUsed/>
    <w:rsid w:val="00CE573A"/>
    <w:pPr>
      <w:spacing w:before="100" w:beforeAutospacing="1" w:after="100" w:afterAutospacing="1"/>
    </w:pPr>
    <w:rPr>
      <w:rFonts w:eastAsia="Times New Roman"/>
      <w:sz w:val="22"/>
    </w:rPr>
  </w:style>
  <w:style w:type="table" w:styleId="TableGrid">
    <w:name w:val="Table Grid"/>
    <w:basedOn w:val="TableNormal"/>
    <w:uiPriority w:val="39"/>
    <w:rsid w:val="00E80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CD3F09"/>
    <w:rPr>
      <w:i/>
      <w:iCs/>
    </w:rPr>
  </w:style>
  <w:style w:type="character" w:customStyle="1" w:styleId="apple-converted-space">
    <w:name w:val="apple-converted-space"/>
    <w:basedOn w:val="DefaultParagraphFont"/>
    <w:rsid w:val="00CD3F09"/>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
    <w:basedOn w:val="Normal"/>
    <w:link w:val="FootnoteTextChar"/>
    <w:unhideWhenUsed/>
    <w:qFormat/>
    <w:rsid w:val="008C5F59"/>
    <w:pPr>
      <w:keepNext/>
      <w:keepLines/>
      <w:spacing w:after="120"/>
      <w:ind w:left="288" w:hanging="288"/>
      <w:jc w:val="both"/>
    </w:pPr>
    <w:rPr>
      <w:spacing w:val="-3"/>
      <w:sz w:val="20"/>
      <w:szCs w:val="20"/>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link w:val="FootnoteText"/>
    <w:rsid w:val="008C5F59"/>
    <w:rPr>
      <w:rFonts w:ascii="Times New Roman" w:hAnsi="Times New Roman" w:cs="Times New Roman"/>
      <w:spacing w:val="-3"/>
      <w:sz w:val="20"/>
      <w:szCs w:val="20"/>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
    <w:unhideWhenUsed/>
    <w:qFormat/>
    <w:rsid w:val="008C5F59"/>
    <w:rPr>
      <w:vertAlign w:val="superscript"/>
    </w:rPr>
  </w:style>
  <w:style w:type="character" w:styleId="Hyperlink">
    <w:name w:val="Hyperlink"/>
    <w:unhideWhenUsed/>
    <w:rsid w:val="002B1B9F"/>
    <w:rPr>
      <w:color w:val="0000FF"/>
      <w:u w:val="single"/>
    </w:rPr>
  </w:style>
  <w:style w:type="paragraph" w:styleId="BalloonText">
    <w:name w:val="Balloon Text"/>
    <w:basedOn w:val="Normal"/>
    <w:link w:val="BalloonTextChar"/>
    <w:uiPriority w:val="99"/>
    <w:semiHidden/>
    <w:unhideWhenUsed/>
    <w:rsid w:val="00353BD9"/>
    <w:rPr>
      <w:rFonts w:ascii="Tahoma" w:hAnsi="Tahoma" w:cs="Tahoma"/>
      <w:sz w:val="16"/>
      <w:szCs w:val="16"/>
    </w:rPr>
  </w:style>
  <w:style w:type="character" w:customStyle="1" w:styleId="BalloonTextChar">
    <w:name w:val="Balloon Text Char"/>
    <w:link w:val="BalloonText"/>
    <w:uiPriority w:val="99"/>
    <w:semiHidden/>
    <w:rsid w:val="00353BD9"/>
    <w:rPr>
      <w:rFonts w:ascii="Tahoma" w:hAnsi="Tahoma" w:cs="Tahoma"/>
      <w:sz w:val="16"/>
      <w:szCs w:val="16"/>
    </w:rPr>
  </w:style>
  <w:style w:type="paragraph" w:customStyle="1" w:styleId="ColorfulList-Accent11">
    <w:name w:val="Colorful List - Accent 11"/>
    <w:basedOn w:val="Normal"/>
    <w:link w:val="ColorfulList-Accent1Char1"/>
    <w:uiPriority w:val="34"/>
    <w:qFormat/>
    <w:rsid w:val="00353BD9"/>
    <w:pPr>
      <w:spacing w:after="160" w:line="259" w:lineRule="auto"/>
      <w:ind w:left="720"/>
      <w:contextualSpacing/>
    </w:pPr>
    <w:rPr>
      <w:rFonts w:ascii="Arial" w:hAnsi="Arial"/>
      <w:sz w:val="22"/>
      <w:szCs w:val="22"/>
    </w:rPr>
  </w:style>
  <w:style w:type="paragraph" w:styleId="Title">
    <w:name w:val="Title"/>
    <w:basedOn w:val="Normal"/>
    <w:link w:val="TitleChar"/>
    <w:qFormat/>
    <w:rsid w:val="00FD15EB"/>
    <w:pPr>
      <w:tabs>
        <w:tab w:val="left" w:pos="1440"/>
        <w:tab w:val="left" w:pos="3060"/>
      </w:tabs>
      <w:jc w:val="center"/>
      <w:outlineLvl w:val="0"/>
    </w:pPr>
    <w:rPr>
      <w:rFonts w:eastAsia="Times New Roman"/>
      <w:sz w:val="22"/>
      <w:szCs w:val="20"/>
    </w:rPr>
  </w:style>
  <w:style w:type="character" w:customStyle="1" w:styleId="TitleChar">
    <w:name w:val="Title Char"/>
    <w:link w:val="Title"/>
    <w:rsid w:val="00FD15EB"/>
    <w:rPr>
      <w:rFonts w:ascii="Times New Roman" w:eastAsia="Times New Roman" w:hAnsi="Times New Roman" w:cs="Times New Roman"/>
      <w:sz w:val="24"/>
      <w:szCs w:val="20"/>
    </w:rPr>
  </w:style>
  <w:style w:type="paragraph" w:customStyle="1" w:styleId="Newpage">
    <w:name w:val="Newpage"/>
    <w:basedOn w:val="Normal"/>
    <w:rsid w:val="00FD15EB"/>
    <w:pPr>
      <w:tabs>
        <w:tab w:val="left" w:pos="1440"/>
        <w:tab w:val="left" w:pos="3060"/>
      </w:tabs>
      <w:jc w:val="center"/>
    </w:pPr>
    <w:rPr>
      <w:rFonts w:eastAsia="Times New Roman" w:cs="Arial"/>
      <w:b/>
      <w:smallCaps/>
      <w:sz w:val="22"/>
      <w:szCs w:val="20"/>
    </w:rPr>
  </w:style>
  <w:style w:type="paragraph" w:customStyle="1" w:styleId="Listavistosa-nfasis11">
    <w:name w:val="Lista vistosa - Énfasis 11"/>
    <w:basedOn w:val="Normal"/>
    <w:link w:val="Listavistosa-nfasis1Car"/>
    <w:uiPriority w:val="34"/>
    <w:qFormat/>
    <w:rsid w:val="00A437CC"/>
    <w:pPr>
      <w:ind w:left="720"/>
      <w:contextualSpacing/>
    </w:pPr>
    <w:rPr>
      <w:rFonts w:ascii="Calibri" w:hAnsi="Calibri"/>
      <w:sz w:val="22"/>
      <w:szCs w:val="22"/>
      <w:lang w:val="es-ES_tradnl"/>
    </w:rPr>
  </w:style>
  <w:style w:type="character" w:customStyle="1" w:styleId="Listavistosa-nfasis1Car">
    <w:name w:val="Lista vistosa - Énfasis 1 Car"/>
    <w:link w:val="Listavistosa-nfasis11"/>
    <w:uiPriority w:val="34"/>
    <w:rsid w:val="00A437CC"/>
    <w:rPr>
      <w:rFonts w:ascii="Calibri" w:eastAsia="Calibri" w:hAnsi="Calibri" w:cs="Times New Roman"/>
      <w:lang w:val="es-ES_tradnl"/>
    </w:rPr>
  </w:style>
  <w:style w:type="character" w:customStyle="1" w:styleId="Heading1Char">
    <w:name w:val="Heading 1 Char"/>
    <w:aliases w:val="Heading 1.I Char"/>
    <w:link w:val="Heading1"/>
    <w:uiPriority w:val="9"/>
    <w:rsid w:val="00E44288"/>
    <w:rPr>
      <w:rFonts w:ascii="Arial" w:hAnsi="Arial" w:cs="Arial"/>
      <w:b/>
      <w:bCs/>
      <w:sz w:val="24"/>
      <w:szCs w:val="24"/>
      <w:lang w:val="es-ES"/>
    </w:rPr>
  </w:style>
  <w:style w:type="paragraph" w:styleId="TOCHeading">
    <w:name w:val="TOC Heading"/>
    <w:basedOn w:val="Heading1"/>
    <w:next w:val="Normal"/>
    <w:uiPriority w:val="39"/>
    <w:semiHidden/>
    <w:unhideWhenUsed/>
    <w:qFormat/>
    <w:rsid w:val="00AA7F2E"/>
    <w:pPr>
      <w:spacing w:line="276" w:lineRule="auto"/>
      <w:outlineLvl w:val="9"/>
    </w:pPr>
    <w:rPr>
      <w:lang w:eastAsia="ja-JP"/>
    </w:rPr>
  </w:style>
  <w:style w:type="paragraph" w:customStyle="1" w:styleId="Chapter">
    <w:name w:val="Chapter"/>
    <w:basedOn w:val="Normal"/>
    <w:next w:val="Normal"/>
    <w:link w:val="ChapterChar"/>
    <w:rsid w:val="00AA7F2E"/>
    <w:pPr>
      <w:keepNext/>
      <w:numPr>
        <w:numId w:val="3"/>
      </w:numPr>
      <w:tabs>
        <w:tab w:val="num" w:pos="648"/>
        <w:tab w:val="left" w:pos="1440"/>
      </w:tabs>
      <w:spacing w:before="240" w:after="240"/>
      <w:ind w:left="0" w:firstLine="288"/>
      <w:jc w:val="center"/>
    </w:pPr>
    <w:rPr>
      <w:b/>
      <w:smallCaps/>
      <w:sz w:val="22"/>
      <w:szCs w:val="22"/>
      <w:lang w:val="es-ES"/>
    </w:rPr>
  </w:style>
  <w:style w:type="character" w:customStyle="1" w:styleId="ColorfulList-Accent1Char1">
    <w:name w:val="Colorful List - Accent 1 Char1"/>
    <w:basedOn w:val="DefaultParagraphFont"/>
    <w:link w:val="ColorfulList-Accent11"/>
    <w:uiPriority w:val="34"/>
    <w:rsid w:val="00AA7F2E"/>
  </w:style>
  <w:style w:type="character" w:customStyle="1" w:styleId="ChapterChar">
    <w:name w:val="Chapter Char"/>
    <w:link w:val="Chapter"/>
    <w:rsid w:val="00AA7F2E"/>
    <w:rPr>
      <w:rFonts w:ascii="Times New Roman" w:hAnsi="Times New Roman"/>
      <w:b/>
      <w:smallCaps/>
      <w:sz w:val="22"/>
      <w:szCs w:val="22"/>
      <w:lang w:val="es-ES"/>
    </w:rPr>
  </w:style>
  <w:style w:type="paragraph" w:customStyle="1" w:styleId="FirstHeading">
    <w:name w:val="FirstHeading"/>
    <w:basedOn w:val="Normal"/>
    <w:next w:val="Normal"/>
    <w:link w:val="FirstHeadingChar"/>
    <w:rsid w:val="00AA7F2E"/>
    <w:pPr>
      <w:keepNext/>
      <w:numPr>
        <w:numId w:val="1"/>
      </w:numPr>
      <w:tabs>
        <w:tab w:val="left" w:pos="0"/>
        <w:tab w:val="left" w:pos="86"/>
      </w:tabs>
      <w:spacing w:before="120" w:after="120"/>
    </w:pPr>
    <w:rPr>
      <w:b/>
      <w:sz w:val="22"/>
      <w:szCs w:val="22"/>
      <w:lang w:val="es-ES"/>
    </w:rPr>
  </w:style>
  <w:style w:type="character" w:customStyle="1" w:styleId="FirstHeadingChar">
    <w:name w:val="FirstHeading Char"/>
    <w:link w:val="FirstHeading"/>
    <w:rsid w:val="00AA7F2E"/>
    <w:rPr>
      <w:rFonts w:ascii="Times New Roman" w:hAnsi="Times New Roman"/>
      <w:b/>
      <w:sz w:val="22"/>
      <w:szCs w:val="22"/>
      <w:lang w:val="es-ES"/>
    </w:rPr>
  </w:style>
  <w:style w:type="paragraph" w:customStyle="1" w:styleId="SecHeading">
    <w:name w:val="SecHeading"/>
    <w:basedOn w:val="Normal"/>
    <w:next w:val="Paragraph"/>
    <w:link w:val="SecHeadingChar"/>
    <w:rsid w:val="00AA7F2E"/>
    <w:pPr>
      <w:keepNext/>
      <w:tabs>
        <w:tab w:val="num" w:pos="1296"/>
      </w:tabs>
      <w:spacing w:before="120" w:after="120"/>
      <w:ind w:left="1296" w:hanging="576"/>
    </w:pPr>
    <w:rPr>
      <w:b/>
      <w:sz w:val="22"/>
      <w:szCs w:val="22"/>
      <w:lang w:val="es-ES"/>
    </w:rPr>
  </w:style>
  <w:style w:type="character" w:customStyle="1" w:styleId="SecHeadingChar">
    <w:name w:val="SecHeading Char"/>
    <w:link w:val="SecHeading"/>
    <w:rsid w:val="00AA7F2E"/>
    <w:rPr>
      <w:rFonts w:ascii="Times New Roman" w:hAnsi="Times New Roman" w:cs="Times New Roman"/>
      <w:b/>
      <w:sz w:val="24"/>
      <w:lang w:val="es-ES"/>
    </w:rPr>
  </w:style>
  <w:style w:type="paragraph" w:customStyle="1" w:styleId="SubHeading1">
    <w:name w:val="SubHeading1"/>
    <w:basedOn w:val="SecHeading"/>
    <w:link w:val="SubHeading1Char"/>
    <w:rsid w:val="00AA7F2E"/>
    <w:pPr>
      <w:tabs>
        <w:tab w:val="clear" w:pos="1296"/>
        <w:tab w:val="num" w:pos="1872"/>
      </w:tabs>
      <w:ind w:left="1872"/>
    </w:pPr>
  </w:style>
  <w:style w:type="character" w:customStyle="1" w:styleId="SubHeading1Char">
    <w:name w:val="SubHeading1 Char"/>
    <w:link w:val="SubHeading1"/>
    <w:rsid w:val="00AA7F2E"/>
    <w:rPr>
      <w:rFonts w:ascii="Times New Roman" w:hAnsi="Times New Roman" w:cs="Times New Roman"/>
      <w:b/>
      <w:sz w:val="24"/>
      <w:lang w:val="es-ES"/>
    </w:rPr>
  </w:style>
  <w:style w:type="paragraph" w:customStyle="1" w:styleId="Subheading2">
    <w:name w:val="Subheading2"/>
    <w:basedOn w:val="SecHeading"/>
    <w:link w:val="Subheading2Char"/>
    <w:rsid w:val="00AA7F2E"/>
    <w:pPr>
      <w:tabs>
        <w:tab w:val="clear" w:pos="1296"/>
        <w:tab w:val="num" w:pos="2376"/>
      </w:tabs>
      <w:ind w:left="2376" w:hanging="288"/>
    </w:pPr>
  </w:style>
  <w:style w:type="character" w:customStyle="1" w:styleId="Subheading2Char">
    <w:name w:val="Subheading2 Char"/>
    <w:link w:val="Subheading2"/>
    <w:rsid w:val="00AA7F2E"/>
    <w:rPr>
      <w:rFonts w:ascii="Times New Roman" w:hAnsi="Times New Roman" w:cs="Times New Roman"/>
      <w:b/>
      <w:sz w:val="24"/>
      <w:lang w:val="es-ES"/>
    </w:rPr>
  </w:style>
  <w:style w:type="paragraph" w:customStyle="1" w:styleId="Paragraph">
    <w:name w:val="Paragraph"/>
    <w:aliases w:val="paragraph,p,PARAGRAPH,PG,pa,at"/>
    <w:basedOn w:val="BodyTextIndent"/>
    <w:link w:val="ParagraphChar"/>
    <w:qFormat/>
    <w:rsid w:val="00AA7F2E"/>
    <w:pPr>
      <w:tabs>
        <w:tab w:val="num" w:pos="720"/>
      </w:tabs>
      <w:spacing w:before="120"/>
      <w:ind w:left="720" w:hanging="720"/>
      <w:jc w:val="both"/>
      <w:outlineLvl w:val="1"/>
    </w:pPr>
    <w:rPr>
      <w:lang w:val="es-ES"/>
    </w:rPr>
  </w:style>
  <w:style w:type="character" w:customStyle="1" w:styleId="ParagraphChar">
    <w:name w:val="Paragraph Char"/>
    <w:link w:val="Paragraph"/>
    <w:rsid w:val="00AA7F2E"/>
    <w:rPr>
      <w:rFonts w:ascii="Times New Roman" w:hAnsi="Times New Roman" w:cs="Times New Roman"/>
      <w:sz w:val="24"/>
      <w:lang w:val="es-ES"/>
    </w:rPr>
  </w:style>
  <w:style w:type="paragraph" w:customStyle="1" w:styleId="subpar">
    <w:name w:val="subpar"/>
    <w:basedOn w:val="BodyTextIndent3"/>
    <w:link w:val="subparChar"/>
    <w:rsid w:val="00AA7F2E"/>
    <w:pPr>
      <w:tabs>
        <w:tab w:val="num" w:pos="1152"/>
      </w:tabs>
      <w:spacing w:before="120"/>
      <w:ind w:left="1152" w:hanging="432"/>
      <w:jc w:val="both"/>
      <w:outlineLvl w:val="2"/>
    </w:pPr>
    <w:rPr>
      <w:lang w:val="es-ES"/>
    </w:rPr>
  </w:style>
  <w:style w:type="character" w:customStyle="1" w:styleId="subparChar">
    <w:name w:val="subpar Char"/>
    <w:link w:val="subpar"/>
    <w:rsid w:val="00AA7F2E"/>
    <w:rPr>
      <w:rFonts w:ascii="Times New Roman" w:hAnsi="Times New Roman" w:cs="Times New Roman"/>
      <w:sz w:val="24"/>
      <w:szCs w:val="16"/>
      <w:lang w:val="es-ES"/>
    </w:rPr>
  </w:style>
  <w:style w:type="paragraph" w:customStyle="1" w:styleId="SubSubPar">
    <w:name w:val="SubSubPar"/>
    <w:basedOn w:val="subpar"/>
    <w:link w:val="SubSubParChar"/>
    <w:rsid w:val="00AA7F2E"/>
    <w:pPr>
      <w:tabs>
        <w:tab w:val="clear" w:pos="1152"/>
        <w:tab w:val="left" w:pos="0"/>
        <w:tab w:val="num" w:pos="1296"/>
      </w:tabs>
      <w:ind w:left="1296" w:hanging="288"/>
    </w:pPr>
  </w:style>
  <w:style w:type="character" w:customStyle="1" w:styleId="SubSubParChar">
    <w:name w:val="SubSubPar Char"/>
    <w:link w:val="SubSubPar"/>
    <w:rsid w:val="00AA7F2E"/>
    <w:rPr>
      <w:rFonts w:ascii="Times New Roman" w:hAnsi="Times New Roman" w:cs="Times New Roman"/>
      <w:sz w:val="24"/>
      <w:szCs w:val="16"/>
      <w:lang w:val="es-ES"/>
    </w:rPr>
  </w:style>
  <w:style w:type="paragraph" w:customStyle="1" w:styleId="Regtable">
    <w:name w:val="Regtable"/>
    <w:basedOn w:val="Normal"/>
    <w:link w:val="RegtableChar"/>
    <w:rsid w:val="00AA7F2E"/>
    <w:pPr>
      <w:keepLines/>
      <w:framePr w:wrap="around" w:vAnchor="text" w:hAnchor="text" w:y="1"/>
      <w:spacing w:before="20" w:after="20"/>
    </w:pPr>
    <w:rPr>
      <w:sz w:val="20"/>
      <w:szCs w:val="22"/>
      <w:lang w:val="es-ES"/>
    </w:rPr>
  </w:style>
  <w:style w:type="character" w:customStyle="1" w:styleId="RegtableChar">
    <w:name w:val="Regtable Char"/>
    <w:link w:val="Regtable"/>
    <w:rsid w:val="00AA7F2E"/>
    <w:rPr>
      <w:rFonts w:ascii="Times New Roman" w:hAnsi="Times New Roman" w:cs="Times New Roman"/>
      <w:sz w:val="20"/>
      <w:lang w:val="es-ES"/>
    </w:rPr>
  </w:style>
  <w:style w:type="paragraph" w:customStyle="1" w:styleId="TableTitle">
    <w:name w:val="TableTitle"/>
    <w:basedOn w:val="Normal"/>
    <w:link w:val="TableTitleChar"/>
    <w:rsid w:val="00AA7F2E"/>
    <w:pPr>
      <w:keepNext/>
      <w:framePr w:wrap="around" w:vAnchor="text" w:hAnchor="text" w:y="1"/>
      <w:spacing w:before="20" w:after="20"/>
      <w:jc w:val="center"/>
    </w:pPr>
    <w:rPr>
      <w:rFonts w:ascii="Times New Roman Bold" w:hAnsi="Times New Roman Bold"/>
      <w:b/>
      <w:spacing w:val="-3"/>
      <w:sz w:val="20"/>
      <w:szCs w:val="22"/>
      <w:lang w:val="es-ES"/>
    </w:rPr>
  </w:style>
  <w:style w:type="character" w:customStyle="1" w:styleId="TableTitleChar">
    <w:name w:val="TableTitle Char"/>
    <w:link w:val="TableTitle"/>
    <w:rsid w:val="00AA7F2E"/>
    <w:rPr>
      <w:rFonts w:ascii="Times New Roman Bold" w:hAnsi="Times New Roman Bold"/>
      <w:b/>
      <w:spacing w:val="-3"/>
      <w:sz w:val="20"/>
      <w:lang w:val="es-ES"/>
    </w:rPr>
  </w:style>
  <w:style w:type="character" w:customStyle="1" w:styleId="Heading2Char">
    <w:name w:val="Heading 2 Char"/>
    <w:link w:val="Heading2"/>
    <w:uiPriority w:val="9"/>
    <w:rsid w:val="007B7847"/>
    <w:rPr>
      <w:rFonts w:ascii="Arial" w:eastAsia="Times New Roman" w:hAnsi="Arial"/>
      <w:b/>
      <w:bCs/>
      <w:sz w:val="22"/>
      <w:szCs w:val="22"/>
      <w:lang w:val="es-ES"/>
    </w:rPr>
  </w:style>
  <w:style w:type="character" w:customStyle="1" w:styleId="Heading3Char">
    <w:name w:val="Heading 3 Char"/>
    <w:link w:val="Heading3"/>
    <w:uiPriority w:val="9"/>
    <w:rsid w:val="00AA7F2E"/>
    <w:rPr>
      <w:rFonts w:ascii="Calibri Light" w:eastAsia="Times New Roman" w:hAnsi="Calibri Light"/>
      <w:b/>
      <w:bCs/>
      <w:color w:val="5B9BD5"/>
      <w:sz w:val="22"/>
      <w:szCs w:val="22"/>
    </w:rPr>
  </w:style>
  <w:style w:type="character" w:customStyle="1" w:styleId="Heading4Char">
    <w:name w:val="Heading 4 Char"/>
    <w:aliases w:val="Heading 4.a Char"/>
    <w:link w:val="Heading4"/>
    <w:uiPriority w:val="9"/>
    <w:rsid w:val="00AA7F2E"/>
    <w:rPr>
      <w:rFonts w:ascii="Calibri Light" w:eastAsia="Times New Roman" w:hAnsi="Calibri Light"/>
      <w:b/>
      <w:bCs/>
      <w:i/>
      <w:iCs/>
      <w:color w:val="5B9BD5"/>
      <w:sz w:val="22"/>
      <w:szCs w:val="22"/>
    </w:rPr>
  </w:style>
  <w:style w:type="character" w:customStyle="1" w:styleId="Heading6Char">
    <w:name w:val="Heading 6 Char"/>
    <w:link w:val="Heading6"/>
    <w:rsid w:val="00AA7F2E"/>
    <w:rPr>
      <w:rFonts w:ascii="Calibri Light" w:eastAsia="Times New Roman" w:hAnsi="Calibri Light"/>
      <w:i/>
      <w:iCs/>
      <w:color w:val="1F4D78"/>
      <w:sz w:val="22"/>
      <w:szCs w:val="22"/>
    </w:rPr>
  </w:style>
  <w:style w:type="character" w:customStyle="1" w:styleId="Heading7Char">
    <w:name w:val="Heading 7 Char"/>
    <w:link w:val="Heading7"/>
    <w:rsid w:val="00AA7F2E"/>
    <w:rPr>
      <w:rFonts w:ascii="Calibri Light" w:eastAsia="Times New Roman" w:hAnsi="Calibri Light"/>
      <w:i/>
      <w:iCs/>
      <w:color w:val="404040"/>
      <w:sz w:val="22"/>
      <w:szCs w:val="22"/>
    </w:rPr>
  </w:style>
  <w:style w:type="character" w:customStyle="1" w:styleId="Heading8Char">
    <w:name w:val="Heading 8 Char"/>
    <w:link w:val="Heading8"/>
    <w:rsid w:val="00AA7F2E"/>
    <w:rPr>
      <w:rFonts w:ascii="Calibri Light" w:eastAsia="Times New Roman" w:hAnsi="Calibri Light"/>
      <w:color w:val="404040"/>
    </w:rPr>
  </w:style>
  <w:style w:type="character" w:customStyle="1" w:styleId="Heading9Char">
    <w:name w:val="Heading 9 Char"/>
    <w:link w:val="Heading9"/>
    <w:rsid w:val="00AA7F2E"/>
    <w:rPr>
      <w:rFonts w:ascii="Calibri Light" w:eastAsia="Times New Roman" w:hAnsi="Calibri Light"/>
      <w:i/>
      <w:iCs/>
      <w:color w:val="404040"/>
    </w:rPr>
  </w:style>
  <w:style w:type="paragraph" w:styleId="BodyTextIndent">
    <w:name w:val="Body Text Indent"/>
    <w:basedOn w:val="Normal"/>
    <w:link w:val="BodyTextIndentChar"/>
    <w:uiPriority w:val="99"/>
    <w:semiHidden/>
    <w:unhideWhenUsed/>
    <w:rsid w:val="00AA7F2E"/>
    <w:pPr>
      <w:spacing w:after="120"/>
      <w:ind w:left="360"/>
    </w:pPr>
    <w:rPr>
      <w:sz w:val="22"/>
      <w:szCs w:val="22"/>
    </w:rPr>
  </w:style>
  <w:style w:type="character" w:customStyle="1" w:styleId="BodyTextIndentChar">
    <w:name w:val="Body Text Indent Char"/>
    <w:link w:val="BodyTextIndent"/>
    <w:uiPriority w:val="99"/>
    <w:semiHidden/>
    <w:rsid w:val="00AA7F2E"/>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AA7F2E"/>
    <w:pPr>
      <w:spacing w:after="120"/>
      <w:ind w:left="360"/>
    </w:pPr>
    <w:rPr>
      <w:sz w:val="22"/>
      <w:szCs w:val="16"/>
    </w:rPr>
  </w:style>
  <w:style w:type="character" w:customStyle="1" w:styleId="BodyTextIndent3Char">
    <w:name w:val="Body Text Indent 3 Char"/>
    <w:link w:val="BodyTextIndent3"/>
    <w:uiPriority w:val="99"/>
    <w:semiHidden/>
    <w:rsid w:val="00AA7F2E"/>
    <w:rPr>
      <w:rFonts w:ascii="Times New Roman" w:hAnsi="Times New Roman" w:cs="Times New Roman"/>
      <w:sz w:val="24"/>
      <w:szCs w:val="16"/>
    </w:rPr>
  </w:style>
  <w:style w:type="paragraph" w:styleId="TOC1">
    <w:name w:val="toc 1"/>
    <w:basedOn w:val="Normal"/>
    <w:next w:val="Normal"/>
    <w:autoRedefine/>
    <w:uiPriority w:val="39"/>
    <w:unhideWhenUsed/>
    <w:rsid w:val="00024AE0"/>
    <w:pPr>
      <w:tabs>
        <w:tab w:val="right" w:leader="dot" w:pos="9350"/>
      </w:tabs>
      <w:spacing w:before="120" w:line="259" w:lineRule="auto"/>
      <w:jc w:val="center"/>
    </w:pPr>
    <w:rPr>
      <w:rFonts w:ascii="Arial" w:hAnsi="Arial" w:cs="Arial"/>
      <w:b/>
      <w:smallCaps/>
      <w:sz w:val="22"/>
      <w:szCs w:val="22"/>
      <w:lang w:val="es-ES"/>
    </w:rPr>
  </w:style>
  <w:style w:type="paragraph" w:styleId="TOC2">
    <w:name w:val="toc 2"/>
    <w:basedOn w:val="Normal"/>
    <w:next w:val="Normal"/>
    <w:autoRedefine/>
    <w:uiPriority w:val="39"/>
    <w:unhideWhenUsed/>
    <w:rsid w:val="00024AE0"/>
    <w:pPr>
      <w:tabs>
        <w:tab w:val="left" w:pos="720"/>
        <w:tab w:val="right" w:leader="dot" w:pos="9350"/>
      </w:tabs>
      <w:spacing w:line="259" w:lineRule="auto"/>
      <w:ind w:left="240"/>
    </w:pPr>
    <w:rPr>
      <w:rFonts w:ascii="Arial" w:hAnsi="Arial" w:cs="Arial"/>
      <w:i/>
      <w:noProof/>
      <w:sz w:val="22"/>
      <w:szCs w:val="22"/>
      <w:lang w:val="es-ES"/>
    </w:rPr>
  </w:style>
  <w:style w:type="paragraph" w:styleId="TOC3">
    <w:name w:val="toc 3"/>
    <w:basedOn w:val="Normal"/>
    <w:next w:val="Normal"/>
    <w:autoRedefine/>
    <w:uiPriority w:val="39"/>
    <w:unhideWhenUsed/>
    <w:rsid w:val="00AA7F2E"/>
    <w:pPr>
      <w:spacing w:line="259" w:lineRule="auto"/>
      <w:ind w:left="480"/>
    </w:pPr>
    <w:rPr>
      <w:rFonts w:asciiTheme="minorHAnsi" w:hAnsiTheme="minorHAnsi"/>
      <w:sz w:val="22"/>
      <w:szCs w:val="22"/>
    </w:rPr>
  </w:style>
  <w:style w:type="character" w:styleId="CommentReference">
    <w:name w:val="annotation reference"/>
    <w:rsid w:val="002356B7"/>
    <w:rPr>
      <w:sz w:val="16"/>
      <w:szCs w:val="16"/>
    </w:rPr>
  </w:style>
  <w:style w:type="paragraph" w:styleId="CommentText">
    <w:name w:val="annotation text"/>
    <w:basedOn w:val="Normal"/>
    <w:link w:val="CommentTextChar"/>
    <w:rsid w:val="002356B7"/>
    <w:rPr>
      <w:rFonts w:eastAsia="Times New Roman"/>
      <w:spacing w:val="-3"/>
      <w:sz w:val="20"/>
      <w:szCs w:val="20"/>
      <w:lang w:val="es-ES_tradnl"/>
    </w:rPr>
  </w:style>
  <w:style w:type="character" w:customStyle="1" w:styleId="CommentTextChar">
    <w:name w:val="Comment Text Char"/>
    <w:link w:val="CommentText"/>
    <w:rsid w:val="002356B7"/>
    <w:rPr>
      <w:rFonts w:ascii="Times New Roman" w:eastAsia="Times New Roman" w:hAnsi="Times New Roman" w:cs="Times New Roman"/>
      <w:spacing w:val="-3"/>
      <w:sz w:val="20"/>
      <w:szCs w:val="20"/>
      <w:lang w:val="es-ES_tradnl"/>
    </w:rPr>
  </w:style>
  <w:style w:type="paragraph" w:customStyle="1" w:styleId="AutoNumpara">
    <w:name w:val="AutoNumpara"/>
    <w:basedOn w:val="BodyTextIndent"/>
    <w:rsid w:val="002356B7"/>
    <w:pPr>
      <w:tabs>
        <w:tab w:val="num" w:pos="720"/>
      </w:tabs>
      <w:spacing w:before="120"/>
      <w:ind w:left="720" w:hanging="720"/>
      <w:jc w:val="both"/>
    </w:pPr>
    <w:rPr>
      <w:rFonts w:eastAsia="Times New Roman"/>
      <w:noProof/>
      <w:spacing w:val="-2"/>
      <w:szCs w:val="20"/>
      <w:lang w:val="es-ES_tradnl"/>
    </w:rPr>
  </w:style>
  <w:style w:type="paragraph" w:customStyle="1" w:styleId="ColorfulList-Accent110">
    <w:name w:val="Colorful List - Accent 110"/>
    <w:basedOn w:val="Normal"/>
    <w:link w:val="ColorfulList-Accent1Char"/>
    <w:uiPriority w:val="34"/>
    <w:qFormat/>
    <w:rsid w:val="00CE3C89"/>
    <w:pPr>
      <w:ind w:left="720"/>
      <w:contextualSpacing/>
    </w:pPr>
    <w:rPr>
      <w:rFonts w:ascii="Calibri" w:hAnsi="Calibri"/>
      <w:sz w:val="22"/>
      <w:szCs w:val="22"/>
      <w:lang w:val="es-ES_tradnl"/>
    </w:rPr>
  </w:style>
  <w:style w:type="character" w:customStyle="1" w:styleId="ColorfulList-Accent1Char">
    <w:name w:val="Colorful List - Accent 1 Char"/>
    <w:link w:val="ColorfulList-Accent110"/>
    <w:uiPriority w:val="34"/>
    <w:rsid w:val="00337974"/>
    <w:rPr>
      <w:rFonts w:ascii="Calibri" w:eastAsia="Calibri" w:hAnsi="Calibri" w:cs="Times New Roman"/>
      <w:lang w:val="es-ES_tradnl"/>
    </w:rPr>
  </w:style>
  <w:style w:type="paragraph" w:customStyle="1" w:styleId="Contedodetabela">
    <w:name w:val="Conteúdo de tabela"/>
    <w:basedOn w:val="Normal"/>
    <w:rsid w:val="00220ABD"/>
    <w:pPr>
      <w:widowControl w:val="0"/>
      <w:suppressLineNumbers/>
      <w:suppressAutoHyphens/>
    </w:pPr>
    <w:rPr>
      <w:rFonts w:eastAsia="Bitstream Vera Sans" w:cs="Bitstream Vera Sans"/>
      <w:kern w:val="1"/>
      <w:sz w:val="22"/>
      <w:lang w:val="pt-BR" w:eastAsia="hi-IN" w:bidi="hi-IN"/>
    </w:rPr>
  </w:style>
  <w:style w:type="character" w:customStyle="1" w:styleId="HeaderChar">
    <w:name w:val="Header Char"/>
    <w:link w:val="Header"/>
    <w:rsid w:val="00D0597E"/>
    <w:rPr>
      <w:rFonts w:ascii="Times New Roman" w:eastAsia="Times New Roman" w:hAnsi="Times New Roman"/>
      <w:spacing w:val="-3"/>
      <w:lang w:val="es-ES_tradnl"/>
    </w:rPr>
  </w:style>
  <w:style w:type="character" w:customStyle="1" w:styleId="z-TopofFormChar">
    <w:name w:val="z-Top of Form Char"/>
    <w:link w:val="z-TopofForm"/>
    <w:uiPriority w:val="99"/>
    <w:rsid w:val="00D0597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0597E"/>
    <w:pPr>
      <w:pBdr>
        <w:top w:val="single" w:sz="6" w:space="1" w:color="auto"/>
      </w:pBdr>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D0597E"/>
    <w:rPr>
      <w:rFonts w:ascii="Arial" w:eastAsia="Times New Roman" w:hAnsi="Arial" w:cs="Times New Roman"/>
      <w:vanish/>
      <w:sz w:val="16"/>
      <w:szCs w:val="16"/>
      <w:lang w:val="x-none" w:eastAsia="x-none"/>
    </w:rPr>
  </w:style>
  <w:style w:type="paragraph" w:customStyle="1" w:styleId="Corpo">
    <w:name w:val="Corpo"/>
    <w:rsid w:val="00D0597E"/>
    <w:pPr>
      <w:pBdr>
        <w:top w:val="nil"/>
        <w:left w:val="nil"/>
        <w:bottom w:val="nil"/>
        <w:right w:val="nil"/>
        <w:between w:val="nil"/>
        <w:bar w:val="nil"/>
      </w:pBdr>
    </w:pPr>
    <w:rPr>
      <w:rFonts w:ascii="Times New Roman" w:eastAsia="Arial Unicode MS" w:hAnsi="Arial Unicode MS" w:cs="Arial Unicode MS"/>
      <w:color w:val="000000"/>
      <w:u w:color="000000"/>
      <w:bdr w:val="nil"/>
      <w:lang w:val="pt-PT" w:eastAsia="pt-BR"/>
    </w:rPr>
  </w:style>
  <w:style w:type="paragraph" w:styleId="Header">
    <w:name w:val="header"/>
    <w:basedOn w:val="Normal"/>
    <w:link w:val="HeaderChar"/>
    <w:unhideWhenUsed/>
    <w:rsid w:val="00D0597E"/>
    <w:pPr>
      <w:tabs>
        <w:tab w:val="center" w:pos="4680"/>
        <w:tab w:val="right" w:pos="9360"/>
      </w:tabs>
    </w:pPr>
    <w:rPr>
      <w:rFonts w:eastAsia="Times New Roman"/>
      <w:spacing w:val="-3"/>
      <w:sz w:val="22"/>
      <w:szCs w:val="22"/>
      <w:lang w:val="es-ES_tradnl"/>
    </w:rPr>
  </w:style>
  <w:style w:type="character" w:customStyle="1" w:styleId="HeaderChar1">
    <w:name w:val="Header Char1"/>
    <w:basedOn w:val="DefaultParagraphFont"/>
    <w:uiPriority w:val="99"/>
    <w:semiHidden/>
    <w:rsid w:val="00D0597E"/>
  </w:style>
  <w:style w:type="paragraph" w:styleId="z-TopofForm">
    <w:name w:val="HTML Top of Form"/>
    <w:basedOn w:val="Normal"/>
    <w:next w:val="Normal"/>
    <w:link w:val="z-TopofFormChar"/>
    <w:hidden/>
    <w:uiPriority w:val="99"/>
    <w:semiHidden/>
    <w:unhideWhenUsed/>
    <w:rsid w:val="00D0597E"/>
    <w:pPr>
      <w:pBdr>
        <w:bottom w:val="single" w:sz="6" w:space="1" w:color="auto"/>
      </w:pBdr>
      <w:spacing w:line="259" w:lineRule="auto"/>
      <w:jc w:val="center"/>
    </w:pPr>
    <w:rPr>
      <w:rFonts w:ascii="Arial" w:eastAsia="Times New Roman" w:hAnsi="Arial" w:cs="Arial"/>
      <w:vanish/>
      <w:sz w:val="16"/>
      <w:szCs w:val="16"/>
    </w:rPr>
  </w:style>
  <w:style w:type="character" w:customStyle="1" w:styleId="z-TopofFormChar1">
    <w:name w:val="z-Top of Form Char1"/>
    <w:uiPriority w:val="99"/>
    <w:semiHidden/>
    <w:rsid w:val="00D0597E"/>
    <w:rPr>
      <w:rFonts w:ascii="Arial" w:hAnsi="Arial" w:cs="Arial"/>
      <w:vanish/>
      <w:sz w:val="16"/>
      <w:szCs w:val="16"/>
    </w:rPr>
  </w:style>
  <w:style w:type="paragraph" w:styleId="Footer">
    <w:name w:val="footer"/>
    <w:basedOn w:val="Normal"/>
    <w:link w:val="FooterChar"/>
    <w:uiPriority w:val="99"/>
    <w:unhideWhenUsed/>
    <w:rsid w:val="00F000F0"/>
    <w:pPr>
      <w:tabs>
        <w:tab w:val="center" w:pos="4680"/>
        <w:tab w:val="right" w:pos="9360"/>
      </w:tabs>
      <w:spacing w:after="160" w:line="259" w:lineRule="auto"/>
    </w:pPr>
    <w:rPr>
      <w:rFonts w:ascii="Arial" w:hAnsi="Arial"/>
      <w:sz w:val="22"/>
      <w:szCs w:val="22"/>
    </w:rPr>
  </w:style>
  <w:style w:type="character" w:customStyle="1" w:styleId="FooterChar">
    <w:name w:val="Footer Char"/>
    <w:link w:val="Footer"/>
    <w:uiPriority w:val="99"/>
    <w:rsid w:val="00F000F0"/>
    <w:rPr>
      <w:sz w:val="22"/>
      <w:szCs w:val="22"/>
    </w:rPr>
  </w:style>
  <w:style w:type="paragraph" w:styleId="Caption">
    <w:name w:val="caption"/>
    <w:basedOn w:val="Normal"/>
    <w:next w:val="Normal"/>
    <w:autoRedefine/>
    <w:uiPriority w:val="35"/>
    <w:qFormat/>
    <w:rsid w:val="007809D2"/>
    <w:pPr>
      <w:spacing w:after="120"/>
      <w:jc w:val="center"/>
    </w:pPr>
    <w:rPr>
      <w:rFonts w:ascii="Arial" w:eastAsia="Cambria" w:hAnsi="Arial" w:cs="Arial"/>
      <w:b/>
      <w:bCs/>
      <w:sz w:val="18"/>
      <w:szCs w:val="18"/>
      <w:lang w:val="es-ES_tradnl"/>
    </w:rPr>
  </w:style>
  <w:style w:type="paragraph" w:styleId="DocumentMap">
    <w:name w:val="Document Map"/>
    <w:basedOn w:val="Normal"/>
    <w:link w:val="DocumentMapChar"/>
    <w:uiPriority w:val="99"/>
    <w:semiHidden/>
    <w:unhideWhenUsed/>
    <w:rsid w:val="006970B6"/>
    <w:pPr>
      <w:spacing w:after="160" w:line="259" w:lineRule="auto"/>
    </w:pPr>
    <w:rPr>
      <w:rFonts w:ascii="Lucida Grande" w:hAnsi="Lucida Grande" w:cs="Lucida Grande"/>
      <w:sz w:val="22"/>
    </w:rPr>
  </w:style>
  <w:style w:type="character" w:customStyle="1" w:styleId="DocumentMapChar">
    <w:name w:val="Document Map Char"/>
    <w:link w:val="DocumentMap"/>
    <w:uiPriority w:val="99"/>
    <w:semiHidden/>
    <w:rsid w:val="006970B6"/>
    <w:rPr>
      <w:rFonts w:ascii="Lucida Grande" w:hAnsi="Lucida Grande" w:cs="Lucida Grande"/>
      <w:sz w:val="24"/>
      <w:szCs w:val="24"/>
    </w:rPr>
  </w:style>
  <w:style w:type="paragraph" w:styleId="CommentSubject">
    <w:name w:val="annotation subject"/>
    <w:basedOn w:val="CommentText"/>
    <w:next w:val="CommentText"/>
    <w:link w:val="CommentSubjectChar"/>
    <w:uiPriority w:val="99"/>
    <w:semiHidden/>
    <w:unhideWhenUsed/>
    <w:rsid w:val="005B08FD"/>
    <w:pPr>
      <w:spacing w:after="160"/>
    </w:pPr>
    <w:rPr>
      <w:rFonts w:eastAsia="Calibri"/>
      <w:b/>
      <w:bCs/>
      <w:spacing w:val="0"/>
      <w:lang w:val="en-US"/>
    </w:rPr>
  </w:style>
  <w:style w:type="character" w:customStyle="1" w:styleId="CommentSubjectChar">
    <w:name w:val="Comment Subject Char"/>
    <w:basedOn w:val="CommentTextChar"/>
    <w:link w:val="CommentSubject"/>
    <w:uiPriority w:val="99"/>
    <w:semiHidden/>
    <w:rsid w:val="005B08FD"/>
    <w:rPr>
      <w:rFonts w:ascii="Times New Roman" w:eastAsia="Times New Roman" w:hAnsi="Times New Roman" w:cs="Times New Roman"/>
      <w:b/>
      <w:bCs/>
      <w:spacing w:val="-3"/>
      <w:sz w:val="20"/>
      <w:szCs w:val="20"/>
      <w:lang w:val="es-ES_tradnl"/>
    </w:rPr>
  </w:style>
  <w:style w:type="table" w:styleId="MediumGrid3-Accent1">
    <w:name w:val="Medium Grid 3 Accent 1"/>
    <w:basedOn w:val="TableNormal"/>
    <w:uiPriority w:val="64"/>
    <w:rsid w:val="00B956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1">
    <w:name w:val="Medium List 2 Accent 1"/>
    <w:basedOn w:val="TableNormal"/>
    <w:uiPriority w:val="61"/>
    <w:rsid w:val="00B956B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1">
    <w:name w:val="Light Shading Accent 1"/>
    <w:basedOn w:val="TableNormal"/>
    <w:uiPriority w:val="30"/>
    <w:qFormat/>
    <w:rsid w:val="000D3F7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1-Accent1">
    <w:name w:val="Medium Shading 1 Accent 1"/>
    <w:basedOn w:val="TableNormal"/>
    <w:uiPriority w:val="68"/>
    <w:rsid w:val="0072224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link w:val="ListParagraphChar"/>
    <w:uiPriority w:val="34"/>
    <w:qFormat/>
    <w:rsid w:val="00825035"/>
    <w:pPr>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uiPriority w:val="34"/>
    <w:rsid w:val="00825035"/>
    <w:rPr>
      <w:rFonts w:asciiTheme="minorHAnsi" w:eastAsiaTheme="minorHAnsi" w:hAnsiTheme="minorHAnsi" w:cstheme="minorBidi"/>
      <w:sz w:val="22"/>
      <w:szCs w:val="22"/>
    </w:rPr>
  </w:style>
  <w:style w:type="paragraph" w:styleId="TOC4">
    <w:name w:val="toc 4"/>
    <w:basedOn w:val="Normal"/>
    <w:next w:val="Normal"/>
    <w:autoRedefine/>
    <w:uiPriority w:val="39"/>
    <w:unhideWhenUsed/>
    <w:rsid w:val="00361A79"/>
    <w:pPr>
      <w:spacing w:line="259" w:lineRule="auto"/>
      <w:ind w:left="720"/>
    </w:pPr>
    <w:rPr>
      <w:rFonts w:asciiTheme="minorHAnsi" w:hAnsiTheme="minorHAnsi"/>
      <w:sz w:val="20"/>
      <w:szCs w:val="20"/>
    </w:rPr>
  </w:style>
  <w:style w:type="paragraph" w:styleId="TOC5">
    <w:name w:val="toc 5"/>
    <w:basedOn w:val="Normal"/>
    <w:next w:val="Normal"/>
    <w:autoRedefine/>
    <w:uiPriority w:val="39"/>
    <w:unhideWhenUsed/>
    <w:rsid w:val="00361A79"/>
    <w:pPr>
      <w:spacing w:line="259" w:lineRule="auto"/>
      <w:ind w:left="960"/>
    </w:pPr>
    <w:rPr>
      <w:rFonts w:asciiTheme="minorHAnsi" w:hAnsiTheme="minorHAnsi"/>
      <w:sz w:val="20"/>
      <w:szCs w:val="20"/>
    </w:rPr>
  </w:style>
  <w:style w:type="paragraph" w:styleId="TOC6">
    <w:name w:val="toc 6"/>
    <w:basedOn w:val="Normal"/>
    <w:next w:val="Normal"/>
    <w:autoRedefine/>
    <w:uiPriority w:val="39"/>
    <w:unhideWhenUsed/>
    <w:rsid w:val="00361A79"/>
    <w:pPr>
      <w:spacing w:line="259" w:lineRule="auto"/>
      <w:ind w:left="1200"/>
    </w:pPr>
    <w:rPr>
      <w:rFonts w:asciiTheme="minorHAnsi" w:hAnsiTheme="minorHAnsi"/>
      <w:sz w:val="20"/>
      <w:szCs w:val="20"/>
    </w:rPr>
  </w:style>
  <w:style w:type="paragraph" w:styleId="TOC7">
    <w:name w:val="toc 7"/>
    <w:basedOn w:val="Normal"/>
    <w:next w:val="Normal"/>
    <w:autoRedefine/>
    <w:uiPriority w:val="39"/>
    <w:unhideWhenUsed/>
    <w:rsid w:val="00361A79"/>
    <w:pPr>
      <w:spacing w:line="259" w:lineRule="auto"/>
      <w:ind w:left="1440"/>
    </w:pPr>
    <w:rPr>
      <w:rFonts w:asciiTheme="minorHAnsi" w:hAnsiTheme="minorHAnsi"/>
      <w:sz w:val="20"/>
      <w:szCs w:val="20"/>
    </w:rPr>
  </w:style>
  <w:style w:type="paragraph" w:styleId="TOC8">
    <w:name w:val="toc 8"/>
    <w:basedOn w:val="Normal"/>
    <w:next w:val="Normal"/>
    <w:autoRedefine/>
    <w:uiPriority w:val="39"/>
    <w:unhideWhenUsed/>
    <w:rsid w:val="00361A79"/>
    <w:pPr>
      <w:spacing w:line="259" w:lineRule="auto"/>
      <w:ind w:left="1680"/>
    </w:pPr>
    <w:rPr>
      <w:rFonts w:asciiTheme="minorHAnsi" w:hAnsiTheme="minorHAnsi"/>
      <w:sz w:val="20"/>
      <w:szCs w:val="20"/>
    </w:rPr>
  </w:style>
  <w:style w:type="paragraph" w:styleId="TOC9">
    <w:name w:val="toc 9"/>
    <w:basedOn w:val="Normal"/>
    <w:next w:val="Normal"/>
    <w:autoRedefine/>
    <w:uiPriority w:val="39"/>
    <w:unhideWhenUsed/>
    <w:rsid w:val="00361A79"/>
    <w:pPr>
      <w:spacing w:line="259" w:lineRule="auto"/>
      <w:ind w:left="1920"/>
    </w:pPr>
    <w:rPr>
      <w:rFonts w:asciiTheme="minorHAnsi" w:hAnsiTheme="minorHAnsi"/>
      <w:sz w:val="20"/>
      <w:szCs w:val="20"/>
    </w:rPr>
  </w:style>
  <w:style w:type="table" w:customStyle="1" w:styleId="GridTable4-Accent11">
    <w:name w:val="Grid Table 4 - Accent 11"/>
    <w:basedOn w:val="TableNormal"/>
    <w:uiPriority w:val="49"/>
    <w:rsid w:val="00EB1DB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5Dark-Accent11">
    <w:name w:val="Grid Table 5 Dark - Accent 11"/>
    <w:basedOn w:val="TableNormal"/>
    <w:uiPriority w:val="50"/>
    <w:rsid w:val="006B76B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UnresolvedMention1">
    <w:name w:val="Unresolved Mention1"/>
    <w:basedOn w:val="DefaultParagraphFont"/>
    <w:uiPriority w:val="99"/>
    <w:semiHidden/>
    <w:unhideWhenUsed/>
    <w:rsid w:val="000D4047"/>
    <w:rPr>
      <w:color w:val="808080"/>
      <w:shd w:val="clear" w:color="auto" w:fill="E6E6E6"/>
    </w:rPr>
  </w:style>
  <w:style w:type="character" w:styleId="FollowedHyperlink">
    <w:name w:val="FollowedHyperlink"/>
    <w:basedOn w:val="DefaultParagraphFont"/>
    <w:uiPriority w:val="99"/>
    <w:semiHidden/>
    <w:unhideWhenUsed/>
    <w:rsid w:val="005535BC"/>
    <w:rPr>
      <w:color w:val="800080" w:themeColor="followedHyperlink"/>
      <w:u w:val="single"/>
    </w:rPr>
  </w:style>
  <w:style w:type="character" w:customStyle="1" w:styleId="UnresolvedMention2">
    <w:name w:val="Unresolved Mention2"/>
    <w:basedOn w:val="DefaultParagraphFont"/>
    <w:uiPriority w:val="99"/>
    <w:rsid w:val="00A81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0502">
      <w:bodyDiv w:val="1"/>
      <w:marLeft w:val="0"/>
      <w:marRight w:val="0"/>
      <w:marTop w:val="0"/>
      <w:marBottom w:val="0"/>
      <w:divBdr>
        <w:top w:val="none" w:sz="0" w:space="0" w:color="auto"/>
        <w:left w:val="none" w:sz="0" w:space="0" w:color="auto"/>
        <w:bottom w:val="none" w:sz="0" w:space="0" w:color="auto"/>
        <w:right w:val="none" w:sz="0" w:space="0" w:color="auto"/>
      </w:divBdr>
    </w:div>
    <w:div w:id="35198955">
      <w:bodyDiv w:val="1"/>
      <w:marLeft w:val="0"/>
      <w:marRight w:val="0"/>
      <w:marTop w:val="0"/>
      <w:marBottom w:val="0"/>
      <w:divBdr>
        <w:top w:val="none" w:sz="0" w:space="0" w:color="auto"/>
        <w:left w:val="none" w:sz="0" w:space="0" w:color="auto"/>
        <w:bottom w:val="none" w:sz="0" w:space="0" w:color="auto"/>
        <w:right w:val="none" w:sz="0" w:space="0" w:color="auto"/>
      </w:divBdr>
    </w:div>
    <w:div w:id="35660604">
      <w:bodyDiv w:val="1"/>
      <w:marLeft w:val="0"/>
      <w:marRight w:val="0"/>
      <w:marTop w:val="0"/>
      <w:marBottom w:val="0"/>
      <w:divBdr>
        <w:top w:val="none" w:sz="0" w:space="0" w:color="auto"/>
        <w:left w:val="none" w:sz="0" w:space="0" w:color="auto"/>
        <w:bottom w:val="none" w:sz="0" w:space="0" w:color="auto"/>
        <w:right w:val="none" w:sz="0" w:space="0" w:color="auto"/>
      </w:divBdr>
    </w:div>
    <w:div w:id="37632767">
      <w:bodyDiv w:val="1"/>
      <w:marLeft w:val="0"/>
      <w:marRight w:val="0"/>
      <w:marTop w:val="0"/>
      <w:marBottom w:val="0"/>
      <w:divBdr>
        <w:top w:val="none" w:sz="0" w:space="0" w:color="auto"/>
        <w:left w:val="none" w:sz="0" w:space="0" w:color="auto"/>
        <w:bottom w:val="none" w:sz="0" w:space="0" w:color="auto"/>
        <w:right w:val="none" w:sz="0" w:space="0" w:color="auto"/>
      </w:divBdr>
    </w:div>
    <w:div w:id="41369044">
      <w:bodyDiv w:val="1"/>
      <w:marLeft w:val="0"/>
      <w:marRight w:val="0"/>
      <w:marTop w:val="0"/>
      <w:marBottom w:val="0"/>
      <w:divBdr>
        <w:top w:val="none" w:sz="0" w:space="0" w:color="auto"/>
        <w:left w:val="none" w:sz="0" w:space="0" w:color="auto"/>
        <w:bottom w:val="none" w:sz="0" w:space="0" w:color="auto"/>
        <w:right w:val="none" w:sz="0" w:space="0" w:color="auto"/>
      </w:divBdr>
    </w:div>
    <w:div w:id="52853586">
      <w:bodyDiv w:val="1"/>
      <w:marLeft w:val="0"/>
      <w:marRight w:val="0"/>
      <w:marTop w:val="0"/>
      <w:marBottom w:val="0"/>
      <w:divBdr>
        <w:top w:val="none" w:sz="0" w:space="0" w:color="auto"/>
        <w:left w:val="none" w:sz="0" w:space="0" w:color="auto"/>
        <w:bottom w:val="none" w:sz="0" w:space="0" w:color="auto"/>
        <w:right w:val="none" w:sz="0" w:space="0" w:color="auto"/>
      </w:divBdr>
    </w:div>
    <w:div w:id="56783225">
      <w:bodyDiv w:val="1"/>
      <w:marLeft w:val="0"/>
      <w:marRight w:val="0"/>
      <w:marTop w:val="0"/>
      <w:marBottom w:val="0"/>
      <w:divBdr>
        <w:top w:val="none" w:sz="0" w:space="0" w:color="auto"/>
        <w:left w:val="none" w:sz="0" w:space="0" w:color="auto"/>
        <w:bottom w:val="none" w:sz="0" w:space="0" w:color="auto"/>
        <w:right w:val="none" w:sz="0" w:space="0" w:color="auto"/>
      </w:divBdr>
    </w:div>
    <w:div w:id="60564821">
      <w:bodyDiv w:val="1"/>
      <w:marLeft w:val="0"/>
      <w:marRight w:val="0"/>
      <w:marTop w:val="0"/>
      <w:marBottom w:val="0"/>
      <w:divBdr>
        <w:top w:val="none" w:sz="0" w:space="0" w:color="auto"/>
        <w:left w:val="none" w:sz="0" w:space="0" w:color="auto"/>
        <w:bottom w:val="none" w:sz="0" w:space="0" w:color="auto"/>
        <w:right w:val="none" w:sz="0" w:space="0" w:color="auto"/>
      </w:divBdr>
    </w:div>
    <w:div w:id="66341574">
      <w:bodyDiv w:val="1"/>
      <w:marLeft w:val="0"/>
      <w:marRight w:val="0"/>
      <w:marTop w:val="0"/>
      <w:marBottom w:val="0"/>
      <w:divBdr>
        <w:top w:val="none" w:sz="0" w:space="0" w:color="auto"/>
        <w:left w:val="none" w:sz="0" w:space="0" w:color="auto"/>
        <w:bottom w:val="none" w:sz="0" w:space="0" w:color="auto"/>
        <w:right w:val="none" w:sz="0" w:space="0" w:color="auto"/>
      </w:divBdr>
    </w:div>
    <w:div w:id="70200334">
      <w:bodyDiv w:val="1"/>
      <w:marLeft w:val="0"/>
      <w:marRight w:val="0"/>
      <w:marTop w:val="0"/>
      <w:marBottom w:val="0"/>
      <w:divBdr>
        <w:top w:val="none" w:sz="0" w:space="0" w:color="auto"/>
        <w:left w:val="none" w:sz="0" w:space="0" w:color="auto"/>
        <w:bottom w:val="none" w:sz="0" w:space="0" w:color="auto"/>
        <w:right w:val="none" w:sz="0" w:space="0" w:color="auto"/>
      </w:divBdr>
    </w:div>
    <w:div w:id="120732483">
      <w:bodyDiv w:val="1"/>
      <w:marLeft w:val="0"/>
      <w:marRight w:val="0"/>
      <w:marTop w:val="0"/>
      <w:marBottom w:val="0"/>
      <w:divBdr>
        <w:top w:val="none" w:sz="0" w:space="0" w:color="auto"/>
        <w:left w:val="none" w:sz="0" w:space="0" w:color="auto"/>
        <w:bottom w:val="none" w:sz="0" w:space="0" w:color="auto"/>
        <w:right w:val="none" w:sz="0" w:space="0" w:color="auto"/>
      </w:divBdr>
    </w:div>
    <w:div w:id="125046895">
      <w:bodyDiv w:val="1"/>
      <w:marLeft w:val="0"/>
      <w:marRight w:val="0"/>
      <w:marTop w:val="0"/>
      <w:marBottom w:val="0"/>
      <w:divBdr>
        <w:top w:val="none" w:sz="0" w:space="0" w:color="auto"/>
        <w:left w:val="none" w:sz="0" w:space="0" w:color="auto"/>
        <w:bottom w:val="none" w:sz="0" w:space="0" w:color="auto"/>
        <w:right w:val="none" w:sz="0" w:space="0" w:color="auto"/>
      </w:divBdr>
    </w:div>
    <w:div w:id="132404785">
      <w:bodyDiv w:val="1"/>
      <w:marLeft w:val="0"/>
      <w:marRight w:val="0"/>
      <w:marTop w:val="0"/>
      <w:marBottom w:val="0"/>
      <w:divBdr>
        <w:top w:val="none" w:sz="0" w:space="0" w:color="auto"/>
        <w:left w:val="none" w:sz="0" w:space="0" w:color="auto"/>
        <w:bottom w:val="none" w:sz="0" w:space="0" w:color="auto"/>
        <w:right w:val="none" w:sz="0" w:space="0" w:color="auto"/>
      </w:divBdr>
    </w:div>
    <w:div w:id="136800121">
      <w:bodyDiv w:val="1"/>
      <w:marLeft w:val="0"/>
      <w:marRight w:val="0"/>
      <w:marTop w:val="0"/>
      <w:marBottom w:val="0"/>
      <w:divBdr>
        <w:top w:val="none" w:sz="0" w:space="0" w:color="auto"/>
        <w:left w:val="none" w:sz="0" w:space="0" w:color="auto"/>
        <w:bottom w:val="none" w:sz="0" w:space="0" w:color="auto"/>
        <w:right w:val="none" w:sz="0" w:space="0" w:color="auto"/>
      </w:divBdr>
    </w:div>
    <w:div w:id="156504368">
      <w:bodyDiv w:val="1"/>
      <w:marLeft w:val="0"/>
      <w:marRight w:val="0"/>
      <w:marTop w:val="0"/>
      <w:marBottom w:val="0"/>
      <w:divBdr>
        <w:top w:val="none" w:sz="0" w:space="0" w:color="auto"/>
        <w:left w:val="none" w:sz="0" w:space="0" w:color="auto"/>
        <w:bottom w:val="none" w:sz="0" w:space="0" w:color="auto"/>
        <w:right w:val="none" w:sz="0" w:space="0" w:color="auto"/>
      </w:divBdr>
    </w:div>
    <w:div w:id="157036756">
      <w:bodyDiv w:val="1"/>
      <w:marLeft w:val="0"/>
      <w:marRight w:val="0"/>
      <w:marTop w:val="0"/>
      <w:marBottom w:val="0"/>
      <w:divBdr>
        <w:top w:val="none" w:sz="0" w:space="0" w:color="auto"/>
        <w:left w:val="none" w:sz="0" w:space="0" w:color="auto"/>
        <w:bottom w:val="none" w:sz="0" w:space="0" w:color="auto"/>
        <w:right w:val="none" w:sz="0" w:space="0" w:color="auto"/>
      </w:divBdr>
    </w:div>
    <w:div w:id="172648076">
      <w:bodyDiv w:val="1"/>
      <w:marLeft w:val="0"/>
      <w:marRight w:val="0"/>
      <w:marTop w:val="0"/>
      <w:marBottom w:val="0"/>
      <w:divBdr>
        <w:top w:val="none" w:sz="0" w:space="0" w:color="auto"/>
        <w:left w:val="none" w:sz="0" w:space="0" w:color="auto"/>
        <w:bottom w:val="none" w:sz="0" w:space="0" w:color="auto"/>
        <w:right w:val="none" w:sz="0" w:space="0" w:color="auto"/>
      </w:divBdr>
    </w:div>
    <w:div w:id="175268605">
      <w:bodyDiv w:val="1"/>
      <w:marLeft w:val="0"/>
      <w:marRight w:val="0"/>
      <w:marTop w:val="0"/>
      <w:marBottom w:val="0"/>
      <w:divBdr>
        <w:top w:val="none" w:sz="0" w:space="0" w:color="auto"/>
        <w:left w:val="none" w:sz="0" w:space="0" w:color="auto"/>
        <w:bottom w:val="none" w:sz="0" w:space="0" w:color="auto"/>
        <w:right w:val="none" w:sz="0" w:space="0" w:color="auto"/>
      </w:divBdr>
    </w:div>
    <w:div w:id="181674546">
      <w:bodyDiv w:val="1"/>
      <w:marLeft w:val="0"/>
      <w:marRight w:val="0"/>
      <w:marTop w:val="0"/>
      <w:marBottom w:val="0"/>
      <w:divBdr>
        <w:top w:val="none" w:sz="0" w:space="0" w:color="auto"/>
        <w:left w:val="none" w:sz="0" w:space="0" w:color="auto"/>
        <w:bottom w:val="none" w:sz="0" w:space="0" w:color="auto"/>
        <w:right w:val="none" w:sz="0" w:space="0" w:color="auto"/>
      </w:divBdr>
    </w:div>
    <w:div w:id="181938657">
      <w:bodyDiv w:val="1"/>
      <w:marLeft w:val="0"/>
      <w:marRight w:val="0"/>
      <w:marTop w:val="0"/>
      <w:marBottom w:val="0"/>
      <w:divBdr>
        <w:top w:val="none" w:sz="0" w:space="0" w:color="auto"/>
        <w:left w:val="none" w:sz="0" w:space="0" w:color="auto"/>
        <w:bottom w:val="none" w:sz="0" w:space="0" w:color="auto"/>
        <w:right w:val="none" w:sz="0" w:space="0" w:color="auto"/>
      </w:divBdr>
    </w:div>
    <w:div w:id="190918109">
      <w:bodyDiv w:val="1"/>
      <w:marLeft w:val="0"/>
      <w:marRight w:val="0"/>
      <w:marTop w:val="0"/>
      <w:marBottom w:val="0"/>
      <w:divBdr>
        <w:top w:val="none" w:sz="0" w:space="0" w:color="auto"/>
        <w:left w:val="none" w:sz="0" w:space="0" w:color="auto"/>
        <w:bottom w:val="none" w:sz="0" w:space="0" w:color="auto"/>
        <w:right w:val="none" w:sz="0" w:space="0" w:color="auto"/>
      </w:divBdr>
    </w:div>
    <w:div w:id="194391255">
      <w:bodyDiv w:val="1"/>
      <w:marLeft w:val="0"/>
      <w:marRight w:val="0"/>
      <w:marTop w:val="0"/>
      <w:marBottom w:val="0"/>
      <w:divBdr>
        <w:top w:val="none" w:sz="0" w:space="0" w:color="auto"/>
        <w:left w:val="none" w:sz="0" w:space="0" w:color="auto"/>
        <w:bottom w:val="none" w:sz="0" w:space="0" w:color="auto"/>
        <w:right w:val="none" w:sz="0" w:space="0" w:color="auto"/>
      </w:divBdr>
    </w:div>
    <w:div w:id="204487249">
      <w:bodyDiv w:val="1"/>
      <w:marLeft w:val="0"/>
      <w:marRight w:val="0"/>
      <w:marTop w:val="0"/>
      <w:marBottom w:val="0"/>
      <w:divBdr>
        <w:top w:val="none" w:sz="0" w:space="0" w:color="auto"/>
        <w:left w:val="none" w:sz="0" w:space="0" w:color="auto"/>
        <w:bottom w:val="none" w:sz="0" w:space="0" w:color="auto"/>
        <w:right w:val="none" w:sz="0" w:space="0" w:color="auto"/>
      </w:divBdr>
    </w:div>
    <w:div w:id="205263012">
      <w:bodyDiv w:val="1"/>
      <w:marLeft w:val="0"/>
      <w:marRight w:val="0"/>
      <w:marTop w:val="0"/>
      <w:marBottom w:val="0"/>
      <w:divBdr>
        <w:top w:val="none" w:sz="0" w:space="0" w:color="auto"/>
        <w:left w:val="none" w:sz="0" w:space="0" w:color="auto"/>
        <w:bottom w:val="none" w:sz="0" w:space="0" w:color="auto"/>
        <w:right w:val="none" w:sz="0" w:space="0" w:color="auto"/>
      </w:divBdr>
    </w:div>
    <w:div w:id="206531001">
      <w:bodyDiv w:val="1"/>
      <w:marLeft w:val="0"/>
      <w:marRight w:val="0"/>
      <w:marTop w:val="0"/>
      <w:marBottom w:val="0"/>
      <w:divBdr>
        <w:top w:val="none" w:sz="0" w:space="0" w:color="auto"/>
        <w:left w:val="none" w:sz="0" w:space="0" w:color="auto"/>
        <w:bottom w:val="none" w:sz="0" w:space="0" w:color="auto"/>
        <w:right w:val="none" w:sz="0" w:space="0" w:color="auto"/>
      </w:divBdr>
    </w:div>
    <w:div w:id="215626978">
      <w:bodyDiv w:val="1"/>
      <w:marLeft w:val="0"/>
      <w:marRight w:val="0"/>
      <w:marTop w:val="0"/>
      <w:marBottom w:val="0"/>
      <w:divBdr>
        <w:top w:val="none" w:sz="0" w:space="0" w:color="auto"/>
        <w:left w:val="none" w:sz="0" w:space="0" w:color="auto"/>
        <w:bottom w:val="none" w:sz="0" w:space="0" w:color="auto"/>
        <w:right w:val="none" w:sz="0" w:space="0" w:color="auto"/>
      </w:divBdr>
    </w:div>
    <w:div w:id="230429514">
      <w:bodyDiv w:val="1"/>
      <w:marLeft w:val="0"/>
      <w:marRight w:val="0"/>
      <w:marTop w:val="0"/>
      <w:marBottom w:val="0"/>
      <w:divBdr>
        <w:top w:val="none" w:sz="0" w:space="0" w:color="auto"/>
        <w:left w:val="none" w:sz="0" w:space="0" w:color="auto"/>
        <w:bottom w:val="none" w:sz="0" w:space="0" w:color="auto"/>
        <w:right w:val="none" w:sz="0" w:space="0" w:color="auto"/>
      </w:divBdr>
    </w:div>
    <w:div w:id="259262223">
      <w:bodyDiv w:val="1"/>
      <w:marLeft w:val="0"/>
      <w:marRight w:val="0"/>
      <w:marTop w:val="0"/>
      <w:marBottom w:val="0"/>
      <w:divBdr>
        <w:top w:val="none" w:sz="0" w:space="0" w:color="auto"/>
        <w:left w:val="none" w:sz="0" w:space="0" w:color="auto"/>
        <w:bottom w:val="none" w:sz="0" w:space="0" w:color="auto"/>
        <w:right w:val="none" w:sz="0" w:space="0" w:color="auto"/>
      </w:divBdr>
    </w:div>
    <w:div w:id="259460583">
      <w:bodyDiv w:val="1"/>
      <w:marLeft w:val="0"/>
      <w:marRight w:val="0"/>
      <w:marTop w:val="0"/>
      <w:marBottom w:val="0"/>
      <w:divBdr>
        <w:top w:val="none" w:sz="0" w:space="0" w:color="auto"/>
        <w:left w:val="none" w:sz="0" w:space="0" w:color="auto"/>
        <w:bottom w:val="none" w:sz="0" w:space="0" w:color="auto"/>
        <w:right w:val="none" w:sz="0" w:space="0" w:color="auto"/>
      </w:divBdr>
    </w:div>
    <w:div w:id="267660775">
      <w:bodyDiv w:val="1"/>
      <w:marLeft w:val="0"/>
      <w:marRight w:val="0"/>
      <w:marTop w:val="0"/>
      <w:marBottom w:val="0"/>
      <w:divBdr>
        <w:top w:val="none" w:sz="0" w:space="0" w:color="auto"/>
        <w:left w:val="none" w:sz="0" w:space="0" w:color="auto"/>
        <w:bottom w:val="none" w:sz="0" w:space="0" w:color="auto"/>
        <w:right w:val="none" w:sz="0" w:space="0" w:color="auto"/>
      </w:divBdr>
    </w:div>
    <w:div w:id="282812962">
      <w:bodyDiv w:val="1"/>
      <w:marLeft w:val="0"/>
      <w:marRight w:val="0"/>
      <w:marTop w:val="0"/>
      <w:marBottom w:val="0"/>
      <w:divBdr>
        <w:top w:val="none" w:sz="0" w:space="0" w:color="auto"/>
        <w:left w:val="none" w:sz="0" w:space="0" w:color="auto"/>
        <w:bottom w:val="none" w:sz="0" w:space="0" w:color="auto"/>
        <w:right w:val="none" w:sz="0" w:space="0" w:color="auto"/>
      </w:divBdr>
    </w:div>
    <w:div w:id="284043556">
      <w:bodyDiv w:val="1"/>
      <w:marLeft w:val="0"/>
      <w:marRight w:val="0"/>
      <w:marTop w:val="0"/>
      <w:marBottom w:val="0"/>
      <w:divBdr>
        <w:top w:val="none" w:sz="0" w:space="0" w:color="auto"/>
        <w:left w:val="none" w:sz="0" w:space="0" w:color="auto"/>
        <w:bottom w:val="none" w:sz="0" w:space="0" w:color="auto"/>
        <w:right w:val="none" w:sz="0" w:space="0" w:color="auto"/>
      </w:divBdr>
    </w:div>
    <w:div w:id="285279881">
      <w:bodyDiv w:val="1"/>
      <w:marLeft w:val="0"/>
      <w:marRight w:val="0"/>
      <w:marTop w:val="0"/>
      <w:marBottom w:val="0"/>
      <w:divBdr>
        <w:top w:val="none" w:sz="0" w:space="0" w:color="auto"/>
        <w:left w:val="none" w:sz="0" w:space="0" w:color="auto"/>
        <w:bottom w:val="none" w:sz="0" w:space="0" w:color="auto"/>
        <w:right w:val="none" w:sz="0" w:space="0" w:color="auto"/>
      </w:divBdr>
    </w:div>
    <w:div w:id="287276087">
      <w:bodyDiv w:val="1"/>
      <w:marLeft w:val="0"/>
      <w:marRight w:val="0"/>
      <w:marTop w:val="0"/>
      <w:marBottom w:val="0"/>
      <w:divBdr>
        <w:top w:val="none" w:sz="0" w:space="0" w:color="auto"/>
        <w:left w:val="none" w:sz="0" w:space="0" w:color="auto"/>
        <w:bottom w:val="none" w:sz="0" w:space="0" w:color="auto"/>
        <w:right w:val="none" w:sz="0" w:space="0" w:color="auto"/>
      </w:divBdr>
    </w:div>
    <w:div w:id="323703582">
      <w:bodyDiv w:val="1"/>
      <w:marLeft w:val="0"/>
      <w:marRight w:val="0"/>
      <w:marTop w:val="0"/>
      <w:marBottom w:val="0"/>
      <w:divBdr>
        <w:top w:val="none" w:sz="0" w:space="0" w:color="auto"/>
        <w:left w:val="none" w:sz="0" w:space="0" w:color="auto"/>
        <w:bottom w:val="none" w:sz="0" w:space="0" w:color="auto"/>
        <w:right w:val="none" w:sz="0" w:space="0" w:color="auto"/>
      </w:divBdr>
    </w:div>
    <w:div w:id="337465157">
      <w:bodyDiv w:val="1"/>
      <w:marLeft w:val="0"/>
      <w:marRight w:val="0"/>
      <w:marTop w:val="0"/>
      <w:marBottom w:val="0"/>
      <w:divBdr>
        <w:top w:val="none" w:sz="0" w:space="0" w:color="auto"/>
        <w:left w:val="none" w:sz="0" w:space="0" w:color="auto"/>
        <w:bottom w:val="none" w:sz="0" w:space="0" w:color="auto"/>
        <w:right w:val="none" w:sz="0" w:space="0" w:color="auto"/>
      </w:divBdr>
    </w:div>
    <w:div w:id="339353856">
      <w:bodyDiv w:val="1"/>
      <w:marLeft w:val="0"/>
      <w:marRight w:val="0"/>
      <w:marTop w:val="0"/>
      <w:marBottom w:val="0"/>
      <w:divBdr>
        <w:top w:val="none" w:sz="0" w:space="0" w:color="auto"/>
        <w:left w:val="none" w:sz="0" w:space="0" w:color="auto"/>
        <w:bottom w:val="none" w:sz="0" w:space="0" w:color="auto"/>
        <w:right w:val="none" w:sz="0" w:space="0" w:color="auto"/>
      </w:divBdr>
    </w:div>
    <w:div w:id="364523701">
      <w:bodyDiv w:val="1"/>
      <w:marLeft w:val="0"/>
      <w:marRight w:val="0"/>
      <w:marTop w:val="0"/>
      <w:marBottom w:val="0"/>
      <w:divBdr>
        <w:top w:val="none" w:sz="0" w:space="0" w:color="auto"/>
        <w:left w:val="none" w:sz="0" w:space="0" w:color="auto"/>
        <w:bottom w:val="none" w:sz="0" w:space="0" w:color="auto"/>
        <w:right w:val="none" w:sz="0" w:space="0" w:color="auto"/>
      </w:divBdr>
    </w:div>
    <w:div w:id="382485049">
      <w:bodyDiv w:val="1"/>
      <w:marLeft w:val="0"/>
      <w:marRight w:val="0"/>
      <w:marTop w:val="0"/>
      <w:marBottom w:val="0"/>
      <w:divBdr>
        <w:top w:val="none" w:sz="0" w:space="0" w:color="auto"/>
        <w:left w:val="none" w:sz="0" w:space="0" w:color="auto"/>
        <w:bottom w:val="none" w:sz="0" w:space="0" w:color="auto"/>
        <w:right w:val="none" w:sz="0" w:space="0" w:color="auto"/>
      </w:divBdr>
    </w:div>
    <w:div w:id="411391772">
      <w:bodyDiv w:val="1"/>
      <w:marLeft w:val="0"/>
      <w:marRight w:val="0"/>
      <w:marTop w:val="0"/>
      <w:marBottom w:val="0"/>
      <w:divBdr>
        <w:top w:val="none" w:sz="0" w:space="0" w:color="auto"/>
        <w:left w:val="none" w:sz="0" w:space="0" w:color="auto"/>
        <w:bottom w:val="none" w:sz="0" w:space="0" w:color="auto"/>
        <w:right w:val="none" w:sz="0" w:space="0" w:color="auto"/>
      </w:divBdr>
    </w:div>
    <w:div w:id="414474786">
      <w:bodyDiv w:val="1"/>
      <w:marLeft w:val="0"/>
      <w:marRight w:val="0"/>
      <w:marTop w:val="0"/>
      <w:marBottom w:val="0"/>
      <w:divBdr>
        <w:top w:val="none" w:sz="0" w:space="0" w:color="auto"/>
        <w:left w:val="none" w:sz="0" w:space="0" w:color="auto"/>
        <w:bottom w:val="none" w:sz="0" w:space="0" w:color="auto"/>
        <w:right w:val="none" w:sz="0" w:space="0" w:color="auto"/>
      </w:divBdr>
    </w:div>
    <w:div w:id="453869340">
      <w:bodyDiv w:val="1"/>
      <w:marLeft w:val="0"/>
      <w:marRight w:val="0"/>
      <w:marTop w:val="0"/>
      <w:marBottom w:val="0"/>
      <w:divBdr>
        <w:top w:val="none" w:sz="0" w:space="0" w:color="auto"/>
        <w:left w:val="none" w:sz="0" w:space="0" w:color="auto"/>
        <w:bottom w:val="none" w:sz="0" w:space="0" w:color="auto"/>
        <w:right w:val="none" w:sz="0" w:space="0" w:color="auto"/>
      </w:divBdr>
    </w:div>
    <w:div w:id="457575287">
      <w:bodyDiv w:val="1"/>
      <w:marLeft w:val="0"/>
      <w:marRight w:val="0"/>
      <w:marTop w:val="0"/>
      <w:marBottom w:val="0"/>
      <w:divBdr>
        <w:top w:val="none" w:sz="0" w:space="0" w:color="auto"/>
        <w:left w:val="none" w:sz="0" w:space="0" w:color="auto"/>
        <w:bottom w:val="none" w:sz="0" w:space="0" w:color="auto"/>
        <w:right w:val="none" w:sz="0" w:space="0" w:color="auto"/>
      </w:divBdr>
    </w:div>
    <w:div w:id="462697838">
      <w:bodyDiv w:val="1"/>
      <w:marLeft w:val="0"/>
      <w:marRight w:val="0"/>
      <w:marTop w:val="0"/>
      <w:marBottom w:val="0"/>
      <w:divBdr>
        <w:top w:val="none" w:sz="0" w:space="0" w:color="auto"/>
        <w:left w:val="none" w:sz="0" w:space="0" w:color="auto"/>
        <w:bottom w:val="none" w:sz="0" w:space="0" w:color="auto"/>
        <w:right w:val="none" w:sz="0" w:space="0" w:color="auto"/>
      </w:divBdr>
    </w:div>
    <w:div w:id="463426907">
      <w:bodyDiv w:val="1"/>
      <w:marLeft w:val="0"/>
      <w:marRight w:val="0"/>
      <w:marTop w:val="0"/>
      <w:marBottom w:val="0"/>
      <w:divBdr>
        <w:top w:val="none" w:sz="0" w:space="0" w:color="auto"/>
        <w:left w:val="none" w:sz="0" w:space="0" w:color="auto"/>
        <w:bottom w:val="none" w:sz="0" w:space="0" w:color="auto"/>
        <w:right w:val="none" w:sz="0" w:space="0" w:color="auto"/>
      </w:divBdr>
    </w:div>
    <w:div w:id="464467128">
      <w:bodyDiv w:val="1"/>
      <w:marLeft w:val="0"/>
      <w:marRight w:val="0"/>
      <w:marTop w:val="0"/>
      <w:marBottom w:val="0"/>
      <w:divBdr>
        <w:top w:val="none" w:sz="0" w:space="0" w:color="auto"/>
        <w:left w:val="none" w:sz="0" w:space="0" w:color="auto"/>
        <w:bottom w:val="none" w:sz="0" w:space="0" w:color="auto"/>
        <w:right w:val="none" w:sz="0" w:space="0" w:color="auto"/>
      </w:divBdr>
    </w:div>
    <w:div w:id="466822616">
      <w:bodyDiv w:val="1"/>
      <w:marLeft w:val="0"/>
      <w:marRight w:val="0"/>
      <w:marTop w:val="0"/>
      <w:marBottom w:val="0"/>
      <w:divBdr>
        <w:top w:val="none" w:sz="0" w:space="0" w:color="auto"/>
        <w:left w:val="none" w:sz="0" w:space="0" w:color="auto"/>
        <w:bottom w:val="none" w:sz="0" w:space="0" w:color="auto"/>
        <w:right w:val="none" w:sz="0" w:space="0" w:color="auto"/>
      </w:divBdr>
    </w:div>
    <w:div w:id="500512018">
      <w:bodyDiv w:val="1"/>
      <w:marLeft w:val="0"/>
      <w:marRight w:val="0"/>
      <w:marTop w:val="0"/>
      <w:marBottom w:val="0"/>
      <w:divBdr>
        <w:top w:val="none" w:sz="0" w:space="0" w:color="auto"/>
        <w:left w:val="none" w:sz="0" w:space="0" w:color="auto"/>
        <w:bottom w:val="none" w:sz="0" w:space="0" w:color="auto"/>
        <w:right w:val="none" w:sz="0" w:space="0" w:color="auto"/>
      </w:divBdr>
    </w:div>
    <w:div w:id="500968542">
      <w:bodyDiv w:val="1"/>
      <w:marLeft w:val="0"/>
      <w:marRight w:val="0"/>
      <w:marTop w:val="0"/>
      <w:marBottom w:val="0"/>
      <w:divBdr>
        <w:top w:val="none" w:sz="0" w:space="0" w:color="auto"/>
        <w:left w:val="none" w:sz="0" w:space="0" w:color="auto"/>
        <w:bottom w:val="none" w:sz="0" w:space="0" w:color="auto"/>
        <w:right w:val="none" w:sz="0" w:space="0" w:color="auto"/>
      </w:divBdr>
    </w:div>
    <w:div w:id="516697720">
      <w:bodyDiv w:val="1"/>
      <w:marLeft w:val="0"/>
      <w:marRight w:val="0"/>
      <w:marTop w:val="0"/>
      <w:marBottom w:val="0"/>
      <w:divBdr>
        <w:top w:val="none" w:sz="0" w:space="0" w:color="auto"/>
        <w:left w:val="none" w:sz="0" w:space="0" w:color="auto"/>
        <w:bottom w:val="none" w:sz="0" w:space="0" w:color="auto"/>
        <w:right w:val="none" w:sz="0" w:space="0" w:color="auto"/>
      </w:divBdr>
    </w:div>
    <w:div w:id="524056955">
      <w:bodyDiv w:val="1"/>
      <w:marLeft w:val="0"/>
      <w:marRight w:val="0"/>
      <w:marTop w:val="0"/>
      <w:marBottom w:val="0"/>
      <w:divBdr>
        <w:top w:val="none" w:sz="0" w:space="0" w:color="auto"/>
        <w:left w:val="none" w:sz="0" w:space="0" w:color="auto"/>
        <w:bottom w:val="none" w:sz="0" w:space="0" w:color="auto"/>
        <w:right w:val="none" w:sz="0" w:space="0" w:color="auto"/>
      </w:divBdr>
    </w:div>
    <w:div w:id="526411208">
      <w:bodyDiv w:val="1"/>
      <w:marLeft w:val="0"/>
      <w:marRight w:val="0"/>
      <w:marTop w:val="0"/>
      <w:marBottom w:val="0"/>
      <w:divBdr>
        <w:top w:val="none" w:sz="0" w:space="0" w:color="auto"/>
        <w:left w:val="none" w:sz="0" w:space="0" w:color="auto"/>
        <w:bottom w:val="none" w:sz="0" w:space="0" w:color="auto"/>
        <w:right w:val="none" w:sz="0" w:space="0" w:color="auto"/>
      </w:divBdr>
    </w:div>
    <w:div w:id="536478839">
      <w:bodyDiv w:val="1"/>
      <w:marLeft w:val="0"/>
      <w:marRight w:val="0"/>
      <w:marTop w:val="0"/>
      <w:marBottom w:val="0"/>
      <w:divBdr>
        <w:top w:val="none" w:sz="0" w:space="0" w:color="auto"/>
        <w:left w:val="none" w:sz="0" w:space="0" w:color="auto"/>
        <w:bottom w:val="none" w:sz="0" w:space="0" w:color="auto"/>
        <w:right w:val="none" w:sz="0" w:space="0" w:color="auto"/>
      </w:divBdr>
    </w:div>
    <w:div w:id="550073090">
      <w:bodyDiv w:val="1"/>
      <w:marLeft w:val="0"/>
      <w:marRight w:val="0"/>
      <w:marTop w:val="0"/>
      <w:marBottom w:val="0"/>
      <w:divBdr>
        <w:top w:val="none" w:sz="0" w:space="0" w:color="auto"/>
        <w:left w:val="none" w:sz="0" w:space="0" w:color="auto"/>
        <w:bottom w:val="none" w:sz="0" w:space="0" w:color="auto"/>
        <w:right w:val="none" w:sz="0" w:space="0" w:color="auto"/>
      </w:divBdr>
    </w:div>
    <w:div w:id="557978204">
      <w:bodyDiv w:val="1"/>
      <w:marLeft w:val="0"/>
      <w:marRight w:val="0"/>
      <w:marTop w:val="0"/>
      <w:marBottom w:val="0"/>
      <w:divBdr>
        <w:top w:val="none" w:sz="0" w:space="0" w:color="auto"/>
        <w:left w:val="none" w:sz="0" w:space="0" w:color="auto"/>
        <w:bottom w:val="none" w:sz="0" w:space="0" w:color="auto"/>
        <w:right w:val="none" w:sz="0" w:space="0" w:color="auto"/>
      </w:divBdr>
    </w:div>
    <w:div w:id="565070605">
      <w:bodyDiv w:val="1"/>
      <w:marLeft w:val="0"/>
      <w:marRight w:val="0"/>
      <w:marTop w:val="0"/>
      <w:marBottom w:val="0"/>
      <w:divBdr>
        <w:top w:val="none" w:sz="0" w:space="0" w:color="auto"/>
        <w:left w:val="none" w:sz="0" w:space="0" w:color="auto"/>
        <w:bottom w:val="none" w:sz="0" w:space="0" w:color="auto"/>
        <w:right w:val="none" w:sz="0" w:space="0" w:color="auto"/>
      </w:divBdr>
    </w:div>
    <w:div w:id="573441006">
      <w:bodyDiv w:val="1"/>
      <w:marLeft w:val="0"/>
      <w:marRight w:val="0"/>
      <w:marTop w:val="0"/>
      <w:marBottom w:val="0"/>
      <w:divBdr>
        <w:top w:val="none" w:sz="0" w:space="0" w:color="auto"/>
        <w:left w:val="none" w:sz="0" w:space="0" w:color="auto"/>
        <w:bottom w:val="none" w:sz="0" w:space="0" w:color="auto"/>
        <w:right w:val="none" w:sz="0" w:space="0" w:color="auto"/>
      </w:divBdr>
    </w:div>
    <w:div w:id="597106956">
      <w:bodyDiv w:val="1"/>
      <w:marLeft w:val="0"/>
      <w:marRight w:val="0"/>
      <w:marTop w:val="0"/>
      <w:marBottom w:val="0"/>
      <w:divBdr>
        <w:top w:val="none" w:sz="0" w:space="0" w:color="auto"/>
        <w:left w:val="none" w:sz="0" w:space="0" w:color="auto"/>
        <w:bottom w:val="none" w:sz="0" w:space="0" w:color="auto"/>
        <w:right w:val="none" w:sz="0" w:space="0" w:color="auto"/>
      </w:divBdr>
    </w:div>
    <w:div w:id="613168502">
      <w:bodyDiv w:val="1"/>
      <w:marLeft w:val="0"/>
      <w:marRight w:val="0"/>
      <w:marTop w:val="0"/>
      <w:marBottom w:val="0"/>
      <w:divBdr>
        <w:top w:val="none" w:sz="0" w:space="0" w:color="auto"/>
        <w:left w:val="none" w:sz="0" w:space="0" w:color="auto"/>
        <w:bottom w:val="none" w:sz="0" w:space="0" w:color="auto"/>
        <w:right w:val="none" w:sz="0" w:space="0" w:color="auto"/>
      </w:divBdr>
    </w:div>
    <w:div w:id="614216528">
      <w:bodyDiv w:val="1"/>
      <w:marLeft w:val="0"/>
      <w:marRight w:val="0"/>
      <w:marTop w:val="0"/>
      <w:marBottom w:val="0"/>
      <w:divBdr>
        <w:top w:val="none" w:sz="0" w:space="0" w:color="auto"/>
        <w:left w:val="none" w:sz="0" w:space="0" w:color="auto"/>
        <w:bottom w:val="none" w:sz="0" w:space="0" w:color="auto"/>
        <w:right w:val="none" w:sz="0" w:space="0" w:color="auto"/>
      </w:divBdr>
    </w:div>
    <w:div w:id="632831456">
      <w:bodyDiv w:val="1"/>
      <w:marLeft w:val="0"/>
      <w:marRight w:val="0"/>
      <w:marTop w:val="0"/>
      <w:marBottom w:val="0"/>
      <w:divBdr>
        <w:top w:val="none" w:sz="0" w:space="0" w:color="auto"/>
        <w:left w:val="none" w:sz="0" w:space="0" w:color="auto"/>
        <w:bottom w:val="none" w:sz="0" w:space="0" w:color="auto"/>
        <w:right w:val="none" w:sz="0" w:space="0" w:color="auto"/>
      </w:divBdr>
    </w:div>
    <w:div w:id="658073698">
      <w:bodyDiv w:val="1"/>
      <w:marLeft w:val="0"/>
      <w:marRight w:val="0"/>
      <w:marTop w:val="0"/>
      <w:marBottom w:val="0"/>
      <w:divBdr>
        <w:top w:val="none" w:sz="0" w:space="0" w:color="auto"/>
        <w:left w:val="none" w:sz="0" w:space="0" w:color="auto"/>
        <w:bottom w:val="none" w:sz="0" w:space="0" w:color="auto"/>
        <w:right w:val="none" w:sz="0" w:space="0" w:color="auto"/>
      </w:divBdr>
    </w:div>
    <w:div w:id="667293305">
      <w:bodyDiv w:val="1"/>
      <w:marLeft w:val="0"/>
      <w:marRight w:val="0"/>
      <w:marTop w:val="0"/>
      <w:marBottom w:val="0"/>
      <w:divBdr>
        <w:top w:val="none" w:sz="0" w:space="0" w:color="auto"/>
        <w:left w:val="none" w:sz="0" w:space="0" w:color="auto"/>
        <w:bottom w:val="none" w:sz="0" w:space="0" w:color="auto"/>
        <w:right w:val="none" w:sz="0" w:space="0" w:color="auto"/>
      </w:divBdr>
    </w:div>
    <w:div w:id="731656444">
      <w:bodyDiv w:val="1"/>
      <w:marLeft w:val="0"/>
      <w:marRight w:val="0"/>
      <w:marTop w:val="0"/>
      <w:marBottom w:val="0"/>
      <w:divBdr>
        <w:top w:val="none" w:sz="0" w:space="0" w:color="auto"/>
        <w:left w:val="none" w:sz="0" w:space="0" w:color="auto"/>
        <w:bottom w:val="none" w:sz="0" w:space="0" w:color="auto"/>
        <w:right w:val="none" w:sz="0" w:space="0" w:color="auto"/>
      </w:divBdr>
    </w:div>
    <w:div w:id="736513849">
      <w:bodyDiv w:val="1"/>
      <w:marLeft w:val="0"/>
      <w:marRight w:val="0"/>
      <w:marTop w:val="0"/>
      <w:marBottom w:val="0"/>
      <w:divBdr>
        <w:top w:val="none" w:sz="0" w:space="0" w:color="auto"/>
        <w:left w:val="none" w:sz="0" w:space="0" w:color="auto"/>
        <w:bottom w:val="none" w:sz="0" w:space="0" w:color="auto"/>
        <w:right w:val="none" w:sz="0" w:space="0" w:color="auto"/>
      </w:divBdr>
    </w:div>
    <w:div w:id="738139956">
      <w:bodyDiv w:val="1"/>
      <w:marLeft w:val="0"/>
      <w:marRight w:val="0"/>
      <w:marTop w:val="0"/>
      <w:marBottom w:val="0"/>
      <w:divBdr>
        <w:top w:val="none" w:sz="0" w:space="0" w:color="auto"/>
        <w:left w:val="none" w:sz="0" w:space="0" w:color="auto"/>
        <w:bottom w:val="none" w:sz="0" w:space="0" w:color="auto"/>
        <w:right w:val="none" w:sz="0" w:space="0" w:color="auto"/>
      </w:divBdr>
    </w:div>
    <w:div w:id="739255979">
      <w:bodyDiv w:val="1"/>
      <w:marLeft w:val="0"/>
      <w:marRight w:val="0"/>
      <w:marTop w:val="0"/>
      <w:marBottom w:val="0"/>
      <w:divBdr>
        <w:top w:val="none" w:sz="0" w:space="0" w:color="auto"/>
        <w:left w:val="none" w:sz="0" w:space="0" w:color="auto"/>
        <w:bottom w:val="none" w:sz="0" w:space="0" w:color="auto"/>
        <w:right w:val="none" w:sz="0" w:space="0" w:color="auto"/>
      </w:divBdr>
    </w:div>
    <w:div w:id="755126991">
      <w:bodyDiv w:val="1"/>
      <w:marLeft w:val="0"/>
      <w:marRight w:val="0"/>
      <w:marTop w:val="0"/>
      <w:marBottom w:val="0"/>
      <w:divBdr>
        <w:top w:val="none" w:sz="0" w:space="0" w:color="auto"/>
        <w:left w:val="none" w:sz="0" w:space="0" w:color="auto"/>
        <w:bottom w:val="none" w:sz="0" w:space="0" w:color="auto"/>
        <w:right w:val="none" w:sz="0" w:space="0" w:color="auto"/>
      </w:divBdr>
    </w:div>
    <w:div w:id="773552746">
      <w:bodyDiv w:val="1"/>
      <w:marLeft w:val="0"/>
      <w:marRight w:val="0"/>
      <w:marTop w:val="0"/>
      <w:marBottom w:val="0"/>
      <w:divBdr>
        <w:top w:val="none" w:sz="0" w:space="0" w:color="auto"/>
        <w:left w:val="none" w:sz="0" w:space="0" w:color="auto"/>
        <w:bottom w:val="none" w:sz="0" w:space="0" w:color="auto"/>
        <w:right w:val="none" w:sz="0" w:space="0" w:color="auto"/>
      </w:divBdr>
    </w:div>
    <w:div w:id="775054739">
      <w:bodyDiv w:val="1"/>
      <w:marLeft w:val="0"/>
      <w:marRight w:val="0"/>
      <w:marTop w:val="0"/>
      <w:marBottom w:val="0"/>
      <w:divBdr>
        <w:top w:val="none" w:sz="0" w:space="0" w:color="auto"/>
        <w:left w:val="none" w:sz="0" w:space="0" w:color="auto"/>
        <w:bottom w:val="none" w:sz="0" w:space="0" w:color="auto"/>
        <w:right w:val="none" w:sz="0" w:space="0" w:color="auto"/>
      </w:divBdr>
    </w:div>
    <w:div w:id="789933103">
      <w:bodyDiv w:val="1"/>
      <w:marLeft w:val="0"/>
      <w:marRight w:val="0"/>
      <w:marTop w:val="0"/>
      <w:marBottom w:val="0"/>
      <w:divBdr>
        <w:top w:val="none" w:sz="0" w:space="0" w:color="auto"/>
        <w:left w:val="none" w:sz="0" w:space="0" w:color="auto"/>
        <w:bottom w:val="none" w:sz="0" w:space="0" w:color="auto"/>
        <w:right w:val="none" w:sz="0" w:space="0" w:color="auto"/>
      </w:divBdr>
    </w:div>
    <w:div w:id="797261332">
      <w:bodyDiv w:val="1"/>
      <w:marLeft w:val="0"/>
      <w:marRight w:val="0"/>
      <w:marTop w:val="0"/>
      <w:marBottom w:val="0"/>
      <w:divBdr>
        <w:top w:val="none" w:sz="0" w:space="0" w:color="auto"/>
        <w:left w:val="none" w:sz="0" w:space="0" w:color="auto"/>
        <w:bottom w:val="none" w:sz="0" w:space="0" w:color="auto"/>
        <w:right w:val="none" w:sz="0" w:space="0" w:color="auto"/>
      </w:divBdr>
    </w:div>
    <w:div w:id="802235317">
      <w:bodyDiv w:val="1"/>
      <w:marLeft w:val="0"/>
      <w:marRight w:val="0"/>
      <w:marTop w:val="0"/>
      <w:marBottom w:val="0"/>
      <w:divBdr>
        <w:top w:val="none" w:sz="0" w:space="0" w:color="auto"/>
        <w:left w:val="none" w:sz="0" w:space="0" w:color="auto"/>
        <w:bottom w:val="none" w:sz="0" w:space="0" w:color="auto"/>
        <w:right w:val="none" w:sz="0" w:space="0" w:color="auto"/>
      </w:divBdr>
    </w:div>
    <w:div w:id="808937164">
      <w:bodyDiv w:val="1"/>
      <w:marLeft w:val="0"/>
      <w:marRight w:val="0"/>
      <w:marTop w:val="0"/>
      <w:marBottom w:val="0"/>
      <w:divBdr>
        <w:top w:val="none" w:sz="0" w:space="0" w:color="auto"/>
        <w:left w:val="none" w:sz="0" w:space="0" w:color="auto"/>
        <w:bottom w:val="none" w:sz="0" w:space="0" w:color="auto"/>
        <w:right w:val="none" w:sz="0" w:space="0" w:color="auto"/>
      </w:divBdr>
    </w:div>
    <w:div w:id="812718583">
      <w:bodyDiv w:val="1"/>
      <w:marLeft w:val="0"/>
      <w:marRight w:val="0"/>
      <w:marTop w:val="0"/>
      <w:marBottom w:val="0"/>
      <w:divBdr>
        <w:top w:val="none" w:sz="0" w:space="0" w:color="auto"/>
        <w:left w:val="none" w:sz="0" w:space="0" w:color="auto"/>
        <w:bottom w:val="none" w:sz="0" w:space="0" w:color="auto"/>
        <w:right w:val="none" w:sz="0" w:space="0" w:color="auto"/>
      </w:divBdr>
    </w:div>
    <w:div w:id="812721580">
      <w:bodyDiv w:val="1"/>
      <w:marLeft w:val="0"/>
      <w:marRight w:val="0"/>
      <w:marTop w:val="0"/>
      <w:marBottom w:val="0"/>
      <w:divBdr>
        <w:top w:val="none" w:sz="0" w:space="0" w:color="auto"/>
        <w:left w:val="none" w:sz="0" w:space="0" w:color="auto"/>
        <w:bottom w:val="none" w:sz="0" w:space="0" w:color="auto"/>
        <w:right w:val="none" w:sz="0" w:space="0" w:color="auto"/>
      </w:divBdr>
    </w:div>
    <w:div w:id="819079369">
      <w:bodyDiv w:val="1"/>
      <w:marLeft w:val="0"/>
      <w:marRight w:val="0"/>
      <w:marTop w:val="0"/>
      <w:marBottom w:val="0"/>
      <w:divBdr>
        <w:top w:val="none" w:sz="0" w:space="0" w:color="auto"/>
        <w:left w:val="none" w:sz="0" w:space="0" w:color="auto"/>
        <w:bottom w:val="none" w:sz="0" w:space="0" w:color="auto"/>
        <w:right w:val="none" w:sz="0" w:space="0" w:color="auto"/>
      </w:divBdr>
    </w:div>
    <w:div w:id="822350487">
      <w:bodyDiv w:val="1"/>
      <w:marLeft w:val="0"/>
      <w:marRight w:val="0"/>
      <w:marTop w:val="0"/>
      <w:marBottom w:val="0"/>
      <w:divBdr>
        <w:top w:val="none" w:sz="0" w:space="0" w:color="auto"/>
        <w:left w:val="none" w:sz="0" w:space="0" w:color="auto"/>
        <w:bottom w:val="none" w:sz="0" w:space="0" w:color="auto"/>
        <w:right w:val="none" w:sz="0" w:space="0" w:color="auto"/>
      </w:divBdr>
    </w:div>
    <w:div w:id="840510261">
      <w:bodyDiv w:val="1"/>
      <w:marLeft w:val="0"/>
      <w:marRight w:val="0"/>
      <w:marTop w:val="0"/>
      <w:marBottom w:val="0"/>
      <w:divBdr>
        <w:top w:val="none" w:sz="0" w:space="0" w:color="auto"/>
        <w:left w:val="none" w:sz="0" w:space="0" w:color="auto"/>
        <w:bottom w:val="none" w:sz="0" w:space="0" w:color="auto"/>
        <w:right w:val="none" w:sz="0" w:space="0" w:color="auto"/>
      </w:divBdr>
    </w:div>
    <w:div w:id="853569913">
      <w:bodyDiv w:val="1"/>
      <w:marLeft w:val="0"/>
      <w:marRight w:val="0"/>
      <w:marTop w:val="0"/>
      <w:marBottom w:val="0"/>
      <w:divBdr>
        <w:top w:val="none" w:sz="0" w:space="0" w:color="auto"/>
        <w:left w:val="none" w:sz="0" w:space="0" w:color="auto"/>
        <w:bottom w:val="none" w:sz="0" w:space="0" w:color="auto"/>
        <w:right w:val="none" w:sz="0" w:space="0" w:color="auto"/>
      </w:divBdr>
    </w:div>
    <w:div w:id="865755541">
      <w:bodyDiv w:val="1"/>
      <w:marLeft w:val="0"/>
      <w:marRight w:val="0"/>
      <w:marTop w:val="0"/>
      <w:marBottom w:val="0"/>
      <w:divBdr>
        <w:top w:val="none" w:sz="0" w:space="0" w:color="auto"/>
        <w:left w:val="none" w:sz="0" w:space="0" w:color="auto"/>
        <w:bottom w:val="none" w:sz="0" w:space="0" w:color="auto"/>
        <w:right w:val="none" w:sz="0" w:space="0" w:color="auto"/>
      </w:divBdr>
    </w:div>
    <w:div w:id="868878021">
      <w:bodyDiv w:val="1"/>
      <w:marLeft w:val="0"/>
      <w:marRight w:val="0"/>
      <w:marTop w:val="0"/>
      <w:marBottom w:val="0"/>
      <w:divBdr>
        <w:top w:val="none" w:sz="0" w:space="0" w:color="auto"/>
        <w:left w:val="none" w:sz="0" w:space="0" w:color="auto"/>
        <w:bottom w:val="none" w:sz="0" w:space="0" w:color="auto"/>
        <w:right w:val="none" w:sz="0" w:space="0" w:color="auto"/>
      </w:divBdr>
    </w:div>
    <w:div w:id="884831835">
      <w:bodyDiv w:val="1"/>
      <w:marLeft w:val="0"/>
      <w:marRight w:val="0"/>
      <w:marTop w:val="0"/>
      <w:marBottom w:val="0"/>
      <w:divBdr>
        <w:top w:val="none" w:sz="0" w:space="0" w:color="auto"/>
        <w:left w:val="none" w:sz="0" w:space="0" w:color="auto"/>
        <w:bottom w:val="none" w:sz="0" w:space="0" w:color="auto"/>
        <w:right w:val="none" w:sz="0" w:space="0" w:color="auto"/>
      </w:divBdr>
    </w:div>
    <w:div w:id="886800107">
      <w:bodyDiv w:val="1"/>
      <w:marLeft w:val="0"/>
      <w:marRight w:val="0"/>
      <w:marTop w:val="0"/>
      <w:marBottom w:val="0"/>
      <w:divBdr>
        <w:top w:val="none" w:sz="0" w:space="0" w:color="auto"/>
        <w:left w:val="none" w:sz="0" w:space="0" w:color="auto"/>
        <w:bottom w:val="none" w:sz="0" w:space="0" w:color="auto"/>
        <w:right w:val="none" w:sz="0" w:space="0" w:color="auto"/>
      </w:divBdr>
    </w:div>
    <w:div w:id="889995622">
      <w:bodyDiv w:val="1"/>
      <w:marLeft w:val="0"/>
      <w:marRight w:val="0"/>
      <w:marTop w:val="0"/>
      <w:marBottom w:val="0"/>
      <w:divBdr>
        <w:top w:val="none" w:sz="0" w:space="0" w:color="auto"/>
        <w:left w:val="none" w:sz="0" w:space="0" w:color="auto"/>
        <w:bottom w:val="none" w:sz="0" w:space="0" w:color="auto"/>
        <w:right w:val="none" w:sz="0" w:space="0" w:color="auto"/>
      </w:divBdr>
    </w:div>
    <w:div w:id="891379530">
      <w:bodyDiv w:val="1"/>
      <w:marLeft w:val="0"/>
      <w:marRight w:val="0"/>
      <w:marTop w:val="0"/>
      <w:marBottom w:val="0"/>
      <w:divBdr>
        <w:top w:val="none" w:sz="0" w:space="0" w:color="auto"/>
        <w:left w:val="none" w:sz="0" w:space="0" w:color="auto"/>
        <w:bottom w:val="none" w:sz="0" w:space="0" w:color="auto"/>
        <w:right w:val="none" w:sz="0" w:space="0" w:color="auto"/>
      </w:divBdr>
    </w:div>
    <w:div w:id="900334339">
      <w:bodyDiv w:val="1"/>
      <w:marLeft w:val="0"/>
      <w:marRight w:val="0"/>
      <w:marTop w:val="0"/>
      <w:marBottom w:val="0"/>
      <w:divBdr>
        <w:top w:val="none" w:sz="0" w:space="0" w:color="auto"/>
        <w:left w:val="none" w:sz="0" w:space="0" w:color="auto"/>
        <w:bottom w:val="none" w:sz="0" w:space="0" w:color="auto"/>
        <w:right w:val="none" w:sz="0" w:space="0" w:color="auto"/>
      </w:divBdr>
    </w:div>
    <w:div w:id="901067321">
      <w:bodyDiv w:val="1"/>
      <w:marLeft w:val="0"/>
      <w:marRight w:val="0"/>
      <w:marTop w:val="0"/>
      <w:marBottom w:val="0"/>
      <w:divBdr>
        <w:top w:val="none" w:sz="0" w:space="0" w:color="auto"/>
        <w:left w:val="none" w:sz="0" w:space="0" w:color="auto"/>
        <w:bottom w:val="none" w:sz="0" w:space="0" w:color="auto"/>
        <w:right w:val="none" w:sz="0" w:space="0" w:color="auto"/>
      </w:divBdr>
    </w:div>
    <w:div w:id="914703286">
      <w:bodyDiv w:val="1"/>
      <w:marLeft w:val="0"/>
      <w:marRight w:val="0"/>
      <w:marTop w:val="0"/>
      <w:marBottom w:val="0"/>
      <w:divBdr>
        <w:top w:val="none" w:sz="0" w:space="0" w:color="auto"/>
        <w:left w:val="none" w:sz="0" w:space="0" w:color="auto"/>
        <w:bottom w:val="none" w:sz="0" w:space="0" w:color="auto"/>
        <w:right w:val="none" w:sz="0" w:space="0" w:color="auto"/>
      </w:divBdr>
    </w:div>
    <w:div w:id="916747317">
      <w:bodyDiv w:val="1"/>
      <w:marLeft w:val="0"/>
      <w:marRight w:val="0"/>
      <w:marTop w:val="0"/>
      <w:marBottom w:val="0"/>
      <w:divBdr>
        <w:top w:val="none" w:sz="0" w:space="0" w:color="auto"/>
        <w:left w:val="none" w:sz="0" w:space="0" w:color="auto"/>
        <w:bottom w:val="none" w:sz="0" w:space="0" w:color="auto"/>
        <w:right w:val="none" w:sz="0" w:space="0" w:color="auto"/>
      </w:divBdr>
    </w:div>
    <w:div w:id="932009175">
      <w:bodyDiv w:val="1"/>
      <w:marLeft w:val="0"/>
      <w:marRight w:val="0"/>
      <w:marTop w:val="0"/>
      <w:marBottom w:val="0"/>
      <w:divBdr>
        <w:top w:val="none" w:sz="0" w:space="0" w:color="auto"/>
        <w:left w:val="none" w:sz="0" w:space="0" w:color="auto"/>
        <w:bottom w:val="none" w:sz="0" w:space="0" w:color="auto"/>
        <w:right w:val="none" w:sz="0" w:space="0" w:color="auto"/>
      </w:divBdr>
    </w:div>
    <w:div w:id="961693485">
      <w:bodyDiv w:val="1"/>
      <w:marLeft w:val="0"/>
      <w:marRight w:val="0"/>
      <w:marTop w:val="0"/>
      <w:marBottom w:val="0"/>
      <w:divBdr>
        <w:top w:val="none" w:sz="0" w:space="0" w:color="auto"/>
        <w:left w:val="none" w:sz="0" w:space="0" w:color="auto"/>
        <w:bottom w:val="none" w:sz="0" w:space="0" w:color="auto"/>
        <w:right w:val="none" w:sz="0" w:space="0" w:color="auto"/>
      </w:divBdr>
    </w:div>
    <w:div w:id="963728037">
      <w:bodyDiv w:val="1"/>
      <w:marLeft w:val="0"/>
      <w:marRight w:val="0"/>
      <w:marTop w:val="0"/>
      <w:marBottom w:val="0"/>
      <w:divBdr>
        <w:top w:val="none" w:sz="0" w:space="0" w:color="auto"/>
        <w:left w:val="none" w:sz="0" w:space="0" w:color="auto"/>
        <w:bottom w:val="none" w:sz="0" w:space="0" w:color="auto"/>
        <w:right w:val="none" w:sz="0" w:space="0" w:color="auto"/>
      </w:divBdr>
    </w:div>
    <w:div w:id="968976336">
      <w:bodyDiv w:val="1"/>
      <w:marLeft w:val="0"/>
      <w:marRight w:val="0"/>
      <w:marTop w:val="0"/>
      <w:marBottom w:val="0"/>
      <w:divBdr>
        <w:top w:val="none" w:sz="0" w:space="0" w:color="auto"/>
        <w:left w:val="none" w:sz="0" w:space="0" w:color="auto"/>
        <w:bottom w:val="none" w:sz="0" w:space="0" w:color="auto"/>
        <w:right w:val="none" w:sz="0" w:space="0" w:color="auto"/>
      </w:divBdr>
    </w:div>
    <w:div w:id="970941423">
      <w:bodyDiv w:val="1"/>
      <w:marLeft w:val="0"/>
      <w:marRight w:val="0"/>
      <w:marTop w:val="0"/>
      <w:marBottom w:val="0"/>
      <w:divBdr>
        <w:top w:val="none" w:sz="0" w:space="0" w:color="auto"/>
        <w:left w:val="none" w:sz="0" w:space="0" w:color="auto"/>
        <w:bottom w:val="none" w:sz="0" w:space="0" w:color="auto"/>
        <w:right w:val="none" w:sz="0" w:space="0" w:color="auto"/>
      </w:divBdr>
    </w:div>
    <w:div w:id="978993854">
      <w:bodyDiv w:val="1"/>
      <w:marLeft w:val="0"/>
      <w:marRight w:val="0"/>
      <w:marTop w:val="0"/>
      <w:marBottom w:val="0"/>
      <w:divBdr>
        <w:top w:val="none" w:sz="0" w:space="0" w:color="auto"/>
        <w:left w:val="none" w:sz="0" w:space="0" w:color="auto"/>
        <w:bottom w:val="none" w:sz="0" w:space="0" w:color="auto"/>
        <w:right w:val="none" w:sz="0" w:space="0" w:color="auto"/>
      </w:divBdr>
    </w:div>
    <w:div w:id="995063572">
      <w:bodyDiv w:val="1"/>
      <w:marLeft w:val="0"/>
      <w:marRight w:val="0"/>
      <w:marTop w:val="0"/>
      <w:marBottom w:val="0"/>
      <w:divBdr>
        <w:top w:val="none" w:sz="0" w:space="0" w:color="auto"/>
        <w:left w:val="none" w:sz="0" w:space="0" w:color="auto"/>
        <w:bottom w:val="none" w:sz="0" w:space="0" w:color="auto"/>
        <w:right w:val="none" w:sz="0" w:space="0" w:color="auto"/>
      </w:divBdr>
    </w:div>
    <w:div w:id="997272095">
      <w:bodyDiv w:val="1"/>
      <w:marLeft w:val="0"/>
      <w:marRight w:val="0"/>
      <w:marTop w:val="0"/>
      <w:marBottom w:val="0"/>
      <w:divBdr>
        <w:top w:val="none" w:sz="0" w:space="0" w:color="auto"/>
        <w:left w:val="none" w:sz="0" w:space="0" w:color="auto"/>
        <w:bottom w:val="none" w:sz="0" w:space="0" w:color="auto"/>
        <w:right w:val="none" w:sz="0" w:space="0" w:color="auto"/>
      </w:divBdr>
    </w:div>
    <w:div w:id="1002247329">
      <w:bodyDiv w:val="1"/>
      <w:marLeft w:val="0"/>
      <w:marRight w:val="0"/>
      <w:marTop w:val="0"/>
      <w:marBottom w:val="0"/>
      <w:divBdr>
        <w:top w:val="none" w:sz="0" w:space="0" w:color="auto"/>
        <w:left w:val="none" w:sz="0" w:space="0" w:color="auto"/>
        <w:bottom w:val="none" w:sz="0" w:space="0" w:color="auto"/>
        <w:right w:val="none" w:sz="0" w:space="0" w:color="auto"/>
      </w:divBdr>
    </w:div>
    <w:div w:id="1022130699">
      <w:bodyDiv w:val="1"/>
      <w:marLeft w:val="0"/>
      <w:marRight w:val="0"/>
      <w:marTop w:val="0"/>
      <w:marBottom w:val="0"/>
      <w:divBdr>
        <w:top w:val="none" w:sz="0" w:space="0" w:color="auto"/>
        <w:left w:val="none" w:sz="0" w:space="0" w:color="auto"/>
        <w:bottom w:val="none" w:sz="0" w:space="0" w:color="auto"/>
        <w:right w:val="none" w:sz="0" w:space="0" w:color="auto"/>
      </w:divBdr>
    </w:div>
    <w:div w:id="1032414846">
      <w:bodyDiv w:val="1"/>
      <w:marLeft w:val="0"/>
      <w:marRight w:val="0"/>
      <w:marTop w:val="0"/>
      <w:marBottom w:val="0"/>
      <w:divBdr>
        <w:top w:val="none" w:sz="0" w:space="0" w:color="auto"/>
        <w:left w:val="none" w:sz="0" w:space="0" w:color="auto"/>
        <w:bottom w:val="none" w:sz="0" w:space="0" w:color="auto"/>
        <w:right w:val="none" w:sz="0" w:space="0" w:color="auto"/>
      </w:divBdr>
    </w:div>
    <w:div w:id="1065226642">
      <w:bodyDiv w:val="1"/>
      <w:marLeft w:val="0"/>
      <w:marRight w:val="0"/>
      <w:marTop w:val="0"/>
      <w:marBottom w:val="0"/>
      <w:divBdr>
        <w:top w:val="none" w:sz="0" w:space="0" w:color="auto"/>
        <w:left w:val="none" w:sz="0" w:space="0" w:color="auto"/>
        <w:bottom w:val="none" w:sz="0" w:space="0" w:color="auto"/>
        <w:right w:val="none" w:sz="0" w:space="0" w:color="auto"/>
      </w:divBdr>
    </w:div>
    <w:div w:id="1069767687">
      <w:bodyDiv w:val="1"/>
      <w:marLeft w:val="0"/>
      <w:marRight w:val="0"/>
      <w:marTop w:val="0"/>
      <w:marBottom w:val="0"/>
      <w:divBdr>
        <w:top w:val="none" w:sz="0" w:space="0" w:color="auto"/>
        <w:left w:val="none" w:sz="0" w:space="0" w:color="auto"/>
        <w:bottom w:val="none" w:sz="0" w:space="0" w:color="auto"/>
        <w:right w:val="none" w:sz="0" w:space="0" w:color="auto"/>
      </w:divBdr>
    </w:div>
    <w:div w:id="1084718904">
      <w:bodyDiv w:val="1"/>
      <w:marLeft w:val="0"/>
      <w:marRight w:val="0"/>
      <w:marTop w:val="0"/>
      <w:marBottom w:val="0"/>
      <w:divBdr>
        <w:top w:val="none" w:sz="0" w:space="0" w:color="auto"/>
        <w:left w:val="none" w:sz="0" w:space="0" w:color="auto"/>
        <w:bottom w:val="none" w:sz="0" w:space="0" w:color="auto"/>
        <w:right w:val="none" w:sz="0" w:space="0" w:color="auto"/>
      </w:divBdr>
    </w:div>
    <w:div w:id="1101022883">
      <w:bodyDiv w:val="1"/>
      <w:marLeft w:val="0"/>
      <w:marRight w:val="0"/>
      <w:marTop w:val="0"/>
      <w:marBottom w:val="0"/>
      <w:divBdr>
        <w:top w:val="none" w:sz="0" w:space="0" w:color="auto"/>
        <w:left w:val="none" w:sz="0" w:space="0" w:color="auto"/>
        <w:bottom w:val="none" w:sz="0" w:space="0" w:color="auto"/>
        <w:right w:val="none" w:sz="0" w:space="0" w:color="auto"/>
      </w:divBdr>
    </w:div>
    <w:div w:id="1109736054">
      <w:bodyDiv w:val="1"/>
      <w:marLeft w:val="0"/>
      <w:marRight w:val="0"/>
      <w:marTop w:val="0"/>
      <w:marBottom w:val="0"/>
      <w:divBdr>
        <w:top w:val="none" w:sz="0" w:space="0" w:color="auto"/>
        <w:left w:val="none" w:sz="0" w:space="0" w:color="auto"/>
        <w:bottom w:val="none" w:sz="0" w:space="0" w:color="auto"/>
        <w:right w:val="none" w:sz="0" w:space="0" w:color="auto"/>
      </w:divBdr>
      <w:divsChild>
        <w:div w:id="1500926284">
          <w:marLeft w:val="0"/>
          <w:marRight w:val="0"/>
          <w:marTop w:val="0"/>
          <w:marBottom w:val="0"/>
          <w:divBdr>
            <w:top w:val="none" w:sz="0" w:space="0" w:color="auto"/>
            <w:left w:val="none" w:sz="0" w:space="0" w:color="auto"/>
            <w:bottom w:val="none" w:sz="0" w:space="0" w:color="auto"/>
            <w:right w:val="none" w:sz="0" w:space="0" w:color="auto"/>
          </w:divBdr>
          <w:divsChild>
            <w:div w:id="1169518895">
              <w:marLeft w:val="0"/>
              <w:marRight w:val="0"/>
              <w:marTop w:val="0"/>
              <w:marBottom w:val="0"/>
              <w:divBdr>
                <w:top w:val="none" w:sz="0" w:space="0" w:color="auto"/>
                <w:left w:val="none" w:sz="0" w:space="0" w:color="auto"/>
                <w:bottom w:val="none" w:sz="0" w:space="0" w:color="auto"/>
                <w:right w:val="none" w:sz="0" w:space="0" w:color="auto"/>
              </w:divBdr>
              <w:divsChild>
                <w:div w:id="40057930">
                  <w:marLeft w:val="0"/>
                  <w:marRight w:val="0"/>
                  <w:marTop w:val="0"/>
                  <w:marBottom w:val="0"/>
                  <w:divBdr>
                    <w:top w:val="none" w:sz="0" w:space="0" w:color="auto"/>
                    <w:left w:val="none" w:sz="0" w:space="0" w:color="auto"/>
                    <w:bottom w:val="none" w:sz="0" w:space="0" w:color="auto"/>
                    <w:right w:val="none" w:sz="0" w:space="0" w:color="auto"/>
                  </w:divBdr>
                  <w:divsChild>
                    <w:div w:id="1448812042">
                      <w:marLeft w:val="0"/>
                      <w:marRight w:val="0"/>
                      <w:marTop w:val="0"/>
                      <w:marBottom w:val="0"/>
                      <w:divBdr>
                        <w:top w:val="none" w:sz="0" w:space="0" w:color="auto"/>
                        <w:left w:val="none" w:sz="0" w:space="0" w:color="auto"/>
                        <w:bottom w:val="none" w:sz="0" w:space="0" w:color="auto"/>
                        <w:right w:val="none" w:sz="0" w:space="0" w:color="auto"/>
                      </w:divBdr>
                      <w:divsChild>
                        <w:div w:id="465660096">
                          <w:marLeft w:val="0"/>
                          <w:marRight w:val="0"/>
                          <w:marTop w:val="0"/>
                          <w:marBottom w:val="0"/>
                          <w:divBdr>
                            <w:top w:val="none" w:sz="0" w:space="0" w:color="auto"/>
                            <w:left w:val="none" w:sz="0" w:space="0" w:color="auto"/>
                            <w:bottom w:val="none" w:sz="0" w:space="0" w:color="auto"/>
                            <w:right w:val="none" w:sz="0" w:space="0" w:color="auto"/>
                          </w:divBdr>
                          <w:divsChild>
                            <w:div w:id="909005009">
                              <w:marLeft w:val="0"/>
                              <w:marRight w:val="0"/>
                              <w:marTop w:val="0"/>
                              <w:marBottom w:val="0"/>
                              <w:divBdr>
                                <w:top w:val="none" w:sz="0" w:space="0" w:color="auto"/>
                                <w:left w:val="none" w:sz="0" w:space="0" w:color="auto"/>
                                <w:bottom w:val="none" w:sz="0" w:space="0" w:color="auto"/>
                                <w:right w:val="none" w:sz="0" w:space="0" w:color="auto"/>
                              </w:divBdr>
                              <w:divsChild>
                                <w:div w:id="539438240">
                                  <w:marLeft w:val="0"/>
                                  <w:marRight w:val="0"/>
                                  <w:marTop w:val="0"/>
                                  <w:marBottom w:val="0"/>
                                  <w:divBdr>
                                    <w:top w:val="none" w:sz="0" w:space="0" w:color="auto"/>
                                    <w:left w:val="none" w:sz="0" w:space="0" w:color="auto"/>
                                    <w:bottom w:val="none" w:sz="0" w:space="0" w:color="auto"/>
                                    <w:right w:val="none" w:sz="0" w:space="0" w:color="auto"/>
                                  </w:divBdr>
                                  <w:divsChild>
                                    <w:div w:id="2106462122">
                                      <w:marLeft w:val="0"/>
                                      <w:marRight w:val="0"/>
                                      <w:marTop w:val="0"/>
                                      <w:marBottom w:val="0"/>
                                      <w:divBdr>
                                        <w:top w:val="none" w:sz="0" w:space="0" w:color="auto"/>
                                        <w:left w:val="none" w:sz="0" w:space="0" w:color="auto"/>
                                        <w:bottom w:val="none" w:sz="0" w:space="0" w:color="auto"/>
                                        <w:right w:val="none" w:sz="0" w:space="0" w:color="auto"/>
                                      </w:divBdr>
                                      <w:divsChild>
                                        <w:div w:id="2135176378">
                                          <w:marLeft w:val="0"/>
                                          <w:marRight w:val="0"/>
                                          <w:marTop w:val="0"/>
                                          <w:marBottom w:val="0"/>
                                          <w:divBdr>
                                            <w:top w:val="none" w:sz="0" w:space="0" w:color="auto"/>
                                            <w:left w:val="none" w:sz="0" w:space="0" w:color="auto"/>
                                            <w:bottom w:val="none" w:sz="0" w:space="0" w:color="auto"/>
                                            <w:right w:val="none" w:sz="0" w:space="0" w:color="auto"/>
                                          </w:divBdr>
                                          <w:divsChild>
                                            <w:div w:id="26416026">
                                              <w:marLeft w:val="0"/>
                                              <w:marRight w:val="0"/>
                                              <w:marTop w:val="0"/>
                                              <w:marBottom w:val="0"/>
                                              <w:divBdr>
                                                <w:top w:val="none" w:sz="0" w:space="0" w:color="auto"/>
                                                <w:left w:val="none" w:sz="0" w:space="0" w:color="auto"/>
                                                <w:bottom w:val="none" w:sz="0" w:space="0" w:color="auto"/>
                                                <w:right w:val="none" w:sz="0" w:space="0" w:color="auto"/>
                                              </w:divBdr>
                                              <w:divsChild>
                                                <w:div w:id="1636179918">
                                                  <w:marLeft w:val="0"/>
                                                  <w:marRight w:val="0"/>
                                                  <w:marTop w:val="0"/>
                                                  <w:marBottom w:val="0"/>
                                                  <w:divBdr>
                                                    <w:top w:val="none" w:sz="0" w:space="0" w:color="auto"/>
                                                    <w:left w:val="none" w:sz="0" w:space="0" w:color="auto"/>
                                                    <w:bottom w:val="none" w:sz="0" w:space="0" w:color="auto"/>
                                                    <w:right w:val="none" w:sz="0" w:space="0" w:color="auto"/>
                                                  </w:divBdr>
                                                </w:div>
                                                <w:div w:id="2118214709">
                                                  <w:marLeft w:val="0"/>
                                                  <w:marRight w:val="0"/>
                                                  <w:marTop w:val="0"/>
                                                  <w:marBottom w:val="0"/>
                                                  <w:divBdr>
                                                    <w:top w:val="none" w:sz="0" w:space="0" w:color="auto"/>
                                                    <w:left w:val="none" w:sz="0" w:space="0" w:color="auto"/>
                                                    <w:bottom w:val="none" w:sz="0" w:space="0" w:color="auto"/>
                                                    <w:right w:val="none" w:sz="0" w:space="0" w:color="auto"/>
                                                  </w:divBdr>
                                                  <w:divsChild>
                                                    <w:div w:id="654065983">
                                                      <w:marLeft w:val="0"/>
                                                      <w:marRight w:val="0"/>
                                                      <w:marTop w:val="0"/>
                                                      <w:marBottom w:val="0"/>
                                                      <w:divBdr>
                                                        <w:top w:val="none" w:sz="0" w:space="0" w:color="auto"/>
                                                        <w:left w:val="none" w:sz="0" w:space="0" w:color="auto"/>
                                                        <w:bottom w:val="none" w:sz="0" w:space="0" w:color="auto"/>
                                                        <w:right w:val="none" w:sz="0" w:space="0" w:color="auto"/>
                                                      </w:divBdr>
                                                      <w:divsChild>
                                                        <w:div w:id="1373572153">
                                                          <w:marLeft w:val="0"/>
                                                          <w:marRight w:val="0"/>
                                                          <w:marTop w:val="0"/>
                                                          <w:marBottom w:val="0"/>
                                                          <w:divBdr>
                                                            <w:top w:val="none" w:sz="0" w:space="0" w:color="auto"/>
                                                            <w:left w:val="none" w:sz="0" w:space="0" w:color="auto"/>
                                                            <w:bottom w:val="none" w:sz="0" w:space="0" w:color="auto"/>
                                                            <w:right w:val="none" w:sz="0" w:space="0" w:color="auto"/>
                                                          </w:divBdr>
                                                          <w:divsChild>
                                                            <w:div w:id="891690763">
                                                              <w:marLeft w:val="0"/>
                                                              <w:marRight w:val="0"/>
                                                              <w:marTop w:val="0"/>
                                                              <w:marBottom w:val="0"/>
                                                              <w:divBdr>
                                                                <w:top w:val="none" w:sz="0" w:space="0" w:color="auto"/>
                                                                <w:left w:val="none" w:sz="0" w:space="0" w:color="auto"/>
                                                                <w:bottom w:val="none" w:sz="0" w:space="0" w:color="auto"/>
                                                                <w:right w:val="none" w:sz="0" w:space="0" w:color="auto"/>
                                                              </w:divBdr>
                                                              <w:divsChild>
                                                                <w:div w:id="1804535920">
                                                                  <w:marLeft w:val="0"/>
                                                                  <w:marRight w:val="0"/>
                                                                  <w:marTop w:val="0"/>
                                                                  <w:marBottom w:val="0"/>
                                                                  <w:divBdr>
                                                                    <w:top w:val="none" w:sz="0" w:space="0" w:color="auto"/>
                                                                    <w:left w:val="none" w:sz="0" w:space="0" w:color="auto"/>
                                                                    <w:bottom w:val="none" w:sz="0" w:space="0" w:color="auto"/>
                                                                    <w:right w:val="none" w:sz="0" w:space="0" w:color="auto"/>
                                                                  </w:divBdr>
                                                                  <w:divsChild>
                                                                    <w:div w:id="13684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17725066">
      <w:bodyDiv w:val="1"/>
      <w:marLeft w:val="0"/>
      <w:marRight w:val="0"/>
      <w:marTop w:val="0"/>
      <w:marBottom w:val="0"/>
      <w:divBdr>
        <w:top w:val="none" w:sz="0" w:space="0" w:color="auto"/>
        <w:left w:val="none" w:sz="0" w:space="0" w:color="auto"/>
        <w:bottom w:val="none" w:sz="0" w:space="0" w:color="auto"/>
        <w:right w:val="none" w:sz="0" w:space="0" w:color="auto"/>
      </w:divBdr>
    </w:div>
    <w:div w:id="1144548280">
      <w:bodyDiv w:val="1"/>
      <w:marLeft w:val="0"/>
      <w:marRight w:val="0"/>
      <w:marTop w:val="0"/>
      <w:marBottom w:val="0"/>
      <w:divBdr>
        <w:top w:val="none" w:sz="0" w:space="0" w:color="auto"/>
        <w:left w:val="none" w:sz="0" w:space="0" w:color="auto"/>
        <w:bottom w:val="none" w:sz="0" w:space="0" w:color="auto"/>
        <w:right w:val="none" w:sz="0" w:space="0" w:color="auto"/>
      </w:divBdr>
    </w:div>
    <w:div w:id="1156915045">
      <w:bodyDiv w:val="1"/>
      <w:marLeft w:val="0"/>
      <w:marRight w:val="0"/>
      <w:marTop w:val="0"/>
      <w:marBottom w:val="0"/>
      <w:divBdr>
        <w:top w:val="none" w:sz="0" w:space="0" w:color="auto"/>
        <w:left w:val="none" w:sz="0" w:space="0" w:color="auto"/>
        <w:bottom w:val="none" w:sz="0" w:space="0" w:color="auto"/>
        <w:right w:val="none" w:sz="0" w:space="0" w:color="auto"/>
      </w:divBdr>
    </w:div>
    <w:div w:id="1162938167">
      <w:bodyDiv w:val="1"/>
      <w:marLeft w:val="0"/>
      <w:marRight w:val="0"/>
      <w:marTop w:val="0"/>
      <w:marBottom w:val="0"/>
      <w:divBdr>
        <w:top w:val="none" w:sz="0" w:space="0" w:color="auto"/>
        <w:left w:val="none" w:sz="0" w:space="0" w:color="auto"/>
        <w:bottom w:val="none" w:sz="0" w:space="0" w:color="auto"/>
        <w:right w:val="none" w:sz="0" w:space="0" w:color="auto"/>
      </w:divBdr>
    </w:div>
    <w:div w:id="1177620458">
      <w:bodyDiv w:val="1"/>
      <w:marLeft w:val="0"/>
      <w:marRight w:val="0"/>
      <w:marTop w:val="0"/>
      <w:marBottom w:val="0"/>
      <w:divBdr>
        <w:top w:val="none" w:sz="0" w:space="0" w:color="auto"/>
        <w:left w:val="none" w:sz="0" w:space="0" w:color="auto"/>
        <w:bottom w:val="none" w:sz="0" w:space="0" w:color="auto"/>
        <w:right w:val="none" w:sz="0" w:space="0" w:color="auto"/>
      </w:divBdr>
    </w:div>
    <w:div w:id="1183545328">
      <w:bodyDiv w:val="1"/>
      <w:marLeft w:val="0"/>
      <w:marRight w:val="0"/>
      <w:marTop w:val="0"/>
      <w:marBottom w:val="0"/>
      <w:divBdr>
        <w:top w:val="none" w:sz="0" w:space="0" w:color="auto"/>
        <w:left w:val="none" w:sz="0" w:space="0" w:color="auto"/>
        <w:bottom w:val="none" w:sz="0" w:space="0" w:color="auto"/>
        <w:right w:val="none" w:sz="0" w:space="0" w:color="auto"/>
      </w:divBdr>
    </w:div>
    <w:div w:id="1187869878">
      <w:bodyDiv w:val="1"/>
      <w:marLeft w:val="0"/>
      <w:marRight w:val="0"/>
      <w:marTop w:val="0"/>
      <w:marBottom w:val="0"/>
      <w:divBdr>
        <w:top w:val="none" w:sz="0" w:space="0" w:color="auto"/>
        <w:left w:val="none" w:sz="0" w:space="0" w:color="auto"/>
        <w:bottom w:val="none" w:sz="0" w:space="0" w:color="auto"/>
        <w:right w:val="none" w:sz="0" w:space="0" w:color="auto"/>
      </w:divBdr>
    </w:div>
    <w:div w:id="1225412760">
      <w:bodyDiv w:val="1"/>
      <w:marLeft w:val="0"/>
      <w:marRight w:val="0"/>
      <w:marTop w:val="0"/>
      <w:marBottom w:val="0"/>
      <w:divBdr>
        <w:top w:val="none" w:sz="0" w:space="0" w:color="auto"/>
        <w:left w:val="none" w:sz="0" w:space="0" w:color="auto"/>
        <w:bottom w:val="none" w:sz="0" w:space="0" w:color="auto"/>
        <w:right w:val="none" w:sz="0" w:space="0" w:color="auto"/>
      </w:divBdr>
    </w:div>
    <w:div w:id="1225720987">
      <w:bodyDiv w:val="1"/>
      <w:marLeft w:val="0"/>
      <w:marRight w:val="0"/>
      <w:marTop w:val="0"/>
      <w:marBottom w:val="0"/>
      <w:divBdr>
        <w:top w:val="none" w:sz="0" w:space="0" w:color="auto"/>
        <w:left w:val="none" w:sz="0" w:space="0" w:color="auto"/>
        <w:bottom w:val="none" w:sz="0" w:space="0" w:color="auto"/>
        <w:right w:val="none" w:sz="0" w:space="0" w:color="auto"/>
      </w:divBdr>
    </w:div>
    <w:div w:id="1226136501">
      <w:bodyDiv w:val="1"/>
      <w:marLeft w:val="0"/>
      <w:marRight w:val="0"/>
      <w:marTop w:val="0"/>
      <w:marBottom w:val="0"/>
      <w:divBdr>
        <w:top w:val="none" w:sz="0" w:space="0" w:color="auto"/>
        <w:left w:val="none" w:sz="0" w:space="0" w:color="auto"/>
        <w:bottom w:val="none" w:sz="0" w:space="0" w:color="auto"/>
        <w:right w:val="none" w:sz="0" w:space="0" w:color="auto"/>
      </w:divBdr>
    </w:div>
    <w:div w:id="1228607281">
      <w:bodyDiv w:val="1"/>
      <w:marLeft w:val="0"/>
      <w:marRight w:val="0"/>
      <w:marTop w:val="0"/>
      <w:marBottom w:val="0"/>
      <w:divBdr>
        <w:top w:val="none" w:sz="0" w:space="0" w:color="auto"/>
        <w:left w:val="none" w:sz="0" w:space="0" w:color="auto"/>
        <w:bottom w:val="none" w:sz="0" w:space="0" w:color="auto"/>
        <w:right w:val="none" w:sz="0" w:space="0" w:color="auto"/>
      </w:divBdr>
    </w:div>
    <w:div w:id="1236281913">
      <w:bodyDiv w:val="1"/>
      <w:marLeft w:val="0"/>
      <w:marRight w:val="0"/>
      <w:marTop w:val="0"/>
      <w:marBottom w:val="0"/>
      <w:divBdr>
        <w:top w:val="none" w:sz="0" w:space="0" w:color="auto"/>
        <w:left w:val="none" w:sz="0" w:space="0" w:color="auto"/>
        <w:bottom w:val="none" w:sz="0" w:space="0" w:color="auto"/>
        <w:right w:val="none" w:sz="0" w:space="0" w:color="auto"/>
      </w:divBdr>
    </w:div>
    <w:div w:id="1240290220">
      <w:bodyDiv w:val="1"/>
      <w:marLeft w:val="0"/>
      <w:marRight w:val="0"/>
      <w:marTop w:val="0"/>
      <w:marBottom w:val="0"/>
      <w:divBdr>
        <w:top w:val="none" w:sz="0" w:space="0" w:color="auto"/>
        <w:left w:val="none" w:sz="0" w:space="0" w:color="auto"/>
        <w:bottom w:val="none" w:sz="0" w:space="0" w:color="auto"/>
        <w:right w:val="none" w:sz="0" w:space="0" w:color="auto"/>
      </w:divBdr>
    </w:div>
    <w:div w:id="1266959449">
      <w:bodyDiv w:val="1"/>
      <w:marLeft w:val="0"/>
      <w:marRight w:val="0"/>
      <w:marTop w:val="0"/>
      <w:marBottom w:val="0"/>
      <w:divBdr>
        <w:top w:val="none" w:sz="0" w:space="0" w:color="auto"/>
        <w:left w:val="none" w:sz="0" w:space="0" w:color="auto"/>
        <w:bottom w:val="none" w:sz="0" w:space="0" w:color="auto"/>
        <w:right w:val="none" w:sz="0" w:space="0" w:color="auto"/>
      </w:divBdr>
    </w:div>
    <w:div w:id="1334452852">
      <w:bodyDiv w:val="1"/>
      <w:marLeft w:val="0"/>
      <w:marRight w:val="0"/>
      <w:marTop w:val="0"/>
      <w:marBottom w:val="0"/>
      <w:divBdr>
        <w:top w:val="none" w:sz="0" w:space="0" w:color="auto"/>
        <w:left w:val="none" w:sz="0" w:space="0" w:color="auto"/>
        <w:bottom w:val="none" w:sz="0" w:space="0" w:color="auto"/>
        <w:right w:val="none" w:sz="0" w:space="0" w:color="auto"/>
      </w:divBdr>
    </w:div>
    <w:div w:id="1341396827">
      <w:bodyDiv w:val="1"/>
      <w:marLeft w:val="0"/>
      <w:marRight w:val="0"/>
      <w:marTop w:val="0"/>
      <w:marBottom w:val="0"/>
      <w:divBdr>
        <w:top w:val="none" w:sz="0" w:space="0" w:color="auto"/>
        <w:left w:val="none" w:sz="0" w:space="0" w:color="auto"/>
        <w:bottom w:val="none" w:sz="0" w:space="0" w:color="auto"/>
        <w:right w:val="none" w:sz="0" w:space="0" w:color="auto"/>
      </w:divBdr>
    </w:div>
    <w:div w:id="1420250087">
      <w:bodyDiv w:val="1"/>
      <w:marLeft w:val="0"/>
      <w:marRight w:val="0"/>
      <w:marTop w:val="0"/>
      <w:marBottom w:val="0"/>
      <w:divBdr>
        <w:top w:val="none" w:sz="0" w:space="0" w:color="auto"/>
        <w:left w:val="none" w:sz="0" w:space="0" w:color="auto"/>
        <w:bottom w:val="none" w:sz="0" w:space="0" w:color="auto"/>
        <w:right w:val="none" w:sz="0" w:space="0" w:color="auto"/>
      </w:divBdr>
    </w:div>
    <w:div w:id="1427386339">
      <w:bodyDiv w:val="1"/>
      <w:marLeft w:val="0"/>
      <w:marRight w:val="0"/>
      <w:marTop w:val="0"/>
      <w:marBottom w:val="0"/>
      <w:divBdr>
        <w:top w:val="none" w:sz="0" w:space="0" w:color="auto"/>
        <w:left w:val="none" w:sz="0" w:space="0" w:color="auto"/>
        <w:bottom w:val="none" w:sz="0" w:space="0" w:color="auto"/>
        <w:right w:val="none" w:sz="0" w:space="0" w:color="auto"/>
      </w:divBdr>
    </w:div>
    <w:div w:id="1429302925">
      <w:bodyDiv w:val="1"/>
      <w:marLeft w:val="0"/>
      <w:marRight w:val="0"/>
      <w:marTop w:val="0"/>
      <w:marBottom w:val="0"/>
      <w:divBdr>
        <w:top w:val="none" w:sz="0" w:space="0" w:color="auto"/>
        <w:left w:val="none" w:sz="0" w:space="0" w:color="auto"/>
        <w:bottom w:val="none" w:sz="0" w:space="0" w:color="auto"/>
        <w:right w:val="none" w:sz="0" w:space="0" w:color="auto"/>
      </w:divBdr>
    </w:div>
    <w:div w:id="1434664839">
      <w:bodyDiv w:val="1"/>
      <w:marLeft w:val="0"/>
      <w:marRight w:val="0"/>
      <w:marTop w:val="0"/>
      <w:marBottom w:val="0"/>
      <w:divBdr>
        <w:top w:val="none" w:sz="0" w:space="0" w:color="auto"/>
        <w:left w:val="none" w:sz="0" w:space="0" w:color="auto"/>
        <w:bottom w:val="none" w:sz="0" w:space="0" w:color="auto"/>
        <w:right w:val="none" w:sz="0" w:space="0" w:color="auto"/>
      </w:divBdr>
    </w:div>
    <w:div w:id="1444182343">
      <w:bodyDiv w:val="1"/>
      <w:marLeft w:val="0"/>
      <w:marRight w:val="0"/>
      <w:marTop w:val="0"/>
      <w:marBottom w:val="0"/>
      <w:divBdr>
        <w:top w:val="none" w:sz="0" w:space="0" w:color="auto"/>
        <w:left w:val="none" w:sz="0" w:space="0" w:color="auto"/>
        <w:bottom w:val="none" w:sz="0" w:space="0" w:color="auto"/>
        <w:right w:val="none" w:sz="0" w:space="0" w:color="auto"/>
      </w:divBdr>
    </w:div>
    <w:div w:id="1446535480">
      <w:bodyDiv w:val="1"/>
      <w:marLeft w:val="0"/>
      <w:marRight w:val="0"/>
      <w:marTop w:val="0"/>
      <w:marBottom w:val="0"/>
      <w:divBdr>
        <w:top w:val="none" w:sz="0" w:space="0" w:color="auto"/>
        <w:left w:val="none" w:sz="0" w:space="0" w:color="auto"/>
        <w:bottom w:val="none" w:sz="0" w:space="0" w:color="auto"/>
        <w:right w:val="none" w:sz="0" w:space="0" w:color="auto"/>
      </w:divBdr>
    </w:div>
    <w:div w:id="1476609023">
      <w:bodyDiv w:val="1"/>
      <w:marLeft w:val="0"/>
      <w:marRight w:val="0"/>
      <w:marTop w:val="0"/>
      <w:marBottom w:val="0"/>
      <w:divBdr>
        <w:top w:val="none" w:sz="0" w:space="0" w:color="auto"/>
        <w:left w:val="none" w:sz="0" w:space="0" w:color="auto"/>
        <w:bottom w:val="none" w:sz="0" w:space="0" w:color="auto"/>
        <w:right w:val="none" w:sz="0" w:space="0" w:color="auto"/>
      </w:divBdr>
    </w:div>
    <w:div w:id="1503818243">
      <w:bodyDiv w:val="1"/>
      <w:marLeft w:val="0"/>
      <w:marRight w:val="0"/>
      <w:marTop w:val="0"/>
      <w:marBottom w:val="0"/>
      <w:divBdr>
        <w:top w:val="none" w:sz="0" w:space="0" w:color="auto"/>
        <w:left w:val="none" w:sz="0" w:space="0" w:color="auto"/>
        <w:bottom w:val="none" w:sz="0" w:space="0" w:color="auto"/>
        <w:right w:val="none" w:sz="0" w:space="0" w:color="auto"/>
      </w:divBdr>
    </w:div>
    <w:div w:id="1514421847">
      <w:bodyDiv w:val="1"/>
      <w:marLeft w:val="0"/>
      <w:marRight w:val="0"/>
      <w:marTop w:val="0"/>
      <w:marBottom w:val="0"/>
      <w:divBdr>
        <w:top w:val="none" w:sz="0" w:space="0" w:color="auto"/>
        <w:left w:val="none" w:sz="0" w:space="0" w:color="auto"/>
        <w:bottom w:val="none" w:sz="0" w:space="0" w:color="auto"/>
        <w:right w:val="none" w:sz="0" w:space="0" w:color="auto"/>
      </w:divBdr>
    </w:div>
    <w:div w:id="1514610119">
      <w:bodyDiv w:val="1"/>
      <w:marLeft w:val="0"/>
      <w:marRight w:val="0"/>
      <w:marTop w:val="0"/>
      <w:marBottom w:val="0"/>
      <w:divBdr>
        <w:top w:val="none" w:sz="0" w:space="0" w:color="auto"/>
        <w:left w:val="none" w:sz="0" w:space="0" w:color="auto"/>
        <w:bottom w:val="none" w:sz="0" w:space="0" w:color="auto"/>
        <w:right w:val="none" w:sz="0" w:space="0" w:color="auto"/>
      </w:divBdr>
    </w:div>
    <w:div w:id="1520317779">
      <w:bodyDiv w:val="1"/>
      <w:marLeft w:val="0"/>
      <w:marRight w:val="0"/>
      <w:marTop w:val="0"/>
      <w:marBottom w:val="0"/>
      <w:divBdr>
        <w:top w:val="none" w:sz="0" w:space="0" w:color="auto"/>
        <w:left w:val="none" w:sz="0" w:space="0" w:color="auto"/>
        <w:bottom w:val="none" w:sz="0" w:space="0" w:color="auto"/>
        <w:right w:val="none" w:sz="0" w:space="0" w:color="auto"/>
      </w:divBdr>
    </w:div>
    <w:div w:id="1542742405">
      <w:bodyDiv w:val="1"/>
      <w:marLeft w:val="0"/>
      <w:marRight w:val="0"/>
      <w:marTop w:val="0"/>
      <w:marBottom w:val="0"/>
      <w:divBdr>
        <w:top w:val="none" w:sz="0" w:space="0" w:color="auto"/>
        <w:left w:val="none" w:sz="0" w:space="0" w:color="auto"/>
        <w:bottom w:val="none" w:sz="0" w:space="0" w:color="auto"/>
        <w:right w:val="none" w:sz="0" w:space="0" w:color="auto"/>
      </w:divBdr>
    </w:div>
    <w:div w:id="1545752139">
      <w:bodyDiv w:val="1"/>
      <w:marLeft w:val="0"/>
      <w:marRight w:val="0"/>
      <w:marTop w:val="0"/>
      <w:marBottom w:val="0"/>
      <w:divBdr>
        <w:top w:val="none" w:sz="0" w:space="0" w:color="auto"/>
        <w:left w:val="none" w:sz="0" w:space="0" w:color="auto"/>
        <w:bottom w:val="none" w:sz="0" w:space="0" w:color="auto"/>
        <w:right w:val="none" w:sz="0" w:space="0" w:color="auto"/>
      </w:divBdr>
    </w:div>
    <w:div w:id="1547334231">
      <w:bodyDiv w:val="1"/>
      <w:marLeft w:val="0"/>
      <w:marRight w:val="0"/>
      <w:marTop w:val="0"/>
      <w:marBottom w:val="0"/>
      <w:divBdr>
        <w:top w:val="none" w:sz="0" w:space="0" w:color="auto"/>
        <w:left w:val="none" w:sz="0" w:space="0" w:color="auto"/>
        <w:bottom w:val="none" w:sz="0" w:space="0" w:color="auto"/>
        <w:right w:val="none" w:sz="0" w:space="0" w:color="auto"/>
      </w:divBdr>
    </w:div>
    <w:div w:id="1574897032">
      <w:bodyDiv w:val="1"/>
      <w:marLeft w:val="0"/>
      <w:marRight w:val="0"/>
      <w:marTop w:val="0"/>
      <w:marBottom w:val="0"/>
      <w:divBdr>
        <w:top w:val="none" w:sz="0" w:space="0" w:color="auto"/>
        <w:left w:val="none" w:sz="0" w:space="0" w:color="auto"/>
        <w:bottom w:val="none" w:sz="0" w:space="0" w:color="auto"/>
        <w:right w:val="none" w:sz="0" w:space="0" w:color="auto"/>
      </w:divBdr>
    </w:div>
    <w:div w:id="1575049072">
      <w:bodyDiv w:val="1"/>
      <w:marLeft w:val="0"/>
      <w:marRight w:val="0"/>
      <w:marTop w:val="0"/>
      <w:marBottom w:val="0"/>
      <w:divBdr>
        <w:top w:val="none" w:sz="0" w:space="0" w:color="auto"/>
        <w:left w:val="none" w:sz="0" w:space="0" w:color="auto"/>
        <w:bottom w:val="none" w:sz="0" w:space="0" w:color="auto"/>
        <w:right w:val="none" w:sz="0" w:space="0" w:color="auto"/>
      </w:divBdr>
    </w:div>
    <w:div w:id="1581402883">
      <w:bodyDiv w:val="1"/>
      <w:marLeft w:val="0"/>
      <w:marRight w:val="0"/>
      <w:marTop w:val="0"/>
      <w:marBottom w:val="0"/>
      <w:divBdr>
        <w:top w:val="none" w:sz="0" w:space="0" w:color="auto"/>
        <w:left w:val="none" w:sz="0" w:space="0" w:color="auto"/>
        <w:bottom w:val="none" w:sz="0" w:space="0" w:color="auto"/>
        <w:right w:val="none" w:sz="0" w:space="0" w:color="auto"/>
      </w:divBdr>
    </w:div>
    <w:div w:id="1590195593">
      <w:bodyDiv w:val="1"/>
      <w:marLeft w:val="0"/>
      <w:marRight w:val="0"/>
      <w:marTop w:val="0"/>
      <w:marBottom w:val="0"/>
      <w:divBdr>
        <w:top w:val="none" w:sz="0" w:space="0" w:color="auto"/>
        <w:left w:val="none" w:sz="0" w:space="0" w:color="auto"/>
        <w:bottom w:val="none" w:sz="0" w:space="0" w:color="auto"/>
        <w:right w:val="none" w:sz="0" w:space="0" w:color="auto"/>
      </w:divBdr>
    </w:div>
    <w:div w:id="1591041131">
      <w:bodyDiv w:val="1"/>
      <w:marLeft w:val="0"/>
      <w:marRight w:val="0"/>
      <w:marTop w:val="0"/>
      <w:marBottom w:val="0"/>
      <w:divBdr>
        <w:top w:val="none" w:sz="0" w:space="0" w:color="auto"/>
        <w:left w:val="none" w:sz="0" w:space="0" w:color="auto"/>
        <w:bottom w:val="none" w:sz="0" w:space="0" w:color="auto"/>
        <w:right w:val="none" w:sz="0" w:space="0" w:color="auto"/>
      </w:divBdr>
    </w:div>
    <w:div w:id="1598489505">
      <w:bodyDiv w:val="1"/>
      <w:marLeft w:val="0"/>
      <w:marRight w:val="0"/>
      <w:marTop w:val="0"/>
      <w:marBottom w:val="0"/>
      <w:divBdr>
        <w:top w:val="none" w:sz="0" w:space="0" w:color="auto"/>
        <w:left w:val="none" w:sz="0" w:space="0" w:color="auto"/>
        <w:bottom w:val="none" w:sz="0" w:space="0" w:color="auto"/>
        <w:right w:val="none" w:sz="0" w:space="0" w:color="auto"/>
      </w:divBdr>
    </w:div>
    <w:div w:id="1600946105">
      <w:bodyDiv w:val="1"/>
      <w:marLeft w:val="0"/>
      <w:marRight w:val="0"/>
      <w:marTop w:val="0"/>
      <w:marBottom w:val="0"/>
      <w:divBdr>
        <w:top w:val="none" w:sz="0" w:space="0" w:color="auto"/>
        <w:left w:val="none" w:sz="0" w:space="0" w:color="auto"/>
        <w:bottom w:val="none" w:sz="0" w:space="0" w:color="auto"/>
        <w:right w:val="none" w:sz="0" w:space="0" w:color="auto"/>
      </w:divBdr>
    </w:div>
    <w:div w:id="1616255677">
      <w:bodyDiv w:val="1"/>
      <w:marLeft w:val="0"/>
      <w:marRight w:val="0"/>
      <w:marTop w:val="0"/>
      <w:marBottom w:val="0"/>
      <w:divBdr>
        <w:top w:val="none" w:sz="0" w:space="0" w:color="auto"/>
        <w:left w:val="none" w:sz="0" w:space="0" w:color="auto"/>
        <w:bottom w:val="none" w:sz="0" w:space="0" w:color="auto"/>
        <w:right w:val="none" w:sz="0" w:space="0" w:color="auto"/>
      </w:divBdr>
    </w:div>
    <w:div w:id="1622882824">
      <w:bodyDiv w:val="1"/>
      <w:marLeft w:val="0"/>
      <w:marRight w:val="0"/>
      <w:marTop w:val="0"/>
      <w:marBottom w:val="0"/>
      <w:divBdr>
        <w:top w:val="none" w:sz="0" w:space="0" w:color="auto"/>
        <w:left w:val="none" w:sz="0" w:space="0" w:color="auto"/>
        <w:bottom w:val="none" w:sz="0" w:space="0" w:color="auto"/>
        <w:right w:val="none" w:sz="0" w:space="0" w:color="auto"/>
      </w:divBdr>
    </w:div>
    <w:div w:id="1636175742">
      <w:bodyDiv w:val="1"/>
      <w:marLeft w:val="0"/>
      <w:marRight w:val="0"/>
      <w:marTop w:val="0"/>
      <w:marBottom w:val="0"/>
      <w:divBdr>
        <w:top w:val="none" w:sz="0" w:space="0" w:color="auto"/>
        <w:left w:val="none" w:sz="0" w:space="0" w:color="auto"/>
        <w:bottom w:val="none" w:sz="0" w:space="0" w:color="auto"/>
        <w:right w:val="none" w:sz="0" w:space="0" w:color="auto"/>
      </w:divBdr>
    </w:div>
    <w:div w:id="1642878558">
      <w:bodyDiv w:val="1"/>
      <w:marLeft w:val="0"/>
      <w:marRight w:val="0"/>
      <w:marTop w:val="0"/>
      <w:marBottom w:val="0"/>
      <w:divBdr>
        <w:top w:val="none" w:sz="0" w:space="0" w:color="auto"/>
        <w:left w:val="none" w:sz="0" w:space="0" w:color="auto"/>
        <w:bottom w:val="none" w:sz="0" w:space="0" w:color="auto"/>
        <w:right w:val="none" w:sz="0" w:space="0" w:color="auto"/>
      </w:divBdr>
    </w:div>
    <w:div w:id="1667707093">
      <w:bodyDiv w:val="1"/>
      <w:marLeft w:val="0"/>
      <w:marRight w:val="0"/>
      <w:marTop w:val="0"/>
      <w:marBottom w:val="0"/>
      <w:divBdr>
        <w:top w:val="none" w:sz="0" w:space="0" w:color="auto"/>
        <w:left w:val="none" w:sz="0" w:space="0" w:color="auto"/>
        <w:bottom w:val="none" w:sz="0" w:space="0" w:color="auto"/>
        <w:right w:val="none" w:sz="0" w:space="0" w:color="auto"/>
      </w:divBdr>
    </w:div>
    <w:div w:id="1694648901">
      <w:bodyDiv w:val="1"/>
      <w:marLeft w:val="0"/>
      <w:marRight w:val="0"/>
      <w:marTop w:val="0"/>
      <w:marBottom w:val="0"/>
      <w:divBdr>
        <w:top w:val="none" w:sz="0" w:space="0" w:color="auto"/>
        <w:left w:val="none" w:sz="0" w:space="0" w:color="auto"/>
        <w:bottom w:val="none" w:sz="0" w:space="0" w:color="auto"/>
        <w:right w:val="none" w:sz="0" w:space="0" w:color="auto"/>
      </w:divBdr>
    </w:div>
    <w:div w:id="1712536083">
      <w:bodyDiv w:val="1"/>
      <w:marLeft w:val="0"/>
      <w:marRight w:val="0"/>
      <w:marTop w:val="0"/>
      <w:marBottom w:val="0"/>
      <w:divBdr>
        <w:top w:val="none" w:sz="0" w:space="0" w:color="auto"/>
        <w:left w:val="none" w:sz="0" w:space="0" w:color="auto"/>
        <w:bottom w:val="none" w:sz="0" w:space="0" w:color="auto"/>
        <w:right w:val="none" w:sz="0" w:space="0" w:color="auto"/>
      </w:divBdr>
    </w:div>
    <w:div w:id="1722366690">
      <w:bodyDiv w:val="1"/>
      <w:marLeft w:val="0"/>
      <w:marRight w:val="0"/>
      <w:marTop w:val="0"/>
      <w:marBottom w:val="0"/>
      <w:divBdr>
        <w:top w:val="none" w:sz="0" w:space="0" w:color="auto"/>
        <w:left w:val="none" w:sz="0" w:space="0" w:color="auto"/>
        <w:bottom w:val="none" w:sz="0" w:space="0" w:color="auto"/>
        <w:right w:val="none" w:sz="0" w:space="0" w:color="auto"/>
      </w:divBdr>
    </w:div>
    <w:div w:id="1726174421">
      <w:bodyDiv w:val="1"/>
      <w:marLeft w:val="0"/>
      <w:marRight w:val="0"/>
      <w:marTop w:val="0"/>
      <w:marBottom w:val="0"/>
      <w:divBdr>
        <w:top w:val="none" w:sz="0" w:space="0" w:color="auto"/>
        <w:left w:val="none" w:sz="0" w:space="0" w:color="auto"/>
        <w:bottom w:val="none" w:sz="0" w:space="0" w:color="auto"/>
        <w:right w:val="none" w:sz="0" w:space="0" w:color="auto"/>
      </w:divBdr>
    </w:div>
    <w:div w:id="1728604079">
      <w:bodyDiv w:val="1"/>
      <w:marLeft w:val="0"/>
      <w:marRight w:val="0"/>
      <w:marTop w:val="0"/>
      <w:marBottom w:val="0"/>
      <w:divBdr>
        <w:top w:val="none" w:sz="0" w:space="0" w:color="auto"/>
        <w:left w:val="none" w:sz="0" w:space="0" w:color="auto"/>
        <w:bottom w:val="none" w:sz="0" w:space="0" w:color="auto"/>
        <w:right w:val="none" w:sz="0" w:space="0" w:color="auto"/>
      </w:divBdr>
    </w:div>
    <w:div w:id="1735466018">
      <w:bodyDiv w:val="1"/>
      <w:marLeft w:val="0"/>
      <w:marRight w:val="0"/>
      <w:marTop w:val="0"/>
      <w:marBottom w:val="0"/>
      <w:divBdr>
        <w:top w:val="none" w:sz="0" w:space="0" w:color="auto"/>
        <w:left w:val="none" w:sz="0" w:space="0" w:color="auto"/>
        <w:bottom w:val="none" w:sz="0" w:space="0" w:color="auto"/>
        <w:right w:val="none" w:sz="0" w:space="0" w:color="auto"/>
      </w:divBdr>
    </w:div>
    <w:div w:id="1747264326">
      <w:bodyDiv w:val="1"/>
      <w:marLeft w:val="0"/>
      <w:marRight w:val="0"/>
      <w:marTop w:val="0"/>
      <w:marBottom w:val="0"/>
      <w:divBdr>
        <w:top w:val="none" w:sz="0" w:space="0" w:color="auto"/>
        <w:left w:val="none" w:sz="0" w:space="0" w:color="auto"/>
        <w:bottom w:val="none" w:sz="0" w:space="0" w:color="auto"/>
        <w:right w:val="none" w:sz="0" w:space="0" w:color="auto"/>
      </w:divBdr>
    </w:div>
    <w:div w:id="1751198087">
      <w:bodyDiv w:val="1"/>
      <w:marLeft w:val="0"/>
      <w:marRight w:val="0"/>
      <w:marTop w:val="0"/>
      <w:marBottom w:val="0"/>
      <w:divBdr>
        <w:top w:val="none" w:sz="0" w:space="0" w:color="auto"/>
        <w:left w:val="none" w:sz="0" w:space="0" w:color="auto"/>
        <w:bottom w:val="none" w:sz="0" w:space="0" w:color="auto"/>
        <w:right w:val="none" w:sz="0" w:space="0" w:color="auto"/>
      </w:divBdr>
    </w:div>
    <w:div w:id="1754399993">
      <w:bodyDiv w:val="1"/>
      <w:marLeft w:val="0"/>
      <w:marRight w:val="0"/>
      <w:marTop w:val="0"/>
      <w:marBottom w:val="0"/>
      <w:divBdr>
        <w:top w:val="none" w:sz="0" w:space="0" w:color="auto"/>
        <w:left w:val="none" w:sz="0" w:space="0" w:color="auto"/>
        <w:bottom w:val="none" w:sz="0" w:space="0" w:color="auto"/>
        <w:right w:val="none" w:sz="0" w:space="0" w:color="auto"/>
      </w:divBdr>
    </w:div>
    <w:div w:id="1760104945">
      <w:bodyDiv w:val="1"/>
      <w:marLeft w:val="0"/>
      <w:marRight w:val="0"/>
      <w:marTop w:val="0"/>
      <w:marBottom w:val="0"/>
      <w:divBdr>
        <w:top w:val="none" w:sz="0" w:space="0" w:color="auto"/>
        <w:left w:val="none" w:sz="0" w:space="0" w:color="auto"/>
        <w:bottom w:val="none" w:sz="0" w:space="0" w:color="auto"/>
        <w:right w:val="none" w:sz="0" w:space="0" w:color="auto"/>
      </w:divBdr>
    </w:div>
    <w:div w:id="1768455402">
      <w:bodyDiv w:val="1"/>
      <w:marLeft w:val="0"/>
      <w:marRight w:val="0"/>
      <w:marTop w:val="0"/>
      <w:marBottom w:val="0"/>
      <w:divBdr>
        <w:top w:val="none" w:sz="0" w:space="0" w:color="auto"/>
        <w:left w:val="none" w:sz="0" w:space="0" w:color="auto"/>
        <w:bottom w:val="none" w:sz="0" w:space="0" w:color="auto"/>
        <w:right w:val="none" w:sz="0" w:space="0" w:color="auto"/>
      </w:divBdr>
    </w:div>
    <w:div w:id="1771008739">
      <w:bodyDiv w:val="1"/>
      <w:marLeft w:val="0"/>
      <w:marRight w:val="0"/>
      <w:marTop w:val="0"/>
      <w:marBottom w:val="0"/>
      <w:divBdr>
        <w:top w:val="none" w:sz="0" w:space="0" w:color="auto"/>
        <w:left w:val="none" w:sz="0" w:space="0" w:color="auto"/>
        <w:bottom w:val="none" w:sz="0" w:space="0" w:color="auto"/>
        <w:right w:val="none" w:sz="0" w:space="0" w:color="auto"/>
      </w:divBdr>
    </w:div>
    <w:div w:id="1771775109">
      <w:bodyDiv w:val="1"/>
      <w:marLeft w:val="0"/>
      <w:marRight w:val="0"/>
      <w:marTop w:val="0"/>
      <w:marBottom w:val="0"/>
      <w:divBdr>
        <w:top w:val="none" w:sz="0" w:space="0" w:color="auto"/>
        <w:left w:val="none" w:sz="0" w:space="0" w:color="auto"/>
        <w:bottom w:val="none" w:sz="0" w:space="0" w:color="auto"/>
        <w:right w:val="none" w:sz="0" w:space="0" w:color="auto"/>
      </w:divBdr>
    </w:div>
    <w:div w:id="1792703704">
      <w:bodyDiv w:val="1"/>
      <w:marLeft w:val="0"/>
      <w:marRight w:val="0"/>
      <w:marTop w:val="0"/>
      <w:marBottom w:val="0"/>
      <w:divBdr>
        <w:top w:val="none" w:sz="0" w:space="0" w:color="auto"/>
        <w:left w:val="none" w:sz="0" w:space="0" w:color="auto"/>
        <w:bottom w:val="none" w:sz="0" w:space="0" w:color="auto"/>
        <w:right w:val="none" w:sz="0" w:space="0" w:color="auto"/>
      </w:divBdr>
    </w:div>
    <w:div w:id="1801797321">
      <w:bodyDiv w:val="1"/>
      <w:marLeft w:val="0"/>
      <w:marRight w:val="0"/>
      <w:marTop w:val="0"/>
      <w:marBottom w:val="0"/>
      <w:divBdr>
        <w:top w:val="none" w:sz="0" w:space="0" w:color="auto"/>
        <w:left w:val="none" w:sz="0" w:space="0" w:color="auto"/>
        <w:bottom w:val="none" w:sz="0" w:space="0" w:color="auto"/>
        <w:right w:val="none" w:sz="0" w:space="0" w:color="auto"/>
      </w:divBdr>
    </w:div>
    <w:div w:id="1812939903">
      <w:bodyDiv w:val="1"/>
      <w:marLeft w:val="0"/>
      <w:marRight w:val="0"/>
      <w:marTop w:val="0"/>
      <w:marBottom w:val="0"/>
      <w:divBdr>
        <w:top w:val="none" w:sz="0" w:space="0" w:color="auto"/>
        <w:left w:val="none" w:sz="0" w:space="0" w:color="auto"/>
        <w:bottom w:val="none" w:sz="0" w:space="0" w:color="auto"/>
        <w:right w:val="none" w:sz="0" w:space="0" w:color="auto"/>
      </w:divBdr>
    </w:div>
    <w:div w:id="1818648165">
      <w:bodyDiv w:val="1"/>
      <w:marLeft w:val="0"/>
      <w:marRight w:val="0"/>
      <w:marTop w:val="0"/>
      <w:marBottom w:val="0"/>
      <w:divBdr>
        <w:top w:val="none" w:sz="0" w:space="0" w:color="auto"/>
        <w:left w:val="none" w:sz="0" w:space="0" w:color="auto"/>
        <w:bottom w:val="none" w:sz="0" w:space="0" w:color="auto"/>
        <w:right w:val="none" w:sz="0" w:space="0" w:color="auto"/>
      </w:divBdr>
    </w:div>
    <w:div w:id="1830294463">
      <w:bodyDiv w:val="1"/>
      <w:marLeft w:val="0"/>
      <w:marRight w:val="0"/>
      <w:marTop w:val="0"/>
      <w:marBottom w:val="0"/>
      <w:divBdr>
        <w:top w:val="none" w:sz="0" w:space="0" w:color="auto"/>
        <w:left w:val="none" w:sz="0" w:space="0" w:color="auto"/>
        <w:bottom w:val="none" w:sz="0" w:space="0" w:color="auto"/>
        <w:right w:val="none" w:sz="0" w:space="0" w:color="auto"/>
      </w:divBdr>
    </w:div>
    <w:div w:id="1845318256">
      <w:bodyDiv w:val="1"/>
      <w:marLeft w:val="0"/>
      <w:marRight w:val="0"/>
      <w:marTop w:val="0"/>
      <w:marBottom w:val="0"/>
      <w:divBdr>
        <w:top w:val="none" w:sz="0" w:space="0" w:color="auto"/>
        <w:left w:val="none" w:sz="0" w:space="0" w:color="auto"/>
        <w:bottom w:val="none" w:sz="0" w:space="0" w:color="auto"/>
        <w:right w:val="none" w:sz="0" w:space="0" w:color="auto"/>
      </w:divBdr>
    </w:div>
    <w:div w:id="1846943515">
      <w:bodyDiv w:val="1"/>
      <w:marLeft w:val="0"/>
      <w:marRight w:val="0"/>
      <w:marTop w:val="0"/>
      <w:marBottom w:val="0"/>
      <w:divBdr>
        <w:top w:val="none" w:sz="0" w:space="0" w:color="auto"/>
        <w:left w:val="none" w:sz="0" w:space="0" w:color="auto"/>
        <w:bottom w:val="none" w:sz="0" w:space="0" w:color="auto"/>
        <w:right w:val="none" w:sz="0" w:space="0" w:color="auto"/>
      </w:divBdr>
    </w:div>
    <w:div w:id="1855921246">
      <w:bodyDiv w:val="1"/>
      <w:marLeft w:val="0"/>
      <w:marRight w:val="0"/>
      <w:marTop w:val="0"/>
      <w:marBottom w:val="0"/>
      <w:divBdr>
        <w:top w:val="none" w:sz="0" w:space="0" w:color="auto"/>
        <w:left w:val="none" w:sz="0" w:space="0" w:color="auto"/>
        <w:bottom w:val="none" w:sz="0" w:space="0" w:color="auto"/>
        <w:right w:val="none" w:sz="0" w:space="0" w:color="auto"/>
      </w:divBdr>
    </w:div>
    <w:div w:id="1856579099">
      <w:bodyDiv w:val="1"/>
      <w:marLeft w:val="0"/>
      <w:marRight w:val="0"/>
      <w:marTop w:val="0"/>
      <w:marBottom w:val="0"/>
      <w:divBdr>
        <w:top w:val="none" w:sz="0" w:space="0" w:color="auto"/>
        <w:left w:val="none" w:sz="0" w:space="0" w:color="auto"/>
        <w:bottom w:val="none" w:sz="0" w:space="0" w:color="auto"/>
        <w:right w:val="none" w:sz="0" w:space="0" w:color="auto"/>
      </w:divBdr>
    </w:div>
    <w:div w:id="1865050065">
      <w:bodyDiv w:val="1"/>
      <w:marLeft w:val="0"/>
      <w:marRight w:val="0"/>
      <w:marTop w:val="0"/>
      <w:marBottom w:val="0"/>
      <w:divBdr>
        <w:top w:val="none" w:sz="0" w:space="0" w:color="auto"/>
        <w:left w:val="none" w:sz="0" w:space="0" w:color="auto"/>
        <w:bottom w:val="none" w:sz="0" w:space="0" w:color="auto"/>
        <w:right w:val="none" w:sz="0" w:space="0" w:color="auto"/>
      </w:divBdr>
    </w:div>
    <w:div w:id="1888099360">
      <w:bodyDiv w:val="1"/>
      <w:marLeft w:val="0"/>
      <w:marRight w:val="0"/>
      <w:marTop w:val="0"/>
      <w:marBottom w:val="0"/>
      <w:divBdr>
        <w:top w:val="none" w:sz="0" w:space="0" w:color="auto"/>
        <w:left w:val="none" w:sz="0" w:space="0" w:color="auto"/>
        <w:bottom w:val="none" w:sz="0" w:space="0" w:color="auto"/>
        <w:right w:val="none" w:sz="0" w:space="0" w:color="auto"/>
      </w:divBdr>
    </w:div>
    <w:div w:id="1913390480">
      <w:bodyDiv w:val="1"/>
      <w:marLeft w:val="0"/>
      <w:marRight w:val="0"/>
      <w:marTop w:val="0"/>
      <w:marBottom w:val="0"/>
      <w:divBdr>
        <w:top w:val="none" w:sz="0" w:space="0" w:color="auto"/>
        <w:left w:val="none" w:sz="0" w:space="0" w:color="auto"/>
        <w:bottom w:val="none" w:sz="0" w:space="0" w:color="auto"/>
        <w:right w:val="none" w:sz="0" w:space="0" w:color="auto"/>
      </w:divBdr>
    </w:div>
    <w:div w:id="1921215483">
      <w:bodyDiv w:val="1"/>
      <w:marLeft w:val="0"/>
      <w:marRight w:val="0"/>
      <w:marTop w:val="0"/>
      <w:marBottom w:val="0"/>
      <w:divBdr>
        <w:top w:val="none" w:sz="0" w:space="0" w:color="auto"/>
        <w:left w:val="none" w:sz="0" w:space="0" w:color="auto"/>
        <w:bottom w:val="none" w:sz="0" w:space="0" w:color="auto"/>
        <w:right w:val="none" w:sz="0" w:space="0" w:color="auto"/>
      </w:divBdr>
    </w:div>
    <w:div w:id="1926836493">
      <w:bodyDiv w:val="1"/>
      <w:marLeft w:val="0"/>
      <w:marRight w:val="0"/>
      <w:marTop w:val="0"/>
      <w:marBottom w:val="0"/>
      <w:divBdr>
        <w:top w:val="none" w:sz="0" w:space="0" w:color="auto"/>
        <w:left w:val="none" w:sz="0" w:space="0" w:color="auto"/>
        <w:bottom w:val="none" w:sz="0" w:space="0" w:color="auto"/>
        <w:right w:val="none" w:sz="0" w:space="0" w:color="auto"/>
      </w:divBdr>
    </w:div>
    <w:div w:id="1937057191">
      <w:bodyDiv w:val="1"/>
      <w:marLeft w:val="0"/>
      <w:marRight w:val="0"/>
      <w:marTop w:val="0"/>
      <w:marBottom w:val="0"/>
      <w:divBdr>
        <w:top w:val="none" w:sz="0" w:space="0" w:color="auto"/>
        <w:left w:val="none" w:sz="0" w:space="0" w:color="auto"/>
        <w:bottom w:val="none" w:sz="0" w:space="0" w:color="auto"/>
        <w:right w:val="none" w:sz="0" w:space="0" w:color="auto"/>
      </w:divBdr>
    </w:div>
    <w:div w:id="1938516994">
      <w:bodyDiv w:val="1"/>
      <w:marLeft w:val="0"/>
      <w:marRight w:val="0"/>
      <w:marTop w:val="0"/>
      <w:marBottom w:val="0"/>
      <w:divBdr>
        <w:top w:val="none" w:sz="0" w:space="0" w:color="auto"/>
        <w:left w:val="none" w:sz="0" w:space="0" w:color="auto"/>
        <w:bottom w:val="none" w:sz="0" w:space="0" w:color="auto"/>
        <w:right w:val="none" w:sz="0" w:space="0" w:color="auto"/>
      </w:divBdr>
    </w:div>
    <w:div w:id="1950433915">
      <w:bodyDiv w:val="1"/>
      <w:marLeft w:val="0"/>
      <w:marRight w:val="0"/>
      <w:marTop w:val="0"/>
      <w:marBottom w:val="0"/>
      <w:divBdr>
        <w:top w:val="none" w:sz="0" w:space="0" w:color="auto"/>
        <w:left w:val="none" w:sz="0" w:space="0" w:color="auto"/>
        <w:bottom w:val="none" w:sz="0" w:space="0" w:color="auto"/>
        <w:right w:val="none" w:sz="0" w:space="0" w:color="auto"/>
      </w:divBdr>
    </w:div>
    <w:div w:id="1972246461">
      <w:bodyDiv w:val="1"/>
      <w:marLeft w:val="0"/>
      <w:marRight w:val="0"/>
      <w:marTop w:val="0"/>
      <w:marBottom w:val="0"/>
      <w:divBdr>
        <w:top w:val="none" w:sz="0" w:space="0" w:color="auto"/>
        <w:left w:val="none" w:sz="0" w:space="0" w:color="auto"/>
        <w:bottom w:val="none" w:sz="0" w:space="0" w:color="auto"/>
        <w:right w:val="none" w:sz="0" w:space="0" w:color="auto"/>
      </w:divBdr>
    </w:div>
    <w:div w:id="1984892512">
      <w:bodyDiv w:val="1"/>
      <w:marLeft w:val="0"/>
      <w:marRight w:val="0"/>
      <w:marTop w:val="0"/>
      <w:marBottom w:val="0"/>
      <w:divBdr>
        <w:top w:val="none" w:sz="0" w:space="0" w:color="auto"/>
        <w:left w:val="none" w:sz="0" w:space="0" w:color="auto"/>
        <w:bottom w:val="none" w:sz="0" w:space="0" w:color="auto"/>
        <w:right w:val="none" w:sz="0" w:space="0" w:color="auto"/>
      </w:divBdr>
    </w:div>
    <w:div w:id="2007585112">
      <w:bodyDiv w:val="1"/>
      <w:marLeft w:val="0"/>
      <w:marRight w:val="0"/>
      <w:marTop w:val="0"/>
      <w:marBottom w:val="0"/>
      <w:divBdr>
        <w:top w:val="none" w:sz="0" w:space="0" w:color="auto"/>
        <w:left w:val="none" w:sz="0" w:space="0" w:color="auto"/>
        <w:bottom w:val="none" w:sz="0" w:space="0" w:color="auto"/>
        <w:right w:val="none" w:sz="0" w:space="0" w:color="auto"/>
      </w:divBdr>
    </w:div>
    <w:div w:id="2013022254">
      <w:bodyDiv w:val="1"/>
      <w:marLeft w:val="0"/>
      <w:marRight w:val="0"/>
      <w:marTop w:val="0"/>
      <w:marBottom w:val="0"/>
      <w:divBdr>
        <w:top w:val="none" w:sz="0" w:space="0" w:color="auto"/>
        <w:left w:val="none" w:sz="0" w:space="0" w:color="auto"/>
        <w:bottom w:val="none" w:sz="0" w:space="0" w:color="auto"/>
        <w:right w:val="none" w:sz="0" w:space="0" w:color="auto"/>
      </w:divBdr>
    </w:div>
    <w:div w:id="2029600335">
      <w:bodyDiv w:val="1"/>
      <w:marLeft w:val="0"/>
      <w:marRight w:val="0"/>
      <w:marTop w:val="0"/>
      <w:marBottom w:val="0"/>
      <w:divBdr>
        <w:top w:val="none" w:sz="0" w:space="0" w:color="auto"/>
        <w:left w:val="none" w:sz="0" w:space="0" w:color="auto"/>
        <w:bottom w:val="none" w:sz="0" w:space="0" w:color="auto"/>
        <w:right w:val="none" w:sz="0" w:space="0" w:color="auto"/>
      </w:divBdr>
    </w:div>
    <w:div w:id="2047095987">
      <w:bodyDiv w:val="1"/>
      <w:marLeft w:val="0"/>
      <w:marRight w:val="0"/>
      <w:marTop w:val="0"/>
      <w:marBottom w:val="0"/>
      <w:divBdr>
        <w:top w:val="none" w:sz="0" w:space="0" w:color="auto"/>
        <w:left w:val="none" w:sz="0" w:space="0" w:color="auto"/>
        <w:bottom w:val="none" w:sz="0" w:space="0" w:color="auto"/>
        <w:right w:val="none" w:sz="0" w:space="0" w:color="auto"/>
      </w:divBdr>
    </w:div>
    <w:div w:id="2064407193">
      <w:bodyDiv w:val="1"/>
      <w:marLeft w:val="0"/>
      <w:marRight w:val="0"/>
      <w:marTop w:val="0"/>
      <w:marBottom w:val="0"/>
      <w:divBdr>
        <w:top w:val="none" w:sz="0" w:space="0" w:color="auto"/>
        <w:left w:val="none" w:sz="0" w:space="0" w:color="auto"/>
        <w:bottom w:val="none" w:sz="0" w:space="0" w:color="auto"/>
        <w:right w:val="none" w:sz="0" w:space="0" w:color="auto"/>
      </w:divBdr>
    </w:div>
    <w:div w:id="2087796676">
      <w:bodyDiv w:val="1"/>
      <w:marLeft w:val="0"/>
      <w:marRight w:val="0"/>
      <w:marTop w:val="0"/>
      <w:marBottom w:val="0"/>
      <w:divBdr>
        <w:top w:val="none" w:sz="0" w:space="0" w:color="auto"/>
        <w:left w:val="none" w:sz="0" w:space="0" w:color="auto"/>
        <w:bottom w:val="none" w:sz="0" w:space="0" w:color="auto"/>
        <w:right w:val="none" w:sz="0" w:space="0" w:color="auto"/>
      </w:divBdr>
    </w:div>
    <w:div w:id="2090997463">
      <w:bodyDiv w:val="1"/>
      <w:marLeft w:val="0"/>
      <w:marRight w:val="0"/>
      <w:marTop w:val="0"/>
      <w:marBottom w:val="0"/>
      <w:divBdr>
        <w:top w:val="none" w:sz="0" w:space="0" w:color="auto"/>
        <w:left w:val="none" w:sz="0" w:space="0" w:color="auto"/>
        <w:bottom w:val="none" w:sz="0" w:space="0" w:color="auto"/>
        <w:right w:val="none" w:sz="0" w:space="0" w:color="auto"/>
      </w:divBdr>
    </w:div>
    <w:div w:id="2098208815">
      <w:bodyDiv w:val="1"/>
      <w:marLeft w:val="0"/>
      <w:marRight w:val="0"/>
      <w:marTop w:val="0"/>
      <w:marBottom w:val="0"/>
      <w:divBdr>
        <w:top w:val="none" w:sz="0" w:space="0" w:color="auto"/>
        <w:left w:val="none" w:sz="0" w:space="0" w:color="auto"/>
        <w:bottom w:val="none" w:sz="0" w:space="0" w:color="auto"/>
        <w:right w:val="none" w:sz="0" w:space="0" w:color="auto"/>
      </w:divBdr>
    </w:div>
    <w:div w:id="2101413863">
      <w:bodyDiv w:val="1"/>
      <w:marLeft w:val="0"/>
      <w:marRight w:val="0"/>
      <w:marTop w:val="0"/>
      <w:marBottom w:val="0"/>
      <w:divBdr>
        <w:top w:val="none" w:sz="0" w:space="0" w:color="auto"/>
        <w:left w:val="none" w:sz="0" w:space="0" w:color="auto"/>
        <w:bottom w:val="none" w:sz="0" w:space="0" w:color="auto"/>
        <w:right w:val="none" w:sz="0" w:space="0" w:color="auto"/>
      </w:divBdr>
    </w:div>
    <w:div w:id="2104839721">
      <w:bodyDiv w:val="1"/>
      <w:marLeft w:val="0"/>
      <w:marRight w:val="0"/>
      <w:marTop w:val="0"/>
      <w:marBottom w:val="0"/>
      <w:divBdr>
        <w:top w:val="none" w:sz="0" w:space="0" w:color="auto"/>
        <w:left w:val="none" w:sz="0" w:space="0" w:color="auto"/>
        <w:bottom w:val="none" w:sz="0" w:space="0" w:color="auto"/>
        <w:right w:val="none" w:sz="0" w:space="0" w:color="auto"/>
      </w:divBdr>
    </w:div>
    <w:div w:id="2108649183">
      <w:bodyDiv w:val="1"/>
      <w:marLeft w:val="0"/>
      <w:marRight w:val="0"/>
      <w:marTop w:val="0"/>
      <w:marBottom w:val="0"/>
      <w:divBdr>
        <w:top w:val="none" w:sz="0" w:space="0" w:color="auto"/>
        <w:left w:val="none" w:sz="0" w:space="0" w:color="auto"/>
        <w:bottom w:val="none" w:sz="0" w:space="0" w:color="auto"/>
        <w:right w:val="none" w:sz="0" w:space="0" w:color="auto"/>
      </w:divBdr>
    </w:div>
    <w:div w:id="213150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customXml" Target="../customXml/item10.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customXml" Target="../customXml/item9.xml"/><Relationship Id="rId20" Type="http://schemas.openxmlformats.org/officeDocument/2006/relationships/image" Target="media/image7.png"/><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6.png"/><Relationship Id="rId22" Type="http://schemas.openxmlformats.org/officeDocument/2006/relationships/header" Target="header2.xml"/><Relationship Id="rId9" Type="http://schemas.openxmlformats.org/officeDocument/2006/relationships/styles" Target="styles.xml"/><Relationship Id="rId14" Type="http://schemas.openxmlformats.org/officeDocument/2006/relationships/image" Target="media/image1.png"/><Relationship Id="rId27" Type="http://schemas.openxmlformats.org/officeDocument/2006/relationships/customXml" Target="../customXml/item11.xml"/></Relationships>
</file>

<file path=word/_rels/footnotes.xml.rels><?xml version="1.0" encoding="UTF-8" standalone="yes"?>
<Relationships xmlns="http://schemas.openxmlformats.org/package/2006/relationships"><Relationship Id="rId1" Type="http://schemas.openxmlformats.org/officeDocument/2006/relationships/hyperlink" Target="http://www.who.int/choice/demography/american_region/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38AE3B6E8296F4CA2C7A9259CEE66C1" ma:contentTypeVersion="4009" ma:contentTypeDescription="A content type to manage public (operations) IDB documents" ma:contentTypeScope="" ma:versionID="816362feeb2e3da882a6d76addf7426a">
  <xsd:schema xmlns:xsd="http://www.w3.org/2001/XMLSchema" xmlns:xs="http://www.w3.org/2001/XMLSchema" xmlns:p="http://schemas.microsoft.com/office/2006/metadata/properties" xmlns:ns2="cdc7663a-08f0-4737-9e8c-148ce897a09c" targetNamespace="http://schemas.microsoft.com/office/2006/metadata/properties" ma:root="true" ma:fieldsID="e5c17816ce78784327f75eb6f9a0c30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1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38AE3B6E8296F4CA2C7A9259CEE66C1" ma:contentTypeVersion="1939" ma:contentTypeDescription="A content type to manage public (operations) IDB documents" ma:contentTypeScope="" ma:versionID="abe7faece37d8b7b9498187a61494841">
  <xsd:schema xmlns:xsd="http://www.w3.org/2001/XMLSchema" xmlns:xs="http://www.w3.org/2001/XMLSchema" xmlns:p="http://schemas.microsoft.com/office/2006/metadata/properties" xmlns:ns2="cdc7663a-08f0-4737-9e8c-148ce897a09c" targetNamespace="http://schemas.microsoft.com/office/2006/metadata/properties" ma:root="true" ma:fieldsID="d10f6be3e86d5d838de94c5ef69d289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1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SCL/SPH</Division_x0020_or_x0020_Unit>
    <Document_x0020_Author xmlns="cdc7663a-08f0-4737-9e8c-148ce897a09c">Astorga, Ignacio Jose</Document_x0020_Author>
    <Project_x0020_Number xmlns="cdc7663a-08f0-4737-9e8c-148ce897a09c">BR-L1519</Project_x0020_Number>
    <Package_x0020_Code xmlns="cdc7663a-08f0-4737-9e8c-148ce897a09c" xsi:nil="true"/>
    <Migration_x0020_Info xmlns="cdc7663a-08f0-4737-9e8c-148ce897a09c">MS WORDLoan Proposal0N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Other_x0020_Author xmlns="cdc7663a-08f0-4737-9e8c-148ce897a09c" xsi:nil="true"/>
    <IDBDocs_x0020_Number xmlns="cdc7663a-08f0-4737-9e8c-148ce897a09c">39850150</IDBDocs_x0020_Number>
    <Operation_x0020_Type xmlns="cdc7663a-08f0-4737-9e8c-148ce897a09c">Loan Operation</Operation_x0020_Type>
    <TaxCatchAll xmlns="cdc7663a-08f0-4737-9e8c-148ce897a09c">
      <Value>33</Value>
      <Value>39</Value>
      <Value>38</Value>
      <Value>30</Value>
      <Value>8</Value>
    </TaxCatchAll>
    <Fiscal_x0020_Year_x0020_IDB xmlns="cdc7663a-08f0-4737-9e8c-148ce897a09c">2018</Fiscal_x0020_Year_x0020_IDB>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SYSTEM STRENGTHENING</TermName>
          <TermId xmlns="http://schemas.microsoft.com/office/infopath/2007/PartnerControls">98be7628-374e-4ecf-a12c-bb48b439037b</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R0002803020</Record_x0020_Number>
    <_dlc_DocId xmlns="cdc7663a-08f0-4737-9e8c-148ce897a09c">EZSHARE-1622715344-33</_dlc_DocId>
    <_dlc_DocIdUrl xmlns="cdc7663a-08f0-4737-9e8c-148ce897a09c">
      <Url>https://idbg.sharepoint.com/teams/EZ-BR-LON/BR-L1519/_layouts/15/DocIdRedir.aspx?ID=EZSHARE-1622715344-33</Url>
      <Description>EZSHARE-1622715344-33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81C29DC-4B65-45CC-85E0-49DAA31E6647}">
  <ds:schemaRefs>
    <ds:schemaRef ds:uri="http://schemas.microsoft.com/sharepoint/events"/>
  </ds:schemaRefs>
</ds:datastoreItem>
</file>

<file path=customXml/itemProps10.xml><?xml version="1.0" encoding="utf-8"?>
<ds:datastoreItem xmlns:ds="http://schemas.openxmlformats.org/officeDocument/2006/customXml" ds:itemID="{32A1AC48-B6CC-46C9-8EAB-763D7D843CBC}"/>
</file>

<file path=customXml/itemProps11.xml><?xml version="1.0" encoding="utf-8"?>
<ds:datastoreItem xmlns:ds="http://schemas.openxmlformats.org/officeDocument/2006/customXml" ds:itemID="{5A870917-AE4C-455D-BD65-12AA3A664BFA}"/>
</file>

<file path=customXml/itemProps2.xml><?xml version="1.0" encoding="utf-8"?>
<ds:datastoreItem xmlns:ds="http://schemas.openxmlformats.org/officeDocument/2006/customXml" ds:itemID="{0BEE341C-7108-4CFA-91F0-39BA1318F8BE}">
  <ds:schemaRefs>
    <ds:schemaRef ds:uri="http://schemas.microsoft.com/sharepoint/v3/contenttype/forms/url"/>
  </ds:schemaRefs>
</ds:datastoreItem>
</file>

<file path=customXml/itemProps3.xml><?xml version="1.0" encoding="utf-8"?>
<ds:datastoreItem xmlns:ds="http://schemas.openxmlformats.org/officeDocument/2006/customXml" ds:itemID="{0B69DAB6-4661-46BC-A780-05045A440F68}"/>
</file>

<file path=customXml/itemProps4.xml><?xml version="1.0" encoding="utf-8"?>
<ds:datastoreItem xmlns:ds="http://schemas.openxmlformats.org/officeDocument/2006/customXml" ds:itemID="{E6857600-5EEE-4BC0-BC4D-3AFDBCD2A3CA}">
  <ds:schemaRefs>
    <ds:schemaRef ds:uri="Microsoft.SharePoint.Taxonomy.ContentTypeSync"/>
  </ds:schemaRefs>
</ds:datastoreItem>
</file>

<file path=customXml/itemProps5.xml><?xml version="1.0" encoding="utf-8"?>
<ds:datastoreItem xmlns:ds="http://schemas.openxmlformats.org/officeDocument/2006/customXml" ds:itemID="{9943C1A7-F021-4C0D-87F2-50554AB03A5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9683D146-2F14-4969-BC8E-07A93BB81227}">
  <ds:schemaRefs>
    <ds:schemaRef ds:uri="http://schemas.microsoft.com/sharepoint/v3/contenttype/forms"/>
  </ds:schemaRefs>
</ds:datastoreItem>
</file>

<file path=customXml/itemProps7.xml><?xml version="1.0" encoding="utf-8"?>
<ds:datastoreItem xmlns:ds="http://schemas.openxmlformats.org/officeDocument/2006/customXml" ds:itemID="{89B0316C-D959-49CC-B4C4-BACDF9D267AD}">
  <ds:schemaRefs>
    <ds:schemaRef ds:uri="http://schemas.openxmlformats.org/officeDocument/2006/bibliography"/>
  </ds:schemaRefs>
</ds:datastoreItem>
</file>

<file path=customXml/itemProps8.xml><?xml version="1.0" encoding="utf-8"?>
<ds:datastoreItem xmlns:ds="http://schemas.openxmlformats.org/officeDocument/2006/customXml" ds:itemID="{21FAD7C6-775F-4AEF-9A35-41E21500820A}"/>
</file>

<file path=customXml/itemProps9.xml><?xml version="1.0" encoding="utf-8"?>
<ds:datastoreItem xmlns:ds="http://schemas.openxmlformats.org/officeDocument/2006/customXml" ds:itemID="{8CDE958E-7962-428F-8F8A-FCD6AE1D8FB3}"/>
</file>

<file path=docProps/app.xml><?xml version="1.0" encoding="utf-8"?>
<Properties xmlns="http://schemas.openxmlformats.org/officeDocument/2006/extended-properties" xmlns:vt="http://schemas.openxmlformats.org/officeDocument/2006/docPropsVTypes">
  <Template>Normal.dotm</Template>
  <TotalTime>0</TotalTime>
  <Pages>26</Pages>
  <Words>13265</Words>
  <Characters>73625</Characters>
  <Application>Microsoft Office Word</Application>
  <DocSecurity>0</DocSecurity>
  <Lines>1502</Lines>
  <Paragraphs>514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Enlace Análisis Económico</vt:lpstr>
      <vt:lpstr>Enlace Análisis Económico</vt:lpstr>
    </vt:vector>
  </TitlesOfParts>
  <Company>Inter-American Development Bank</Company>
  <LinksUpToDate>false</LinksUpToDate>
  <CharactersWithSpaces>86376</CharactersWithSpaces>
  <SharedDoc>false</SharedDoc>
  <HLinks>
    <vt:vector size="36" baseType="variant">
      <vt:variant>
        <vt:i4>7143438</vt:i4>
      </vt:variant>
      <vt:variant>
        <vt:i4>105</vt:i4>
      </vt:variant>
      <vt:variant>
        <vt:i4>0</vt:i4>
      </vt:variant>
      <vt:variant>
        <vt:i4>5</vt:i4>
      </vt:variant>
      <vt:variant>
        <vt:lpwstr>http://www.who.int/choice/costs/CER_thresholds/en/index.html</vt:lpwstr>
      </vt:variant>
      <vt:variant>
        <vt:lpwstr/>
      </vt:variant>
      <vt:variant>
        <vt:i4>2424936</vt:i4>
      </vt:variant>
      <vt:variant>
        <vt:i4>102</vt:i4>
      </vt:variant>
      <vt:variant>
        <vt:i4>0</vt:i4>
      </vt:variant>
      <vt:variant>
        <vt:i4>5</vt:i4>
      </vt:variant>
      <vt:variant>
        <vt:lpwstr>http://mirror.unhabitat.org/pmss/listItemDetails.aspx?publicationID=3380&amp;AspxAutoDetectCookieSupport=1</vt:lpwstr>
      </vt:variant>
      <vt:variant>
        <vt:lpwstr/>
      </vt:variant>
      <vt:variant>
        <vt:i4>7602204</vt:i4>
      </vt:variant>
      <vt:variant>
        <vt:i4>9</vt:i4>
      </vt:variant>
      <vt:variant>
        <vt:i4>0</vt:i4>
      </vt:variant>
      <vt:variant>
        <vt:i4>5</vt:i4>
      </vt:variant>
      <vt:variant>
        <vt:lpwstr>http://idbdocs.iadb.org/wsdocs/getDocument.aspx?DOCNUM=39211738</vt:lpwstr>
      </vt:variant>
      <vt:variant>
        <vt:lpwstr/>
      </vt:variant>
      <vt:variant>
        <vt:i4>7929887</vt:i4>
      </vt:variant>
      <vt:variant>
        <vt:i4>6</vt:i4>
      </vt:variant>
      <vt:variant>
        <vt:i4>0</vt:i4>
      </vt:variant>
      <vt:variant>
        <vt:i4>5</vt:i4>
      </vt:variant>
      <vt:variant>
        <vt:lpwstr>http://idbdocs.iadb.org/wsdocs/getDocument.aspx?DOCNUM=39376882</vt:lpwstr>
      </vt:variant>
      <vt:variant>
        <vt:lpwstr/>
      </vt:variant>
      <vt:variant>
        <vt:i4>8323090</vt:i4>
      </vt:variant>
      <vt:variant>
        <vt:i4>3</vt:i4>
      </vt:variant>
      <vt:variant>
        <vt:i4>0</vt:i4>
      </vt:variant>
      <vt:variant>
        <vt:i4>5</vt:i4>
      </vt:variant>
      <vt:variant>
        <vt:lpwstr>http://idbdocs.iadb.org/wsdocs/getDocument.aspx?DOCNUM=39211786</vt:lpwstr>
      </vt:variant>
      <vt:variant>
        <vt:lpwstr/>
      </vt:variant>
      <vt:variant>
        <vt:i4>8257554</vt:i4>
      </vt:variant>
      <vt:variant>
        <vt:i4>0</vt:i4>
      </vt:variant>
      <vt:variant>
        <vt:i4>0</vt:i4>
      </vt:variant>
      <vt:variant>
        <vt:i4>5</vt:i4>
      </vt:variant>
      <vt:variant>
        <vt:lpwstr>http://idbdocs.iadb.org/wsdocs/getDocument.aspx?DOCNUM=39319203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Análisis Económico</dc:title>
  <dc:creator>Nadin Fabiola Medellin Almanza</dc:creator>
  <cp:keywords/>
  <cp:lastModifiedBy>Silveira, Sheyla</cp:lastModifiedBy>
  <cp:revision>3</cp:revision>
  <dcterms:created xsi:type="dcterms:W3CDTF">2018-09-24T13:14:00Z</dcterms:created>
  <dcterms:modified xsi:type="dcterms:W3CDTF">2018-09-25T14:36:00Z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nadin.medellin@gmail.com@www.mendeley.com</vt:lpwstr>
  </property>
  <property fmtid="{D5CDD505-2E9C-101B-9397-08002B2CF9AE}" pid="4" name="Mendeley Citation Style_1">
    <vt:lpwstr>http://www.zotero.org/styles/chicago-author-date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http://www.zotero.org/styles/chicago-note-bibliography</vt:lpwstr>
  </property>
  <property fmtid="{D5CDD505-2E9C-101B-9397-08002B2CF9AE}" pid="14" name="Mendeley Recent Style Name 4_1">
    <vt:lpwstr>Chicago Manual of Style 16th edition (note)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TaxKeyword">
    <vt:lpwstr/>
  </property>
  <property fmtid="{D5CDD505-2E9C-101B-9397-08002B2CF9AE}" pid="26" name="Sub_x002d_Sector">
    <vt:lpwstr/>
  </property>
  <property fmtid="{D5CDD505-2E9C-101B-9397-08002B2CF9AE}" pid="28" name="TaxKeywordTaxHTField">
    <vt:lpwstr/>
  </property>
  <property fmtid="{D5CDD505-2E9C-101B-9397-08002B2CF9AE}" pid="29" name="Series Operations IDB">
    <vt:lpwstr>4;#Unclassified|a6dff32e-d477-44cd-a56b-85efe9e0a56c</vt:lpwstr>
  </property>
  <property fmtid="{D5CDD505-2E9C-101B-9397-08002B2CF9AE}" pid="30" name="Sub-Sector">
    <vt:lpwstr>39;#HEALTH SYSTEM STRENGTHENING|98be7628-374e-4ecf-a12c-bb48b439037b</vt:lpwstr>
  </property>
  <property fmtid="{D5CDD505-2E9C-101B-9397-08002B2CF9AE}" pid="31" name="Country">
    <vt:lpwstr>30;#Brazil|7deb27ec-6837-4974-9aa8-6cfbac841ef8</vt:lpwstr>
  </property>
  <property fmtid="{D5CDD505-2E9C-101B-9397-08002B2CF9AE}" pid="32" name="Fund IDB">
    <vt:lpwstr>33;#ORC|c028a4b2-ad8b-4cf4-9cac-a2ae6a778e23</vt:lpwstr>
  </property>
  <property fmtid="{D5CDD505-2E9C-101B-9397-08002B2CF9AE}" pid="33" name="Series_x0020_Operations_x0020_IDB">
    <vt:lpwstr>4;#Unclassified|a6dff32e-d477-44cd-a56b-85efe9e0a56c</vt:lpwstr>
  </property>
  <property fmtid="{D5CDD505-2E9C-101B-9397-08002B2CF9AE}" pid="34" name="To:">
    <vt:lpwstr/>
  </property>
  <property fmtid="{D5CDD505-2E9C-101B-9397-08002B2CF9AE}" pid="35" name="From:">
    <vt:lpwstr/>
  </property>
  <property fmtid="{D5CDD505-2E9C-101B-9397-08002B2CF9AE}" pid="36" name="Sector IDB">
    <vt:lpwstr>38;#HEALTH|e15154b4-8fa2-4f19-a924-5a9b44dc8218</vt:lpwstr>
  </property>
  <property fmtid="{D5CDD505-2E9C-101B-9397-08002B2CF9AE}" pid="37" name="Function Operations IDB">
    <vt:lpwstr>8;#IDBDocs|cca77002-e150-4b2d-ab1f-1d7a7cdcae16</vt:lpwstr>
  </property>
  <property fmtid="{D5CDD505-2E9C-101B-9397-08002B2CF9AE}" pid="38" name="_dlc_DocIdItemGuid">
    <vt:lpwstr>f3bac966-ab9a-4b45-8361-98b64cd9f5b0</vt:lpwstr>
  </property>
  <property fmtid="{D5CDD505-2E9C-101B-9397-08002B2CF9AE}" pid="39" name="ContentTypeId">
    <vt:lpwstr>0x0101001A458A224826124E8B45B1D613300CFC00838AE3B6E8296F4CA2C7A9259CEE66C1</vt:lpwstr>
  </property>
</Properties>
</file>