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A1231" w14:textId="77777777" w:rsidR="00847423" w:rsidRDefault="00E25F4B">
      <w:pPr>
        <w:spacing w:before="200" w:after="200"/>
        <w:jc w:val="center"/>
      </w:pPr>
      <w:r>
        <w:rPr>
          <w:rFonts w:ascii="Arial" w:hAnsi="Arial" w:cs="Arial"/>
          <w:b/>
        </w:rPr>
        <w:t>TC ABSTRACT</w:t>
      </w:r>
    </w:p>
    <w:p w14:paraId="77C8D077" w14:textId="77777777" w:rsidR="00847423" w:rsidRDefault="00E25F4B">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31"/>
        <w:gridCol w:w="4989"/>
      </w:tblGrid>
      <w:tr w:rsidR="00694251" w14:paraId="6CBC1E3F" w14:textId="77777777">
        <w:trPr>
          <w:jc w:val="center"/>
        </w:trPr>
        <w:tc>
          <w:tcPr>
            <w:tcW w:w="5250" w:type="dxa"/>
          </w:tcPr>
          <w:p w14:paraId="6DF2704B"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14:paraId="08CAF23F" w14:textId="77777777" w:rsidR="00847423" w:rsidRDefault="00E25F4B">
            <w:pPr>
              <w:spacing w:before="40" w:after="40"/>
            </w:pPr>
            <w:r>
              <w:rPr>
                <w:rFonts w:ascii="Arial" w:hAnsi="Arial" w:cs="Arial"/>
                <w:sz w:val="18"/>
                <w:szCs w:val="18"/>
              </w:rPr>
              <w:t>MEXICO/CID - Isthmus &amp; DR</w:t>
            </w:r>
          </w:p>
        </w:tc>
      </w:tr>
      <w:tr w:rsidR="00694251" w14:paraId="4EF15625" w14:textId="77777777">
        <w:trPr>
          <w:jc w:val="center"/>
        </w:trPr>
        <w:tc>
          <w:tcPr>
            <w:tcW w:w="5250" w:type="dxa"/>
          </w:tcPr>
          <w:p w14:paraId="07E13C0B"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14:paraId="66C92DDD" w14:textId="167AB2A1" w:rsidR="00847423" w:rsidRDefault="00E25F4B">
            <w:pPr>
              <w:spacing w:before="40" w:after="40"/>
            </w:pPr>
            <w:r>
              <w:rPr>
                <w:rFonts w:ascii="Arial" w:hAnsi="Arial" w:cs="Arial"/>
                <w:sz w:val="18"/>
                <w:szCs w:val="18"/>
              </w:rPr>
              <w:t xml:space="preserve">Support for the </w:t>
            </w:r>
            <w:r w:rsidR="00694251">
              <w:rPr>
                <w:rFonts w:ascii="Arial" w:hAnsi="Arial" w:cs="Arial"/>
                <w:sz w:val="18"/>
                <w:szCs w:val="18"/>
              </w:rPr>
              <w:t>I</w:t>
            </w:r>
            <w:r>
              <w:rPr>
                <w:rFonts w:ascii="Arial" w:hAnsi="Arial" w:cs="Arial"/>
                <w:sz w:val="18"/>
                <w:szCs w:val="18"/>
              </w:rPr>
              <w:t xml:space="preserve">mplementation of </w:t>
            </w:r>
            <w:r w:rsidR="00694251">
              <w:rPr>
                <w:rFonts w:ascii="Arial" w:hAnsi="Arial" w:cs="Arial"/>
                <w:sz w:val="18"/>
                <w:szCs w:val="18"/>
              </w:rPr>
              <w:t>L</w:t>
            </w:r>
            <w:r>
              <w:rPr>
                <w:rFonts w:ascii="Arial" w:hAnsi="Arial" w:cs="Arial"/>
                <w:sz w:val="18"/>
                <w:szCs w:val="18"/>
              </w:rPr>
              <w:t xml:space="preserve">abor </w:t>
            </w:r>
            <w:r w:rsidR="00694251">
              <w:rPr>
                <w:rFonts w:ascii="Arial" w:hAnsi="Arial" w:cs="Arial"/>
                <w:sz w:val="18"/>
                <w:szCs w:val="18"/>
              </w:rPr>
              <w:t>R</w:t>
            </w:r>
            <w:r>
              <w:rPr>
                <w:rFonts w:ascii="Arial" w:hAnsi="Arial" w:cs="Arial"/>
                <w:sz w:val="18"/>
                <w:szCs w:val="18"/>
              </w:rPr>
              <w:t>eform in Mexico</w:t>
            </w:r>
          </w:p>
        </w:tc>
      </w:tr>
      <w:tr w:rsidR="00694251" w14:paraId="229DCED0" w14:textId="77777777">
        <w:trPr>
          <w:jc w:val="center"/>
        </w:trPr>
        <w:tc>
          <w:tcPr>
            <w:tcW w:w="5250" w:type="dxa"/>
          </w:tcPr>
          <w:p w14:paraId="1B82A1A2"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14:paraId="7D7F95AB" w14:textId="77777777" w:rsidR="00847423" w:rsidRDefault="00E25F4B">
            <w:pPr>
              <w:spacing w:before="40" w:after="40"/>
            </w:pPr>
            <w:r>
              <w:rPr>
                <w:rFonts w:ascii="Arial" w:hAnsi="Arial" w:cs="Arial"/>
                <w:sz w:val="18"/>
                <w:szCs w:val="18"/>
              </w:rPr>
              <w:t>ME-T1393</w:t>
            </w:r>
          </w:p>
        </w:tc>
      </w:tr>
      <w:tr w:rsidR="00694251" w14:paraId="3DA2A89C" w14:textId="77777777">
        <w:trPr>
          <w:jc w:val="center"/>
        </w:trPr>
        <w:tc>
          <w:tcPr>
            <w:tcW w:w="5250" w:type="dxa"/>
          </w:tcPr>
          <w:p w14:paraId="1B13C79F"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14:paraId="60DDF23B" w14:textId="02A804DF" w:rsidR="00847423" w:rsidRDefault="00694251" w:rsidP="00694251">
            <w:pPr>
              <w:spacing w:before="40" w:after="40"/>
              <w:jc w:val="both"/>
            </w:pPr>
            <w:r>
              <w:rPr>
                <w:rFonts w:ascii="Arial" w:hAnsi="Arial" w:cs="Arial"/>
                <w:sz w:val="18"/>
                <w:szCs w:val="18"/>
              </w:rPr>
              <w:t>David Kaplan</w:t>
            </w:r>
            <w:r w:rsidR="00E25F4B">
              <w:rPr>
                <w:rFonts w:ascii="Arial" w:hAnsi="Arial" w:cs="Arial"/>
                <w:sz w:val="18"/>
                <w:szCs w:val="18"/>
              </w:rPr>
              <w:t xml:space="preserve"> (SCL/LMK) Team Leader; </w:t>
            </w:r>
            <w:r>
              <w:rPr>
                <w:rFonts w:ascii="Arial" w:hAnsi="Arial" w:cs="Arial"/>
                <w:sz w:val="18"/>
                <w:szCs w:val="18"/>
              </w:rPr>
              <w:t xml:space="preserve">Juan Carlos Pérez </w:t>
            </w:r>
            <w:proofErr w:type="spellStart"/>
            <w:r>
              <w:rPr>
                <w:rFonts w:ascii="Arial" w:hAnsi="Arial" w:cs="Arial"/>
                <w:sz w:val="18"/>
                <w:szCs w:val="18"/>
              </w:rPr>
              <w:t>Segnini</w:t>
            </w:r>
            <w:proofErr w:type="spellEnd"/>
            <w:r w:rsidR="00E25F4B">
              <w:rPr>
                <w:rFonts w:ascii="Arial" w:hAnsi="Arial" w:cs="Arial"/>
                <w:sz w:val="18"/>
                <w:szCs w:val="18"/>
              </w:rPr>
              <w:t xml:space="preserve"> (LEG/SGO); </w:t>
            </w:r>
            <w:r>
              <w:rPr>
                <w:rFonts w:ascii="Arial" w:hAnsi="Arial" w:cs="Arial"/>
                <w:sz w:val="18"/>
                <w:szCs w:val="18"/>
              </w:rPr>
              <w:t>Germán Zappani</w:t>
            </w:r>
            <w:r w:rsidR="00E25F4B">
              <w:rPr>
                <w:rFonts w:ascii="Arial" w:hAnsi="Arial" w:cs="Arial"/>
                <w:sz w:val="18"/>
                <w:szCs w:val="18"/>
              </w:rPr>
              <w:t xml:space="preserve"> (VPC/FMP); </w:t>
            </w:r>
            <w:r>
              <w:rPr>
                <w:rFonts w:ascii="Arial" w:hAnsi="Arial" w:cs="Arial"/>
                <w:sz w:val="18"/>
                <w:szCs w:val="18"/>
              </w:rPr>
              <w:t>Miriam Garza Cortina</w:t>
            </w:r>
            <w:r w:rsidR="00E25F4B">
              <w:rPr>
                <w:rFonts w:ascii="Arial" w:hAnsi="Arial" w:cs="Arial"/>
                <w:sz w:val="18"/>
                <w:szCs w:val="18"/>
              </w:rPr>
              <w:t xml:space="preserve"> (VPC/FMP); </w:t>
            </w:r>
            <w:r>
              <w:rPr>
                <w:rFonts w:ascii="Arial" w:hAnsi="Arial" w:cs="Arial"/>
                <w:sz w:val="18"/>
                <w:szCs w:val="18"/>
              </w:rPr>
              <w:t>Ariel Rodríguez Pérez</w:t>
            </w:r>
            <w:r w:rsidR="00E25F4B">
              <w:rPr>
                <w:rFonts w:ascii="Arial" w:hAnsi="Arial" w:cs="Arial"/>
                <w:sz w:val="18"/>
                <w:szCs w:val="18"/>
              </w:rPr>
              <w:t xml:space="preserve"> (VPC/FMP); </w:t>
            </w:r>
            <w:r>
              <w:rPr>
                <w:rFonts w:ascii="Arial" w:hAnsi="Arial" w:cs="Arial"/>
                <w:sz w:val="18"/>
                <w:szCs w:val="18"/>
              </w:rPr>
              <w:t>Edna Miranda</w:t>
            </w:r>
            <w:r w:rsidR="00E25F4B">
              <w:rPr>
                <w:rFonts w:ascii="Arial" w:hAnsi="Arial" w:cs="Arial"/>
                <w:sz w:val="18"/>
                <w:szCs w:val="18"/>
              </w:rPr>
              <w:t xml:space="preserve"> (CID/CME);</w:t>
            </w:r>
            <w:r>
              <w:rPr>
                <w:rFonts w:ascii="Arial" w:hAnsi="Arial" w:cs="Arial"/>
                <w:sz w:val="18"/>
                <w:szCs w:val="18"/>
              </w:rPr>
              <w:t xml:space="preserve"> Uriel Barrios </w:t>
            </w:r>
            <w:proofErr w:type="spellStart"/>
            <w:r>
              <w:rPr>
                <w:rFonts w:ascii="Arial" w:hAnsi="Arial" w:cs="Arial"/>
                <w:sz w:val="18"/>
                <w:szCs w:val="18"/>
              </w:rPr>
              <w:t>Nuñez</w:t>
            </w:r>
            <w:proofErr w:type="spellEnd"/>
            <w:r w:rsidR="00E25F4B">
              <w:rPr>
                <w:rFonts w:ascii="Arial" w:hAnsi="Arial" w:cs="Arial"/>
                <w:sz w:val="18"/>
                <w:szCs w:val="18"/>
              </w:rPr>
              <w:t xml:space="preserve"> (CID/CME); </w:t>
            </w:r>
            <w:r>
              <w:rPr>
                <w:rFonts w:ascii="Arial" w:hAnsi="Arial" w:cs="Arial"/>
                <w:sz w:val="18"/>
                <w:szCs w:val="18"/>
              </w:rPr>
              <w:t>Alejandro de Gyves</w:t>
            </w:r>
            <w:r w:rsidR="00E25F4B">
              <w:rPr>
                <w:rFonts w:ascii="Arial" w:hAnsi="Arial" w:cs="Arial"/>
                <w:sz w:val="18"/>
                <w:szCs w:val="18"/>
              </w:rPr>
              <w:t xml:space="preserve"> (CID/CME); </w:t>
            </w:r>
            <w:r>
              <w:rPr>
                <w:rFonts w:ascii="Arial" w:hAnsi="Arial" w:cs="Arial"/>
                <w:sz w:val="18"/>
                <w:szCs w:val="18"/>
              </w:rPr>
              <w:t>Emilio Martínez</w:t>
            </w:r>
            <w:r w:rsidR="00E25F4B">
              <w:rPr>
                <w:rFonts w:ascii="Arial" w:hAnsi="Arial" w:cs="Arial"/>
                <w:sz w:val="18"/>
                <w:szCs w:val="18"/>
              </w:rPr>
              <w:t xml:space="preserve"> (CID/CME); </w:t>
            </w:r>
            <w:r>
              <w:rPr>
                <w:rFonts w:ascii="Arial" w:hAnsi="Arial" w:cs="Arial"/>
                <w:sz w:val="18"/>
                <w:szCs w:val="18"/>
              </w:rPr>
              <w:t>Elisa Lavore</w:t>
            </w:r>
            <w:r w:rsidR="00E25F4B">
              <w:rPr>
                <w:rFonts w:ascii="Arial" w:hAnsi="Arial" w:cs="Arial"/>
                <w:sz w:val="18"/>
                <w:szCs w:val="18"/>
              </w:rPr>
              <w:t xml:space="preserve"> (SCL/LMK); </w:t>
            </w:r>
            <w:r>
              <w:rPr>
                <w:rFonts w:ascii="Arial" w:hAnsi="Arial" w:cs="Arial"/>
                <w:sz w:val="18"/>
                <w:szCs w:val="18"/>
              </w:rPr>
              <w:t>Anne Hand (</w:t>
            </w:r>
            <w:r w:rsidR="00E25F4B">
              <w:rPr>
                <w:rFonts w:ascii="Arial" w:hAnsi="Arial" w:cs="Arial"/>
                <w:sz w:val="18"/>
                <w:szCs w:val="18"/>
              </w:rPr>
              <w:t xml:space="preserve">SCL/LMK); </w:t>
            </w:r>
            <w:r>
              <w:rPr>
                <w:rFonts w:ascii="Arial" w:hAnsi="Arial" w:cs="Arial"/>
                <w:sz w:val="18"/>
                <w:szCs w:val="18"/>
              </w:rPr>
              <w:t>Pierre Delord</w:t>
            </w:r>
            <w:r w:rsidR="00E25F4B">
              <w:rPr>
                <w:rFonts w:ascii="Arial" w:hAnsi="Arial" w:cs="Arial"/>
                <w:sz w:val="18"/>
                <w:szCs w:val="18"/>
              </w:rPr>
              <w:t xml:space="preserve"> (SCL/LMK); </w:t>
            </w:r>
            <w:r>
              <w:rPr>
                <w:rFonts w:ascii="Arial" w:hAnsi="Arial" w:cs="Arial"/>
                <w:sz w:val="18"/>
                <w:szCs w:val="18"/>
              </w:rPr>
              <w:t>Ethel Muhlstein</w:t>
            </w:r>
            <w:r w:rsidR="00E25F4B">
              <w:rPr>
                <w:rFonts w:ascii="Arial" w:hAnsi="Arial" w:cs="Arial"/>
                <w:sz w:val="18"/>
                <w:szCs w:val="18"/>
              </w:rPr>
              <w:t xml:space="preserve"> (SCL/LMK); </w:t>
            </w:r>
            <w:r>
              <w:rPr>
                <w:rFonts w:ascii="Arial" w:hAnsi="Arial" w:cs="Arial"/>
                <w:sz w:val="18"/>
                <w:szCs w:val="18"/>
              </w:rPr>
              <w:t>y Tania Gaona</w:t>
            </w:r>
            <w:r w:rsidR="00E25F4B">
              <w:rPr>
                <w:rFonts w:ascii="Arial" w:hAnsi="Arial" w:cs="Arial"/>
                <w:sz w:val="18"/>
                <w:szCs w:val="18"/>
              </w:rPr>
              <w:t xml:space="preserve"> (SCL/LMK)</w:t>
            </w:r>
            <w:r>
              <w:rPr>
                <w:rFonts w:ascii="Arial" w:hAnsi="Arial" w:cs="Arial"/>
                <w:sz w:val="18"/>
                <w:szCs w:val="18"/>
              </w:rPr>
              <w:t>.</w:t>
            </w:r>
          </w:p>
        </w:tc>
      </w:tr>
      <w:tr w:rsidR="00694251" w14:paraId="216AB810" w14:textId="77777777">
        <w:trPr>
          <w:jc w:val="center"/>
        </w:trPr>
        <w:tc>
          <w:tcPr>
            <w:tcW w:w="5250" w:type="dxa"/>
          </w:tcPr>
          <w:p w14:paraId="242B4715"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14:paraId="2B52C560" w14:textId="77777777" w:rsidR="00847423" w:rsidRDefault="00E25F4B">
            <w:pPr>
              <w:spacing w:before="40" w:after="40"/>
            </w:pPr>
            <w:r>
              <w:rPr>
                <w:rFonts w:ascii="Arial" w:hAnsi="Arial" w:cs="Arial"/>
                <w:sz w:val="18"/>
                <w:szCs w:val="18"/>
              </w:rPr>
              <w:t>Operatio</w:t>
            </w:r>
            <w:r>
              <w:rPr>
                <w:rFonts w:ascii="Arial" w:hAnsi="Arial" w:cs="Arial"/>
                <w:sz w:val="18"/>
                <w:szCs w:val="18"/>
              </w:rPr>
              <w:t>nal Support</w:t>
            </w:r>
          </w:p>
        </w:tc>
      </w:tr>
      <w:tr w:rsidR="00694251" w14:paraId="56A8AD93" w14:textId="77777777">
        <w:trPr>
          <w:jc w:val="center"/>
        </w:trPr>
        <w:tc>
          <w:tcPr>
            <w:tcW w:w="5250" w:type="dxa"/>
          </w:tcPr>
          <w:p w14:paraId="1623FC88"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14:paraId="7D9BA227" w14:textId="3AF3EC4D" w:rsidR="00847423" w:rsidRDefault="00E25F4B" w:rsidP="00694251">
            <w:pPr>
              <w:spacing w:before="40" w:after="40"/>
              <w:jc w:val="both"/>
            </w:pPr>
            <w:r>
              <w:rPr>
                <w:rFonts w:ascii="Arial" w:hAnsi="Arial" w:cs="Arial"/>
                <w:sz w:val="18"/>
                <w:szCs w:val="18"/>
              </w:rPr>
              <w:t>Program to promote better working conditions in Mexico-ME</w:t>
            </w:r>
            <w:r w:rsidR="00694251">
              <w:rPr>
                <w:rFonts w:ascii="Arial" w:hAnsi="Arial" w:cs="Arial"/>
                <w:sz w:val="18"/>
                <w:szCs w:val="18"/>
              </w:rPr>
              <w:noBreakHyphen/>
            </w:r>
            <w:r>
              <w:rPr>
                <w:rFonts w:ascii="Arial" w:hAnsi="Arial" w:cs="Arial"/>
                <w:sz w:val="18"/>
                <w:szCs w:val="18"/>
              </w:rPr>
              <w:t xml:space="preserve">L1289 - </w:t>
            </w:r>
            <w:r>
              <w:rPr>
                <w:rFonts w:ascii="Arial" w:hAnsi="Arial" w:cs="Arial"/>
                <w:sz w:val="18"/>
                <w:szCs w:val="18"/>
              </w:rPr>
              <w:t>Support for Preparation</w:t>
            </w:r>
          </w:p>
        </w:tc>
      </w:tr>
      <w:tr w:rsidR="00694251" w14:paraId="66524C5E" w14:textId="77777777">
        <w:trPr>
          <w:jc w:val="center"/>
        </w:trPr>
        <w:tc>
          <w:tcPr>
            <w:tcW w:w="5250" w:type="dxa"/>
          </w:tcPr>
          <w:p w14:paraId="2017C08A"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14:paraId="4A422355" w14:textId="77777777" w:rsidR="00847423" w:rsidRDefault="00E25F4B" w:rsidP="00694251">
            <w:pPr>
              <w:spacing w:before="40" w:after="40"/>
              <w:jc w:val="both"/>
            </w:pPr>
            <w:r>
              <w:rPr>
                <w:rFonts w:ascii="Arial" w:hAnsi="Arial" w:cs="Arial"/>
                <w:sz w:val="18"/>
                <w:szCs w:val="18"/>
              </w:rPr>
              <w:t>09 Apr 2019</w:t>
            </w:r>
          </w:p>
        </w:tc>
      </w:tr>
      <w:tr w:rsidR="00694251" w14:paraId="15CADC9F" w14:textId="77777777">
        <w:trPr>
          <w:jc w:val="center"/>
        </w:trPr>
        <w:tc>
          <w:tcPr>
            <w:tcW w:w="5250" w:type="dxa"/>
          </w:tcPr>
          <w:p w14:paraId="7E489FD7"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14:paraId="4328F850" w14:textId="77777777" w:rsidR="00847423" w:rsidRDefault="00E25F4B" w:rsidP="00694251">
            <w:pPr>
              <w:spacing w:before="40" w:after="40"/>
              <w:jc w:val="both"/>
            </w:pPr>
            <w:r>
              <w:rPr>
                <w:rFonts w:ascii="Arial" w:hAnsi="Arial" w:cs="Arial"/>
                <w:sz w:val="18"/>
                <w:szCs w:val="18"/>
              </w:rPr>
              <w:t>Ministry of Labor (STPS), Mexico</w:t>
            </w:r>
          </w:p>
        </w:tc>
      </w:tr>
      <w:tr w:rsidR="00694251" w14:paraId="6570ECA3" w14:textId="77777777">
        <w:trPr>
          <w:jc w:val="center"/>
        </w:trPr>
        <w:tc>
          <w:tcPr>
            <w:tcW w:w="5250" w:type="dxa"/>
          </w:tcPr>
          <w:p w14:paraId="227E8526"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Executing Agency:</w:t>
            </w:r>
          </w:p>
        </w:tc>
        <w:tc>
          <w:tcPr>
            <w:tcW w:w="6750" w:type="dxa"/>
          </w:tcPr>
          <w:p w14:paraId="6AC6BDEC" w14:textId="6A01F80C" w:rsidR="00847423" w:rsidRDefault="00694251" w:rsidP="00694251">
            <w:pPr>
              <w:spacing w:before="40" w:after="40"/>
              <w:jc w:val="both"/>
            </w:pPr>
            <w:r>
              <w:rPr>
                <w:rFonts w:ascii="Arial" w:hAnsi="Arial" w:cs="Arial"/>
                <w:sz w:val="18"/>
                <w:szCs w:val="18"/>
              </w:rPr>
              <w:t>Inter-American Development Bank, Social Sector, Labor Markets Division (SCL/LMK), David Kaplan dkaplan@iadb.org</w:t>
            </w:r>
          </w:p>
        </w:tc>
      </w:tr>
      <w:tr w:rsidR="00694251" w14:paraId="10FBE71F" w14:textId="77777777">
        <w:trPr>
          <w:jc w:val="center"/>
        </w:trPr>
        <w:tc>
          <w:tcPr>
            <w:tcW w:w="5250" w:type="dxa"/>
          </w:tcPr>
          <w:p w14:paraId="38330441"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14:paraId="1836FFB1" w14:textId="301134E3" w:rsidR="00847423" w:rsidRDefault="00E25F4B">
            <w:pPr>
              <w:bidi/>
              <w:spacing w:before="40" w:after="40"/>
            </w:pPr>
            <w:r>
              <w:rPr>
                <w:rFonts w:ascii="Arial" w:hAnsi="Arial" w:cs="Arial"/>
                <w:sz w:val="18"/>
                <w:szCs w:val="18"/>
              </w:rPr>
              <w:t>$ 200,000</w:t>
            </w:r>
          </w:p>
        </w:tc>
      </w:tr>
      <w:tr w:rsidR="00694251" w14:paraId="02BC3F79" w14:textId="77777777">
        <w:trPr>
          <w:jc w:val="center"/>
        </w:trPr>
        <w:tc>
          <w:tcPr>
            <w:tcW w:w="5250" w:type="dxa"/>
          </w:tcPr>
          <w:p w14:paraId="2ADE3E1F"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14:paraId="2B01E508" w14:textId="1F26A2FC" w:rsidR="00847423" w:rsidRDefault="00E25F4B">
            <w:pPr>
              <w:bidi/>
              <w:spacing w:before="40" w:after="40"/>
            </w:pPr>
            <w:r>
              <w:rPr>
                <w:rFonts w:ascii="Arial" w:hAnsi="Arial" w:cs="Arial"/>
                <w:sz w:val="18"/>
                <w:szCs w:val="18"/>
              </w:rPr>
              <w:t>$ 0</w:t>
            </w:r>
          </w:p>
        </w:tc>
      </w:tr>
      <w:tr w:rsidR="00694251" w14:paraId="185FF3FE" w14:textId="77777777">
        <w:trPr>
          <w:jc w:val="center"/>
        </w:trPr>
        <w:tc>
          <w:tcPr>
            <w:tcW w:w="5250" w:type="dxa"/>
          </w:tcPr>
          <w:p w14:paraId="0ADBB716"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14:paraId="2A0B8E54" w14:textId="77777777" w:rsidR="00847423" w:rsidRDefault="00E25F4B">
            <w:pPr>
              <w:bidi/>
              <w:spacing w:before="40" w:after="40"/>
            </w:pPr>
            <w:r>
              <w:rPr>
                <w:rFonts w:ascii="Arial" w:hAnsi="Arial" w:cs="Arial"/>
                <w:sz w:val="18"/>
                <w:szCs w:val="18"/>
              </w:rPr>
              <w:t>36 months</w:t>
            </w:r>
          </w:p>
        </w:tc>
      </w:tr>
      <w:tr w:rsidR="00694251" w14:paraId="6B5BF4E9" w14:textId="77777777">
        <w:trPr>
          <w:jc w:val="center"/>
        </w:trPr>
        <w:tc>
          <w:tcPr>
            <w:tcW w:w="5250" w:type="dxa"/>
          </w:tcPr>
          <w:p w14:paraId="34200671"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14:paraId="4BA3F0DC" w14:textId="0708BAF4" w:rsidR="00847423" w:rsidRDefault="00E25F4B">
            <w:pPr>
              <w:spacing w:before="40" w:after="40"/>
            </w:pPr>
            <w:r>
              <w:rPr>
                <w:rFonts w:ascii="Arial" w:hAnsi="Arial" w:cs="Arial"/>
                <w:sz w:val="18"/>
                <w:szCs w:val="18"/>
              </w:rPr>
              <w:t>Individual</w:t>
            </w:r>
            <w:r w:rsidR="00694251">
              <w:rPr>
                <w:rFonts w:ascii="Arial" w:hAnsi="Arial" w:cs="Arial"/>
                <w:sz w:val="18"/>
                <w:szCs w:val="18"/>
              </w:rPr>
              <w:t xml:space="preserve"> consultants and consulting firms</w:t>
            </w:r>
          </w:p>
        </w:tc>
      </w:tr>
      <w:tr w:rsidR="00694251" w14:paraId="3B4FACB1" w14:textId="77777777">
        <w:trPr>
          <w:jc w:val="center"/>
        </w:trPr>
        <w:tc>
          <w:tcPr>
            <w:tcW w:w="5250" w:type="dxa"/>
          </w:tcPr>
          <w:p w14:paraId="41CF6DA7"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14:paraId="4DAE85CB" w14:textId="56D53ACA" w:rsidR="00847423" w:rsidRDefault="00E25F4B">
            <w:pPr>
              <w:spacing w:before="40" w:after="40"/>
            </w:pPr>
            <w:r>
              <w:rPr>
                <w:rFonts w:ascii="Arial" w:hAnsi="Arial" w:cs="Arial"/>
                <w:sz w:val="18"/>
                <w:szCs w:val="18"/>
              </w:rPr>
              <w:t>Labor Markets</w:t>
            </w:r>
            <w:r w:rsidR="00694251">
              <w:rPr>
                <w:rFonts w:ascii="Arial" w:hAnsi="Arial" w:cs="Arial"/>
                <w:sz w:val="18"/>
                <w:szCs w:val="18"/>
              </w:rPr>
              <w:t xml:space="preserve"> Division (SCL/LMK)</w:t>
            </w:r>
          </w:p>
        </w:tc>
      </w:tr>
      <w:tr w:rsidR="00694251" w14:paraId="1EF2C859" w14:textId="77777777">
        <w:trPr>
          <w:jc w:val="center"/>
        </w:trPr>
        <w:tc>
          <w:tcPr>
            <w:tcW w:w="5250" w:type="dxa"/>
          </w:tcPr>
          <w:p w14:paraId="7AA0C402"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Unit of </w:t>
            </w:r>
            <w:r>
              <w:rPr>
                <w:rFonts w:ascii="Arial" w:hAnsi="Arial" w:cs="Arial"/>
                <w:sz w:val="18"/>
                <w:szCs w:val="18"/>
              </w:rPr>
              <w:t>Disbursement Responsibility:</w:t>
            </w:r>
          </w:p>
        </w:tc>
        <w:tc>
          <w:tcPr>
            <w:tcW w:w="6750" w:type="dxa"/>
          </w:tcPr>
          <w:p w14:paraId="048C8C66" w14:textId="7BEC419A" w:rsidR="00847423" w:rsidRDefault="00E25F4B">
            <w:pPr>
              <w:spacing w:before="40" w:after="40"/>
            </w:pPr>
            <w:r>
              <w:rPr>
                <w:rFonts w:ascii="Arial" w:hAnsi="Arial" w:cs="Arial"/>
                <w:sz w:val="18"/>
                <w:szCs w:val="18"/>
              </w:rPr>
              <w:t>Country Office Mexico</w:t>
            </w:r>
            <w:r w:rsidR="00694251">
              <w:rPr>
                <w:rFonts w:ascii="Arial" w:hAnsi="Arial" w:cs="Arial"/>
                <w:sz w:val="18"/>
                <w:szCs w:val="18"/>
              </w:rPr>
              <w:t xml:space="preserve"> (CID/CME)</w:t>
            </w:r>
          </w:p>
        </w:tc>
      </w:tr>
      <w:tr w:rsidR="00694251" w14:paraId="39CA0A76" w14:textId="77777777">
        <w:trPr>
          <w:jc w:val="center"/>
        </w:trPr>
        <w:tc>
          <w:tcPr>
            <w:tcW w:w="5250" w:type="dxa"/>
          </w:tcPr>
          <w:p w14:paraId="62FCC703" w14:textId="77777777" w:rsidR="00847423" w:rsidRDefault="00E25F4B">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6750" w:type="dxa"/>
          </w:tcPr>
          <w:p w14:paraId="166B9F46" w14:textId="419513F3" w:rsidR="00847423" w:rsidRDefault="00E25F4B">
            <w:pPr>
              <w:spacing w:before="40" w:after="40"/>
            </w:pPr>
            <w:r>
              <w:rPr>
                <w:rFonts w:ascii="Arial" w:hAnsi="Arial" w:cs="Arial"/>
                <w:sz w:val="18"/>
                <w:szCs w:val="18"/>
              </w:rPr>
              <w:t>Yes</w:t>
            </w:r>
            <w:r w:rsidR="00694251">
              <w:rPr>
                <w:rFonts w:ascii="Arial" w:hAnsi="Arial" w:cs="Arial"/>
                <w:sz w:val="18"/>
                <w:szCs w:val="18"/>
              </w:rPr>
              <w:t>.</w:t>
            </w:r>
            <w:r>
              <w:rPr>
                <w:rFonts w:ascii="Arial" w:hAnsi="Arial" w:cs="Arial"/>
                <w:sz w:val="18"/>
                <w:szCs w:val="18"/>
              </w:rPr>
              <w:br/>
              <w:t>Yes</w:t>
            </w:r>
            <w:r w:rsidR="00694251">
              <w:rPr>
                <w:rFonts w:ascii="Arial" w:hAnsi="Arial" w:cs="Arial"/>
                <w:sz w:val="18"/>
                <w:szCs w:val="18"/>
              </w:rPr>
              <w:t>.</w:t>
            </w:r>
          </w:p>
        </w:tc>
      </w:tr>
      <w:tr w:rsidR="00694251" w14:paraId="069E8C2B" w14:textId="77777777">
        <w:trPr>
          <w:jc w:val="center"/>
        </w:trPr>
        <w:tc>
          <w:tcPr>
            <w:tcW w:w="5250" w:type="dxa"/>
          </w:tcPr>
          <w:p w14:paraId="17001607" w14:textId="77777777" w:rsidR="00847423" w:rsidRDefault="00E25F4B">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6750" w:type="dxa"/>
          </w:tcPr>
          <w:p w14:paraId="7959D71E" w14:textId="05D732F0" w:rsidR="00847423" w:rsidRDefault="00E25F4B">
            <w:pPr>
              <w:spacing w:before="40" w:after="40"/>
            </w:pPr>
            <w:r>
              <w:rPr>
                <w:rFonts w:ascii="Arial" w:hAnsi="Arial" w:cs="Arial"/>
                <w:sz w:val="18"/>
                <w:szCs w:val="18"/>
              </w:rPr>
              <w:t>Social inclusion and equality</w:t>
            </w:r>
            <w:r>
              <w:rPr>
                <w:rFonts w:ascii="Arial" w:hAnsi="Arial" w:cs="Arial"/>
                <w:sz w:val="18"/>
                <w:szCs w:val="18"/>
              </w:rPr>
              <w:t xml:space="preserve">; Productivity and </w:t>
            </w:r>
            <w:r>
              <w:rPr>
                <w:rFonts w:ascii="Arial" w:hAnsi="Arial" w:cs="Arial"/>
                <w:sz w:val="18"/>
                <w:szCs w:val="18"/>
              </w:rPr>
              <w:t>innovation</w:t>
            </w:r>
            <w:r>
              <w:rPr>
                <w:rFonts w:ascii="Arial" w:hAnsi="Arial" w:cs="Arial"/>
                <w:sz w:val="18"/>
                <w:szCs w:val="18"/>
              </w:rPr>
              <w:t>; Institutional capacity and rule of law</w:t>
            </w:r>
          </w:p>
        </w:tc>
      </w:tr>
    </w:tbl>
    <w:p w14:paraId="0B740140" w14:textId="77777777" w:rsidR="00847423" w:rsidRDefault="00E25F4B" w:rsidP="00694251">
      <w:pPr>
        <w:spacing w:before="240" w:after="120"/>
        <w:ind w:left="579" w:hanging="579"/>
      </w:pPr>
      <w:r>
        <w:rPr>
          <w:rFonts w:ascii="Arial" w:hAnsi="Arial" w:cs="Arial"/>
          <w:b/>
        </w:rPr>
        <w:t>II.</w:t>
      </w:r>
      <w:r>
        <w:rPr>
          <w:rFonts w:ascii="Arial" w:hAnsi="Arial" w:cs="Arial"/>
          <w:b/>
        </w:rPr>
        <w:tab/>
        <w:t>Objective and Justification</w:t>
      </w:r>
    </w:p>
    <w:p w14:paraId="7C60AD7E" w14:textId="107B79FF" w:rsidR="00847423" w:rsidRDefault="00E25F4B">
      <w:pPr>
        <w:spacing w:before="120" w:after="120"/>
        <w:ind w:left="579" w:hanging="579"/>
        <w:jc w:val="both"/>
      </w:pPr>
      <w:r>
        <w:rPr>
          <w:rFonts w:ascii="Arial" w:hAnsi="Arial" w:cs="Arial"/>
        </w:rPr>
        <w:t>2.1</w:t>
      </w:r>
      <w:r>
        <w:rPr>
          <w:rFonts w:ascii="Arial" w:hAnsi="Arial" w:cs="Arial"/>
        </w:rPr>
        <w:tab/>
        <w:t xml:space="preserve">This </w:t>
      </w:r>
      <w:r w:rsidR="00694251">
        <w:rPr>
          <w:rFonts w:ascii="Arial" w:hAnsi="Arial" w:cs="Arial"/>
        </w:rPr>
        <w:t>technical cooperation (</w:t>
      </w:r>
      <w:r>
        <w:rPr>
          <w:rFonts w:ascii="Arial" w:hAnsi="Arial" w:cs="Arial"/>
        </w:rPr>
        <w:t>TC</w:t>
      </w:r>
      <w:r w:rsidR="00694251">
        <w:rPr>
          <w:rFonts w:ascii="Arial" w:hAnsi="Arial" w:cs="Arial"/>
        </w:rPr>
        <w:t>)</w:t>
      </w:r>
      <w:r>
        <w:rPr>
          <w:rFonts w:ascii="Arial" w:hAnsi="Arial" w:cs="Arial"/>
        </w:rPr>
        <w:t xml:space="preserve"> will provide technical support to the loan "Program to promote better working conditions in Mexico". Additionally, the TC will provide key inputs for the </w:t>
      </w:r>
      <w:r>
        <w:rPr>
          <w:rFonts w:ascii="Arial" w:hAnsi="Arial" w:cs="Arial"/>
        </w:rPr>
        <w:t>government for the implementation of an important labor reform.</w:t>
      </w:r>
    </w:p>
    <w:p w14:paraId="23ECB249" w14:textId="6EA6C9C5" w:rsidR="00847423" w:rsidRDefault="00E25F4B">
      <w:pPr>
        <w:spacing w:before="120" w:after="120"/>
        <w:ind w:left="579" w:hanging="579"/>
        <w:jc w:val="both"/>
      </w:pPr>
      <w:r>
        <w:rPr>
          <w:rFonts w:ascii="Arial" w:hAnsi="Arial" w:cs="Arial"/>
        </w:rPr>
        <w:t>2.2</w:t>
      </w:r>
      <w:r>
        <w:rPr>
          <w:rFonts w:ascii="Arial" w:hAnsi="Arial" w:cs="Arial"/>
        </w:rPr>
        <w:tab/>
        <w:t xml:space="preserve">This </w:t>
      </w:r>
      <w:r>
        <w:rPr>
          <w:rFonts w:ascii="Arial" w:hAnsi="Arial" w:cs="Arial"/>
        </w:rPr>
        <w:t>T</w:t>
      </w:r>
      <w:r w:rsidR="00694251">
        <w:rPr>
          <w:rFonts w:ascii="Arial" w:hAnsi="Arial" w:cs="Arial"/>
        </w:rPr>
        <w:t>C</w:t>
      </w:r>
      <w:r>
        <w:rPr>
          <w:rFonts w:ascii="Arial" w:hAnsi="Arial" w:cs="Arial"/>
        </w:rPr>
        <w:t xml:space="preserve"> is needed to support the implementation of the new labor justice system.</w:t>
      </w:r>
    </w:p>
    <w:p w14:paraId="4A806992" w14:textId="77777777" w:rsidR="00847423" w:rsidRDefault="00E25F4B">
      <w:pPr>
        <w:spacing w:before="120" w:after="120"/>
        <w:ind w:left="579" w:hanging="579"/>
      </w:pPr>
      <w:r>
        <w:rPr>
          <w:rFonts w:ascii="Arial" w:hAnsi="Arial" w:cs="Arial"/>
          <w:b/>
        </w:rPr>
        <w:t>III.</w:t>
      </w:r>
      <w:r>
        <w:rPr>
          <w:rFonts w:ascii="Arial" w:hAnsi="Arial" w:cs="Arial"/>
          <w:b/>
        </w:rPr>
        <w:tab/>
        <w:t>Description of Activities and Outputs</w:t>
      </w:r>
    </w:p>
    <w:p w14:paraId="3B5ED1B8" w14:textId="77777777" w:rsidR="00847423" w:rsidRDefault="00E25F4B">
      <w:pPr>
        <w:spacing w:before="120" w:after="120"/>
        <w:ind w:left="579" w:hanging="579"/>
        <w:jc w:val="both"/>
      </w:pPr>
      <w:r>
        <w:rPr>
          <w:rFonts w:ascii="Arial" w:hAnsi="Arial" w:cs="Arial"/>
        </w:rPr>
        <w:t>3.1</w:t>
      </w:r>
      <w:r>
        <w:rPr>
          <w:rFonts w:ascii="Arial" w:hAnsi="Arial" w:cs="Arial"/>
        </w:rPr>
        <w:tab/>
        <w:t>See components.</w:t>
      </w:r>
    </w:p>
    <w:p w14:paraId="3FA044DA" w14:textId="75D01866" w:rsidR="00847423" w:rsidRDefault="00E25F4B">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 Component 1: Design of the </w:t>
      </w:r>
      <w:r>
        <w:rPr>
          <w:rFonts w:ascii="Arial" w:hAnsi="Arial" w:cs="Arial"/>
          <w:b/>
        </w:rPr>
        <w:t xml:space="preserve">new centers for labor mediation (US$100,000). </w:t>
      </w:r>
      <w:r>
        <w:rPr>
          <w:rFonts w:ascii="Arial" w:hAnsi="Arial" w:cs="Arial"/>
        </w:rPr>
        <w:t>This component supports the identification of key problems in the pre</w:t>
      </w:r>
      <w:r w:rsidR="00694251">
        <w:rPr>
          <w:rFonts w:ascii="Arial" w:hAnsi="Arial" w:cs="Arial"/>
        </w:rPr>
        <w:noBreakHyphen/>
      </w:r>
      <w:r>
        <w:rPr>
          <w:rFonts w:ascii="Arial" w:hAnsi="Arial" w:cs="Arial"/>
        </w:rPr>
        <w:t>reform conciliation process and provides a plan for the creation of the new conciliation centers. Activities: (i) construction of a statisti</w:t>
      </w:r>
      <w:r>
        <w:rPr>
          <w:rFonts w:ascii="Arial" w:hAnsi="Arial" w:cs="Arial"/>
        </w:rPr>
        <w:t>cal database with conciliation attempts prior to the reform; (ii) diagnostic documenting key bottlenecks in the pre</w:t>
      </w:r>
      <w:r w:rsidR="00694251">
        <w:rPr>
          <w:rFonts w:ascii="Arial" w:hAnsi="Arial" w:cs="Arial"/>
        </w:rPr>
        <w:noBreakHyphen/>
      </w:r>
      <w:r>
        <w:rPr>
          <w:rFonts w:ascii="Arial" w:hAnsi="Arial" w:cs="Arial"/>
        </w:rPr>
        <w:t>reform conciliation attempts;</w:t>
      </w:r>
      <w:r w:rsidR="00694251">
        <w:rPr>
          <w:rFonts w:ascii="Arial" w:hAnsi="Arial" w:cs="Arial"/>
        </w:rPr>
        <w:t xml:space="preserve"> and</w:t>
      </w:r>
      <w:r>
        <w:rPr>
          <w:rFonts w:ascii="Arial" w:hAnsi="Arial" w:cs="Arial"/>
        </w:rPr>
        <w:t xml:space="preserve"> (iii) detailed timeline including key tasks for the creation of the new conciliation center, including budget </w:t>
      </w:r>
      <w:r>
        <w:rPr>
          <w:rFonts w:ascii="Arial" w:hAnsi="Arial" w:cs="Arial"/>
        </w:rPr>
        <w:t>and dates of completion.</w:t>
      </w:r>
    </w:p>
    <w:p w14:paraId="027E4434" w14:textId="77777777" w:rsidR="00847423" w:rsidRDefault="00E25F4B">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II: Component 2: Design of the technological platform (US$100,000). </w:t>
      </w:r>
      <w:r>
        <w:rPr>
          <w:rFonts w:ascii="Arial" w:hAnsi="Arial" w:cs="Arial"/>
        </w:rPr>
        <w:t>This component will identify the needs of the technological platform that will be used by the Ministry of Labor. Activities will be: (i) identificati</w:t>
      </w:r>
      <w:r>
        <w:rPr>
          <w:rFonts w:ascii="Arial" w:hAnsi="Arial" w:cs="Arial"/>
        </w:rPr>
        <w:t xml:space="preserve">on of the specific needs of the </w:t>
      </w:r>
      <w:r>
        <w:rPr>
          <w:rFonts w:ascii="Arial" w:hAnsi="Arial" w:cs="Arial"/>
        </w:rPr>
        <w:lastRenderedPageBreak/>
        <w:t>technological platform; (ii) identification of potential firms that could provide those services; and (iii) estimation of the costs associated with those services over the next four years.</w:t>
      </w:r>
    </w:p>
    <w:p w14:paraId="410B2CAC" w14:textId="77777777" w:rsidR="00847423" w:rsidRDefault="00E25F4B" w:rsidP="00694251">
      <w:pPr>
        <w:spacing w:before="240" w:after="120"/>
        <w:ind w:left="579" w:hanging="579"/>
      </w:pPr>
      <w:r>
        <w:rPr>
          <w:rFonts w:ascii="Arial" w:hAnsi="Arial" w:cs="Arial"/>
          <w:b/>
        </w:rPr>
        <w:t>IV.</w:t>
      </w:r>
      <w:r>
        <w:rPr>
          <w:rFonts w:ascii="Arial" w:hAnsi="Arial" w:cs="Arial"/>
          <w:b/>
        </w:rPr>
        <w:tab/>
        <w:t>Budget</w:t>
      </w:r>
    </w:p>
    <w:p w14:paraId="64BD9BA6" w14:textId="6E6B89B0" w:rsidR="00847423" w:rsidRDefault="00E25F4B">
      <w:pPr>
        <w:spacing w:before="240" w:after="120"/>
        <w:jc w:val="center"/>
      </w:pPr>
      <w:r>
        <w:rPr>
          <w:rFonts w:ascii="Arial" w:hAnsi="Arial" w:cs="Arial"/>
          <w:b/>
          <w:sz w:val="18"/>
          <w:szCs w:val="18"/>
        </w:rPr>
        <w:t>Indicative Budget</w:t>
      </w:r>
      <w:r w:rsidR="00694251">
        <w:rPr>
          <w:rFonts w:ascii="Arial" w:hAnsi="Arial" w:cs="Arial"/>
          <w:b/>
          <w:sz w:val="18"/>
          <w:szCs w:val="18"/>
        </w:rPr>
        <w:t xml:space="preserve"> (US$)</w:t>
      </w:r>
    </w:p>
    <w:tbl>
      <w:tblPr>
        <w:tblStyle w:val="TableGrid"/>
        <w:tblW w:w="0" w:type="auto"/>
        <w:tblInd w:w="558" w:type="dxa"/>
        <w:tblLook w:val="04A0" w:firstRow="1" w:lastRow="0" w:firstColumn="1" w:lastColumn="0" w:noHBand="0" w:noVBand="1"/>
      </w:tblPr>
      <w:tblGrid>
        <w:gridCol w:w="3967"/>
        <w:gridCol w:w="1638"/>
        <w:gridCol w:w="1334"/>
        <w:gridCol w:w="1519"/>
      </w:tblGrid>
      <w:tr w:rsidR="00847423" w14:paraId="1A668DF9" w14:textId="77777777" w:rsidTr="00694251">
        <w:tc>
          <w:tcPr>
            <w:tcW w:w="4068" w:type="dxa"/>
            <w:shd w:val="clear" w:color="auto" w:fill="D9E2F3" w:themeFill="accent1" w:themeFillTint="33"/>
            <w:vAlign w:val="center"/>
          </w:tcPr>
          <w:p w14:paraId="590925FD" w14:textId="77777777" w:rsidR="00847423" w:rsidRDefault="00E25F4B">
            <w:pPr>
              <w:spacing w:before="40" w:after="40"/>
              <w:jc w:val="center"/>
            </w:pPr>
            <w:r>
              <w:rPr>
                <w:rFonts w:ascii="Arial" w:hAnsi="Arial" w:cs="Arial"/>
                <w:b/>
                <w:sz w:val="18"/>
                <w:szCs w:val="18"/>
              </w:rPr>
              <w:t>Activi</w:t>
            </w:r>
            <w:r>
              <w:rPr>
                <w:rFonts w:ascii="Arial" w:hAnsi="Arial" w:cs="Arial"/>
                <w:b/>
                <w:sz w:val="18"/>
                <w:szCs w:val="18"/>
              </w:rPr>
              <w:t>ty/Component</w:t>
            </w:r>
          </w:p>
        </w:tc>
        <w:tc>
          <w:tcPr>
            <w:tcW w:w="1668" w:type="dxa"/>
            <w:shd w:val="clear" w:color="auto" w:fill="D9E2F3" w:themeFill="accent1" w:themeFillTint="33"/>
          </w:tcPr>
          <w:p w14:paraId="4F035052" w14:textId="77777777" w:rsidR="00847423" w:rsidRDefault="00E25F4B">
            <w:pPr>
              <w:spacing w:before="40" w:after="40"/>
              <w:jc w:val="center"/>
            </w:pPr>
            <w:r>
              <w:rPr>
                <w:rFonts w:ascii="Arial" w:hAnsi="Arial" w:cs="Arial"/>
                <w:b/>
                <w:sz w:val="18"/>
                <w:szCs w:val="18"/>
              </w:rPr>
              <w:t>IDB/Fund Funding</w:t>
            </w:r>
          </w:p>
        </w:tc>
        <w:tc>
          <w:tcPr>
            <w:tcW w:w="1338" w:type="dxa"/>
            <w:shd w:val="clear" w:color="auto" w:fill="D9E2F3" w:themeFill="accent1" w:themeFillTint="33"/>
          </w:tcPr>
          <w:p w14:paraId="4D2D4BD4" w14:textId="77777777" w:rsidR="00847423" w:rsidRDefault="00E25F4B">
            <w:pPr>
              <w:spacing w:before="40" w:after="40"/>
              <w:jc w:val="center"/>
            </w:pPr>
            <w:r>
              <w:rPr>
                <w:rFonts w:ascii="Arial" w:hAnsi="Arial" w:cs="Arial"/>
                <w:b/>
                <w:sz w:val="18"/>
                <w:szCs w:val="18"/>
              </w:rPr>
              <w:t>Counterpart Funding</w:t>
            </w:r>
          </w:p>
        </w:tc>
        <w:tc>
          <w:tcPr>
            <w:tcW w:w="1548" w:type="dxa"/>
            <w:shd w:val="clear" w:color="auto" w:fill="D9E2F3" w:themeFill="accent1" w:themeFillTint="33"/>
          </w:tcPr>
          <w:p w14:paraId="5DC2EF63" w14:textId="77777777" w:rsidR="00847423" w:rsidRDefault="00E25F4B">
            <w:pPr>
              <w:spacing w:before="40" w:after="40"/>
              <w:jc w:val="center"/>
            </w:pPr>
            <w:r>
              <w:rPr>
                <w:rFonts w:ascii="Arial" w:hAnsi="Arial" w:cs="Arial"/>
                <w:b/>
                <w:sz w:val="18"/>
                <w:szCs w:val="18"/>
              </w:rPr>
              <w:t>Total Funding</w:t>
            </w:r>
          </w:p>
        </w:tc>
      </w:tr>
      <w:tr w:rsidR="00847423" w14:paraId="4C681A8E" w14:textId="77777777" w:rsidTr="00694251">
        <w:tc>
          <w:tcPr>
            <w:tcW w:w="4068" w:type="dxa"/>
            <w:vAlign w:val="center"/>
          </w:tcPr>
          <w:p w14:paraId="6B61373C" w14:textId="77777777" w:rsidR="00847423" w:rsidRDefault="00E25F4B">
            <w:pPr>
              <w:spacing w:before="40" w:after="40"/>
            </w:pPr>
            <w:r>
              <w:rPr>
                <w:rFonts w:ascii="Arial" w:hAnsi="Arial" w:cs="Arial"/>
                <w:sz w:val="18"/>
                <w:szCs w:val="18"/>
              </w:rPr>
              <w:t>Component 1: Design of the new centers for labor mediation (US$100,000)</w:t>
            </w:r>
          </w:p>
        </w:tc>
        <w:tc>
          <w:tcPr>
            <w:tcW w:w="1668" w:type="dxa"/>
            <w:vAlign w:val="center"/>
          </w:tcPr>
          <w:p w14:paraId="0B90F854" w14:textId="7665CA45" w:rsidR="00847423" w:rsidRDefault="00E25F4B">
            <w:pPr>
              <w:spacing w:before="40" w:after="40"/>
              <w:jc w:val="right"/>
            </w:pPr>
            <w:r>
              <w:rPr>
                <w:rFonts w:ascii="Arial" w:hAnsi="Arial" w:cs="Arial"/>
                <w:sz w:val="18"/>
                <w:szCs w:val="18"/>
              </w:rPr>
              <w:t>100,000</w:t>
            </w:r>
          </w:p>
        </w:tc>
        <w:tc>
          <w:tcPr>
            <w:tcW w:w="1338" w:type="dxa"/>
            <w:vAlign w:val="center"/>
          </w:tcPr>
          <w:p w14:paraId="539367FC" w14:textId="3A0DB200" w:rsidR="00847423" w:rsidRDefault="00E25F4B">
            <w:pPr>
              <w:spacing w:before="40" w:after="40"/>
              <w:jc w:val="right"/>
            </w:pPr>
            <w:r>
              <w:rPr>
                <w:rFonts w:ascii="Arial" w:hAnsi="Arial" w:cs="Arial"/>
                <w:sz w:val="18"/>
                <w:szCs w:val="18"/>
              </w:rPr>
              <w:t>0</w:t>
            </w:r>
          </w:p>
        </w:tc>
        <w:tc>
          <w:tcPr>
            <w:tcW w:w="1548" w:type="dxa"/>
            <w:vAlign w:val="center"/>
          </w:tcPr>
          <w:p w14:paraId="59091499" w14:textId="3A728A6F" w:rsidR="00847423" w:rsidRDefault="00E25F4B">
            <w:pPr>
              <w:spacing w:before="40" w:after="40"/>
              <w:jc w:val="right"/>
            </w:pPr>
            <w:r>
              <w:rPr>
                <w:rFonts w:ascii="Arial" w:hAnsi="Arial" w:cs="Arial"/>
                <w:sz w:val="18"/>
                <w:szCs w:val="18"/>
              </w:rPr>
              <w:t>100,000</w:t>
            </w:r>
          </w:p>
        </w:tc>
      </w:tr>
      <w:tr w:rsidR="00847423" w14:paraId="522AA317" w14:textId="77777777" w:rsidTr="00694251">
        <w:tc>
          <w:tcPr>
            <w:tcW w:w="4068" w:type="dxa"/>
            <w:vAlign w:val="center"/>
          </w:tcPr>
          <w:p w14:paraId="50CFA5C8" w14:textId="77777777" w:rsidR="00847423" w:rsidRDefault="00E25F4B">
            <w:pPr>
              <w:spacing w:before="40" w:after="40"/>
            </w:pPr>
            <w:r>
              <w:rPr>
                <w:rFonts w:ascii="Arial" w:hAnsi="Arial" w:cs="Arial"/>
                <w:sz w:val="18"/>
                <w:szCs w:val="18"/>
              </w:rPr>
              <w:t>Component 2: Design of the technological platform (US$100,000)</w:t>
            </w:r>
          </w:p>
        </w:tc>
        <w:tc>
          <w:tcPr>
            <w:tcW w:w="1668" w:type="dxa"/>
            <w:vAlign w:val="center"/>
          </w:tcPr>
          <w:p w14:paraId="4917CE96" w14:textId="57359565" w:rsidR="00847423" w:rsidRDefault="00E25F4B">
            <w:pPr>
              <w:spacing w:before="40" w:after="40"/>
              <w:jc w:val="right"/>
            </w:pPr>
            <w:r>
              <w:rPr>
                <w:rFonts w:ascii="Arial" w:hAnsi="Arial" w:cs="Arial"/>
                <w:sz w:val="18"/>
                <w:szCs w:val="18"/>
              </w:rPr>
              <w:t>100,000</w:t>
            </w:r>
          </w:p>
        </w:tc>
        <w:tc>
          <w:tcPr>
            <w:tcW w:w="1338" w:type="dxa"/>
            <w:vAlign w:val="center"/>
          </w:tcPr>
          <w:p w14:paraId="315D1DAB" w14:textId="3DB13210" w:rsidR="00847423" w:rsidRDefault="00E25F4B">
            <w:pPr>
              <w:spacing w:before="40" w:after="40"/>
              <w:jc w:val="right"/>
            </w:pPr>
            <w:r>
              <w:rPr>
                <w:rFonts w:ascii="Arial" w:hAnsi="Arial" w:cs="Arial"/>
                <w:sz w:val="18"/>
                <w:szCs w:val="18"/>
              </w:rPr>
              <w:t>0</w:t>
            </w:r>
          </w:p>
        </w:tc>
        <w:tc>
          <w:tcPr>
            <w:tcW w:w="1548" w:type="dxa"/>
            <w:vAlign w:val="center"/>
          </w:tcPr>
          <w:p w14:paraId="5C480668" w14:textId="51DA58A4" w:rsidR="00847423" w:rsidRDefault="00E25F4B">
            <w:pPr>
              <w:spacing w:before="40" w:after="40"/>
              <w:jc w:val="right"/>
            </w:pPr>
            <w:r>
              <w:rPr>
                <w:rFonts w:ascii="Arial" w:hAnsi="Arial" w:cs="Arial"/>
                <w:sz w:val="18"/>
                <w:szCs w:val="18"/>
              </w:rPr>
              <w:t>100,000</w:t>
            </w:r>
          </w:p>
        </w:tc>
      </w:tr>
      <w:tr w:rsidR="00694251" w14:paraId="374158C1" w14:textId="77777777" w:rsidTr="00694251">
        <w:tc>
          <w:tcPr>
            <w:tcW w:w="4068" w:type="dxa"/>
            <w:vAlign w:val="center"/>
          </w:tcPr>
          <w:p w14:paraId="76A7BFFD" w14:textId="3DC66211" w:rsidR="00694251" w:rsidRPr="00694251" w:rsidRDefault="00694251">
            <w:pPr>
              <w:spacing w:before="40" w:after="40"/>
              <w:rPr>
                <w:rFonts w:ascii="Arial" w:hAnsi="Arial" w:cs="Arial"/>
                <w:b/>
                <w:sz w:val="18"/>
                <w:szCs w:val="18"/>
              </w:rPr>
            </w:pPr>
            <w:r w:rsidRPr="00694251">
              <w:rPr>
                <w:rFonts w:ascii="Arial" w:hAnsi="Arial" w:cs="Arial"/>
                <w:b/>
                <w:sz w:val="18"/>
                <w:szCs w:val="18"/>
              </w:rPr>
              <w:t>Total</w:t>
            </w:r>
          </w:p>
        </w:tc>
        <w:tc>
          <w:tcPr>
            <w:tcW w:w="1668" w:type="dxa"/>
            <w:vAlign w:val="center"/>
          </w:tcPr>
          <w:p w14:paraId="1C7D44DF" w14:textId="7B0F0B8F" w:rsidR="00694251" w:rsidRPr="00694251" w:rsidRDefault="00694251">
            <w:pPr>
              <w:spacing w:before="40" w:after="40"/>
              <w:jc w:val="right"/>
              <w:rPr>
                <w:rFonts w:ascii="Arial" w:hAnsi="Arial" w:cs="Arial"/>
                <w:b/>
                <w:sz w:val="18"/>
                <w:szCs w:val="18"/>
              </w:rPr>
            </w:pPr>
            <w:r w:rsidRPr="00694251">
              <w:rPr>
                <w:rFonts w:ascii="Arial" w:hAnsi="Arial" w:cs="Arial"/>
                <w:b/>
                <w:sz w:val="18"/>
                <w:szCs w:val="18"/>
              </w:rPr>
              <w:t>200,000</w:t>
            </w:r>
          </w:p>
        </w:tc>
        <w:tc>
          <w:tcPr>
            <w:tcW w:w="1338" w:type="dxa"/>
            <w:vAlign w:val="center"/>
          </w:tcPr>
          <w:p w14:paraId="0CC7F183" w14:textId="0B3B5A6C" w:rsidR="00694251" w:rsidRPr="00694251" w:rsidRDefault="00694251">
            <w:pPr>
              <w:spacing w:before="40" w:after="40"/>
              <w:jc w:val="right"/>
              <w:rPr>
                <w:rFonts w:ascii="Arial" w:hAnsi="Arial" w:cs="Arial"/>
                <w:b/>
                <w:sz w:val="18"/>
                <w:szCs w:val="18"/>
              </w:rPr>
            </w:pPr>
            <w:r w:rsidRPr="00694251">
              <w:rPr>
                <w:rFonts w:ascii="Arial" w:hAnsi="Arial" w:cs="Arial"/>
                <w:b/>
                <w:sz w:val="18"/>
                <w:szCs w:val="18"/>
              </w:rPr>
              <w:t>0</w:t>
            </w:r>
          </w:p>
        </w:tc>
        <w:tc>
          <w:tcPr>
            <w:tcW w:w="1548" w:type="dxa"/>
            <w:vAlign w:val="center"/>
          </w:tcPr>
          <w:p w14:paraId="6D88E18A" w14:textId="7951DFC3" w:rsidR="00694251" w:rsidRPr="00694251" w:rsidRDefault="00694251">
            <w:pPr>
              <w:spacing w:before="40" w:after="40"/>
              <w:jc w:val="right"/>
              <w:rPr>
                <w:rFonts w:ascii="Arial" w:hAnsi="Arial" w:cs="Arial"/>
                <w:b/>
                <w:sz w:val="18"/>
                <w:szCs w:val="18"/>
              </w:rPr>
            </w:pPr>
            <w:r w:rsidRPr="00694251">
              <w:rPr>
                <w:rFonts w:ascii="Arial" w:hAnsi="Arial" w:cs="Arial"/>
                <w:b/>
                <w:sz w:val="18"/>
                <w:szCs w:val="18"/>
              </w:rPr>
              <w:t>200,000</w:t>
            </w:r>
          </w:p>
        </w:tc>
      </w:tr>
    </w:tbl>
    <w:p w14:paraId="48BF84FE" w14:textId="77777777" w:rsidR="00847423" w:rsidRDefault="00E25F4B" w:rsidP="00694251">
      <w:pPr>
        <w:spacing w:before="240" w:after="120"/>
        <w:ind w:left="579" w:hanging="579"/>
      </w:pPr>
      <w:r>
        <w:rPr>
          <w:rFonts w:ascii="Arial" w:hAnsi="Arial" w:cs="Arial"/>
          <w:b/>
        </w:rPr>
        <w:t>V.</w:t>
      </w:r>
      <w:r>
        <w:rPr>
          <w:rFonts w:ascii="Arial" w:hAnsi="Arial" w:cs="Arial"/>
          <w:b/>
        </w:rPr>
        <w:tab/>
        <w:t>Executing Agency and Execution Structure</w:t>
      </w:r>
    </w:p>
    <w:p w14:paraId="765DE3BB" w14:textId="1F06B915" w:rsidR="00847423" w:rsidRDefault="00E25F4B">
      <w:pPr>
        <w:spacing w:before="200" w:after="200"/>
        <w:ind w:left="579" w:hanging="579"/>
        <w:jc w:val="both"/>
      </w:pPr>
      <w:r>
        <w:rPr>
          <w:rFonts w:ascii="Arial" w:hAnsi="Arial" w:cs="Arial"/>
        </w:rPr>
        <w:t>5.1</w:t>
      </w:r>
      <w:r>
        <w:rPr>
          <w:rFonts w:ascii="Arial" w:hAnsi="Arial" w:cs="Arial"/>
        </w:rPr>
        <w:tab/>
        <w:t xml:space="preserve">The Mexican federal government, through the Ministry of Labor (STPS) has solicited that the Bank execute this </w:t>
      </w:r>
      <w:r w:rsidR="00694251">
        <w:rPr>
          <w:rFonts w:ascii="Arial" w:hAnsi="Arial" w:cs="Arial"/>
        </w:rPr>
        <w:t>t</w:t>
      </w:r>
      <w:r>
        <w:rPr>
          <w:rFonts w:ascii="Arial" w:hAnsi="Arial" w:cs="Arial"/>
        </w:rPr>
        <w:t xml:space="preserve">echnical </w:t>
      </w:r>
      <w:r w:rsidR="00694251">
        <w:rPr>
          <w:rFonts w:ascii="Arial" w:hAnsi="Arial" w:cs="Arial"/>
        </w:rPr>
        <w:t>c</w:t>
      </w:r>
      <w:r>
        <w:rPr>
          <w:rFonts w:ascii="Arial" w:hAnsi="Arial" w:cs="Arial"/>
        </w:rPr>
        <w:t>ooperation in its request letter.</w:t>
      </w:r>
    </w:p>
    <w:p w14:paraId="0AF66683" w14:textId="420AFF4D" w:rsidR="00847423" w:rsidRDefault="00E25F4B">
      <w:pPr>
        <w:spacing w:before="200" w:after="200"/>
        <w:ind w:left="579" w:hanging="579"/>
        <w:jc w:val="both"/>
      </w:pPr>
      <w:r>
        <w:rPr>
          <w:rFonts w:ascii="Arial" w:hAnsi="Arial" w:cs="Arial"/>
        </w:rPr>
        <w:t>5.2</w:t>
      </w:r>
      <w:r>
        <w:rPr>
          <w:rFonts w:ascii="Arial" w:hAnsi="Arial" w:cs="Arial"/>
        </w:rPr>
        <w:tab/>
        <w:t>The Labor Markets Division (</w:t>
      </w:r>
      <w:r>
        <w:rPr>
          <w:rFonts w:ascii="Arial" w:hAnsi="Arial" w:cs="Arial"/>
        </w:rPr>
        <w:t>LM</w:t>
      </w:r>
      <w:r>
        <w:rPr>
          <w:rFonts w:ascii="Arial" w:hAnsi="Arial" w:cs="Arial"/>
        </w:rPr>
        <w:t xml:space="preserve">K/CME) has the relevant background, skills, and technical experience to carry out this technical cooperation. Furthermore, the execution of TCs by the Bank is common practice in Mexico due to the national budgeting mechanism, which subtracts the financing </w:t>
      </w:r>
      <w:r>
        <w:rPr>
          <w:rFonts w:ascii="Arial" w:hAnsi="Arial" w:cs="Arial"/>
        </w:rPr>
        <w:t>of the TC from the beneficiary’s budget when the beneficiary executes them.</w:t>
      </w:r>
    </w:p>
    <w:p w14:paraId="29C76085" w14:textId="77777777" w:rsidR="00847423" w:rsidRDefault="00E25F4B">
      <w:pPr>
        <w:spacing w:before="120" w:after="120"/>
        <w:ind w:left="579" w:hanging="579"/>
      </w:pPr>
      <w:r>
        <w:rPr>
          <w:rFonts w:ascii="Arial" w:hAnsi="Arial" w:cs="Arial"/>
          <w:b/>
        </w:rPr>
        <w:t>VI.</w:t>
      </w:r>
      <w:r>
        <w:rPr>
          <w:rFonts w:ascii="Arial" w:hAnsi="Arial" w:cs="Arial"/>
          <w:b/>
        </w:rPr>
        <w:tab/>
        <w:t>Project Risks and Issues</w:t>
      </w:r>
    </w:p>
    <w:p w14:paraId="32E82671" w14:textId="77777777" w:rsidR="00BB1E71" w:rsidRDefault="00E25F4B">
      <w:pPr>
        <w:spacing w:before="200" w:after="200"/>
        <w:ind w:left="579" w:hanging="579"/>
        <w:jc w:val="both"/>
        <w:rPr>
          <w:rFonts w:ascii="Arial" w:hAnsi="Arial" w:cs="Arial"/>
        </w:rPr>
      </w:pPr>
      <w:r>
        <w:rPr>
          <w:rFonts w:ascii="Arial" w:hAnsi="Arial" w:cs="Arial"/>
        </w:rPr>
        <w:t>6.1</w:t>
      </w:r>
      <w:r>
        <w:rPr>
          <w:rFonts w:ascii="Arial" w:hAnsi="Arial" w:cs="Arial"/>
        </w:rPr>
        <w:tab/>
        <w:t>There are a series of structural challenges inherent in drastically modifying a system, such as the previous labor justice mechanism in Mexico, and</w:t>
      </w:r>
      <w:r>
        <w:rPr>
          <w:rFonts w:ascii="Arial" w:hAnsi="Arial" w:cs="Arial"/>
        </w:rPr>
        <w:t xml:space="preserve"> creating a new system with new institutions. Some of the risks identified include:</w:t>
      </w:r>
      <w:r w:rsidR="00694251">
        <w:rPr>
          <w:rFonts w:ascii="Arial" w:hAnsi="Arial" w:cs="Arial"/>
        </w:rPr>
        <w:t xml:space="preserve"> </w:t>
      </w:r>
    </w:p>
    <w:p w14:paraId="78572A28" w14:textId="1E1FAB6E" w:rsidR="00BB1E71" w:rsidRPr="00BB1E71" w:rsidRDefault="00E25F4B" w:rsidP="00BB1E71">
      <w:pPr>
        <w:pStyle w:val="ListParagraph"/>
        <w:numPr>
          <w:ilvl w:val="0"/>
          <w:numId w:val="1"/>
        </w:numPr>
        <w:spacing w:before="200" w:after="200"/>
        <w:jc w:val="both"/>
        <w:rPr>
          <w:rFonts w:ascii="Arial" w:hAnsi="Arial" w:cs="Arial"/>
        </w:rPr>
      </w:pPr>
      <w:r w:rsidRPr="00BB1E71">
        <w:rPr>
          <w:rFonts w:ascii="Arial" w:hAnsi="Arial" w:cs="Arial"/>
        </w:rPr>
        <w:t>Structural risks</w:t>
      </w:r>
      <w:r w:rsidR="00BB1E71">
        <w:rPr>
          <w:rFonts w:ascii="Arial" w:hAnsi="Arial" w:cs="Arial"/>
        </w:rPr>
        <w:t xml:space="preserve"> – s</w:t>
      </w:r>
      <w:r w:rsidRPr="00BB1E71">
        <w:rPr>
          <w:rFonts w:ascii="Arial" w:hAnsi="Arial" w:cs="Arial"/>
        </w:rPr>
        <w:t>imilar risks to those recently seen as part of the implementation of Mexico´s broader judicial reform. This TC will incorporate previous learnings rela</w:t>
      </w:r>
      <w:r w:rsidRPr="00BB1E71">
        <w:rPr>
          <w:rFonts w:ascii="Arial" w:hAnsi="Arial" w:cs="Arial"/>
        </w:rPr>
        <w:t xml:space="preserve">ted to Mexican justice reform implementation in its execution, to attempt to avoid past mistakes and mitigate risks; </w:t>
      </w:r>
    </w:p>
    <w:p w14:paraId="6CB71AC0" w14:textId="43F8DE80" w:rsidR="00BB1E71" w:rsidRPr="00BB1E71" w:rsidRDefault="00E25F4B" w:rsidP="00BB1E71">
      <w:pPr>
        <w:pStyle w:val="ListParagraph"/>
        <w:numPr>
          <w:ilvl w:val="0"/>
          <w:numId w:val="1"/>
        </w:numPr>
        <w:spacing w:before="200" w:after="200"/>
        <w:jc w:val="both"/>
        <w:rPr>
          <w:rFonts w:ascii="Arial" w:hAnsi="Arial" w:cs="Arial"/>
        </w:rPr>
      </w:pPr>
      <w:r w:rsidRPr="00BB1E71">
        <w:rPr>
          <w:rFonts w:ascii="Arial" w:hAnsi="Arial" w:cs="Arial"/>
        </w:rPr>
        <w:t>Technological risks related to streamlined processes and information security. This TC will incorporate best practices from other conte</w:t>
      </w:r>
      <w:r w:rsidRPr="00BB1E71">
        <w:rPr>
          <w:rFonts w:ascii="Arial" w:hAnsi="Arial" w:cs="Arial"/>
        </w:rPr>
        <w:t xml:space="preserve">xts to recommend structural and process design that will mitigate these risks; and </w:t>
      </w:r>
    </w:p>
    <w:p w14:paraId="60CE993E" w14:textId="3FBEAC49" w:rsidR="00847423" w:rsidRDefault="00E25F4B" w:rsidP="00BB1E71">
      <w:pPr>
        <w:pStyle w:val="ListParagraph"/>
        <w:numPr>
          <w:ilvl w:val="0"/>
          <w:numId w:val="1"/>
        </w:numPr>
        <w:spacing w:before="200" w:after="200"/>
        <w:jc w:val="both"/>
      </w:pPr>
      <w:r w:rsidRPr="00BB1E71">
        <w:rPr>
          <w:rFonts w:ascii="Arial" w:hAnsi="Arial" w:cs="Arial"/>
        </w:rPr>
        <w:t>Operational risks</w:t>
      </w:r>
      <w:bookmarkStart w:id="0" w:name="_GoBack"/>
      <w:bookmarkEnd w:id="0"/>
      <w:r w:rsidRPr="00BB1E71">
        <w:rPr>
          <w:rFonts w:ascii="Arial" w:hAnsi="Arial" w:cs="Arial"/>
        </w:rPr>
        <w:t xml:space="preserve"> particularly related to promoting settlements </w:t>
      </w:r>
      <w:r w:rsidRPr="00BB1E71">
        <w:rPr>
          <w:rFonts w:ascii="Arial" w:hAnsi="Arial" w:cs="Arial"/>
        </w:rPr>
        <w:t>to reduce caseloads and improve clearance rates. This TC will consider these ty</w:t>
      </w:r>
      <w:r w:rsidRPr="00BB1E71">
        <w:rPr>
          <w:rFonts w:ascii="Arial" w:hAnsi="Arial" w:cs="Arial"/>
        </w:rPr>
        <w:t>pes of perverse incentives in the design of processes and procedures to mitigate these risks.</w:t>
      </w:r>
    </w:p>
    <w:p w14:paraId="70D9D1F0" w14:textId="77777777" w:rsidR="00847423" w:rsidRDefault="00E25F4B">
      <w:pPr>
        <w:spacing w:before="120" w:after="120"/>
        <w:ind w:left="579" w:hanging="579"/>
      </w:pPr>
      <w:r>
        <w:rPr>
          <w:rFonts w:ascii="Arial" w:hAnsi="Arial" w:cs="Arial"/>
          <w:b/>
        </w:rPr>
        <w:t>V</w:t>
      </w:r>
      <w:r>
        <w:rPr>
          <w:rFonts w:ascii="Arial" w:hAnsi="Arial" w:cs="Arial"/>
          <w:b/>
        </w:rPr>
        <w:t>II.</w:t>
      </w:r>
      <w:r>
        <w:rPr>
          <w:rFonts w:ascii="Arial" w:hAnsi="Arial" w:cs="Arial"/>
          <w:b/>
        </w:rPr>
        <w:tab/>
        <w:t>Environmental and Social Classification</w:t>
      </w:r>
    </w:p>
    <w:p w14:paraId="6F57CC09" w14:textId="66639524" w:rsidR="00847423" w:rsidRDefault="00E25F4B">
      <w:pPr>
        <w:spacing w:before="240" w:after="120"/>
        <w:ind w:left="579" w:hanging="579"/>
        <w:jc w:val="both"/>
      </w:pPr>
      <w:r>
        <w:rPr>
          <w:rFonts w:ascii="Arial" w:hAnsi="Arial" w:cs="Arial"/>
        </w:rPr>
        <w:t>7.1</w:t>
      </w:r>
      <w:r>
        <w:rPr>
          <w:rFonts w:ascii="Arial" w:hAnsi="Arial" w:cs="Arial"/>
        </w:rPr>
        <w:tab/>
        <w:t>The ESG classification for this operation is "</w:t>
      </w:r>
      <w:r w:rsidR="00BB1E71">
        <w:rPr>
          <w:rFonts w:ascii="Arial" w:hAnsi="Arial" w:cs="Arial"/>
        </w:rPr>
        <w:t>C</w:t>
      </w:r>
      <w:r>
        <w:rPr>
          <w:rFonts w:ascii="Arial" w:hAnsi="Arial" w:cs="Arial"/>
        </w:rPr>
        <w:t>".</w:t>
      </w:r>
    </w:p>
    <w:sectPr w:rsidR="00847423" w:rsidSect="00FC3028">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FEB31" w14:textId="77777777" w:rsidR="00E25F4B" w:rsidRDefault="00E25F4B">
      <w:r>
        <w:separator/>
      </w:r>
    </w:p>
  </w:endnote>
  <w:endnote w:type="continuationSeparator" w:id="0">
    <w:p w14:paraId="32D44A93" w14:textId="77777777" w:rsidR="00E25F4B" w:rsidRDefault="00E25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FD2F9" w14:textId="77777777" w:rsidR="009D472B" w:rsidRDefault="00E25F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3DBCF" w14:textId="77777777" w:rsidR="009D472B" w:rsidRDefault="00E25F4B"/>
  <w:p w14:paraId="54D487D0" w14:textId="77777777" w:rsidR="00847423" w:rsidRDefault="00E25F4B">
    <w:pPr>
      <w:jc w:val="center"/>
    </w:pPr>
    <w:r>
      <w:t xml:space="preserve">- </w:t>
    </w:r>
    <w:r>
      <w:fldChar w:fldCharType="begin"/>
    </w:r>
    <w:r>
      <w:instrText xml:space="preserve"> PAGE   \* MERGEFORMAT </w:instrText>
    </w:r>
    <w: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09F1D" w14:textId="77777777" w:rsidR="009D472B" w:rsidRDefault="00E25F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34504" w14:textId="77777777" w:rsidR="00E25F4B" w:rsidRDefault="00E25F4B">
      <w:r>
        <w:separator/>
      </w:r>
    </w:p>
  </w:footnote>
  <w:footnote w:type="continuationSeparator" w:id="0">
    <w:p w14:paraId="50CC39C1" w14:textId="77777777" w:rsidR="00E25F4B" w:rsidRDefault="00E25F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A17C1C"/>
    <w:multiLevelType w:val="hybridMultilevel"/>
    <w:tmpl w:val="0F163100"/>
    <w:lvl w:ilvl="0" w:tplc="04090019">
      <w:start w:val="1"/>
      <w:numFmt w:val="lowerLetter"/>
      <w:lvlText w:val="%1."/>
      <w:lvlJc w:val="left"/>
      <w:pPr>
        <w:ind w:left="939" w:hanging="360"/>
      </w:pPr>
    </w:lvl>
    <w:lvl w:ilvl="1" w:tplc="04090019" w:tentative="1">
      <w:start w:val="1"/>
      <w:numFmt w:val="lowerLetter"/>
      <w:lvlText w:val="%2."/>
      <w:lvlJc w:val="left"/>
      <w:pPr>
        <w:ind w:left="1659" w:hanging="360"/>
      </w:pPr>
    </w:lvl>
    <w:lvl w:ilvl="2" w:tplc="0409001B" w:tentative="1">
      <w:start w:val="1"/>
      <w:numFmt w:val="lowerRoman"/>
      <w:lvlText w:val="%3."/>
      <w:lvlJc w:val="right"/>
      <w:pPr>
        <w:ind w:left="2379" w:hanging="180"/>
      </w:pPr>
    </w:lvl>
    <w:lvl w:ilvl="3" w:tplc="0409000F" w:tentative="1">
      <w:start w:val="1"/>
      <w:numFmt w:val="decimal"/>
      <w:lvlText w:val="%4."/>
      <w:lvlJc w:val="left"/>
      <w:pPr>
        <w:ind w:left="3099" w:hanging="360"/>
      </w:pPr>
    </w:lvl>
    <w:lvl w:ilvl="4" w:tplc="04090019" w:tentative="1">
      <w:start w:val="1"/>
      <w:numFmt w:val="lowerLetter"/>
      <w:lvlText w:val="%5."/>
      <w:lvlJc w:val="left"/>
      <w:pPr>
        <w:ind w:left="3819" w:hanging="360"/>
      </w:pPr>
    </w:lvl>
    <w:lvl w:ilvl="5" w:tplc="0409001B" w:tentative="1">
      <w:start w:val="1"/>
      <w:numFmt w:val="lowerRoman"/>
      <w:lvlText w:val="%6."/>
      <w:lvlJc w:val="right"/>
      <w:pPr>
        <w:ind w:left="4539" w:hanging="180"/>
      </w:pPr>
    </w:lvl>
    <w:lvl w:ilvl="6" w:tplc="0409000F" w:tentative="1">
      <w:start w:val="1"/>
      <w:numFmt w:val="decimal"/>
      <w:lvlText w:val="%7."/>
      <w:lvlJc w:val="left"/>
      <w:pPr>
        <w:ind w:left="5259" w:hanging="360"/>
      </w:pPr>
    </w:lvl>
    <w:lvl w:ilvl="7" w:tplc="04090019" w:tentative="1">
      <w:start w:val="1"/>
      <w:numFmt w:val="lowerLetter"/>
      <w:lvlText w:val="%8."/>
      <w:lvlJc w:val="left"/>
      <w:pPr>
        <w:ind w:left="5979" w:hanging="360"/>
      </w:pPr>
    </w:lvl>
    <w:lvl w:ilvl="8" w:tplc="0409001B" w:tentative="1">
      <w:start w:val="1"/>
      <w:numFmt w:val="lowerRoman"/>
      <w:lvlText w:val="%9."/>
      <w:lvlJc w:val="right"/>
      <w:pPr>
        <w:ind w:left="6699" w:hanging="180"/>
      </w:pPr>
    </w:lvl>
  </w:abstractNum>
  <w:abstractNum w:abstractNumId="1" w15:restartNumberingAfterBreak="0">
    <w:nsid w:val="7CB03899"/>
    <w:multiLevelType w:val="hybridMultilevel"/>
    <w:tmpl w:val="92426D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694251"/>
    <w:rsid w:val="00847423"/>
    <w:rsid w:val="00A906D8"/>
    <w:rsid w:val="00AB5A74"/>
    <w:rsid w:val="00BB1E71"/>
    <w:rsid w:val="00E25F4B"/>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A6CA3"/>
  <w15:docId w15:val="{8A737C3F-A4D8-4A27-AF55-364B9C264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B1E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17" Type="http://schemas.openxmlformats.org/officeDocument/2006/relationships/customXml" Target="../customXml/item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0A1A8C01214204DBDB85ED64644CC7C" ma:contentTypeVersion="1572" ma:contentTypeDescription="A content type to manage public (operations) IDB documents" ma:contentTypeScope="" ma:versionID="a632df564a47965da38b855c6a391b4a">
  <xsd:schema xmlns:xsd="http://www.w3.org/2001/XMLSchema" xmlns:xs="http://www.w3.org/2001/XMLSchema" xmlns:p="http://schemas.microsoft.com/office/2006/metadata/properties" xmlns:ns2="cdc7663a-08f0-4737-9e8c-148ce897a09c" targetNamespace="http://schemas.microsoft.com/office/2006/metadata/properties" ma:root="true" ma:fieldsID="03ba89b40a77feed9da0b1ece8bee6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Kaplan, David Scott</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POLICY</TermName>
          <TermId xmlns="http://schemas.microsoft.com/office/infopath/2007/PartnerControls">e71f91eb-7c75-452b-8d19-3a449ce1e247</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Related_x0020_SisCor_x0020_Number xmlns="cdc7663a-08f0-4737-9e8c-148ce897a09c" xsi:nil="true"/>
    <TaxCatchAll xmlns="cdc7663a-08f0-4737-9e8c-148ce897a09c">
      <Value>181</Value>
      <Value>103</Value>
      <Value>31</Value>
      <Value>2</Value>
      <Value>48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ME-T1393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EZSHARE-1626184496-3</_dlc_DocId>
    <_dlc_DocIdUrl xmlns="cdc7663a-08f0-4737-9e8c-148ce897a09c">
      <Url>https://idbg.sharepoint.com/teams/EZ-ME-TCP/ME-T1393/_layouts/15/DocIdRedir.aspx?ID=EZSHARE-1626184496-3</Url>
      <Description>EZSHARE-1626184496-3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Organizations;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054AF65-9805-40B0-A1AA-40BB1368EFD2}"/>
</file>

<file path=customXml/itemProps2.xml><?xml version="1.0" encoding="utf-8"?>
<ds:datastoreItem xmlns:ds="http://schemas.openxmlformats.org/officeDocument/2006/customXml" ds:itemID="{8F938504-783F-41E2-9370-3F57ED0A1876}"/>
</file>

<file path=customXml/itemProps3.xml><?xml version="1.0" encoding="utf-8"?>
<ds:datastoreItem xmlns:ds="http://schemas.openxmlformats.org/officeDocument/2006/customXml" ds:itemID="{F1419AF0-98A3-4A74-80CC-3CD585AD841E}"/>
</file>

<file path=customXml/itemProps4.xml><?xml version="1.0" encoding="utf-8"?>
<ds:datastoreItem xmlns:ds="http://schemas.openxmlformats.org/officeDocument/2006/customXml" ds:itemID="{DF99C245-CDA9-4F5A-B4D6-4071C4F7C2B0}"/>
</file>

<file path=customXml/itemProps5.xml><?xml version="1.0" encoding="utf-8"?>
<ds:datastoreItem xmlns:ds="http://schemas.openxmlformats.org/officeDocument/2006/customXml" ds:itemID="{207EE5DF-48F9-42F7-ADB4-5933E313A5AF}"/>
</file>

<file path=customXml/itemProps6.xml><?xml version="1.0" encoding="utf-8"?>
<ds:datastoreItem xmlns:ds="http://schemas.openxmlformats.org/officeDocument/2006/customXml" ds:itemID="{41E65838-1C8F-4D3D-8AD5-9E24308B91FA}"/>
</file>

<file path=docProps/app.xml><?xml version="1.0" encoding="utf-8"?>
<Properties xmlns="http://schemas.openxmlformats.org/officeDocument/2006/extended-properties" xmlns:vt="http://schemas.openxmlformats.org/officeDocument/2006/docPropsVTypes">
  <Template>Normal.dotm</Template>
  <TotalTime>1</TotalTime>
  <Pages>2</Pages>
  <Words>744</Words>
  <Characters>4243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2</cp:revision>
  <dcterms:created xsi:type="dcterms:W3CDTF">2019-05-09T16:25:00Z</dcterms:created>
  <dcterms:modified xsi:type="dcterms:W3CDTF">2019-05-09T16:25:00Z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103;#LABOR POLICY|e71f91eb-7c75-452b-8d19-3a449ce1e247</vt:lpwstr>
  </property>
  <property fmtid="{D5CDD505-2E9C-101B-9397-08002B2CF9AE}" pid="7" name="Fund IDB">
    <vt:lpwstr>181;#INS|e59f52b4-6a5d-4c44-8c43-084396cc07ba</vt:lpwstr>
  </property>
  <property fmtid="{D5CDD505-2E9C-101B-9397-08002B2CF9AE}" pid="8" name="Country">
    <vt:lpwstr>31;#Mexico|0eba6470-e7ea-46fd-a959-d4c243acaf26</vt:lpwstr>
  </property>
  <property fmtid="{D5CDD505-2E9C-101B-9397-08002B2CF9AE}" pid="9" name="Sector IDB">
    <vt:lpwstr>48;#SOCIAL INVESTMENT|3f908695-d5b5-49f6-941f-76876b39564f</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01373f1c-4d43-46a3-8e42-5fc8bd3b9c3a</vt:lpwstr>
  </property>
  <property fmtid="{D5CDD505-2E9C-101B-9397-08002B2CF9AE}" pid="12" name="ContentTypeId">
    <vt:lpwstr>0x0101001A458A224826124E8B45B1D613300CFC0070A1A8C01214204DBDB85ED64644CC7C</vt:lpwstr>
  </property>
</Properties>
</file>