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12B0C" w14:textId="77777777" w:rsidR="001F2E60" w:rsidRPr="00031B9D" w:rsidRDefault="001F2E60" w:rsidP="00F11191">
      <w:pPr>
        <w:pStyle w:val="Title"/>
        <w:tabs>
          <w:tab w:val="clear" w:pos="1440"/>
          <w:tab w:val="clear" w:pos="3060"/>
        </w:tabs>
        <w:outlineLvl w:val="9"/>
        <w:rPr>
          <w:smallCaps/>
          <w:szCs w:val="24"/>
          <w:lang w:val="es-ES"/>
        </w:rPr>
      </w:pPr>
      <w:bookmarkStart w:id="0" w:name="_GoBack"/>
      <w:bookmarkEnd w:id="0"/>
      <w:r w:rsidRPr="00031B9D">
        <w:rPr>
          <w:smallCaps/>
          <w:szCs w:val="24"/>
          <w:lang w:val="es-ES"/>
        </w:rPr>
        <w:t>Documento del Ba</w:t>
      </w:r>
      <w:r w:rsidR="00352D23">
        <w:rPr>
          <w:smallCaps/>
          <w:szCs w:val="24"/>
          <w:lang w:val="es-ES"/>
        </w:rPr>
        <w:t xml:space="preserve">nco Interamericano de </w:t>
      </w:r>
      <w:r w:rsidR="00DF10C2">
        <w:rPr>
          <w:smallCaps/>
          <w:szCs w:val="24"/>
          <w:lang w:val="es-ES"/>
        </w:rPr>
        <w:t>Desarrollo</w:t>
      </w:r>
    </w:p>
    <w:p w14:paraId="279D6977" w14:textId="77777777" w:rsidR="001F2E60" w:rsidRPr="00031B9D" w:rsidRDefault="001F2E60" w:rsidP="00F11191">
      <w:pPr>
        <w:pStyle w:val="ColorfulList-Accent11"/>
        <w:ind w:left="0"/>
        <w:jc w:val="center"/>
        <w:rPr>
          <w:rFonts w:ascii="Times New Roman" w:hAnsi="Times New Roman"/>
          <w:b/>
          <w:sz w:val="24"/>
          <w:szCs w:val="24"/>
          <w:lang w:val="es-ES"/>
        </w:rPr>
      </w:pPr>
    </w:p>
    <w:p w14:paraId="5CE3C89B" w14:textId="77777777" w:rsidR="001F2E60" w:rsidRPr="00031B9D" w:rsidRDefault="001F2E60" w:rsidP="00F11191">
      <w:pPr>
        <w:tabs>
          <w:tab w:val="left" w:pos="1440"/>
          <w:tab w:val="left" w:pos="3060"/>
        </w:tabs>
        <w:jc w:val="center"/>
        <w:rPr>
          <w:b/>
          <w:smallCaps/>
          <w:szCs w:val="24"/>
          <w:lang w:val="es-ES"/>
        </w:rPr>
      </w:pPr>
    </w:p>
    <w:p w14:paraId="2993BC00" w14:textId="77777777" w:rsidR="001F2E60" w:rsidRPr="00982693" w:rsidRDefault="00982693" w:rsidP="00F11191">
      <w:pPr>
        <w:tabs>
          <w:tab w:val="left" w:pos="1440"/>
          <w:tab w:val="left" w:pos="3060"/>
        </w:tabs>
        <w:jc w:val="center"/>
        <w:rPr>
          <w:b/>
          <w:smallCaps/>
          <w:sz w:val="28"/>
          <w:szCs w:val="24"/>
          <w:lang w:val="es-ES"/>
        </w:rPr>
      </w:pPr>
      <w:r w:rsidRPr="00982693">
        <w:rPr>
          <w:b/>
          <w:smallCaps/>
          <w:sz w:val="28"/>
          <w:szCs w:val="24"/>
          <w:lang w:val="es-ES"/>
        </w:rPr>
        <w:t>El Salvador</w:t>
      </w:r>
    </w:p>
    <w:p w14:paraId="23A00FBD" w14:textId="77777777" w:rsidR="001F2E60" w:rsidRPr="00031B9D" w:rsidRDefault="001F2E60" w:rsidP="00F11191">
      <w:pPr>
        <w:tabs>
          <w:tab w:val="left" w:pos="1440"/>
          <w:tab w:val="left" w:pos="3060"/>
        </w:tabs>
        <w:jc w:val="center"/>
        <w:rPr>
          <w:b/>
          <w:smallCaps/>
          <w:szCs w:val="24"/>
          <w:highlight w:val="lightGray"/>
          <w:lang w:val="es-ES"/>
        </w:rPr>
      </w:pPr>
    </w:p>
    <w:p w14:paraId="4E8880EE" w14:textId="77777777" w:rsidR="001F2E60" w:rsidRPr="00031B9D" w:rsidRDefault="001F2E60" w:rsidP="00F11191">
      <w:pPr>
        <w:tabs>
          <w:tab w:val="left" w:pos="1440"/>
          <w:tab w:val="left" w:pos="3060"/>
        </w:tabs>
        <w:jc w:val="center"/>
        <w:rPr>
          <w:b/>
          <w:smallCaps/>
          <w:szCs w:val="24"/>
          <w:highlight w:val="lightGray"/>
          <w:lang w:val="es-ES"/>
        </w:rPr>
      </w:pPr>
    </w:p>
    <w:p w14:paraId="65C6F7EF" w14:textId="77777777" w:rsidR="00982693" w:rsidRPr="00982693" w:rsidRDefault="00982693" w:rsidP="00982693">
      <w:pPr>
        <w:autoSpaceDE w:val="0"/>
        <w:autoSpaceDN w:val="0"/>
        <w:adjustRightInd w:val="0"/>
        <w:spacing w:before="0"/>
        <w:jc w:val="center"/>
        <w:rPr>
          <w:b/>
          <w:spacing w:val="0"/>
          <w:sz w:val="28"/>
          <w:szCs w:val="24"/>
          <w:lang w:val="es-ES"/>
        </w:rPr>
      </w:pPr>
      <w:r w:rsidRPr="00982693">
        <w:rPr>
          <w:b/>
          <w:spacing w:val="0"/>
          <w:sz w:val="28"/>
          <w:szCs w:val="24"/>
          <w:lang w:val="es-ES"/>
        </w:rPr>
        <w:t>Programa de Corredores Productivos</w:t>
      </w:r>
    </w:p>
    <w:p w14:paraId="1D2284FC" w14:textId="77777777" w:rsidR="00982693" w:rsidRPr="00982693" w:rsidRDefault="00982693" w:rsidP="00982693">
      <w:pPr>
        <w:tabs>
          <w:tab w:val="left" w:pos="1440"/>
          <w:tab w:val="left" w:pos="3060"/>
        </w:tabs>
        <w:jc w:val="center"/>
        <w:rPr>
          <w:b/>
          <w:spacing w:val="0"/>
          <w:sz w:val="28"/>
          <w:szCs w:val="24"/>
          <w:lang w:val="es-ES"/>
        </w:rPr>
      </w:pPr>
      <w:r w:rsidRPr="00982693">
        <w:rPr>
          <w:b/>
          <w:spacing w:val="0"/>
          <w:sz w:val="28"/>
          <w:szCs w:val="24"/>
          <w:lang w:val="es-ES"/>
        </w:rPr>
        <w:t>ES-L1075</w:t>
      </w:r>
    </w:p>
    <w:p w14:paraId="5054865F" w14:textId="77777777" w:rsidR="001F2E60" w:rsidRPr="00031B9D" w:rsidRDefault="001F2E60" w:rsidP="00F11191">
      <w:pPr>
        <w:pStyle w:val="Newpage"/>
        <w:rPr>
          <w:rFonts w:cs="Times New Roman"/>
          <w:b w:val="0"/>
          <w:caps/>
          <w:smallCaps w:val="0"/>
          <w:szCs w:val="24"/>
          <w:lang w:val="es-ES"/>
        </w:rPr>
      </w:pPr>
    </w:p>
    <w:p w14:paraId="55B3C7A6" w14:textId="16141C2F" w:rsidR="001F2E60" w:rsidRPr="000010DB" w:rsidRDefault="001F2E60" w:rsidP="00F11191">
      <w:pPr>
        <w:tabs>
          <w:tab w:val="left" w:pos="1440"/>
          <w:tab w:val="left" w:pos="3060"/>
        </w:tabs>
        <w:jc w:val="center"/>
        <w:outlineLvl w:val="0"/>
        <w:rPr>
          <w:b/>
          <w:smallCaps/>
          <w:sz w:val="28"/>
          <w:szCs w:val="28"/>
          <w:lang w:val="es-ES"/>
        </w:rPr>
      </w:pPr>
      <w:r w:rsidRPr="000010DB">
        <w:rPr>
          <w:b/>
          <w:smallCaps/>
          <w:sz w:val="28"/>
          <w:szCs w:val="28"/>
          <w:lang w:val="es-ES"/>
        </w:rPr>
        <w:t xml:space="preserve">Plan de </w:t>
      </w:r>
      <w:r w:rsidR="001403E7">
        <w:rPr>
          <w:b/>
          <w:smallCaps/>
          <w:sz w:val="28"/>
          <w:szCs w:val="28"/>
          <w:lang w:val="es-ES"/>
        </w:rPr>
        <w:t>Monitoreo</w:t>
      </w:r>
      <w:r w:rsidR="001403E7" w:rsidRPr="000010DB">
        <w:rPr>
          <w:b/>
          <w:smallCaps/>
          <w:sz w:val="28"/>
          <w:szCs w:val="28"/>
          <w:lang w:val="es-ES"/>
        </w:rPr>
        <w:t xml:space="preserve"> </w:t>
      </w:r>
      <w:r w:rsidRPr="000010DB">
        <w:rPr>
          <w:b/>
          <w:smallCaps/>
          <w:sz w:val="28"/>
          <w:szCs w:val="28"/>
          <w:lang w:val="es-ES"/>
        </w:rPr>
        <w:t>y Evaluación</w:t>
      </w:r>
    </w:p>
    <w:p w14:paraId="6CFEFCAD" w14:textId="77777777" w:rsidR="001F2E60" w:rsidRPr="00031B9D" w:rsidRDefault="001F2E60" w:rsidP="00F11191">
      <w:pPr>
        <w:pStyle w:val="ColorfulList-Accent11"/>
        <w:ind w:left="0"/>
        <w:jc w:val="center"/>
        <w:rPr>
          <w:rFonts w:ascii="Times New Roman" w:hAnsi="Times New Roman"/>
          <w:b/>
          <w:sz w:val="24"/>
          <w:szCs w:val="24"/>
          <w:lang w:val="es-ES"/>
        </w:rPr>
      </w:pPr>
    </w:p>
    <w:p w14:paraId="0D305CBB" w14:textId="77777777" w:rsidR="001F2E60" w:rsidRPr="00031B9D" w:rsidRDefault="001F2E60" w:rsidP="00F11191">
      <w:pPr>
        <w:pStyle w:val="ColorfulList-Accent11"/>
        <w:ind w:left="0"/>
        <w:jc w:val="center"/>
        <w:rPr>
          <w:rFonts w:ascii="Times New Roman" w:hAnsi="Times New Roman"/>
          <w:b/>
          <w:sz w:val="24"/>
          <w:szCs w:val="24"/>
          <w:lang w:val="es-ES"/>
        </w:rPr>
      </w:pPr>
    </w:p>
    <w:p w14:paraId="13622A5C" w14:textId="77777777" w:rsidR="001F2E60" w:rsidRPr="00031B9D" w:rsidRDefault="001F2E60" w:rsidP="00F11191">
      <w:pPr>
        <w:pStyle w:val="ColorfulList-Accent11"/>
        <w:ind w:left="0"/>
        <w:jc w:val="center"/>
        <w:rPr>
          <w:rFonts w:ascii="Times New Roman" w:hAnsi="Times New Roman"/>
          <w:b/>
          <w:sz w:val="24"/>
          <w:szCs w:val="24"/>
          <w:lang w:val="es-ES"/>
        </w:rPr>
      </w:pPr>
    </w:p>
    <w:p w14:paraId="37FFB648" w14:textId="77777777" w:rsidR="001F2E60" w:rsidRPr="00031B9D" w:rsidRDefault="001F2E60" w:rsidP="00F11191">
      <w:pPr>
        <w:pStyle w:val="ColorfulList-Accent11"/>
        <w:ind w:left="0"/>
        <w:jc w:val="center"/>
        <w:rPr>
          <w:rFonts w:ascii="Times New Roman" w:hAnsi="Times New Roman"/>
          <w:b/>
          <w:sz w:val="24"/>
          <w:szCs w:val="24"/>
          <w:lang w:val="es-ES"/>
        </w:rPr>
      </w:pPr>
    </w:p>
    <w:p w14:paraId="6800BE19" w14:textId="77777777" w:rsidR="001F2E60" w:rsidRPr="00031B9D" w:rsidRDefault="001F2E60" w:rsidP="00F11191">
      <w:pPr>
        <w:pStyle w:val="ColorfulList-Accent11"/>
        <w:ind w:left="0"/>
        <w:jc w:val="center"/>
        <w:rPr>
          <w:rFonts w:ascii="Times New Roman" w:hAnsi="Times New Roman"/>
          <w:b/>
          <w:sz w:val="24"/>
          <w:szCs w:val="24"/>
          <w:lang w:val="es-ES"/>
        </w:rPr>
      </w:pPr>
    </w:p>
    <w:p w14:paraId="7F89AC08" w14:textId="77777777" w:rsidR="001F2E60" w:rsidRPr="00031B9D" w:rsidRDefault="001F2E60" w:rsidP="00F11191">
      <w:pPr>
        <w:pStyle w:val="ColorfulList-Accent11"/>
        <w:ind w:left="0"/>
        <w:jc w:val="center"/>
        <w:rPr>
          <w:rFonts w:ascii="Times New Roman" w:hAnsi="Times New Roman"/>
          <w:b/>
          <w:sz w:val="24"/>
          <w:szCs w:val="24"/>
          <w:lang w:val="es-ES"/>
        </w:rPr>
      </w:pPr>
    </w:p>
    <w:p w14:paraId="5F999EC6" w14:textId="77777777" w:rsidR="001F2E60" w:rsidRPr="00031B9D" w:rsidRDefault="001F2E60" w:rsidP="00F11191">
      <w:pPr>
        <w:pStyle w:val="ColorfulList-Accent11"/>
        <w:ind w:left="0"/>
        <w:jc w:val="center"/>
        <w:rPr>
          <w:rFonts w:ascii="Times New Roman" w:hAnsi="Times New Roman"/>
          <w:b/>
          <w:sz w:val="24"/>
          <w:szCs w:val="24"/>
          <w:lang w:val="es-ES"/>
        </w:rPr>
      </w:pPr>
    </w:p>
    <w:p w14:paraId="236CF31D" w14:textId="77777777" w:rsidR="001F2E60" w:rsidRPr="00031B9D" w:rsidRDefault="001F2E60" w:rsidP="00F11191">
      <w:pPr>
        <w:pStyle w:val="ColorfulList-Accent11"/>
        <w:ind w:left="0"/>
        <w:jc w:val="center"/>
        <w:rPr>
          <w:rFonts w:ascii="Times New Roman" w:hAnsi="Times New Roman"/>
          <w:b/>
          <w:sz w:val="24"/>
          <w:szCs w:val="24"/>
          <w:lang w:val="es-ES"/>
        </w:rPr>
      </w:pPr>
    </w:p>
    <w:p w14:paraId="25B76991" w14:textId="77777777" w:rsidR="001F2E60" w:rsidRPr="00031B9D" w:rsidRDefault="001F2E60" w:rsidP="00F11191">
      <w:pPr>
        <w:pStyle w:val="ColorfulList-Accent11"/>
        <w:ind w:left="0"/>
        <w:jc w:val="center"/>
        <w:rPr>
          <w:rFonts w:ascii="Times New Roman" w:hAnsi="Times New Roman"/>
          <w:b/>
          <w:sz w:val="24"/>
          <w:szCs w:val="24"/>
          <w:lang w:val="es-ES"/>
        </w:rPr>
      </w:pPr>
    </w:p>
    <w:p w14:paraId="0859A4D7" w14:textId="77777777" w:rsidR="001F2E60" w:rsidRPr="00031B9D" w:rsidRDefault="001F2E60" w:rsidP="00F11191">
      <w:pPr>
        <w:pStyle w:val="ColorfulList-Accent11"/>
        <w:ind w:left="0"/>
        <w:jc w:val="center"/>
        <w:rPr>
          <w:rFonts w:ascii="Times New Roman" w:hAnsi="Times New Roman"/>
          <w:b/>
          <w:sz w:val="24"/>
          <w:szCs w:val="24"/>
          <w:lang w:val="es-ES"/>
        </w:rPr>
      </w:pPr>
    </w:p>
    <w:p w14:paraId="72157251" w14:textId="751710F0" w:rsidR="00607305" w:rsidRPr="00491DA3" w:rsidRDefault="00607305" w:rsidP="003366C1">
      <w:pPr>
        <w:pBdr>
          <w:top w:val="single" w:sz="4" w:space="1" w:color="auto"/>
          <w:left w:val="single" w:sz="4" w:space="4" w:color="auto"/>
          <w:bottom w:val="single" w:sz="4" w:space="1" w:color="auto"/>
          <w:right w:val="single" w:sz="4" w:space="4" w:color="auto"/>
        </w:pBdr>
        <w:rPr>
          <w:b/>
          <w:lang w:val="es-ES"/>
        </w:rPr>
      </w:pPr>
      <w:r w:rsidRPr="00491DA3">
        <w:rPr>
          <w:lang w:val="es-ES"/>
        </w:rPr>
        <w:t xml:space="preserve">Este </w:t>
      </w:r>
      <w:r w:rsidR="008855F3">
        <w:rPr>
          <w:lang w:val="es-ES"/>
        </w:rPr>
        <w:t>documento ha sido preparado por</w:t>
      </w:r>
      <w:r w:rsidRPr="00491DA3">
        <w:rPr>
          <w:lang w:val="es-ES"/>
        </w:rPr>
        <w:t xml:space="preserve"> </w:t>
      </w:r>
      <w:r w:rsidR="008855F3">
        <w:rPr>
          <w:lang w:val="es-ES"/>
        </w:rPr>
        <w:t>Carlo Pietrobelli (IFD/CTI)</w:t>
      </w:r>
      <w:r w:rsidR="003D7D07">
        <w:rPr>
          <w:lang w:val="es-ES"/>
        </w:rPr>
        <w:t>, Rodolfo Stucchi (SPD/CCH)</w:t>
      </w:r>
      <w:r w:rsidR="008855F3">
        <w:rPr>
          <w:lang w:val="es-ES"/>
        </w:rPr>
        <w:t xml:space="preserve"> y Carlos </w:t>
      </w:r>
      <w:r w:rsidR="008855F3">
        <w:t>Morán (TSP/CES)</w:t>
      </w:r>
    </w:p>
    <w:p w14:paraId="3BCF7FB1" w14:textId="77777777" w:rsidR="001F2E60" w:rsidRPr="00491DA3" w:rsidRDefault="001F2E60" w:rsidP="00F11191">
      <w:pPr>
        <w:tabs>
          <w:tab w:val="left" w:pos="1440"/>
          <w:tab w:val="left" w:pos="3060"/>
        </w:tabs>
        <w:rPr>
          <w:szCs w:val="24"/>
          <w:lang w:val="es-ES"/>
        </w:rPr>
      </w:pPr>
    </w:p>
    <w:p w14:paraId="2262834B" w14:textId="77777777" w:rsidR="001F2E60" w:rsidRPr="00491DA3" w:rsidRDefault="001F2E60" w:rsidP="001F2E60">
      <w:pPr>
        <w:pStyle w:val="ColorfulList-Accent11"/>
        <w:ind w:left="1080"/>
        <w:jc w:val="center"/>
        <w:rPr>
          <w:smallCaps/>
          <w:szCs w:val="24"/>
          <w:lang w:val="es-ES"/>
        </w:rPr>
      </w:pPr>
    </w:p>
    <w:p w14:paraId="38538D7E" w14:textId="77777777" w:rsidR="001F2E60" w:rsidRPr="00491DA3" w:rsidRDefault="001F2E60" w:rsidP="001F2E60">
      <w:pPr>
        <w:pStyle w:val="ColorfulList-Accent11"/>
        <w:ind w:left="1080"/>
        <w:jc w:val="center"/>
        <w:rPr>
          <w:smallCaps/>
          <w:szCs w:val="24"/>
          <w:lang w:val="es-ES"/>
        </w:rPr>
        <w:sectPr w:rsidR="001F2E60" w:rsidRPr="00491DA3" w:rsidSect="00F11191">
          <w:footerReference w:type="default" r:id="rId10"/>
          <w:pgSz w:w="12240" w:h="15840"/>
          <w:pgMar w:top="1440" w:right="1800" w:bottom="1440" w:left="1800" w:header="720" w:footer="720" w:gutter="0"/>
          <w:pgNumType w:start="0"/>
          <w:cols w:space="720"/>
          <w:vAlign w:val="both"/>
          <w:titlePg/>
          <w:docGrid w:linePitch="360"/>
        </w:sectPr>
      </w:pPr>
    </w:p>
    <w:p w14:paraId="7867EBEB" w14:textId="77777777" w:rsidR="001F2E60" w:rsidRPr="00031B9D" w:rsidRDefault="001F2E60" w:rsidP="001F2E60">
      <w:pPr>
        <w:pStyle w:val="ColorfulList-Accent11"/>
        <w:ind w:left="1080"/>
        <w:jc w:val="center"/>
        <w:rPr>
          <w:rFonts w:ascii="Times New Roman" w:hAnsi="Times New Roman"/>
          <w:smallCaps/>
          <w:sz w:val="24"/>
          <w:szCs w:val="24"/>
          <w:lang w:val="es-ES"/>
        </w:rPr>
      </w:pPr>
      <w:r w:rsidRPr="00031B9D">
        <w:rPr>
          <w:rFonts w:ascii="Times New Roman" w:hAnsi="Times New Roman"/>
          <w:smallCaps/>
          <w:sz w:val="24"/>
          <w:szCs w:val="24"/>
          <w:lang w:val="es-ES"/>
        </w:rPr>
        <w:lastRenderedPageBreak/>
        <w:t>Índice</w:t>
      </w:r>
    </w:p>
    <w:p w14:paraId="45D28BB5" w14:textId="77777777" w:rsidR="001F2E60" w:rsidRPr="00031B9D" w:rsidRDefault="001F2E60" w:rsidP="009E0CAD">
      <w:pPr>
        <w:pStyle w:val="ColorfulList-Accent11"/>
        <w:ind w:left="0"/>
        <w:rPr>
          <w:rFonts w:ascii="Times New Roman" w:hAnsi="Times New Roman"/>
          <w:sz w:val="24"/>
          <w:szCs w:val="24"/>
          <w:lang w:val="es-ES"/>
        </w:rPr>
      </w:pPr>
    </w:p>
    <w:p w14:paraId="394689D4" w14:textId="77777777" w:rsidR="001F2E60" w:rsidRPr="00031B9D" w:rsidRDefault="001F2E60" w:rsidP="009E0CAD">
      <w:pPr>
        <w:pStyle w:val="ColorfulList-Accent11"/>
        <w:ind w:left="0"/>
        <w:rPr>
          <w:rFonts w:ascii="Times New Roman" w:hAnsi="Times New Roman"/>
          <w:sz w:val="24"/>
          <w:szCs w:val="24"/>
          <w:lang w:val="es-ES"/>
        </w:rPr>
      </w:pPr>
    </w:p>
    <w:p w14:paraId="62225325" w14:textId="77777777" w:rsidR="001F2E60" w:rsidRPr="00B42C40" w:rsidRDefault="001F2E60" w:rsidP="00B42C40">
      <w:pPr>
        <w:pStyle w:val="ColorfulList-Accent11"/>
        <w:ind w:left="0"/>
        <w:rPr>
          <w:rFonts w:ascii="Times New Roman" w:hAnsi="Times New Roman"/>
          <w:sz w:val="24"/>
          <w:szCs w:val="24"/>
          <w:lang w:val="es-ES"/>
        </w:rPr>
      </w:pPr>
      <w:r w:rsidRPr="00B42C40">
        <w:rPr>
          <w:rFonts w:ascii="Times New Roman" w:hAnsi="Times New Roman"/>
          <w:sz w:val="24"/>
          <w:szCs w:val="24"/>
          <w:lang w:val="es-ES"/>
        </w:rPr>
        <w:t>Plan de Seguimiento y Evaluación</w:t>
      </w:r>
    </w:p>
    <w:p w14:paraId="59DC9712" w14:textId="77777777" w:rsidR="001F2E60" w:rsidRPr="00B42C40" w:rsidRDefault="001F2E60" w:rsidP="00B42C40">
      <w:pPr>
        <w:pStyle w:val="ColorfulList-Accent11"/>
        <w:ind w:left="0"/>
        <w:rPr>
          <w:rFonts w:ascii="Times New Roman" w:hAnsi="Times New Roman"/>
          <w:sz w:val="24"/>
          <w:szCs w:val="24"/>
          <w:lang w:val="es-ES"/>
        </w:rPr>
      </w:pPr>
    </w:p>
    <w:p w14:paraId="7E9C6534" w14:textId="77777777" w:rsidR="001F2E60" w:rsidRPr="00B42C40" w:rsidRDefault="001F2E60" w:rsidP="00B42C40">
      <w:pPr>
        <w:pStyle w:val="ColorfulList-Accent11"/>
        <w:numPr>
          <w:ilvl w:val="0"/>
          <w:numId w:val="1"/>
        </w:numPr>
        <w:rPr>
          <w:rFonts w:ascii="Times New Roman" w:hAnsi="Times New Roman"/>
          <w:sz w:val="24"/>
          <w:szCs w:val="24"/>
          <w:lang w:val="es-ES"/>
        </w:rPr>
      </w:pPr>
      <w:r w:rsidRPr="00B42C40">
        <w:rPr>
          <w:rFonts w:ascii="Times New Roman" w:hAnsi="Times New Roman"/>
          <w:sz w:val="24"/>
          <w:szCs w:val="24"/>
          <w:lang w:val="es-ES"/>
        </w:rPr>
        <w:t>Introducción</w:t>
      </w:r>
    </w:p>
    <w:p w14:paraId="50E369A9" w14:textId="77777777" w:rsidR="001F2E60" w:rsidRPr="00B42C40" w:rsidRDefault="001F2E60" w:rsidP="00B42C40">
      <w:pPr>
        <w:pStyle w:val="ColorfulList-Accent11"/>
        <w:ind w:left="1080"/>
        <w:rPr>
          <w:rFonts w:ascii="Times New Roman" w:hAnsi="Times New Roman"/>
          <w:sz w:val="24"/>
          <w:szCs w:val="24"/>
          <w:lang w:val="es-ES"/>
        </w:rPr>
      </w:pPr>
    </w:p>
    <w:p w14:paraId="3F595648" w14:textId="77777777" w:rsidR="001F2E60" w:rsidRPr="00B42C40" w:rsidRDefault="00A85474" w:rsidP="00B42C40">
      <w:pPr>
        <w:pStyle w:val="ColorfulList-Accent11"/>
        <w:numPr>
          <w:ilvl w:val="0"/>
          <w:numId w:val="1"/>
        </w:numPr>
        <w:rPr>
          <w:rFonts w:ascii="Times New Roman" w:hAnsi="Times New Roman"/>
          <w:sz w:val="24"/>
          <w:szCs w:val="24"/>
          <w:lang w:val="es-ES"/>
        </w:rPr>
      </w:pPr>
      <w:r>
        <w:rPr>
          <w:rFonts w:ascii="Times New Roman" w:hAnsi="Times New Roman"/>
          <w:sz w:val="24"/>
          <w:szCs w:val="24"/>
          <w:lang w:val="es-ES"/>
        </w:rPr>
        <w:t>Monitoreo</w:t>
      </w:r>
    </w:p>
    <w:p w14:paraId="614FD27C" w14:textId="77777777" w:rsidR="001F2E60" w:rsidRPr="00B42C40" w:rsidRDefault="001F2E60" w:rsidP="00B42C40">
      <w:pPr>
        <w:pStyle w:val="ColorfulList-Accent11"/>
        <w:numPr>
          <w:ilvl w:val="1"/>
          <w:numId w:val="1"/>
        </w:numPr>
        <w:rPr>
          <w:rFonts w:ascii="Times New Roman" w:hAnsi="Times New Roman"/>
          <w:sz w:val="24"/>
          <w:szCs w:val="24"/>
          <w:lang w:val="es-ES"/>
        </w:rPr>
      </w:pPr>
      <w:r w:rsidRPr="00B42C40">
        <w:rPr>
          <w:rFonts w:ascii="Times New Roman" w:hAnsi="Times New Roman"/>
          <w:sz w:val="24"/>
          <w:szCs w:val="24"/>
          <w:lang w:val="es-ES"/>
        </w:rPr>
        <w:t>Indicadores</w:t>
      </w:r>
    </w:p>
    <w:p w14:paraId="4E4AC014" w14:textId="77777777" w:rsidR="001F2E60" w:rsidRPr="00B42C40" w:rsidRDefault="001F2E60" w:rsidP="00B42C40">
      <w:pPr>
        <w:pStyle w:val="ColorfulList-Accent11"/>
        <w:numPr>
          <w:ilvl w:val="1"/>
          <w:numId w:val="1"/>
        </w:numPr>
        <w:rPr>
          <w:rFonts w:ascii="Times New Roman" w:hAnsi="Times New Roman"/>
          <w:sz w:val="24"/>
          <w:szCs w:val="24"/>
          <w:lang w:val="es-ES"/>
        </w:rPr>
      </w:pPr>
      <w:r w:rsidRPr="00B42C40">
        <w:rPr>
          <w:rFonts w:ascii="Times New Roman" w:hAnsi="Times New Roman"/>
          <w:sz w:val="24"/>
          <w:szCs w:val="24"/>
          <w:lang w:val="es-ES"/>
        </w:rPr>
        <w:t>Recopilación de datos e instrumentos</w:t>
      </w:r>
    </w:p>
    <w:p w14:paraId="24B7A1B9" w14:textId="77777777" w:rsidR="001F2E60" w:rsidRPr="00B42C40" w:rsidRDefault="001F2E60" w:rsidP="00B42C40">
      <w:pPr>
        <w:pStyle w:val="ColorfulList-Accent11"/>
        <w:numPr>
          <w:ilvl w:val="1"/>
          <w:numId w:val="1"/>
        </w:numPr>
        <w:rPr>
          <w:rFonts w:ascii="Times New Roman" w:hAnsi="Times New Roman"/>
          <w:sz w:val="24"/>
          <w:szCs w:val="24"/>
          <w:lang w:val="es-ES"/>
        </w:rPr>
      </w:pPr>
      <w:r w:rsidRPr="00B42C40">
        <w:rPr>
          <w:rFonts w:ascii="Times New Roman" w:hAnsi="Times New Roman"/>
          <w:sz w:val="24"/>
          <w:szCs w:val="24"/>
          <w:lang w:val="es-ES"/>
        </w:rPr>
        <w:t>Presentación de informes</w:t>
      </w:r>
    </w:p>
    <w:p w14:paraId="33C4039C" w14:textId="77777777" w:rsidR="001F2E60" w:rsidRPr="00B42C40" w:rsidRDefault="001F2E60" w:rsidP="00B42C40">
      <w:pPr>
        <w:pStyle w:val="ColorfulList-Accent11"/>
        <w:numPr>
          <w:ilvl w:val="1"/>
          <w:numId w:val="1"/>
        </w:numPr>
        <w:rPr>
          <w:rFonts w:ascii="Times New Roman" w:hAnsi="Times New Roman"/>
          <w:sz w:val="24"/>
          <w:szCs w:val="24"/>
          <w:lang w:val="es-ES"/>
        </w:rPr>
      </w:pPr>
      <w:r w:rsidRPr="00B42C40">
        <w:rPr>
          <w:rFonts w:ascii="Times New Roman" w:hAnsi="Times New Roman"/>
          <w:sz w:val="24"/>
          <w:szCs w:val="24"/>
          <w:lang w:val="es-ES"/>
        </w:rPr>
        <w:t xml:space="preserve">Coordinación, plan de trabajo y presupuesto del </w:t>
      </w:r>
      <w:r w:rsidR="002051FC">
        <w:rPr>
          <w:rFonts w:ascii="Times New Roman" w:hAnsi="Times New Roman"/>
          <w:sz w:val="24"/>
          <w:szCs w:val="24"/>
          <w:lang w:val="es-ES"/>
        </w:rPr>
        <w:t>monitoreo</w:t>
      </w:r>
    </w:p>
    <w:p w14:paraId="01CB4381" w14:textId="77777777" w:rsidR="001F2E60" w:rsidRPr="00B42C40" w:rsidRDefault="001F2E60" w:rsidP="00B42C40">
      <w:pPr>
        <w:pStyle w:val="ColorfulList-Accent11"/>
        <w:ind w:left="1440"/>
        <w:rPr>
          <w:rFonts w:ascii="Times New Roman" w:hAnsi="Times New Roman"/>
          <w:sz w:val="24"/>
          <w:szCs w:val="24"/>
          <w:lang w:val="es-ES"/>
        </w:rPr>
      </w:pPr>
    </w:p>
    <w:p w14:paraId="6DE95871" w14:textId="77777777" w:rsidR="001F2E60" w:rsidRPr="00B42C40" w:rsidRDefault="001F2E60" w:rsidP="00B42C40">
      <w:pPr>
        <w:pStyle w:val="ColorfulList-Accent11"/>
        <w:numPr>
          <w:ilvl w:val="0"/>
          <w:numId w:val="1"/>
        </w:numPr>
        <w:rPr>
          <w:rFonts w:ascii="Times New Roman" w:hAnsi="Times New Roman"/>
          <w:sz w:val="24"/>
          <w:szCs w:val="24"/>
          <w:lang w:val="es-ES"/>
        </w:rPr>
      </w:pPr>
      <w:r w:rsidRPr="00B42C40">
        <w:rPr>
          <w:rFonts w:ascii="Times New Roman" w:hAnsi="Times New Roman"/>
          <w:sz w:val="24"/>
          <w:szCs w:val="24"/>
          <w:lang w:val="es-ES"/>
        </w:rPr>
        <w:t>Evaluación</w:t>
      </w:r>
    </w:p>
    <w:p w14:paraId="2BF2EA2E" w14:textId="77777777" w:rsidR="001F2E60" w:rsidRPr="00B42C40" w:rsidRDefault="001F2E60" w:rsidP="00B42C40">
      <w:pPr>
        <w:pStyle w:val="ColorfulList-Accent11"/>
        <w:numPr>
          <w:ilvl w:val="1"/>
          <w:numId w:val="1"/>
        </w:numPr>
        <w:rPr>
          <w:rFonts w:ascii="Times New Roman" w:hAnsi="Times New Roman"/>
          <w:sz w:val="24"/>
          <w:szCs w:val="24"/>
          <w:lang w:val="es-ES"/>
        </w:rPr>
      </w:pPr>
      <w:r w:rsidRPr="00B42C40">
        <w:rPr>
          <w:rFonts w:ascii="Times New Roman" w:hAnsi="Times New Roman"/>
          <w:sz w:val="24"/>
          <w:szCs w:val="24"/>
          <w:lang w:val="es-ES"/>
        </w:rPr>
        <w:t>Principales preguntas de evaluación</w:t>
      </w:r>
    </w:p>
    <w:p w14:paraId="210EAC2C" w14:textId="77777777" w:rsidR="001F2E60" w:rsidRPr="00B42C40" w:rsidRDefault="001F2E60" w:rsidP="00B42C40">
      <w:pPr>
        <w:pStyle w:val="ColorfulList-Accent11"/>
        <w:numPr>
          <w:ilvl w:val="1"/>
          <w:numId w:val="1"/>
        </w:numPr>
        <w:rPr>
          <w:rFonts w:ascii="Times New Roman" w:hAnsi="Times New Roman"/>
          <w:sz w:val="24"/>
          <w:szCs w:val="24"/>
          <w:lang w:val="es-ES"/>
        </w:rPr>
      </w:pPr>
      <w:r w:rsidRPr="00B42C40">
        <w:rPr>
          <w:rFonts w:ascii="Times New Roman" w:hAnsi="Times New Roman"/>
          <w:sz w:val="24"/>
          <w:szCs w:val="24"/>
          <w:lang w:val="es-ES"/>
        </w:rPr>
        <w:t xml:space="preserve">Conocimiento existente </w:t>
      </w:r>
    </w:p>
    <w:p w14:paraId="4AEFD612" w14:textId="77777777" w:rsidR="001F2E60" w:rsidRPr="00B42C40" w:rsidRDefault="001F2E60" w:rsidP="00B42C40">
      <w:pPr>
        <w:pStyle w:val="ColorfulList-Accent11"/>
        <w:numPr>
          <w:ilvl w:val="1"/>
          <w:numId w:val="1"/>
        </w:numPr>
        <w:rPr>
          <w:rFonts w:ascii="Times New Roman" w:hAnsi="Times New Roman"/>
          <w:sz w:val="24"/>
          <w:szCs w:val="24"/>
          <w:lang w:val="es-ES"/>
        </w:rPr>
      </w:pPr>
      <w:r w:rsidRPr="00B42C40">
        <w:rPr>
          <w:rFonts w:ascii="Times New Roman" w:hAnsi="Times New Roman"/>
          <w:sz w:val="24"/>
          <w:szCs w:val="24"/>
          <w:lang w:val="es-ES"/>
        </w:rPr>
        <w:t>Principales indi</w:t>
      </w:r>
      <w:r w:rsidR="006A1393">
        <w:rPr>
          <w:rFonts w:ascii="Times New Roman" w:hAnsi="Times New Roman"/>
          <w:sz w:val="24"/>
          <w:szCs w:val="24"/>
          <w:lang w:val="es-ES"/>
        </w:rPr>
        <w:t>cadores de resultados</w:t>
      </w:r>
    </w:p>
    <w:p w14:paraId="6DF45251" w14:textId="77777777" w:rsidR="001F2E60" w:rsidRPr="00B42C40" w:rsidRDefault="001F2E60" w:rsidP="00B42C40">
      <w:pPr>
        <w:pStyle w:val="ColorfulList-Accent11"/>
        <w:numPr>
          <w:ilvl w:val="1"/>
          <w:numId w:val="1"/>
        </w:numPr>
        <w:rPr>
          <w:rFonts w:ascii="Times New Roman" w:hAnsi="Times New Roman"/>
          <w:sz w:val="24"/>
          <w:szCs w:val="24"/>
          <w:lang w:val="es-ES"/>
        </w:rPr>
      </w:pPr>
      <w:r w:rsidRPr="00B42C40">
        <w:rPr>
          <w:rFonts w:ascii="Times New Roman" w:hAnsi="Times New Roman"/>
          <w:sz w:val="24"/>
          <w:szCs w:val="24"/>
          <w:lang w:val="es-ES"/>
        </w:rPr>
        <w:t>Metodología de la evaluación</w:t>
      </w:r>
    </w:p>
    <w:p w14:paraId="5106EF33" w14:textId="77777777" w:rsidR="001F2E60" w:rsidRPr="00B42C40" w:rsidRDefault="001F2E60" w:rsidP="00B42C40">
      <w:pPr>
        <w:pStyle w:val="ColorfulList-Accent11"/>
        <w:numPr>
          <w:ilvl w:val="1"/>
          <w:numId w:val="1"/>
        </w:numPr>
        <w:rPr>
          <w:rFonts w:ascii="Times New Roman" w:hAnsi="Times New Roman"/>
          <w:sz w:val="24"/>
          <w:szCs w:val="24"/>
          <w:lang w:val="es-ES"/>
        </w:rPr>
      </w:pPr>
      <w:r w:rsidRPr="00B42C40">
        <w:rPr>
          <w:rFonts w:ascii="Times New Roman" w:hAnsi="Times New Roman"/>
          <w:sz w:val="24"/>
          <w:szCs w:val="24"/>
          <w:lang w:val="es-ES"/>
        </w:rPr>
        <w:t>Aspectos técnico</w:t>
      </w:r>
      <w:r w:rsidR="00F467E4">
        <w:rPr>
          <w:rFonts w:ascii="Times New Roman" w:hAnsi="Times New Roman"/>
          <w:sz w:val="24"/>
          <w:szCs w:val="24"/>
          <w:lang w:val="es-ES"/>
        </w:rPr>
        <w:t>s de la evaluación</w:t>
      </w:r>
    </w:p>
    <w:p w14:paraId="12136873" w14:textId="77777777" w:rsidR="001F2E60" w:rsidRPr="00B42C40" w:rsidRDefault="001F2E60" w:rsidP="00B42C40">
      <w:pPr>
        <w:pStyle w:val="ColorfulList-Accent11"/>
        <w:numPr>
          <w:ilvl w:val="1"/>
          <w:numId w:val="1"/>
        </w:numPr>
        <w:rPr>
          <w:rFonts w:ascii="Times New Roman" w:hAnsi="Times New Roman"/>
          <w:sz w:val="24"/>
          <w:szCs w:val="24"/>
          <w:lang w:val="es-ES"/>
        </w:rPr>
      </w:pPr>
      <w:r w:rsidRPr="00B42C40">
        <w:rPr>
          <w:rFonts w:ascii="Times New Roman" w:hAnsi="Times New Roman"/>
          <w:sz w:val="24"/>
          <w:szCs w:val="24"/>
          <w:lang w:val="es-ES"/>
        </w:rPr>
        <w:t>Eval</w:t>
      </w:r>
      <w:r w:rsidR="00B4049C">
        <w:rPr>
          <w:rFonts w:ascii="Times New Roman" w:hAnsi="Times New Roman"/>
          <w:sz w:val="24"/>
          <w:szCs w:val="24"/>
          <w:lang w:val="es-ES"/>
        </w:rPr>
        <w:t xml:space="preserve">uación complementaria </w:t>
      </w:r>
    </w:p>
    <w:p w14:paraId="0D9AACFE" w14:textId="77777777" w:rsidR="001F2E60" w:rsidRPr="00B42C40" w:rsidRDefault="001F2E60" w:rsidP="00B42C40">
      <w:pPr>
        <w:pStyle w:val="ColorfulList-Accent11"/>
        <w:numPr>
          <w:ilvl w:val="1"/>
          <w:numId w:val="1"/>
        </w:numPr>
        <w:rPr>
          <w:rFonts w:ascii="Times New Roman" w:hAnsi="Times New Roman"/>
          <w:sz w:val="24"/>
          <w:szCs w:val="24"/>
          <w:lang w:val="es-ES"/>
        </w:rPr>
      </w:pPr>
      <w:r w:rsidRPr="00B42C40">
        <w:rPr>
          <w:rFonts w:ascii="Times New Roman" w:hAnsi="Times New Roman"/>
          <w:sz w:val="24"/>
          <w:szCs w:val="24"/>
          <w:lang w:val="es-ES"/>
        </w:rPr>
        <w:t>Coordinación, plan de trabajo y presupuesto de la evaluación</w:t>
      </w:r>
    </w:p>
    <w:p w14:paraId="01EB3C02" w14:textId="77777777" w:rsidR="001F2E60" w:rsidRPr="00B42C40" w:rsidRDefault="001F2E60" w:rsidP="00B42C40">
      <w:pPr>
        <w:pStyle w:val="ColorfulList-Accent11"/>
        <w:ind w:left="1440"/>
        <w:rPr>
          <w:rFonts w:ascii="Times New Roman" w:hAnsi="Times New Roman"/>
          <w:sz w:val="24"/>
          <w:szCs w:val="24"/>
          <w:lang w:val="es-ES"/>
        </w:rPr>
      </w:pPr>
    </w:p>
    <w:p w14:paraId="3869C0E4" w14:textId="77777777" w:rsidR="001F2E60" w:rsidRPr="00B42C40" w:rsidRDefault="001F2E60" w:rsidP="00B42C40">
      <w:pPr>
        <w:pStyle w:val="ColorfulList-Accent11"/>
        <w:ind w:left="360"/>
        <w:rPr>
          <w:rFonts w:ascii="Times New Roman" w:hAnsi="Times New Roman"/>
          <w:sz w:val="24"/>
          <w:szCs w:val="24"/>
          <w:lang w:val="es-ES"/>
        </w:rPr>
      </w:pPr>
    </w:p>
    <w:p w14:paraId="4C19AC18" w14:textId="77777777" w:rsidR="001F2E60" w:rsidRPr="00B42C40" w:rsidRDefault="001F2E60" w:rsidP="00B42C40">
      <w:pPr>
        <w:pStyle w:val="ColorfulList-Accent11"/>
        <w:ind w:left="360"/>
        <w:rPr>
          <w:rFonts w:ascii="Times New Roman" w:hAnsi="Times New Roman"/>
          <w:sz w:val="24"/>
          <w:szCs w:val="24"/>
          <w:lang w:val="es-ES"/>
        </w:rPr>
      </w:pPr>
      <w:r w:rsidRPr="00B42C40">
        <w:rPr>
          <w:rFonts w:ascii="Times New Roman" w:hAnsi="Times New Roman"/>
          <w:sz w:val="24"/>
          <w:szCs w:val="24"/>
          <w:lang w:val="es-ES"/>
        </w:rPr>
        <w:t>Anexos</w:t>
      </w:r>
    </w:p>
    <w:p w14:paraId="0FEBE738" w14:textId="77777777" w:rsidR="001F2E60" w:rsidRPr="00B42C40" w:rsidRDefault="001F2E60" w:rsidP="00B42C40">
      <w:pPr>
        <w:pStyle w:val="ColorfulList-Accent11"/>
        <w:ind w:left="360"/>
        <w:rPr>
          <w:rFonts w:ascii="Times New Roman" w:hAnsi="Times New Roman"/>
          <w:sz w:val="24"/>
          <w:szCs w:val="24"/>
          <w:lang w:val="es-ES"/>
        </w:rPr>
      </w:pPr>
    </w:p>
    <w:p w14:paraId="6812024B" w14:textId="77777777" w:rsidR="001F2E60" w:rsidRPr="00B42C40" w:rsidRDefault="001F2E60" w:rsidP="00B42C40">
      <w:pPr>
        <w:pStyle w:val="ColorfulList-Accent11"/>
        <w:ind w:left="360"/>
        <w:rPr>
          <w:rFonts w:ascii="Times New Roman" w:hAnsi="Times New Roman"/>
          <w:sz w:val="24"/>
          <w:szCs w:val="24"/>
          <w:lang w:val="es-ES"/>
        </w:rPr>
      </w:pPr>
      <w:r w:rsidRPr="00B42C40">
        <w:rPr>
          <w:rFonts w:ascii="Times New Roman" w:hAnsi="Times New Roman"/>
          <w:sz w:val="24"/>
          <w:szCs w:val="24"/>
          <w:lang w:val="es-ES"/>
        </w:rPr>
        <w:t>Glosario de términos</w:t>
      </w:r>
    </w:p>
    <w:p w14:paraId="15EEE4DE" w14:textId="77777777" w:rsidR="001F2E60" w:rsidRPr="00B42C40" w:rsidRDefault="001F2E60" w:rsidP="00B42C40">
      <w:pPr>
        <w:pStyle w:val="ColorfulList-Accent11"/>
        <w:ind w:left="360"/>
        <w:rPr>
          <w:rFonts w:ascii="Times New Roman" w:hAnsi="Times New Roman"/>
          <w:sz w:val="24"/>
          <w:szCs w:val="24"/>
          <w:lang w:val="es-ES"/>
        </w:rPr>
      </w:pPr>
    </w:p>
    <w:p w14:paraId="08CEE887" w14:textId="77777777" w:rsidR="001F2E60" w:rsidRPr="00B42C40" w:rsidRDefault="001F2E60" w:rsidP="00B42C40">
      <w:pPr>
        <w:pStyle w:val="ColorfulList-Accent11"/>
        <w:ind w:left="360"/>
        <w:rPr>
          <w:rFonts w:ascii="Times New Roman" w:hAnsi="Times New Roman"/>
          <w:sz w:val="24"/>
          <w:szCs w:val="24"/>
          <w:lang w:val="es-ES"/>
        </w:rPr>
      </w:pPr>
      <w:r w:rsidRPr="00B42C40">
        <w:rPr>
          <w:rFonts w:ascii="Times New Roman" w:hAnsi="Times New Roman"/>
          <w:sz w:val="24"/>
          <w:szCs w:val="24"/>
          <w:lang w:val="es-ES"/>
        </w:rPr>
        <w:t>Referencias</w:t>
      </w:r>
    </w:p>
    <w:p w14:paraId="04BB2849" w14:textId="77777777" w:rsidR="001F2E60" w:rsidRPr="00B42C40" w:rsidRDefault="001F2E60" w:rsidP="00B42C40">
      <w:pPr>
        <w:pStyle w:val="ColorfulList-Accent11"/>
        <w:ind w:left="1080"/>
        <w:rPr>
          <w:rFonts w:ascii="Times New Roman" w:hAnsi="Times New Roman"/>
          <w:sz w:val="24"/>
          <w:szCs w:val="24"/>
          <w:lang w:val="es-ES"/>
        </w:rPr>
      </w:pPr>
    </w:p>
    <w:p w14:paraId="1B053690" w14:textId="77777777" w:rsidR="001F2E60" w:rsidRPr="00B42C40" w:rsidRDefault="001F2E60" w:rsidP="00B42C40">
      <w:pPr>
        <w:pStyle w:val="ColorfulList-Accent11"/>
        <w:ind w:left="1080"/>
        <w:rPr>
          <w:rFonts w:ascii="Times New Roman" w:hAnsi="Times New Roman"/>
          <w:sz w:val="24"/>
          <w:szCs w:val="24"/>
          <w:lang w:val="es-ES"/>
        </w:rPr>
      </w:pPr>
    </w:p>
    <w:p w14:paraId="320AF513" w14:textId="77777777" w:rsidR="001F2E60" w:rsidRPr="00B42C40" w:rsidRDefault="001F2E60" w:rsidP="00B42C40">
      <w:pPr>
        <w:pStyle w:val="ColorfulList-Accent11"/>
        <w:ind w:left="1080"/>
        <w:rPr>
          <w:rFonts w:ascii="Times New Roman" w:hAnsi="Times New Roman"/>
          <w:sz w:val="24"/>
          <w:szCs w:val="24"/>
          <w:lang w:val="es-ES"/>
        </w:rPr>
      </w:pPr>
    </w:p>
    <w:p w14:paraId="6968ADAC" w14:textId="77777777" w:rsidR="003D235F" w:rsidRPr="0005110F" w:rsidRDefault="003D235F" w:rsidP="0005110F">
      <w:pPr>
        <w:pStyle w:val="heading-b24"/>
        <w:jc w:val="both"/>
        <w:rPr>
          <w:rFonts w:ascii="Times New Roman" w:hAnsi="Times New Roman"/>
          <w:szCs w:val="24"/>
          <w:lang w:val="es-ES"/>
        </w:rPr>
      </w:pPr>
      <w:r w:rsidRPr="00B42C40">
        <w:rPr>
          <w:rFonts w:ascii="Times New Roman" w:hAnsi="Times New Roman"/>
          <w:szCs w:val="24"/>
        </w:rPr>
        <w:br w:type="page"/>
      </w:r>
      <w:r w:rsidR="0005110F">
        <w:rPr>
          <w:rFonts w:ascii="Times New Roman" w:eastAsia="Arial Unicode MS" w:hAnsi="Times New Roman"/>
          <w:szCs w:val="24"/>
          <w:lang w:val="es-ES"/>
        </w:rPr>
        <w:lastRenderedPageBreak/>
        <w:t>Siglas y Abreviaturas</w:t>
      </w:r>
    </w:p>
    <w:p w14:paraId="6FDB7C2B" w14:textId="77777777" w:rsidR="001E68F6" w:rsidRDefault="001E68F6" w:rsidP="00225AE4">
      <w:pPr>
        <w:widowControl w:val="0"/>
        <w:autoSpaceDE w:val="0"/>
        <w:autoSpaceDN w:val="0"/>
        <w:adjustRightInd w:val="0"/>
        <w:spacing w:after="200" w:line="276" w:lineRule="auto"/>
        <w:rPr>
          <w:szCs w:val="24"/>
          <w:lang w:val="es-ES"/>
        </w:rPr>
      </w:pPr>
      <w:r>
        <w:rPr>
          <w:szCs w:val="24"/>
          <w:lang w:val="es-ES"/>
        </w:rPr>
        <w:t>CDMYPE: Centros para el Desarrollo de las Micro y Pequeñas Empresas</w:t>
      </w:r>
    </w:p>
    <w:p w14:paraId="523771E9" w14:textId="77777777" w:rsidR="001E68F6" w:rsidRDefault="001E68F6" w:rsidP="00225AE4">
      <w:pPr>
        <w:widowControl w:val="0"/>
        <w:autoSpaceDE w:val="0"/>
        <w:autoSpaceDN w:val="0"/>
        <w:adjustRightInd w:val="0"/>
        <w:spacing w:after="200" w:line="276" w:lineRule="auto"/>
        <w:rPr>
          <w:szCs w:val="24"/>
          <w:lang w:val="es-ES"/>
        </w:rPr>
      </w:pPr>
      <w:r>
        <w:rPr>
          <w:szCs w:val="24"/>
          <w:lang w:val="es-ES"/>
        </w:rPr>
        <w:t>CONAMYPE</w:t>
      </w:r>
    </w:p>
    <w:p w14:paraId="3419CDE3" w14:textId="77777777" w:rsidR="00145825" w:rsidRDefault="00145825" w:rsidP="00225AE4">
      <w:pPr>
        <w:widowControl w:val="0"/>
        <w:autoSpaceDE w:val="0"/>
        <w:autoSpaceDN w:val="0"/>
        <w:adjustRightInd w:val="0"/>
        <w:spacing w:after="200" w:line="276" w:lineRule="auto"/>
        <w:rPr>
          <w:szCs w:val="24"/>
          <w:lang w:val="es-ES"/>
        </w:rPr>
      </w:pPr>
      <w:r>
        <w:rPr>
          <w:szCs w:val="24"/>
          <w:lang w:val="es-ES"/>
        </w:rPr>
        <w:t>DD: Diferencias en Diferencias</w:t>
      </w:r>
    </w:p>
    <w:p w14:paraId="5CFC59ED" w14:textId="77777777" w:rsidR="001E68F6" w:rsidRDefault="001E68F6" w:rsidP="00225AE4">
      <w:pPr>
        <w:widowControl w:val="0"/>
        <w:autoSpaceDE w:val="0"/>
        <w:autoSpaceDN w:val="0"/>
        <w:adjustRightInd w:val="0"/>
        <w:spacing w:after="200" w:line="276" w:lineRule="auto"/>
        <w:rPr>
          <w:szCs w:val="24"/>
          <w:lang w:val="es-ES"/>
        </w:rPr>
      </w:pPr>
      <w:r>
        <w:rPr>
          <w:szCs w:val="24"/>
          <w:lang w:val="es-ES"/>
        </w:rPr>
        <w:t>FCM: Franja Costero Marina</w:t>
      </w:r>
    </w:p>
    <w:p w14:paraId="5812B87B" w14:textId="77777777" w:rsidR="001E68F6" w:rsidRDefault="001E68F6" w:rsidP="00225AE4">
      <w:pPr>
        <w:widowControl w:val="0"/>
        <w:autoSpaceDE w:val="0"/>
        <w:autoSpaceDN w:val="0"/>
        <w:adjustRightInd w:val="0"/>
        <w:spacing w:after="200" w:line="276" w:lineRule="auto"/>
        <w:rPr>
          <w:szCs w:val="24"/>
          <w:lang w:val="es-ES"/>
        </w:rPr>
      </w:pPr>
      <w:r>
        <w:rPr>
          <w:szCs w:val="24"/>
          <w:lang w:val="es-ES"/>
        </w:rPr>
        <w:t>FONDEPRO</w:t>
      </w:r>
    </w:p>
    <w:p w14:paraId="613C294A" w14:textId="77777777" w:rsidR="001E68F6" w:rsidRPr="009E4A98" w:rsidRDefault="001E68F6" w:rsidP="00225AE4">
      <w:pPr>
        <w:widowControl w:val="0"/>
        <w:autoSpaceDE w:val="0"/>
        <w:autoSpaceDN w:val="0"/>
        <w:adjustRightInd w:val="0"/>
        <w:spacing w:after="200" w:line="276" w:lineRule="auto"/>
        <w:rPr>
          <w:szCs w:val="24"/>
          <w:lang w:val="es-ES"/>
        </w:rPr>
      </w:pPr>
      <w:r w:rsidRPr="009E4A98">
        <w:rPr>
          <w:szCs w:val="24"/>
          <w:lang w:val="es-ES"/>
        </w:rPr>
        <w:t xml:space="preserve">MARN: Ministerio </w:t>
      </w:r>
      <w:r w:rsidR="009E4A98" w:rsidRPr="009E4A98">
        <w:rPr>
          <w:szCs w:val="24"/>
          <w:lang w:val="es-ES"/>
        </w:rPr>
        <w:t xml:space="preserve">de Medio ambiente </w:t>
      </w:r>
      <w:r w:rsidRPr="009E4A98">
        <w:rPr>
          <w:szCs w:val="24"/>
          <w:lang w:val="es-ES"/>
        </w:rPr>
        <w:t>y Recursos Naturales</w:t>
      </w:r>
    </w:p>
    <w:p w14:paraId="5C08D738" w14:textId="77777777" w:rsidR="00225AE4" w:rsidRPr="00F0610D" w:rsidRDefault="00225AE4" w:rsidP="00225AE4">
      <w:pPr>
        <w:widowControl w:val="0"/>
        <w:autoSpaceDE w:val="0"/>
        <w:autoSpaceDN w:val="0"/>
        <w:adjustRightInd w:val="0"/>
        <w:spacing w:after="200" w:line="276" w:lineRule="auto"/>
        <w:rPr>
          <w:szCs w:val="24"/>
          <w:lang w:val="en-US"/>
        </w:rPr>
      </w:pPr>
      <w:r w:rsidRPr="00F0610D">
        <w:rPr>
          <w:szCs w:val="24"/>
          <w:lang w:val="en-US"/>
        </w:rPr>
        <w:t>PMR: Progress Monitoring Report</w:t>
      </w:r>
    </w:p>
    <w:p w14:paraId="5A35694B" w14:textId="77777777" w:rsidR="00225AE4" w:rsidRPr="00F0610D" w:rsidRDefault="00225AE4" w:rsidP="00225AE4">
      <w:pPr>
        <w:widowControl w:val="0"/>
        <w:autoSpaceDE w:val="0"/>
        <w:autoSpaceDN w:val="0"/>
        <w:adjustRightInd w:val="0"/>
        <w:spacing w:after="200" w:line="276" w:lineRule="auto"/>
        <w:rPr>
          <w:szCs w:val="24"/>
          <w:lang w:val="en-US"/>
        </w:rPr>
      </w:pPr>
      <w:r w:rsidRPr="00F0610D">
        <w:rPr>
          <w:szCs w:val="24"/>
          <w:lang w:val="en-US"/>
        </w:rPr>
        <w:t>POA: Plan Operativo Anual</w:t>
      </w:r>
    </w:p>
    <w:p w14:paraId="4E1535F1" w14:textId="77777777" w:rsidR="00145825" w:rsidRPr="00F0610D" w:rsidRDefault="00145825" w:rsidP="00225AE4">
      <w:pPr>
        <w:widowControl w:val="0"/>
        <w:autoSpaceDE w:val="0"/>
        <w:autoSpaceDN w:val="0"/>
        <w:adjustRightInd w:val="0"/>
        <w:spacing w:after="200" w:line="276" w:lineRule="auto"/>
        <w:rPr>
          <w:szCs w:val="24"/>
        </w:rPr>
      </w:pPr>
      <w:r>
        <w:rPr>
          <w:szCs w:val="24"/>
          <w:lang w:val="es-ES"/>
        </w:rPr>
        <w:t>PSM</w:t>
      </w:r>
      <w:r w:rsidRPr="00F0610D">
        <w:rPr>
          <w:szCs w:val="24"/>
        </w:rPr>
        <w:t>: Propensity Score Matching</w:t>
      </w:r>
    </w:p>
    <w:p w14:paraId="1EC33445" w14:textId="77777777" w:rsidR="00225AE4" w:rsidRPr="00225AE4" w:rsidRDefault="00225AE4" w:rsidP="00225AE4">
      <w:pPr>
        <w:widowControl w:val="0"/>
        <w:autoSpaceDE w:val="0"/>
        <w:autoSpaceDN w:val="0"/>
        <w:adjustRightInd w:val="0"/>
        <w:spacing w:after="200" w:line="276" w:lineRule="auto"/>
        <w:rPr>
          <w:szCs w:val="24"/>
          <w:lang w:val="es-ES"/>
        </w:rPr>
      </w:pPr>
      <w:r w:rsidRPr="00225AE4">
        <w:rPr>
          <w:szCs w:val="24"/>
          <w:lang w:val="es-ES"/>
        </w:rPr>
        <w:t>ROP: Reglamento Operativo de Programa</w:t>
      </w:r>
    </w:p>
    <w:p w14:paraId="41B90D1D" w14:textId="77777777" w:rsidR="00225AE4" w:rsidRPr="00225AE4" w:rsidRDefault="00225AE4" w:rsidP="00225AE4">
      <w:pPr>
        <w:widowControl w:val="0"/>
        <w:autoSpaceDE w:val="0"/>
        <w:autoSpaceDN w:val="0"/>
        <w:adjustRightInd w:val="0"/>
        <w:spacing w:after="200" w:line="276" w:lineRule="auto"/>
        <w:rPr>
          <w:szCs w:val="24"/>
          <w:lang w:val="es-ES"/>
        </w:rPr>
      </w:pPr>
      <w:r w:rsidRPr="00225AE4">
        <w:rPr>
          <w:szCs w:val="24"/>
          <w:lang w:val="es-ES"/>
        </w:rPr>
        <w:t>U</w:t>
      </w:r>
      <w:r w:rsidR="00457B6D">
        <w:rPr>
          <w:szCs w:val="24"/>
          <w:lang w:val="es-ES"/>
        </w:rPr>
        <w:t>C</w:t>
      </w:r>
      <w:r w:rsidRPr="00225AE4">
        <w:rPr>
          <w:szCs w:val="24"/>
          <w:lang w:val="es-ES"/>
        </w:rPr>
        <w:t xml:space="preserve">P: Unidad </w:t>
      </w:r>
      <w:r w:rsidR="00457B6D">
        <w:rPr>
          <w:szCs w:val="24"/>
          <w:lang w:val="es-ES"/>
        </w:rPr>
        <w:t>Coordinadora del Programa</w:t>
      </w:r>
    </w:p>
    <w:p w14:paraId="7338E766" w14:textId="77777777" w:rsidR="00DB637A" w:rsidRPr="00E6798C" w:rsidRDefault="003D235F" w:rsidP="00B42C40">
      <w:pPr>
        <w:rPr>
          <w:b/>
          <w:szCs w:val="24"/>
        </w:rPr>
      </w:pPr>
      <w:r w:rsidRPr="00B42C40">
        <w:rPr>
          <w:szCs w:val="24"/>
        </w:rPr>
        <w:br w:type="page"/>
      </w:r>
      <w:r w:rsidR="009F7A0F" w:rsidRPr="00E6798C">
        <w:rPr>
          <w:b/>
          <w:szCs w:val="24"/>
        </w:rPr>
        <w:lastRenderedPageBreak/>
        <w:t>I.  Introducción</w:t>
      </w:r>
    </w:p>
    <w:p w14:paraId="69123A66" w14:textId="5CA54B5B" w:rsidR="00457B6D" w:rsidRPr="008E5366" w:rsidRDefault="00457B6D" w:rsidP="00457B6D">
      <w:r w:rsidRPr="00A76EB3">
        <w:t xml:space="preserve">El fin del programa es contribuir al crecimiento económico en </w:t>
      </w:r>
      <w:r w:rsidR="00AE3B26">
        <w:t>municipios priorizados</w:t>
      </w:r>
      <w:r>
        <w:t xml:space="preserve"> de la Franja Costero-Marina</w:t>
      </w:r>
      <w:r w:rsidR="00EB01BD">
        <w:t xml:space="preserve"> (FCM)</w:t>
      </w:r>
      <w:r>
        <w:rPr>
          <w:rStyle w:val="FootnoteReference"/>
        </w:rPr>
        <w:footnoteReference w:id="2"/>
      </w:r>
      <w:r w:rsidRPr="00A76EB3">
        <w:t>. Los objetivos específicos del programa son: i)</w:t>
      </w:r>
      <w:r w:rsidRPr="00D6396E">
        <w:t> </w:t>
      </w:r>
      <w:r w:rsidRPr="00A76EB3">
        <w:t>aumentar la competitividad de las MIPYMEs ubicadas en estos territorios; ii)</w:t>
      </w:r>
      <w:r w:rsidRPr="00D6396E">
        <w:t> </w:t>
      </w:r>
      <w:r w:rsidRPr="00A76EB3">
        <w:t xml:space="preserve">mejorar la infraestructura </w:t>
      </w:r>
      <w:r w:rsidR="00AE3B26">
        <w:t xml:space="preserve">productiva, operativa y </w:t>
      </w:r>
      <w:r w:rsidRPr="00A76EB3">
        <w:t xml:space="preserve">logística </w:t>
      </w:r>
      <w:r w:rsidR="00AE3B26">
        <w:t xml:space="preserve">a nivel logal </w:t>
      </w:r>
      <w:r w:rsidRPr="00A76EB3">
        <w:t xml:space="preserve">para </w:t>
      </w:r>
      <w:r w:rsidR="00AE3B26">
        <w:t xml:space="preserve">incrementar </w:t>
      </w:r>
      <w:r w:rsidRPr="00A76EB3">
        <w:t>la competitividad; iii)</w:t>
      </w:r>
      <w:r w:rsidRPr="00D6396E">
        <w:t> </w:t>
      </w:r>
      <w:r w:rsidR="00AE3B26">
        <w:t>fortalecer</w:t>
      </w:r>
      <w:r w:rsidR="00AE3B26" w:rsidRPr="00A76EB3">
        <w:t xml:space="preserve"> </w:t>
      </w:r>
      <w:r w:rsidRPr="00A76EB3">
        <w:t xml:space="preserve">la </w:t>
      </w:r>
      <w:r>
        <w:t>gestión</w:t>
      </w:r>
      <w:r w:rsidRPr="00A76EB3">
        <w:t xml:space="preserve"> ambiental de la FCM</w:t>
      </w:r>
      <w:r w:rsidR="00AE3B26">
        <w:t>, como elemento fundamental para lograr un desarrollo ambiental sostenible y equilibrado en estos territorios</w:t>
      </w:r>
      <w:r w:rsidRPr="00A76EB3">
        <w:t>; y iv)</w:t>
      </w:r>
      <w:r w:rsidRPr="00D6396E">
        <w:t> </w:t>
      </w:r>
      <w:r w:rsidRPr="00A76EB3">
        <w:t>contribuir al fortalecimiento del marco institucional</w:t>
      </w:r>
      <w:r w:rsidR="00AE3B26">
        <w:t>, normativo</w:t>
      </w:r>
      <w:r w:rsidRPr="00A76EB3">
        <w:t xml:space="preserve"> y de políticas </w:t>
      </w:r>
      <w:r w:rsidR="00AE3B26">
        <w:t>públicas que</w:t>
      </w:r>
      <w:r w:rsidR="00AE3B26" w:rsidRPr="00A76EB3">
        <w:t xml:space="preserve"> </w:t>
      </w:r>
      <w:r w:rsidRPr="00A76EB3">
        <w:t>apoy</w:t>
      </w:r>
      <w:r w:rsidR="00AE3B26">
        <w:t>en</w:t>
      </w:r>
      <w:r w:rsidRPr="00A76EB3">
        <w:t xml:space="preserve"> al desarrollo productivo</w:t>
      </w:r>
      <w:r w:rsidR="00AE3B26">
        <w:t xml:space="preserve"> dentro de la FCM</w:t>
      </w:r>
      <w:r w:rsidRPr="00A76EB3">
        <w:t>. Para alcanzar estos objetivos, se contemplan los siguientes componentes:</w:t>
      </w:r>
      <w:r w:rsidRPr="008E5366">
        <w:t xml:space="preserve"> </w:t>
      </w:r>
    </w:p>
    <w:p w14:paraId="7B574F1E" w14:textId="12A28035" w:rsidR="00457B6D" w:rsidRDefault="00457B6D" w:rsidP="00457B6D">
      <w:bookmarkStart w:id="1" w:name="_Ref359837786"/>
      <w:r w:rsidRPr="0095289E">
        <w:rPr>
          <w:b/>
        </w:rPr>
        <w:t>Componente I: Desarrollo Productivo para la Competitividad de MIPYMEs (US$1</w:t>
      </w:r>
      <w:r>
        <w:rPr>
          <w:b/>
        </w:rPr>
        <w:t>5</w:t>
      </w:r>
      <w:r w:rsidRPr="0095289E">
        <w:rPr>
          <w:b/>
        </w:rPr>
        <w:t>,</w:t>
      </w:r>
      <w:r>
        <w:rPr>
          <w:b/>
        </w:rPr>
        <w:t>9</w:t>
      </w:r>
      <w:r w:rsidRPr="0095289E">
        <w:rPr>
          <w:b/>
        </w:rPr>
        <w:t xml:space="preserve"> millones)</w:t>
      </w:r>
      <w:r w:rsidRPr="0095289E">
        <w:t xml:space="preserve">. </w:t>
      </w:r>
      <w:bookmarkEnd w:id="1"/>
      <w:r w:rsidRPr="004A21A8">
        <w:t xml:space="preserve">Este componente tiene como objetivo </w:t>
      </w:r>
      <w:r w:rsidR="00AE3B26">
        <w:t>fortalecer</w:t>
      </w:r>
      <w:r w:rsidRPr="004A21A8">
        <w:t xml:space="preserve"> los</w:t>
      </w:r>
      <w:r>
        <w:t xml:space="preserve"> </w:t>
      </w:r>
      <w:r w:rsidRPr="004A21A8">
        <w:t xml:space="preserve">sistemas productivos (corredores productivos) de </w:t>
      </w:r>
      <w:r>
        <w:t xml:space="preserve">los distintos sectores que conforman el tejido empresarial de </w:t>
      </w:r>
      <w:r w:rsidRPr="004A21A8">
        <w:t xml:space="preserve">la FCM de los municipios </w:t>
      </w:r>
      <w:r>
        <w:t>priorizados</w:t>
      </w:r>
      <w:r w:rsidRPr="004A21A8">
        <w:t>, mediante un conjunto de instrumentos de apoyo al</w:t>
      </w:r>
      <w:r>
        <w:t xml:space="preserve"> </w:t>
      </w:r>
      <w:r w:rsidRPr="004A21A8">
        <w:t>emprendimiento y el desarrollo productivo de las MIPYME</w:t>
      </w:r>
      <w:r>
        <w:t xml:space="preserve"> en actividades de transformación, comercio y servicios</w:t>
      </w:r>
      <w:r w:rsidRPr="004A21A8">
        <w:t>. Por un lado se</w:t>
      </w:r>
      <w:r>
        <w:t xml:space="preserve"> </w:t>
      </w:r>
      <w:r w:rsidRPr="004A21A8">
        <w:t xml:space="preserve">fortalecerán las capacidades de respuesta y </w:t>
      </w:r>
      <w:r>
        <w:t xml:space="preserve">de </w:t>
      </w:r>
      <w:r w:rsidRPr="004A21A8">
        <w:t>of</w:t>
      </w:r>
      <w:r>
        <w:t xml:space="preserve">erta de servicios a través </w:t>
      </w:r>
      <w:r w:rsidR="00AE3B26">
        <w:t>de los instrumentos creados por CONAMYPE para el surgimiento y crecimiento de emprendimientos en la FCM</w:t>
      </w:r>
      <w:r w:rsidRPr="004A21A8">
        <w:t>, y por otro lado se implementarán nuevos</w:t>
      </w:r>
      <w:r>
        <w:t xml:space="preserve"> </w:t>
      </w:r>
      <w:r w:rsidRPr="004A21A8">
        <w:t xml:space="preserve">instrumentos </w:t>
      </w:r>
      <w:r>
        <w:t xml:space="preserve">de apoyo al desarrollo productivo </w:t>
      </w:r>
      <w:r w:rsidRPr="004A21A8">
        <w:t>dentro del FONDEPRO</w:t>
      </w:r>
      <w:r>
        <w:rPr>
          <w:rStyle w:val="FootnoteReference"/>
        </w:rPr>
        <w:footnoteReference w:id="3"/>
      </w:r>
      <w:r w:rsidRPr="004A21A8">
        <w:t>, diseñados para atender las necesidades</w:t>
      </w:r>
      <w:r>
        <w:t xml:space="preserve"> </w:t>
      </w:r>
      <w:r w:rsidRPr="004A21A8">
        <w:t>específic</w:t>
      </w:r>
      <w:r>
        <w:t xml:space="preserve">as y demandas de las </w:t>
      </w:r>
      <w:r w:rsidRPr="004A21A8">
        <w:t>PYME de estos territorios.</w:t>
      </w:r>
    </w:p>
    <w:p w14:paraId="5F831999" w14:textId="0451CAA6" w:rsidR="00457B6D" w:rsidRDefault="00457B6D" w:rsidP="00457B6D">
      <w:r>
        <w:t xml:space="preserve">Los servicios y programas de desarrollo empresarial a ser ofrecidos a través de este componente incluyen: </w:t>
      </w:r>
      <w:r w:rsidRPr="000F683F">
        <w:t xml:space="preserve">asistencia técnica, capacitación empresarial, uso de las TIC, fomento de la asociatividad y la articulación productiva, apoyo a la innovación, el emprendimiento y la mejora de la calidad, empresarialidad femenina, </w:t>
      </w:r>
      <w:r>
        <w:t xml:space="preserve">desarrollo de nuevos mercados, fomento y atracción de nuevas inversiones locales, </w:t>
      </w:r>
      <w:r w:rsidRPr="000F683F">
        <w:t>y apoyo al proceso de formalización de empresas.</w:t>
      </w:r>
      <w:r w:rsidR="00AE3B26">
        <w:t xml:space="preserve"> </w:t>
      </w:r>
      <w:r w:rsidR="00AE3B26" w:rsidRPr="00AE3B26">
        <w:t>Los CDMYPES apoyarán el desarrollo empresarial mediante servicios de asesorías, capacitación y asistencia técnicas empresariales y los Centros Regionales de CONAMYPE apoyarán la formalización, los emprendimientos, la asociatividad y articulación empresarial. La naturaleza de los apoyos propuestos para las empresas en este Componente, tendrán el potencial de elevar su capacidad de acceder al crédito.</w:t>
      </w:r>
    </w:p>
    <w:p w14:paraId="4379EB68" w14:textId="0C57CE9E" w:rsidR="00457B6D" w:rsidRPr="0095289E" w:rsidRDefault="00457B6D" w:rsidP="00457B6D">
      <w:r w:rsidRPr="004A21A8">
        <w:t>La modalidad de los instrumentos</w:t>
      </w:r>
      <w:r>
        <w:t xml:space="preserve"> </w:t>
      </w:r>
      <w:r w:rsidRPr="004A21A8">
        <w:t>de apoyo consistirá en cofinanciamientos parciales no reembolsables</w:t>
      </w:r>
      <w:r>
        <w:t xml:space="preserve"> </w:t>
      </w:r>
      <w:r>
        <w:rPr>
          <w:lang w:val="es-ES"/>
        </w:rPr>
        <w:t>(o Aportes parciales no-rembolsables, ANR)</w:t>
      </w:r>
      <w:r w:rsidRPr="004A21A8">
        <w:t>, adjudicados</w:t>
      </w:r>
      <w:r>
        <w:t xml:space="preserve"> </w:t>
      </w:r>
      <w:r w:rsidRPr="004A21A8">
        <w:t xml:space="preserve">mediante convocatorias públicas </w:t>
      </w:r>
      <w:r>
        <w:t xml:space="preserve">en respuesta a la demanda de las empresas de los distintos sectores productivos, </w:t>
      </w:r>
      <w:r w:rsidRPr="004A21A8">
        <w:t>en las que se exigirá un alto nivel de transparencia</w:t>
      </w:r>
      <w:r>
        <w:t xml:space="preserve"> </w:t>
      </w:r>
      <w:r w:rsidRPr="004A21A8">
        <w:t>y cuyos criterios de evaluación serán basados en la calidad y el mérito de las</w:t>
      </w:r>
      <w:r>
        <w:t xml:space="preserve"> </w:t>
      </w:r>
      <w:r w:rsidRPr="004A21A8">
        <w:t xml:space="preserve">propuestas. </w:t>
      </w:r>
      <w:r w:rsidR="00AE3B26">
        <w:t xml:space="preserve">Este componente está diseñado para enfocarse en MIPYMEs con mayor potencial de crecimiento, mediante un aumento de su </w:t>
      </w:r>
      <w:r w:rsidR="00AE3B26">
        <w:lastRenderedPageBreak/>
        <w:t xml:space="preserve">productividad. Por esta razón, se </w:t>
      </w:r>
      <w:r w:rsidR="00AE3B26" w:rsidRPr="00AE3B26">
        <w:t>priorizará en sectores en los que existe una mayor demanda identificada como lo son las cadenas de pesca y acuicultura (camarón, pesca artesanal, acuicultura marina), el turismo y la agroindustria. Como mínimo, para que una empresa reciba apoyo de servicios empresariales o cofinanciamiento de proyectos deberá: ser una empresa salvadoreña registrada o con un plan de formalización, ser una micro, pequeña o mediana empresa de acuerdo a los criterios de CONAMYPE, presentar una propuesta con un plan claro de factibilidad económica, sostenibilidad y una descripción de las necesidades identificadas (podrá contar con el apoyo de un asesor de CDMYPE o FONDEPRO) y obtener una evaluación favorable de criterios objetivos . En el caso de fondos semilla de CONAMYPE se podrá considerar emprendimientos o micro empresas que cuentan con un plan de formalización.</w:t>
      </w:r>
      <w:r w:rsidR="00AE3B26">
        <w:t xml:space="preserve"> </w:t>
      </w:r>
      <w:r w:rsidRPr="004A21A8">
        <w:t>Los criterios serán detallados en el Manual de Operaciones del</w:t>
      </w:r>
      <w:r>
        <w:t xml:space="preserve"> </w:t>
      </w:r>
      <w:r w:rsidRPr="004A21A8">
        <w:t>Programa</w:t>
      </w:r>
      <w:r>
        <w:t xml:space="preserve"> (MOP)</w:t>
      </w:r>
      <w:r w:rsidRPr="004A21A8">
        <w:t>.</w:t>
      </w:r>
    </w:p>
    <w:p w14:paraId="3748D30B" w14:textId="77777777" w:rsidR="00457B6D" w:rsidRDefault="00457B6D" w:rsidP="00457B6D">
      <w:r w:rsidRPr="0095289E">
        <w:rPr>
          <w:b/>
        </w:rPr>
        <w:t>Componente II: Inversiones Productivas y Logísticas para la Competitividad (US$</w:t>
      </w:r>
      <w:r>
        <w:rPr>
          <w:b/>
        </w:rPr>
        <w:t>2</w:t>
      </w:r>
      <w:r w:rsidRPr="0095289E">
        <w:rPr>
          <w:b/>
        </w:rPr>
        <w:t>1,</w:t>
      </w:r>
      <w:r>
        <w:rPr>
          <w:b/>
        </w:rPr>
        <w:t>4</w:t>
      </w:r>
      <w:r w:rsidRPr="0095289E">
        <w:rPr>
          <w:b/>
        </w:rPr>
        <w:t xml:space="preserve"> millones)</w:t>
      </w:r>
      <w:r w:rsidRPr="0095289E">
        <w:t>. Mediante este componente se financiará infraestructura productiva y de comercialización complementaria de uso común requerida para potenciar el desarrollo económico de las áreas de intervención del programa. Se financiarán muelles de uso dual (pesca y turismo)</w:t>
      </w:r>
      <w:r>
        <w:t xml:space="preserve">, </w:t>
      </w:r>
      <w:r w:rsidRPr="0095289E">
        <w:t>centros de acopio, de comercialización y sistemas de cadena de frío, entre otras. Asimismo, se financiarán obras de vialidad complementarias a las que financiará el FOMILENIO II, incluyendo el mejoramiento de caminos ya existentes y mejores accesos a las playas desde las que operan los pescadores artesanales de estas zonas.</w:t>
      </w:r>
    </w:p>
    <w:p w14:paraId="7FD513CD" w14:textId="77777777" w:rsidR="00457B6D" w:rsidRDefault="00457B6D" w:rsidP="00457B6D">
      <w:r>
        <w:t>El objetivo de este componente es potenciar el desarrollo económico de las áreas de intervención del programa mediante el financiamiento de infraestructura productiva y de comercialización complementaria de uso común, así como también de infraestructura logística para favorecer la competitividad de los sectores productivos. Incluye los siguientes subcomponentes:</w:t>
      </w:r>
    </w:p>
    <w:p w14:paraId="2C659244" w14:textId="1B1FD0AE" w:rsidR="00457B6D" w:rsidRDefault="00457B6D" w:rsidP="00457B6D">
      <w:r>
        <w:rPr>
          <w:b/>
        </w:rPr>
        <w:t>Subcomponente 2.1. Infraestructura productiva (US$6.7 Millones).</w:t>
      </w:r>
      <w:r>
        <w:t xml:space="preserve"> Se financiarán muelles de uso dual (pesca y turismo),</w:t>
      </w:r>
      <w:r w:rsidR="00AE3B26">
        <w:t xml:space="preserve"> obras parciales para</w:t>
      </w:r>
      <w:r>
        <w:t xml:space="preserve"> </w:t>
      </w:r>
      <w:r w:rsidRPr="00391E47">
        <w:t>un malecón</w:t>
      </w:r>
      <w:r>
        <w:t xml:space="preserve"> e inversiones en infraestructura de uso común para facilitar el desarrollo de las actividades económicas en las áreas de intervención (centros de acopio, de comercialización, y sistemas de cadena de frío). Con recursos del componente, se financiarán</w:t>
      </w:r>
      <w:r w:rsidR="00AE3B26">
        <w:t>:</w:t>
      </w:r>
      <w:r>
        <w:t xml:space="preserve"> </w:t>
      </w:r>
      <w:r w:rsidR="00AE3B26">
        <w:t xml:space="preserve">(i) </w:t>
      </w:r>
      <w:r>
        <w:t>las obras</w:t>
      </w:r>
      <w:r w:rsidR="00AE3B26">
        <w:t xml:space="preserve"> y su supervisión;</w:t>
      </w:r>
      <w:r>
        <w:t xml:space="preserve"> </w:t>
      </w:r>
      <w:r w:rsidR="00AE3B26">
        <w:t xml:space="preserve">(ii) </w:t>
      </w:r>
      <w:r w:rsidR="00AE3B26">
        <w:br/>
      </w:r>
      <w:r>
        <w:t>estudios técnicos, económicos y socio-ambientales</w:t>
      </w:r>
      <w:r w:rsidR="00AE3B26">
        <w:t>;</w:t>
      </w:r>
      <w:r>
        <w:t xml:space="preserve"> y </w:t>
      </w:r>
      <w:r w:rsidR="00AE3B26">
        <w:t xml:space="preserve">(iii) </w:t>
      </w:r>
      <w:r>
        <w:t xml:space="preserve">planes de recuperación de costos, </w:t>
      </w:r>
      <w:r w:rsidR="00AE3B26">
        <w:t xml:space="preserve">de </w:t>
      </w:r>
      <w:r>
        <w:t xml:space="preserve">mantenimiento y </w:t>
      </w:r>
      <w:r w:rsidR="00AE3B26">
        <w:t xml:space="preserve">de </w:t>
      </w:r>
      <w:r>
        <w:t>operación.</w:t>
      </w:r>
    </w:p>
    <w:p w14:paraId="4FA8F8AB" w14:textId="2E955BC8" w:rsidR="00457B6D" w:rsidRPr="009469FA" w:rsidRDefault="00457B6D" w:rsidP="00457B6D">
      <w:r w:rsidRPr="008927DE">
        <w:t>(i) Muelles de uso dual</w:t>
      </w:r>
      <w:r>
        <w:t xml:space="preserve">: incluye la construcción de tres muelles de uso dual, uno en la isla Zacatillo, uno en la isla Conchagüita y el tercero en Punta Chiquirín. Estos muelles incluyen su respectivo acople a tierra firme y se conectarán con una calle aledaña, para facilitar </w:t>
      </w:r>
      <w:r w:rsidR="00AE3B26">
        <w:t xml:space="preserve">el acceso y </w:t>
      </w:r>
      <w:r>
        <w:t>la conectividad. Incluye asimismo la realización de tareas de reconstrucción y mejoramiento en el muelle artesanal en el Puerto de Acajutla.</w:t>
      </w:r>
      <w:r w:rsidR="00AE3B26">
        <w:t xml:space="preserve"> </w:t>
      </w:r>
      <w:r w:rsidR="00AE3B26" w:rsidRPr="00AE3B26">
        <w:t>Al finalizar la ejecución del proyecto la responsabilidad de operación y mantenimiento de los muelles quedará en manos de CENDEPESCA.</w:t>
      </w:r>
    </w:p>
    <w:p w14:paraId="20589A48" w14:textId="1219ADA1" w:rsidR="00457B6D" w:rsidRDefault="00457B6D" w:rsidP="00457B6D">
      <w:r>
        <w:t>Para aumentar el impacto de la inversión en estos muelles, este subcomponente financiará infraestructura productiva complementaria. Con estas inversiones se mejorará la calidad y la inocuidad de los productos de la pesca y la acuicultura, facilitando el acceso de los productos de la zona a las cadenas de suministro nacionales e internacionales, agregando mayor valor y reduciendo las pérdidas. El Manual de Operaciones del Programa detallará el proceso mediante el cual se definirán estas obras complementarias.</w:t>
      </w:r>
      <w:r w:rsidR="00AE3B26" w:rsidRPr="00AE3B26">
        <w:t xml:space="preserve"> Para asegurar la el mantenimiento y sostenibilidad de estas obras, se exigirá a los proponentes (cooperativas y asociaciones de productores) una propuesta de modelo de gestión y comercialización adecuada, siguiendo las </w:t>
      </w:r>
      <w:r w:rsidR="00AE3B26" w:rsidRPr="00AE3B26">
        <w:lastRenderedPageBreak/>
        <w:t>lecciones aprendidas y ejemplos exitosos de otros centros de acopio en El Salvador</w:t>
      </w:r>
      <w:r w:rsidR="00AE3B26">
        <w:rPr>
          <w:rStyle w:val="FootnoteReference"/>
        </w:rPr>
        <w:footnoteReference w:id="4"/>
      </w:r>
      <w:r w:rsidR="00AE3B26" w:rsidRPr="00AE3B26">
        <w:t>. Se y priorizará la utilización de energías alternativas, como complemento o en sustitución de la conexión al sistema eléctrico.</w:t>
      </w:r>
    </w:p>
    <w:p w14:paraId="02236DB0" w14:textId="2A443139" w:rsidR="00457B6D" w:rsidRPr="008927DE" w:rsidRDefault="00457B6D" w:rsidP="00982A1E">
      <w:r w:rsidRPr="00112033">
        <w:t xml:space="preserve">(ii) </w:t>
      </w:r>
      <w:r w:rsidR="00AE3B26">
        <w:t xml:space="preserve">Obras viales del </w:t>
      </w:r>
      <w:r w:rsidRPr="00112033">
        <w:t xml:space="preserve">Malecón de La Unión: </w:t>
      </w:r>
      <w:r w:rsidR="00AE3B26">
        <w:t>El programa financiará las obras viales para  los espacios públicos que conformarán el Malecón de la Unión. El malecón busca crear espacios de dinámica económica en la zona, mejorar las condiciones de convivencia e impulsar  actividades económicas vinculadas con los productos del mar, la actividad turística e incorporar las comunidades insulares del Golfo de Fonseca. Esta obra vial aledaña al Puerto La Unión, se extiende de Este a Oeste con una longitud aproximada de 600 m.</w:t>
      </w:r>
    </w:p>
    <w:p w14:paraId="2433AEE3" w14:textId="1C0977F2" w:rsidR="00457B6D" w:rsidRDefault="00457B6D" w:rsidP="00457B6D">
      <w:r>
        <w:rPr>
          <w:b/>
        </w:rPr>
        <w:t>Subcomponente 2.3. Infraestructura vial (US$14.7 Millones).</w:t>
      </w:r>
      <w:r>
        <w:t xml:space="preserve"> Se financiarán obras de vialidad complementarias a las que financiará el FOMILENIO II. Incluye el mejoramiento de la carretera UNI08S Corsaín-Las Playitas. La longitud total de la obra es de 6.8 Km con una ruta de geometría sinuosa y con pendientes de moderadas a fuertes. </w:t>
      </w:r>
      <w:r w:rsidRPr="008927DE">
        <w:t xml:space="preserve">La ruta actual de tierra será transformada a una pavimentada que permita </w:t>
      </w:r>
      <w:r>
        <w:t xml:space="preserve">mejorar el acceso a Las Playitas, así como también mejorar el acceso de los pobladores de la zona a los diversos servicios básicos que se brindan en La Unión, potenciando el desarrollo productivo. Este subcomponente incluye también la reconstrucción de 2 carriles e incorporación de hombros de los </w:t>
      </w:r>
      <w:r w:rsidR="00AE3B26">
        <w:t>9,</w:t>
      </w:r>
      <w:r>
        <w:t xml:space="preserve">6 Km del camino USU08S que une las comunidades de San Marcos Lempa y </w:t>
      </w:r>
      <w:r w:rsidR="00AA52F9">
        <w:t>El Zamorán</w:t>
      </w:r>
      <w:r>
        <w:t xml:space="preserve"> en el Departamento de Usulután</w:t>
      </w:r>
      <w:r w:rsidR="00AA52F9">
        <w:t>, incluyendo un by pass en la ciudad de San Marco Lempa y la adquisición de los terrenos necesarios para la liberación del derecho de vía correspondiente</w:t>
      </w:r>
      <w:r>
        <w:t>. Este camino disminuirá el tiempo para el transporte desde la parte oeste de la Bahía de Jiquilisco hacia San Salvador, favorecerá el desarrollo productivo de la zona y potenciará inversiones exisentes y planeadas.</w:t>
      </w:r>
    </w:p>
    <w:p w14:paraId="6DC90BE9" w14:textId="77777777" w:rsidR="00457B6D" w:rsidRPr="0095289E" w:rsidRDefault="00457B6D" w:rsidP="00457B6D">
      <w:r w:rsidRPr="0095289E">
        <w:rPr>
          <w:b/>
        </w:rPr>
        <w:t xml:space="preserve">Componente III: </w:t>
      </w:r>
      <w:r>
        <w:rPr>
          <w:b/>
        </w:rPr>
        <w:t>Gestión</w:t>
      </w:r>
      <w:r w:rsidRPr="0095289E">
        <w:rPr>
          <w:b/>
        </w:rPr>
        <w:t xml:space="preserve"> Ambiental de la Franja Costero-Marítima (US$</w:t>
      </w:r>
      <w:r>
        <w:rPr>
          <w:b/>
        </w:rPr>
        <w:t>0</w:t>
      </w:r>
      <w:r w:rsidRPr="0095289E">
        <w:rPr>
          <w:b/>
        </w:rPr>
        <w:t>,5 millones)</w:t>
      </w:r>
      <w:r w:rsidRPr="0095289E">
        <w:t>. El objetivo de este componente es el mejoramiento de la gestión ambiental en la FCM, que permita la sostenibilidad de las actividades de desarrollo productivo en los territorios priorizados</w:t>
      </w:r>
      <w:r w:rsidRPr="0095289E">
        <w:rPr>
          <w:rStyle w:val="FootnoteReference"/>
        </w:rPr>
        <w:footnoteReference w:id="5"/>
      </w:r>
      <w:r w:rsidRPr="0095289E">
        <w:t xml:space="preserve">. Para cumplir con este objetivo, se realizarán </w:t>
      </w:r>
      <w:r>
        <w:t xml:space="preserve">estudios que apoyen a la viabilización de futuras </w:t>
      </w:r>
      <w:r w:rsidRPr="0095289E">
        <w:t>acciones de restauración de ecosistemas y paisajes en canales primarios y secundarios de bosques salados o manglares y bosques de ribera</w:t>
      </w:r>
      <w:r>
        <w:t>.</w:t>
      </w:r>
    </w:p>
    <w:p w14:paraId="54DAEB7F" w14:textId="324B4935" w:rsidR="00457B6D" w:rsidRDefault="00457B6D" w:rsidP="00457B6D">
      <w:r w:rsidRPr="0095289E">
        <w:rPr>
          <w:b/>
        </w:rPr>
        <w:t>Componente IV: Fortalecimiento Institucional (US$</w:t>
      </w:r>
      <w:r>
        <w:rPr>
          <w:b/>
        </w:rPr>
        <w:t>1,</w:t>
      </w:r>
      <w:r w:rsidR="00AA52F9">
        <w:rPr>
          <w:b/>
        </w:rPr>
        <w:t>05</w:t>
      </w:r>
      <w:r w:rsidRPr="0095289E">
        <w:rPr>
          <w:b/>
        </w:rPr>
        <w:t xml:space="preserve"> millones)</w:t>
      </w:r>
      <w:r w:rsidRPr="0095289E">
        <w:t xml:space="preserve">. A través de este componente se </w:t>
      </w:r>
      <w:r>
        <w:t>implementaran actividades de apoyo</w:t>
      </w:r>
      <w:r w:rsidRPr="0095289E">
        <w:t xml:space="preserve"> a las instituciones que participarán en la ejecución del programa</w:t>
      </w:r>
      <w:r>
        <w:t>, entre las que se encuentran el MINEC, CONAMYPE, las ADEL, y CENDEPESCA</w:t>
      </w:r>
      <w:r w:rsidRPr="0095289E">
        <w:t xml:space="preserve"> (ver</w:t>
      </w:r>
      <w:r>
        <w:t xml:space="preserve"> ¶3.1</w:t>
      </w:r>
      <w:r w:rsidRPr="0095289E">
        <w:t xml:space="preserve">), </w:t>
      </w:r>
      <w:r>
        <w:t xml:space="preserve">con el propósito de </w:t>
      </w:r>
      <w:r w:rsidRPr="0095289E">
        <w:t xml:space="preserve">asegurar que cuenten con </w:t>
      </w:r>
      <w:r>
        <w:t>las herramientas adecuadas</w:t>
      </w:r>
      <w:r w:rsidRPr="0095289E">
        <w:t xml:space="preserve"> para la implementación de las </w:t>
      </w:r>
      <w:r>
        <w:t xml:space="preserve">diversas </w:t>
      </w:r>
      <w:r w:rsidRPr="0095289E">
        <w:t>acciones de apoyo a las entidades beneficiarias, y se genere la información requerida para el monitoreo, seguimiento y evaluación de dichas intervenciones.</w:t>
      </w:r>
      <w:r>
        <w:t xml:space="preserve"> Entre estas actividades se encuentran: (i) georeferenciación de empresas en las zonas de intervención, (ii) desarrollo de un sistema de monitoreo para medición de impacto, (iii) actividades para el desarrollo de una cultura de gestión de riesgos, (iv) actividades de capacitación orientadas a la mejora en la provisión de servicios, y (v) fortalecimiento de sistemas estadísticos sectoriales, entre otros.</w:t>
      </w:r>
    </w:p>
    <w:p w14:paraId="6D8938BB" w14:textId="77777777" w:rsidR="00457B6D" w:rsidRDefault="00457B6D" w:rsidP="00457B6D">
      <w:pPr>
        <w:jc w:val="center"/>
        <w:rPr>
          <w:b/>
          <w:sz w:val="16"/>
          <w:szCs w:val="16"/>
        </w:rPr>
      </w:pPr>
      <w:r w:rsidRPr="008E5366">
        <w:rPr>
          <w:b/>
          <w:sz w:val="16"/>
          <w:szCs w:val="16"/>
        </w:rPr>
        <w:lastRenderedPageBreak/>
        <w:t>CUADRO 1: COSTOS DEL PROYECTO (EN MILES DE US$)</w:t>
      </w:r>
    </w:p>
    <w:tbl>
      <w:tblPr>
        <w:tblW w:w="7658" w:type="dxa"/>
        <w:jc w:val="center"/>
        <w:tblInd w:w="1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9"/>
        <w:gridCol w:w="810"/>
        <w:gridCol w:w="720"/>
        <w:gridCol w:w="1129"/>
      </w:tblGrid>
      <w:tr w:rsidR="00457B6D" w:rsidRPr="0039142B" w14:paraId="191FF4BF" w14:textId="77777777" w:rsidTr="008855F3">
        <w:trPr>
          <w:jc w:val="center"/>
        </w:trPr>
        <w:tc>
          <w:tcPr>
            <w:tcW w:w="4999" w:type="dxa"/>
            <w:shd w:val="clear" w:color="auto" w:fill="D9D9D9"/>
            <w:hideMark/>
          </w:tcPr>
          <w:p w14:paraId="445256B8" w14:textId="77777777" w:rsidR="00457B6D" w:rsidRPr="0039142B" w:rsidRDefault="00457B6D" w:rsidP="008855F3">
            <w:pPr>
              <w:jc w:val="center"/>
              <w:rPr>
                <w:b/>
                <w:sz w:val="20"/>
              </w:rPr>
            </w:pPr>
            <w:r w:rsidRPr="0039142B">
              <w:rPr>
                <w:b/>
                <w:sz w:val="20"/>
              </w:rPr>
              <w:t>Componentes</w:t>
            </w:r>
          </w:p>
        </w:tc>
        <w:tc>
          <w:tcPr>
            <w:tcW w:w="810" w:type="dxa"/>
            <w:shd w:val="clear" w:color="auto" w:fill="D9D9D9"/>
            <w:hideMark/>
          </w:tcPr>
          <w:p w14:paraId="25D5A331" w14:textId="77777777" w:rsidR="00457B6D" w:rsidRPr="0039142B" w:rsidRDefault="00457B6D" w:rsidP="008855F3">
            <w:pPr>
              <w:jc w:val="center"/>
              <w:rPr>
                <w:b/>
                <w:sz w:val="20"/>
              </w:rPr>
            </w:pPr>
            <w:r w:rsidRPr="0039142B">
              <w:rPr>
                <w:b/>
                <w:sz w:val="20"/>
              </w:rPr>
              <w:t>BID</w:t>
            </w:r>
          </w:p>
        </w:tc>
        <w:tc>
          <w:tcPr>
            <w:tcW w:w="720" w:type="dxa"/>
            <w:shd w:val="clear" w:color="auto" w:fill="D9D9D9"/>
            <w:hideMark/>
          </w:tcPr>
          <w:p w14:paraId="0FE25A2F" w14:textId="77777777" w:rsidR="00457B6D" w:rsidRPr="0039142B" w:rsidRDefault="00457B6D" w:rsidP="008855F3">
            <w:pPr>
              <w:jc w:val="center"/>
              <w:rPr>
                <w:b/>
                <w:sz w:val="20"/>
              </w:rPr>
            </w:pPr>
            <w:r w:rsidRPr="0039142B">
              <w:rPr>
                <w:b/>
                <w:sz w:val="20"/>
              </w:rPr>
              <w:t>Total</w:t>
            </w:r>
          </w:p>
        </w:tc>
        <w:tc>
          <w:tcPr>
            <w:tcW w:w="1129" w:type="dxa"/>
            <w:shd w:val="clear" w:color="auto" w:fill="D9D9D9"/>
            <w:hideMark/>
          </w:tcPr>
          <w:p w14:paraId="79AA6635" w14:textId="77777777" w:rsidR="00457B6D" w:rsidRPr="0039142B" w:rsidRDefault="00457B6D" w:rsidP="008855F3">
            <w:pPr>
              <w:jc w:val="center"/>
              <w:rPr>
                <w:b/>
                <w:sz w:val="20"/>
              </w:rPr>
            </w:pPr>
            <w:r w:rsidRPr="0039142B">
              <w:rPr>
                <w:b/>
                <w:sz w:val="20"/>
              </w:rPr>
              <w:t>%</w:t>
            </w:r>
          </w:p>
        </w:tc>
      </w:tr>
      <w:tr w:rsidR="00457B6D" w:rsidRPr="0039142B" w14:paraId="04FEE093" w14:textId="77777777" w:rsidTr="008855F3">
        <w:trPr>
          <w:trHeight w:val="134"/>
          <w:jc w:val="center"/>
        </w:trPr>
        <w:tc>
          <w:tcPr>
            <w:tcW w:w="4999" w:type="dxa"/>
            <w:hideMark/>
          </w:tcPr>
          <w:p w14:paraId="79FCEFAB" w14:textId="77777777" w:rsidR="00457B6D" w:rsidRPr="0039142B" w:rsidRDefault="00457B6D" w:rsidP="008855F3">
            <w:pPr>
              <w:spacing w:line="180" w:lineRule="exact"/>
              <w:ind w:left="230" w:hanging="230"/>
              <w:contextualSpacing/>
              <w:rPr>
                <w:sz w:val="20"/>
              </w:rPr>
            </w:pPr>
            <w:r w:rsidRPr="0039142B">
              <w:rPr>
                <w:sz w:val="20"/>
              </w:rPr>
              <w:t>I.</w:t>
            </w:r>
            <w:r>
              <w:rPr>
                <w:sz w:val="20"/>
              </w:rPr>
              <w:tab/>
            </w:r>
            <w:r w:rsidRPr="0039142B">
              <w:rPr>
                <w:sz w:val="20"/>
              </w:rPr>
              <w:t>Desarrollo Productivo para la competitividad</w:t>
            </w:r>
          </w:p>
        </w:tc>
        <w:tc>
          <w:tcPr>
            <w:tcW w:w="810" w:type="dxa"/>
            <w:hideMark/>
          </w:tcPr>
          <w:p w14:paraId="77835A5F" w14:textId="77777777" w:rsidR="00457B6D" w:rsidRPr="0039142B" w:rsidRDefault="00457B6D" w:rsidP="008855F3">
            <w:pPr>
              <w:spacing w:line="180" w:lineRule="exact"/>
              <w:ind w:left="230" w:hanging="230"/>
              <w:contextualSpacing/>
              <w:jc w:val="center"/>
              <w:rPr>
                <w:bCs/>
                <w:sz w:val="20"/>
                <w:lang w:eastAsia="es-ES_tradnl"/>
              </w:rPr>
            </w:pPr>
            <w:r>
              <w:rPr>
                <w:sz w:val="20"/>
              </w:rPr>
              <w:t>15,9</w:t>
            </w:r>
          </w:p>
        </w:tc>
        <w:tc>
          <w:tcPr>
            <w:tcW w:w="720" w:type="dxa"/>
            <w:hideMark/>
          </w:tcPr>
          <w:p w14:paraId="052ED3E5" w14:textId="77777777" w:rsidR="00457B6D" w:rsidRPr="0039142B" w:rsidRDefault="00457B6D" w:rsidP="008855F3">
            <w:pPr>
              <w:spacing w:line="180" w:lineRule="exact"/>
              <w:ind w:left="230" w:hanging="230"/>
              <w:contextualSpacing/>
              <w:jc w:val="center"/>
              <w:rPr>
                <w:bCs/>
                <w:sz w:val="20"/>
                <w:lang w:eastAsia="es-ES_tradnl"/>
              </w:rPr>
            </w:pPr>
            <w:r w:rsidRPr="0039142B">
              <w:rPr>
                <w:sz w:val="20"/>
              </w:rPr>
              <w:t>1</w:t>
            </w:r>
            <w:r>
              <w:rPr>
                <w:sz w:val="20"/>
              </w:rPr>
              <w:t>5</w:t>
            </w:r>
            <w:r w:rsidRPr="0039142B">
              <w:rPr>
                <w:sz w:val="20"/>
              </w:rPr>
              <w:t>,</w:t>
            </w:r>
            <w:r>
              <w:rPr>
                <w:sz w:val="20"/>
              </w:rPr>
              <w:t>9</w:t>
            </w:r>
          </w:p>
        </w:tc>
        <w:tc>
          <w:tcPr>
            <w:tcW w:w="1129" w:type="dxa"/>
            <w:hideMark/>
          </w:tcPr>
          <w:p w14:paraId="7083A286" w14:textId="0D4440A0" w:rsidR="00457B6D" w:rsidRPr="0039142B" w:rsidRDefault="00AA52F9" w:rsidP="008855F3">
            <w:pPr>
              <w:spacing w:line="180" w:lineRule="exact"/>
              <w:ind w:left="230" w:hanging="230"/>
              <w:contextualSpacing/>
              <w:jc w:val="center"/>
              <w:rPr>
                <w:bCs/>
                <w:sz w:val="20"/>
                <w:lang w:eastAsia="es-ES_tradnl"/>
              </w:rPr>
            </w:pPr>
            <w:r>
              <w:rPr>
                <w:sz w:val="20"/>
              </w:rPr>
              <w:t>39,75</w:t>
            </w:r>
            <w:r w:rsidR="00457B6D" w:rsidRPr="0039142B">
              <w:rPr>
                <w:sz w:val="20"/>
              </w:rPr>
              <w:t>%</w:t>
            </w:r>
          </w:p>
        </w:tc>
      </w:tr>
      <w:tr w:rsidR="00457B6D" w:rsidRPr="0039142B" w14:paraId="701D2919" w14:textId="77777777" w:rsidTr="008855F3">
        <w:trPr>
          <w:trHeight w:val="170"/>
          <w:jc w:val="center"/>
        </w:trPr>
        <w:tc>
          <w:tcPr>
            <w:tcW w:w="4999" w:type="dxa"/>
            <w:hideMark/>
          </w:tcPr>
          <w:p w14:paraId="40FA1E7A" w14:textId="77777777" w:rsidR="00457B6D" w:rsidRPr="0039142B" w:rsidRDefault="00457B6D" w:rsidP="008855F3">
            <w:pPr>
              <w:ind w:left="230" w:hanging="230"/>
              <w:contextualSpacing/>
              <w:rPr>
                <w:sz w:val="20"/>
              </w:rPr>
            </w:pPr>
            <w:r w:rsidRPr="0039142B">
              <w:rPr>
                <w:sz w:val="20"/>
              </w:rPr>
              <w:t>II.</w:t>
            </w:r>
            <w:r>
              <w:rPr>
                <w:sz w:val="20"/>
              </w:rPr>
              <w:tab/>
            </w:r>
            <w:r w:rsidRPr="0039142B">
              <w:rPr>
                <w:sz w:val="20"/>
              </w:rPr>
              <w:t>Inversiones Productivas y Logísticas para la competitividad</w:t>
            </w:r>
          </w:p>
        </w:tc>
        <w:tc>
          <w:tcPr>
            <w:tcW w:w="810" w:type="dxa"/>
            <w:hideMark/>
          </w:tcPr>
          <w:p w14:paraId="566FF534" w14:textId="77777777" w:rsidR="00457B6D" w:rsidRPr="0039142B" w:rsidRDefault="00457B6D" w:rsidP="008855F3">
            <w:pPr>
              <w:contextualSpacing/>
              <w:jc w:val="center"/>
              <w:rPr>
                <w:bCs/>
                <w:sz w:val="20"/>
                <w:lang w:eastAsia="es-ES_tradnl"/>
              </w:rPr>
            </w:pPr>
            <w:r>
              <w:rPr>
                <w:sz w:val="20"/>
              </w:rPr>
              <w:t>21,4</w:t>
            </w:r>
          </w:p>
        </w:tc>
        <w:tc>
          <w:tcPr>
            <w:tcW w:w="720" w:type="dxa"/>
            <w:hideMark/>
          </w:tcPr>
          <w:p w14:paraId="201E9F4A" w14:textId="77777777" w:rsidR="00457B6D" w:rsidRPr="0039142B" w:rsidRDefault="00457B6D" w:rsidP="008855F3">
            <w:pPr>
              <w:contextualSpacing/>
              <w:jc w:val="center"/>
              <w:rPr>
                <w:bCs/>
                <w:sz w:val="20"/>
                <w:lang w:eastAsia="es-ES_tradnl"/>
              </w:rPr>
            </w:pPr>
            <w:r>
              <w:rPr>
                <w:sz w:val="20"/>
              </w:rPr>
              <w:t>2</w:t>
            </w:r>
            <w:r w:rsidRPr="0039142B">
              <w:rPr>
                <w:sz w:val="20"/>
              </w:rPr>
              <w:t>1,</w:t>
            </w:r>
            <w:r>
              <w:rPr>
                <w:sz w:val="20"/>
              </w:rPr>
              <w:t>4</w:t>
            </w:r>
          </w:p>
        </w:tc>
        <w:tc>
          <w:tcPr>
            <w:tcW w:w="1129" w:type="dxa"/>
            <w:hideMark/>
          </w:tcPr>
          <w:p w14:paraId="51D193BA" w14:textId="0E6FE51A" w:rsidR="00457B6D" w:rsidRPr="0039142B" w:rsidRDefault="00AA52F9" w:rsidP="00AA52F9">
            <w:pPr>
              <w:contextualSpacing/>
              <w:jc w:val="center"/>
              <w:rPr>
                <w:bCs/>
                <w:sz w:val="20"/>
                <w:lang w:eastAsia="es-ES_tradnl"/>
              </w:rPr>
            </w:pPr>
            <w:r>
              <w:rPr>
                <w:sz w:val="20"/>
              </w:rPr>
              <w:t>5</w:t>
            </w:r>
            <w:r w:rsidR="00A54529">
              <w:rPr>
                <w:sz w:val="20"/>
              </w:rPr>
              <w:t>3,5</w:t>
            </w:r>
            <w:r w:rsidR="00457B6D" w:rsidRPr="0039142B">
              <w:rPr>
                <w:sz w:val="20"/>
              </w:rPr>
              <w:t>%</w:t>
            </w:r>
          </w:p>
        </w:tc>
      </w:tr>
      <w:tr w:rsidR="00457B6D" w:rsidRPr="0039142B" w14:paraId="0AD4635D" w14:textId="77777777" w:rsidTr="008855F3">
        <w:trPr>
          <w:jc w:val="center"/>
        </w:trPr>
        <w:tc>
          <w:tcPr>
            <w:tcW w:w="4999" w:type="dxa"/>
            <w:hideMark/>
          </w:tcPr>
          <w:p w14:paraId="29BE9ED1" w14:textId="77777777" w:rsidR="00457B6D" w:rsidRPr="0039142B" w:rsidRDefault="00457B6D" w:rsidP="008855F3">
            <w:pPr>
              <w:contextualSpacing/>
              <w:rPr>
                <w:sz w:val="20"/>
              </w:rPr>
            </w:pPr>
            <w:r w:rsidRPr="0039142B">
              <w:rPr>
                <w:sz w:val="20"/>
              </w:rPr>
              <w:t>III.</w:t>
            </w:r>
            <w:r>
              <w:rPr>
                <w:sz w:val="20"/>
              </w:rPr>
              <w:t>Gestión</w:t>
            </w:r>
            <w:r w:rsidRPr="0039142B">
              <w:rPr>
                <w:sz w:val="20"/>
              </w:rPr>
              <w:t xml:space="preserve"> Ambiental de la Franja Costero-Marina</w:t>
            </w:r>
          </w:p>
        </w:tc>
        <w:tc>
          <w:tcPr>
            <w:tcW w:w="810" w:type="dxa"/>
            <w:hideMark/>
          </w:tcPr>
          <w:p w14:paraId="10DF7FA3" w14:textId="77777777" w:rsidR="00457B6D" w:rsidRPr="0039142B" w:rsidRDefault="00457B6D" w:rsidP="008855F3">
            <w:pPr>
              <w:contextualSpacing/>
              <w:jc w:val="center"/>
              <w:rPr>
                <w:sz w:val="20"/>
              </w:rPr>
            </w:pPr>
            <w:r>
              <w:rPr>
                <w:sz w:val="20"/>
              </w:rPr>
              <w:t>0,5</w:t>
            </w:r>
          </w:p>
        </w:tc>
        <w:tc>
          <w:tcPr>
            <w:tcW w:w="720" w:type="dxa"/>
            <w:hideMark/>
          </w:tcPr>
          <w:p w14:paraId="69303D2B" w14:textId="77777777" w:rsidR="00457B6D" w:rsidRPr="0039142B" w:rsidRDefault="00457B6D" w:rsidP="008855F3">
            <w:pPr>
              <w:contextualSpacing/>
              <w:jc w:val="center"/>
              <w:rPr>
                <w:sz w:val="20"/>
              </w:rPr>
            </w:pPr>
            <w:r>
              <w:rPr>
                <w:sz w:val="20"/>
              </w:rPr>
              <w:t>0</w:t>
            </w:r>
            <w:r w:rsidRPr="0039142B">
              <w:rPr>
                <w:sz w:val="20"/>
              </w:rPr>
              <w:t>,5</w:t>
            </w:r>
          </w:p>
        </w:tc>
        <w:tc>
          <w:tcPr>
            <w:tcW w:w="1129" w:type="dxa"/>
          </w:tcPr>
          <w:p w14:paraId="7AA79A39" w14:textId="75B4BD4B" w:rsidR="00457B6D" w:rsidRPr="0039142B" w:rsidRDefault="00AA52F9" w:rsidP="008855F3">
            <w:pPr>
              <w:contextualSpacing/>
              <w:jc w:val="center"/>
              <w:rPr>
                <w:sz w:val="20"/>
              </w:rPr>
            </w:pPr>
            <w:r>
              <w:rPr>
                <w:sz w:val="20"/>
              </w:rPr>
              <w:t>1</w:t>
            </w:r>
            <w:r w:rsidR="00A54529">
              <w:rPr>
                <w:sz w:val="20"/>
              </w:rPr>
              <w:t>,25</w:t>
            </w:r>
            <w:r w:rsidR="00457B6D">
              <w:rPr>
                <w:sz w:val="20"/>
              </w:rPr>
              <w:t>%</w:t>
            </w:r>
          </w:p>
        </w:tc>
      </w:tr>
      <w:tr w:rsidR="00457B6D" w:rsidRPr="0039142B" w14:paraId="0EF5959E" w14:textId="77777777" w:rsidTr="008855F3">
        <w:trPr>
          <w:jc w:val="center"/>
        </w:trPr>
        <w:tc>
          <w:tcPr>
            <w:tcW w:w="4999" w:type="dxa"/>
            <w:hideMark/>
          </w:tcPr>
          <w:p w14:paraId="10F4946B" w14:textId="77777777" w:rsidR="00457B6D" w:rsidRPr="0039142B" w:rsidRDefault="00457B6D" w:rsidP="008855F3">
            <w:pPr>
              <w:ind w:left="230" w:hanging="230"/>
              <w:contextualSpacing/>
              <w:rPr>
                <w:sz w:val="20"/>
              </w:rPr>
            </w:pPr>
            <w:r w:rsidRPr="0039142B">
              <w:rPr>
                <w:sz w:val="20"/>
              </w:rPr>
              <w:t>IV. Fortalecimiento Institucional</w:t>
            </w:r>
          </w:p>
        </w:tc>
        <w:tc>
          <w:tcPr>
            <w:tcW w:w="810" w:type="dxa"/>
            <w:hideMark/>
          </w:tcPr>
          <w:p w14:paraId="11EE981A" w14:textId="77777777" w:rsidR="00457B6D" w:rsidRPr="0039142B" w:rsidRDefault="00457B6D" w:rsidP="008855F3">
            <w:pPr>
              <w:contextualSpacing/>
              <w:jc w:val="center"/>
              <w:rPr>
                <w:sz w:val="20"/>
              </w:rPr>
            </w:pPr>
            <w:r w:rsidRPr="0039142B">
              <w:rPr>
                <w:sz w:val="20"/>
              </w:rPr>
              <w:t>1,3</w:t>
            </w:r>
          </w:p>
        </w:tc>
        <w:tc>
          <w:tcPr>
            <w:tcW w:w="720" w:type="dxa"/>
            <w:hideMark/>
          </w:tcPr>
          <w:p w14:paraId="094DDF03" w14:textId="77777777" w:rsidR="00457B6D" w:rsidRPr="0039142B" w:rsidRDefault="00457B6D" w:rsidP="008855F3">
            <w:pPr>
              <w:contextualSpacing/>
              <w:jc w:val="center"/>
              <w:rPr>
                <w:sz w:val="20"/>
              </w:rPr>
            </w:pPr>
            <w:r w:rsidRPr="0039142B">
              <w:rPr>
                <w:sz w:val="20"/>
              </w:rPr>
              <w:t>1,3</w:t>
            </w:r>
          </w:p>
        </w:tc>
        <w:tc>
          <w:tcPr>
            <w:tcW w:w="1129" w:type="dxa"/>
          </w:tcPr>
          <w:p w14:paraId="0B712719" w14:textId="31CEDA33" w:rsidR="00457B6D" w:rsidRPr="0039142B" w:rsidRDefault="00A54529" w:rsidP="00A54529">
            <w:pPr>
              <w:contextualSpacing/>
              <w:jc w:val="center"/>
              <w:rPr>
                <w:sz w:val="20"/>
              </w:rPr>
            </w:pPr>
            <w:r>
              <w:rPr>
                <w:sz w:val="20"/>
              </w:rPr>
              <w:t>2,63</w:t>
            </w:r>
            <w:r w:rsidR="00457B6D">
              <w:rPr>
                <w:sz w:val="20"/>
              </w:rPr>
              <w:t>%</w:t>
            </w:r>
          </w:p>
        </w:tc>
      </w:tr>
      <w:tr w:rsidR="00457B6D" w:rsidRPr="0039142B" w14:paraId="70948C32" w14:textId="77777777" w:rsidTr="008855F3">
        <w:trPr>
          <w:trHeight w:val="233"/>
          <w:jc w:val="center"/>
        </w:trPr>
        <w:tc>
          <w:tcPr>
            <w:tcW w:w="4999" w:type="dxa"/>
          </w:tcPr>
          <w:p w14:paraId="7E799653" w14:textId="77777777" w:rsidR="00457B6D" w:rsidRPr="0039142B" w:rsidRDefault="00457B6D" w:rsidP="008855F3">
            <w:pPr>
              <w:ind w:left="230" w:hanging="230"/>
              <w:contextualSpacing/>
              <w:rPr>
                <w:sz w:val="20"/>
              </w:rPr>
            </w:pPr>
            <w:r w:rsidRPr="0039142B">
              <w:rPr>
                <w:sz w:val="20"/>
              </w:rPr>
              <w:t>Administración</w:t>
            </w:r>
          </w:p>
        </w:tc>
        <w:tc>
          <w:tcPr>
            <w:tcW w:w="810" w:type="dxa"/>
          </w:tcPr>
          <w:p w14:paraId="1988FCBE" w14:textId="77777777" w:rsidR="00457B6D" w:rsidRPr="0039142B" w:rsidRDefault="00457B6D" w:rsidP="008855F3">
            <w:pPr>
              <w:contextualSpacing/>
              <w:jc w:val="center"/>
              <w:rPr>
                <w:bCs/>
                <w:sz w:val="20"/>
                <w:lang w:eastAsia="es-ES_tradnl"/>
              </w:rPr>
            </w:pPr>
            <w:r w:rsidRPr="0039142B">
              <w:rPr>
                <w:bCs/>
                <w:sz w:val="20"/>
                <w:lang w:eastAsia="es-ES_tradnl"/>
              </w:rPr>
              <w:t>0,9</w:t>
            </w:r>
          </w:p>
        </w:tc>
        <w:tc>
          <w:tcPr>
            <w:tcW w:w="720" w:type="dxa"/>
          </w:tcPr>
          <w:p w14:paraId="3754D1FA" w14:textId="77777777" w:rsidR="00457B6D" w:rsidRPr="0039142B" w:rsidRDefault="00457B6D" w:rsidP="008855F3">
            <w:pPr>
              <w:contextualSpacing/>
              <w:jc w:val="center"/>
              <w:rPr>
                <w:bCs/>
                <w:sz w:val="20"/>
                <w:lang w:eastAsia="es-ES_tradnl"/>
              </w:rPr>
            </w:pPr>
            <w:r w:rsidRPr="0039142B">
              <w:rPr>
                <w:bCs/>
                <w:sz w:val="20"/>
                <w:lang w:eastAsia="es-ES_tradnl"/>
              </w:rPr>
              <w:t>0,9</w:t>
            </w:r>
          </w:p>
        </w:tc>
        <w:tc>
          <w:tcPr>
            <w:tcW w:w="1129" w:type="dxa"/>
          </w:tcPr>
          <w:p w14:paraId="4C082C33" w14:textId="6795A0A1" w:rsidR="00457B6D" w:rsidRPr="0039142B" w:rsidRDefault="00A54529" w:rsidP="00A54529">
            <w:pPr>
              <w:contextualSpacing/>
              <w:jc w:val="center"/>
              <w:rPr>
                <w:bCs/>
                <w:sz w:val="20"/>
                <w:lang w:eastAsia="es-ES_tradnl"/>
              </w:rPr>
            </w:pPr>
            <w:r>
              <w:rPr>
                <w:sz w:val="20"/>
              </w:rPr>
              <w:t>2,87</w:t>
            </w:r>
            <w:r w:rsidR="00457B6D" w:rsidRPr="0039142B">
              <w:rPr>
                <w:sz w:val="20"/>
              </w:rPr>
              <w:t>%</w:t>
            </w:r>
          </w:p>
        </w:tc>
      </w:tr>
      <w:tr w:rsidR="00457B6D" w:rsidRPr="0039142B" w14:paraId="79A48825" w14:textId="77777777" w:rsidTr="008855F3">
        <w:trPr>
          <w:trHeight w:val="252"/>
          <w:jc w:val="center"/>
        </w:trPr>
        <w:tc>
          <w:tcPr>
            <w:tcW w:w="4999" w:type="dxa"/>
            <w:shd w:val="clear" w:color="auto" w:fill="D9D9D9"/>
            <w:hideMark/>
          </w:tcPr>
          <w:p w14:paraId="0DD35B0B" w14:textId="77777777" w:rsidR="00457B6D" w:rsidRPr="0039142B" w:rsidRDefault="00457B6D" w:rsidP="008855F3">
            <w:pPr>
              <w:ind w:left="230" w:hanging="230"/>
              <w:contextualSpacing/>
              <w:rPr>
                <w:b/>
                <w:sz w:val="20"/>
              </w:rPr>
            </w:pPr>
            <w:r w:rsidRPr="0039142B">
              <w:rPr>
                <w:b/>
                <w:sz w:val="20"/>
              </w:rPr>
              <w:t>TOTAL</w:t>
            </w:r>
          </w:p>
        </w:tc>
        <w:tc>
          <w:tcPr>
            <w:tcW w:w="810" w:type="dxa"/>
            <w:shd w:val="clear" w:color="auto" w:fill="D9D9D9"/>
            <w:hideMark/>
          </w:tcPr>
          <w:p w14:paraId="005878A9" w14:textId="77777777" w:rsidR="00457B6D" w:rsidRPr="0039142B" w:rsidRDefault="00457B6D" w:rsidP="008855F3">
            <w:pPr>
              <w:ind w:left="230" w:hanging="230"/>
              <w:contextualSpacing/>
              <w:rPr>
                <w:b/>
                <w:bCs/>
                <w:sz w:val="20"/>
                <w:lang w:eastAsia="es-ES_tradnl"/>
              </w:rPr>
            </w:pPr>
            <w:r>
              <w:rPr>
                <w:b/>
                <w:sz w:val="20"/>
              </w:rPr>
              <w:t>4</w:t>
            </w:r>
            <w:r w:rsidRPr="0039142B">
              <w:rPr>
                <w:b/>
                <w:sz w:val="20"/>
              </w:rPr>
              <w:t>0,00</w:t>
            </w:r>
          </w:p>
        </w:tc>
        <w:tc>
          <w:tcPr>
            <w:tcW w:w="720" w:type="dxa"/>
            <w:shd w:val="clear" w:color="auto" w:fill="D9D9D9"/>
            <w:hideMark/>
          </w:tcPr>
          <w:p w14:paraId="5D199FB1" w14:textId="77777777" w:rsidR="00457B6D" w:rsidRPr="0039142B" w:rsidRDefault="00457B6D" w:rsidP="008855F3">
            <w:pPr>
              <w:ind w:left="230" w:hanging="230"/>
              <w:contextualSpacing/>
              <w:rPr>
                <w:b/>
                <w:bCs/>
                <w:sz w:val="20"/>
                <w:lang w:eastAsia="es-ES_tradnl"/>
              </w:rPr>
            </w:pPr>
            <w:r>
              <w:rPr>
                <w:b/>
                <w:sz w:val="20"/>
              </w:rPr>
              <w:t>4</w:t>
            </w:r>
            <w:r w:rsidRPr="0039142B">
              <w:rPr>
                <w:b/>
                <w:sz w:val="20"/>
              </w:rPr>
              <w:t>0,00</w:t>
            </w:r>
          </w:p>
        </w:tc>
        <w:tc>
          <w:tcPr>
            <w:tcW w:w="1129" w:type="dxa"/>
            <w:shd w:val="clear" w:color="auto" w:fill="D9D9D9"/>
            <w:hideMark/>
          </w:tcPr>
          <w:p w14:paraId="3B104143" w14:textId="77777777" w:rsidR="00457B6D" w:rsidRPr="0039142B" w:rsidRDefault="00457B6D" w:rsidP="008855F3">
            <w:pPr>
              <w:ind w:left="230" w:hanging="230"/>
              <w:contextualSpacing/>
              <w:jc w:val="center"/>
              <w:rPr>
                <w:b/>
                <w:bCs/>
                <w:sz w:val="20"/>
                <w:lang w:eastAsia="es-ES_tradnl"/>
              </w:rPr>
            </w:pPr>
            <w:r w:rsidRPr="0039142B">
              <w:rPr>
                <w:b/>
                <w:sz w:val="20"/>
              </w:rPr>
              <w:t>100%</w:t>
            </w:r>
          </w:p>
        </w:tc>
      </w:tr>
    </w:tbl>
    <w:p w14:paraId="3807E75B" w14:textId="77777777" w:rsidR="0043727F" w:rsidRPr="0043727F" w:rsidRDefault="003366C1" w:rsidP="0043727F">
      <w:r w:rsidRPr="00145825">
        <w:rPr>
          <w:szCs w:val="24"/>
        </w:rPr>
        <w:t xml:space="preserve">Este programa complementará las actividades </w:t>
      </w:r>
      <w:r>
        <w:rPr>
          <w:szCs w:val="24"/>
        </w:rPr>
        <w:t>que e</w:t>
      </w:r>
      <w:r w:rsidRPr="0095289E">
        <w:t xml:space="preserve">l Banco ha venido trabajando con el GOES en las diversas áreas </w:t>
      </w:r>
      <w:r w:rsidR="0043727F">
        <w:t>relacionadas a</w:t>
      </w:r>
      <w:r w:rsidRPr="0095289E">
        <w:t>l presente programa. El préstamo 2583/OC-ES apoya la implementación de la estrategia Integral de Fomento de las Exportaciones de El Salvador; el 2796/OC-ES busca mejorar las condiciones de inserción laboral; el 2800/OC-ES apoya las actividades de innovación para mejorar la competitividad; y el ES-L1066, actualmente en preparación, apoya inversiones en turismo, específicamente en La Libertad y la Bahía de Jiquilisco.</w:t>
      </w:r>
      <w:r w:rsidR="0043727F">
        <w:t xml:space="preserve"> </w:t>
      </w:r>
      <w:r w:rsidR="0043727F">
        <w:rPr>
          <w:szCs w:val="24"/>
        </w:rPr>
        <w:t>Además e</w:t>
      </w:r>
      <w:r w:rsidRPr="0095289E">
        <w:rPr>
          <w:szCs w:val="24"/>
        </w:rPr>
        <w:t>l programa es consistente con el Plan Quinquenal de Desarrollo del Gobierno y las inversiones complementarias del FOMILENIO II</w:t>
      </w:r>
      <w:r w:rsidR="0043727F">
        <w:rPr>
          <w:szCs w:val="24"/>
        </w:rPr>
        <w:t>.</w:t>
      </w:r>
    </w:p>
    <w:p w14:paraId="224367E6" w14:textId="77777777" w:rsidR="0043727F" w:rsidRDefault="003F3411" w:rsidP="007C4426">
      <w:r w:rsidRPr="00145825">
        <w:t xml:space="preserve">El presente documento incluye una descripción detallada de las </w:t>
      </w:r>
      <w:r w:rsidRPr="00145825">
        <w:rPr>
          <w:b/>
        </w:rPr>
        <w:t>actividades de monitoreo y evaluación</w:t>
      </w:r>
      <w:r w:rsidRPr="00145825">
        <w:t xml:space="preserve"> que serán llevada a cabo en el marco del </w:t>
      </w:r>
      <w:r w:rsidR="000D4942" w:rsidRPr="00145825">
        <w:t>P</w:t>
      </w:r>
      <w:r w:rsidRPr="00145825">
        <w:t xml:space="preserve">rograma de </w:t>
      </w:r>
      <w:r w:rsidR="0043727F">
        <w:t>Corredores productivos</w:t>
      </w:r>
      <w:r w:rsidRPr="00145825">
        <w:t xml:space="preserve"> (“el programa” en el resto del documento). </w:t>
      </w:r>
    </w:p>
    <w:p w14:paraId="0EF5B43B" w14:textId="77777777" w:rsidR="003F3411" w:rsidRPr="00145825" w:rsidRDefault="003F3411" w:rsidP="007C4426">
      <w:r w:rsidRPr="00145825">
        <w:t xml:space="preserve">El </w:t>
      </w:r>
      <w:r w:rsidRPr="00145825">
        <w:rPr>
          <w:b/>
        </w:rPr>
        <w:t>sistema de monitoreo</w:t>
      </w:r>
      <w:r w:rsidRPr="00145825">
        <w:t xml:space="preserve"> se enfocará en la recolección y análisis sistemática de los indicadores de productos, datos de costos relacionados con la ejecución del programa al fin de proveer revisiones periódicas del estado de avance del programa. Además, el sistema de monitoreo dará seguimiento a algunos indicadores claves relativo al desempeño de </w:t>
      </w:r>
      <w:r w:rsidR="00E90174" w:rsidRPr="00145825">
        <w:t>las empresas beneficiadas por el</w:t>
      </w:r>
      <w:r w:rsidRPr="00145825">
        <w:t xml:space="preserve"> programa. </w:t>
      </w:r>
    </w:p>
    <w:p w14:paraId="030FEE77" w14:textId="77777777" w:rsidR="00F67525" w:rsidRPr="00145825" w:rsidRDefault="003F3411" w:rsidP="007C4426">
      <w:r w:rsidRPr="00145825">
        <w:t xml:space="preserve">Las </w:t>
      </w:r>
      <w:r w:rsidRPr="00145825">
        <w:rPr>
          <w:b/>
        </w:rPr>
        <w:t>actividades de evaluación</w:t>
      </w:r>
      <w:r w:rsidRPr="00145825">
        <w:t xml:space="preserve"> se focalizarán en demostrar la </w:t>
      </w:r>
      <w:r w:rsidRPr="00145825">
        <w:rPr>
          <w:b/>
        </w:rPr>
        <w:t>efectividad de las diferentes medidas apoyadas por el programa</w:t>
      </w:r>
      <w:r w:rsidRPr="00145825">
        <w:t xml:space="preserve">. Para ese fin, se utilizaran metodologías cuasi-experimentales para atribuir los efectos observados a las intervenciones por medio de la comparación de los resultados alcanzados por </w:t>
      </w:r>
      <w:r w:rsidR="00662794" w:rsidRPr="00145825">
        <w:t>las empresas beneficiaria</w:t>
      </w:r>
      <w:r w:rsidRPr="00145825">
        <w:t xml:space="preserve">s </w:t>
      </w:r>
      <w:r w:rsidR="00662794" w:rsidRPr="00145825">
        <w:t>respecto de aquella</w:t>
      </w:r>
      <w:r w:rsidRPr="00145825">
        <w:t>s conseguidos por grupos de control de no beneficiarios.</w:t>
      </w:r>
    </w:p>
    <w:p w14:paraId="153BF318" w14:textId="77777777" w:rsidR="00F67525" w:rsidRPr="00145825" w:rsidRDefault="00F67525" w:rsidP="003F3411">
      <w:pPr>
        <w:spacing w:before="40" w:after="40"/>
        <w:textAlignment w:val="top"/>
        <w:rPr>
          <w:color w:val="000000"/>
          <w:szCs w:val="24"/>
        </w:rPr>
      </w:pPr>
    </w:p>
    <w:p w14:paraId="37E9AB79" w14:textId="77777777" w:rsidR="006B7670" w:rsidRPr="00145825" w:rsidRDefault="00A85474" w:rsidP="00A7776A">
      <w:pPr>
        <w:spacing w:before="40" w:after="40"/>
        <w:textAlignment w:val="top"/>
        <w:rPr>
          <w:b/>
          <w:color w:val="000000"/>
          <w:szCs w:val="24"/>
        </w:rPr>
      </w:pPr>
      <w:r w:rsidRPr="00145825">
        <w:rPr>
          <w:b/>
          <w:color w:val="000000"/>
          <w:szCs w:val="24"/>
        </w:rPr>
        <w:t>II. Monitoreo</w:t>
      </w:r>
    </w:p>
    <w:p w14:paraId="1A6423F1" w14:textId="77777777" w:rsidR="006F3C57" w:rsidRPr="00E6798C" w:rsidRDefault="001C4676" w:rsidP="001C4676">
      <w:pPr>
        <w:pStyle w:val="AutoNumpara"/>
        <w:numPr>
          <w:ilvl w:val="0"/>
          <w:numId w:val="0"/>
        </w:numPr>
        <w:ind w:left="720" w:hanging="720"/>
        <w:rPr>
          <w:b/>
          <w:szCs w:val="24"/>
        </w:rPr>
      </w:pPr>
      <w:r w:rsidRPr="00E6798C">
        <w:rPr>
          <w:b/>
          <w:szCs w:val="24"/>
        </w:rPr>
        <w:t xml:space="preserve">a. </w:t>
      </w:r>
      <w:r w:rsidR="00B35046" w:rsidRPr="00E6798C">
        <w:rPr>
          <w:b/>
          <w:szCs w:val="24"/>
        </w:rPr>
        <w:t>Indicadores</w:t>
      </w:r>
    </w:p>
    <w:p w14:paraId="0EC38602" w14:textId="77777777" w:rsidR="00F84B4F" w:rsidRPr="00145825" w:rsidRDefault="00892B1F" w:rsidP="007C4426">
      <w:r w:rsidRPr="00145825">
        <w:t xml:space="preserve">El sistema de monitoreo del programa dará seguimiento a una serie de indicadores de productos y de resultados por medio de los cuales el estado de ejecución y de alcance del programa serán periódicamente supervisados. La Tabla 1 describe los indicadores de productos. Los indicadores de resultados son reportados en la </w:t>
      </w:r>
      <w:r w:rsidR="00A47C23" w:rsidRPr="00145825">
        <w:t xml:space="preserve">Tabla </w:t>
      </w:r>
      <w:r w:rsidR="008756B9" w:rsidRPr="00145825">
        <w:t>2.</w:t>
      </w:r>
      <w:r w:rsidRPr="00145825">
        <w:t xml:space="preserve"> Las dos tablas especifican la frecuencia con la cual se medirán y las fuentes de información</w:t>
      </w:r>
      <w:r w:rsidR="00153E89" w:rsidRPr="00145825">
        <w:t>/verificación</w:t>
      </w:r>
      <w:r w:rsidRPr="00145825">
        <w:t xml:space="preserve"> necesarias.</w:t>
      </w:r>
    </w:p>
    <w:p w14:paraId="7DF8A9B4" w14:textId="10C525FC" w:rsidR="00892B1F" w:rsidRPr="00E6798C" w:rsidRDefault="00892B1F" w:rsidP="00892B1F">
      <w:pPr>
        <w:spacing w:line="360" w:lineRule="auto"/>
        <w:ind w:left="1080" w:hanging="1166"/>
        <w:jc w:val="center"/>
        <w:rPr>
          <w:b/>
          <w:szCs w:val="24"/>
        </w:rPr>
      </w:pPr>
      <w:r w:rsidRPr="00E6798C">
        <w:rPr>
          <w:b/>
          <w:szCs w:val="24"/>
        </w:rPr>
        <w:t>Tabla 1</w:t>
      </w:r>
      <w:r w:rsidR="008756B9" w:rsidRPr="00E6798C">
        <w:rPr>
          <w:b/>
          <w:szCs w:val="24"/>
        </w:rPr>
        <w:t xml:space="preserve">: </w:t>
      </w:r>
      <w:r w:rsidRPr="00E6798C">
        <w:rPr>
          <w:b/>
          <w:szCs w:val="24"/>
        </w:rPr>
        <w:t xml:space="preserve">Indicadores de productos </w:t>
      </w:r>
    </w:p>
    <w:p w14:paraId="47935A52" w14:textId="77777777" w:rsidR="00C97B72" w:rsidRPr="00CD4F5C" w:rsidRDefault="00C97B72" w:rsidP="00816B3B">
      <w:pPr>
        <w:keepNext/>
        <w:keepLines/>
        <w:spacing w:before="0"/>
        <w:jc w:val="center"/>
        <w:rPr>
          <w:rFonts w:ascii="Times New Roman Bold" w:hAnsi="Times New Roman Bold"/>
          <w:b/>
          <w:smallCaps/>
          <w:sz w:val="22"/>
          <w:szCs w:val="22"/>
        </w:rPr>
      </w:pPr>
    </w:p>
    <w:tbl>
      <w:tblPr>
        <w:tblW w:w="10350"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08"/>
        <w:gridCol w:w="1172"/>
        <w:gridCol w:w="540"/>
        <w:gridCol w:w="540"/>
        <w:gridCol w:w="540"/>
        <w:gridCol w:w="450"/>
        <w:gridCol w:w="450"/>
        <w:gridCol w:w="450"/>
        <w:gridCol w:w="540"/>
        <w:gridCol w:w="2160"/>
      </w:tblGrid>
      <w:tr w:rsidR="00A81595" w:rsidRPr="00C97B72" w14:paraId="3A3DEC3C" w14:textId="77777777" w:rsidTr="00816B3B">
        <w:trPr>
          <w:cantSplit/>
          <w:trHeight w:val="195"/>
          <w:tblHeader/>
        </w:trPr>
        <w:tc>
          <w:tcPr>
            <w:tcW w:w="350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AFCE642" w14:textId="378C0FC2" w:rsidR="00C97B72" w:rsidRPr="00982A1E" w:rsidRDefault="00C97B72" w:rsidP="00982A1E">
            <w:pPr>
              <w:keepNext/>
              <w:keepLines/>
              <w:spacing w:before="0"/>
              <w:jc w:val="center"/>
              <w:rPr>
                <w:b/>
                <w:color w:val="000000"/>
                <w:sz w:val="18"/>
                <w:lang w:val="es-ES"/>
              </w:rPr>
            </w:pPr>
            <w:r w:rsidRPr="00C97B72">
              <w:rPr>
                <w:b/>
                <w:bCs/>
                <w:color w:val="000000"/>
                <w:sz w:val="18"/>
                <w:szCs w:val="18"/>
                <w:lang w:val="es-ES"/>
              </w:rPr>
              <w:t>Productos</w:t>
            </w:r>
          </w:p>
        </w:tc>
        <w:tc>
          <w:tcPr>
            <w:tcW w:w="117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31A7673" w14:textId="13456922" w:rsidR="00C97B72" w:rsidRPr="00982A1E" w:rsidRDefault="00C97B72" w:rsidP="00982A1E">
            <w:pPr>
              <w:keepNext/>
              <w:keepLines/>
              <w:spacing w:before="0"/>
              <w:jc w:val="center"/>
              <w:rPr>
                <w:b/>
                <w:color w:val="000000"/>
                <w:sz w:val="18"/>
                <w:lang w:val="es-ES"/>
              </w:rPr>
            </w:pPr>
            <w:r w:rsidRPr="00982A1E">
              <w:rPr>
                <w:b/>
                <w:color w:val="000000"/>
                <w:sz w:val="18"/>
                <w:lang w:val="es-ES"/>
              </w:rPr>
              <w:t xml:space="preserve">Unidad </w:t>
            </w:r>
            <w:r w:rsidRPr="00C97B72">
              <w:rPr>
                <w:b/>
                <w:bCs/>
                <w:color w:val="000000"/>
                <w:sz w:val="18"/>
                <w:szCs w:val="18"/>
                <w:lang w:val="es-ES"/>
              </w:rPr>
              <w:t xml:space="preserve"> </w:t>
            </w:r>
            <w:r w:rsidRPr="00982A1E">
              <w:rPr>
                <w:b/>
                <w:color w:val="000000"/>
                <w:sz w:val="18"/>
                <w:lang w:val="es-ES"/>
              </w:rPr>
              <w:t xml:space="preserve">de </w:t>
            </w:r>
            <w:r w:rsidRPr="00C97B72">
              <w:rPr>
                <w:b/>
                <w:bCs/>
                <w:color w:val="000000"/>
                <w:sz w:val="18"/>
                <w:szCs w:val="18"/>
                <w:lang w:val="es-ES"/>
              </w:rPr>
              <w:t>medida</w:t>
            </w:r>
          </w:p>
        </w:tc>
        <w:tc>
          <w:tcPr>
            <w:tcW w:w="54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93EF903" w14:textId="68DF0727" w:rsidR="00C97B72" w:rsidRPr="00982A1E" w:rsidRDefault="00C97B72" w:rsidP="00982A1E">
            <w:pPr>
              <w:keepNext/>
              <w:keepLines/>
              <w:spacing w:before="0"/>
              <w:jc w:val="center"/>
              <w:rPr>
                <w:b/>
                <w:color w:val="000000"/>
                <w:sz w:val="18"/>
                <w:lang w:val="es-ES"/>
              </w:rPr>
            </w:pPr>
            <w:r w:rsidRPr="00C97B72">
              <w:rPr>
                <w:b/>
                <w:bCs/>
                <w:color w:val="000000"/>
                <w:sz w:val="18"/>
                <w:szCs w:val="18"/>
                <w:lang w:val="es-ES"/>
              </w:rPr>
              <w:t>Base</w:t>
            </w:r>
          </w:p>
        </w:tc>
        <w:tc>
          <w:tcPr>
            <w:tcW w:w="54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FE3BCC2" w14:textId="77777777" w:rsidR="00C97B72" w:rsidRPr="00C97B72" w:rsidRDefault="00C97B72" w:rsidP="00816B3B">
            <w:pPr>
              <w:keepNext/>
              <w:keepLines/>
              <w:spacing w:before="0"/>
              <w:jc w:val="center"/>
              <w:rPr>
                <w:b/>
                <w:bCs/>
                <w:color w:val="000000"/>
                <w:sz w:val="18"/>
                <w:szCs w:val="18"/>
                <w:lang w:val="es-ES"/>
              </w:rPr>
            </w:pPr>
            <w:r w:rsidRPr="00C97B72">
              <w:rPr>
                <w:b/>
                <w:bCs/>
                <w:color w:val="000000"/>
                <w:sz w:val="18"/>
                <w:szCs w:val="18"/>
                <w:lang w:val="es-ES"/>
              </w:rPr>
              <w:t>2014</w:t>
            </w:r>
          </w:p>
        </w:tc>
        <w:tc>
          <w:tcPr>
            <w:tcW w:w="54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ECD420F" w14:textId="77777777" w:rsidR="00C97B72" w:rsidRPr="00C97B72" w:rsidRDefault="00C97B72" w:rsidP="00816B3B">
            <w:pPr>
              <w:keepNext/>
              <w:keepLines/>
              <w:spacing w:before="0"/>
              <w:jc w:val="center"/>
              <w:rPr>
                <w:b/>
                <w:bCs/>
                <w:color w:val="000000"/>
                <w:sz w:val="18"/>
                <w:szCs w:val="18"/>
                <w:lang w:val="es-ES"/>
              </w:rPr>
            </w:pPr>
            <w:r w:rsidRPr="00C97B72">
              <w:rPr>
                <w:b/>
                <w:bCs/>
                <w:color w:val="000000"/>
                <w:sz w:val="18"/>
                <w:szCs w:val="18"/>
                <w:lang w:val="es-ES"/>
              </w:rPr>
              <w:t>2015</w:t>
            </w:r>
          </w:p>
        </w:tc>
        <w:tc>
          <w:tcPr>
            <w:tcW w:w="45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36BFC49" w14:textId="77777777" w:rsidR="00C97B72" w:rsidRPr="00C97B72" w:rsidRDefault="00C97B72" w:rsidP="00816B3B">
            <w:pPr>
              <w:keepNext/>
              <w:keepLines/>
              <w:spacing w:before="0"/>
              <w:jc w:val="center"/>
              <w:rPr>
                <w:b/>
                <w:bCs/>
                <w:color w:val="000000"/>
                <w:sz w:val="18"/>
                <w:szCs w:val="18"/>
                <w:lang w:val="es-ES"/>
              </w:rPr>
            </w:pPr>
            <w:r w:rsidRPr="00C97B72">
              <w:rPr>
                <w:b/>
                <w:bCs/>
                <w:color w:val="000000"/>
                <w:sz w:val="18"/>
                <w:szCs w:val="18"/>
                <w:lang w:val="es-ES"/>
              </w:rPr>
              <w:t>2016</w:t>
            </w:r>
          </w:p>
        </w:tc>
        <w:tc>
          <w:tcPr>
            <w:tcW w:w="45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0BA5743" w14:textId="77777777" w:rsidR="00C97B72" w:rsidRPr="00C97B72" w:rsidRDefault="00C97B72" w:rsidP="00816B3B">
            <w:pPr>
              <w:keepNext/>
              <w:keepLines/>
              <w:spacing w:before="0"/>
              <w:jc w:val="center"/>
              <w:rPr>
                <w:b/>
                <w:bCs/>
                <w:color w:val="000000"/>
                <w:sz w:val="18"/>
                <w:szCs w:val="18"/>
                <w:lang w:val="es-ES"/>
              </w:rPr>
            </w:pPr>
            <w:r w:rsidRPr="00C97B72">
              <w:rPr>
                <w:b/>
                <w:bCs/>
                <w:color w:val="000000"/>
                <w:sz w:val="18"/>
                <w:szCs w:val="18"/>
                <w:lang w:val="es-ES"/>
              </w:rPr>
              <w:t>2017</w:t>
            </w:r>
          </w:p>
        </w:tc>
        <w:tc>
          <w:tcPr>
            <w:tcW w:w="45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7B2578B" w14:textId="77777777" w:rsidR="00C97B72" w:rsidRPr="00C97B72" w:rsidRDefault="00C97B72" w:rsidP="00816B3B">
            <w:pPr>
              <w:keepNext/>
              <w:keepLines/>
              <w:spacing w:before="0"/>
              <w:jc w:val="center"/>
              <w:rPr>
                <w:b/>
                <w:bCs/>
                <w:color w:val="000000"/>
                <w:sz w:val="18"/>
                <w:szCs w:val="18"/>
                <w:lang w:val="es-ES"/>
              </w:rPr>
            </w:pPr>
            <w:r w:rsidRPr="00C97B72">
              <w:rPr>
                <w:b/>
                <w:bCs/>
                <w:color w:val="000000"/>
                <w:sz w:val="18"/>
                <w:szCs w:val="18"/>
                <w:lang w:val="es-ES"/>
              </w:rPr>
              <w:t>2018</w:t>
            </w:r>
          </w:p>
        </w:tc>
        <w:tc>
          <w:tcPr>
            <w:tcW w:w="54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FD53DCB" w14:textId="77777777" w:rsidR="00C97B72" w:rsidRPr="00C97B72" w:rsidRDefault="00C97B72" w:rsidP="00816B3B">
            <w:pPr>
              <w:keepNext/>
              <w:keepLines/>
              <w:spacing w:before="0"/>
              <w:jc w:val="center"/>
              <w:rPr>
                <w:b/>
                <w:bCs/>
                <w:color w:val="000000"/>
                <w:sz w:val="18"/>
                <w:szCs w:val="18"/>
                <w:lang w:val="es-ES"/>
              </w:rPr>
            </w:pPr>
            <w:r w:rsidRPr="00C97B72">
              <w:rPr>
                <w:b/>
                <w:bCs/>
                <w:color w:val="000000"/>
                <w:sz w:val="18"/>
                <w:szCs w:val="18"/>
                <w:lang w:val="es-ES"/>
              </w:rPr>
              <w:t>Total</w:t>
            </w:r>
          </w:p>
        </w:tc>
        <w:tc>
          <w:tcPr>
            <w:tcW w:w="216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2B08DD5" w14:textId="4F226026" w:rsidR="00C97B72" w:rsidRPr="00982A1E" w:rsidRDefault="00C97B72" w:rsidP="00982A1E">
            <w:pPr>
              <w:keepNext/>
              <w:keepLines/>
              <w:spacing w:before="0"/>
              <w:jc w:val="center"/>
              <w:rPr>
                <w:b/>
                <w:color w:val="000000"/>
                <w:sz w:val="18"/>
                <w:lang w:val="es-ES"/>
              </w:rPr>
            </w:pPr>
            <w:r w:rsidRPr="00C97B72">
              <w:rPr>
                <w:b/>
                <w:bCs/>
                <w:color w:val="000000"/>
                <w:sz w:val="18"/>
                <w:szCs w:val="18"/>
                <w:lang w:val="es-ES"/>
              </w:rPr>
              <w:t xml:space="preserve">Comentarios y Medios de Verificación </w:t>
            </w:r>
          </w:p>
        </w:tc>
      </w:tr>
      <w:tr w:rsidR="00BB23E5" w:rsidRPr="00C97B72" w14:paraId="36F53916" w14:textId="77777777" w:rsidTr="00982A1E">
        <w:trPr>
          <w:cantSplit/>
          <w:trHeight w:val="195"/>
        </w:trPr>
        <w:tc>
          <w:tcPr>
            <w:tcW w:w="1035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9C9B0D" w14:textId="77777777" w:rsidR="00C97B72" w:rsidRPr="00982A1E" w:rsidRDefault="00C97B72" w:rsidP="00982A1E">
            <w:pPr>
              <w:spacing w:before="0"/>
              <w:rPr>
                <w:b/>
                <w:color w:val="000000"/>
                <w:sz w:val="18"/>
                <w:lang w:val="es-ES"/>
              </w:rPr>
            </w:pPr>
            <w:r w:rsidRPr="00982A1E">
              <w:rPr>
                <w:b/>
                <w:color w:val="000000"/>
                <w:sz w:val="18"/>
                <w:lang w:val="es-ES"/>
              </w:rPr>
              <w:t>Componente 1: Desarrollo Productivo para la Competitividad de MIPYMEs</w:t>
            </w:r>
          </w:p>
        </w:tc>
      </w:tr>
      <w:tr w:rsidR="00982A1E" w:rsidRPr="00C97B72" w14:paraId="63CAAE00" w14:textId="77777777" w:rsidTr="00F3536A">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35F817A2" w14:textId="74CF6ABE" w:rsidR="00982A1E" w:rsidRPr="00982A1E" w:rsidRDefault="00982A1E" w:rsidP="00982A1E">
            <w:pPr>
              <w:pStyle w:val="ListParagraph"/>
              <w:numPr>
                <w:ilvl w:val="0"/>
                <w:numId w:val="35"/>
              </w:numPr>
              <w:spacing w:before="0"/>
              <w:ind w:left="270" w:hanging="270"/>
              <w:jc w:val="left"/>
              <w:rPr>
                <w:sz w:val="18"/>
                <w:lang w:val="es-UY"/>
              </w:rPr>
            </w:pPr>
            <w:r w:rsidRPr="00C97B72">
              <w:rPr>
                <w:sz w:val="18"/>
                <w:szCs w:val="18"/>
                <w:lang w:val="es-UY"/>
              </w:rPr>
              <w:lastRenderedPageBreak/>
              <w:t>Número de diplomados de CONAMYPE formados para cualificar el acompañamiento de micro y pequeñas empresas</w:t>
            </w:r>
          </w:p>
        </w:tc>
        <w:tc>
          <w:tcPr>
            <w:tcW w:w="1172" w:type="dxa"/>
            <w:tcBorders>
              <w:top w:val="single" w:sz="4" w:space="0" w:color="auto"/>
              <w:left w:val="single" w:sz="4" w:space="0" w:color="auto"/>
              <w:bottom w:val="single" w:sz="4" w:space="0" w:color="auto"/>
              <w:right w:val="single" w:sz="4" w:space="0" w:color="auto"/>
            </w:tcBorders>
            <w:vAlign w:val="center"/>
          </w:tcPr>
          <w:p w14:paraId="09AF6092" w14:textId="77777777" w:rsidR="00982A1E" w:rsidRPr="00C97B72" w:rsidRDefault="00982A1E" w:rsidP="00816B3B">
            <w:pPr>
              <w:spacing w:before="0"/>
              <w:jc w:val="center"/>
              <w:rPr>
                <w:color w:val="000000"/>
                <w:sz w:val="18"/>
                <w:szCs w:val="18"/>
                <w:lang w:val="es-UY"/>
              </w:rPr>
            </w:pPr>
            <w:r w:rsidRPr="00C97B72">
              <w:rPr>
                <w:color w:val="000000"/>
                <w:sz w:val="18"/>
                <w:szCs w:val="18"/>
                <w:lang w:val="es-UY"/>
              </w:rPr>
              <w:t>Número de diplomados</w:t>
            </w:r>
          </w:p>
        </w:tc>
        <w:tc>
          <w:tcPr>
            <w:tcW w:w="540" w:type="dxa"/>
            <w:tcBorders>
              <w:top w:val="single" w:sz="4" w:space="0" w:color="auto"/>
              <w:left w:val="single" w:sz="4" w:space="0" w:color="auto"/>
              <w:bottom w:val="single" w:sz="4" w:space="0" w:color="auto"/>
              <w:right w:val="single" w:sz="4" w:space="0" w:color="auto"/>
            </w:tcBorders>
            <w:vAlign w:val="center"/>
          </w:tcPr>
          <w:p w14:paraId="281875CA" w14:textId="77777777" w:rsidR="00982A1E" w:rsidRPr="00C97B72" w:rsidRDefault="00982A1E" w:rsidP="00816B3B">
            <w:pPr>
              <w:spacing w:before="0"/>
              <w:jc w:val="center"/>
              <w:rPr>
                <w:color w:val="000000"/>
                <w:sz w:val="18"/>
                <w:szCs w:val="18"/>
              </w:rPr>
            </w:pPr>
            <w:r>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4D6B9B6D" w14:textId="77777777" w:rsidR="00982A1E" w:rsidRPr="00C97B72" w:rsidRDefault="00982A1E" w:rsidP="00816B3B">
            <w:pPr>
              <w:spacing w:before="0"/>
              <w:jc w:val="center"/>
              <w:rPr>
                <w:sz w:val="18"/>
                <w:szCs w:val="18"/>
                <w:lang w:val="es-UY"/>
              </w:rPr>
            </w:pPr>
            <w:r>
              <w:rPr>
                <w:sz w:val="18"/>
                <w:szCs w:val="18"/>
                <w:lang w:val="es-UY"/>
              </w:rPr>
              <w:t>6</w:t>
            </w:r>
          </w:p>
        </w:tc>
        <w:tc>
          <w:tcPr>
            <w:tcW w:w="540" w:type="dxa"/>
            <w:tcBorders>
              <w:top w:val="single" w:sz="4" w:space="0" w:color="auto"/>
              <w:left w:val="single" w:sz="4" w:space="0" w:color="auto"/>
              <w:bottom w:val="single" w:sz="4" w:space="0" w:color="auto"/>
              <w:right w:val="single" w:sz="4" w:space="0" w:color="auto"/>
            </w:tcBorders>
            <w:vAlign w:val="center"/>
          </w:tcPr>
          <w:p w14:paraId="343684A8" w14:textId="77777777" w:rsidR="00982A1E" w:rsidRPr="00C97B72" w:rsidRDefault="00982A1E" w:rsidP="00816B3B">
            <w:pPr>
              <w:spacing w:before="0"/>
              <w:jc w:val="center"/>
              <w:rPr>
                <w:sz w:val="18"/>
                <w:szCs w:val="18"/>
                <w:lang w:val="es-UY"/>
              </w:rPr>
            </w:pPr>
            <w:r>
              <w:rPr>
                <w:sz w:val="18"/>
                <w:szCs w:val="18"/>
                <w:lang w:val="es-UY"/>
              </w:rPr>
              <w:t>6</w:t>
            </w:r>
          </w:p>
        </w:tc>
        <w:tc>
          <w:tcPr>
            <w:tcW w:w="450" w:type="dxa"/>
            <w:tcBorders>
              <w:top w:val="single" w:sz="4" w:space="0" w:color="auto"/>
              <w:left w:val="single" w:sz="4" w:space="0" w:color="auto"/>
              <w:bottom w:val="single" w:sz="4" w:space="0" w:color="auto"/>
              <w:right w:val="single" w:sz="4" w:space="0" w:color="auto"/>
            </w:tcBorders>
            <w:vAlign w:val="center"/>
          </w:tcPr>
          <w:p w14:paraId="2A8BF5A0" w14:textId="77777777" w:rsidR="00982A1E" w:rsidRPr="00C97B72" w:rsidRDefault="00982A1E" w:rsidP="00816B3B">
            <w:pPr>
              <w:spacing w:before="0"/>
              <w:jc w:val="center"/>
              <w:rPr>
                <w:sz w:val="18"/>
                <w:szCs w:val="18"/>
                <w:lang w:val="es-UY"/>
              </w:rPr>
            </w:pPr>
            <w:r>
              <w:rPr>
                <w:sz w:val="18"/>
                <w:szCs w:val="18"/>
                <w:lang w:val="es-UY"/>
              </w:rPr>
              <w:t>6</w:t>
            </w:r>
          </w:p>
        </w:tc>
        <w:tc>
          <w:tcPr>
            <w:tcW w:w="450" w:type="dxa"/>
            <w:tcBorders>
              <w:top w:val="single" w:sz="4" w:space="0" w:color="auto"/>
              <w:left w:val="single" w:sz="4" w:space="0" w:color="auto"/>
              <w:bottom w:val="single" w:sz="4" w:space="0" w:color="auto"/>
              <w:right w:val="single" w:sz="4" w:space="0" w:color="auto"/>
            </w:tcBorders>
            <w:vAlign w:val="center"/>
          </w:tcPr>
          <w:p w14:paraId="565AD7BC" w14:textId="77777777" w:rsidR="00982A1E" w:rsidRPr="00C97B72" w:rsidRDefault="00982A1E" w:rsidP="00816B3B">
            <w:pPr>
              <w:spacing w:before="0"/>
              <w:jc w:val="center"/>
              <w:rPr>
                <w:sz w:val="18"/>
                <w:szCs w:val="18"/>
                <w:lang w:val="es-UY"/>
              </w:rPr>
            </w:pPr>
            <w:r>
              <w:rPr>
                <w:sz w:val="18"/>
                <w:szCs w:val="18"/>
                <w:lang w:val="es-UY"/>
              </w:rPr>
              <w:t>6</w:t>
            </w:r>
          </w:p>
        </w:tc>
        <w:tc>
          <w:tcPr>
            <w:tcW w:w="450" w:type="dxa"/>
            <w:tcBorders>
              <w:top w:val="single" w:sz="4" w:space="0" w:color="auto"/>
              <w:left w:val="single" w:sz="4" w:space="0" w:color="auto"/>
              <w:bottom w:val="single" w:sz="4" w:space="0" w:color="auto"/>
              <w:right w:val="single" w:sz="4" w:space="0" w:color="auto"/>
            </w:tcBorders>
            <w:vAlign w:val="center"/>
          </w:tcPr>
          <w:p w14:paraId="7613349D" w14:textId="77777777" w:rsidR="00982A1E" w:rsidRPr="00C97B72" w:rsidRDefault="00982A1E" w:rsidP="00816B3B">
            <w:pPr>
              <w:spacing w:before="0"/>
              <w:jc w:val="center"/>
              <w:rPr>
                <w:sz w:val="18"/>
                <w:szCs w:val="18"/>
                <w:lang w:val="es-UY"/>
              </w:rPr>
            </w:pPr>
            <w:r>
              <w:rPr>
                <w:sz w:val="18"/>
                <w:szCs w:val="18"/>
                <w:lang w:val="es-UY"/>
              </w:rPr>
              <w:t>6</w:t>
            </w:r>
          </w:p>
        </w:tc>
        <w:tc>
          <w:tcPr>
            <w:tcW w:w="540" w:type="dxa"/>
            <w:tcBorders>
              <w:top w:val="single" w:sz="4" w:space="0" w:color="auto"/>
              <w:left w:val="single" w:sz="4" w:space="0" w:color="auto"/>
              <w:bottom w:val="single" w:sz="4" w:space="0" w:color="auto"/>
              <w:right w:val="single" w:sz="4" w:space="0" w:color="auto"/>
            </w:tcBorders>
            <w:vAlign w:val="center"/>
          </w:tcPr>
          <w:p w14:paraId="59D66BC3" w14:textId="77777777" w:rsidR="00982A1E" w:rsidRPr="00C97B72" w:rsidRDefault="00982A1E" w:rsidP="00816B3B">
            <w:pPr>
              <w:spacing w:before="0"/>
              <w:jc w:val="center"/>
              <w:rPr>
                <w:sz w:val="18"/>
                <w:szCs w:val="18"/>
                <w:lang w:val="es-UY"/>
              </w:rPr>
            </w:pPr>
            <w:r>
              <w:rPr>
                <w:sz w:val="18"/>
                <w:szCs w:val="18"/>
                <w:lang w:val="es-UY"/>
              </w:rPr>
              <w:t>30</w:t>
            </w:r>
          </w:p>
        </w:tc>
        <w:tc>
          <w:tcPr>
            <w:tcW w:w="2160" w:type="dxa"/>
            <w:tcBorders>
              <w:top w:val="single" w:sz="4" w:space="0" w:color="auto"/>
              <w:left w:val="single" w:sz="4" w:space="0" w:color="auto"/>
              <w:bottom w:val="single" w:sz="4" w:space="0" w:color="auto"/>
              <w:right w:val="single" w:sz="4" w:space="0" w:color="auto"/>
            </w:tcBorders>
            <w:vAlign w:val="center"/>
          </w:tcPr>
          <w:p w14:paraId="11F0F3EE" w14:textId="77777777" w:rsidR="00982A1E" w:rsidRPr="00C97B72" w:rsidRDefault="00982A1E" w:rsidP="00816B3B">
            <w:pPr>
              <w:spacing w:before="0"/>
              <w:rPr>
                <w:sz w:val="18"/>
                <w:szCs w:val="18"/>
                <w:lang w:val="es-UY"/>
              </w:rPr>
            </w:pPr>
            <w:r w:rsidRPr="00C97B72">
              <w:rPr>
                <w:sz w:val="18"/>
                <w:szCs w:val="18"/>
                <w:lang w:val="es-UY"/>
              </w:rPr>
              <w:t>Base de datos administrativa del programa.</w:t>
            </w:r>
          </w:p>
        </w:tc>
      </w:tr>
      <w:tr w:rsidR="00A81595" w:rsidRPr="00C97B72" w14:paraId="56D02B08" w14:textId="77777777" w:rsidTr="00816B3B">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18AF77CF" w14:textId="77BE7B63" w:rsidR="00C97B72" w:rsidRPr="00982A1E" w:rsidRDefault="00C97B72" w:rsidP="00982A1E">
            <w:pPr>
              <w:pStyle w:val="ListParagraph"/>
              <w:numPr>
                <w:ilvl w:val="0"/>
                <w:numId w:val="35"/>
              </w:numPr>
              <w:spacing w:before="0"/>
              <w:ind w:left="270" w:hanging="270"/>
              <w:jc w:val="left"/>
              <w:rPr>
                <w:sz w:val="18"/>
                <w:lang w:val="es-UY"/>
              </w:rPr>
            </w:pPr>
            <w:r w:rsidRPr="00C97B72">
              <w:rPr>
                <w:sz w:val="18"/>
                <w:szCs w:val="18"/>
                <w:lang w:val="es-UY"/>
              </w:rPr>
              <w:t>Capacitación</w:t>
            </w:r>
            <w:r w:rsidRPr="00982A1E">
              <w:rPr>
                <w:sz w:val="18"/>
                <w:lang w:val="es-UY"/>
              </w:rPr>
              <w:t xml:space="preserve"> de </w:t>
            </w:r>
            <w:r w:rsidRPr="00C97B72">
              <w:rPr>
                <w:sz w:val="18"/>
                <w:szCs w:val="18"/>
                <w:lang w:val="es-UY"/>
              </w:rPr>
              <w:t>asesores empresariales en temas como PDP, compras estatales,</w:t>
            </w:r>
            <w:r w:rsidRPr="00982A1E">
              <w:rPr>
                <w:sz w:val="18"/>
                <w:lang w:val="es-UY"/>
              </w:rPr>
              <w:t xml:space="preserve"> empresarialidad </w:t>
            </w:r>
            <w:r w:rsidRPr="00C97B72">
              <w:rPr>
                <w:sz w:val="18"/>
                <w:szCs w:val="18"/>
                <w:lang w:val="es-UY"/>
              </w:rPr>
              <w:t>femenina, gestión empresarial</w:t>
            </w:r>
          </w:p>
        </w:tc>
        <w:tc>
          <w:tcPr>
            <w:tcW w:w="1172" w:type="dxa"/>
            <w:tcBorders>
              <w:top w:val="single" w:sz="4" w:space="0" w:color="auto"/>
              <w:left w:val="single" w:sz="4" w:space="0" w:color="auto"/>
              <w:bottom w:val="single" w:sz="4" w:space="0" w:color="auto"/>
              <w:right w:val="single" w:sz="4" w:space="0" w:color="auto"/>
            </w:tcBorders>
            <w:vAlign w:val="center"/>
          </w:tcPr>
          <w:p w14:paraId="1E940343" w14:textId="61907AFA" w:rsidR="00C97B72" w:rsidRPr="00982A1E" w:rsidRDefault="00C97B72" w:rsidP="00982A1E">
            <w:pPr>
              <w:spacing w:before="0"/>
              <w:jc w:val="center"/>
              <w:rPr>
                <w:color w:val="000000"/>
                <w:sz w:val="18"/>
                <w:lang w:val="es-UY"/>
              </w:rPr>
            </w:pPr>
            <w:r w:rsidRPr="00C97B72">
              <w:rPr>
                <w:color w:val="000000"/>
                <w:sz w:val="18"/>
                <w:szCs w:val="18"/>
                <w:lang w:val="es-UY"/>
              </w:rPr>
              <w:t>Capacitaciones</w:t>
            </w:r>
          </w:p>
        </w:tc>
        <w:tc>
          <w:tcPr>
            <w:tcW w:w="540" w:type="dxa"/>
            <w:tcBorders>
              <w:top w:val="single" w:sz="4" w:space="0" w:color="auto"/>
              <w:left w:val="single" w:sz="4" w:space="0" w:color="auto"/>
              <w:bottom w:val="single" w:sz="4" w:space="0" w:color="auto"/>
              <w:right w:val="single" w:sz="4" w:space="0" w:color="auto"/>
            </w:tcBorders>
            <w:vAlign w:val="center"/>
          </w:tcPr>
          <w:p w14:paraId="2F4DEA9F" w14:textId="3F4D7960" w:rsidR="00C97B72" w:rsidRPr="00C97B72" w:rsidRDefault="00C97B72" w:rsidP="00982A1E">
            <w:pPr>
              <w:spacing w:before="0"/>
              <w:jc w:val="center"/>
              <w:rPr>
                <w:color w:val="000000"/>
                <w:sz w:val="18"/>
                <w:szCs w:val="18"/>
              </w:rPr>
            </w:pPr>
            <w:r w:rsidRPr="00C97B72">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5B2EA1F6" w14:textId="77777777" w:rsidR="00C97B72" w:rsidRPr="00C97B72" w:rsidDel="00AF2252" w:rsidRDefault="00C97B72" w:rsidP="00816B3B">
            <w:pPr>
              <w:spacing w:before="0"/>
              <w:jc w:val="center"/>
              <w:rPr>
                <w:sz w:val="18"/>
                <w:szCs w:val="18"/>
                <w:lang w:val="es-UY"/>
              </w:rPr>
            </w:pPr>
            <w:r w:rsidRPr="00C97B72">
              <w:rPr>
                <w:sz w:val="18"/>
                <w:szCs w:val="18"/>
                <w:lang w:val="es-UY"/>
              </w:rPr>
              <w:t>3</w:t>
            </w:r>
          </w:p>
        </w:tc>
        <w:tc>
          <w:tcPr>
            <w:tcW w:w="540" w:type="dxa"/>
            <w:tcBorders>
              <w:top w:val="single" w:sz="4" w:space="0" w:color="auto"/>
              <w:left w:val="single" w:sz="4" w:space="0" w:color="auto"/>
              <w:bottom w:val="single" w:sz="4" w:space="0" w:color="auto"/>
              <w:right w:val="single" w:sz="4" w:space="0" w:color="auto"/>
            </w:tcBorders>
            <w:vAlign w:val="center"/>
          </w:tcPr>
          <w:p w14:paraId="27085028" w14:textId="77777777" w:rsidR="00C97B72" w:rsidRPr="00C97B72" w:rsidDel="00AF2252" w:rsidRDefault="00C97B72" w:rsidP="00816B3B">
            <w:pPr>
              <w:spacing w:before="0"/>
              <w:jc w:val="center"/>
              <w:rPr>
                <w:sz w:val="18"/>
                <w:szCs w:val="18"/>
                <w:lang w:val="es-UY"/>
              </w:rPr>
            </w:pPr>
            <w:r w:rsidRPr="00C97B72">
              <w:rPr>
                <w:sz w:val="18"/>
                <w:szCs w:val="18"/>
                <w:lang w:val="es-UY"/>
              </w:rPr>
              <w:t>3</w:t>
            </w:r>
          </w:p>
        </w:tc>
        <w:tc>
          <w:tcPr>
            <w:tcW w:w="450" w:type="dxa"/>
            <w:tcBorders>
              <w:top w:val="single" w:sz="4" w:space="0" w:color="auto"/>
              <w:left w:val="single" w:sz="4" w:space="0" w:color="auto"/>
              <w:bottom w:val="single" w:sz="4" w:space="0" w:color="auto"/>
              <w:right w:val="single" w:sz="4" w:space="0" w:color="auto"/>
            </w:tcBorders>
            <w:vAlign w:val="center"/>
          </w:tcPr>
          <w:p w14:paraId="04F7D6B1" w14:textId="77777777" w:rsidR="00C97B72" w:rsidRPr="00C97B72" w:rsidDel="00AF2252" w:rsidRDefault="00C97B72" w:rsidP="00816B3B">
            <w:pPr>
              <w:spacing w:before="0"/>
              <w:jc w:val="center"/>
              <w:rPr>
                <w:sz w:val="18"/>
                <w:szCs w:val="18"/>
                <w:lang w:val="es-UY"/>
              </w:rPr>
            </w:pPr>
            <w:r w:rsidRPr="00C97B72">
              <w:rPr>
                <w:sz w:val="18"/>
                <w:szCs w:val="18"/>
                <w:lang w:val="es-UY"/>
              </w:rPr>
              <w:t>3</w:t>
            </w:r>
          </w:p>
        </w:tc>
        <w:tc>
          <w:tcPr>
            <w:tcW w:w="450" w:type="dxa"/>
            <w:tcBorders>
              <w:top w:val="single" w:sz="4" w:space="0" w:color="auto"/>
              <w:left w:val="single" w:sz="4" w:space="0" w:color="auto"/>
              <w:bottom w:val="single" w:sz="4" w:space="0" w:color="auto"/>
              <w:right w:val="single" w:sz="4" w:space="0" w:color="auto"/>
            </w:tcBorders>
            <w:vAlign w:val="center"/>
          </w:tcPr>
          <w:p w14:paraId="32F3F4B5" w14:textId="77777777" w:rsidR="00C97B72" w:rsidRPr="00C97B72" w:rsidDel="00AF2252" w:rsidRDefault="00C97B72" w:rsidP="00816B3B">
            <w:pPr>
              <w:spacing w:before="0"/>
              <w:jc w:val="center"/>
              <w:rPr>
                <w:sz w:val="18"/>
                <w:szCs w:val="18"/>
                <w:lang w:val="es-UY"/>
              </w:rPr>
            </w:pPr>
            <w:r w:rsidRPr="00C97B72">
              <w:rPr>
                <w:sz w:val="18"/>
                <w:szCs w:val="18"/>
                <w:lang w:val="es-UY"/>
              </w:rPr>
              <w:t>4</w:t>
            </w:r>
          </w:p>
        </w:tc>
        <w:tc>
          <w:tcPr>
            <w:tcW w:w="450" w:type="dxa"/>
            <w:tcBorders>
              <w:top w:val="single" w:sz="4" w:space="0" w:color="auto"/>
              <w:left w:val="single" w:sz="4" w:space="0" w:color="auto"/>
              <w:bottom w:val="single" w:sz="4" w:space="0" w:color="auto"/>
              <w:right w:val="single" w:sz="4" w:space="0" w:color="auto"/>
            </w:tcBorders>
            <w:vAlign w:val="center"/>
          </w:tcPr>
          <w:p w14:paraId="53FF8444" w14:textId="77777777" w:rsidR="00C97B72" w:rsidRPr="00C97B72" w:rsidDel="00AF2252" w:rsidRDefault="00C97B72" w:rsidP="00816B3B">
            <w:pPr>
              <w:spacing w:before="0"/>
              <w:jc w:val="center"/>
              <w:rPr>
                <w:sz w:val="18"/>
                <w:szCs w:val="18"/>
                <w:lang w:val="es-UY"/>
              </w:rPr>
            </w:pPr>
            <w:r w:rsidRPr="00C97B72">
              <w:rPr>
                <w:sz w:val="18"/>
                <w:szCs w:val="18"/>
                <w:lang w:val="es-UY"/>
              </w:rPr>
              <w:t>5</w:t>
            </w:r>
          </w:p>
        </w:tc>
        <w:tc>
          <w:tcPr>
            <w:tcW w:w="540" w:type="dxa"/>
            <w:tcBorders>
              <w:top w:val="single" w:sz="4" w:space="0" w:color="auto"/>
              <w:left w:val="single" w:sz="4" w:space="0" w:color="auto"/>
              <w:bottom w:val="single" w:sz="4" w:space="0" w:color="auto"/>
              <w:right w:val="single" w:sz="4" w:space="0" w:color="auto"/>
            </w:tcBorders>
            <w:vAlign w:val="center"/>
          </w:tcPr>
          <w:p w14:paraId="0C820D9B" w14:textId="77777777" w:rsidR="00C97B72" w:rsidRPr="00C97B72" w:rsidDel="00AF2252" w:rsidRDefault="00C97B72" w:rsidP="00816B3B">
            <w:pPr>
              <w:spacing w:before="0"/>
              <w:jc w:val="center"/>
              <w:rPr>
                <w:sz w:val="18"/>
                <w:szCs w:val="18"/>
                <w:lang w:val="es-UY"/>
              </w:rPr>
            </w:pPr>
            <w:r w:rsidRPr="00C97B72">
              <w:rPr>
                <w:sz w:val="18"/>
                <w:szCs w:val="18"/>
                <w:lang w:val="es-UY"/>
              </w:rPr>
              <w:t>18</w:t>
            </w:r>
          </w:p>
        </w:tc>
        <w:tc>
          <w:tcPr>
            <w:tcW w:w="2160" w:type="dxa"/>
            <w:tcBorders>
              <w:top w:val="single" w:sz="4" w:space="0" w:color="auto"/>
              <w:left w:val="single" w:sz="4" w:space="0" w:color="auto"/>
              <w:bottom w:val="single" w:sz="4" w:space="0" w:color="auto"/>
              <w:right w:val="single" w:sz="4" w:space="0" w:color="auto"/>
            </w:tcBorders>
            <w:vAlign w:val="center"/>
          </w:tcPr>
          <w:p w14:paraId="7450B22C" w14:textId="507A1DE8" w:rsidR="00C97B72" w:rsidRPr="00982A1E" w:rsidRDefault="00C97B72" w:rsidP="00982A1E">
            <w:pPr>
              <w:spacing w:before="0"/>
              <w:rPr>
                <w:sz w:val="18"/>
                <w:lang w:val="es-UY"/>
              </w:rPr>
            </w:pPr>
            <w:r w:rsidRPr="00C97B72">
              <w:rPr>
                <w:sz w:val="18"/>
                <w:szCs w:val="18"/>
                <w:lang w:val="es-UY"/>
              </w:rPr>
              <w:t>Base de datos administrativa del programa.</w:t>
            </w:r>
          </w:p>
        </w:tc>
      </w:tr>
      <w:tr w:rsidR="00982A1E" w:rsidRPr="00C97B72" w14:paraId="1FAF568D" w14:textId="77777777" w:rsidTr="00F3536A">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449A739B" w14:textId="77DA2758" w:rsidR="00982A1E" w:rsidRPr="00982A1E" w:rsidRDefault="00982A1E" w:rsidP="00982A1E">
            <w:pPr>
              <w:pStyle w:val="ListParagraph"/>
              <w:numPr>
                <w:ilvl w:val="0"/>
                <w:numId w:val="35"/>
              </w:numPr>
              <w:spacing w:before="0"/>
              <w:ind w:left="270" w:hanging="270"/>
              <w:jc w:val="left"/>
              <w:rPr>
                <w:sz w:val="18"/>
                <w:lang w:val="es-UY"/>
              </w:rPr>
            </w:pPr>
            <w:r w:rsidRPr="00C97B72">
              <w:rPr>
                <w:sz w:val="18"/>
                <w:szCs w:val="18"/>
                <w:lang w:val="es-UY"/>
              </w:rPr>
              <w:t>Número de pasantías de personal de los CDMYPES en el extranjero para conocer las experiencias de centros como los del SBDC en los EE,UU. u otros similares en América Latina.</w:t>
            </w:r>
          </w:p>
        </w:tc>
        <w:tc>
          <w:tcPr>
            <w:tcW w:w="1172" w:type="dxa"/>
            <w:tcBorders>
              <w:top w:val="single" w:sz="4" w:space="0" w:color="auto"/>
              <w:left w:val="single" w:sz="4" w:space="0" w:color="auto"/>
              <w:bottom w:val="single" w:sz="4" w:space="0" w:color="auto"/>
              <w:right w:val="single" w:sz="4" w:space="0" w:color="auto"/>
            </w:tcBorders>
            <w:vAlign w:val="center"/>
          </w:tcPr>
          <w:p w14:paraId="7451DB4B" w14:textId="77777777" w:rsidR="00982A1E" w:rsidRPr="00C97B72" w:rsidRDefault="00982A1E" w:rsidP="00816B3B">
            <w:pPr>
              <w:spacing w:before="0"/>
              <w:jc w:val="center"/>
              <w:rPr>
                <w:color w:val="000000"/>
                <w:sz w:val="18"/>
                <w:szCs w:val="18"/>
                <w:lang w:val="es-UY"/>
              </w:rPr>
            </w:pPr>
            <w:r w:rsidRPr="00C97B72">
              <w:rPr>
                <w:color w:val="000000"/>
                <w:sz w:val="18"/>
                <w:szCs w:val="18"/>
                <w:lang w:val="es-UY"/>
              </w:rPr>
              <w:t>Pasantías</w:t>
            </w:r>
          </w:p>
        </w:tc>
        <w:tc>
          <w:tcPr>
            <w:tcW w:w="540" w:type="dxa"/>
            <w:tcBorders>
              <w:top w:val="single" w:sz="4" w:space="0" w:color="auto"/>
              <w:left w:val="single" w:sz="4" w:space="0" w:color="auto"/>
              <w:bottom w:val="single" w:sz="4" w:space="0" w:color="auto"/>
              <w:right w:val="single" w:sz="4" w:space="0" w:color="auto"/>
            </w:tcBorders>
            <w:vAlign w:val="center"/>
          </w:tcPr>
          <w:p w14:paraId="0356D239" w14:textId="77777777" w:rsidR="00982A1E" w:rsidRPr="00C97B72" w:rsidRDefault="00982A1E" w:rsidP="00816B3B">
            <w:pPr>
              <w:spacing w:before="0"/>
              <w:jc w:val="center"/>
              <w:rPr>
                <w:color w:val="000000"/>
                <w:sz w:val="18"/>
                <w:szCs w:val="18"/>
              </w:rPr>
            </w:pPr>
            <w:r w:rsidRPr="00C97B72">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34CB7F7E" w14:textId="77777777" w:rsidR="00982A1E" w:rsidRPr="00C97B72" w:rsidRDefault="00982A1E" w:rsidP="00816B3B">
            <w:pPr>
              <w:spacing w:before="0"/>
              <w:jc w:val="center"/>
              <w:rPr>
                <w:sz w:val="18"/>
                <w:szCs w:val="18"/>
                <w:lang w:val="es-UY"/>
              </w:rPr>
            </w:pPr>
            <w:r w:rsidRPr="00C97B72">
              <w:rPr>
                <w:sz w:val="18"/>
                <w:szCs w:val="18"/>
                <w:lang w:val="es-UY"/>
              </w:rPr>
              <w:t>15</w:t>
            </w:r>
          </w:p>
        </w:tc>
        <w:tc>
          <w:tcPr>
            <w:tcW w:w="540" w:type="dxa"/>
            <w:tcBorders>
              <w:top w:val="single" w:sz="4" w:space="0" w:color="auto"/>
              <w:left w:val="single" w:sz="4" w:space="0" w:color="auto"/>
              <w:bottom w:val="single" w:sz="4" w:space="0" w:color="auto"/>
              <w:right w:val="single" w:sz="4" w:space="0" w:color="auto"/>
            </w:tcBorders>
            <w:vAlign w:val="center"/>
          </w:tcPr>
          <w:p w14:paraId="7DE6D3BF" w14:textId="77777777" w:rsidR="00982A1E" w:rsidRPr="00C97B72" w:rsidRDefault="00982A1E" w:rsidP="00816B3B">
            <w:pPr>
              <w:spacing w:before="0"/>
              <w:jc w:val="center"/>
              <w:rPr>
                <w:sz w:val="18"/>
                <w:szCs w:val="18"/>
                <w:lang w:val="es-UY"/>
              </w:rPr>
            </w:pPr>
            <w:r w:rsidRPr="00C97B72">
              <w:rPr>
                <w:sz w:val="18"/>
                <w:szCs w:val="18"/>
                <w:lang w:val="es-UY"/>
              </w:rPr>
              <w:t>15</w:t>
            </w:r>
          </w:p>
        </w:tc>
        <w:tc>
          <w:tcPr>
            <w:tcW w:w="450" w:type="dxa"/>
            <w:tcBorders>
              <w:top w:val="single" w:sz="4" w:space="0" w:color="auto"/>
              <w:left w:val="single" w:sz="4" w:space="0" w:color="auto"/>
              <w:bottom w:val="single" w:sz="4" w:space="0" w:color="auto"/>
              <w:right w:val="single" w:sz="4" w:space="0" w:color="auto"/>
            </w:tcBorders>
            <w:vAlign w:val="center"/>
          </w:tcPr>
          <w:p w14:paraId="1B563176" w14:textId="77777777" w:rsidR="00982A1E" w:rsidRPr="00C97B72" w:rsidRDefault="00982A1E" w:rsidP="00816B3B">
            <w:pPr>
              <w:spacing w:before="0"/>
              <w:jc w:val="center"/>
              <w:rPr>
                <w:sz w:val="18"/>
                <w:szCs w:val="18"/>
                <w:lang w:val="es-UY"/>
              </w:rPr>
            </w:pPr>
            <w:r w:rsidRPr="00C97B72">
              <w:rPr>
                <w:sz w:val="18"/>
                <w:szCs w:val="18"/>
                <w:lang w:val="es-UY"/>
              </w:rPr>
              <w:t>15</w:t>
            </w:r>
          </w:p>
        </w:tc>
        <w:tc>
          <w:tcPr>
            <w:tcW w:w="450" w:type="dxa"/>
            <w:tcBorders>
              <w:top w:val="single" w:sz="4" w:space="0" w:color="auto"/>
              <w:left w:val="single" w:sz="4" w:space="0" w:color="auto"/>
              <w:bottom w:val="single" w:sz="4" w:space="0" w:color="auto"/>
              <w:right w:val="single" w:sz="4" w:space="0" w:color="auto"/>
            </w:tcBorders>
            <w:vAlign w:val="center"/>
          </w:tcPr>
          <w:p w14:paraId="54B44512" w14:textId="77777777" w:rsidR="00982A1E" w:rsidRPr="00C97B72" w:rsidRDefault="00982A1E" w:rsidP="00816B3B">
            <w:pPr>
              <w:spacing w:before="0"/>
              <w:jc w:val="center"/>
              <w:rPr>
                <w:sz w:val="18"/>
                <w:szCs w:val="18"/>
                <w:lang w:val="es-UY"/>
              </w:rPr>
            </w:pPr>
            <w:r w:rsidRPr="00C97B72">
              <w:rPr>
                <w:sz w:val="18"/>
                <w:szCs w:val="18"/>
                <w:lang w:val="es-UY"/>
              </w:rPr>
              <w:t>15</w:t>
            </w:r>
          </w:p>
        </w:tc>
        <w:tc>
          <w:tcPr>
            <w:tcW w:w="450" w:type="dxa"/>
            <w:tcBorders>
              <w:top w:val="single" w:sz="4" w:space="0" w:color="auto"/>
              <w:left w:val="single" w:sz="4" w:space="0" w:color="auto"/>
              <w:bottom w:val="single" w:sz="4" w:space="0" w:color="auto"/>
              <w:right w:val="single" w:sz="4" w:space="0" w:color="auto"/>
            </w:tcBorders>
            <w:vAlign w:val="center"/>
          </w:tcPr>
          <w:p w14:paraId="22CAAF23" w14:textId="77777777" w:rsidR="00982A1E" w:rsidRPr="00C97B72" w:rsidRDefault="00982A1E" w:rsidP="00816B3B">
            <w:pPr>
              <w:spacing w:before="0"/>
              <w:jc w:val="center"/>
              <w:rPr>
                <w:sz w:val="18"/>
                <w:szCs w:val="18"/>
                <w:lang w:val="es-UY"/>
              </w:rPr>
            </w:pPr>
            <w:r w:rsidRPr="00C97B72">
              <w:rPr>
                <w:sz w:val="18"/>
                <w:szCs w:val="18"/>
                <w:lang w:val="es-UY"/>
              </w:rPr>
              <w:t>12</w:t>
            </w:r>
          </w:p>
        </w:tc>
        <w:tc>
          <w:tcPr>
            <w:tcW w:w="540" w:type="dxa"/>
            <w:tcBorders>
              <w:top w:val="single" w:sz="4" w:space="0" w:color="auto"/>
              <w:left w:val="single" w:sz="4" w:space="0" w:color="auto"/>
              <w:bottom w:val="single" w:sz="4" w:space="0" w:color="auto"/>
              <w:right w:val="single" w:sz="4" w:space="0" w:color="auto"/>
            </w:tcBorders>
            <w:vAlign w:val="center"/>
          </w:tcPr>
          <w:p w14:paraId="54ADA542" w14:textId="77777777" w:rsidR="00982A1E" w:rsidRPr="00C97B72" w:rsidRDefault="00982A1E" w:rsidP="00816B3B">
            <w:pPr>
              <w:spacing w:before="0"/>
              <w:jc w:val="center"/>
              <w:rPr>
                <w:sz w:val="18"/>
                <w:szCs w:val="18"/>
                <w:lang w:val="es-UY"/>
              </w:rPr>
            </w:pPr>
            <w:r w:rsidRPr="00C97B72">
              <w:rPr>
                <w:sz w:val="18"/>
                <w:szCs w:val="18"/>
                <w:lang w:val="es-UY"/>
              </w:rPr>
              <w:t>72</w:t>
            </w:r>
          </w:p>
        </w:tc>
        <w:tc>
          <w:tcPr>
            <w:tcW w:w="2160" w:type="dxa"/>
            <w:tcBorders>
              <w:top w:val="single" w:sz="4" w:space="0" w:color="auto"/>
              <w:left w:val="single" w:sz="4" w:space="0" w:color="auto"/>
              <w:bottom w:val="single" w:sz="4" w:space="0" w:color="auto"/>
              <w:right w:val="single" w:sz="4" w:space="0" w:color="auto"/>
            </w:tcBorders>
            <w:vAlign w:val="center"/>
          </w:tcPr>
          <w:p w14:paraId="24A9C320" w14:textId="77777777" w:rsidR="00982A1E" w:rsidRPr="00C97B72" w:rsidRDefault="00982A1E" w:rsidP="00816B3B">
            <w:pPr>
              <w:spacing w:before="0"/>
              <w:rPr>
                <w:sz w:val="18"/>
                <w:szCs w:val="18"/>
                <w:lang w:val="es-UY"/>
              </w:rPr>
            </w:pPr>
            <w:r w:rsidRPr="00C97B72">
              <w:rPr>
                <w:sz w:val="18"/>
                <w:szCs w:val="18"/>
                <w:lang w:val="es-UY"/>
              </w:rPr>
              <w:t>Base de datos administrativa del programa.</w:t>
            </w:r>
          </w:p>
        </w:tc>
      </w:tr>
      <w:tr w:rsidR="00982A1E" w:rsidRPr="00C97B72" w14:paraId="4CF97B80" w14:textId="77777777" w:rsidTr="00F3536A">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65AF042D" w14:textId="14F364F7" w:rsidR="00982A1E" w:rsidRPr="00982A1E" w:rsidRDefault="00982A1E" w:rsidP="00982A1E">
            <w:pPr>
              <w:pStyle w:val="ListParagraph"/>
              <w:numPr>
                <w:ilvl w:val="0"/>
                <w:numId w:val="35"/>
              </w:numPr>
              <w:spacing w:before="0"/>
              <w:ind w:left="270" w:hanging="270"/>
              <w:jc w:val="left"/>
              <w:rPr>
                <w:sz w:val="18"/>
                <w:lang w:val="es-UY"/>
              </w:rPr>
            </w:pPr>
            <w:r w:rsidRPr="00C97B72">
              <w:rPr>
                <w:sz w:val="18"/>
                <w:szCs w:val="18"/>
                <w:lang w:val="es-UY"/>
              </w:rPr>
              <w:t>Número de capacitaciones de asesores de los CDMYPEs en cómo incorporar las TICs en la mejora de la gestión de las empresas.</w:t>
            </w:r>
          </w:p>
        </w:tc>
        <w:tc>
          <w:tcPr>
            <w:tcW w:w="1172" w:type="dxa"/>
            <w:tcBorders>
              <w:top w:val="single" w:sz="4" w:space="0" w:color="auto"/>
              <w:left w:val="single" w:sz="4" w:space="0" w:color="auto"/>
              <w:bottom w:val="single" w:sz="4" w:space="0" w:color="auto"/>
              <w:right w:val="single" w:sz="4" w:space="0" w:color="auto"/>
            </w:tcBorders>
            <w:vAlign w:val="center"/>
          </w:tcPr>
          <w:p w14:paraId="064029B6" w14:textId="77777777" w:rsidR="00982A1E" w:rsidRPr="00C97B72" w:rsidRDefault="00982A1E" w:rsidP="00816B3B">
            <w:pPr>
              <w:spacing w:before="0"/>
              <w:jc w:val="center"/>
              <w:rPr>
                <w:color w:val="000000"/>
                <w:sz w:val="18"/>
                <w:szCs w:val="18"/>
                <w:lang w:val="es-UY"/>
              </w:rPr>
            </w:pPr>
            <w:r w:rsidRPr="00C97B72">
              <w:rPr>
                <w:color w:val="000000"/>
                <w:sz w:val="18"/>
                <w:szCs w:val="18"/>
                <w:lang w:val="es-UY"/>
              </w:rPr>
              <w:t>Capacitaciones a asesores</w:t>
            </w:r>
          </w:p>
        </w:tc>
        <w:tc>
          <w:tcPr>
            <w:tcW w:w="540" w:type="dxa"/>
            <w:tcBorders>
              <w:top w:val="single" w:sz="4" w:space="0" w:color="auto"/>
              <w:left w:val="single" w:sz="4" w:space="0" w:color="auto"/>
              <w:bottom w:val="single" w:sz="4" w:space="0" w:color="auto"/>
              <w:right w:val="single" w:sz="4" w:space="0" w:color="auto"/>
            </w:tcBorders>
            <w:vAlign w:val="center"/>
          </w:tcPr>
          <w:p w14:paraId="668CEC27" w14:textId="77777777" w:rsidR="00982A1E" w:rsidRPr="00C97B72" w:rsidRDefault="00982A1E" w:rsidP="00816B3B">
            <w:pPr>
              <w:spacing w:before="0"/>
              <w:jc w:val="center"/>
              <w:rPr>
                <w:color w:val="000000"/>
                <w:sz w:val="18"/>
                <w:szCs w:val="18"/>
              </w:rPr>
            </w:pPr>
            <w:r w:rsidRPr="00C97B72">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474C877C" w14:textId="77777777" w:rsidR="00982A1E" w:rsidRPr="00C97B72" w:rsidRDefault="00982A1E" w:rsidP="00816B3B">
            <w:pPr>
              <w:spacing w:before="0"/>
              <w:jc w:val="center"/>
              <w:rPr>
                <w:sz w:val="18"/>
                <w:szCs w:val="18"/>
                <w:lang w:val="es-UY"/>
              </w:rPr>
            </w:pPr>
            <w:r>
              <w:rPr>
                <w:sz w:val="18"/>
                <w:szCs w:val="18"/>
                <w:lang w:val="es-UY"/>
              </w:rPr>
              <w:t>3</w:t>
            </w:r>
          </w:p>
        </w:tc>
        <w:tc>
          <w:tcPr>
            <w:tcW w:w="540" w:type="dxa"/>
            <w:tcBorders>
              <w:top w:val="single" w:sz="4" w:space="0" w:color="auto"/>
              <w:left w:val="single" w:sz="4" w:space="0" w:color="auto"/>
              <w:bottom w:val="single" w:sz="4" w:space="0" w:color="auto"/>
              <w:right w:val="single" w:sz="4" w:space="0" w:color="auto"/>
            </w:tcBorders>
            <w:vAlign w:val="center"/>
          </w:tcPr>
          <w:p w14:paraId="5DF6686D" w14:textId="77777777" w:rsidR="00982A1E" w:rsidRPr="00C97B72" w:rsidRDefault="00982A1E" w:rsidP="00816B3B">
            <w:pPr>
              <w:spacing w:before="0"/>
              <w:jc w:val="center"/>
              <w:rPr>
                <w:sz w:val="18"/>
                <w:szCs w:val="18"/>
                <w:lang w:val="es-UY"/>
              </w:rPr>
            </w:pPr>
            <w:r>
              <w:rPr>
                <w:sz w:val="18"/>
                <w:szCs w:val="18"/>
                <w:lang w:val="es-UY"/>
              </w:rPr>
              <w:t>3</w:t>
            </w:r>
          </w:p>
        </w:tc>
        <w:tc>
          <w:tcPr>
            <w:tcW w:w="450" w:type="dxa"/>
            <w:tcBorders>
              <w:top w:val="single" w:sz="4" w:space="0" w:color="auto"/>
              <w:left w:val="single" w:sz="4" w:space="0" w:color="auto"/>
              <w:bottom w:val="single" w:sz="4" w:space="0" w:color="auto"/>
              <w:right w:val="single" w:sz="4" w:space="0" w:color="auto"/>
            </w:tcBorders>
            <w:vAlign w:val="center"/>
          </w:tcPr>
          <w:p w14:paraId="51110945" w14:textId="77777777" w:rsidR="00982A1E" w:rsidRPr="00C97B72" w:rsidRDefault="00982A1E" w:rsidP="00816B3B">
            <w:pPr>
              <w:spacing w:before="0"/>
              <w:jc w:val="center"/>
              <w:rPr>
                <w:sz w:val="18"/>
                <w:szCs w:val="18"/>
                <w:lang w:val="es-UY"/>
              </w:rPr>
            </w:pPr>
            <w:r>
              <w:rPr>
                <w:sz w:val="18"/>
                <w:szCs w:val="18"/>
                <w:lang w:val="es-UY"/>
              </w:rPr>
              <w:t>3</w:t>
            </w:r>
          </w:p>
        </w:tc>
        <w:tc>
          <w:tcPr>
            <w:tcW w:w="450" w:type="dxa"/>
            <w:tcBorders>
              <w:top w:val="single" w:sz="4" w:space="0" w:color="auto"/>
              <w:left w:val="single" w:sz="4" w:space="0" w:color="auto"/>
              <w:bottom w:val="single" w:sz="4" w:space="0" w:color="auto"/>
              <w:right w:val="single" w:sz="4" w:space="0" w:color="auto"/>
            </w:tcBorders>
            <w:vAlign w:val="center"/>
          </w:tcPr>
          <w:p w14:paraId="159D7695" w14:textId="77777777" w:rsidR="00982A1E" w:rsidRPr="00C97B72" w:rsidRDefault="00982A1E" w:rsidP="00816B3B">
            <w:pPr>
              <w:spacing w:before="0"/>
              <w:jc w:val="center"/>
              <w:rPr>
                <w:sz w:val="18"/>
                <w:szCs w:val="18"/>
                <w:lang w:val="es-UY"/>
              </w:rPr>
            </w:pPr>
            <w:r>
              <w:rPr>
                <w:sz w:val="18"/>
                <w:szCs w:val="18"/>
                <w:lang w:val="es-UY"/>
              </w:rPr>
              <w:t>3</w:t>
            </w:r>
          </w:p>
        </w:tc>
        <w:tc>
          <w:tcPr>
            <w:tcW w:w="450" w:type="dxa"/>
            <w:tcBorders>
              <w:top w:val="single" w:sz="4" w:space="0" w:color="auto"/>
              <w:left w:val="single" w:sz="4" w:space="0" w:color="auto"/>
              <w:bottom w:val="single" w:sz="4" w:space="0" w:color="auto"/>
              <w:right w:val="single" w:sz="4" w:space="0" w:color="auto"/>
            </w:tcBorders>
            <w:vAlign w:val="center"/>
          </w:tcPr>
          <w:p w14:paraId="54DAF5CA" w14:textId="77777777" w:rsidR="00982A1E" w:rsidRPr="00C97B72" w:rsidRDefault="00982A1E" w:rsidP="00816B3B">
            <w:pPr>
              <w:spacing w:before="0"/>
              <w:jc w:val="center"/>
              <w:rPr>
                <w:sz w:val="18"/>
                <w:szCs w:val="18"/>
                <w:lang w:val="es-UY"/>
              </w:rPr>
            </w:pPr>
            <w:r>
              <w:rPr>
                <w:sz w:val="18"/>
                <w:szCs w:val="18"/>
                <w:lang w:val="es-UY"/>
              </w:rPr>
              <w:t>3</w:t>
            </w:r>
          </w:p>
        </w:tc>
        <w:tc>
          <w:tcPr>
            <w:tcW w:w="540" w:type="dxa"/>
            <w:tcBorders>
              <w:top w:val="single" w:sz="4" w:space="0" w:color="auto"/>
              <w:left w:val="single" w:sz="4" w:space="0" w:color="auto"/>
              <w:bottom w:val="single" w:sz="4" w:space="0" w:color="auto"/>
              <w:right w:val="single" w:sz="4" w:space="0" w:color="auto"/>
            </w:tcBorders>
            <w:vAlign w:val="center"/>
          </w:tcPr>
          <w:p w14:paraId="6F14210B" w14:textId="77777777" w:rsidR="00982A1E" w:rsidRPr="00C97B72" w:rsidRDefault="00982A1E" w:rsidP="00816B3B">
            <w:pPr>
              <w:spacing w:before="0"/>
              <w:jc w:val="center"/>
              <w:rPr>
                <w:sz w:val="18"/>
                <w:szCs w:val="18"/>
                <w:lang w:val="es-UY"/>
              </w:rPr>
            </w:pPr>
            <w:r>
              <w:rPr>
                <w:sz w:val="18"/>
                <w:szCs w:val="18"/>
                <w:lang w:val="es-UY"/>
              </w:rPr>
              <w:t>15</w:t>
            </w:r>
          </w:p>
        </w:tc>
        <w:tc>
          <w:tcPr>
            <w:tcW w:w="2160" w:type="dxa"/>
            <w:tcBorders>
              <w:top w:val="single" w:sz="4" w:space="0" w:color="auto"/>
              <w:left w:val="single" w:sz="4" w:space="0" w:color="auto"/>
              <w:bottom w:val="single" w:sz="4" w:space="0" w:color="auto"/>
              <w:right w:val="single" w:sz="4" w:space="0" w:color="auto"/>
            </w:tcBorders>
            <w:vAlign w:val="center"/>
          </w:tcPr>
          <w:p w14:paraId="72449AF4" w14:textId="77777777" w:rsidR="00982A1E" w:rsidRPr="00C97B72" w:rsidRDefault="00982A1E" w:rsidP="00816B3B">
            <w:pPr>
              <w:spacing w:before="0"/>
              <w:rPr>
                <w:sz w:val="18"/>
                <w:szCs w:val="18"/>
                <w:lang w:val="es-UY"/>
              </w:rPr>
            </w:pPr>
            <w:r w:rsidRPr="00C97B72">
              <w:rPr>
                <w:sz w:val="18"/>
                <w:szCs w:val="18"/>
                <w:lang w:val="es-UY"/>
              </w:rPr>
              <w:t>Base de datos administrativa del programa.</w:t>
            </w:r>
          </w:p>
        </w:tc>
      </w:tr>
      <w:tr w:rsidR="00BB23E5" w:rsidRPr="00C97B72" w14:paraId="3208CA3E" w14:textId="77777777" w:rsidTr="00816B3B">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095E98AE" w14:textId="77777777" w:rsidR="00C97B72" w:rsidRPr="00C97B72" w:rsidRDefault="00C97B72" w:rsidP="00816B3B">
            <w:pPr>
              <w:pStyle w:val="ListParagraph"/>
              <w:numPr>
                <w:ilvl w:val="0"/>
                <w:numId w:val="35"/>
              </w:numPr>
              <w:spacing w:before="0"/>
              <w:ind w:left="270" w:hanging="270"/>
              <w:jc w:val="left"/>
              <w:rPr>
                <w:sz w:val="18"/>
                <w:szCs w:val="18"/>
                <w:lang w:val="es-UY"/>
              </w:rPr>
            </w:pPr>
            <w:r w:rsidRPr="00C97B72">
              <w:rPr>
                <w:sz w:val="18"/>
                <w:szCs w:val="18"/>
                <w:lang w:val="es-UY"/>
              </w:rPr>
              <w:t>Número de asistencias técnicas individuales a empresas en temas de gestión empresarial, calidad, empaques, imagen corporativa, mercados internacionales</w:t>
            </w:r>
          </w:p>
        </w:tc>
        <w:tc>
          <w:tcPr>
            <w:tcW w:w="1172" w:type="dxa"/>
            <w:tcBorders>
              <w:top w:val="single" w:sz="4" w:space="0" w:color="auto"/>
              <w:left w:val="single" w:sz="4" w:space="0" w:color="auto"/>
              <w:bottom w:val="single" w:sz="4" w:space="0" w:color="auto"/>
              <w:right w:val="single" w:sz="4" w:space="0" w:color="auto"/>
            </w:tcBorders>
            <w:vAlign w:val="center"/>
          </w:tcPr>
          <w:p w14:paraId="0D141133"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Asistencias</w:t>
            </w:r>
          </w:p>
        </w:tc>
        <w:tc>
          <w:tcPr>
            <w:tcW w:w="540" w:type="dxa"/>
            <w:tcBorders>
              <w:top w:val="single" w:sz="4" w:space="0" w:color="auto"/>
              <w:left w:val="single" w:sz="4" w:space="0" w:color="auto"/>
              <w:bottom w:val="single" w:sz="4" w:space="0" w:color="auto"/>
              <w:right w:val="single" w:sz="4" w:space="0" w:color="auto"/>
            </w:tcBorders>
            <w:vAlign w:val="center"/>
          </w:tcPr>
          <w:p w14:paraId="55E477AA" w14:textId="77777777" w:rsidR="00C97B72" w:rsidRPr="00C97B72" w:rsidRDefault="00C97B72" w:rsidP="00816B3B">
            <w:pPr>
              <w:spacing w:before="0"/>
              <w:jc w:val="center"/>
              <w:rPr>
                <w:color w:val="000000"/>
                <w:sz w:val="18"/>
                <w:szCs w:val="18"/>
              </w:rPr>
            </w:pPr>
            <w:r w:rsidRPr="00C97B72">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38CFA00E" w14:textId="168B034F" w:rsidR="00C97B72" w:rsidRPr="00C97B72" w:rsidRDefault="00CE3E47" w:rsidP="00816B3B">
            <w:pPr>
              <w:spacing w:before="0"/>
              <w:jc w:val="center"/>
              <w:rPr>
                <w:sz w:val="18"/>
                <w:szCs w:val="18"/>
                <w:lang w:val="es-UY"/>
              </w:rPr>
            </w:pPr>
            <w:r>
              <w:rPr>
                <w:sz w:val="18"/>
                <w:szCs w:val="18"/>
                <w:lang w:val="es-UY"/>
              </w:rPr>
              <w:t>60</w:t>
            </w:r>
          </w:p>
        </w:tc>
        <w:tc>
          <w:tcPr>
            <w:tcW w:w="540" w:type="dxa"/>
            <w:tcBorders>
              <w:top w:val="single" w:sz="4" w:space="0" w:color="auto"/>
              <w:left w:val="single" w:sz="4" w:space="0" w:color="auto"/>
              <w:bottom w:val="single" w:sz="4" w:space="0" w:color="auto"/>
              <w:right w:val="single" w:sz="4" w:space="0" w:color="auto"/>
            </w:tcBorders>
            <w:vAlign w:val="center"/>
          </w:tcPr>
          <w:p w14:paraId="103C1720" w14:textId="6E0AA7EB" w:rsidR="00C97B72" w:rsidRPr="00C97B72" w:rsidRDefault="00CE3E47" w:rsidP="00816B3B">
            <w:pPr>
              <w:spacing w:before="0"/>
              <w:jc w:val="center"/>
              <w:rPr>
                <w:sz w:val="18"/>
                <w:szCs w:val="18"/>
                <w:lang w:val="es-UY"/>
              </w:rPr>
            </w:pPr>
            <w:r>
              <w:rPr>
                <w:sz w:val="18"/>
                <w:szCs w:val="18"/>
                <w:lang w:val="es-UY"/>
              </w:rPr>
              <w:t>120</w:t>
            </w:r>
          </w:p>
        </w:tc>
        <w:tc>
          <w:tcPr>
            <w:tcW w:w="450" w:type="dxa"/>
            <w:tcBorders>
              <w:top w:val="single" w:sz="4" w:space="0" w:color="auto"/>
              <w:left w:val="single" w:sz="4" w:space="0" w:color="auto"/>
              <w:bottom w:val="single" w:sz="4" w:space="0" w:color="auto"/>
              <w:right w:val="single" w:sz="4" w:space="0" w:color="auto"/>
            </w:tcBorders>
            <w:vAlign w:val="center"/>
          </w:tcPr>
          <w:p w14:paraId="6C4FD886" w14:textId="29D8C162" w:rsidR="00C97B72" w:rsidRPr="00C97B72" w:rsidRDefault="00CE3E47" w:rsidP="00816B3B">
            <w:pPr>
              <w:spacing w:before="0"/>
              <w:jc w:val="center"/>
              <w:rPr>
                <w:sz w:val="18"/>
                <w:szCs w:val="18"/>
                <w:lang w:val="es-UY"/>
              </w:rPr>
            </w:pPr>
            <w:r>
              <w:rPr>
                <w:sz w:val="18"/>
                <w:szCs w:val="18"/>
                <w:lang w:val="es-UY"/>
              </w:rPr>
              <w:t>120</w:t>
            </w:r>
          </w:p>
        </w:tc>
        <w:tc>
          <w:tcPr>
            <w:tcW w:w="450" w:type="dxa"/>
            <w:tcBorders>
              <w:top w:val="single" w:sz="4" w:space="0" w:color="auto"/>
              <w:left w:val="single" w:sz="4" w:space="0" w:color="auto"/>
              <w:bottom w:val="single" w:sz="4" w:space="0" w:color="auto"/>
              <w:right w:val="single" w:sz="4" w:space="0" w:color="auto"/>
            </w:tcBorders>
            <w:vAlign w:val="center"/>
          </w:tcPr>
          <w:p w14:paraId="4E328BD5" w14:textId="7B7F8C5D" w:rsidR="00C97B72" w:rsidRPr="00C97B72" w:rsidRDefault="00CE3E47" w:rsidP="00816B3B">
            <w:pPr>
              <w:spacing w:before="0"/>
              <w:jc w:val="center"/>
              <w:rPr>
                <w:sz w:val="18"/>
                <w:szCs w:val="18"/>
                <w:lang w:val="es-UY"/>
              </w:rPr>
            </w:pPr>
            <w:r>
              <w:rPr>
                <w:sz w:val="18"/>
                <w:szCs w:val="18"/>
                <w:lang w:val="es-UY"/>
              </w:rPr>
              <w:t>120</w:t>
            </w:r>
          </w:p>
        </w:tc>
        <w:tc>
          <w:tcPr>
            <w:tcW w:w="450" w:type="dxa"/>
            <w:tcBorders>
              <w:top w:val="single" w:sz="4" w:space="0" w:color="auto"/>
              <w:left w:val="single" w:sz="4" w:space="0" w:color="auto"/>
              <w:bottom w:val="single" w:sz="4" w:space="0" w:color="auto"/>
              <w:right w:val="single" w:sz="4" w:space="0" w:color="auto"/>
            </w:tcBorders>
            <w:vAlign w:val="center"/>
          </w:tcPr>
          <w:p w14:paraId="042B4DAA" w14:textId="6738BBBA" w:rsidR="00C97B72" w:rsidRPr="00C97B72" w:rsidRDefault="00CE3E47" w:rsidP="00816B3B">
            <w:pPr>
              <w:spacing w:before="0"/>
              <w:jc w:val="center"/>
              <w:rPr>
                <w:sz w:val="18"/>
                <w:szCs w:val="18"/>
                <w:lang w:val="es-UY"/>
              </w:rPr>
            </w:pPr>
            <w:r>
              <w:rPr>
                <w:sz w:val="18"/>
                <w:szCs w:val="18"/>
                <w:lang w:val="es-UY"/>
              </w:rPr>
              <w:t>120</w:t>
            </w:r>
          </w:p>
        </w:tc>
        <w:tc>
          <w:tcPr>
            <w:tcW w:w="540" w:type="dxa"/>
            <w:tcBorders>
              <w:top w:val="single" w:sz="4" w:space="0" w:color="auto"/>
              <w:left w:val="single" w:sz="4" w:space="0" w:color="auto"/>
              <w:bottom w:val="single" w:sz="4" w:space="0" w:color="auto"/>
              <w:right w:val="single" w:sz="4" w:space="0" w:color="auto"/>
            </w:tcBorders>
            <w:vAlign w:val="center"/>
          </w:tcPr>
          <w:p w14:paraId="0C4F19B9" w14:textId="0686B6A6" w:rsidR="00C97B72" w:rsidRPr="00C97B72" w:rsidRDefault="00CE3E47" w:rsidP="00816B3B">
            <w:pPr>
              <w:spacing w:before="0"/>
              <w:jc w:val="center"/>
              <w:rPr>
                <w:sz w:val="18"/>
                <w:szCs w:val="18"/>
                <w:lang w:val="es-UY"/>
              </w:rPr>
            </w:pPr>
            <w:r>
              <w:rPr>
                <w:sz w:val="18"/>
                <w:szCs w:val="18"/>
                <w:lang w:val="es-UY"/>
              </w:rPr>
              <w:t>540</w:t>
            </w:r>
          </w:p>
        </w:tc>
        <w:tc>
          <w:tcPr>
            <w:tcW w:w="2160" w:type="dxa"/>
            <w:tcBorders>
              <w:top w:val="single" w:sz="4" w:space="0" w:color="auto"/>
              <w:left w:val="single" w:sz="4" w:space="0" w:color="auto"/>
              <w:bottom w:val="single" w:sz="4" w:space="0" w:color="auto"/>
              <w:right w:val="single" w:sz="4" w:space="0" w:color="auto"/>
            </w:tcBorders>
            <w:vAlign w:val="center"/>
          </w:tcPr>
          <w:p w14:paraId="519A9311" w14:textId="77777777" w:rsidR="00C97B72" w:rsidRPr="00C97B72" w:rsidRDefault="00C97B72" w:rsidP="00816B3B">
            <w:pPr>
              <w:spacing w:before="0"/>
              <w:rPr>
                <w:sz w:val="18"/>
                <w:szCs w:val="18"/>
                <w:lang w:val="es-UY"/>
              </w:rPr>
            </w:pPr>
            <w:r w:rsidRPr="00C97B72">
              <w:rPr>
                <w:sz w:val="18"/>
                <w:szCs w:val="18"/>
                <w:lang w:val="es-UY"/>
              </w:rPr>
              <w:t>Base de datos administrativa del programa.</w:t>
            </w:r>
          </w:p>
        </w:tc>
      </w:tr>
      <w:tr w:rsidR="00BB23E5" w:rsidRPr="00C97B72" w14:paraId="0DE98031" w14:textId="77777777" w:rsidTr="00816B3B">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164388EA" w14:textId="77777777" w:rsidR="00C97B72" w:rsidRPr="00C97B72" w:rsidRDefault="00C97B72" w:rsidP="00816B3B">
            <w:pPr>
              <w:pStyle w:val="ListParagraph"/>
              <w:numPr>
                <w:ilvl w:val="0"/>
                <w:numId w:val="35"/>
              </w:numPr>
              <w:spacing w:before="0"/>
              <w:ind w:left="270" w:hanging="270"/>
              <w:jc w:val="left"/>
              <w:rPr>
                <w:sz w:val="18"/>
                <w:szCs w:val="18"/>
                <w:lang w:val="es-UY"/>
              </w:rPr>
            </w:pPr>
            <w:r w:rsidRPr="00C97B72">
              <w:rPr>
                <w:sz w:val="18"/>
                <w:szCs w:val="18"/>
                <w:lang w:val="es-UY"/>
              </w:rPr>
              <w:t>Número de cadenas de proveeduría apoyadas</w:t>
            </w:r>
          </w:p>
        </w:tc>
        <w:tc>
          <w:tcPr>
            <w:tcW w:w="1172" w:type="dxa"/>
            <w:tcBorders>
              <w:top w:val="single" w:sz="4" w:space="0" w:color="auto"/>
              <w:left w:val="single" w:sz="4" w:space="0" w:color="auto"/>
              <w:bottom w:val="single" w:sz="4" w:space="0" w:color="auto"/>
              <w:right w:val="single" w:sz="4" w:space="0" w:color="auto"/>
            </w:tcBorders>
            <w:vAlign w:val="center"/>
          </w:tcPr>
          <w:p w14:paraId="37E82B10"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Asistencias</w:t>
            </w:r>
          </w:p>
        </w:tc>
        <w:tc>
          <w:tcPr>
            <w:tcW w:w="540" w:type="dxa"/>
            <w:tcBorders>
              <w:top w:val="single" w:sz="4" w:space="0" w:color="auto"/>
              <w:left w:val="single" w:sz="4" w:space="0" w:color="auto"/>
              <w:bottom w:val="single" w:sz="4" w:space="0" w:color="auto"/>
              <w:right w:val="single" w:sz="4" w:space="0" w:color="auto"/>
            </w:tcBorders>
            <w:vAlign w:val="center"/>
          </w:tcPr>
          <w:p w14:paraId="60C8C52D" w14:textId="77777777" w:rsidR="00C97B72" w:rsidRPr="00C97B72" w:rsidRDefault="00C97B72" w:rsidP="00816B3B">
            <w:pPr>
              <w:spacing w:before="0"/>
              <w:jc w:val="center"/>
              <w:rPr>
                <w:color w:val="000000"/>
                <w:sz w:val="18"/>
                <w:szCs w:val="18"/>
              </w:rPr>
            </w:pPr>
            <w:r w:rsidRPr="00C97B72">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11412A50" w14:textId="77777777" w:rsidR="00C97B72" w:rsidRPr="00C97B72" w:rsidRDefault="00C97B72" w:rsidP="00816B3B">
            <w:pPr>
              <w:spacing w:before="0"/>
              <w:jc w:val="center"/>
              <w:rPr>
                <w:sz w:val="18"/>
                <w:szCs w:val="18"/>
                <w:lang w:val="es-UY"/>
              </w:rPr>
            </w:pPr>
            <w:r w:rsidRPr="00C97B72">
              <w:rPr>
                <w:sz w:val="18"/>
                <w:szCs w:val="18"/>
                <w:lang w:val="es-UY"/>
              </w:rPr>
              <w:t>5</w:t>
            </w:r>
          </w:p>
        </w:tc>
        <w:tc>
          <w:tcPr>
            <w:tcW w:w="540" w:type="dxa"/>
            <w:tcBorders>
              <w:top w:val="single" w:sz="4" w:space="0" w:color="auto"/>
              <w:left w:val="single" w:sz="4" w:space="0" w:color="auto"/>
              <w:bottom w:val="single" w:sz="4" w:space="0" w:color="auto"/>
              <w:right w:val="single" w:sz="4" w:space="0" w:color="auto"/>
            </w:tcBorders>
            <w:vAlign w:val="center"/>
          </w:tcPr>
          <w:p w14:paraId="0C01062C" w14:textId="77777777" w:rsidR="00C97B72" w:rsidRPr="00C97B72" w:rsidRDefault="00C97B72" w:rsidP="00816B3B">
            <w:pPr>
              <w:spacing w:before="0"/>
              <w:jc w:val="center"/>
              <w:rPr>
                <w:sz w:val="18"/>
                <w:szCs w:val="18"/>
                <w:lang w:val="es-UY"/>
              </w:rPr>
            </w:pPr>
            <w:r w:rsidRPr="00C97B72">
              <w:rPr>
                <w:sz w:val="18"/>
                <w:szCs w:val="18"/>
                <w:lang w:val="es-UY"/>
              </w:rPr>
              <w:t>6</w:t>
            </w:r>
          </w:p>
        </w:tc>
        <w:tc>
          <w:tcPr>
            <w:tcW w:w="450" w:type="dxa"/>
            <w:tcBorders>
              <w:top w:val="single" w:sz="4" w:space="0" w:color="auto"/>
              <w:left w:val="single" w:sz="4" w:space="0" w:color="auto"/>
              <w:bottom w:val="single" w:sz="4" w:space="0" w:color="auto"/>
              <w:right w:val="single" w:sz="4" w:space="0" w:color="auto"/>
            </w:tcBorders>
            <w:vAlign w:val="center"/>
          </w:tcPr>
          <w:p w14:paraId="1E5687EC" w14:textId="77777777" w:rsidR="00C97B72" w:rsidRPr="00C97B72" w:rsidRDefault="00C97B72" w:rsidP="00816B3B">
            <w:pPr>
              <w:spacing w:before="0"/>
              <w:jc w:val="center"/>
              <w:rPr>
                <w:sz w:val="18"/>
                <w:szCs w:val="18"/>
                <w:lang w:val="es-UY"/>
              </w:rPr>
            </w:pPr>
            <w:r w:rsidRPr="00C97B72">
              <w:rPr>
                <w:sz w:val="18"/>
                <w:szCs w:val="18"/>
                <w:lang w:val="es-UY"/>
              </w:rPr>
              <w:t>7</w:t>
            </w:r>
          </w:p>
        </w:tc>
        <w:tc>
          <w:tcPr>
            <w:tcW w:w="450" w:type="dxa"/>
            <w:tcBorders>
              <w:top w:val="single" w:sz="4" w:space="0" w:color="auto"/>
              <w:left w:val="single" w:sz="4" w:space="0" w:color="auto"/>
              <w:bottom w:val="single" w:sz="4" w:space="0" w:color="auto"/>
              <w:right w:val="single" w:sz="4" w:space="0" w:color="auto"/>
            </w:tcBorders>
            <w:vAlign w:val="center"/>
          </w:tcPr>
          <w:p w14:paraId="78A93C93" w14:textId="77777777" w:rsidR="00C97B72" w:rsidRPr="00C97B72" w:rsidRDefault="00C97B72" w:rsidP="00816B3B">
            <w:pPr>
              <w:spacing w:before="0"/>
              <w:jc w:val="center"/>
              <w:rPr>
                <w:sz w:val="18"/>
                <w:szCs w:val="18"/>
                <w:lang w:val="es-UY"/>
              </w:rPr>
            </w:pPr>
            <w:r w:rsidRPr="00C97B72">
              <w:rPr>
                <w:sz w:val="18"/>
                <w:szCs w:val="18"/>
                <w:lang w:val="es-UY"/>
              </w:rPr>
              <w:t>8</w:t>
            </w:r>
          </w:p>
        </w:tc>
        <w:tc>
          <w:tcPr>
            <w:tcW w:w="450" w:type="dxa"/>
            <w:tcBorders>
              <w:top w:val="single" w:sz="4" w:space="0" w:color="auto"/>
              <w:left w:val="single" w:sz="4" w:space="0" w:color="auto"/>
              <w:bottom w:val="single" w:sz="4" w:space="0" w:color="auto"/>
              <w:right w:val="single" w:sz="4" w:space="0" w:color="auto"/>
            </w:tcBorders>
            <w:vAlign w:val="center"/>
          </w:tcPr>
          <w:p w14:paraId="0F85DD6C" w14:textId="77777777" w:rsidR="00C97B72" w:rsidRPr="00C97B72" w:rsidRDefault="00C97B72" w:rsidP="00816B3B">
            <w:pPr>
              <w:spacing w:before="0"/>
              <w:jc w:val="center"/>
              <w:rPr>
                <w:sz w:val="18"/>
                <w:szCs w:val="18"/>
                <w:lang w:val="es-UY"/>
              </w:rPr>
            </w:pPr>
            <w:r w:rsidRPr="00C97B72">
              <w:rPr>
                <w:sz w:val="18"/>
                <w:szCs w:val="18"/>
                <w:lang w:val="es-UY"/>
              </w:rPr>
              <w:t>10</w:t>
            </w:r>
          </w:p>
        </w:tc>
        <w:tc>
          <w:tcPr>
            <w:tcW w:w="540" w:type="dxa"/>
            <w:tcBorders>
              <w:top w:val="single" w:sz="4" w:space="0" w:color="auto"/>
              <w:left w:val="single" w:sz="4" w:space="0" w:color="auto"/>
              <w:bottom w:val="single" w:sz="4" w:space="0" w:color="auto"/>
              <w:right w:val="single" w:sz="4" w:space="0" w:color="auto"/>
            </w:tcBorders>
            <w:vAlign w:val="center"/>
          </w:tcPr>
          <w:p w14:paraId="1D8C420B" w14:textId="77777777" w:rsidR="00C97B72" w:rsidRPr="00C97B72" w:rsidRDefault="00C97B72" w:rsidP="00816B3B">
            <w:pPr>
              <w:spacing w:before="0"/>
              <w:jc w:val="center"/>
              <w:rPr>
                <w:sz w:val="18"/>
                <w:szCs w:val="18"/>
                <w:lang w:val="es-UY"/>
              </w:rPr>
            </w:pPr>
            <w:r w:rsidRPr="00C97B72">
              <w:rPr>
                <w:sz w:val="18"/>
                <w:szCs w:val="18"/>
                <w:lang w:val="es-UY"/>
              </w:rPr>
              <w:t>36</w:t>
            </w:r>
          </w:p>
        </w:tc>
        <w:tc>
          <w:tcPr>
            <w:tcW w:w="2160" w:type="dxa"/>
            <w:tcBorders>
              <w:top w:val="single" w:sz="4" w:space="0" w:color="auto"/>
              <w:left w:val="single" w:sz="4" w:space="0" w:color="auto"/>
              <w:bottom w:val="single" w:sz="4" w:space="0" w:color="auto"/>
              <w:right w:val="single" w:sz="4" w:space="0" w:color="auto"/>
            </w:tcBorders>
            <w:vAlign w:val="center"/>
          </w:tcPr>
          <w:p w14:paraId="28CE5040" w14:textId="77777777" w:rsidR="00C97B72" w:rsidRPr="00C97B72" w:rsidRDefault="00C97B72" w:rsidP="00816B3B">
            <w:pPr>
              <w:spacing w:before="0"/>
              <w:rPr>
                <w:sz w:val="18"/>
                <w:szCs w:val="18"/>
                <w:lang w:val="es-UY"/>
              </w:rPr>
            </w:pPr>
            <w:r w:rsidRPr="00C97B72">
              <w:rPr>
                <w:sz w:val="18"/>
                <w:szCs w:val="18"/>
                <w:lang w:val="es-UY"/>
              </w:rPr>
              <w:t>Base de datos administrativa del programa.</w:t>
            </w:r>
          </w:p>
        </w:tc>
      </w:tr>
      <w:tr w:rsidR="00BB23E5" w:rsidRPr="00C97B72" w14:paraId="5058F0F1" w14:textId="77777777" w:rsidTr="00816B3B">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51E7A294" w14:textId="77777777" w:rsidR="00C97B72" w:rsidRPr="00C97B72" w:rsidRDefault="00C97B72" w:rsidP="00816B3B">
            <w:pPr>
              <w:pStyle w:val="ListParagraph"/>
              <w:numPr>
                <w:ilvl w:val="0"/>
                <w:numId w:val="35"/>
              </w:numPr>
              <w:spacing w:before="0"/>
              <w:ind w:left="270" w:hanging="270"/>
              <w:jc w:val="left"/>
              <w:rPr>
                <w:sz w:val="18"/>
                <w:szCs w:val="18"/>
                <w:lang w:val="es-UY"/>
              </w:rPr>
            </w:pPr>
            <w:r w:rsidRPr="00C97B72">
              <w:rPr>
                <w:sz w:val="18"/>
                <w:szCs w:val="18"/>
                <w:lang w:val="es-UY"/>
              </w:rPr>
              <w:t>Número de asistencias técnicas a MIPYME para que se incorporen a cadenas de proveeduría</w:t>
            </w:r>
          </w:p>
        </w:tc>
        <w:tc>
          <w:tcPr>
            <w:tcW w:w="1172" w:type="dxa"/>
            <w:tcBorders>
              <w:top w:val="single" w:sz="4" w:space="0" w:color="auto"/>
              <w:left w:val="single" w:sz="4" w:space="0" w:color="auto"/>
              <w:bottom w:val="single" w:sz="4" w:space="0" w:color="auto"/>
              <w:right w:val="single" w:sz="4" w:space="0" w:color="auto"/>
            </w:tcBorders>
            <w:vAlign w:val="center"/>
          </w:tcPr>
          <w:p w14:paraId="3E54EC3F"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Asistencias</w:t>
            </w:r>
          </w:p>
        </w:tc>
        <w:tc>
          <w:tcPr>
            <w:tcW w:w="540" w:type="dxa"/>
            <w:tcBorders>
              <w:top w:val="single" w:sz="4" w:space="0" w:color="auto"/>
              <w:left w:val="single" w:sz="4" w:space="0" w:color="auto"/>
              <w:bottom w:val="single" w:sz="4" w:space="0" w:color="auto"/>
              <w:right w:val="single" w:sz="4" w:space="0" w:color="auto"/>
            </w:tcBorders>
            <w:vAlign w:val="center"/>
          </w:tcPr>
          <w:p w14:paraId="5AF7F69D" w14:textId="77777777" w:rsidR="00C97B72" w:rsidRPr="00C97B72" w:rsidRDefault="00C97B72" w:rsidP="00816B3B">
            <w:pPr>
              <w:spacing w:before="0"/>
              <w:jc w:val="center"/>
              <w:rPr>
                <w:color w:val="000000"/>
                <w:sz w:val="18"/>
                <w:szCs w:val="18"/>
              </w:rPr>
            </w:pPr>
            <w:r w:rsidRPr="00C97B72">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75BCDB0B" w14:textId="7919BD3E" w:rsidR="00C97B72" w:rsidRPr="00C97B72" w:rsidRDefault="00CE3E47" w:rsidP="00816B3B">
            <w:pPr>
              <w:spacing w:before="0"/>
              <w:jc w:val="center"/>
              <w:rPr>
                <w:sz w:val="18"/>
                <w:szCs w:val="18"/>
                <w:lang w:val="es-UY"/>
              </w:rPr>
            </w:pPr>
            <w:r>
              <w:rPr>
                <w:sz w:val="18"/>
                <w:szCs w:val="18"/>
                <w:lang w:val="es-UY"/>
              </w:rPr>
              <w:t>40</w:t>
            </w:r>
          </w:p>
        </w:tc>
        <w:tc>
          <w:tcPr>
            <w:tcW w:w="540" w:type="dxa"/>
            <w:tcBorders>
              <w:top w:val="single" w:sz="4" w:space="0" w:color="auto"/>
              <w:left w:val="single" w:sz="4" w:space="0" w:color="auto"/>
              <w:bottom w:val="single" w:sz="4" w:space="0" w:color="auto"/>
              <w:right w:val="single" w:sz="4" w:space="0" w:color="auto"/>
            </w:tcBorders>
            <w:vAlign w:val="center"/>
          </w:tcPr>
          <w:p w14:paraId="692C386B" w14:textId="6B7DE38A" w:rsidR="00C97B72" w:rsidRPr="00C97B72" w:rsidRDefault="00CE3E47" w:rsidP="00816B3B">
            <w:pPr>
              <w:spacing w:before="0"/>
              <w:jc w:val="center"/>
              <w:rPr>
                <w:sz w:val="18"/>
                <w:szCs w:val="18"/>
                <w:lang w:val="es-UY"/>
              </w:rPr>
            </w:pPr>
            <w:r>
              <w:rPr>
                <w:sz w:val="18"/>
                <w:szCs w:val="18"/>
                <w:lang w:val="es-UY"/>
              </w:rPr>
              <w:t>40</w:t>
            </w:r>
          </w:p>
        </w:tc>
        <w:tc>
          <w:tcPr>
            <w:tcW w:w="450" w:type="dxa"/>
            <w:tcBorders>
              <w:top w:val="single" w:sz="4" w:space="0" w:color="auto"/>
              <w:left w:val="single" w:sz="4" w:space="0" w:color="auto"/>
              <w:bottom w:val="single" w:sz="4" w:space="0" w:color="auto"/>
              <w:right w:val="single" w:sz="4" w:space="0" w:color="auto"/>
            </w:tcBorders>
            <w:vAlign w:val="center"/>
          </w:tcPr>
          <w:p w14:paraId="607D51A3" w14:textId="578F1440" w:rsidR="00C97B72" w:rsidRPr="00C97B72" w:rsidRDefault="00CE3E47" w:rsidP="00816B3B">
            <w:pPr>
              <w:spacing w:before="0"/>
              <w:jc w:val="center"/>
              <w:rPr>
                <w:sz w:val="18"/>
                <w:szCs w:val="18"/>
                <w:lang w:val="es-UY"/>
              </w:rPr>
            </w:pPr>
            <w:r>
              <w:rPr>
                <w:sz w:val="18"/>
                <w:szCs w:val="18"/>
                <w:lang w:val="es-UY"/>
              </w:rPr>
              <w:t>40</w:t>
            </w:r>
          </w:p>
        </w:tc>
        <w:tc>
          <w:tcPr>
            <w:tcW w:w="450" w:type="dxa"/>
            <w:tcBorders>
              <w:top w:val="single" w:sz="4" w:space="0" w:color="auto"/>
              <w:left w:val="single" w:sz="4" w:space="0" w:color="auto"/>
              <w:bottom w:val="single" w:sz="4" w:space="0" w:color="auto"/>
              <w:right w:val="single" w:sz="4" w:space="0" w:color="auto"/>
            </w:tcBorders>
            <w:vAlign w:val="center"/>
          </w:tcPr>
          <w:p w14:paraId="42B1C237" w14:textId="2708C37A" w:rsidR="00C97B72" w:rsidRPr="00C97B72" w:rsidRDefault="00CE3E47" w:rsidP="00816B3B">
            <w:pPr>
              <w:spacing w:before="0"/>
              <w:jc w:val="center"/>
              <w:rPr>
                <w:sz w:val="18"/>
                <w:szCs w:val="18"/>
                <w:lang w:val="es-UY"/>
              </w:rPr>
            </w:pPr>
            <w:r>
              <w:rPr>
                <w:sz w:val="18"/>
                <w:szCs w:val="18"/>
                <w:lang w:val="es-UY"/>
              </w:rPr>
              <w:t>40</w:t>
            </w:r>
          </w:p>
        </w:tc>
        <w:tc>
          <w:tcPr>
            <w:tcW w:w="450" w:type="dxa"/>
            <w:tcBorders>
              <w:top w:val="single" w:sz="4" w:space="0" w:color="auto"/>
              <w:left w:val="single" w:sz="4" w:space="0" w:color="auto"/>
              <w:bottom w:val="single" w:sz="4" w:space="0" w:color="auto"/>
              <w:right w:val="single" w:sz="4" w:space="0" w:color="auto"/>
            </w:tcBorders>
            <w:vAlign w:val="center"/>
          </w:tcPr>
          <w:p w14:paraId="38749651" w14:textId="163FEC33" w:rsidR="00C97B72" w:rsidRPr="00C97B72" w:rsidRDefault="00CE3E47" w:rsidP="00816B3B">
            <w:pPr>
              <w:spacing w:before="0"/>
              <w:jc w:val="center"/>
              <w:rPr>
                <w:sz w:val="18"/>
                <w:szCs w:val="18"/>
                <w:lang w:val="es-UY"/>
              </w:rPr>
            </w:pPr>
            <w:r>
              <w:rPr>
                <w:sz w:val="18"/>
                <w:szCs w:val="18"/>
                <w:lang w:val="es-UY"/>
              </w:rPr>
              <w:t>40</w:t>
            </w:r>
          </w:p>
        </w:tc>
        <w:tc>
          <w:tcPr>
            <w:tcW w:w="540" w:type="dxa"/>
            <w:tcBorders>
              <w:top w:val="single" w:sz="4" w:space="0" w:color="auto"/>
              <w:left w:val="single" w:sz="4" w:space="0" w:color="auto"/>
              <w:bottom w:val="single" w:sz="4" w:space="0" w:color="auto"/>
              <w:right w:val="single" w:sz="4" w:space="0" w:color="auto"/>
            </w:tcBorders>
            <w:vAlign w:val="center"/>
          </w:tcPr>
          <w:p w14:paraId="6BB76F33" w14:textId="2D5521F1" w:rsidR="00C97B72" w:rsidRPr="00C97B72" w:rsidRDefault="00CE3E47" w:rsidP="00816B3B">
            <w:pPr>
              <w:spacing w:before="0"/>
              <w:jc w:val="center"/>
              <w:rPr>
                <w:sz w:val="18"/>
                <w:szCs w:val="18"/>
                <w:lang w:val="es-UY"/>
              </w:rPr>
            </w:pPr>
            <w:r>
              <w:rPr>
                <w:sz w:val="18"/>
                <w:szCs w:val="18"/>
                <w:lang w:val="es-UY"/>
              </w:rPr>
              <w:t>200</w:t>
            </w:r>
          </w:p>
        </w:tc>
        <w:tc>
          <w:tcPr>
            <w:tcW w:w="2160" w:type="dxa"/>
            <w:tcBorders>
              <w:top w:val="single" w:sz="4" w:space="0" w:color="auto"/>
              <w:left w:val="single" w:sz="4" w:space="0" w:color="auto"/>
              <w:bottom w:val="single" w:sz="4" w:space="0" w:color="auto"/>
              <w:right w:val="single" w:sz="4" w:space="0" w:color="auto"/>
            </w:tcBorders>
            <w:vAlign w:val="center"/>
          </w:tcPr>
          <w:p w14:paraId="7731E632" w14:textId="77777777" w:rsidR="00C97B72" w:rsidRPr="00C97B72" w:rsidRDefault="00C97B72" w:rsidP="00816B3B">
            <w:pPr>
              <w:spacing w:before="0"/>
              <w:rPr>
                <w:sz w:val="18"/>
                <w:szCs w:val="18"/>
                <w:lang w:val="es-UY"/>
              </w:rPr>
            </w:pPr>
            <w:r w:rsidRPr="00C97B72">
              <w:rPr>
                <w:sz w:val="18"/>
                <w:szCs w:val="18"/>
                <w:lang w:val="es-UY"/>
              </w:rPr>
              <w:t>Base de datos administrativa del programa.</w:t>
            </w:r>
          </w:p>
        </w:tc>
      </w:tr>
      <w:tr w:rsidR="00BB23E5" w:rsidRPr="00C97B72" w14:paraId="17484DD3" w14:textId="77777777" w:rsidTr="00816B3B">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7F20333A" w14:textId="77777777" w:rsidR="00C97B72" w:rsidRPr="00C97B72" w:rsidRDefault="00C97B72" w:rsidP="00816B3B">
            <w:pPr>
              <w:pStyle w:val="ListParagraph"/>
              <w:numPr>
                <w:ilvl w:val="0"/>
                <w:numId w:val="35"/>
              </w:numPr>
              <w:spacing w:before="0"/>
              <w:ind w:left="270" w:hanging="270"/>
              <w:jc w:val="left"/>
              <w:rPr>
                <w:sz w:val="18"/>
                <w:szCs w:val="18"/>
                <w:lang w:val="es-UY"/>
              </w:rPr>
            </w:pPr>
            <w:r w:rsidRPr="00C97B72">
              <w:rPr>
                <w:sz w:val="18"/>
                <w:szCs w:val="18"/>
                <w:lang w:val="es-UY"/>
              </w:rPr>
              <w:t>Número de laboratorios de tecnología equipados</w:t>
            </w:r>
          </w:p>
        </w:tc>
        <w:tc>
          <w:tcPr>
            <w:tcW w:w="1172" w:type="dxa"/>
            <w:tcBorders>
              <w:top w:val="single" w:sz="4" w:space="0" w:color="auto"/>
              <w:left w:val="single" w:sz="4" w:space="0" w:color="auto"/>
              <w:bottom w:val="single" w:sz="4" w:space="0" w:color="auto"/>
              <w:right w:val="single" w:sz="4" w:space="0" w:color="auto"/>
            </w:tcBorders>
            <w:vAlign w:val="center"/>
          </w:tcPr>
          <w:p w14:paraId="115A2492" w14:textId="77777777" w:rsidR="00C97B72" w:rsidRPr="00C97B72" w:rsidRDefault="00C97B72" w:rsidP="00816B3B">
            <w:pPr>
              <w:spacing w:before="0"/>
              <w:jc w:val="center"/>
              <w:rPr>
                <w:color w:val="000000"/>
                <w:sz w:val="18"/>
                <w:szCs w:val="18"/>
              </w:rPr>
            </w:pPr>
            <w:r w:rsidRPr="00C97B72">
              <w:rPr>
                <w:color w:val="000000"/>
                <w:sz w:val="18"/>
                <w:szCs w:val="18"/>
              </w:rPr>
              <w:t>Laboratorios</w:t>
            </w:r>
          </w:p>
        </w:tc>
        <w:tc>
          <w:tcPr>
            <w:tcW w:w="540" w:type="dxa"/>
            <w:tcBorders>
              <w:top w:val="single" w:sz="4" w:space="0" w:color="auto"/>
              <w:left w:val="single" w:sz="4" w:space="0" w:color="auto"/>
              <w:bottom w:val="single" w:sz="4" w:space="0" w:color="auto"/>
              <w:right w:val="single" w:sz="4" w:space="0" w:color="auto"/>
            </w:tcBorders>
            <w:vAlign w:val="center"/>
          </w:tcPr>
          <w:p w14:paraId="4A39A91D" w14:textId="77777777" w:rsidR="00C97B72" w:rsidRPr="00C97B72" w:rsidRDefault="00C97B72" w:rsidP="00816B3B">
            <w:pPr>
              <w:spacing w:before="0"/>
              <w:jc w:val="center"/>
              <w:rPr>
                <w:color w:val="000000"/>
                <w:sz w:val="18"/>
                <w:szCs w:val="18"/>
              </w:rPr>
            </w:pPr>
            <w:r w:rsidRPr="00C97B72">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2119A098"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6F329FA3"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042327CE" w14:textId="77777777" w:rsidR="00C97B72" w:rsidRPr="00C97B72" w:rsidRDefault="00C97B72" w:rsidP="00816B3B">
            <w:pPr>
              <w:spacing w:before="0"/>
              <w:jc w:val="center"/>
              <w:rPr>
                <w:sz w:val="18"/>
                <w:szCs w:val="18"/>
                <w:lang w:val="es-UY"/>
              </w:rPr>
            </w:pPr>
            <w:r w:rsidRPr="00C97B72">
              <w:rPr>
                <w:sz w:val="18"/>
                <w:szCs w:val="18"/>
                <w:lang w:val="es-UY"/>
              </w:rPr>
              <w:t>2</w:t>
            </w:r>
          </w:p>
        </w:tc>
        <w:tc>
          <w:tcPr>
            <w:tcW w:w="450" w:type="dxa"/>
            <w:tcBorders>
              <w:top w:val="single" w:sz="4" w:space="0" w:color="auto"/>
              <w:left w:val="single" w:sz="4" w:space="0" w:color="auto"/>
              <w:bottom w:val="single" w:sz="4" w:space="0" w:color="auto"/>
              <w:right w:val="single" w:sz="4" w:space="0" w:color="auto"/>
            </w:tcBorders>
            <w:vAlign w:val="center"/>
          </w:tcPr>
          <w:p w14:paraId="53BAB96A"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3D67FE76"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5999BE5F" w14:textId="77777777" w:rsidR="00C97B72" w:rsidRPr="00C97B72" w:rsidRDefault="00C97B72" w:rsidP="00816B3B">
            <w:pPr>
              <w:spacing w:before="0"/>
              <w:jc w:val="center"/>
              <w:rPr>
                <w:sz w:val="18"/>
                <w:szCs w:val="18"/>
                <w:lang w:val="es-UY"/>
              </w:rPr>
            </w:pPr>
            <w:r w:rsidRPr="00C97B72">
              <w:rPr>
                <w:sz w:val="18"/>
                <w:szCs w:val="18"/>
                <w:lang w:val="es-UY"/>
              </w:rPr>
              <w:t>2</w:t>
            </w:r>
          </w:p>
        </w:tc>
        <w:tc>
          <w:tcPr>
            <w:tcW w:w="2160" w:type="dxa"/>
            <w:tcBorders>
              <w:top w:val="single" w:sz="4" w:space="0" w:color="auto"/>
              <w:left w:val="single" w:sz="4" w:space="0" w:color="auto"/>
              <w:bottom w:val="single" w:sz="4" w:space="0" w:color="auto"/>
              <w:right w:val="single" w:sz="4" w:space="0" w:color="auto"/>
            </w:tcBorders>
            <w:vAlign w:val="center"/>
          </w:tcPr>
          <w:p w14:paraId="7A29239E" w14:textId="77777777" w:rsidR="00C97B72" w:rsidRPr="00C97B72" w:rsidRDefault="00C97B72" w:rsidP="00816B3B">
            <w:pPr>
              <w:spacing w:before="0"/>
              <w:rPr>
                <w:sz w:val="18"/>
                <w:szCs w:val="18"/>
                <w:lang w:val="es-UY"/>
              </w:rPr>
            </w:pPr>
            <w:r w:rsidRPr="00C97B72">
              <w:rPr>
                <w:sz w:val="18"/>
                <w:szCs w:val="18"/>
                <w:lang w:val="es-UY"/>
              </w:rPr>
              <w:t>Base de datos administrativa del programa.</w:t>
            </w:r>
          </w:p>
        </w:tc>
      </w:tr>
      <w:tr w:rsidR="00BB23E5" w:rsidRPr="00C97B72" w14:paraId="6549F42A" w14:textId="77777777" w:rsidTr="00816B3B">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4BDE6102" w14:textId="77777777" w:rsidR="00C97B72" w:rsidRPr="00C97B72" w:rsidRDefault="00C97B72" w:rsidP="00816B3B">
            <w:pPr>
              <w:pStyle w:val="ListParagraph"/>
              <w:numPr>
                <w:ilvl w:val="0"/>
                <w:numId w:val="35"/>
              </w:numPr>
              <w:spacing w:before="0"/>
              <w:ind w:left="270" w:hanging="270"/>
              <w:jc w:val="left"/>
              <w:rPr>
                <w:sz w:val="18"/>
                <w:szCs w:val="18"/>
                <w:lang w:val="es-UY"/>
              </w:rPr>
            </w:pPr>
            <w:r w:rsidRPr="00C97B72">
              <w:rPr>
                <w:sz w:val="18"/>
                <w:szCs w:val="18"/>
                <w:lang w:val="es-UY"/>
              </w:rPr>
              <w:t>Número de capacitaciones a empresas en uso de TICs</w:t>
            </w:r>
          </w:p>
        </w:tc>
        <w:tc>
          <w:tcPr>
            <w:tcW w:w="1172" w:type="dxa"/>
            <w:tcBorders>
              <w:top w:val="single" w:sz="4" w:space="0" w:color="auto"/>
              <w:left w:val="single" w:sz="4" w:space="0" w:color="auto"/>
              <w:bottom w:val="single" w:sz="4" w:space="0" w:color="auto"/>
              <w:right w:val="single" w:sz="4" w:space="0" w:color="auto"/>
            </w:tcBorders>
            <w:vAlign w:val="center"/>
          </w:tcPr>
          <w:p w14:paraId="2D3C5CE6"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Capacitaciones a empresas</w:t>
            </w:r>
          </w:p>
        </w:tc>
        <w:tc>
          <w:tcPr>
            <w:tcW w:w="540" w:type="dxa"/>
            <w:tcBorders>
              <w:top w:val="single" w:sz="4" w:space="0" w:color="auto"/>
              <w:left w:val="single" w:sz="4" w:space="0" w:color="auto"/>
              <w:bottom w:val="single" w:sz="4" w:space="0" w:color="auto"/>
              <w:right w:val="single" w:sz="4" w:space="0" w:color="auto"/>
            </w:tcBorders>
            <w:vAlign w:val="center"/>
          </w:tcPr>
          <w:p w14:paraId="7FC4AEDB" w14:textId="77777777" w:rsidR="00C97B72" w:rsidRPr="00C97B72" w:rsidRDefault="00C97B72" w:rsidP="00816B3B">
            <w:pPr>
              <w:spacing w:before="0"/>
              <w:jc w:val="center"/>
              <w:rPr>
                <w:color w:val="000000"/>
                <w:sz w:val="18"/>
                <w:szCs w:val="18"/>
              </w:rPr>
            </w:pPr>
            <w:r w:rsidRPr="00C97B72">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3774F674" w14:textId="3603E3FB" w:rsidR="00C97B72" w:rsidRPr="00C97B72" w:rsidRDefault="00CE3E47" w:rsidP="00816B3B">
            <w:pPr>
              <w:spacing w:before="0"/>
              <w:jc w:val="center"/>
              <w:rPr>
                <w:sz w:val="18"/>
                <w:szCs w:val="18"/>
                <w:lang w:val="es-UY"/>
              </w:rPr>
            </w:pPr>
            <w:r>
              <w:rPr>
                <w:sz w:val="18"/>
                <w:szCs w:val="18"/>
                <w:lang w:val="es-UY"/>
              </w:rPr>
              <w:t>30</w:t>
            </w:r>
          </w:p>
        </w:tc>
        <w:tc>
          <w:tcPr>
            <w:tcW w:w="540" w:type="dxa"/>
            <w:tcBorders>
              <w:top w:val="single" w:sz="4" w:space="0" w:color="auto"/>
              <w:left w:val="single" w:sz="4" w:space="0" w:color="auto"/>
              <w:bottom w:val="single" w:sz="4" w:space="0" w:color="auto"/>
              <w:right w:val="single" w:sz="4" w:space="0" w:color="auto"/>
            </w:tcBorders>
            <w:vAlign w:val="center"/>
          </w:tcPr>
          <w:p w14:paraId="1D1F9363" w14:textId="4E4DEE52" w:rsidR="00C97B72" w:rsidRPr="00C97B72" w:rsidRDefault="00CE3E47" w:rsidP="00816B3B">
            <w:pPr>
              <w:spacing w:before="0"/>
              <w:jc w:val="center"/>
              <w:rPr>
                <w:sz w:val="18"/>
                <w:szCs w:val="18"/>
                <w:lang w:val="es-UY"/>
              </w:rPr>
            </w:pPr>
            <w:r>
              <w:rPr>
                <w:sz w:val="18"/>
                <w:szCs w:val="18"/>
                <w:lang w:val="es-UY"/>
              </w:rPr>
              <w:t>45</w:t>
            </w:r>
          </w:p>
        </w:tc>
        <w:tc>
          <w:tcPr>
            <w:tcW w:w="450" w:type="dxa"/>
            <w:tcBorders>
              <w:top w:val="single" w:sz="4" w:space="0" w:color="auto"/>
              <w:left w:val="single" w:sz="4" w:space="0" w:color="auto"/>
              <w:bottom w:val="single" w:sz="4" w:space="0" w:color="auto"/>
              <w:right w:val="single" w:sz="4" w:space="0" w:color="auto"/>
            </w:tcBorders>
            <w:vAlign w:val="center"/>
          </w:tcPr>
          <w:p w14:paraId="5F660F3C" w14:textId="1EBCAD56" w:rsidR="00C97B72" w:rsidRPr="00C97B72" w:rsidRDefault="00CE3E47" w:rsidP="00816B3B">
            <w:pPr>
              <w:spacing w:before="0"/>
              <w:jc w:val="center"/>
              <w:rPr>
                <w:sz w:val="18"/>
                <w:szCs w:val="18"/>
                <w:lang w:val="es-UY"/>
              </w:rPr>
            </w:pPr>
            <w:r>
              <w:rPr>
                <w:sz w:val="18"/>
                <w:szCs w:val="18"/>
                <w:lang w:val="es-UY"/>
              </w:rPr>
              <w:t>45</w:t>
            </w:r>
          </w:p>
        </w:tc>
        <w:tc>
          <w:tcPr>
            <w:tcW w:w="450" w:type="dxa"/>
            <w:tcBorders>
              <w:top w:val="single" w:sz="4" w:space="0" w:color="auto"/>
              <w:left w:val="single" w:sz="4" w:space="0" w:color="auto"/>
              <w:bottom w:val="single" w:sz="4" w:space="0" w:color="auto"/>
              <w:right w:val="single" w:sz="4" w:space="0" w:color="auto"/>
            </w:tcBorders>
            <w:vAlign w:val="center"/>
          </w:tcPr>
          <w:p w14:paraId="69635B91" w14:textId="47528526" w:rsidR="00C97B72" w:rsidRPr="00C97B72" w:rsidRDefault="00CE3E47" w:rsidP="00816B3B">
            <w:pPr>
              <w:spacing w:before="0"/>
              <w:jc w:val="center"/>
              <w:rPr>
                <w:sz w:val="18"/>
                <w:szCs w:val="18"/>
                <w:lang w:val="es-UY"/>
              </w:rPr>
            </w:pPr>
            <w:r>
              <w:rPr>
                <w:sz w:val="18"/>
                <w:szCs w:val="18"/>
                <w:lang w:val="es-UY"/>
              </w:rPr>
              <w:t>50</w:t>
            </w:r>
          </w:p>
        </w:tc>
        <w:tc>
          <w:tcPr>
            <w:tcW w:w="450" w:type="dxa"/>
            <w:tcBorders>
              <w:top w:val="single" w:sz="4" w:space="0" w:color="auto"/>
              <w:left w:val="single" w:sz="4" w:space="0" w:color="auto"/>
              <w:bottom w:val="single" w:sz="4" w:space="0" w:color="auto"/>
              <w:right w:val="single" w:sz="4" w:space="0" w:color="auto"/>
            </w:tcBorders>
            <w:vAlign w:val="center"/>
          </w:tcPr>
          <w:p w14:paraId="23BCC3A9" w14:textId="43CAD287" w:rsidR="00C97B72" w:rsidRPr="00C97B72" w:rsidRDefault="00CE3E47" w:rsidP="00816B3B">
            <w:pPr>
              <w:spacing w:before="0"/>
              <w:jc w:val="center"/>
              <w:rPr>
                <w:sz w:val="18"/>
                <w:szCs w:val="18"/>
                <w:lang w:val="es-UY"/>
              </w:rPr>
            </w:pPr>
            <w:r>
              <w:rPr>
                <w:sz w:val="18"/>
                <w:szCs w:val="18"/>
                <w:lang w:val="es-UY"/>
              </w:rPr>
              <w:t>45</w:t>
            </w:r>
          </w:p>
        </w:tc>
        <w:tc>
          <w:tcPr>
            <w:tcW w:w="540" w:type="dxa"/>
            <w:tcBorders>
              <w:top w:val="single" w:sz="4" w:space="0" w:color="auto"/>
              <w:left w:val="single" w:sz="4" w:space="0" w:color="auto"/>
              <w:bottom w:val="single" w:sz="4" w:space="0" w:color="auto"/>
              <w:right w:val="single" w:sz="4" w:space="0" w:color="auto"/>
            </w:tcBorders>
            <w:vAlign w:val="center"/>
          </w:tcPr>
          <w:p w14:paraId="1BAAF926" w14:textId="56FB6912" w:rsidR="00C97B72" w:rsidRPr="00C97B72" w:rsidRDefault="00CE3E47" w:rsidP="00816B3B">
            <w:pPr>
              <w:spacing w:before="0"/>
              <w:jc w:val="center"/>
              <w:rPr>
                <w:sz w:val="18"/>
                <w:szCs w:val="18"/>
                <w:lang w:val="es-UY"/>
              </w:rPr>
            </w:pPr>
            <w:r>
              <w:rPr>
                <w:sz w:val="18"/>
                <w:szCs w:val="18"/>
                <w:lang w:val="es-UY"/>
              </w:rPr>
              <w:t>215</w:t>
            </w:r>
          </w:p>
        </w:tc>
        <w:tc>
          <w:tcPr>
            <w:tcW w:w="2160" w:type="dxa"/>
            <w:tcBorders>
              <w:top w:val="single" w:sz="4" w:space="0" w:color="auto"/>
              <w:left w:val="single" w:sz="4" w:space="0" w:color="auto"/>
              <w:bottom w:val="single" w:sz="4" w:space="0" w:color="auto"/>
              <w:right w:val="single" w:sz="4" w:space="0" w:color="auto"/>
            </w:tcBorders>
            <w:vAlign w:val="center"/>
          </w:tcPr>
          <w:p w14:paraId="0924D69D" w14:textId="77777777" w:rsidR="00C97B72" w:rsidRPr="00C97B72" w:rsidRDefault="00C97B72" w:rsidP="00816B3B">
            <w:pPr>
              <w:spacing w:before="0"/>
              <w:rPr>
                <w:sz w:val="18"/>
                <w:szCs w:val="18"/>
                <w:lang w:val="es-UY"/>
              </w:rPr>
            </w:pPr>
            <w:r w:rsidRPr="00C97B72">
              <w:rPr>
                <w:sz w:val="18"/>
                <w:szCs w:val="18"/>
                <w:lang w:val="es-UY"/>
              </w:rPr>
              <w:t>Base de datos administrativa del programa.</w:t>
            </w:r>
          </w:p>
        </w:tc>
      </w:tr>
      <w:tr w:rsidR="00BB23E5" w:rsidRPr="00C97B72" w14:paraId="73F85AE1" w14:textId="77777777" w:rsidTr="00816B3B">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6128D2C3" w14:textId="77777777" w:rsidR="00C97B72" w:rsidRPr="00C97B72" w:rsidRDefault="00C97B72" w:rsidP="00816B3B">
            <w:pPr>
              <w:pStyle w:val="ListParagraph"/>
              <w:numPr>
                <w:ilvl w:val="0"/>
                <w:numId w:val="35"/>
              </w:numPr>
              <w:spacing w:before="0"/>
              <w:ind w:left="270" w:hanging="270"/>
              <w:jc w:val="left"/>
              <w:rPr>
                <w:sz w:val="18"/>
                <w:szCs w:val="18"/>
                <w:lang w:val="es-UY"/>
              </w:rPr>
            </w:pPr>
            <w:r w:rsidRPr="00C97B72">
              <w:rPr>
                <w:sz w:val="18"/>
                <w:szCs w:val="18"/>
                <w:lang w:val="es-UY"/>
              </w:rPr>
              <w:t>Número de entrenamientos grupales a empresas para desarrollo de capacidades productivas, proveedores, calidad, ahorro energético y gestión empresarial</w:t>
            </w:r>
          </w:p>
        </w:tc>
        <w:tc>
          <w:tcPr>
            <w:tcW w:w="1172" w:type="dxa"/>
            <w:tcBorders>
              <w:top w:val="single" w:sz="4" w:space="0" w:color="auto"/>
              <w:left w:val="single" w:sz="4" w:space="0" w:color="auto"/>
              <w:bottom w:val="single" w:sz="4" w:space="0" w:color="auto"/>
              <w:right w:val="single" w:sz="4" w:space="0" w:color="auto"/>
            </w:tcBorders>
            <w:vAlign w:val="center"/>
          </w:tcPr>
          <w:p w14:paraId="762A6511"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Capacitaciones</w:t>
            </w:r>
          </w:p>
        </w:tc>
        <w:tc>
          <w:tcPr>
            <w:tcW w:w="540" w:type="dxa"/>
            <w:tcBorders>
              <w:top w:val="single" w:sz="4" w:space="0" w:color="auto"/>
              <w:left w:val="single" w:sz="4" w:space="0" w:color="auto"/>
              <w:bottom w:val="single" w:sz="4" w:space="0" w:color="auto"/>
              <w:right w:val="single" w:sz="4" w:space="0" w:color="auto"/>
            </w:tcBorders>
            <w:vAlign w:val="center"/>
          </w:tcPr>
          <w:p w14:paraId="53744266" w14:textId="77777777" w:rsidR="00C97B72" w:rsidRPr="00C97B72" w:rsidRDefault="00C97B72" w:rsidP="00816B3B">
            <w:pPr>
              <w:spacing w:before="0"/>
              <w:jc w:val="center"/>
              <w:rPr>
                <w:color w:val="000000"/>
                <w:sz w:val="18"/>
                <w:szCs w:val="18"/>
              </w:rPr>
            </w:pPr>
            <w:r w:rsidRPr="00C97B72">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2E241B3F" w14:textId="05FAC430" w:rsidR="00C97B72" w:rsidRPr="00C97B72" w:rsidRDefault="00CE3E47" w:rsidP="00816B3B">
            <w:pPr>
              <w:spacing w:before="0"/>
              <w:jc w:val="center"/>
              <w:rPr>
                <w:sz w:val="18"/>
                <w:szCs w:val="18"/>
                <w:lang w:val="es-UY"/>
              </w:rPr>
            </w:pPr>
            <w:r>
              <w:rPr>
                <w:sz w:val="18"/>
                <w:szCs w:val="18"/>
                <w:lang w:val="es-UY"/>
              </w:rPr>
              <w:t>75</w:t>
            </w:r>
          </w:p>
        </w:tc>
        <w:tc>
          <w:tcPr>
            <w:tcW w:w="540" w:type="dxa"/>
            <w:tcBorders>
              <w:top w:val="single" w:sz="4" w:space="0" w:color="auto"/>
              <w:left w:val="single" w:sz="4" w:space="0" w:color="auto"/>
              <w:bottom w:val="single" w:sz="4" w:space="0" w:color="auto"/>
              <w:right w:val="single" w:sz="4" w:space="0" w:color="auto"/>
            </w:tcBorders>
            <w:vAlign w:val="center"/>
          </w:tcPr>
          <w:p w14:paraId="3A3611B6" w14:textId="00452774" w:rsidR="00C97B72" w:rsidRPr="00C97B72" w:rsidRDefault="00CE3E47" w:rsidP="00816B3B">
            <w:pPr>
              <w:spacing w:before="0"/>
              <w:jc w:val="center"/>
              <w:rPr>
                <w:sz w:val="18"/>
                <w:szCs w:val="18"/>
                <w:lang w:val="es-UY"/>
              </w:rPr>
            </w:pPr>
            <w:r>
              <w:rPr>
                <w:sz w:val="18"/>
                <w:szCs w:val="18"/>
                <w:lang w:val="es-UY"/>
              </w:rPr>
              <w:t>120</w:t>
            </w:r>
          </w:p>
        </w:tc>
        <w:tc>
          <w:tcPr>
            <w:tcW w:w="450" w:type="dxa"/>
            <w:tcBorders>
              <w:top w:val="single" w:sz="4" w:space="0" w:color="auto"/>
              <w:left w:val="single" w:sz="4" w:space="0" w:color="auto"/>
              <w:bottom w:val="single" w:sz="4" w:space="0" w:color="auto"/>
              <w:right w:val="single" w:sz="4" w:space="0" w:color="auto"/>
            </w:tcBorders>
            <w:vAlign w:val="center"/>
          </w:tcPr>
          <w:p w14:paraId="47523414" w14:textId="78074196" w:rsidR="00C97B72" w:rsidRPr="00C97B72" w:rsidRDefault="00CE3E47" w:rsidP="00816B3B">
            <w:pPr>
              <w:spacing w:before="0"/>
              <w:jc w:val="center"/>
              <w:rPr>
                <w:sz w:val="18"/>
                <w:szCs w:val="18"/>
                <w:lang w:val="es-UY"/>
              </w:rPr>
            </w:pPr>
            <w:r>
              <w:rPr>
                <w:sz w:val="18"/>
                <w:szCs w:val="18"/>
                <w:lang w:val="es-UY"/>
              </w:rPr>
              <w:t>120</w:t>
            </w:r>
          </w:p>
        </w:tc>
        <w:tc>
          <w:tcPr>
            <w:tcW w:w="450" w:type="dxa"/>
            <w:tcBorders>
              <w:top w:val="single" w:sz="4" w:space="0" w:color="auto"/>
              <w:left w:val="single" w:sz="4" w:space="0" w:color="auto"/>
              <w:bottom w:val="single" w:sz="4" w:space="0" w:color="auto"/>
              <w:right w:val="single" w:sz="4" w:space="0" w:color="auto"/>
            </w:tcBorders>
            <w:vAlign w:val="center"/>
          </w:tcPr>
          <w:p w14:paraId="37A4CF9D" w14:textId="496C1D64" w:rsidR="00C97B72" w:rsidRPr="00C97B72" w:rsidRDefault="00CE3E47" w:rsidP="00816B3B">
            <w:pPr>
              <w:spacing w:before="0"/>
              <w:jc w:val="center"/>
              <w:rPr>
                <w:sz w:val="18"/>
                <w:szCs w:val="18"/>
                <w:lang w:val="es-UY"/>
              </w:rPr>
            </w:pPr>
            <w:r>
              <w:rPr>
                <w:sz w:val="18"/>
                <w:szCs w:val="18"/>
                <w:lang w:val="es-UY"/>
              </w:rPr>
              <w:t>120</w:t>
            </w:r>
          </w:p>
        </w:tc>
        <w:tc>
          <w:tcPr>
            <w:tcW w:w="450" w:type="dxa"/>
            <w:tcBorders>
              <w:top w:val="single" w:sz="4" w:space="0" w:color="auto"/>
              <w:left w:val="single" w:sz="4" w:space="0" w:color="auto"/>
              <w:bottom w:val="single" w:sz="4" w:space="0" w:color="auto"/>
              <w:right w:val="single" w:sz="4" w:space="0" w:color="auto"/>
            </w:tcBorders>
            <w:vAlign w:val="center"/>
          </w:tcPr>
          <w:p w14:paraId="48BD8689" w14:textId="53B05DD1" w:rsidR="00C97B72" w:rsidRPr="00C97B72" w:rsidRDefault="00CE3E47" w:rsidP="00816B3B">
            <w:pPr>
              <w:spacing w:before="0"/>
              <w:jc w:val="center"/>
              <w:rPr>
                <w:sz w:val="18"/>
                <w:szCs w:val="18"/>
                <w:lang w:val="es-UY"/>
              </w:rPr>
            </w:pPr>
            <w:r>
              <w:rPr>
                <w:sz w:val="18"/>
                <w:szCs w:val="18"/>
                <w:lang w:val="es-UY"/>
              </w:rPr>
              <w:t>125</w:t>
            </w:r>
          </w:p>
        </w:tc>
        <w:tc>
          <w:tcPr>
            <w:tcW w:w="540" w:type="dxa"/>
            <w:tcBorders>
              <w:top w:val="single" w:sz="4" w:space="0" w:color="auto"/>
              <w:left w:val="single" w:sz="4" w:space="0" w:color="auto"/>
              <w:bottom w:val="single" w:sz="4" w:space="0" w:color="auto"/>
              <w:right w:val="single" w:sz="4" w:space="0" w:color="auto"/>
            </w:tcBorders>
            <w:vAlign w:val="center"/>
          </w:tcPr>
          <w:p w14:paraId="29DF2112" w14:textId="300C089F" w:rsidR="00C97B72" w:rsidRPr="00C97B72" w:rsidRDefault="00CE3E47" w:rsidP="00816B3B">
            <w:pPr>
              <w:spacing w:before="0"/>
              <w:jc w:val="center"/>
              <w:rPr>
                <w:sz w:val="18"/>
                <w:szCs w:val="18"/>
                <w:lang w:val="es-UY"/>
              </w:rPr>
            </w:pPr>
            <w:r>
              <w:rPr>
                <w:sz w:val="18"/>
                <w:szCs w:val="18"/>
                <w:lang w:val="es-UY"/>
              </w:rPr>
              <w:t>560</w:t>
            </w:r>
          </w:p>
        </w:tc>
        <w:tc>
          <w:tcPr>
            <w:tcW w:w="2160" w:type="dxa"/>
            <w:tcBorders>
              <w:top w:val="single" w:sz="4" w:space="0" w:color="auto"/>
              <w:left w:val="single" w:sz="4" w:space="0" w:color="auto"/>
              <w:bottom w:val="single" w:sz="4" w:space="0" w:color="auto"/>
              <w:right w:val="single" w:sz="4" w:space="0" w:color="auto"/>
            </w:tcBorders>
            <w:vAlign w:val="center"/>
          </w:tcPr>
          <w:p w14:paraId="70046735" w14:textId="77777777" w:rsidR="00C97B72" w:rsidRPr="00C97B72" w:rsidRDefault="00C97B72" w:rsidP="00816B3B">
            <w:pPr>
              <w:spacing w:before="0"/>
              <w:rPr>
                <w:sz w:val="18"/>
                <w:szCs w:val="18"/>
                <w:lang w:val="es-UY"/>
              </w:rPr>
            </w:pPr>
            <w:r w:rsidRPr="00C97B72">
              <w:rPr>
                <w:sz w:val="18"/>
                <w:szCs w:val="18"/>
                <w:lang w:val="es-UY"/>
              </w:rPr>
              <w:t>Base de datos administrativa del programa.</w:t>
            </w:r>
          </w:p>
        </w:tc>
      </w:tr>
      <w:tr w:rsidR="00BB23E5" w:rsidRPr="00C97B72" w14:paraId="187E7027" w14:textId="77777777" w:rsidTr="00816B3B">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19C368E5" w14:textId="77777777" w:rsidR="00C97B72" w:rsidRPr="00C97B72" w:rsidRDefault="00C97B72" w:rsidP="00816B3B">
            <w:pPr>
              <w:pStyle w:val="ListParagraph"/>
              <w:numPr>
                <w:ilvl w:val="0"/>
                <w:numId w:val="35"/>
              </w:numPr>
              <w:spacing w:before="0"/>
              <w:ind w:left="270" w:hanging="270"/>
              <w:jc w:val="left"/>
              <w:rPr>
                <w:sz w:val="18"/>
                <w:szCs w:val="18"/>
                <w:lang w:val="es-UY"/>
              </w:rPr>
            </w:pPr>
            <w:r w:rsidRPr="00C97B72">
              <w:rPr>
                <w:sz w:val="18"/>
                <w:szCs w:val="18"/>
                <w:lang w:val="es-UY"/>
              </w:rPr>
              <w:t>Número de estudios de potencialidades de negocios en los territorios del programa</w:t>
            </w:r>
          </w:p>
        </w:tc>
        <w:tc>
          <w:tcPr>
            <w:tcW w:w="1172" w:type="dxa"/>
            <w:tcBorders>
              <w:top w:val="single" w:sz="4" w:space="0" w:color="auto"/>
              <w:left w:val="single" w:sz="4" w:space="0" w:color="auto"/>
              <w:bottom w:val="single" w:sz="4" w:space="0" w:color="auto"/>
              <w:right w:val="single" w:sz="4" w:space="0" w:color="auto"/>
            </w:tcBorders>
            <w:vAlign w:val="center"/>
          </w:tcPr>
          <w:p w14:paraId="789BD61B" w14:textId="77777777" w:rsidR="00C97B72" w:rsidRPr="00C97B72" w:rsidRDefault="00C97B72" w:rsidP="00816B3B">
            <w:pPr>
              <w:spacing w:before="0"/>
              <w:jc w:val="center"/>
              <w:rPr>
                <w:color w:val="000000"/>
                <w:sz w:val="18"/>
                <w:szCs w:val="18"/>
              </w:rPr>
            </w:pPr>
            <w:r w:rsidRPr="00C97B72">
              <w:rPr>
                <w:color w:val="000000"/>
                <w:sz w:val="18"/>
                <w:szCs w:val="18"/>
              </w:rPr>
              <w:t>Estudios</w:t>
            </w:r>
          </w:p>
        </w:tc>
        <w:tc>
          <w:tcPr>
            <w:tcW w:w="540" w:type="dxa"/>
            <w:tcBorders>
              <w:top w:val="single" w:sz="4" w:space="0" w:color="auto"/>
              <w:left w:val="single" w:sz="4" w:space="0" w:color="auto"/>
              <w:bottom w:val="single" w:sz="4" w:space="0" w:color="auto"/>
              <w:right w:val="single" w:sz="4" w:space="0" w:color="auto"/>
            </w:tcBorders>
            <w:vAlign w:val="center"/>
          </w:tcPr>
          <w:p w14:paraId="0D71BD80" w14:textId="77777777" w:rsidR="00C97B72" w:rsidRPr="00C97B72" w:rsidRDefault="00C97B72" w:rsidP="00816B3B">
            <w:pPr>
              <w:spacing w:before="0"/>
              <w:jc w:val="center"/>
              <w:rPr>
                <w:color w:val="000000"/>
                <w:sz w:val="18"/>
                <w:szCs w:val="18"/>
              </w:rPr>
            </w:pPr>
            <w:r w:rsidRPr="00C97B72">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5F7F9C5C" w14:textId="77777777" w:rsidR="00C97B72" w:rsidRPr="00C97B72" w:rsidRDefault="00C97B72" w:rsidP="00816B3B">
            <w:pPr>
              <w:spacing w:before="0"/>
              <w:jc w:val="center"/>
              <w:rPr>
                <w:sz w:val="18"/>
                <w:szCs w:val="18"/>
                <w:lang w:val="es-UY"/>
              </w:rPr>
            </w:pPr>
            <w:r w:rsidRPr="00C97B72">
              <w:rPr>
                <w:sz w:val="18"/>
                <w:szCs w:val="18"/>
                <w:lang w:val="es-UY"/>
              </w:rPr>
              <w:t>7</w:t>
            </w:r>
          </w:p>
        </w:tc>
        <w:tc>
          <w:tcPr>
            <w:tcW w:w="540" w:type="dxa"/>
            <w:tcBorders>
              <w:top w:val="single" w:sz="4" w:space="0" w:color="auto"/>
              <w:left w:val="single" w:sz="4" w:space="0" w:color="auto"/>
              <w:bottom w:val="single" w:sz="4" w:space="0" w:color="auto"/>
              <w:right w:val="single" w:sz="4" w:space="0" w:color="auto"/>
            </w:tcBorders>
            <w:vAlign w:val="center"/>
          </w:tcPr>
          <w:p w14:paraId="3D9E4C7D" w14:textId="77777777" w:rsidR="00C97B72" w:rsidRPr="00C97B72" w:rsidRDefault="00C97B72" w:rsidP="00816B3B">
            <w:pPr>
              <w:spacing w:before="0"/>
              <w:jc w:val="center"/>
              <w:rPr>
                <w:sz w:val="18"/>
                <w:szCs w:val="18"/>
                <w:lang w:val="es-UY"/>
              </w:rPr>
            </w:pPr>
            <w:r w:rsidRPr="00C97B72">
              <w:rPr>
                <w:sz w:val="18"/>
                <w:szCs w:val="18"/>
                <w:lang w:val="es-UY"/>
              </w:rPr>
              <w:t>9</w:t>
            </w:r>
          </w:p>
        </w:tc>
        <w:tc>
          <w:tcPr>
            <w:tcW w:w="450" w:type="dxa"/>
            <w:tcBorders>
              <w:top w:val="single" w:sz="4" w:space="0" w:color="auto"/>
              <w:left w:val="single" w:sz="4" w:space="0" w:color="auto"/>
              <w:bottom w:val="single" w:sz="4" w:space="0" w:color="auto"/>
              <w:right w:val="single" w:sz="4" w:space="0" w:color="auto"/>
            </w:tcBorders>
            <w:vAlign w:val="center"/>
          </w:tcPr>
          <w:p w14:paraId="7CE933CB" w14:textId="77777777" w:rsidR="00C97B72" w:rsidRPr="00C97B72" w:rsidRDefault="00C97B72" w:rsidP="00816B3B">
            <w:pPr>
              <w:spacing w:before="0"/>
              <w:jc w:val="center"/>
              <w:rPr>
                <w:sz w:val="18"/>
                <w:szCs w:val="18"/>
                <w:lang w:val="es-UY"/>
              </w:rPr>
            </w:pPr>
            <w:r w:rsidRPr="00C97B72">
              <w:rPr>
                <w:sz w:val="18"/>
                <w:szCs w:val="18"/>
                <w:lang w:val="es-UY"/>
              </w:rPr>
              <w:t>12</w:t>
            </w:r>
          </w:p>
        </w:tc>
        <w:tc>
          <w:tcPr>
            <w:tcW w:w="450" w:type="dxa"/>
            <w:tcBorders>
              <w:top w:val="single" w:sz="4" w:space="0" w:color="auto"/>
              <w:left w:val="single" w:sz="4" w:space="0" w:color="auto"/>
              <w:bottom w:val="single" w:sz="4" w:space="0" w:color="auto"/>
              <w:right w:val="single" w:sz="4" w:space="0" w:color="auto"/>
            </w:tcBorders>
            <w:vAlign w:val="center"/>
          </w:tcPr>
          <w:p w14:paraId="1974F187"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36628868"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7D17D8BE" w14:textId="77777777" w:rsidR="00C97B72" w:rsidRPr="00C97B72" w:rsidRDefault="00C97B72" w:rsidP="00816B3B">
            <w:pPr>
              <w:spacing w:before="0"/>
              <w:jc w:val="center"/>
              <w:rPr>
                <w:sz w:val="18"/>
                <w:szCs w:val="18"/>
                <w:lang w:val="es-UY"/>
              </w:rPr>
            </w:pPr>
            <w:r w:rsidRPr="00C97B72">
              <w:rPr>
                <w:sz w:val="18"/>
                <w:szCs w:val="18"/>
                <w:lang w:val="es-UY"/>
              </w:rPr>
              <w:t>28</w:t>
            </w:r>
          </w:p>
        </w:tc>
        <w:tc>
          <w:tcPr>
            <w:tcW w:w="2160" w:type="dxa"/>
            <w:tcBorders>
              <w:top w:val="single" w:sz="4" w:space="0" w:color="auto"/>
              <w:left w:val="single" w:sz="4" w:space="0" w:color="auto"/>
              <w:bottom w:val="single" w:sz="4" w:space="0" w:color="auto"/>
              <w:right w:val="single" w:sz="4" w:space="0" w:color="auto"/>
            </w:tcBorders>
            <w:vAlign w:val="center"/>
          </w:tcPr>
          <w:p w14:paraId="16E2DE7F" w14:textId="77777777" w:rsidR="00C97B72" w:rsidRPr="00C97B72" w:rsidRDefault="00C97B72" w:rsidP="00816B3B">
            <w:pPr>
              <w:spacing w:before="0"/>
              <w:rPr>
                <w:sz w:val="18"/>
                <w:szCs w:val="18"/>
                <w:lang w:val="es-UY"/>
              </w:rPr>
            </w:pPr>
            <w:r w:rsidRPr="00C97B72">
              <w:rPr>
                <w:sz w:val="18"/>
                <w:szCs w:val="18"/>
                <w:lang w:val="es-UY"/>
              </w:rPr>
              <w:t>Base de datos administrativa del programa.</w:t>
            </w:r>
          </w:p>
        </w:tc>
      </w:tr>
      <w:tr w:rsidR="00BB23E5" w:rsidRPr="00C97B72" w14:paraId="5896BCF6" w14:textId="77777777" w:rsidTr="00816B3B">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45A13C9E" w14:textId="77777777" w:rsidR="00C97B72" w:rsidRPr="00C97B72" w:rsidRDefault="00C97B72" w:rsidP="00816B3B">
            <w:pPr>
              <w:pStyle w:val="ListParagraph"/>
              <w:numPr>
                <w:ilvl w:val="0"/>
                <w:numId w:val="35"/>
              </w:numPr>
              <w:spacing w:before="0"/>
              <w:ind w:left="270" w:hanging="270"/>
              <w:jc w:val="left"/>
              <w:rPr>
                <w:sz w:val="18"/>
                <w:szCs w:val="18"/>
                <w:lang w:val="es-UY"/>
              </w:rPr>
            </w:pPr>
            <w:r w:rsidRPr="00C97B72">
              <w:rPr>
                <w:sz w:val="18"/>
                <w:szCs w:val="18"/>
                <w:lang w:val="es-UY"/>
              </w:rPr>
              <w:t>Número de ideas de negocio (nuevos emprendimientos) desarrolladas (con pruebas de mercado y diseño de prototipos)</w:t>
            </w:r>
          </w:p>
        </w:tc>
        <w:tc>
          <w:tcPr>
            <w:tcW w:w="1172" w:type="dxa"/>
            <w:tcBorders>
              <w:top w:val="single" w:sz="4" w:space="0" w:color="auto"/>
              <w:left w:val="single" w:sz="4" w:space="0" w:color="auto"/>
              <w:bottom w:val="single" w:sz="4" w:space="0" w:color="auto"/>
              <w:right w:val="single" w:sz="4" w:space="0" w:color="auto"/>
            </w:tcBorders>
            <w:vAlign w:val="center"/>
          </w:tcPr>
          <w:p w14:paraId="559F58EE"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Emprendimentos apoyados</w:t>
            </w:r>
          </w:p>
        </w:tc>
        <w:tc>
          <w:tcPr>
            <w:tcW w:w="540" w:type="dxa"/>
            <w:tcBorders>
              <w:top w:val="single" w:sz="4" w:space="0" w:color="auto"/>
              <w:left w:val="single" w:sz="4" w:space="0" w:color="auto"/>
              <w:bottom w:val="single" w:sz="4" w:space="0" w:color="auto"/>
              <w:right w:val="single" w:sz="4" w:space="0" w:color="auto"/>
            </w:tcBorders>
            <w:vAlign w:val="center"/>
          </w:tcPr>
          <w:p w14:paraId="5D239300" w14:textId="77777777" w:rsidR="00C97B72" w:rsidRPr="00C97B72" w:rsidRDefault="00C97B72" w:rsidP="00816B3B">
            <w:pPr>
              <w:spacing w:before="0"/>
              <w:jc w:val="center"/>
              <w:rPr>
                <w:color w:val="000000"/>
                <w:sz w:val="18"/>
                <w:szCs w:val="18"/>
              </w:rPr>
            </w:pPr>
            <w:r w:rsidRPr="00C97B72">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38CB6076" w14:textId="77777777" w:rsidR="00C97B72" w:rsidRPr="00C97B72" w:rsidRDefault="00C97B72" w:rsidP="00816B3B">
            <w:pPr>
              <w:spacing w:before="0"/>
              <w:jc w:val="center"/>
              <w:rPr>
                <w:sz w:val="18"/>
                <w:szCs w:val="18"/>
                <w:lang w:val="es-UY"/>
              </w:rPr>
            </w:pPr>
            <w:r w:rsidRPr="00C97B72">
              <w:rPr>
                <w:sz w:val="18"/>
                <w:szCs w:val="18"/>
                <w:lang w:val="es-UY"/>
              </w:rPr>
              <w:t>50</w:t>
            </w:r>
          </w:p>
        </w:tc>
        <w:tc>
          <w:tcPr>
            <w:tcW w:w="540" w:type="dxa"/>
            <w:tcBorders>
              <w:top w:val="single" w:sz="4" w:space="0" w:color="auto"/>
              <w:left w:val="single" w:sz="4" w:space="0" w:color="auto"/>
              <w:bottom w:val="single" w:sz="4" w:space="0" w:color="auto"/>
              <w:right w:val="single" w:sz="4" w:space="0" w:color="auto"/>
            </w:tcBorders>
            <w:vAlign w:val="center"/>
          </w:tcPr>
          <w:p w14:paraId="6D405333" w14:textId="77777777" w:rsidR="00C97B72" w:rsidRPr="00C97B72" w:rsidRDefault="00C97B72" w:rsidP="00816B3B">
            <w:pPr>
              <w:spacing w:before="0"/>
              <w:jc w:val="center"/>
              <w:rPr>
                <w:sz w:val="18"/>
                <w:szCs w:val="18"/>
                <w:lang w:val="es-UY"/>
              </w:rPr>
            </w:pPr>
            <w:r w:rsidRPr="00C97B72">
              <w:rPr>
                <w:sz w:val="18"/>
                <w:szCs w:val="18"/>
                <w:lang w:val="es-UY"/>
              </w:rPr>
              <w:t>50</w:t>
            </w:r>
          </w:p>
        </w:tc>
        <w:tc>
          <w:tcPr>
            <w:tcW w:w="450" w:type="dxa"/>
            <w:tcBorders>
              <w:top w:val="single" w:sz="4" w:space="0" w:color="auto"/>
              <w:left w:val="single" w:sz="4" w:space="0" w:color="auto"/>
              <w:bottom w:val="single" w:sz="4" w:space="0" w:color="auto"/>
              <w:right w:val="single" w:sz="4" w:space="0" w:color="auto"/>
            </w:tcBorders>
            <w:vAlign w:val="center"/>
          </w:tcPr>
          <w:p w14:paraId="57C4BE8B" w14:textId="77777777" w:rsidR="00C97B72" w:rsidRPr="00C97B72" w:rsidRDefault="00C97B72" w:rsidP="00816B3B">
            <w:pPr>
              <w:spacing w:before="0"/>
              <w:jc w:val="center"/>
              <w:rPr>
                <w:sz w:val="18"/>
                <w:szCs w:val="18"/>
                <w:lang w:val="es-UY"/>
              </w:rPr>
            </w:pPr>
            <w:r w:rsidRPr="00C97B72">
              <w:rPr>
                <w:sz w:val="18"/>
                <w:szCs w:val="18"/>
                <w:lang w:val="es-UY"/>
              </w:rPr>
              <w:t>100</w:t>
            </w:r>
          </w:p>
        </w:tc>
        <w:tc>
          <w:tcPr>
            <w:tcW w:w="450" w:type="dxa"/>
            <w:tcBorders>
              <w:top w:val="single" w:sz="4" w:space="0" w:color="auto"/>
              <w:left w:val="single" w:sz="4" w:space="0" w:color="auto"/>
              <w:bottom w:val="single" w:sz="4" w:space="0" w:color="auto"/>
              <w:right w:val="single" w:sz="4" w:space="0" w:color="auto"/>
            </w:tcBorders>
            <w:vAlign w:val="center"/>
          </w:tcPr>
          <w:p w14:paraId="31CEAD71" w14:textId="77777777" w:rsidR="00C97B72" w:rsidRPr="00C97B72" w:rsidRDefault="00C97B72" w:rsidP="00816B3B">
            <w:pPr>
              <w:spacing w:before="0"/>
              <w:jc w:val="center"/>
              <w:rPr>
                <w:sz w:val="18"/>
                <w:szCs w:val="18"/>
                <w:lang w:val="es-UY"/>
              </w:rPr>
            </w:pPr>
            <w:r w:rsidRPr="00C97B72">
              <w:rPr>
                <w:sz w:val="18"/>
                <w:szCs w:val="18"/>
                <w:lang w:val="es-UY"/>
              </w:rPr>
              <w:t>100</w:t>
            </w:r>
          </w:p>
        </w:tc>
        <w:tc>
          <w:tcPr>
            <w:tcW w:w="450" w:type="dxa"/>
            <w:tcBorders>
              <w:top w:val="single" w:sz="4" w:space="0" w:color="auto"/>
              <w:left w:val="single" w:sz="4" w:space="0" w:color="auto"/>
              <w:bottom w:val="single" w:sz="4" w:space="0" w:color="auto"/>
              <w:right w:val="single" w:sz="4" w:space="0" w:color="auto"/>
            </w:tcBorders>
            <w:vAlign w:val="center"/>
          </w:tcPr>
          <w:p w14:paraId="60E0A4CF" w14:textId="77777777" w:rsidR="00C97B72" w:rsidRPr="00C97B72" w:rsidRDefault="00C97B72" w:rsidP="00816B3B">
            <w:pPr>
              <w:spacing w:before="0"/>
              <w:jc w:val="center"/>
              <w:rPr>
                <w:sz w:val="18"/>
                <w:szCs w:val="18"/>
                <w:lang w:val="es-UY"/>
              </w:rPr>
            </w:pPr>
            <w:r w:rsidRPr="00C97B72">
              <w:rPr>
                <w:sz w:val="18"/>
                <w:szCs w:val="18"/>
                <w:lang w:val="es-UY"/>
              </w:rPr>
              <w:t>100</w:t>
            </w:r>
          </w:p>
        </w:tc>
        <w:tc>
          <w:tcPr>
            <w:tcW w:w="540" w:type="dxa"/>
            <w:tcBorders>
              <w:top w:val="single" w:sz="4" w:space="0" w:color="auto"/>
              <w:left w:val="single" w:sz="4" w:space="0" w:color="auto"/>
              <w:bottom w:val="single" w:sz="4" w:space="0" w:color="auto"/>
              <w:right w:val="single" w:sz="4" w:space="0" w:color="auto"/>
            </w:tcBorders>
            <w:vAlign w:val="center"/>
          </w:tcPr>
          <w:p w14:paraId="251F9475" w14:textId="77777777" w:rsidR="00C97B72" w:rsidRPr="00C97B72" w:rsidRDefault="00C97B72" w:rsidP="00816B3B">
            <w:pPr>
              <w:spacing w:before="0"/>
              <w:jc w:val="center"/>
              <w:rPr>
                <w:sz w:val="18"/>
                <w:szCs w:val="18"/>
                <w:lang w:val="es-UY"/>
              </w:rPr>
            </w:pPr>
            <w:r w:rsidRPr="00C97B72">
              <w:rPr>
                <w:sz w:val="18"/>
                <w:szCs w:val="18"/>
                <w:lang w:val="es-UY"/>
              </w:rPr>
              <w:t>400</w:t>
            </w:r>
          </w:p>
        </w:tc>
        <w:tc>
          <w:tcPr>
            <w:tcW w:w="2160" w:type="dxa"/>
            <w:tcBorders>
              <w:top w:val="single" w:sz="4" w:space="0" w:color="auto"/>
              <w:left w:val="single" w:sz="4" w:space="0" w:color="auto"/>
              <w:bottom w:val="single" w:sz="4" w:space="0" w:color="auto"/>
              <w:right w:val="single" w:sz="4" w:space="0" w:color="auto"/>
            </w:tcBorders>
            <w:vAlign w:val="center"/>
          </w:tcPr>
          <w:p w14:paraId="478F1EA0" w14:textId="77777777" w:rsidR="00C97B72" w:rsidRPr="00C97B72" w:rsidRDefault="00C97B72" w:rsidP="00816B3B">
            <w:pPr>
              <w:spacing w:before="0"/>
              <w:rPr>
                <w:sz w:val="18"/>
                <w:szCs w:val="18"/>
                <w:lang w:val="es-UY"/>
              </w:rPr>
            </w:pPr>
            <w:r w:rsidRPr="00C97B72">
              <w:rPr>
                <w:sz w:val="18"/>
                <w:szCs w:val="18"/>
                <w:lang w:val="es-UY"/>
              </w:rPr>
              <w:t>Base de datos administrativa del programa.</w:t>
            </w:r>
          </w:p>
        </w:tc>
      </w:tr>
      <w:tr w:rsidR="00BB23E5" w:rsidRPr="00C97B72" w14:paraId="55BB7563" w14:textId="77777777" w:rsidTr="00816B3B">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29DC053B" w14:textId="77777777" w:rsidR="00C97B72" w:rsidRPr="00C97B72" w:rsidRDefault="00C97B72" w:rsidP="00816B3B">
            <w:pPr>
              <w:pStyle w:val="ListParagraph"/>
              <w:numPr>
                <w:ilvl w:val="0"/>
                <w:numId w:val="35"/>
              </w:numPr>
              <w:spacing w:before="0"/>
              <w:ind w:left="270" w:hanging="270"/>
              <w:jc w:val="left"/>
              <w:rPr>
                <w:sz w:val="18"/>
                <w:szCs w:val="18"/>
                <w:lang w:val="es-UY"/>
              </w:rPr>
            </w:pPr>
            <w:r w:rsidRPr="00C97B72">
              <w:rPr>
                <w:sz w:val="18"/>
                <w:szCs w:val="18"/>
                <w:lang w:val="es-UY"/>
              </w:rPr>
              <w:t>Número de ideas de negocio (nuevos emprendimientos) implementadas (introducidas al mercado comercialmente).</w:t>
            </w:r>
          </w:p>
        </w:tc>
        <w:tc>
          <w:tcPr>
            <w:tcW w:w="1172" w:type="dxa"/>
            <w:tcBorders>
              <w:top w:val="single" w:sz="4" w:space="0" w:color="auto"/>
              <w:left w:val="single" w:sz="4" w:space="0" w:color="auto"/>
              <w:bottom w:val="single" w:sz="4" w:space="0" w:color="auto"/>
              <w:right w:val="single" w:sz="4" w:space="0" w:color="auto"/>
            </w:tcBorders>
            <w:vAlign w:val="center"/>
          </w:tcPr>
          <w:p w14:paraId="78C1766E" w14:textId="77777777" w:rsidR="00C97B72" w:rsidRPr="00C97B72" w:rsidRDefault="00C97B72" w:rsidP="00816B3B">
            <w:pPr>
              <w:spacing w:before="0"/>
              <w:jc w:val="center"/>
              <w:rPr>
                <w:color w:val="000000"/>
                <w:sz w:val="18"/>
                <w:szCs w:val="18"/>
              </w:rPr>
            </w:pPr>
            <w:r w:rsidRPr="00C97B72">
              <w:rPr>
                <w:color w:val="000000"/>
                <w:sz w:val="18"/>
                <w:szCs w:val="18"/>
              </w:rPr>
              <w:t>Proyectos empresariales</w:t>
            </w:r>
          </w:p>
        </w:tc>
        <w:tc>
          <w:tcPr>
            <w:tcW w:w="540" w:type="dxa"/>
            <w:tcBorders>
              <w:top w:val="single" w:sz="4" w:space="0" w:color="auto"/>
              <w:left w:val="single" w:sz="4" w:space="0" w:color="auto"/>
              <w:bottom w:val="single" w:sz="4" w:space="0" w:color="auto"/>
              <w:right w:val="single" w:sz="4" w:space="0" w:color="auto"/>
            </w:tcBorders>
            <w:vAlign w:val="center"/>
          </w:tcPr>
          <w:p w14:paraId="30E95D89" w14:textId="77777777" w:rsidR="00C97B72" w:rsidRPr="00C97B72" w:rsidRDefault="00C97B72" w:rsidP="00816B3B">
            <w:pPr>
              <w:spacing w:before="0"/>
              <w:jc w:val="center"/>
              <w:rPr>
                <w:color w:val="000000"/>
                <w:sz w:val="18"/>
                <w:szCs w:val="18"/>
              </w:rPr>
            </w:pPr>
            <w:r w:rsidRPr="00C97B72">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03B6291D" w14:textId="77777777" w:rsidR="00C97B72" w:rsidRPr="00C97B72" w:rsidRDefault="00C97B72" w:rsidP="00816B3B">
            <w:pPr>
              <w:spacing w:before="0"/>
              <w:jc w:val="center"/>
              <w:rPr>
                <w:sz w:val="18"/>
                <w:szCs w:val="18"/>
                <w:lang w:val="es-UY"/>
              </w:rPr>
            </w:pPr>
            <w:r w:rsidRPr="00C97B72">
              <w:rPr>
                <w:sz w:val="18"/>
                <w:szCs w:val="18"/>
                <w:lang w:val="es-UY"/>
              </w:rPr>
              <w:t>10</w:t>
            </w:r>
          </w:p>
        </w:tc>
        <w:tc>
          <w:tcPr>
            <w:tcW w:w="540" w:type="dxa"/>
            <w:tcBorders>
              <w:top w:val="single" w:sz="4" w:space="0" w:color="auto"/>
              <w:left w:val="single" w:sz="4" w:space="0" w:color="auto"/>
              <w:bottom w:val="single" w:sz="4" w:space="0" w:color="auto"/>
              <w:right w:val="single" w:sz="4" w:space="0" w:color="auto"/>
            </w:tcBorders>
            <w:vAlign w:val="center"/>
          </w:tcPr>
          <w:p w14:paraId="7E53F6ED" w14:textId="77777777" w:rsidR="00C97B72" w:rsidRPr="00C97B72" w:rsidRDefault="00C97B72" w:rsidP="00816B3B">
            <w:pPr>
              <w:spacing w:before="0"/>
              <w:jc w:val="center"/>
              <w:rPr>
                <w:sz w:val="18"/>
                <w:szCs w:val="18"/>
                <w:lang w:val="es-UY"/>
              </w:rPr>
            </w:pPr>
            <w:r w:rsidRPr="00C97B72">
              <w:rPr>
                <w:sz w:val="18"/>
                <w:szCs w:val="18"/>
                <w:lang w:val="es-UY"/>
              </w:rPr>
              <w:t>10</w:t>
            </w:r>
          </w:p>
        </w:tc>
        <w:tc>
          <w:tcPr>
            <w:tcW w:w="450" w:type="dxa"/>
            <w:tcBorders>
              <w:top w:val="single" w:sz="4" w:space="0" w:color="auto"/>
              <w:left w:val="single" w:sz="4" w:space="0" w:color="auto"/>
              <w:bottom w:val="single" w:sz="4" w:space="0" w:color="auto"/>
              <w:right w:val="single" w:sz="4" w:space="0" w:color="auto"/>
            </w:tcBorders>
            <w:vAlign w:val="center"/>
          </w:tcPr>
          <w:p w14:paraId="7634E78B" w14:textId="77777777" w:rsidR="00C97B72" w:rsidRPr="00C97B72" w:rsidRDefault="00C97B72" w:rsidP="00816B3B">
            <w:pPr>
              <w:spacing w:before="0"/>
              <w:jc w:val="center"/>
              <w:rPr>
                <w:sz w:val="18"/>
                <w:szCs w:val="18"/>
                <w:lang w:val="es-UY"/>
              </w:rPr>
            </w:pPr>
            <w:r w:rsidRPr="00C97B72">
              <w:rPr>
                <w:sz w:val="18"/>
                <w:szCs w:val="18"/>
                <w:lang w:val="es-UY"/>
              </w:rPr>
              <w:t>10</w:t>
            </w:r>
          </w:p>
        </w:tc>
        <w:tc>
          <w:tcPr>
            <w:tcW w:w="450" w:type="dxa"/>
            <w:tcBorders>
              <w:top w:val="single" w:sz="4" w:space="0" w:color="auto"/>
              <w:left w:val="single" w:sz="4" w:space="0" w:color="auto"/>
              <w:bottom w:val="single" w:sz="4" w:space="0" w:color="auto"/>
              <w:right w:val="single" w:sz="4" w:space="0" w:color="auto"/>
            </w:tcBorders>
            <w:vAlign w:val="center"/>
          </w:tcPr>
          <w:p w14:paraId="66A3ACAA" w14:textId="77777777" w:rsidR="00C97B72" w:rsidRPr="00C97B72" w:rsidRDefault="00C97B72" w:rsidP="00816B3B">
            <w:pPr>
              <w:spacing w:before="0"/>
              <w:jc w:val="center"/>
              <w:rPr>
                <w:sz w:val="18"/>
                <w:szCs w:val="18"/>
                <w:lang w:val="es-UY"/>
              </w:rPr>
            </w:pPr>
            <w:r w:rsidRPr="00C97B72">
              <w:rPr>
                <w:sz w:val="18"/>
                <w:szCs w:val="18"/>
                <w:lang w:val="es-UY"/>
              </w:rPr>
              <w:t>10</w:t>
            </w:r>
          </w:p>
        </w:tc>
        <w:tc>
          <w:tcPr>
            <w:tcW w:w="450" w:type="dxa"/>
            <w:tcBorders>
              <w:top w:val="single" w:sz="4" w:space="0" w:color="auto"/>
              <w:left w:val="single" w:sz="4" w:space="0" w:color="auto"/>
              <w:bottom w:val="single" w:sz="4" w:space="0" w:color="auto"/>
              <w:right w:val="single" w:sz="4" w:space="0" w:color="auto"/>
            </w:tcBorders>
            <w:vAlign w:val="center"/>
          </w:tcPr>
          <w:p w14:paraId="3023E8A0" w14:textId="77777777" w:rsidR="00C97B72" w:rsidRPr="00C97B72" w:rsidRDefault="00C97B72" w:rsidP="00816B3B">
            <w:pPr>
              <w:spacing w:before="0"/>
              <w:jc w:val="center"/>
              <w:rPr>
                <w:sz w:val="18"/>
                <w:szCs w:val="18"/>
                <w:lang w:val="es-UY"/>
              </w:rPr>
            </w:pPr>
            <w:r w:rsidRPr="00C97B72">
              <w:rPr>
                <w:sz w:val="18"/>
                <w:szCs w:val="18"/>
                <w:lang w:val="es-UY"/>
              </w:rPr>
              <w:t>10</w:t>
            </w:r>
          </w:p>
        </w:tc>
        <w:tc>
          <w:tcPr>
            <w:tcW w:w="540" w:type="dxa"/>
            <w:tcBorders>
              <w:top w:val="single" w:sz="4" w:space="0" w:color="auto"/>
              <w:left w:val="single" w:sz="4" w:space="0" w:color="auto"/>
              <w:bottom w:val="single" w:sz="4" w:space="0" w:color="auto"/>
              <w:right w:val="single" w:sz="4" w:space="0" w:color="auto"/>
            </w:tcBorders>
            <w:vAlign w:val="center"/>
          </w:tcPr>
          <w:p w14:paraId="6CA0070E" w14:textId="77777777" w:rsidR="00C97B72" w:rsidRPr="00C97B72" w:rsidRDefault="00C97B72" w:rsidP="00816B3B">
            <w:pPr>
              <w:spacing w:before="0"/>
              <w:jc w:val="center"/>
              <w:rPr>
                <w:sz w:val="18"/>
                <w:szCs w:val="18"/>
                <w:lang w:val="es-UY"/>
              </w:rPr>
            </w:pPr>
            <w:r w:rsidRPr="00C97B72">
              <w:rPr>
                <w:sz w:val="18"/>
                <w:szCs w:val="18"/>
                <w:lang w:val="es-UY"/>
              </w:rPr>
              <w:t>50</w:t>
            </w:r>
          </w:p>
        </w:tc>
        <w:tc>
          <w:tcPr>
            <w:tcW w:w="2160" w:type="dxa"/>
            <w:tcBorders>
              <w:top w:val="single" w:sz="4" w:space="0" w:color="auto"/>
              <w:left w:val="single" w:sz="4" w:space="0" w:color="auto"/>
              <w:bottom w:val="single" w:sz="4" w:space="0" w:color="auto"/>
              <w:right w:val="single" w:sz="4" w:space="0" w:color="auto"/>
            </w:tcBorders>
            <w:vAlign w:val="center"/>
          </w:tcPr>
          <w:p w14:paraId="523BA87C" w14:textId="77777777" w:rsidR="00C97B72" w:rsidRPr="00C97B72" w:rsidRDefault="00C97B72" w:rsidP="00816B3B">
            <w:pPr>
              <w:spacing w:before="0"/>
              <w:rPr>
                <w:sz w:val="18"/>
                <w:szCs w:val="18"/>
                <w:lang w:val="es-UY"/>
              </w:rPr>
            </w:pPr>
            <w:r w:rsidRPr="00C97B72">
              <w:rPr>
                <w:sz w:val="18"/>
                <w:szCs w:val="18"/>
                <w:lang w:val="es-UY"/>
              </w:rPr>
              <w:t>Base de datos administrativa del programa.</w:t>
            </w:r>
          </w:p>
        </w:tc>
      </w:tr>
      <w:tr w:rsidR="00BB23E5" w:rsidRPr="00C97B72" w14:paraId="707E50D0" w14:textId="77777777" w:rsidTr="00816B3B">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139336BA" w14:textId="77777777" w:rsidR="00C97B72" w:rsidRPr="00C97B72" w:rsidRDefault="00C97B72" w:rsidP="00816B3B">
            <w:pPr>
              <w:pStyle w:val="ListParagraph"/>
              <w:numPr>
                <w:ilvl w:val="0"/>
                <w:numId w:val="35"/>
              </w:numPr>
              <w:spacing w:before="0"/>
              <w:ind w:left="270" w:hanging="270"/>
              <w:jc w:val="left"/>
              <w:rPr>
                <w:sz w:val="18"/>
                <w:szCs w:val="18"/>
                <w:lang w:val="es-UY"/>
              </w:rPr>
            </w:pPr>
            <w:r w:rsidRPr="00C97B72">
              <w:rPr>
                <w:sz w:val="18"/>
                <w:szCs w:val="18"/>
                <w:lang w:val="es-UY"/>
              </w:rPr>
              <w:t>Mujeres sensibilizadas y capacitadas a través de un programa específico de empresarialidad femenina .</w:t>
            </w:r>
          </w:p>
        </w:tc>
        <w:tc>
          <w:tcPr>
            <w:tcW w:w="1172" w:type="dxa"/>
            <w:tcBorders>
              <w:top w:val="single" w:sz="4" w:space="0" w:color="auto"/>
              <w:left w:val="single" w:sz="4" w:space="0" w:color="auto"/>
              <w:bottom w:val="single" w:sz="4" w:space="0" w:color="auto"/>
              <w:right w:val="single" w:sz="4" w:space="0" w:color="auto"/>
            </w:tcBorders>
            <w:vAlign w:val="center"/>
          </w:tcPr>
          <w:p w14:paraId="11A7364B" w14:textId="77777777" w:rsidR="00C97B72" w:rsidRPr="00C97B72" w:rsidRDefault="00C97B72" w:rsidP="00816B3B">
            <w:pPr>
              <w:spacing w:before="0"/>
              <w:jc w:val="center"/>
              <w:rPr>
                <w:bCs/>
                <w:color w:val="000000"/>
                <w:sz w:val="18"/>
                <w:szCs w:val="18"/>
                <w:lang w:val="es-UY"/>
              </w:rPr>
            </w:pPr>
            <w:r w:rsidRPr="00C97B72">
              <w:rPr>
                <w:bCs/>
                <w:color w:val="000000"/>
                <w:sz w:val="18"/>
                <w:szCs w:val="18"/>
                <w:lang w:val="es-UY"/>
              </w:rPr>
              <w:t>Número de Personas</w:t>
            </w:r>
          </w:p>
        </w:tc>
        <w:tc>
          <w:tcPr>
            <w:tcW w:w="540" w:type="dxa"/>
            <w:tcBorders>
              <w:top w:val="single" w:sz="4" w:space="0" w:color="auto"/>
              <w:left w:val="single" w:sz="4" w:space="0" w:color="auto"/>
              <w:bottom w:val="single" w:sz="4" w:space="0" w:color="auto"/>
              <w:right w:val="single" w:sz="4" w:space="0" w:color="auto"/>
            </w:tcBorders>
            <w:vAlign w:val="center"/>
          </w:tcPr>
          <w:p w14:paraId="56DAA1FA" w14:textId="77777777" w:rsidR="00C97B72" w:rsidRPr="00C97B72" w:rsidRDefault="00C97B72" w:rsidP="00816B3B">
            <w:pPr>
              <w:spacing w:before="0"/>
              <w:jc w:val="center"/>
              <w:rPr>
                <w:sz w:val="18"/>
                <w:szCs w:val="18"/>
                <w:lang w:val="es-ES"/>
              </w:rPr>
            </w:pPr>
            <w:r w:rsidRPr="00C97B72">
              <w:rPr>
                <w:sz w:val="18"/>
                <w:szCs w:val="18"/>
                <w:lang w:val="es-ES"/>
              </w:rPr>
              <w:t>0</w:t>
            </w:r>
          </w:p>
        </w:tc>
        <w:tc>
          <w:tcPr>
            <w:tcW w:w="540" w:type="dxa"/>
            <w:tcBorders>
              <w:top w:val="single" w:sz="4" w:space="0" w:color="auto"/>
              <w:left w:val="single" w:sz="4" w:space="0" w:color="auto"/>
              <w:bottom w:val="single" w:sz="4" w:space="0" w:color="auto"/>
              <w:right w:val="single" w:sz="4" w:space="0" w:color="auto"/>
            </w:tcBorders>
            <w:vAlign w:val="center"/>
          </w:tcPr>
          <w:p w14:paraId="1C84DFA5" w14:textId="58B3929A" w:rsidR="00C97B72" w:rsidRPr="00C97B72" w:rsidRDefault="00CE3E47" w:rsidP="00816B3B">
            <w:pPr>
              <w:spacing w:before="0"/>
              <w:jc w:val="center"/>
              <w:rPr>
                <w:bCs/>
                <w:color w:val="000000"/>
                <w:sz w:val="18"/>
                <w:szCs w:val="18"/>
                <w:lang w:val="es-ES"/>
              </w:rPr>
            </w:pPr>
            <w:r>
              <w:rPr>
                <w:bCs/>
                <w:color w:val="000000"/>
                <w:sz w:val="18"/>
                <w:szCs w:val="18"/>
                <w:lang w:val="es-ES"/>
              </w:rPr>
              <w:t>10</w:t>
            </w:r>
          </w:p>
        </w:tc>
        <w:tc>
          <w:tcPr>
            <w:tcW w:w="540" w:type="dxa"/>
            <w:tcBorders>
              <w:top w:val="single" w:sz="4" w:space="0" w:color="auto"/>
              <w:left w:val="single" w:sz="4" w:space="0" w:color="auto"/>
              <w:bottom w:val="single" w:sz="4" w:space="0" w:color="auto"/>
              <w:right w:val="single" w:sz="4" w:space="0" w:color="auto"/>
            </w:tcBorders>
            <w:vAlign w:val="center"/>
          </w:tcPr>
          <w:p w14:paraId="30847F08" w14:textId="7C0C0BC9" w:rsidR="00C97B72" w:rsidRPr="00C97B72" w:rsidRDefault="00CE3E47" w:rsidP="00816B3B">
            <w:pPr>
              <w:spacing w:before="0"/>
              <w:jc w:val="center"/>
              <w:rPr>
                <w:bCs/>
                <w:color w:val="000000"/>
                <w:sz w:val="18"/>
                <w:szCs w:val="18"/>
                <w:lang w:val="es-ES"/>
              </w:rPr>
            </w:pPr>
            <w:r>
              <w:rPr>
                <w:bCs/>
                <w:color w:val="000000"/>
                <w:sz w:val="18"/>
                <w:szCs w:val="18"/>
                <w:lang w:val="es-ES"/>
              </w:rPr>
              <w:t>30</w:t>
            </w:r>
          </w:p>
        </w:tc>
        <w:tc>
          <w:tcPr>
            <w:tcW w:w="450" w:type="dxa"/>
            <w:tcBorders>
              <w:top w:val="single" w:sz="4" w:space="0" w:color="auto"/>
              <w:left w:val="single" w:sz="4" w:space="0" w:color="auto"/>
              <w:bottom w:val="single" w:sz="4" w:space="0" w:color="auto"/>
              <w:right w:val="single" w:sz="4" w:space="0" w:color="auto"/>
            </w:tcBorders>
            <w:vAlign w:val="center"/>
          </w:tcPr>
          <w:p w14:paraId="660A1153" w14:textId="752D2929" w:rsidR="00C97B72" w:rsidRPr="00C97B72" w:rsidRDefault="00CE3E47" w:rsidP="00816B3B">
            <w:pPr>
              <w:spacing w:before="0"/>
              <w:jc w:val="center"/>
              <w:rPr>
                <w:sz w:val="18"/>
                <w:szCs w:val="18"/>
                <w:lang w:val="es-UY"/>
              </w:rPr>
            </w:pPr>
            <w:r>
              <w:rPr>
                <w:sz w:val="18"/>
                <w:szCs w:val="18"/>
                <w:lang w:val="es-UY"/>
              </w:rPr>
              <w:t>40</w:t>
            </w:r>
          </w:p>
        </w:tc>
        <w:tc>
          <w:tcPr>
            <w:tcW w:w="450" w:type="dxa"/>
            <w:tcBorders>
              <w:top w:val="single" w:sz="4" w:space="0" w:color="auto"/>
              <w:left w:val="single" w:sz="4" w:space="0" w:color="auto"/>
              <w:bottom w:val="single" w:sz="4" w:space="0" w:color="auto"/>
              <w:right w:val="single" w:sz="4" w:space="0" w:color="auto"/>
            </w:tcBorders>
            <w:vAlign w:val="center"/>
          </w:tcPr>
          <w:p w14:paraId="2B477891" w14:textId="6090EF92" w:rsidR="00C97B72" w:rsidRPr="00C97B72" w:rsidRDefault="00CE3E47" w:rsidP="00816B3B">
            <w:pPr>
              <w:spacing w:before="0"/>
              <w:jc w:val="center"/>
              <w:rPr>
                <w:sz w:val="18"/>
                <w:szCs w:val="18"/>
                <w:lang w:val="es-UY"/>
              </w:rPr>
            </w:pPr>
            <w:r>
              <w:rPr>
                <w:sz w:val="18"/>
                <w:szCs w:val="18"/>
                <w:lang w:val="es-UY"/>
              </w:rPr>
              <w:t>50</w:t>
            </w:r>
          </w:p>
        </w:tc>
        <w:tc>
          <w:tcPr>
            <w:tcW w:w="450" w:type="dxa"/>
            <w:tcBorders>
              <w:top w:val="single" w:sz="4" w:space="0" w:color="auto"/>
              <w:left w:val="single" w:sz="4" w:space="0" w:color="auto"/>
              <w:bottom w:val="single" w:sz="4" w:space="0" w:color="auto"/>
              <w:right w:val="single" w:sz="4" w:space="0" w:color="auto"/>
            </w:tcBorders>
            <w:vAlign w:val="center"/>
          </w:tcPr>
          <w:p w14:paraId="6FE91D3A" w14:textId="3343A09C" w:rsidR="00C97B72" w:rsidRPr="00C97B72" w:rsidRDefault="00CE3E47" w:rsidP="00816B3B">
            <w:pPr>
              <w:spacing w:before="0"/>
              <w:jc w:val="center"/>
              <w:rPr>
                <w:sz w:val="18"/>
                <w:szCs w:val="18"/>
                <w:lang w:val="es-UY"/>
              </w:rPr>
            </w:pPr>
            <w:r>
              <w:rPr>
                <w:bCs/>
                <w:color w:val="000000"/>
                <w:sz w:val="18"/>
                <w:szCs w:val="18"/>
                <w:lang w:val="es-ES"/>
              </w:rPr>
              <w:t>70</w:t>
            </w:r>
          </w:p>
        </w:tc>
        <w:tc>
          <w:tcPr>
            <w:tcW w:w="540" w:type="dxa"/>
            <w:tcBorders>
              <w:top w:val="single" w:sz="4" w:space="0" w:color="auto"/>
              <w:left w:val="single" w:sz="4" w:space="0" w:color="auto"/>
              <w:bottom w:val="single" w:sz="4" w:space="0" w:color="auto"/>
              <w:right w:val="single" w:sz="4" w:space="0" w:color="auto"/>
            </w:tcBorders>
            <w:vAlign w:val="center"/>
          </w:tcPr>
          <w:p w14:paraId="5D133002" w14:textId="44756214" w:rsidR="00C97B72" w:rsidRPr="00C97B72" w:rsidRDefault="00CE3E47" w:rsidP="00816B3B">
            <w:pPr>
              <w:spacing w:before="0"/>
              <w:jc w:val="center"/>
              <w:rPr>
                <w:sz w:val="18"/>
                <w:szCs w:val="18"/>
                <w:lang w:val="es-UY"/>
              </w:rPr>
            </w:pPr>
            <w:r>
              <w:rPr>
                <w:sz w:val="18"/>
                <w:szCs w:val="18"/>
                <w:lang w:val="es-UY"/>
              </w:rPr>
              <w:t>200</w:t>
            </w:r>
          </w:p>
        </w:tc>
        <w:tc>
          <w:tcPr>
            <w:tcW w:w="2160" w:type="dxa"/>
            <w:tcBorders>
              <w:top w:val="single" w:sz="4" w:space="0" w:color="auto"/>
              <w:left w:val="single" w:sz="4" w:space="0" w:color="auto"/>
              <w:bottom w:val="single" w:sz="4" w:space="0" w:color="auto"/>
              <w:right w:val="single" w:sz="4" w:space="0" w:color="auto"/>
            </w:tcBorders>
            <w:vAlign w:val="center"/>
          </w:tcPr>
          <w:p w14:paraId="442592D2" w14:textId="77777777" w:rsidR="00C97B72" w:rsidRPr="00C97B72" w:rsidRDefault="00C97B72" w:rsidP="00816B3B">
            <w:pPr>
              <w:spacing w:before="0"/>
              <w:rPr>
                <w:sz w:val="18"/>
                <w:szCs w:val="18"/>
                <w:lang w:val="es-UY"/>
              </w:rPr>
            </w:pPr>
            <w:r w:rsidRPr="00C97B72">
              <w:rPr>
                <w:bCs/>
                <w:color w:val="000000"/>
                <w:sz w:val="18"/>
                <w:szCs w:val="18"/>
                <w:lang w:val="es-ES"/>
              </w:rPr>
              <w:t>Base de datos administrativa del Programa. Línea de base resultados promedio CONAMYPE 2008-2012.</w:t>
            </w:r>
          </w:p>
        </w:tc>
      </w:tr>
      <w:tr w:rsidR="00BB23E5" w:rsidRPr="00C97B72" w14:paraId="785031B0" w14:textId="77777777" w:rsidTr="00816B3B">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38EF2330" w14:textId="77777777" w:rsidR="00C97B72" w:rsidRPr="00C97B72" w:rsidRDefault="00C97B72" w:rsidP="00816B3B">
            <w:pPr>
              <w:pStyle w:val="ListParagraph"/>
              <w:numPr>
                <w:ilvl w:val="0"/>
                <w:numId w:val="35"/>
              </w:numPr>
              <w:spacing w:before="0"/>
              <w:ind w:left="270" w:hanging="270"/>
              <w:jc w:val="left"/>
              <w:rPr>
                <w:sz w:val="18"/>
                <w:szCs w:val="18"/>
                <w:lang w:val="es-ES_tradnl"/>
              </w:rPr>
            </w:pPr>
            <w:r w:rsidRPr="00C97B72">
              <w:rPr>
                <w:sz w:val="18"/>
                <w:szCs w:val="18"/>
                <w:lang w:val="es-ES_tradnl"/>
              </w:rPr>
              <w:t xml:space="preserve">Número de ideas de negocio (nuevos emprendimientos) implementadas (introducidas al mercado comercialmente) a través de un programa específico de empresarialidad femenina </w:t>
            </w:r>
          </w:p>
        </w:tc>
        <w:tc>
          <w:tcPr>
            <w:tcW w:w="1172" w:type="dxa"/>
            <w:tcBorders>
              <w:top w:val="single" w:sz="4" w:space="0" w:color="auto"/>
              <w:left w:val="single" w:sz="4" w:space="0" w:color="auto"/>
              <w:bottom w:val="single" w:sz="4" w:space="0" w:color="auto"/>
              <w:right w:val="single" w:sz="4" w:space="0" w:color="auto"/>
            </w:tcBorders>
            <w:vAlign w:val="center"/>
          </w:tcPr>
          <w:p w14:paraId="4925CA5E"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Proyectos empresariales</w:t>
            </w:r>
          </w:p>
        </w:tc>
        <w:tc>
          <w:tcPr>
            <w:tcW w:w="540" w:type="dxa"/>
            <w:tcBorders>
              <w:top w:val="single" w:sz="4" w:space="0" w:color="auto"/>
              <w:left w:val="single" w:sz="4" w:space="0" w:color="auto"/>
              <w:bottom w:val="single" w:sz="4" w:space="0" w:color="auto"/>
              <w:right w:val="single" w:sz="4" w:space="0" w:color="auto"/>
            </w:tcBorders>
            <w:vAlign w:val="center"/>
          </w:tcPr>
          <w:p w14:paraId="49D1617F" w14:textId="77777777" w:rsidR="00C97B72" w:rsidRPr="00C97B72" w:rsidRDefault="00C97B72" w:rsidP="00816B3B">
            <w:pPr>
              <w:spacing w:before="0"/>
              <w:jc w:val="center"/>
              <w:rPr>
                <w:color w:val="000000"/>
                <w:sz w:val="18"/>
                <w:szCs w:val="18"/>
              </w:rPr>
            </w:pPr>
            <w:r w:rsidRPr="00C97B72">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00962DD1" w14:textId="77777777" w:rsidR="00C97B72" w:rsidRPr="00C97B72" w:rsidRDefault="00C97B72" w:rsidP="00816B3B">
            <w:pPr>
              <w:spacing w:before="0"/>
              <w:jc w:val="center"/>
              <w:rPr>
                <w:sz w:val="18"/>
                <w:szCs w:val="18"/>
                <w:lang w:val="es-UY"/>
              </w:rPr>
            </w:pPr>
            <w:r w:rsidRPr="00C97B72">
              <w:rPr>
                <w:sz w:val="18"/>
                <w:szCs w:val="18"/>
                <w:lang w:val="es-UY"/>
              </w:rPr>
              <w:t>5</w:t>
            </w:r>
          </w:p>
        </w:tc>
        <w:tc>
          <w:tcPr>
            <w:tcW w:w="540" w:type="dxa"/>
            <w:tcBorders>
              <w:top w:val="single" w:sz="4" w:space="0" w:color="auto"/>
              <w:left w:val="single" w:sz="4" w:space="0" w:color="auto"/>
              <w:bottom w:val="single" w:sz="4" w:space="0" w:color="auto"/>
              <w:right w:val="single" w:sz="4" w:space="0" w:color="auto"/>
            </w:tcBorders>
            <w:vAlign w:val="center"/>
          </w:tcPr>
          <w:p w14:paraId="1C6854E3" w14:textId="77777777" w:rsidR="00C97B72" w:rsidRPr="00C97B72" w:rsidRDefault="00C97B72" w:rsidP="00816B3B">
            <w:pPr>
              <w:spacing w:before="0"/>
              <w:jc w:val="center"/>
              <w:rPr>
                <w:sz w:val="18"/>
                <w:szCs w:val="18"/>
                <w:lang w:val="es-UY"/>
              </w:rPr>
            </w:pPr>
            <w:r w:rsidRPr="00C97B72">
              <w:rPr>
                <w:sz w:val="18"/>
                <w:szCs w:val="18"/>
                <w:lang w:val="es-UY"/>
              </w:rPr>
              <w:t>8</w:t>
            </w:r>
          </w:p>
        </w:tc>
        <w:tc>
          <w:tcPr>
            <w:tcW w:w="450" w:type="dxa"/>
            <w:tcBorders>
              <w:top w:val="single" w:sz="4" w:space="0" w:color="auto"/>
              <w:left w:val="single" w:sz="4" w:space="0" w:color="auto"/>
              <w:bottom w:val="single" w:sz="4" w:space="0" w:color="auto"/>
              <w:right w:val="single" w:sz="4" w:space="0" w:color="auto"/>
            </w:tcBorders>
            <w:vAlign w:val="center"/>
          </w:tcPr>
          <w:p w14:paraId="698D5783" w14:textId="77777777" w:rsidR="00C97B72" w:rsidRPr="00C97B72" w:rsidRDefault="00C97B72" w:rsidP="00816B3B">
            <w:pPr>
              <w:spacing w:before="0"/>
              <w:jc w:val="center"/>
              <w:rPr>
                <w:sz w:val="18"/>
                <w:szCs w:val="18"/>
                <w:lang w:val="es-UY"/>
              </w:rPr>
            </w:pPr>
            <w:r w:rsidRPr="00C97B72">
              <w:rPr>
                <w:sz w:val="18"/>
                <w:szCs w:val="18"/>
                <w:lang w:val="es-UY"/>
              </w:rPr>
              <w:t>9</w:t>
            </w:r>
          </w:p>
        </w:tc>
        <w:tc>
          <w:tcPr>
            <w:tcW w:w="450" w:type="dxa"/>
            <w:tcBorders>
              <w:top w:val="single" w:sz="4" w:space="0" w:color="auto"/>
              <w:left w:val="single" w:sz="4" w:space="0" w:color="auto"/>
              <w:bottom w:val="single" w:sz="4" w:space="0" w:color="auto"/>
              <w:right w:val="single" w:sz="4" w:space="0" w:color="auto"/>
            </w:tcBorders>
            <w:vAlign w:val="center"/>
          </w:tcPr>
          <w:p w14:paraId="6E633A21" w14:textId="77777777" w:rsidR="00C97B72" w:rsidRPr="00C97B72" w:rsidRDefault="00C97B72" w:rsidP="00816B3B">
            <w:pPr>
              <w:spacing w:before="0"/>
              <w:jc w:val="center"/>
              <w:rPr>
                <w:sz w:val="18"/>
                <w:szCs w:val="18"/>
                <w:lang w:val="es-UY"/>
              </w:rPr>
            </w:pPr>
            <w:r w:rsidRPr="00C97B72">
              <w:rPr>
                <w:sz w:val="18"/>
                <w:szCs w:val="18"/>
                <w:lang w:val="es-UY"/>
              </w:rPr>
              <w:t>13</w:t>
            </w:r>
          </w:p>
        </w:tc>
        <w:tc>
          <w:tcPr>
            <w:tcW w:w="450" w:type="dxa"/>
            <w:tcBorders>
              <w:top w:val="single" w:sz="4" w:space="0" w:color="auto"/>
              <w:left w:val="single" w:sz="4" w:space="0" w:color="auto"/>
              <w:bottom w:val="single" w:sz="4" w:space="0" w:color="auto"/>
              <w:right w:val="single" w:sz="4" w:space="0" w:color="auto"/>
            </w:tcBorders>
            <w:vAlign w:val="center"/>
          </w:tcPr>
          <w:p w14:paraId="6FB9FE0B" w14:textId="77777777" w:rsidR="00C97B72" w:rsidRPr="00C97B72" w:rsidRDefault="00C97B72" w:rsidP="00816B3B">
            <w:pPr>
              <w:spacing w:before="0"/>
              <w:jc w:val="center"/>
              <w:rPr>
                <w:sz w:val="18"/>
                <w:szCs w:val="18"/>
                <w:lang w:val="es-UY"/>
              </w:rPr>
            </w:pPr>
            <w:r w:rsidRPr="00C97B72">
              <w:rPr>
                <w:sz w:val="18"/>
                <w:szCs w:val="18"/>
                <w:lang w:val="es-UY"/>
              </w:rPr>
              <w:t>15</w:t>
            </w:r>
          </w:p>
        </w:tc>
        <w:tc>
          <w:tcPr>
            <w:tcW w:w="540" w:type="dxa"/>
            <w:tcBorders>
              <w:top w:val="single" w:sz="4" w:space="0" w:color="auto"/>
              <w:left w:val="single" w:sz="4" w:space="0" w:color="auto"/>
              <w:bottom w:val="single" w:sz="4" w:space="0" w:color="auto"/>
              <w:right w:val="single" w:sz="4" w:space="0" w:color="auto"/>
            </w:tcBorders>
            <w:vAlign w:val="center"/>
          </w:tcPr>
          <w:p w14:paraId="4D53E827" w14:textId="77777777" w:rsidR="00C97B72" w:rsidRPr="00C97B72" w:rsidRDefault="00C97B72" w:rsidP="00816B3B">
            <w:pPr>
              <w:spacing w:before="0"/>
              <w:jc w:val="center"/>
              <w:rPr>
                <w:sz w:val="18"/>
                <w:szCs w:val="18"/>
                <w:lang w:val="es-UY"/>
              </w:rPr>
            </w:pPr>
            <w:r w:rsidRPr="00C97B72">
              <w:rPr>
                <w:sz w:val="18"/>
                <w:szCs w:val="18"/>
                <w:lang w:val="es-UY"/>
              </w:rPr>
              <w:t>50</w:t>
            </w:r>
          </w:p>
        </w:tc>
        <w:tc>
          <w:tcPr>
            <w:tcW w:w="2160" w:type="dxa"/>
            <w:tcBorders>
              <w:top w:val="single" w:sz="4" w:space="0" w:color="auto"/>
              <w:left w:val="single" w:sz="4" w:space="0" w:color="auto"/>
              <w:bottom w:val="single" w:sz="4" w:space="0" w:color="auto"/>
              <w:right w:val="single" w:sz="4" w:space="0" w:color="auto"/>
            </w:tcBorders>
            <w:vAlign w:val="center"/>
          </w:tcPr>
          <w:p w14:paraId="26FDF942" w14:textId="77777777" w:rsidR="00C97B72" w:rsidRPr="00C97B72" w:rsidRDefault="00C97B72" w:rsidP="00816B3B">
            <w:pPr>
              <w:spacing w:before="0"/>
              <w:rPr>
                <w:sz w:val="18"/>
                <w:szCs w:val="18"/>
                <w:lang w:val="es-UY"/>
              </w:rPr>
            </w:pPr>
            <w:r w:rsidRPr="00C97B72">
              <w:rPr>
                <w:sz w:val="18"/>
                <w:szCs w:val="18"/>
                <w:lang w:val="es-UY"/>
              </w:rPr>
              <w:t>Base de datos administrativa del programa.</w:t>
            </w:r>
          </w:p>
        </w:tc>
      </w:tr>
      <w:tr w:rsidR="00BB23E5" w:rsidRPr="00C97B72" w14:paraId="21DCE747" w14:textId="77777777" w:rsidTr="00816B3B">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378F2F8A" w14:textId="77777777" w:rsidR="00C97B72" w:rsidRPr="00C97B72" w:rsidRDefault="00C97B72" w:rsidP="00816B3B">
            <w:pPr>
              <w:pStyle w:val="ListParagraph"/>
              <w:numPr>
                <w:ilvl w:val="0"/>
                <w:numId w:val="35"/>
              </w:numPr>
              <w:spacing w:before="0"/>
              <w:ind w:left="270" w:hanging="270"/>
              <w:jc w:val="left"/>
              <w:rPr>
                <w:sz w:val="18"/>
                <w:szCs w:val="18"/>
                <w:lang w:val="es-UY"/>
              </w:rPr>
            </w:pPr>
            <w:r w:rsidRPr="00C97B72">
              <w:rPr>
                <w:sz w:val="18"/>
                <w:szCs w:val="18"/>
                <w:lang w:val="es-UY"/>
              </w:rPr>
              <w:t>Número de nuevas empresas lideradas por mujeres que recibieron cofinanciamiento no-rembolsables (capital semilla) a través de un programa específico de empresarialidad femenina.</w:t>
            </w:r>
          </w:p>
        </w:tc>
        <w:tc>
          <w:tcPr>
            <w:tcW w:w="1172" w:type="dxa"/>
            <w:tcBorders>
              <w:top w:val="single" w:sz="4" w:space="0" w:color="auto"/>
              <w:left w:val="single" w:sz="4" w:space="0" w:color="auto"/>
              <w:bottom w:val="single" w:sz="4" w:space="0" w:color="auto"/>
              <w:right w:val="single" w:sz="4" w:space="0" w:color="auto"/>
            </w:tcBorders>
            <w:vAlign w:val="center"/>
          </w:tcPr>
          <w:p w14:paraId="0B1F8BB1" w14:textId="77777777" w:rsidR="00C97B72" w:rsidRPr="00C97B72" w:rsidRDefault="00C97B72" w:rsidP="00816B3B">
            <w:pPr>
              <w:spacing w:before="0"/>
              <w:jc w:val="center"/>
              <w:rPr>
                <w:bCs/>
                <w:color w:val="000000"/>
                <w:sz w:val="18"/>
                <w:szCs w:val="18"/>
                <w:lang w:val="es-UY"/>
              </w:rPr>
            </w:pPr>
            <w:r w:rsidRPr="00C97B72">
              <w:rPr>
                <w:bCs/>
                <w:color w:val="000000"/>
                <w:sz w:val="18"/>
                <w:szCs w:val="18"/>
                <w:lang w:val="es-UY"/>
              </w:rPr>
              <w:t>Número de empresas</w:t>
            </w:r>
          </w:p>
        </w:tc>
        <w:tc>
          <w:tcPr>
            <w:tcW w:w="540" w:type="dxa"/>
            <w:tcBorders>
              <w:top w:val="single" w:sz="4" w:space="0" w:color="auto"/>
              <w:left w:val="single" w:sz="4" w:space="0" w:color="auto"/>
              <w:bottom w:val="single" w:sz="4" w:space="0" w:color="auto"/>
              <w:right w:val="single" w:sz="4" w:space="0" w:color="auto"/>
            </w:tcBorders>
            <w:vAlign w:val="center"/>
          </w:tcPr>
          <w:p w14:paraId="543EAE83" w14:textId="77777777" w:rsidR="00C97B72" w:rsidRPr="00C97B72" w:rsidRDefault="00C97B72" w:rsidP="00816B3B">
            <w:pPr>
              <w:spacing w:before="0"/>
              <w:jc w:val="center"/>
              <w:rPr>
                <w:sz w:val="18"/>
                <w:szCs w:val="18"/>
                <w:lang w:val="es-ES"/>
              </w:rPr>
            </w:pPr>
            <w:r w:rsidRPr="00C97B72">
              <w:rPr>
                <w:sz w:val="18"/>
                <w:szCs w:val="18"/>
                <w:lang w:val="es-ES"/>
              </w:rPr>
              <w:t>0</w:t>
            </w:r>
          </w:p>
        </w:tc>
        <w:tc>
          <w:tcPr>
            <w:tcW w:w="540" w:type="dxa"/>
            <w:tcBorders>
              <w:top w:val="single" w:sz="4" w:space="0" w:color="auto"/>
              <w:left w:val="single" w:sz="4" w:space="0" w:color="auto"/>
              <w:bottom w:val="single" w:sz="4" w:space="0" w:color="auto"/>
              <w:right w:val="single" w:sz="4" w:space="0" w:color="auto"/>
            </w:tcBorders>
            <w:vAlign w:val="center"/>
          </w:tcPr>
          <w:p w14:paraId="03B9ADB0" w14:textId="66407833" w:rsidR="00C97B72" w:rsidRPr="00C97B72" w:rsidRDefault="00CE3E47" w:rsidP="00816B3B">
            <w:pPr>
              <w:spacing w:before="0"/>
              <w:jc w:val="center"/>
              <w:rPr>
                <w:bCs/>
                <w:color w:val="000000"/>
                <w:sz w:val="18"/>
                <w:szCs w:val="18"/>
                <w:lang w:val="es-ES"/>
              </w:rPr>
            </w:pPr>
            <w:r>
              <w:rPr>
                <w:bCs/>
                <w:color w:val="000000"/>
                <w:sz w:val="18"/>
                <w:szCs w:val="18"/>
                <w:lang w:val="es-ES"/>
              </w:rPr>
              <w:t>5</w:t>
            </w:r>
          </w:p>
        </w:tc>
        <w:tc>
          <w:tcPr>
            <w:tcW w:w="540" w:type="dxa"/>
            <w:tcBorders>
              <w:top w:val="single" w:sz="4" w:space="0" w:color="auto"/>
              <w:left w:val="single" w:sz="4" w:space="0" w:color="auto"/>
              <w:bottom w:val="single" w:sz="4" w:space="0" w:color="auto"/>
              <w:right w:val="single" w:sz="4" w:space="0" w:color="auto"/>
            </w:tcBorders>
            <w:vAlign w:val="center"/>
          </w:tcPr>
          <w:p w14:paraId="0548E11A" w14:textId="52501BAF" w:rsidR="00C97B72" w:rsidRPr="00C97B72" w:rsidRDefault="00CE3E47" w:rsidP="00816B3B">
            <w:pPr>
              <w:spacing w:before="0"/>
              <w:jc w:val="center"/>
              <w:rPr>
                <w:bCs/>
                <w:color w:val="000000"/>
                <w:sz w:val="18"/>
                <w:szCs w:val="18"/>
                <w:lang w:val="es-ES"/>
              </w:rPr>
            </w:pPr>
            <w:r>
              <w:rPr>
                <w:bCs/>
                <w:color w:val="000000"/>
                <w:sz w:val="18"/>
                <w:szCs w:val="18"/>
                <w:lang w:val="es-ES"/>
              </w:rPr>
              <w:t>5</w:t>
            </w:r>
          </w:p>
        </w:tc>
        <w:tc>
          <w:tcPr>
            <w:tcW w:w="450" w:type="dxa"/>
            <w:tcBorders>
              <w:top w:val="single" w:sz="4" w:space="0" w:color="auto"/>
              <w:left w:val="single" w:sz="4" w:space="0" w:color="auto"/>
              <w:bottom w:val="single" w:sz="4" w:space="0" w:color="auto"/>
              <w:right w:val="single" w:sz="4" w:space="0" w:color="auto"/>
            </w:tcBorders>
            <w:vAlign w:val="center"/>
          </w:tcPr>
          <w:p w14:paraId="57F063B5" w14:textId="6642FCA3" w:rsidR="00C97B72" w:rsidRPr="00C97B72" w:rsidRDefault="00CE3E47" w:rsidP="00816B3B">
            <w:pPr>
              <w:spacing w:before="0"/>
              <w:jc w:val="center"/>
              <w:rPr>
                <w:sz w:val="18"/>
                <w:szCs w:val="18"/>
                <w:lang w:val="es-UY"/>
              </w:rPr>
            </w:pPr>
            <w:r>
              <w:rPr>
                <w:sz w:val="18"/>
                <w:szCs w:val="18"/>
                <w:lang w:val="es-UY"/>
              </w:rPr>
              <w:t>5</w:t>
            </w:r>
          </w:p>
        </w:tc>
        <w:tc>
          <w:tcPr>
            <w:tcW w:w="450" w:type="dxa"/>
            <w:tcBorders>
              <w:top w:val="single" w:sz="4" w:space="0" w:color="auto"/>
              <w:left w:val="single" w:sz="4" w:space="0" w:color="auto"/>
              <w:bottom w:val="single" w:sz="4" w:space="0" w:color="auto"/>
              <w:right w:val="single" w:sz="4" w:space="0" w:color="auto"/>
            </w:tcBorders>
            <w:vAlign w:val="center"/>
          </w:tcPr>
          <w:p w14:paraId="3C2DF89C" w14:textId="32E2E0EB" w:rsidR="00C97B72" w:rsidRPr="00C97B72" w:rsidRDefault="00CE3E47" w:rsidP="00816B3B">
            <w:pPr>
              <w:spacing w:before="0"/>
              <w:jc w:val="center"/>
              <w:rPr>
                <w:sz w:val="18"/>
                <w:szCs w:val="18"/>
                <w:lang w:val="es-UY"/>
              </w:rPr>
            </w:pPr>
            <w:r>
              <w:rPr>
                <w:sz w:val="18"/>
                <w:szCs w:val="18"/>
                <w:lang w:val="es-UY"/>
              </w:rPr>
              <w:t>5</w:t>
            </w:r>
          </w:p>
        </w:tc>
        <w:tc>
          <w:tcPr>
            <w:tcW w:w="450" w:type="dxa"/>
            <w:tcBorders>
              <w:top w:val="single" w:sz="4" w:space="0" w:color="auto"/>
              <w:left w:val="single" w:sz="4" w:space="0" w:color="auto"/>
              <w:bottom w:val="single" w:sz="4" w:space="0" w:color="auto"/>
              <w:right w:val="single" w:sz="4" w:space="0" w:color="auto"/>
            </w:tcBorders>
            <w:vAlign w:val="center"/>
          </w:tcPr>
          <w:p w14:paraId="4AA75B0D" w14:textId="44DB59D5" w:rsidR="00C97B72" w:rsidRPr="00C97B72" w:rsidRDefault="00CE3E47" w:rsidP="00816B3B">
            <w:pPr>
              <w:spacing w:before="0"/>
              <w:jc w:val="center"/>
              <w:rPr>
                <w:sz w:val="18"/>
                <w:szCs w:val="18"/>
                <w:lang w:val="es-UY"/>
              </w:rPr>
            </w:pPr>
            <w:r>
              <w:rPr>
                <w:sz w:val="18"/>
                <w:szCs w:val="18"/>
                <w:lang w:val="es-UY"/>
              </w:rPr>
              <w:t>5</w:t>
            </w:r>
          </w:p>
        </w:tc>
        <w:tc>
          <w:tcPr>
            <w:tcW w:w="540" w:type="dxa"/>
            <w:tcBorders>
              <w:top w:val="single" w:sz="4" w:space="0" w:color="auto"/>
              <w:left w:val="single" w:sz="4" w:space="0" w:color="auto"/>
              <w:bottom w:val="single" w:sz="4" w:space="0" w:color="auto"/>
              <w:right w:val="single" w:sz="4" w:space="0" w:color="auto"/>
            </w:tcBorders>
            <w:vAlign w:val="center"/>
          </w:tcPr>
          <w:p w14:paraId="115CEE86" w14:textId="2E121EA4" w:rsidR="00C97B72" w:rsidRPr="00C97B72" w:rsidRDefault="00CE3E47" w:rsidP="00816B3B">
            <w:pPr>
              <w:spacing w:before="0"/>
              <w:jc w:val="center"/>
              <w:rPr>
                <w:sz w:val="18"/>
                <w:szCs w:val="18"/>
                <w:lang w:val="es-UY"/>
              </w:rPr>
            </w:pPr>
            <w:r>
              <w:rPr>
                <w:sz w:val="18"/>
                <w:szCs w:val="18"/>
                <w:lang w:val="es-UY"/>
              </w:rPr>
              <w:t>25</w:t>
            </w:r>
          </w:p>
        </w:tc>
        <w:tc>
          <w:tcPr>
            <w:tcW w:w="2160" w:type="dxa"/>
            <w:tcBorders>
              <w:top w:val="single" w:sz="4" w:space="0" w:color="auto"/>
              <w:left w:val="single" w:sz="4" w:space="0" w:color="auto"/>
              <w:bottom w:val="single" w:sz="4" w:space="0" w:color="auto"/>
              <w:right w:val="single" w:sz="4" w:space="0" w:color="auto"/>
            </w:tcBorders>
            <w:vAlign w:val="center"/>
          </w:tcPr>
          <w:p w14:paraId="35373444" w14:textId="77777777" w:rsidR="00C97B72" w:rsidRPr="00C97B72" w:rsidRDefault="00C97B72" w:rsidP="00816B3B">
            <w:pPr>
              <w:spacing w:before="0"/>
              <w:rPr>
                <w:sz w:val="18"/>
                <w:szCs w:val="18"/>
                <w:lang w:val="es-UY"/>
              </w:rPr>
            </w:pPr>
            <w:r w:rsidRPr="00C97B72">
              <w:rPr>
                <w:sz w:val="18"/>
                <w:szCs w:val="18"/>
                <w:lang w:val="es-UY"/>
              </w:rPr>
              <w:t>Base de datos administrativa del programa.</w:t>
            </w:r>
          </w:p>
        </w:tc>
      </w:tr>
      <w:tr w:rsidR="00BB23E5" w:rsidRPr="00C97B72" w14:paraId="53579BF2" w14:textId="77777777" w:rsidTr="00816B3B">
        <w:trPr>
          <w:cantSplit/>
          <w:trHeight w:val="459"/>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32A148B7" w14:textId="33F7C923" w:rsidR="00C97B72" w:rsidRPr="00C97B72" w:rsidRDefault="004C3171" w:rsidP="004C3171">
            <w:pPr>
              <w:pStyle w:val="ListParagraph"/>
              <w:numPr>
                <w:ilvl w:val="0"/>
                <w:numId w:val="35"/>
              </w:numPr>
              <w:spacing w:before="0"/>
              <w:ind w:left="270" w:hanging="270"/>
              <w:jc w:val="left"/>
              <w:rPr>
                <w:sz w:val="18"/>
                <w:szCs w:val="18"/>
                <w:lang w:val="es-UY"/>
              </w:rPr>
            </w:pPr>
            <w:r>
              <w:rPr>
                <w:sz w:val="18"/>
                <w:szCs w:val="18"/>
                <w:lang w:val="es-UY"/>
              </w:rPr>
              <w:t>Número</w:t>
            </w:r>
            <w:r w:rsidR="00C97B72" w:rsidRPr="00C97B72">
              <w:rPr>
                <w:sz w:val="18"/>
                <w:szCs w:val="18"/>
                <w:lang w:val="es-UY"/>
              </w:rPr>
              <w:t xml:space="preserve"> de </w:t>
            </w:r>
            <w:r w:rsidR="00C97B72" w:rsidRPr="00C97B72">
              <w:rPr>
                <w:i/>
                <w:sz w:val="18"/>
                <w:szCs w:val="18"/>
                <w:lang w:val="es-UY"/>
              </w:rPr>
              <w:t>clusters</w:t>
            </w:r>
            <w:r w:rsidR="00C97B72" w:rsidRPr="00C97B72">
              <w:rPr>
                <w:sz w:val="18"/>
                <w:szCs w:val="18"/>
                <w:lang w:val="es-UY"/>
              </w:rPr>
              <w:t xml:space="preserve"> y/o consorcios productivos </w:t>
            </w:r>
            <w:r>
              <w:rPr>
                <w:sz w:val="18"/>
                <w:szCs w:val="18"/>
                <w:lang w:val="es-UY"/>
              </w:rPr>
              <w:t>fortalecidos</w:t>
            </w:r>
          </w:p>
        </w:tc>
        <w:tc>
          <w:tcPr>
            <w:tcW w:w="1172" w:type="dxa"/>
            <w:tcBorders>
              <w:top w:val="single" w:sz="4" w:space="0" w:color="auto"/>
              <w:left w:val="single" w:sz="4" w:space="0" w:color="auto"/>
              <w:bottom w:val="single" w:sz="4" w:space="0" w:color="auto"/>
              <w:right w:val="single" w:sz="4" w:space="0" w:color="auto"/>
            </w:tcBorders>
            <w:vAlign w:val="center"/>
          </w:tcPr>
          <w:p w14:paraId="706F579D"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 xml:space="preserve">Número de </w:t>
            </w:r>
            <w:r w:rsidRPr="00C97B72">
              <w:rPr>
                <w:i/>
                <w:color w:val="000000"/>
                <w:sz w:val="18"/>
                <w:szCs w:val="18"/>
                <w:lang w:val="es-UY"/>
              </w:rPr>
              <w:t>clusters</w:t>
            </w:r>
            <w:r w:rsidRPr="00C97B72">
              <w:rPr>
                <w:color w:val="000000"/>
                <w:sz w:val="18"/>
                <w:szCs w:val="18"/>
                <w:lang w:val="es-UY"/>
              </w:rPr>
              <w:t xml:space="preserve"> o consorcios</w:t>
            </w:r>
          </w:p>
        </w:tc>
        <w:tc>
          <w:tcPr>
            <w:tcW w:w="540" w:type="dxa"/>
            <w:tcBorders>
              <w:top w:val="single" w:sz="4" w:space="0" w:color="auto"/>
              <w:left w:val="single" w:sz="4" w:space="0" w:color="auto"/>
              <w:bottom w:val="single" w:sz="4" w:space="0" w:color="auto"/>
              <w:right w:val="single" w:sz="4" w:space="0" w:color="auto"/>
            </w:tcBorders>
            <w:vAlign w:val="center"/>
          </w:tcPr>
          <w:p w14:paraId="7A8118A5" w14:textId="77777777" w:rsidR="00C97B72" w:rsidRPr="00C97B72" w:rsidRDefault="00C97B72" w:rsidP="00816B3B">
            <w:pPr>
              <w:spacing w:before="0"/>
              <w:jc w:val="center"/>
              <w:rPr>
                <w:color w:val="000000"/>
                <w:sz w:val="18"/>
                <w:szCs w:val="18"/>
              </w:rPr>
            </w:pPr>
            <w:r w:rsidRPr="00C97B72">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459B6076"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74D065B5" w14:textId="77777777" w:rsidR="00C97B72" w:rsidRPr="00C97B72" w:rsidRDefault="00C97B72" w:rsidP="00816B3B">
            <w:pPr>
              <w:spacing w:before="0"/>
              <w:jc w:val="center"/>
              <w:rPr>
                <w:sz w:val="18"/>
                <w:szCs w:val="18"/>
                <w:lang w:val="es-UY"/>
              </w:rPr>
            </w:pPr>
            <w:r w:rsidRPr="00C97B72">
              <w:rPr>
                <w:sz w:val="18"/>
                <w:szCs w:val="18"/>
                <w:lang w:val="es-UY"/>
              </w:rPr>
              <w:t>2</w:t>
            </w:r>
          </w:p>
        </w:tc>
        <w:tc>
          <w:tcPr>
            <w:tcW w:w="450" w:type="dxa"/>
            <w:tcBorders>
              <w:top w:val="single" w:sz="4" w:space="0" w:color="auto"/>
              <w:left w:val="single" w:sz="4" w:space="0" w:color="auto"/>
              <w:bottom w:val="single" w:sz="4" w:space="0" w:color="auto"/>
              <w:right w:val="single" w:sz="4" w:space="0" w:color="auto"/>
            </w:tcBorders>
            <w:vAlign w:val="center"/>
          </w:tcPr>
          <w:p w14:paraId="79DABE98" w14:textId="77777777" w:rsidR="00C97B72" w:rsidRPr="00C97B72" w:rsidRDefault="00C97B72" w:rsidP="00816B3B">
            <w:pPr>
              <w:spacing w:before="0"/>
              <w:jc w:val="center"/>
              <w:rPr>
                <w:sz w:val="18"/>
                <w:szCs w:val="18"/>
                <w:lang w:val="es-UY"/>
              </w:rPr>
            </w:pPr>
            <w:r w:rsidRPr="00C97B72">
              <w:rPr>
                <w:sz w:val="18"/>
                <w:szCs w:val="18"/>
                <w:lang w:val="es-UY"/>
              </w:rPr>
              <w:t>2</w:t>
            </w:r>
          </w:p>
        </w:tc>
        <w:tc>
          <w:tcPr>
            <w:tcW w:w="450" w:type="dxa"/>
            <w:tcBorders>
              <w:top w:val="single" w:sz="4" w:space="0" w:color="auto"/>
              <w:left w:val="single" w:sz="4" w:space="0" w:color="auto"/>
              <w:bottom w:val="single" w:sz="4" w:space="0" w:color="auto"/>
              <w:right w:val="single" w:sz="4" w:space="0" w:color="auto"/>
            </w:tcBorders>
            <w:vAlign w:val="center"/>
          </w:tcPr>
          <w:p w14:paraId="57CED85C" w14:textId="77777777" w:rsidR="00C97B72" w:rsidRPr="00C97B72" w:rsidRDefault="00C97B72" w:rsidP="00816B3B">
            <w:pPr>
              <w:spacing w:before="0"/>
              <w:jc w:val="center"/>
              <w:rPr>
                <w:sz w:val="18"/>
                <w:szCs w:val="18"/>
                <w:lang w:val="es-UY"/>
              </w:rPr>
            </w:pPr>
            <w:r w:rsidRPr="00C97B72">
              <w:rPr>
                <w:sz w:val="18"/>
                <w:szCs w:val="18"/>
                <w:lang w:val="es-UY"/>
              </w:rPr>
              <w:t>2</w:t>
            </w:r>
          </w:p>
        </w:tc>
        <w:tc>
          <w:tcPr>
            <w:tcW w:w="450" w:type="dxa"/>
            <w:tcBorders>
              <w:top w:val="single" w:sz="4" w:space="0" w:color="auto"/>
              <w:left w:val="single" w:sz="4" w:space="0" w:color="auto"/>
              <w:bottom w:val="single" w:sz="4" w:space="0" w:color="auto"/>
              <w:right w:val="single" w:sz="4" w:space="0" w:color="auto"/>
            </w:tcBorders>
            <w:vAlign w:val="center"/>
          </w:tcPr>
          <w:p w14:paraId="354F271A" w14:textId="77777777" w:rsidR="00C97B72" w:rsidRPr="00C97B72" w:rsidRDefault="00C97B72" w:rsidP="00816B3B">
            <w:pPr>
              <w:spacing w:before="0"/>
              <w:jc w:val="center"/>
              <w:rPr>
                <w:sz w:val="18"/>
                <w:szCs w:val="18"/>
                <w:lang w:val="es-UY"/>
              </w:rPr>
            </w:pPr>
            <w:r w:rsidRPr="00C97B72">
              <w:rPr>
                <w:sz w:val="18"/>
                <w:szCs w:val="18"/>
                <w:lang w:val="es-UY"/>
              </w:rPr>
              <w:t>2</w:t>
            </w:r>
          </w:p>
        </w:tc>
        <w:tc>
          <w:tcPr>
            <w:tcW w:w="540" w:type="dxa"/>
            <w:tcBorders>
              <w:top w:val="single" w:sz="4" w:space="0" w:color="auto"/>
              <w:left w:val="single" w:sz="4" w:space="0" w:color="auto"/>
              <w:bottom w:val="single" w:sz="4" w:space="0" w:color="auto"/>
              <w:right w:val="single" w:sz="4" w:space="0" w:color="auto"/>
            </w:tcBorders>
            <w:vAlign w:val="center"/>
          </w:tcPr>
          <w:p w14:paraId="389BD694" w14:textId="77777777" w:rsidR="00C97B72" w:rsidRPr="00C97B72" w:rsidRDefault="00C97B72" w:rsidP="00816B3B">
            <w:pPr>
              <w:spacing w:before="0"/>
              <w:jc w:val="center"/>
              <w:rPr>
                <w:sz w:val="18"/>
                <w:szCs w:val="18"/>
                <w:lang w:val="es-UY"/>
              </w:rPr>
            </w:pPr>
            <w:r w:rsidRPr="00C97B72">
              <w:rPr>
                <w:sz w:val="18"/>
                <w:szCs w:val="18"/>
                <w:lang w:val="es-UY"/>
              </w:rPr>
              <w:t>8</w:t>
            </w:r>
          </w:p>
        </w:tc>
        <w:tc>
          <w:tcPr>
            <w:tcW w:w="2160" w:type="dxa"/>
            <w:tcBorders>
              <w:top w:val="single" w:sz="4" w:space="0" w:color="auto"/>
              <w:left w:val="single" w:sz="4" w:space="0" w:color="auto"/>
              <w:bottom w:val="single" w:sz="4" w:space="0" w:color="auto"/>
              <w:right w:val="single" w:sz="4" w:space="0" w:color="auto"/>
            </w:tcBorders>
            <w:vAlign w:val="center"/>
          </w:tcPr>
          <w:p w14:paraId="4D83C634" w14:textId="77777777" w:rsidR="00C97B72" w:rsidRPr="00C97B72" w:rsidRDefault="00C97B72" w:rsidP="00816B3B">
            <w:pPr>
              <w:spacing w:before="0"/>
              <w:rPr>
                <w:sz w:val="18"/>
                <w:szCs w:val="18"/>
                <w:lang w:val="es-UY"/>
              </w:rPr>
            </w:pPr>
            <w:r w:rsidRPr="00C97B72">
              <w:rPr>
                <w:sz w:val="18"/>
                <w:szCs w:val="18"/>
                <w:lang w:val="es-UY"/>
              </w:rPr>
              <w:t>Base de datos administrativa del programa.</w:t>
            </w:r>
          </w:p>
        </w:tc>
      </w:tr>
      <w:tr w:rsidR="00BB23E5" w:rsidRPr="00C97B72" w14:paraId="38560B67" w14:textId="77777777" w:rsidTr="00816B3B">
        <w:trPr>
          <w:cantSplit/>
          <w:trHeight w:val="441"/>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630671B2" w14:textId="77777777" w:rsidR="00C97B72" w:rsidRPr="00C97B72" w:rsidRDefault="00C97B72" w:rsidP="00816B3B">
            <w:pPr>
              <w:pStyle w:val="ListParagraph"/>
              <w:numPr>
                <w:ilvl w:val="0"/>
                <w:numId w:val="35"/>
              </w:numPr>
              <w:spacing w:before="0"/>
              <w:ind w:left="270" w:hanging="270"/>
              <w:jc w:val="left"/>
              <w:rPr>
                <w:sz w:val="18"/>
                <w:szCs w:val="18"/>
                <w:lang w:val="es-UY"/>
              </w:rPr>
            </w:pPr>
            <w:r w:rsidRPr="00C97B72">
              <w:rPr>
                <w:sz w:val="18"/>
                <w:szCs w:val="18"/>
                <w:lang w:val="es-UY"/>
              </w:rPr>
              <w:t>Número de iniciativas apoyadas con capital semilla</w:t>
            </w:r>
          </w:p>
        </w:tc>
        <w:tc>
          <w:tcPr>
            <w:tcW w:w="1172" w:type="dxa"/>
            <w:tcBorders>
              <w:top w:val="single" w:sz="4" w:space="0" w:color="auto"/>
              <w:left w:val="single" w:sz="4" w:space="0" w:color="auto"/>
              <w:bottom w:val="single" w:sz="4" w:space="0" w:color="auto"/>
              <w:right w:val="single" w:sz="4" w:space="0" w:color="auto"/>
            </w:tcBorders>
            <w:vAlign w:val="center"/>
          </w:tcPr>
          <w:p w14:paraId="0944B141" w14:textId="77777777" w:rsidR="00C97B72" w:rsidRPr="00C97B72" w:rsidRDefault="00C97B72" w:rsidP="00816B3B">
            <w:pPr>
              <w:spacing w:before="0"/>
              <w:jc w:val="center"/>
              <w:rPr>
                <w:color w:val="000000"/>
                <w:sz w:val="18"/>
                <w:szCs w:val="18"/>
              </w:rPr>
            </w:pPr>
            <w:r w:rsidRPr="00C97B72">
              <w:rPr>
                <w:color w:val="000000"/>
                <w:sz w:val="18"/>
                <w:szCs w:val="18"/>
              </w:rPr>
              <w:t>Proyectos</w:t>
            </w:r>
          </w:p>
        </w:tc>
        <w:tc>
          <w:tcPr>
            <w:tcW w:w="540" w:type="dxa"/>
            <w:tcBorders>
              <w:top w:val="single" w:sz="4" w:space="0" w:color="auto"/>
              <w:left w:val="single" w:sz="4" w:space="0" w:color="auto"/>
              <w:bottom w:val="single" w:sz="4" w:space="0" w:color="auto"/>
              <w:right w:val="single" w:sz="4" w:space="0" w:color="auto"/>
            </w:tcBorders>
            <w:vAlign w:val="center"/>
          </w:tcPr>
          <w:p w14:paraId="2B50BA32" w14:textId="77777777" w:rsidR="00C97B72" w:rsidRPr="00C97B72" w:rsidRDefault="00C97B72" w:rsidP="00816B3B">
            <w:pPr>
              <w:spacing w:before="0"/>
              <w:jc w:val="center"/>
              <w:rPr>
                <w:color w:val="000000"/>
                <w:sz w:val="18"/>
                <w:szCs w:val="18"/>
              </w:rPr>
            </w:pPr>
            <w:r w:rsidRPr="00C97B72">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5303D0C0" w14:textId="77777777" w:rsidR="00C97B72" w:rsidRPr="00C97B72" w:rsidRDefault="00C97B72" w:rsidP="00816B3B">
            <w:pPr>
              <w:spacing w:before="0"/>
              <w:jc w:val="center"/>
              <w:rPr>
                <w:sz w:val="18"/>
                <w:szCs w:val="18"/>
                <w:lang w:val="es-UY"/>
              </w:rPr>
            </w:pPr>
            <w:r w:rsidRPr="00C97B72">
              <w:rPr>
                <w:sz w:val="18"/>
                <w:szCs w:val="18"/>
                <w:lang w:val="es-UY"/>
              </w:rPr>
              <w:t>20</w:t>
            </w:r>
          </w:p>
        </w:tc>
        <w:tc>
          <w:tcPr>
            <w:tcW w:w="540" w:type="dxa"/>
            <w:tcBorders>
              <w:top w:val="single" w:sz="4" w:space="0" w:color="auto"/>
              <w:left w:val="single" w:sz="4" w:space="0" w:color="auto"/>
              <w:bottom w:val="single" w:sz="4" w:space="0" w:color="auto"/>
              <w:right w:val="single" w:sz="4" w:space="0" w:color="auto"/>
            </w:tcBorders>
            <w:vAlign w:val="center"/>
          </w:tcPr>
          <w:p w14:paraId="546C459E" w14:textId="77777777" w:rsidR="00C97B72" w:rsidRPr="00C97B72" w:rsidRDefault="00C97B72" w:rsidP="00816B3B">
            <w:pPr>
              <w:spacing w:before="0"/>
              <w:jc w:val="center"/>
              <w:rPr>
                <w:sz w:val="18"/>
                <w:szCs w:val="18"/>
                <w:lang w:val="es-UY"/>
              </w:rPr>
            </w:pPr>
            <w:r w:rsidRPr="00C97B72">
              <w:rPr>
                <w:sz w:val="18"/>
                <w:szCs w:val="18"/>
                <w:lang w:val="es-UY"/>
              </w:rPr>
              <w:t>30</w:t>
            </w:r>
          </w:p>
        </w:tc>
        <w:tc>
          <w:tcPr>
            <w:tcW w:w="450" w:type="dxa"/>
            <w:tcBorders>
              <w:top w:val="single" w:sz="4" w:space="0" w:color="auto"/>
              <w:left w:val="single" w:sz="4" w:space="0" w:color="auto"/>
              <w:bottom w:val="single" w:sz="4" w:space="0" w:color="auto"/>
              <w:right w:val="single" w:sz="4" w:space="0" w:color="auto"/>
            </w:tcBorders>
            <w:vAlign w:val="center"/>
          </w:tcPr>
          <w:p w14:paraId="58B79F81" w14:textId="77777777" w:rsidR="00C97B72" w:rsidRPr="00C97B72" w:rsidRDefault="00C97B72" w:rsidP="00816B3B">
            <w:pPr>
              <w:spacing w:before="0"/>
              <w:jc w:val="center"/>
              <w:rPr>
                <w:sz w:val="18"/>
                <w:szCs w:val="18"/>
                <w:lang w:val="es-UY"/>
              </w:rPr>
            </w:pPr>
            <w:r w:rsidRPr="00C97B72">
              <w:rPr>
                <w:sz w:val="18"/>
                <w:szCs w:val="18"/>
                <w:lang w:val="es-UY"/>
              </w:rPr>
              <w:t>40</w:t>
            </w:r>
          </w:p>
        </w:tc>
        <w:tc>
          <w:tcPr>
            <w:tcW w:w="450" w:type="dxa"/>
            <w:tcBorders>
              <w:top w:val="single" w:sz="4" w:space="0" w:color="auto"/>
              <w:left w:val="single" w:sz="4" w:space="0" w:color="auto"/>
              <w:bottom w:val="single" w:sz="4" w:space="0" w:color="auto"/>
              <w:right w:val="single" w:sz="4" w:space="0" w:color="auto"/>
            </w:tcBorders>
            <w:vAlign w:val="center"/>
          </w:tcPr>
          <w:p w14:paraId="176F014A" w14:textId="77777777" w:rsidR="00C97B72" w:rsidRPr="00C97B72" w:rsidRDefault="00C97B72" w:rsidP="00816B3B">
            <w:pPr>
              <w:spacing w:before="0"/>
              <w:jc w:val="center"/>
              <w:rPr>
                <w:sz w:val="18"/>
                <w:szCs w:val="18"/>
                <w:lang w:val="es-UY"/>
              </w:rPr>
            </w:pPr>
            <w:r w:rsidRPr="00C97B72">
              <w:rPr>
                <w:sz w:val="18"/>
                <w:szCs w:val="18"/>
                <w:lang w:val="es-UY"/>
              </w:rPr>
              <w:t>50</w:t>
            </w:r>
          </w:p>
        </w:tc>
        <w:tc>
          <w:tcPr>
            <w:tcW w:w="450" w:type="dxa"/>
            <w:tcBorders>
              <w:top w:val="single" w:sz="4" w:space="0" w:color="auto"/>
              <w:left w:val="single" w:sz="4" w:space="0" w:color="auto"/>
              <w:bottom w:val="single" w:sz="4" w:space="0" w:color="auto"/>
              <w:right w:val="single" w:sz="4" w:space="0" w:color="auto"/>
            </w:tcBorders>
            <w:vAlign w:val="center"/>
          </w:tcPr>
          <w:p w14:paraId="18913D2A" w14:textId="77777777" w:rsidR="00C97B72" w:rsidRPr="00C97B72" w:rsidRDefault="00C97B72" w:rsidP="00816B3B">
            <w:pPr>
              <w:spacing w:before="0"/>
              <w:jc w:val="center"/>
              <w:rPr>
                <w:sz w:val="18"/>
                <w:szCs w:val="18"/>
                <w:lang w:val="es-UY"/>
              </w:rPr>
            </w:pPr>
            <w:r w:rsidRPr="00C97B72">
              <w:rPr>
                <w:sz w:val="18"/>
                <w:szCs w:val="18"/>
                <w:lang w:val="es-UY"/>
              </w:rPr>
              <w:t>60</w:t>
            </w:r>
          </w:p>
        </w:tc>
        <w:tc>
          <w:tcPr>
            <w:tcW w:w="540" w:type="dxa"/>
            <w:tcBorders>
              <w:top w:val="single" w:sz="4" w:space="0" w:color="auto"/>
              <w:left w:val="single" w:sz="4" w:space="0" w:color="auto"/>
              <w:bottom w:val="single" w:sz="4" w:space="0" w:color="auto"/>
              <w:right w:val="single" w:sz="4" w:space="0" w:color="auto"/>
            </w:tcBorders>
            <w:vAlign w:val="center"/>
          </w:tcPr>
          <w:p w14:paraId="16E44076" w14:textId="77777777" w:rsidR="00C97B72" w:rsidRPr="00C97B72" w:rsidRDefault="00C97B72" w:rsidP="00816B3B">
            <w:pPr>
              <w:spacing w:before="0"/>
              <w:jc w:val="center"/>
              <w:rPr>
                <w:sz w:val="18"/>
                <w:szCs w:val="18"/>
                <w:lang w:val="es-UY"/>
              </w:rPr>
            </w:pPr>
            <w:r w:rsidRPr="00C97B72">
              <w:rPr>
                <w:sz w:val="18"/>
                <w:szCs w:val="18"/>
                <w:lang w:val="es-UY"/>
              </w:rPr>
              <w:t>200</w:t>
            </w:r>
          </w:p>
        </w:tc>
        <w:tc>
          <w:tcPr>
            <w:tcW w:w="2160" w:type="dxa"/>
            <w:tcBorders>
              <w:top w:val="single" w:sz="4" w:space="0" w:color="auto"/>
              <w:left w:val="single" w:sz="4" w:space="0" w:color="auto"/>
              <w:bottom w:val="single" w:sz="4" w:space="0" w:color="auto"/>
              <w:right w:val="single" w:sz="4" w:space="0" w:color="auto"/>
            </w:tcBorders>
            <w:vAlign w:val="center"/>
          </w:tcPr>
          <w:p w14:paraId="4D89BE4A" w14:textId="77777777" w:rsidR="00C97B72" w:rsidRPr="00C97B72" w:rsidRDefault="00C97B72" w:rsidP="00816B3B">
            <w:pPr>
              <w:spacing w:before="0"/>
              <w:rPr>
                <w:sz w:val="18"/>
                <w:szCs w:val="18"/>
                <w:lang w:val="es-UY"/>
              </w:rPr>
            </w:pPr>
            <w:r w:rsidRPr="00C97B72">
              <w:rPr>
                <w:sz w:val="18"/>
                <w:szCs w:val="18"/>
                <w:lang w:val="es-UY"/>
              </w:rPr>
              <w:t>Base de datos administrativa del programa.</w:t>
            </w:r>
          </w:p>
        </w:tc>
      </w:tr>
      <w:tr w:rsidR="00BB23E5" w:rsidRPr="00C97B72" w14:paraId="074E52A9" w14:textId="77777777" w:rsidTr="00816B3B">
        <w:trPr>
          <w:cantSplit/>
          <w:trHeight w:val="459"/>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5800452F" w14:textId="43EC0CEB" w:rsidR="00C97B72" w:rsidRPr="00C97B72" w:rsidRDefault="004C3171" w:rsidP="00816B3B">
            <w:pPr>
              <w:pStyle w:val="ListParagraph"/>
              <w:numPr>
                <w:ilvl w:val="0"/>
                <w:numId w:val="35"/>
              </w:numPr>
              <w:spacing w:before="0"/>
              <w:ind w:left="270" w:hanging="270"/>
              <w:jc w:val="left"/>
              <w:rPr>
                <w:sz w:val="18"/>
                <w:szCs w:val="18"/>
                <w:lang w:val="es-UY"/>
              </w:rPr>
            </w:pPr>
            <w:r>
              <w:rPr>
                <w:sz w:val="18"/>
                <w:szCs w:val="18"/>
                <w:lang w:val="es-UY"/>
              </w:rPr>
              <w:t xml:space="preserve">Número de </w:t>
            </w:r>
            <w:r w:rsidR="00C97B72" w:rsidRPr="00C97B72">
              <w:rPr>
                <w:sz w:val="18"/>
                <w:szCs w:val="18"/>
                <w:lang w:val="es-UY"/>
              </w:rPr>
              <w:t>micro y pequeñas empresas</w:t>
            </w:r>
            <w:r>
              <w:rPr>
                <w:sz w:val="18"/>
                <w:szCs w:val="18"/>
                <w:lang w:val="es-UY"/>
              </w:rPr>
              <w:t xml:space="preserve"> a las que se provén servicios mercantiles y tributarios</w:t>
            </w:r>
            <w:r w:rsidR="00C97B72" w:rsidRPr="00C97B72">
              <w:rPr>
                <w:sz w:val="18"/>
                <w:szCs w:val="18"/>
                <w:lang w:val="es-UY"/>
              </w:rPr>
              <w:t>.</w:t>
            </w:r>
          </w:p>
        </w:tc>
        <w:tc>
          <w:tcPr>
            <w:tcW w:w="1172" w:type="dxa"/>
            <w:tcBorders>
              <w:top w:val="single" w:sz="4" w:space="0" w:color="auto"/>
              <w:left w:val="single" w:sz="4" w:space="0" w:color="auto"/>
              <w:bottom w:val="single" w:sz="4" w:space="0" w:color="auto"/>
              <w:right w:val="single" w:sz="4" w:space="0" w:color="auto"/>
            </w:tcBorders>
            <w:vAlign w:val="center"/>
          </w:tcPr>
          <w:p w14:paraId="1D6B02F4"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Número de empresas</w:t>
            </w:r>
          </w:p>
        </w:tc>
        <w:tc>
          <w:tcPr>
            <w:tcW w:w="540" w:type="dxa"/>
            <w:tcBorders>
              <w:top w:val="single" w:sz="4" w:space="0" w:color="auto"/>
              <w:left w:val="single" w:sz="4" w:space="0" w:color="auto"/>
              <w:bottom w:val="single" w:sz="4" w:space="0" w:color="auto"/>
              <w:right w:val="single" w:sz="4" w:space="0" w:color="auto"/>
            </w:tcBorders>
            <w:vAlign w:val="center"/>
          </w:tcPr>
          <w:p w14:paraId="2D5D0D2E" w14:textId="77777777" w:rsidR="00C97B72" w:rsidRPr="00C97B72" w:rsidRDefault="00C97B72" w:rsidP="00816B3B">
            <w:pPr>
              <w:spacing w:before="0"/>
              <w:jc w:val="center"/>
              <w:rPr>
                <w:color w:val="000000"/>
                <w:sz w:val="18"/>
                <w:szCs w:val="18"/>
              </w:rPr>
            </w:pPr>
            <w:r w:rsidRPr="00C97B72">
              <w:rPr>
                <w:color w:val="000000"/>
                <w:sz w:val="18"/>
                <w:szCs w:val="18"/>
              </w:rPr>
              <w:t>0</w:t>
            </w:r>
          </w:p>
        </w:tc>
        <w:tc>
          <w:tcPr>
            <w:tcW w:w="540" w:type="dxa"/>
            <w:tcBorders>
              <w:top w:val="single" w:sz="4" w:space="0" w:color="auto"/>
              <w:left w:val="single" w:sz="4" w:space="0" w:color="auto"/>
              <w:bottom w:val="single" w:sz="4" w:space="0" w:color="auto"/>
              <w:right w:val="single" w:sz="4" w:space="0" w:color="auto"/>
            </w:tcBorders>
            <w:vAlign w:val="center"/>
          </w:tcPr>
          <w:p w14:paraId="65CF5C93" w14:textId="082E4064" w:rsidR="00C97B72" w:rsidRPr="00C97B72" w:rsidRDefault="00CE3E47" w:rsidP="00816B3B">
            <w:pPr>
              <w:spacing w:before="0"/>
              <w:jc w:val="center"/>
              <w:rPr>
                <w:sz w:val="18"/>
                <w:szCs w:val="18"/>
                <w:lang w:val="es-UY"/>
              </w:rPr>
            </w:pPr>
            <w:r>
              <w:rPr>
                <w:sz w:val="18"/>
                <w:szCs w:val="18"/>
                <w:lang w:val="es-UY"/>
              </w:rPr>
              <w:t>20</w:t>
            </w:r>
          </w:p>
        </w:tc>
        <w:tc>
          <w:tcPr>
            <w:tcW w:w="540" w:type="dxa"/>
            <w:tcBorders>
              <w:top w:val="single" w:sz="4" w:space="0" w:color="auto"/>
              <w:left w:val="single" w:sz="4" w:space="0" w:color="auto"/>
              <w:bottom w:val="single" w:sz="4" w:space="0" w:color="auto"/>
              <w:right w:val="single" w:sz="4" w:space="0" w:color="auto"/>
            </w:tcBorders>
            <w:vAlign w:val="center"/>
          </w:tcPr>
          <w:p w14:paraId="5F1F5C73" w14:textId="7168E264" w:rsidR="00C97B72" w:rsidRPr="00C97B72" w:rsidRDefault="00CE3E47" w:rsidP="00816B3B">
            <w:pPr>
              <w:spacing w:before="0"/>
              <w:jc w:val="center"/>
              <w:rPr>
                <w:sz w:val="18"/>
                <w:szCs w:val="18"/>
                <w:lang w:val="es-UY"/>
              </w:rPr>
            </w:pPr>
            <w:r>
              <w:rPr>
                <w:sz w:val="18"/>
                <w:szCs w:val="18"/>
                <w:lang w:val="es-UY"/>
              </w:rPr>
              <w:t>30</w:t>
            </w:r>
          </w:p>
        </w:tc>
        <w:tc>
          <w:tcPr>
            <w:tcW w:w="450" w:type="dxa"/>
            <w:tcBorders>
              <w:top w:val="single" w:sz="4" w:space="0" w:color="auto"/>
              <w:left w:val="single" w:sz="4" w:space="0" w:color="auto"/>
              <w:bottom w:val="single" w:sz="4" w:space="0" w:color="auto"/>
              <w:right w:val="single" w:sz="4" w:space="0" w:color="auto"/>
            </w:tcBorders>
            <w:vAlign w:val="center"/>
          </w:tcPr>
          <w:p w14:paraId="512A9AF1" w14:textId="5FC1FAA8" w:rsidR="00C97B72" w:rsidRPr="00C97B72" w:rsidRDefault="00CE3E47" w:rsidP="00816B3B">
            <w:pPr>
              <w:spacing w:before="0"/>
              <w:jc w:val="center"/>
              <w:rPr>
                <w:sz w:val="18"/>
                <w:szCs w:val="18"/>
                <w:lang w:val="es-UY"/>
              </w:rPr>
            </w:pPr>
            <w:r>
              <w:rPr>
                <w:sz w:val="18"/>
                <w:szCs w:val="18"/>
                <w:lang w:val="es-UY"/>
              </w:rPr>
              <w:t>40</w:t>
            </w:r>
          </w:p>
        </w:tc>
        <w:tc>
          <w:tcPr>
            <w:tcW w:w="450" w:type="dxa"/>
            <w:tcBorders>
              <w:top w:val="single" w:sz="4" w:space="0" w:color="auto"/>
              <w:left w:val="single" w:sz="4" w:space="0" w:color="auto"/>
              <w:bottom w:val="single" w:sz="4" w:space="0" w:color="auto"/>
              <w:right w:val="single" w:sz="4" w:space="0" w:color="auto"/>
            </w:tcBorders>
            <w:vAlign w:val="center"/>
          </w:tcPr>
          <w:p w14:paraId="6A86F05B" w14:textId="2FB9E143" w:rsidR="00C97B72" w:rsidRPr="00C97B72" w:rsidRDefault="00CE3E47" w:rsidP="00816B3B">
            <w:pPr>
              <w:spacing w:before="0"/>
              <w:jc w:val="center"/>
              <w:rPr>
                <w:sz w:val="18"/>
                <w:szCs w:val="18"/>
                <w:lang w:val="es-UY"/>
              </w:rPr>
            </w:pPr>
            <w:r>
              <w:rPr>
                <w:sz w:val="18"/>
                <w:szCs w:val="18"/>
                <w:lang w:val="es-UY"/>
              </w:rPr>
              <w:t>50</w:t>
            </w:r>
          </w:p>
        </w:tc>
        <w:tc>
          <w:tcPr>
            <w:tcW w:w="450" w:type="dxa"/>
            <w:tcBorders>
              <w:top w:val="single" w:sz="4" w:space="0" w:color="auto"/>
              <w:left w:val="single" w:sz="4" w:space="0" w:color="auto"/>
              <w:bottom w:val="single" w:sz="4" w:space="0" w:color="auto"/>
              <w:right w:val="single" w:sz="4" w:space="0" w:color="auto"/>
            </w:tcBorders>
            <w:vAlign w:val="center"/>
          </w:tcPr>
          <w:p w14:paraId="55BFC6F9" w14:textId="0903A634" w:rsidR="00C97B72" w:rsidRPr="00C97B72" w:rsidRDefault="00CE3E47" w:rsidP="00816B3B">
            <w:pPr>
              <w:spacing w:before="0"/>
              <w:jc w:val="center"/>
              <w:rPr>
                <w:sz w:val="18"/>
                <w:szCs w:val="18"/>
                <w:lang w:val="es-UY"/>
              </w:rPr>
            </w:pPr>
            <w:r>
              <w:rPr>
                <w:sz w:val="18"/>
                <w:szCs w:val="18"/>
                <w:lang w:val="es-UY"/>
              </w:rPr>
              <w:t>60</w:t>
            </w:r>
          </w:p>
        </w:tc>
        <w:tc>
          <w:tcPr>
            <w:tcW w:w="540" w:type="dxa"/>
            <w:tcBorders>
              <w:top w:val="single" w:sz="4" w:space="0" w:color="auto"/>
              <w:left w:val="single" w:sz="4" w:space="0" w:color="auto"/>
              <w:bottom w:val="single" w:sz="4" w:space="0" w:color="auto"/>
              <w:right w:val="single" w:sz="4" w:space="0" w:color="auto"/>
            </w:tcBorders>
            <w:vAlign w:val="center"/>
          </w:tcPr>
          <w:p w14:paraId="39411839" w14:textId="6C0BCAB7" w:rsidR="00C97B72" w:rsidRPr="00C97B72" w:rsidRDefault="00CE3E47" w:rsidP="00816B3B">
            <w:pPr>
              <w:spacing w:before="0"/>
              <w:jc w:val="center"/>
              <w:rPr>
                <w:sz w:val="18"/>
                <w:szCs w:val="18"/>
                <w:lang w:val="es-UY"/>
              </w:rPr>
            </w:pPr>
            <w:r>
              <w:rPr>
                <w:sz w:val="18"/>
                <w:szCs w:val="18"/>
                <w:lang w:val="es-UY"/>
              </w:rPr>
              <w:t>200</w:t>
            </w:r>
          </w:p>
        </w:tc>
        <w:tc>
          <w:tcPr>
            <w:tcW w:w="2160" w:type="dxa"/>
            <w:tcBorders>
              <w:top w:val="single" w:sz="4" w:space="0" w:color="auto"/>
              <w:left w:val="single" w:sz="4" w:space="0" w:color="auto"/>
              <w:bottom w:val="single" w:sz="4" w:space="0" w:color="auto"/>
              <w:right w:val="single" w:sz="4" w:space="0" w:color="auto"/>
            </w:tcBorders>
            <w:vAlign w:val="center"/>
          </w:tcPr>
          <w:p w14:paraId="114B0D6A" w14:textId="77777777" w:rsidR="00C97B72" w:rsidRPr="00C97B72" w:rsidRDefault="00C97B72" w:rsidP="00816B3B">
            <w:pPr>
              <w:spacing w:before="0"/>
              <w:rPr>
                <w:sz w:val="18"/>
                <w:szCs w:val="18"/>
                <w:lang w:val="es-UY"/>
              </w:rPr>
            </w:pPr>
            <w:r w:rsidRPr="00C97B72">
              <w:rPr>
                <w:sz w:val="18"/>
                <w:szCs w:val="18"/>
                <w:lang w:val="es-UY"/>
              </w:rPr>
              <w:t>Base de datos administrativa del programa.</w:t>
            </w:r>
          </w:p>
        </w:tc>
      </w:tr>
      <w:tr w:rsidR="00BB23E5" w:rsidRPr="00C97B72" w14:paraId="125A0252" w14:textId="77777777" w:rsidTr="00816B3B">
        <w:trPr>
          <w:cantSplit/>
          <w:trHeight w:val="396"/>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62C5C4E1" w14:textId="77777777" w:rsidR="00C97B72" w:rsidRPr="00C97B72" w:rsidRDefault="00C97B72" w:rsidP="00816B3B">
            <w:pPr>
              <w:pStyle w:val="ListParagraph"/>
              <w:numPr>
                <w:ilvl w:val="0"/>
                <w:numId w:val="35"/>
              </w:numPr>
              <w:spacing w:before="0"/>
              <w:ind w:left="270" w:hanging="270"/>
              <w:jc w:val="left"/>
              <w:rPr>
                <w:sz w:val="18"/>
                <w:szCs w:val="18"/>
                <w:lang w:val="es-UY"/>
              </w:rPr>
            </w:pPr>
            <w:r w:rsidRPr="00C97B72">
              <w:rPr>
                <w:sz w:val="18"/>
                <w:szCs w:val="18"/>
                <w:lang w:val="es-UY"/>
              </w:rPr>
              <w:lastRenderedPageBreak/>
              <w:t>Número de empresas que recibieron cofinanciamientos no-reembolsables a través del FONDEPRO</w:t>
            </w:r>
          </w:p>
        </w:tc>
        <w:tc>
          <w:tcPr>
            <w:tcW w:w="1172" w:type="dxa"/>
            <w:tcBorders>
              <w:top w:val="single" w:sz="4" w:space="0" w:color="auto"/>
              <w:left w:val="single" w:sz="4" w:space="0" w:color="auto"/>
              <w:bottom w:val="single" w:sz="4" w:space="0" w:color="auto"/>
              <w:right w:val="single" w:sz="4" w:space="0" w:color="auto"/>
            </w:tcBorders>
            <w:vAlign w:val="center"/>
          </w:tcPr>
          <w:p w14:paraId="581EE160" w14:textId="77777777" w:rsidR="00C97B72" w:rsidRPr="00C97B72" w:rsidRDefault="00C97B72" w:rsidP="00816B3B">
            <w:pPr>
              <w:spacing w:before="0"/>
              <w:jc w:val="center"/>
              <w:rPr>
                <w:bCs/>
                <w:color w:val="000000"/>
                <w:sz w:val="18"/>
                <w:szCs w:val="18"/>
                <w:lang w:val="es-UY"/>
              </w:rPr>
            </w:pPr>
            <w:r w:rsidRPr="00C97B72">
              <w:rPr>
                <w:bCs/>
                <w:color w:val="000000"/>
                <w:sz w:val="18"/>
                <w:szCs w:val="18"/>
                <w:lang w:val="es-UY"/>
              </w:rPr>
              <w:t>Número de empresas</w:t>
            </w:r>
          </w:p>
        </w:tc>
        <w:tc>
          <w:tcPr>
            <w:tcW w:w="540" w:type="dxa"/>
            <w:tcBorders>
              <w:top w:val="single" w:sz="4" w:space="0" w:color="auto"/>
              <w:left w:val="single" w:sz="4" w:space="0" w:color="auto"/>
              <w:bottom w:val="single" w:sz="4" w:space="0" w:color="auto"/>
              <w:right w:val="single" w:sz="4" w:space="0" w:color="auto"/>
            </w:tcBorders>
            <w:vAlign w:val="center"/>
          </w:tcPr>
          <w:p w14:paraId="33B90075" w14:textId="77777777" w:rsidR="00C97B72" w:rsidRPr="00C97B72" w:rsidRDefault="00C97B72" w:rsidP="00816B3B">
            <w:pPr>
              <w:spacing w:before="0"/>
              <w:jc w:val="center"/>
              <w:rPr>
                <w:sz w:val="18"/>
                <w:szCs w:val="18"/>
                <w:lang w:val="es-ES"/>
              </w:rPr>
            </w:pPr>
            <w:r w:rsidRPr="00C97B72">
              <w:rPr>
                <w:sz w:val="18"/>
                <w:szCs w:val="18"/>
                <w:lang w:val="es-ES"/>
              </w:rPr>
              <w:t>0</w:t>
            </w:r>
          </w:p>
        </w:tc>
        <w:tc>
          <w:tcPr>
            <w:tcW w:w="540" w:type="dxa"/>
            <w:tcBorders>
              <w:top w:val="single" w:sz="4" w:space="0" w:color="auto"/>
              <w:left w:val="single" w:sz="4" w:space="0" w:color="auto"/>
              <w:bottom w:val="single" w:sz="4" w:space="0" w:color="auto"/>
              <w:right w:val="single" w:sz="4" w:space="0" w:color="auto"/>
            </w:tcBorders>
            <w:vAlign w:val="center"/>
          </w:tcPr>
          <w:p w14:paraId="5B536783" w14:textId="1B6CC6AB" w:rsidR="00C97B72" w:rsidRPr="00C97B72" w:rsidRDefault="00CE3E47" w:rsidP="00816B3B">
            <w:pPr>
              <w:spacing w:before="0"/>
              <w:jc w:val="center"/>
              <w:rPr>
                <w:bCs/>
                <w:color w:val="000000"/>
                <w:sz w:val="18"/>
                <w:szCs w:val="18"/>
                <w:lang w:val="es-ES"/>
              </w:rPr>
            </w:pPr>
            <w:r>
              <w:rPr>
                <w:bCs/>
                <w:color w:val="000000"/>
                <w:sz w:val="18"/>
                <w:szCs w:val="18"/>
                <w:lang w:val="es-ES"/>
              </w:rPr>
              <w:t>10</w:t>
            </w:r>
          </w:p>
        </w:tc>
        <w:tc>
          <w:tcPr>
            <w:tcW w:w="540" w:type="dxa"/>
            <w:tcBorders>
              <w:top w:val="single" w:sz="4" w:space="0" w:color="auto"/>
              <w:left w:val="single" w:sz="4" w:space="0" w:color="auto"/>
              <w:bottom w:val="single" w:sz="4" w:space="0" w:color="auto"/>
              <w:right w:val="single" w:sz="4" w:space="0" w:color="auto"/>
            </w:tcBorders>
            <w:vAlign w:val="center"/>
          </w:tcPr>
          <w:p w14:paraId="29B6F2B8" w14:textId="370E4F16" w:rsidR="00C97B72" w:rsidRPr="00C97B72" w:rsidRDefault="00CE3E47" w:rsidP="00816B3B">
            <w:pPr>
              <w:spacing w:before="0"/>
              <w:jc w:val="center"/>
              <w:rPr>
                <w:bCs/>
                <w:color w:val="000000"/>
                <w:sz w:val="18"/>
                <w:szCs w:val="18"/>
                <w:lang w:val="es-ES"/>
              </w:rPr>
            </w:pPr>
            <w:r>
              <w:rPr>
                <w:bCs/>
                <w:color w:val="000000"/>
                <w:sz w:val="18"/>
                <w:szCs w:val="18"/>
                <w:lang w:val="es-ES"/>
              </w:rPr>
              <w:t>10</w:t>
            </w:r>
          </w:p>
        </w:tc>
        <w:tc>
          <w:tcPr>
            <w:tcW w:w="450" w:type="dxa"/>
            <w:tcBorders>
              <w:top w:val="single" w:sz="4" w:space="0" w:color="auto"/>
              <w:left w:val="single" w:sz="4" w:space="0" w:color="auto"/>
              <w:bottom w:val="single" w:sz="4" w:space="0" w:color="auto"/>
              <w:right w:val="single" w:sz="4" w:space="0" w:color="auto"/>
            </w:tcBorders>
            <w:vAlign w:val="center"/>
          </w:tcPr>
          <w:p w14:paraId="6A8A466C" w14:textId="3AFCC4FA" w:rsidR="00C97B72" w:rsidRPr="00C97B72" w:rsidRDefault="00CE3E47" w:rsidP="00816B3B">
            <w:pPr>
              <w:spacing w:before="0"/>
              <w:jc w:val="center"/>
              <w:rPr>
                <w:sz w:val="18"/>
                <w:szCs w:val="18"/>
                <w:lang w:val="es-UY"/>
              </w:rPr>
            </w:pPr>
            <w:r>
              <w:rPr>
                <w:sz w:val="18"/>
                <w:szCs w:val="18"/>
                <w:lang w:val="es-UY"/>
              </w:rPr>
              <w:t>10</w:t>
            </w:r>
          </w:p>
        </w:tc>
        <w:tc>
          <w:tcPr>
            <w:tcW w:w="450" w:type="dxa"/>
            <w:tcBorders>
              <w:top w:val="single" w:sz="4" w:space="0" w:color="auto"/>
              <w:left w:val="single" w:sz="4" w:space="0" w:color="auto"/>
              <w:bottom w:val="single" w:sz="4" w:space="0" w:color="auto"/>
              <w:right w:val="single" w:sz="4" w:space="0" w:color="auto"/>
            </w:tcBorders>
            <w:vAlign w:val="center"/>
          </w:tcPr>
          <w:p w14:paraId="55BC854F" w14:textId="0E1D7753" w:rsidR="00C97B72" w:rsidRPr="00C97B72" w:rsidRDefault="00CE3E47" w:rsidP="00816B3B">
            <w:pPr>
              <w:spacing w:before="0"/>
              <w:jc w:val="center"/>
              <w:rPr>
                <w:sz w:val="18"/>
                <w:szCs w:val="18"/>
                <w:lang w:val="es-UY"/>
              </w:rPr>
            </w:pPr>
            <w:r>
              <w:rPr>
                <w:sz w:val="18"/>
                <w:szCs w:val="18"/>
                <w:lang w:val="es-UY"/>
              </w:rPr>
              <w:t>10</w:t>
            </w:r>
          </w:p>
        </w:tc>
        <w:tc>
          <w:tcPr>
            <w:tcW w:w="450" w:type="dxa"/>
            <w:tcBorders>
              <w:top w:val="single" w:sz="4" w:space="0" w:color="auto"/>
              <w:left w:val="single" w:sz="4" w:space="0" w:color="auto"/>
              <w:bottom w:val="single" w:sz="4" w:space="0" w:color="auto"/>
              <w:right w:val="single" w:sz="4" w:space="0" w:color="auto"/>
            </w:tcBorders>
            <w:vAlign w:val="center"/>
          </w:tcPr>
          <w:p w14:paraId="3C530D01" w14:textId="1B777017" w:rsidR="00C97B72" w:rsidRPr="00C97B72" w:rsidRDefault="00CE3E47" w:rsidP="00816B3B">
            <w:pPr>
              <w:spacing w:before="0"/>
              <w:jc w:val="center"/>
              <w:rPr>
                <w:sz w:val="18"/>
                <w:szCs w:val="18"/>
                <w:lang w:val="es-UY"/>
              </w:rPr>
            </w:pPr>
            <w:r>
              <w:rPr>
                <w:sz w:val="18"/>
                <w:szCs w:val="18"/>
                <w:lang w:val="es-UY"/>
              </w:rPr>
              <w:t>10</w:t>
            </w:r>
          </w:p>
        </w:tc>
        <w:tc>
          <w:tcPr>
            <w:tcW w:w="540" w:type="dxa"/>
            <w:tcBorders>
              <w:top w:val="single" w:sz="4" w:space="0" w:color="auto"/>
              <w:left w:val="single" w:sz="4" w:space="0" w:color="auto"/>
              <w:bottom w:val="single" w:sz="4" w:space="0" w:color="auto"/>
              <w:right w:val="single" w:sz="4" w:space="0" w:color="auto"/>
            </w:tcBorders>
            <w:vAlign w:val="center"/>
          </w:tcPr>
          <w:p w14:paraId="5926A904" w14:textId="5013DA07" w:rsidR="00C97B72" w:rsidRPr="00C97B72" w:rsidRDefault="00CE3E47" w:rsidP="00816B3B">
            <w:pPr>
              <w:spacing w:before="0"/>
              <w:jc w:val="center"/>
              <w:rPr>
                <w:sz w:val="18"/>
                <w:szCs w:val="18"/>
                <w:lang w:val="es-UY"/>
              </w:rPr>
            </w:pPr>
            <w:r>
              <w:rPr>
                <w:sz w:val="18"/>
                <w:szCs w:val="18"/>
                <w:lang w:val="es-UY"/>
              </w:rPr>
              <w:t>50</w:t>
            </w:r>
          </w:p>
        </w:tc>
        <w:tc>
          <w:tcPr>
            <w:tcW w:w="2160" w:type="dxa"/>
            <w:tcBorders>
              <w:top w:val="single" w:sz="4" w:space="0" w:color="auto"/>
              <w:left w:val="single" w:sz="4" w:space="0" w:color="auto"/>
              <w:bottom w:val="single" w:sz="4" w:space="0" w:color="auto"/>
              <w:right w:val="single" w:sz="4" w:space="0" w:color="auto"/>
            </w:tcBorders>
            <w:vAlign w:val="center"/>
          </w:tcPr>
          <w:p w14:paraId="3B2EED7F" w14:textId="77777777" w:rsidR="00C97B72" w:rsidRPr="00C97B72" w:rsidRDefault="00C97B72" w:rsidP="00816B3B">
            <w:pPr>
              <w:spacing w:before="0"/>
              <w:rPr>
                <w:sz w:val="18"/>
                <w:szCs w:val="18"/>
                <w:lang w:val="es-UY"/>
              </w:rPr>
            </w:pPr>
            <w:r w:rsidRPr="00C97B72">
              <w:rPr>
                <w:sz w:val="18"/>
                <w:szCs w:val="18"/>
                <w:lang w:val="es-UY"/>
              </w:rPr>
              <w:t>Base de datos administrativa del programa.</w:t>
            </w:r>
          </w:p>
        </w:tc>
      </w:tr>
      <w:tr w:rsidR="00BB23E5" w:rsidRPr="00C97B72" w14:paraId="063FB674" w14:textId="77777777" w:rsidTr="00982A1E">
        <w:trPr>
          <w:cantSplit/>
          <w:trHeight w:val="184"/>
        </w:trPr>
        <w:tc>
          <w:tcPr>
            <w:tcW w:w="1035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17CDD2" w14:textId="77777777" w:rsidR="00C97B72" w:rsidRPr="00982A1E" w:rsidRDefault="00C97B72" w:rsidP="00982A1E">
            <w:pPr>
              <w:spacing w:before="0"/>
              <w:ind w:left="270" w:hanging="270"/>
              <w:rPr>
                <w:sz w:val="18"/>
                <w:highlight w:val="green"/>
                <w:lang w:val="es-ES"/>
              </w:rPr>
            </w:pPr>
            <w:r w:rsidRPr="00982A1E">
              <w:rPr>
                <w:b/>
                <w:color w:val="000000"/>
                <w:sz w:val="18"/>
                <w:lang w:val="es-ES"/>
              </w:rPr>
              <w:t>Componente 2: Inversiones Productivas y Logísticas para la Competitividad</w:t>
            </w:r>
          </w:p>
        </w:tc>
      </w:tr>
      <w:tr w:rsidR="00A81595" w:rsidRPr="00C97B72" w14:paraId="586C5072"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5547265A" w14:textId="1CB4A802" w:rsidR="00C97B72" w:rsidRPr="00982A1E" w:rsidRDefault="00C97B72" w:rsidP="00982A1E">
            <w:pPr>
              <w:pStyle w:val="ListParagraph"/>
              <w:numPr>
                <w:ilvl w:val="0"/>
                <w:numId w:val="35"/>
              </w:numPr>
              <w:spacing w:before="0"/>
              <w:ind w:left="270" w:hanging="270"/>
              <w:jc w:val="left"/>
              <w:rPr>
                <w:sz w:val="18"/>
                <w:u w:val="single"/>
                <w:lang w:val="es-UY"/>
              </w:rPr>
            </w:pPr>
            <w:r w:rsidRPr="00C97B72">
              <w:rPr>
                <w:sz w:val="18"/>
                <w:szCs w:val="18"/>
                <w:lang w:val="es-UY"/>
              </w:rPr>
              <w:t>Camino rehabilitado</w:t>
            </w:r>
            <w:r w:rsidRPr="00982A1E">
              <w:rPr>
                <w:sz w:val="18"/>
                <w:lang w:val="es-UY"/>
              </w:rPr>
              <w:t xml:space="preserve"> La Unión-Playitas</w:t>
            </w:r>
          </w:p>
        </w:tc>
        <w:tc>
          <w:tcPr>
            <w:tcW w:w="1172" w:type="dxa"/>
            <w:tcBorders>
              <w:top w:val="single" w:sz="4" w:space="0" w:color="auto"/>
              <w:left w:val="single" w:sz="4" w:space="0" w:color="auto"/>
              <w:bottom w:val="single" w:sz="4" w:space="0" w:color="auto"/>
              <w:right w:val="single" w:sz="4" w:space="0" w:color="auto"/>
            </w:tcBorders>
            <w:vAlign w:val="center"/>
          </w:tcPr>
          <w:p w14:paraId="25973CF7" w14:textId="51B87EF8" w:rsidR="00C97B72" w:rsidRPr="00982A1E" w:rsidRDefault="004C3171" w:rsidP="004C3171">
            <w:pPr>
              <w:spacing w:before="0"/>
              <w:jc w:val="center"/>
              <w:rPr>
                <w:color w:val="000000"/>
                <w:sz w:val="18"/>
                <w:lang w:val="es-UY"/>
              </w:rPr>
            </w:pPr>
            <w:r>
              <w:rPr>
                <w:color w:val="000000"/>
                <w:sz w:val="18"/>
                <w:szCs w:val="18"/>
                <w:lang w:val="es-UY"/>
              </w:rPr>
              <w:t>Km de c</w:t>
            </w:r>
            <w:r w:rsidR="00C97B72" w:rsidRPr="00C97B72">
              <w:rPr>
                <w:color w:val="000000"/>
                <w:sz w:val="18"/>
                <w:szCs w:val="18"/>
                <w:lang w:val="es-UY"/>
              </w:rPr>
              <w:t>amino rehabilitado</w:t>
            </w:r>
          </w:p>
        </w:tc>
        <w:tc>
          <w:tcPr>
            <w:tcW w:w="540" w:type="dxa"/>
            <w:tcBorders>
              <w:top w:val="single" w:sz="4" w:space="0" w:color="auto"/>
              <w:left w:val="single" w:sz="4" w:space="0" w:color="auto"/>
              <w:bottom w:val="single" w:sz="4" w:space="0" w:color="auto"/>
              <w:right w:val="single" w:sz="4" w:space="0" w:color="auto"/>
            </w:tcBorders>
            <w:vAlign w:val="center"/>
          </w:tcPr>
          <w:p w14:paraId="360A8348" w14:textId="77777777" w:rsidR="00C97B72" w:rsidRPr="00982A1E" w:rsidRDefault="00C97B72" w:rsidP="00982A1E">
            <w:pPr>
              <w:spacing w:before="0"/>
              <w:jc w:val="center"/>
              <w:rPr>
                <w:color w:val="000000"/>
                <w:sz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4C5B39CC"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62C51C60" w14:textId="2DEBC3A4" w:rsidR="00C97B72" w:rsidRPr="00C97B72" w:rsidRDefault="004C3171" w:rsidP="00816B3B">
            <w:pPr>
              <w:spacing w:before="0"/>
              <w:ind w:left="20"/>
              <w:jc w:val="center"/>
              <w:rPr>
                <w:color w:val="000000"/>
                <w:sz w:val="18"/>
                <w:szCs w:val="18"/>
                <w:lang w:val="es-UY"/>
              </w:rPr>
            </w:pPr>
            <w:r>
              <w:rPr>
                <w:color w:val="000000"/>
                <w:sz w:val="18"/>
                <w:szCs w:val="18"/>
                <w:lang w:val="es-UY"/>
              </w:rPr>
              <w:t>6,8</w:t>
            </w:r>
          </w:p>
        </w:tc>
        <w:tc>
          <w:tcPr>
            <w:tcW w:w="450" w:type="dxa"/>
            <w:tcBorders>
              <w:top w:val="single" w:sz="4" w:space="0" w:color="auto"/>
              <w:left w:val="single" w:sz="4" w:space="0" w:color="auto"/>
              <w:bottom w:val="single" w:sz="4" w:space="0" w:color="auto"/>
              <w:right w:val="single" w:sz="4" w:space="0" w:color="auto"/>
            </w:tcBorders>
            <w:vAlign w:val="center"/>
          </w:tcPr>
          <w:p w14:paraId="3EDE83D7"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79749755"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08DE9BFB"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5F12A8A6" w14:textId="48BD325C" w:rsidR="00C97B72" w:rsidRPr="00C97B72" w:rsidRDefault="00D43D31" w:rsidP="00816B3B">
            <w:pPr>
              <w:spacing w:before="0"/>
              <w:jc w:val="center"/>
              <w:rPr>
                <w:color w:val="000000"/>
                <w:sz w:val="18"/>
                <w:szCs w:val="18"/>
                <w:lang w:val="es-UY"/>
              </w:rPr>
            </w:pPr>
            <w:r>
              <w:rPr>
                <w:color w:val="000000"/>
                <w:sz w:val="18"/>
                <w:szCs w:val="18"/>
                <w:lang w:val="es-UY"/>
              </w:rPr>
              <w:t>6,8</w:t>
            </w:r>
          </w:p>
        </w:tc>
        <w:tc>
          <w:tcPr>
            <w:tcW w:w="2160" w:type="dxa"/>
            <w:tcBorders>
              <w:top w:val="single" w:sz="4" w:space="0" w:color="auto"/>
              <w:left w:val="single" w:sz="4" w:space="0" w:color="auto"/>
              <w:bottom w:val="single" w:sz="4" w:space="0" w:color="auto"/>
              <w:right w:val="single" w:sz="4" w:space="0" w:color="auto"/>
            </w:tcBorders>
            <w:vAlign w:val="center"/>
          </w:tcPr>
          <w:p w14:paraId="69DCD88C" w14:textId="30FD3DA0" w:rsidR="00C97B72" w:rsidRPr="00982A1E" w:rsidRDefault="00C97B72" w:rsidP="00982A1E">
            <w:pPr>
              <w:spacing w:before="0"/>
              <w:rPr>
                <w:sz w:val="18"/>
                <w:highlight w:val="green"/>
                <w:lang w:val="es-ES"/>
              </w:rPr>
            </w:pPr>
            <w:r w:rsidRPr="00C97B72">
              <w:rPr>
                <w:sz w:val="18"/>
                <w:szCs w:val="18"/>
                <w:lang w:val="es-UY"/>
              </w:rPr>
              <w:t>Base</w:t>
            </w:r>
            <w:r w:rsidRPr="00982A1E">
              <w:rPr>
                <w:sz w:val="18"/>
                <w:lang w:val="es-UY"/>
              </w:rPr>
              <w:t xml:space="preserve"> de </w:t>
            </w:r>
            <w:r w:rsidRPr="00C97B72">
              <w:rPr>
                <w:sz w:val="18"/>
                <w:szCs w:val="18"/>
                <w:lang w:val="es-UY"/>
              </w:rPr>
              <w:t>datos MOP</w:t>
            </w:r>
          </w:p>
        </w:tc>
      </w:tr>
      <w:tr w:rsidR="00A81595" w:rsidRPr="00C97B72" w14:paraId="50D9243D"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4E56FA3B" w14:textId="099EB45F" w:rsidR="00C97B72" w:rsidRPr="00982A1E" w:rsidRDefault="00C97B72" w:rsidP="00982A1E">
            <w:pPr>
              <w:pStyle w:val="ListParagraph"/>
              <w:numPr>
                <w:ilvl w:val="0"/>
                <w:numId w:val="35"/>
              </w:numPr>
              <w:spacing w:before="0"/>
              <w:ind w:left="270" w:hanging="270"/>
              <w:jc w:val="left"/>
              <w:rPr>
                <w:sz w:val="18"/>
                <w:lang w:val="es-UY"/>
              </w:rPr>
            </w:pPr>
            <w:r w:rsidRPr="00C97B72">
              <w:rPr>
                <w:sz w:val="18"/>
                <w:szCs w:val="18"/>
                <w:lang w:val="es-ES_tradnl"/>
              </w:rPr>
              <w:t>Camino rehabilitado</w:t>
            </w:r>
            <w:r w:rsidRPr="00982A1E">
              <w:rPr>
                <w:sz w:val="18"/>
                <w:lang w:val="es-ES_tradnl"/>
              </w:rPr>
              <w:t xml:space="preserve"> San </w:t>
            </w:r>
            <w:r w:rsidRPr="00C97B72">
              <w:rPr>
                <w:sz w:val="18"/>
                <w:szCs w:val="18"/>
                <w:lang w:val="es-ES_tradnl"/>
              </w:rPr>
              <w:t>Marco</w:t>
            </w:r>
            <w:r w:rsidRPr="00982A1E">
              <w:rPr>
                <w:sz w:val="18"/>
                <w:lang w:val="es-ES_tradnl"/>
              </w:rPr>
              <w:t xml:space="preserve"> Lempa</w:t>
            </w:r>
            <w:r w:rsidRPr="00C97B72">
              <w:rPr>
                <w:sz w:val="18"/>
                <w:szCs w:val="18"/>
                <w:lang w:val="es-ES_tradnl"/>
              </w:rPr>
              <w:t xml:space="preserve"> - Canoas.</w:t>
            </w:r>
          </w:p>
        </w:tc>
        <w:tc>
          <w:tcPr>
            <w:tcW w:w="1172" w:type="dxa"/>
            <w:tcBorders>
              <w:top w:val="single" w:sz="4" w:space="0" w:color="auto"/>
              <w:left w:val="single" w:sz="4" w:space="0" w:color="auto"/>
              <w:bottom w:val="single" w:sz="4" w:space="0" w:color="auto"/>
              <w:right w:val="single" w:sz="4" w:space="0" w:color="auto"/>
            </w:tcBorders>
            <w:vAlign w:val="center"/>
          </w:tcPr>
          <w:p w14:paraId="79CA9AF2" w14:textId="1D41CDB7" w:rsidR="00C97B72" w:rsidRPr="00982A1E" w:rsidRDefault="004C3171" w:rsidP="004C3171">
            <w:pPr>
              <w:spacing w:before="0"/>
              <w:jc w:val="center"/>
              <w:rPr>
                <w:color w:val="000000"/>
                <w:sz w:val="18"/>
                <w:lang w:val="es-UY"/>
              </w:rPr>
            </w:pPr>
            <w:r>
              <w:rPr>
                <w:color w:val="000000"/>
                <w:sz w:val="18"/>
                <w:szCs w:val="18"/>
                <w:lang w:val="es-UY"/>
              </w:rPr>
              <w:t>Km de c</w:t>
            </w:r>
            <w:r w:rsidR="00C97B72" w:rsidRPr="00C97B72">
              <w:rPr>
                <w:color w:val="000000"/>
                <w:sz w:val="18"/>
                <w:szCs w:val="18"/>
                <w:lang w:val="es-UY"/>
              </w:rPr>
              <w:t>amino rehabilitado</w:t>
            </w:r>
          </w:p>
        </w:tc>
        <w:tc>
          <w:tcPr>
            <w:tcW w:w="540" w:type="dxa"/>
            <w:tcBorders>
              <w:top w:val="single" w:sz="4" w:space="0" w:color="auto"/>
              <w:left w:val="single" w:sz="4" w:space="0" w:color="auto"/>
              <w:bottom w:val="single" w:sz="4" w:space="0" w:color="auto"/>
              <w:right w:val="single" w:sz="4" w:space="0" w:color="auto"/>
            </w:tcBorders>
            <w:vAlign w:val="center"/>
          </w:tcPr>
          <w:p w14:paraId="6CA73D3B" w14:textId="77777777" w:rsidR="00C97B72" w:rsidRPr="00982A1E" w:rsidRDefault="00C97B72" w:rsidP="00982A1E">
            <w:pPr>
              <w:spacing w:before="0"/>
              <w:jc w:val="center"/>
              <w:rPr>
                <w:color w:val="000000"/>
                <w:sz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66E50248"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7A957C1D" w14:textId="724032FA" w:rsidR="00C97B72" w:rsidRPr="00C97B72" w:rsidRDefault="00A54529" w:rsidP="00816B3B">
            <w:pPr>
              <w:spacing w:before="0"/>
              <w:jc w:val="center"/>
              <w:rPr>
                <w:color w:val="000000"/>
                <w:sz w:val="18"/>
                <w:szCs w:val="18"/>
                <w:lang w:val="es-UY"/>
              </w:rPr>
            </w:pPr>
            <w:r>
              <w:rPr>
                <w:color w:val="000000"/>
                <w:sz w:val="18"/>
                <w:szCs w:val="18"/>
                <w:lang w:val="es-UY"/>
              </w:rPr>
              <w:t>9,6</w:t>
            </w:r>
          </w:p>
        </w:tc>
        <w:tc>
          <w:tcPr>
            <w:tcW w:w="450" w:type="dxa"/>
            <w:tcBorders>
              <w:top w:val="single" w:sz="4" w:space="0" w:color="auto"/>
              <w:left w:val="single" w:sz="4" w:space="0" w:color="auto"/>
              <w:bottom w:val="single" w:sz="4" w:space="0" w:color="auto"/>
              <w:right w:val="single" w:sz="4" w:space="0" w:color="auto"/>
            </w:tcBorders>
            <w:vAlign w:val="center"/>
          </w:tcPr>
          <w:p w14:paraId="53C75D52"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2253E523"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078A3B19"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5D09D737" w14:textId="23F08FA4" w:rsidR="00C97B72" w:rsidRPr="00C97B72" w:rsidRDefault="00A54529" w:rsidP="00816B3B">
            <w:pPr>
              <w:spacing w:before="0"/>
              <w:jc w:val="center"/>
              <w:rPr>
                <w:color w:val="000000"/>
                <w:sz w:val="18"/>
                <w:szCs w:val="18"/>
                <w:lang w:val="es-UY"/>
              </w:rPr>
            </w:pPr>
            <w:r>
              <w:rPr>
                <w:color w:val="000000"/>
                <w:sz w:val="18"/>
                <w:szCs w:val="18"/>
                <w:lang w:val="es-UY"/>
              </w:rPr>
              <w:t>9,6</w:t>
            </w:r>
          </w:p>
        </w:tc>
        <w:tc>
          <w:tcPr>
            <w:tcW w:w="2160" w:type="dxa"/>
            <w:tcBorders>
              <w:top w:val="single" w:sz="4" w:space="0" w:color="auto"/>
              <w:left w:val="single" w:sz="4" w:space="0" w:color="auto"/>
              <w:bottom w:val="single" w:sz="4" w:space="0" w:color="auto"/>
              <w:right w:val="single" w:sz="4" w:space="0" w:color="auto"/>
            </w:tcBorders>
            <w:vAlign w:val="center"/>
          </w:tcPr>
          <w:p w14:paraId="5D924E77" w14:textId="03B3631A" w:rsidR="00C97B72" w:rsidRPr="00982A1E" w:rsidRDefault="00C97B72" w:rsidP="00982A1E">
            <w:pPr>
              <w:spacing w:before="0"/>
              <w:rPr>
                <w:sz w:val="18"/>
                <w:highlight w:val="green"/>
                <w:lang w:val="es-ES"/>
              </w:rPr>
            </w:pPr>
            <w:r w:rsidRPr="00C97B72">
              <w:rPr>
                <w:sz w:val="18"/>
                <w:szCs w:val="18"/>
                <w:lang w:val="es-UY"/>
              </w:rPr>
              <w:t>Base</w:t>
            </w:r>
            <w:r w:rsidRPr="00982A1E">
              <w:rPr>
                <w:sz w:val="18"/>
                <w:lang w:val="es-UY"/>
              </w:rPr>
              <w:t xml:space="preserve"> de </w:t>
            </w:r>
            <w:r w:rsidRPr="00C97B72">
              <w:rPr>
                <w:sz w:val="18"/>
                <w:szCs w:val="18"/>
                <w:lang w:val="es-UY"/>
              </w:rPr>
              <w:t>datos MOP</w:t>
            </w:r>
          </w:p>
        </w:tc>
      </w:tr>
      <w:tr w:rsidR="00A81595" w:rsidRPr="00C97B72" w14:paraId="5477E8EF"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35501F6A" w14:textId="77777777" w:rsidR="00C97B72" w:rsidRPr="00275A3A" w:rsidRDefault="00C97B72" w:rsidP="00982A1E">
            <w:pPr>
              <w:pStyle w:val="ListParagraph"/>
              <w:numPr>
                <w:ilvl w:val="0"/>
                <w:numId w:val="35"/>
              </w:numPr>
              <w:spacing w:before="0"/>
              <w:ind w:left="270" w:hanging="270"/>
              <w:jc w:val="left"/>
              <w:rPr>
                <w:sz w:val="18"/>
              </w:rPr>
            </w:pPr>
            <w:r w:rsidRPr="00982A1E">
              <w:rPr>
                <w:sz w:val="18"/>
                <w:lang w:val="es-ES_tradnl"/>
              </w:rPr>
              <w:t>Muelles de uso dual construidos</w:t>
            </w:r>
          </w:p>
        </w:tc>
        <w:tc>
          <w:tcPr>
            <w:tcW w:w="1172" w:type="dxa"/>
            <w:tcBorders>
              <w:top w:val="single" w:sz="4" w:space="0" w:color="auto"/>
              <w:left w:val="single" w:sz="4" w:space="0" w:color="auto"/>
              <w:bottom w:val="single" w:sz="4" w:space="0" w:color="auto"/>
              <w:right w:val="single" w:sz="4" w:space="0" w:color="auto"/>
            </w:tcBorders>
            <w:vAlign w:val="center"/>
          </w:tcPr>
          <w:p w14:paraId="5DD1E485" w14:textId="2A1294C2" w:rsidR="00C97B72" w:rsidRPr="00982A1E" w:rsidRDefault="00C97B72" w:rsidP="00982A1E">
            <w:pPr>
              <w:spacing w:before="0"/>
              <w:jc w:val="center"/>
              <w:rPr>
                <w:color w:val="000000"/>
                <w:sz w:val="18"/>
                <w:lang w:val="es-UY"/>
              </w:rPr>
            </w:pPr>
            <w:r w:rsidRPr="00C97B72">
              <w:rPr>
                <w:color w:val="000000"/>
                <w:sz w:val="18"/>
                <w:szCs w:val="18"/>
                <w:lang w:val="es-UY"/>
              </w:rPr>
              <w:t>Muelles construidos</w:t>
            </w:r>
          </w:p>
        </w:tc>
        <w:tc>
          <w:tcPr>
            <w:tcW w:w="540" w:type="dxa"/>
            <w:tcBorders>
              <w:top w:val="single" w:sz="4" w:space="0" w:color="auto"/>
              <w:left w:val="single" w:sz="4" w:space="0" w:color="auto"/>
              <w:bottom w:val="single" w:sz="4" w:space="0" w:color="auto"/>
              <w:right w:val="single" w:sz="4" w:space="0" w:color="auto"/>
            </w:tcBorders>
            <w:vAlign w:val="center"/>
          </w:tcPr>
          <w:p w14:paraId="5838B94D" w14:textId="77777777" w:rsidR="00C97B72" w:rsidRPr="00982A1E" w:rsidRDefault="00C97B72" w:rsidP="00982A1E">
            <w:pPr>
              <w:spacing w:before="0"/>
              <w:jc w:val="center"/>
              <w:rPr>
                <w:color w:val="000000"/>
                <w:sz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1329A9E6"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406797C0"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1</w:t>
            </w:r>
          </w:p>
        </w:tc>
        <w:tc>
          <w:tcPr>
            <w:tcW w:w="450" w:type="dxa"/>
            <w:tcBorders>
              <w:top w:val="single" w:sz="4" w:space="0" w:color="auto"/>
              <w:left w:val="single" w:sz="4" w:space="0" w:color="auto"/>
              <w:bottom w:val="single" w:sz="4" w:space="0" w:color="auto"/>
              <w:right w:val="single" w:sz="4" w:space="0" w:color="auto"/>
            </w:tcBorders>
            <w:vAlign w:val="center"/>
          </w:tcPr>
          <w:p w14:paraId="61356741"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3</w:t>
            </w:r>
          </w:p>
        </w:tc>
        <w:tc>
          <w:tcPr>
            <w:tcW w:w="450" w:type="dxa"/>
            <w:tcBorders>
              <w:top w:val="single" w:sz="4" w:space="0" w:color="auto"/>
              <w:left w:val="single" w:sz="4" w:space="0" w:color="auto"/>
              <w:bottom w:val="single" w:sz="4" w:space="0" w:color="auto"/>
              <w:right w:val="single" w:sz="4" w:space="0" w:color="auto"/>
            </w:tcBorders>
            <w:vAlign w:val="center"/>
          </w:tcPr>
          <w:p w14:paraId="58C725E4"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6B0590A4"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4F8AC43C"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4</w:t>
            </w:r>
          </w:p>
        </w:tc>
        <w:tc>
          <w:tcPr>
            <w:tcW w:w="2160" w:type="dxa"/>
            <w:tcBorders>
              <w:top w:val="single" w:sz="4" w:space="0" w:color="auto"/>
              <w:left w:val="single" w:sz="4" w:space="0" w:color="auto"/>
              <w:bottom w:val="single" w:sz="4" w:space="0" w:color="auto"/>
              <w:right w:val="single" w:sz="4" w:space="0" w:color="auto"/>
            </w:tcBorders>
            <w:vAlign w:val="center"/>
          </w:tcPr>
          <w:p w14:paraId="199717C7" w14:textId="5C7B3903" w:rsidR="00C97B72" w:rsidRPr="00982A1E" w:rsidRDefault="00C97B72" w:rsidP="00982A1E">
            <w:pPr>
              <w:spacing w:before="0"/>
              <w:rPr>
                <w:sz w:val="18"/>
                <w:highlight w:val="green"/>
                <w:lang w:val="es-ES"/>
              </w:rPr>
            </w:pPr>
            <w:r w:rsidRPr="00C97B72">
              <w:rPr>
                <w:sz w:val="18"/>
                <w:szCs w:val="18"/>
                <w:lang w:val="es-UY"/>
              </w:rPr>
              <w:t>Base</w:t>
            </w:r>
            <w:r w:rsidRPr="00982A1E">
              <w:rPr>
                <w:sz w:val="18"/>
                <w:lang w:val="es-UY"/>
              </w:rPr>
              <w:t xml:space="preserve"> de </w:t>
            </w:r>
            <w:r w:rsidRPr="00C97B72">
              <w:rPr>
                <w:sz w:val="18"/>
                <w:szCs w:val="18"/>
                <w:lang w:val="es-UY"/>
              </w:rPr>
              <w:t>datos MOP</w:t>
            </w:r>
          </w:p>
        </w:tc>
      </w:tr>
      <w:tr w:rsidR="00CE3E47" w:rsidRPr="00C97B72" w14:paraId="710DCEAE"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17300925" w14:textId="38112524" w:rsidR="00CE3E47" w:rsidRPr="00C97B72" w:rsidRDefault="00A54529" w:rsidP="00816B3B">
            <w:pPr>
              <w:pStyle w:val="ListParagraph"/>
              <w:numPr>
                <w:ilvl w:val="0"/>
                <w:numId w:val="35"/>
              </w:numPr>
              <w:spacing w:before="0"/>
              <w:ind w:left="270" w:hanging="270"/>
              <w:jc w:val="left"/>
              <w:rPr>
                <w:sz w:val="18"/>
                <w:szCs w:val="18"/>
                <w:lang w:val="es-ES_tradnl"/>
              </w:rPr>
            </w:pPr>
            <w:r>
              <w:rPr>
                <w:sz w:val="22"/>
                <w:lang w:val="es-ES_tradnl"/>
              </w:rPr>
              <w:t xml:space="preserve">Obras viales del </w:t>
            </w:r>
            <w:r w:rsidR="00CE3E47">
              <w:rPr>
                <w:sz w:val="22"/>
                <w:lang w:val="es-ES_tradnl"/>
              </w:rPr>
              <w:t>Malecón de La Unión</w:t>
            </w:r>
          </w:p>
        </w:tc>
        <w:tc>
          <w:tcPr>
            <w:tcW w:w="1172" w:type="dxa"/>
            <w:tcBorders>
              <w:top w:val="single" w:sz="4" w:space="0" w:color="auto"/>
              <w:left w:val="single" w:sz="4" w:space="0" w:color="auto"/>
              <w:bottom w:val="single" w:sz="4" w:space="0" w:color="auto"/>
              <w:right w:val="single" w:sz="4" w:space="0" w:color="auto"/>
            </w:tcBorders>
            <w:vAlign w:val="center"/>
          </w:tcPr>
          <w:p w14:paraId="28DB8EA2" w14:textId="5EC352EE" w:rsidR="00CE3E47" w:rsidRPr="00C97B72" w:rsidRDefault="00A54529" w:rsidP="00816B3B">
            <w:pPr>
              <w:spacing w:before="0"/>
              <w:jc w:val="center"/>
              <w:rPr>
                <w:color w:val="000000"/>
                <w:sz w:val="18"/>
                <w:szCs w:val="18"/>
              </w:rPr>
            </w:pPr>
            <w:r>
              <w:rPr>
                <w:color w:val="000000"/>
                <w:sz w:val="18"/>
                <w:szCs w:val="18"/>
              </w:rPr>
              <w:t xml:space="preserve">Km  </w:t>
            </w:r>
            <w:r w:rsidR="00CE3E47">
              <w:rPr>
                <w:color w:val="000000"/>
                <w:sz w:val="18"/>
                <w:szCs w:val="18"/>
              </w:rPr>
              <w:t>Constrido</w:t>
            </w:r>
          </w:p>
        </w:tc>
        <w:tc>
          <w:tcPr>
            <w:tcW w:w="540" w:type="dxa"/>
            <w:tcBorders>
              <w:top w:val="single" w:sz="4" w:space="0" w:color="auto"/>
              <w:left w:val="single" w:sz="4" w:space="0" w:color="auto"/>
              <w:bottom w:val="single" w:sz="4" w:space="0" w:color="auto"/>
              <w:right w:val="single" w:sz="4" w:space="0" w:color="auto"/>
            </w:tcBorders>
            <w:vAlign w:val="center"/>
          </w:tcPr>
          <w:p w14:paraId="09FBAD8E" w14:textId="77777777" w:rsidR="00CE3E47" w:rsidRPr="00C97B72" w:rsidRDefault="00CE3E47" w:rsidP="00816B3B">
            <w:pPr>
              <w:spacing w:before="0"/>
              <w:jc w:val="center"/>
              <w:rPr>
                <w:color w:val="000000"/>
                <w:sz w:val="18"/>
                <w:szCs w:val="18"/>
                <w:lang w:val="es-UY"/>
              </w:rPr>
            </w:pPr>
            <w:r>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173DC5C1" w14:textId="77777777" w:rsidR="00CE3E47" w:rsidRPr="00C97B72" w:rsidRDefault="00CE3E47" w:rsidP="00816B3B">
            <w:pPr>
              <w:spacing w:before="0"/>
              <w:jc w:val="center"/>
              <w:rPr>
                <w:color w:val="000000"/>
                <w:sz w:val="18"/>
                <w:szCs w:val="18"/>
                <w:lang w:val="es-UY"/>
              </w:rPr>
            </w:pPr>
            <w:r>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37D83430" w14:textId="065151D3" w:rsidR="00CE3E47" w:rsidRPr="00C97B72" w:rsidRDefault="00A54529" w:rsidP="00816B3B">
            <w:pPr>
              <w:spacing w:before="0"/>
              <w:jc w:val="center"/>
              <w:rPr>
                <w:color w:val="000000"/>
                <w:sz w:val="18"/>
                <w:szCs w:val="18"/>
                <w:lang w:val="es-UY"/>
              </w:rPr>
            </w:pPr>
            <w:r>
              <w:rPr>
                <w:color w:val="000000"/>
                <w:sz w:val="18"/>
                <w:szCs w:val="18"/>
                <w:lang w:val="es-UY"/>
              </w:rPr>
              <w:t>0,6</w:t>
            </w:r>
          </w:p>
        </w:tc>
        <w:tc>
          <w:tcPr>
            <w:tcW w:w="450" w:type="dxa"/>
            <w:tcBorders>
              <w:top w:val="single" w:sz="4" w:space="0" w:color="auto"/>
              <w:left w:val="single" w:sz="4" w:space="0" w:color="auto"/>
              <w:bottom w:val="single" w:sz="4" w:space="0" w:color="auto"/>
              <w:right w:val="single" w:sz="4" w:space="0" w:color="auto"/>
            </w:tcBorders>
            <w:vAlign w:val="center"/>
          </w:tcPr>
          <w:p w14:paraId="7C56DC51" w14:textId="77777777" w:rsidR="00CE3E47" w:rsidRPr="00C97B72" w:rsidRDefault="00CE3E47" w:rsidP="00816B3B">
            <w:pPr>
              <w:spacing w:before="0"/>
              <w:jc w:val="center"/>
              <w:rPr>
                <w:color w:val="000000"/>
                <w:sz w:val="18"/>
                <w:szCs w:val="18"/>
                <w:lang w:val="es-UY"/>
              </w:rPr>
            </w:pPr>
            <w:r>
              <w:rPr>
                <w:color w:val="000000"/>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2B4F0930" w14:textId="77777777" w:rsidR="00CE3E47" w:rsidRPr="00C97B72" w:rsidRDefault="00CE3E47" w:rsidP="00816B3B">
            <w:pPr>
              <w:spacing w:before="0"/>
              <w:jc w:val="center"/>
              <w:rPr>
                <w:color w:val="000000"/>
                <w:sz w:val="18"/>
                <w:szCs w:val="18"/>
                <w:lang w:val="es-UY"/>
              </w:rPr>
            </w:pPr>
            <w:r>
              <w:rPr>
                <w:color w:val="000000"/>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1220305C" w14:textId="77777777" w:rsidR="00CE3E47" w:rsidRPr="00C97B72" w:rsidRDefault="00CE3E47" w:rsidP="00816B3B">
            <w:pPr>
              <w:spacing w:before="0"/>
              <w:jc w:val="center"/>
              <w:rPr>
                <w:color w:val="000000"/>
                <w:sz w:val="18"/>
                <w:szCs w:val="18"/>
                <w:lang w:val="es-UY"/>
              </w:rPr>
            </w:pPr>
            <w:r>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77EBFC8E" w14:textId="78BCCB90" w:rsidR="00CE3E47" w:rsidRPr="00C97B72" w:rsidRDefault="00A54529" w:rsidP="00816B3B">
            <w:pPr>
              <w:spacing w:before="0"/>
              <w:jc w:val="center"/>
              <w:rPr>
                <w:color w:val="000000"/>
                <w:sz w:val="18"/>
                <w:szCs w:val="18"/>
                <w:lang w:val="es-UY"/>
              </w:rPr>
            </w:pPr>
            <w:r>
              <w:rPr>
                <w:color w:val="000000"/>
                <w:sz w:val="18"/>
                <w:szCs w:val="18"/>
                <w:lang w:val="es-UY"/>
              </w:rPr>
              <w:t>0,6</w:t>
            </w:r>
          </w:p>
        </w:tc>
        <w:tc>
          <w:tcPr>
            <w:tcW w:w="2160" w:type="dxa"/>
            <w:tcBorders>
              <w:top w:val="single" w:sz="4" w:space="0" w:color="auto"/>
              <w:left w:val="single" w:sz="4" w:space="0" w:color="auto"/>
              <w:bottom w:val="single" w:sz="4" w:space="0" w:color="auto"/>
              <w:right w:val="single" w:sz="4" w:space="0" w:color="auto"/>
            </w:tcBorders>
            <w:vAlign w:val="center"/>
          </w:tcPr>
          <w:p w14:paraId="3344CA33" w14:textId="77777777" w:rsidR="00CE3E47" w:rsidRPr="00C97B72" w:rsidRDefault="00CE3E47" w:rsidP="00816B3B">
            <w:pPr>
              <w:spacing w:before="0"/>
              <w:rPr>
                <w:sz w:val="18"/>
                <w:szCs w:val="18"/>
                <w:lang w:val="es-UY"/>
              </w:rPr>
            </w:pPr>
            <w:r w:rsidRPr="00C97B72">
              <w:rPr>
                <w:sz w:val="18"/>
                <w:szCs w:val="18"/>
                <w:lang w:val="es-UY"/>
              </w:rPr>
              <w:t>Base de datos MOP</w:t>
            </w:r>
          </w:p>
        </w:tc>
      </w:tr>
      <w:tr w:rsidR="00A81595" w:rsidRPr="00C97B72" w14:paraId="477DCDF4"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39BEE658" w14:textId="082FB5F6" w:rsidR="00C97B72" w:rsidRPr="003D7D07" w:rsidRDefault="00C97B72" w:rsidP="00982A1E">
            <w:pPr>
              <w:pStyle w:val="ListParagraph"/>
              <w:numPr>
                <w:ilvl w:val="0"/>
                <w:numId w:val="35"/>
              </w:numPr>
              <w:spacing w:before="0"/>
              <w:ind w:left="270" w:hanging="270"/>
              <w:jc w:val="left"/>
              <w:rPr>
                <w:sz w:val="18"/>
                <w:lang w:val="es-ES_tradnl"/>
              </w:rPr>
            </w:pPr>
            <w:r w:rsidRPr="00C97B72">
              <w:rPr>
                <w:sz w:val="18"/>
                <w:szCs w:val="18"/>
                <w:lang w:val="es-ES_tradnl"/>
              </w:rPr>
              <w:t>Área alrededor de los nuevos muelles</w:t>
            </w:r>
            <w:r w:rsidRPr="00982A1E">
              <w:rPr>
                <w:sz w:val="18"/>
                <w:lang w:val="es-ES_tradnl"/>
              </w:rPr>
              <w:t xml:space="preserve"> cuentan con infraestructura de uso común</w:t>
            </w:r>
            <w:r w:rsidRPr="00C97B72">
              <w:rPr>
                <w:sz w:val="18"/>
                <w:szCs w:val="18"/>
                <w:lang w:val="es-ES_tradnl"/>
              </w:rPr>
              <w:t xml:space="preserve">: centros de acopio </w:t>
            </w:r>
          </w:p>
        </w:tc>
        <w:tc>
          <w:tcPr>
            <w:tcW w:w="1172" w:type="dxa"/>
            <w:tcBorders>
              <w:top w:val="single" w:sz="4" w:space="0" w:color="auto"/>
              <w:left w:val="single" w:sz="4" w:space="0" w:color="auto"/>
              <w:bottom w:val="single" w:sz="4" w:space="0" w:color="auto"/>
              <w:right w:val="single" w:sz="4" w:space="0" w:color="auto"/>
            </w:tcBorders>
            <w:vAlign w:val="center"/>
          </w:tcPr>
          <w:p w14:paraId="6B977E7B" w14:textId="29644901" w:rsidR="00C97B72" w:rsidRPr="00982A1E" w:rsidRDefault="00C97B72" w:rsidP="00982A1E">
            <w:pPr>
              <w:spacing w:before="0"/>
              <w:jc w:val="center"/>
              <w:rPr>
                <w:color w:val="000000"/>
                <w:sz w:val="18"/>
              </w:rPr>
            </w:pPr>
            <w:r w:rsidRPr="00C97B72">
              <w:rPr>
                <w:color w:val="000000"/>
                <w:sz w:val="18"/>
                <w:szCs w:val="18"/>
              </w:rPr>
              <w:t>Infraestructura</w:t>
            </w:r>
          </w:p>
        </w:tc>
        <w:tc>
          <w:tcPr>
            <w:tcW w:w="540" w:type="dxa"/>
            <w:tcBorders>
              <w:top w:val="single" w:sz="4" w:space="0" w:color="auto"/>
              <w:left w:val="single" w:sz="4" w:space="0" w:color="auto"/>
              <w:bottom w:val="single" w:sz="4" w:space="0" w:color="auto"/>
              <w:right w:val="single" w:sz="4" w:space="0" w:color="auto"/>
            </w:tcBorders>
            <w:vAlign w:val="center"/>
          </w:tcPr>
          <w:p w14:paraId="2DDC1D96" w14:textId="77777777" w:rsidR="00C97B72" w:rsidRPr="00982A1E" w:rsidRDefault="00C97B72" w:rsidP="00982A1E">
            <w:pPr>
              <w:spacing w:before="0"/>
              <w:jc w:val="center"/>
              <w:rPr>
                <w:color w:val="000000"/>
                <w:sz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7067C25B"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5798061B"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7E2F2CF8"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1</w:t>
            </w:r>
          </w:p>
        </w:tc>
        <w:tc>
          <w:tcPr>
            <w:tcW w:w="450" w:type="dxa"/>
            <w:tcBorders>
              <w:top w:val="single" w:sz="4" w:space="0" w:color="auto"/>
              <w:left w:val="single" w:sz="4" w:space="0" w:color="auto"/>
              <w:bottom w:val="single" w:sz="4" w:space="0" w:color="auto"/>
              <w:right w:val="single" w:sz="4" w:space="0" w:color="auto"/>
            </w:tcBorders>
            <w:vAlign w:val="center"/>
          </w:tcPr>
          <w:p w14:paraId="72DD2D43"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1</w:t>
            </w:r>
          </w:p>
        </w:tc>
        <w:tc>
          <w:tcPr>
            <w:tcW w:w="450" w:type="dxa"/>
            <w:tcBorders>
              <w:top w:val="single" w:sz="4" w:space="0" w:color="auto"/>
              <w:left w:val="single" w:sz="4" w:space="0" w:color="auto"/>
              <w:bottom w:val="single" w:sz="4" w:space="0" w:color="auto"/>
              <w:right w:val="single" w:sz="4" w:space="0" w:color="auto"/>
            </w:tcBorders>
            <w:vAlign w:val="center"/>
          </w:tcPr>
          <w:p w14:paraId="2A1E5741"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1</w:t>
            </w:r>
          </w:p>
        </w:tc>
        <w:tc>
          <w:tcPr>
            <w:tcW w:w="540" w:type="dxa"/>
            <w:tcBorders>
              <w:top w:val="single" w:sz="4" w:space="0" w:color="auto"/>
              <w:left w:val="single" w:sz="4" w:space="0" w:color="auto"/>
              <w:bottom w:val="single" w:sz="4" w:space="0" w:color="auto"/>
              <w:right w:val="single" w:sz="4" w:space="0" w:color="auto"/>
            </w:tcBorders>
            <w:vAlign w:val="center"/>
          </w:tcPr>
          <w:p w14:paraId="69063273"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3</w:t>
            </w:r>
          </w:p>
        </w:tc>
        <w:tc>
          <w:tcPr>
            <w:tcW w:w="2160" w:type="dxa"/>
            <w:tcBorders>
              <w:top w:val="single" w:sz="4" w:space="0" w:color="auto"/>
              <w:left w:val="single" w:sz="4" w:space="0" w:color="auto"/>
              <w:bottom w:val="single" w:sz="4" w:space="0" w:color="auto"/>
              <w:right w:val="single" w:sz="4" w:space="0" w:color="auto"/>
            </w:tcBorders>
            <w:vAlign w:val="center"/>
          </w:tcPr>
          <w:p w14:paraId="2DCA5DD0" w14:textId="75038303" w:rsidR="00C97B72" w:rsidRPr="00982A1E" w:rsidRDefault="00C97B72" w:rsidP="00982A1E">
            <w:pPr>
              <w:spacing w:before="0"/>
              <w:rPr>
                <w:sz w:val="18"/>
                <w:lang w:val="es-UY"/>
              </w:rPr>
            </w:pPr>
            <w:r w:rsidRPr="00C97B72">
              <w:rPr>
                <w:sz w:val="18"/>
                <w:szCs w:val="18"/>
                <w:lang w:val="es-UY"/>
              </w:rPr>
              <w:t>Base de datos MOP</w:t>
            </w:r>
          </w:p>
        </w:tc>
      </w:tr>
      <w:tr w:rsidR="00BB23E5" w:rsidRPr="00C97B72" w14:paraId="45302B67" w14:textId="77777777" w:rsidTr="00982A1E">
        <w:trPr>
          <w:cantSplit/>
          <w:trHeight w:val="184"/>
        </w:trPr>
        <w:tc>
          <w:tcPr>
            <w:tcW w:w="1035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52D7DE" w14:textId="22C5F41E" w:rsidR="00C97B72" w:rsidRPr="00982A1E" w:rsidRDefault="00C97B72" w:rsidP="00982A1E">
            <w:pPr>
              <w:spacing w:before="0"/>
              <w:ind w:left="270" w:hanging="270"/>
              <w:rPr>
                <w:sz w:val="18"/>
                <w:lang w:val="es-UY"/>
              </w:rPr>
            </w:pPr>
            <w:r w:rsidRPr="00982A1E">
              <w:rPr>
                <w:b/>
                <w:color w:val="000000"/>
                <w:sz w:val="18"/>
                <w:lang w:val="es-ES"/>
              </w:rPr>
              <w:t xml:space="preserve">Componente 3: </w:t>
            </w:r>
            <w:r w:rsidRPr="00C97B72">
              <w:rPr>
                <w:b/>
                <w:bCs/>
                <w:color w:val="000000"/>
                <w:sz w:val="18"/>
                <w:szCs w:val="18"/>
                <w:lang w:val="es-ES"/>
              </w:rPr>
              <w:t>Gestión</w:t>
            </w:r>
            <w:r w:rsidRPr="00982A1E">
              <w:rPr>
                <w:b/>
                <w:color w:val="000000"/>
                <w:sz w:val="18"/>
                <w:lang w:val="es-ES"/>
              </w:rPr>
              <w:t xml:space="preserve"> Ambiental de la Franja Costero-Marítima</w:t>
            </w:r>
          </w:p>
        </w:tc>
      </w:tr>
      <w:tr w:rsidR="00BB23E5" w:rsidRPr="00C97B72" w14:paraId="2AF3B924"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63FDDA65" w14:textId="77777777" w:rsidR="00C97B72" w:rsidRPr="00C97B72" w:rsidRDefault="00C97B72" w:rsidP="00816B3B">
            <w:pPr>
              <w:pStyle w:val="ListParagraph"/>
              <w:numPr>
                <w:ilvl w:val="0"/>
                <w:numId w:val="35"/>
              </w:numPr>
              <w:spacing w:before="0"/>
              <w:ind w:left="270" w:hanging="270"/>
              <w:jc w:val="left"/>
              <w:rPr>
                <w:sz w:val="18"/>
                <w:szCs w:val="18"/>
                <w:lang w:val="es-ES_tradnl"/>
              </w:rPr>
            </w:pPr>
            <w:r w:rsidRPr="00C97B72">
              <w:rPr>
                <w:sz w:val="18"/>
                <w:szCs w:val="18"/>
                <w:lang w:val="es-ES_tradnl"/>
              </w:rPr>
              <w:t>Estudio para levantar las condiciones de campo para establecer la profundidad óptima.</w:t>
            </w:r>
          </w:p>
        </w:tc>
        <w:tc>
          <w:tcPr>
            <w:tcW w:w="1172" w:type="dxa"/>
            <w:tcBorders>
              <w:top w:val="single" w:sz="4" w:space="0" w:color="auto"/>
              <w:left w:val="single" w:sz="4" w:space="0" w:color="auto"/>
              <w:bottom w:val="single" w:sz="4" w:space="0" w:color="auto"/>
              <w:right w:val="single" w:sz="4" w:space="0" w:color="auto"/>
            </w:tcBorders>
            <w:vAlign w:val="center"/>
          </w:tcPr>
          <w:p w14:paraId="1CB03593" w14:textId="77777777" w:rsidR="00C97B72" w:rsidRPr="00C97B72" w:rsidRDefault="00C97B72" w:rsidP="00816B3B">
            <w:pPr>
              <w:spacing w:before="0"/>
              <w:jc w:val="center"/>
              <w:rPr>
                <w:color w:val="000000"/>
                <w:sz w:val="18"/>
                <w:szCs w:val="18"/>
              </w:rPr>
            </w:pPr>
            <w:r w:rsidRPr="00C97B72">
              <w:rPr>
                <w:color w:val="000000"/>
                <w:sz w:val="18"/>
                <w:szCs w:val="18"/>
              </w:rPr>
              <w:t>Estudio</w:t>
            </w:r>
          </w:p>
        </w:tc>
        <w:tc>
          <w:tcPr>
            <w:tcW w:w="540" w:type="dxa"/>
            <w:tcBorders>
              <w:top w:val="single" w:sz="4" w:space="0" w:color="auto"/>
              <w:left w:val="single" w:sz="4" w:space="0" w:color="auto"/>
              <w:bottom w:val="single" w:sz="4" w:space="0" w:color="auto"/>
              <w:right w:val="single" w:sz="4" w:space="0" w:color="auto"/>
            </w:tcBorders>
            <w:vAlign w:val="center"/>
          </w:tcPr>
          <w:p w14:paraId="2F041CEC"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4BD65F61"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7A15D750"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1</w:t>
            </w:r>
          </w:p>
        </w:tc>
        <w:tc>
          <w:tcPr>
            <w:tcW w:w="450" w:type="dxa"/>
            <w:tcBorders>
              <w:top w:val="single" w:sz="4" w:space="0" w:color="auto"/>
              <w:left w:val="single" w:sz="4" w:space="0" w:color="auto"/>
              <w:bottom w:val="single" w:sz="4" w:space="0" w:color="auto"/>
              <w:right w:val="single" w:sz="4" w:space="0" w:color="auto"/>
            </w:tcBorders>
            <w:vAlign w:val="center"/>
          </w:tcPr>
          <w:p w14:paraId="32F2186A"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0C9F7A32"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5D1F81EA"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1CC7DF3A"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1</w:t>
            </w:r>
          </w:p>
        </w:tc>
        <w:tc>
          <w:tcPr>
            <w:tcW w:w="2160" w:type="dxa"/>
            <w:tcBorders>
              <w:top w:val="single" w:sz="4" w:space="0" w:color="auto"/>
              <w:left w:val="single" w:sz="4" w:space="0" w:color="auto"/>
              <w:bottom w:val="single" w:sz="4" w:space="0" w:color="auto"/>
              <w:right w:val="single" w:sz="4" w:space="0" w:color="auto"/>
            </w:tcBorders>
            <w:vAlign w:val="center"/>
          </w:tcPr>
          <w:p w14:paraId="3ACB7928" w14:textId="77777777" w:rsidR="00C97B72" w:rsidRPr="00C97B72" w:rsidRDefault="00C97B72" w:rsidP="00816B3B">
            <w:pPr>
              <w:spacing w:before="0"/>
              <w:rPr>
                <w:sz w:val="18"/>
                <w:szCs w:val="18"/>
                <w:lang w:val="es-UY"/>
              </w:rPr>
            </w:pPr>
            <w:r w:rsidRPr="00C97B72">
              <w:rPr>
                <w:sz w:val="18"/>
                <w:szCs w:val="18"/>
                <w:lang w:val="es-UY"/>
              </w:rPr>
              <w:t>Informes de ejecución del programa por parte del MARN</w:t>
            </w:r>
          </w:p>
        </w:tc>
      </w:tr>
      <w:tr w:rsidR="00BB23E5" w:rsidRPr="00C97B72" w14:paraId="447E5B6B"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63126A1A" w14:textId="77777777" w:rsidR="00C97B72" w:rsidRPr="00C97B72" w:rsidRDefault="00C97B72" w:rsidP="00816B3B">
            <w:pPr>
              <w:pStyle w:val="ListParagraph"/>
              <w:numPr>
                <w:ilvl w:val="0"/>
                <w:numId w:val="35"/>
              </w:numPr>
              <w:spacing w:before="0"/>
              <w:ind w:left="270" w:hanging="270"/>
              <w:jc w:val="left"/>
              <w:rPr>
                <w:sz w:val="18"/>
                <w:szCs w:val="18"/>
                <w:lang w:val="es-ES_tradnl"/>
              </w:rPr>
            </w:pPr>
            <w:r w:rsidRPr="00C97B72">
              <w:rPr>
                <w:sz w:val="18"/>
                <w:szCs w:val="18"/>
                <w:lang w:val="es-ES_tradnl"/>
              </w:rPr>
              <w:t>Campañas de manejo sostenible de ecosistemas costeros</w:t>
            </w:r>
          </w:p>
        </w:tc>
        <w:tc>
          <w:tcPr>
            <w:tcW w:w="1172" w:type="dxa"/>
            <w:tcBorders>
              <w:top w:val="single" w:sz="4" w:space="0" w:color="auto"/>
              <w:left w:val="single" w:sz="4" w:space="0" w:color="auto"/>
              <w:bottom w:val="single" w:sz="4" w:space="0" w:color="auto"/>
              <w:right w:val="single" w:sz="4" w:space="0" w:color="auto"/>
            </w:tcBorders>
            <w:vAlign w:val="center"/>
          </w:tcPr>
          <w:p w14:paraId="547D40FC" w14:textId="77777777" w:rsidR="00C97B72" w:rsidRPr="00C97B72" w:rsidRDefault="00C97B72" w:rsidP="00816B3B">
            <w:pPr>
              <w:spacing w:before="0"/>
              <w:jc w:val="center"/>
              <w:rPr>
                <w:color w:val="000000"/>
                <w:sz w:val="18"/>
                <w:szCs w:val="18"/>
              </w:rPr>
            </w:pPr>
            <w:r w:rsidRPr="00C97B72">
              <w:rPr>
                <w:color w:val="000000"/>
                <w:sz w:val="18"/>
                <w:szCs w:val="18"/>
              </w:rPr>
              <w:t>Campaña</w:t>
            </w:r>
          </w:p>
        </w:tc>
        <w:tc>
          <w:tcPr>
            <w:tcW w:w="540" w:type="dxa"/>
            <w:tcBorders>
              <w:top w:val="single" w:sz="4" w:space="0" w:color="auto"/>
              <w:left w:val="single" w:sz="4" w:space="0" w:color="auto"/>
              <w:bottom w:val="single" w:sz="4" w:space="0" w:color="auto"/>
              <w:right w:val="single" w:sz="4" w:space="0" w:color="auto"/>
            </w:tcBorders>
            <w:vAlign w:val="center"/>
          </w:tcPr>
          <w:p w14:paraId="6432DFB5"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0EBD0CA2"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1</w:t>
            </w:r>
          </w:p>
        </w:tc>
        <w:tc>
          <w:tcPr>
            <w:tcW w:w="540" w:type="dxa"/>
            <w:tcBorders>
              <w:top w:val="single" w:sz="4" w:space="0" w:color="auto"/>
              <w:left w:val="single" w:sz="4" w:space="0" w:color="auto"/>
              <w:bottom w:val="single" w:sz="4" w:space="0" w:color="auto"/>
              <w:right w:val="single" w:sz="4" w:space="0" w:color="auto"/>
            </w:tcBorders>
            <w:vAlign w:val="center"/>
          </w:tcPr>
          <w:p w14:paraId="059A4938"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1</w:t>
            </w:r>
          </w:p>
        </w:tc>
        <w:tc>
          <w:tcPr>
            <w:tcW w:w="450" w:type="dxa"/>
            <w:tcBorders>
              <w:top w:val="single" w:sz="4" w:space="0" w:color="auto"/>
              <w:left w:val="single" w:sz="4" w:space="0" w:color="auto"/>
              <w:bottom w:val="single" w:sz="4" w:space="0" w:color="auto"/>
              <w:right w:val="single" w:sz="4" w:space="0" w:color="auto"/>
            </w:tcBorders>
            <w:vAlign w:val="center"/>
          </w:tcPr>
          <w:p w14:paraId="0AF79CD3"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1</w:t>
            </w:r>
          </w:p>
        </w:tc>
        <w:tc>
          <w:tcPr>
            <w:tcW w:w="450" w:type="dxa"/>
            <w:tcBorders>
              <w:top w:val="single" w:sz="4" w:space="0" w:color="auto"/>
              <w:left w:val="single" w:sz="4" w:space="0" w:color="auto"/>
              <w:bottom w:val="single" w:sz="4" w:space="0" w:color="auto"/>
              <w:right w:val="single" w:sz="4" w:space="0" w:color="auto"/>
            </w:tcBorders>
            <w:vAlign w:val="center"/>
          </w:tcPr>
          <w:p w14:paraId="5847F5F6"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1</w:t>
            </w:r>
          </w:p>
        </w:tc>
        <w:tc>
          <w:tcPr>
            <w:tcW w:w="450" w:type="dxa"/>
            <w:tcBorders>
              <w:top w:val="single" w:sz="4" w:space="0" w:color="auto"/>
              <w:left w:val="single" w:sz="4" w:space="0" w:color="auto"/>
              <w:bottom w:val="single" w:sz="4" w:space="0" w:color="auto"/>
              <w:right w:val="single" w:sz="4" w:space="0" w:color="auto"/>
            </w:tcBorders>
            <w:vAlign w:val="center"/>
          </w:tcPr>
          <w:p w14:paraId="5BB3B7C1"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1</w:t>
            </w:r>
          </w:p>
        </w:tc>
        <w:tc>
          <w:tcPr>
            <w:tcW w:w="540" w:type="dxa"/>
            <w:tcBorders>
              <w:top w:val="single" w:sz="4" w:space="0" w:color="auto"/>
              <w:left w:val="single" w:sz="4" w:space="0" w:color="auto"/>
              <w:bottom w:val="single" w:sz="4" w:space="0" w:color="auto"/>
              <w:right w:val="single" w:sz="4" w:space="0" w:color="auto"/>
            </w:tcBorders>
            <w:vAlign w:val="center"/>
          </w:tcPr>
          <w:p w14:paraId="189D5BB4"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5</w:t>
            </w:r>
          </w:p>
        </w:tc>
        <w:tc>
          <w:tcPr>
            <w:tcW w:w="2160" w:type="dxa"/>
            <w:tcBorders>
              <w:top w:val="single" w:sz="4" w:space="0" w:color="auto"/>
              <w:left w:val="single" w:sz="4" w:space="0" w:color="auto"/>
              <w:bottom w:val="single" w:sz="4" w:space="0" w:color="auto"/>
              <w:right w:val="single" w:sz="4" w:space="0" w:color="auto"/>
            </w:tcBorders>
            <w:vAlign w:val="center"/>
          </w:tcPr>
          <w:p w14:paraId="67D3D424" w14:textId="77777777" w:rsidR="00C97B72" w:rsidRPr="00C97B72" w:rsidRDefault="00C97B72" w:rsidP="00816B3B">
            <w:pPr>
              <w:spacing w:before="0"/>
              <w:rPr>
                <w:sz w:val="18"/>
                <w:szCs w:val="18"/>
                <w:lang w:val="es-UY"/>
              </w:rPr>
            </w:pPr>
            <w:r w:rsidRPr="00C97B72">
              <w:rPr>
                <w:sz w:val="18"/>
                <w:szCs w:val="18"/>
                <w:lang w:val="es-UY"/>
              </w:rPr>
              <w:t>Informe de ejecución del componente por parte del MARN.</w:t>
            </w:r>
          </w:p>
        </w:tc>
      </w:tr>
      <w:tr w:rsidR="00A81595" w:rsidRPr="00C97B72" w14:paraId="28EDDF10"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3E85F8C1" w14:textId="1F32D747" w:rsidR="00C97B72" w:rsidRPr="006B6C17" w:rsidRDefault="00C97B72" w:rsidP="00982A1E">
            <w:pPr>
              <w:pStyle w:val="ListParagraph"/>
              <w:numPr>
                <w:ilvl w:val="0"/>
                <w:numId w:val="35"/>
              </w:numPr>
              <w:spacing w:before="0"/>
              <w:ind w:left="270" w:hanging="270"/>
              <w:jc w:val="left"/>
              <w:rPr>
                <w:sz w:val="18"/>
                <w:lang w:val="es-ES_tradnl"/>
              </w:rPr>
            </w:pPr>
            <w:r w:rsidRPr="00C97B72">
              <w:rPr>
                <w:sz w:val="18"/>
                <w:szCs w:val="18"/>
                <w:lang w:val="es-ES_tradnl"/>
              </w:rPr>
              <w:t>Estudios de capacidad de carga del manglar y su valoración económica</w:t>
            </w:r>
          </w:p>
        </w:tc>
        <w:tc>
          <w:tcPr>
            <w:tcW w:w="1172" w:type="dxa"/>
            <w:tcBorders>
              <w:top w:val="single" w:sz="4" w:space="0" w:color="auto"/>
              <w:left w:val="single" w:sz="4" w:space="0" w:color="auto"/>
              <w:bottom w:val="single" w:sz="4" w:space="0" w:color="auto"/>
              <w:right w:val="single" w:sz="4" w:space="0" w:color="auto"/>
            </w:tcBorders>
            <w:vAlign w:val="center"/>
          </w:tcPr>
          <w:p w14:paraId="34A4D8A2" w14:textId="7C7970FE" w:rsidR="00C97B72" w:rsidRPr="00982A1E" w:rsidRDefault="00C97B72" w:rsidP="00982A1E">
            <w:pPr>
              <w:spacing w:before="0"/>
              <w:jc w:val="center"/>
              <w:rPr>
                <w:color w:val="000000"/>
                <w:sz w:val="18"/>
              </w:rPr>
            </w:pPr>
            <w:r w:rsidRPr="00C97B72">
              <w:rPr>
                <w:color w:val="000000"/>
                <w:sz w:val="18"/>
                <w:szCs w:val="18"/>
              </w:rPr>
              <w:t>Estudios</w:t>
            </w:r>
          </w:p>
        </w:tc>
        <w:tc>
          <w:tcPr>
            <w:tcW w:w="540" w:type="dxa"/>
            <w:tcBorders>
              <w:top w:val="single" w:sz="4" w:space="0" w:color="auto"/>
              <w:left w:val="single" w:sz="4" w:space="0" w:color="auto"/>
              <w:bottom w:val="single" w:sz="4" w:space="0" w:color="auto"/>
              <w:right w:val="single" w:sz="4" w:space="0" w:color="auto"/>
            </w:tcBorders>
            <w:vAlign w:val="center"/>
          </w:tcPr>
          <w:p w14:paraId="3317947F" w14:textId="59F0B4EF" w:rsidR="00C97B72" w:rsidRPr="00982A1E" w:rsidRDefault="00C97B72" w:rsidP="00982A1E">
            <w:pPr>
              <w:spacing w:before="0"/>
              <w:jc w:val="center"/>
              <w:rPr>
                <w:color w:val="000000"/>
                <w:sz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2AA89737"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1</w:t>
            </w:r>
          </w:p>
        </w:tc>
        <w:tc>
          <w:tcPr>
            <w:tcW w:w="540" w:type="dxa"/>
            <w:tcBorders>
              <w:top w:val="single" w:sz="4" w:space="0" w:color="auto"/>
              <w:left w:val="single" w:sz="4" w:space="0" w:color="auto"/>
              <w:bottom w:val="single" w:sz="4" w:space="0" w:color="auto"/>
              <w:right w:val="single" w:sz="4" w:space="0" w:color="auto"/>
            </w:tcBorders>
            <w:vAlign w:val="center"/>
          </w:tcPr>
          <w:p w14:paraId="20BDF2F9"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1</w:t>
            </w:r>
          </w:p>
        </w:tc>
        <w:tc>
          <w:tcPr>
            <w:tcW w:w="450" w:type="dxa"/>
            <w:tcBorders>
              <w:top w:val="single" w:sz="4" w:space="0" w:color="auto"/>
              <w:left w:val="single" w:sz="4" w:space="0" w:color="auto"/>
              <w:bottom w:val="single" w:sz="4" w:space="0" w:color="auto"/>
              <w:right w:val="single" w:sz="4" w:space="0" w:color="auto"/>
            </w:tcBorders>
            <w:vAlign w:val="center"/>
          </w:tcPr>
          <w:p w14:paraId="321EF3B4"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68781189"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6145AA1B"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489BB8E2"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3</w:t>
            </w:r>
          </w:p>
        </w:tc>
        <w:tc>
          <w:tcPr>
            <w:tcW w:w="2160" w:type="dxa"/>
            <w:tcBorders>
              <w:top w:val="single" w:sz="4" w:space="0" w:color="auto"/>
              <w:left w:val="single" w:sz="4" w:space="0" w:color="auto"/>
              <w:bottom w:val="single" w:sz="4" w:space="0" w:color="auto"/>
              <w:right w:val="single" w:sz="4" w:space="0" w:color="auto"/>
            </w:tcBorders>
            <w:vAlign w:val="center"/>
          </w:tcPr>
          <w:p w14:paraId="19107F3C" w14:textId="7D2C78A6" w:rsidR="00C97B72" w:rsidRPr="00982A1E" w:rsidRDefault="00C97B72" w:rsidP="00982A1E">
            <w:pPr>
              <w:spacing w:before="0"/>
              <w:rPr>
                <w:sz w:val="18"/>
                <w:lang w:val="es-UY"/>
              </w:rPr>
            </w:pPr>
            <w:r w:rsidRPr="00C97B72">
              <w:rPr>
                <w:sz w:val="18"/>
                <w:szCs w:val="18"/>
                <w:lang w:val="es-UY"/>
              </w:rPr>
              <w:t>Informe</w:t>
            </w:r>
            <w:r w:rsidRPr="00982A1E">
              <w:rPr>
                <w:sz w:val="18"/>
                <w:lang w:val="es-UY"/>
              </w:rPr>
              <w:t xml:space="preserve"> de </w:t>
            </w:r>
            <w:r w:rsidRPr="00C97B72">
              <w:rPr>
                <w:sz w:val="18"/>
                <w:szCs w:val="18"/>
                <w:lang w:val="es-UY"/>
              </w:rPr>
              <w:t>ejecución del componente por parte del</w:t>
            </w:r>
            <w:r w:rsidRPr="00982A1E">
              <w:rPr>
                <w:sz w:val="18"/>
                <w:lang w:val="es-UY"/>
              </w:rPr>
              <w:t xml:space="preserve"> MARN</w:t>
            </w:r>
            <w:r w:rsidRPr="00C97B72">
              <w:rPr>
                <w:sz w:val="18"/>
                <w:szCs w:val="18"/>
                <w:lang w:val="es-UY"/>
              </w:rPr>
              <w:t>.</w:t>
            </w:r>
          </w:p>
        </w:tc>
      </w:tr>
      <w:tr w:rsidR="00A81595" w:rsidRPr="00C97B72" w14:paraId="6CA5113A"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4893407A" w14:textId="3812CE1A" w:rsidR="00C97B72" w:rsidRPr="006B6C17" w:rsidRDefault="00C97B72" w:rsidP="00982A1E">
            <w:pPr>
              <w:pStyle w:val="ListParagraph"/>
              <w:numPr>
                <w:ilvl w:val="0"/>
                <w:numId w:val="35"/>
              </w:numPr>
              <w:spacing w:before="0"/>
              <w:ind w:left="270" w:hanging="270"/>
              <w:jc w:val="left"/>
              <w:rPr>
                <w:sz w:val="18"/>
                <w:lang w:val="es-ES_tradnl"/>
              </w:rPr>
            </w:pPr>
            <w:r w:rsidRPr="00C97B72">
              <w:rPr>
                <w:sz w:val="18"/>
                <w:szCs w:val="18"/>
                <w:lang w:val="es-ES_tradnl"/>
              </w:rPr>
              <w:t>Plan de manejo de los bosques salado y ecosistemas</w:t>
            </w:r>
          </w:p>
        </w:tc>
        <w:tc>
          <w:tcPr>
            <w:tcW w:w="1172" w:type="dxa"/>
            <w:tcBorders>
              <w:top w:val="single" w:sz="4" w:space="0" w:color="auto"/>
              <w:left w:val="single" w:sz="4" w:space="0" w:color="auto"/>
              <w:bottom w:val="single" w:sz="4" w:space="0" w:color="auto"/>
              <w:right w:val="single" w:sz="4" w:space="0" w:color="auto"/>
            </w:tcBorders>
            <w:vAlign w:val="center"/>
          </w:tcPr>
          <w:p w14:paraId="541D7617" w14:textId="44797B96" w:rsidR="00C97B72" w:rsidRPr="00982A1E" w:rsidRDefault="00C97B72" w:rsidP="00982A1E">
            <w:pPr>
              <w:spacing w:before="0"/>
              <w:jc w:val="center"/>
              <w:rPr>
                <w:color w:val="000000"/>
                <w:sz w:val="18"/>
              </w:rPr>
            </w:pPr>
            <w:r w:rsidRPr="00C97B72">
              <w:rPr>
                <w:color w:val="000000"/>
                <w:sz w:val="18"/>
                <w:szCs w:val="18"/>
              </w:rPr>
              <w:t>Plan</w:t>
            </w:r>
          </w:p>
        </w:tc>
        <w:tc>
          <w:tcPr>
            <w:tcW w:w="540" w:type="dxa"/>
            <w:tcBorders>
              <w:top w:val="single" w:sz="4" w:space="0" w:color="auto"/>
              <w:left w:val="single" w:sz="4" w:space="0" w:color="auto"/>
              <w:bottom w:val="single" w:sz="4" w:space="0" w:color="auto"/>
              <w:right w:val="single" w:sz="4" w:space="0" w:color="auto"/>
            </w:tcBorders>
            <w:vAlign w:val="center"/>
          </w:tcPr>
          <w:p w14:paraId="09482E2B" w14:textId="0386EF8E" w:rsidR="00C97B72" w:rsidRPr="00982A1E" w:rsidRDefault="00C97B72" w:rsidP="00982A1E">
            <w:pPr>
              <w:spacing w:before="0"/>
              <w:jc w:val="center"/>
              <w:rPr>
                <w:color w:val="000000"/>
                <w:sz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311FEAFC"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1</w:t>
            </w:r>
          </w:p>
        </w:tc>
        <w:tc>
          <w:tcPr>
            <w:tcW w:w="540" w:type="dxa"/>
            <w:tcBorders>
              <w:top w:val="single" w:sz="4" w:space="0" w:color="auto"/>
              <w:left w:val="single" w:sz="4" w:space="0" w:color="auto"/>
              <w:bottom w:val="single" w:sz="4" w:space="0" w:color="auto"/>
              <w:right w:val="single" w:sz="4" w:space="0" w:color="auto"/>
            </w:tcBorders>
            <w:vAlign w:val="center"/>
          </w:tcPr>
          <w:p w14:paraId="30868457"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338FB953"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2BC57614"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514F9756"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756D8F50"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1</w:t>
            </w:r>
          </w:p>
        </w:tc>
        <w:tc>
          <w:tcPr>
            <w:tcW w:w="2160" w:type="dxa"/>
            <w:tcBorders>
              <w:top w:val="single" w:sz="4" w:space="0" w:color="auto"/>
              <w:left w:val="single" w:sz="4" w:space="0" w:color="auto"/>
              <w:bottom w:val="single" w:sz="4" w:space="0" w:color="auto"/>
              <w:right w:val="single" w:sz="4" w:space="0" w:color="auto"/>
            </w:tcBorders>
            <w:vAlign w:val="center"/>
          </w:tcPr>
          <w:p w14:paraId="071FDE70" w14:textId="3519B87A" w:rsidR="00C97B72" w:rsidRPr="00982A1E" w:rsidRDefault="00C97B72" w:rsidP="00982A1E">
            <w:pPr>
              <w:spacing w:before="0"/>
              <w:rPr>
                <w:sz w:val="18"/>
                <w:lang w:val="es-UY"/>
              </w:rPr>
            </w:pPr>
            <w:r w:rsidRPr="00C97B72">
              <w:rPr>
                <w:sz w:val="18"/>
                <w:szCs w:val="18"/>
                <w:lang w:val="es-UY"/>
              </w:rPr>
              <w:t>Informe</w:t>
            </w:r>
            <w:r w:rsidRPr="00982A1E">
              <w:rPr>
                <w:sz w:val="18"/>
                <w:lang w:val="es-UY"/>
              </w:rPr>
              <w:t xml:space="preserve"> de </w:t>
            </w:r>
            <w:r w:rsidRPr="00C97B72">
              <w:rPr>
                <w:sz w:val="18"/>
                <w:szCs w:val="18"/>
                <w:lang w:val="es-UY"/>
              </w:rPr>
              <w:t>ejecución del componente por parte del</w:t>
            </w:r>
            <w:r w:rsidRPr="00982A1E">
              <w:rPr>
                <w:sz w:val="18"/>
                <w:lang w:val="es-UY"/>
              </w:rPr>
              <w:t xml:space="preserve"> MARN</w:t>
            </w:r>
            <w:r w:rsidRPr="00C97B72">
              <w:rPr>
                <w:sz w:val="18"/>
                <w:szCs w:val="18"/>
                <w:lang w:val="es-UY"/>
              </w:rPr>
              <w:t>.</w:t>
            </w:r>
          </w:p>
        </w:tc>
      </w:tr>
      <w:tr w:rsidR="00BB23E5" w:rsidRPr="00C97B72" w14:paraId="41ADDF70"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1392D429" w14:textId="77777777" w:rsidR="00C97B72" w:rsidRPr="00112033" w:rsidRDefault="00C97B72" w:rsidP="00816B3B">
            <w:pPr>
              <w:pStyle w:val="ListParagraph"/>
              <w:numPr>
                <w:ilvl w:val="0"/>
                <w:numId w:val="35"/>
              </w:numPr>
              <w:spacing w:before="0"/>
              <w:ind w:left="270" w:hanging="270"/>
              <w:jc w:val="left"/>
              <w:rPr>
                <w:sz w:val="18"/>
                <w:szCs w:val="18"/>
                <w:lang w:val="es-ES_tradnl"/>
              </w:rPr>
            </w:pPr>
            <w:r w:rsidRPr="00112033">
              <w:rPr>
                <w:sz w:val="18"/>
                <w:szCs w:val="18"/>
                <w:lang w:val="es-ES_tradnl"/>
              </w:rPr>
              <w:t>Entrenamiento internacional</w:t>
            </w:r>
            <w:r w:rsidR="00112033" w:rsidRPr="00112033">
              <w:rPr>
                <w:sz w:val="18"/>
                <w:szCs w:val="18"/>
                <w:lang w:val="es-ES_tradnl"/>
              </w:rPr>
              <w:t xml:space="preserve"> en gestión sostenible de ecosistemas </w:t>
            </w:r>
          </w:p>
        </w:tc>
        <w:tc>
          <w:tcPr>
            <w:tcW w:w="1172" w:type="dxa"/>
            <w:tcBorders>
              <w:top w:val="single" w:sz="4" w:space="0" w:color="auto"/>
              <w:left w:val="single" w:sz="4" w:space="0" w:color="auto"/>
              <w:bottom w:val="single" w:sz="4" w:space="0" w:color="auto"/>
              <w:right w:val="single" w:sz="4" w:space="0" w:color="auto"/>
            </w:tcBorders>
            <w:vAlign w:val="center"/>
          </w:tcPr>
          <w:p w14:paraId="02E1E691" w14:textId="77777777" w:rsidR="00C97B72" w:rsidRPr="00C97B72" w:rsidRDefault="00C97B72" w:rsidP="00816B3B">
            <w:pPr>
              <w:spacing w:before="0"/>
              <w:jc w:val="center"/>
              <w:rPr>
                <w:color w:val="000000"/>
                <w:sz w:val="18"/>
                <w:szCs w:val="18"/>
              </w:rPr>
            </w:pPr>
            <w:r w:rsidRPr="00C97B72">
              <w:rPr>
                <w:color w:val="000000"/>
                <w:sz w:val="18"/>
                <w:szCs w:val="18"/>
              </w:rPr>
              <w:t>Entrenamiento</w:t>
            </w:r>
          </w:p>
        </w:tc>
        <w:tc>
          <w:tcPr>
            <w:tcW w:w="540" w:type="dxa"/>
            <w:tcBorders>
              <w:top w:val="single" w:sz="4" w:space="0" w:color="auto"/>
              <w:left w:val="single" w:sz="4" w:space="0" w:color="auto"/>
              <w:bottom w:val="single" w:sz="4" w:space="0" w:color="auto"/>
              <w:right w:val="single" w:sz="4" w:space="0" w:color="auto"/>
            </w:tcBorders>
            <w:vAlign w:val="center"/>
          </w:tcPr>
          <w:p w14:paraId="2F56E899"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3425F799"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3</w:t>
            </w:r>
          </w:p>
        </w:tc>
        <w:tc>
          <w:tcPr>
            <w:tcW w:w="540" w:type="dxa"/>
            <w:tcBorders>
              <w:top w:val="single" w:sz="4" w:space="0" w:color="auto"/>
              <w:left w:val="single" w:sz="4" w:space="0" w:color="auto"/>
              <w:bottom w:val="single" w:sz="4" w:space="0" w:color="auto"/>
              <w:right w:val="single" w:sz="4" w:space="0" w:color="auto"/>
            </w:tcBorders>
            <w:vAlign w:val="center"/>
          </w:tcPr>
          <w:p w14:paraId="2F987409"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3</w:t>
            </w:r>
          </w:p>
        </w:tc>
        <w:tc>
          <w:tcPr>
            <w:tcW w:w="450" w:type="dxa"/>
            <w:tcBorders>
              <w:top w:val="single" w:sz="4" w:space="0" w:color="auto"/>
              <w:left w:val="single" w:sz="4" w:space="0" w:color="auto"/>
              <w:bottom w:val="single" w:sz="4" w:space="0" w:color="auto"/>
              <w:right w:val="single" w:sz="4" w:space="0" w:color="auto"/>
            </w:tcBorders>
            <w:vAlign w:val="center"/>
          </w:tcPr>
          <w:p w14:paraId="06A853BE"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3</w:t>
            </w:r>
          </w:p>
        </w:tc>
        <w:tc>
          <w:tcPr>
            <w:tcW w:w="450" w:type="dxa"/>
            <w:tcBorders>
              <w:top w:val="single" w:sz="4" w:space="0" w:color="auto"/>
              <w:left w:val="single" w:sz="4" w:space="0" w:color="auto"/>
              <w:bottom w:val="single" w:sz="4" w:space="0" w:color="auto"/>
              <w:right w:val="single" w:sz="4" w:space="0" w:color="auto"/>
            </w:tcBorders>
            <w:vAlign w:val="center"/>
          </w:tcPr>
          <w:p w14:paraId="02A144AB"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7FD400C6"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032EB607" w14:textId="77777777" w:rsidR="00C97B72" w:rsidRPr="00C97B72" w:rsidRDefault="00C97B72" w:rsidP="00816B3B">
            <w:pPr>
              <w:spacing w:before="0"/>
              <w:jc w:val="center"/>
              <w:rPr>
                <w:color w:val="000000"/>
                <w:sz w:val="18"/>
                <w:szCs w:val="18"/>
                <w:lang w:val="es-UY"/>
              </w:rPr>
            </w:pPr>
            <w:r w:rsidRPr="00C97B72">
              <w:rPr>
                <w:color w:val="000000"/>
                <w:sz w:val="18"/>
                <w:szCs w:val="18"/>
                <w:lang w:val="es-UY"/>
              </w:rPr>
              <w:t>9</w:t>
            </w:r>
          </w:p>
        </w:tc>
        <w:tc>
          <w:tcPr>
            <w:tcW w:w="2160" w:type="dxa"/>
            <w:tcBorders>
              <w:top w:val="single" w:sz="4" w:space="0" w:color="auto"/>
              <w:left w:val="single" w:sz="4" w:space="0" w:color="auto"/>
              <w:bottom w:val="single" w:sz="4" w:space="0" w:color="auto"/>
              <w:right w:val="single" w:sz="4" w:space="0" w:color="auto"/>
            </w:tcBorders>
            <w:vAlign w:val="center"/>
          </w:tcPr>
          <w:p w14:paraId="3209EBF5" w14:textId="77777777" w:rsidR="00C97B72" w:rsidRPr="00C97B72" w:rsidRDefault="00C97B72" w:rsidP="00816B3B">
            <w:pPr>
              <w:spacing w:before="0"/>
              <w:rPr>
                <w:sz w:val="18"/>
                <w:szCs w:val="18"/>
                <w:lang w:val="es-UY"/>
              </w:rPr>
            </w:pPr>
            <w:r w:rsidRPr="00C97B72">
              <w:rPr>
                <w:sz w:val="18"/>
                <w:szCs w:val="18"/>
                <w:lang w:val="es-UY"/>
              </w:rPr>
              <w:t>Informe de ejecución del componente por parte del MARN.</w:t>
            </w:r>
          </w:p>
        </w:tc>
      </w:tr>
      <w:tr w:rsidR="00982A1E" w:rsidRPr="00C97B72" w14:paraId="6271F689" w14:textId="77777777" w:rsidTr="00982A1E">
        <w:trPr>
          <w:cantSplit/>
          <w:trHeight w:val="184"/>
        </w:trPr>
        <w:tc>
          <w:tcPr>
            <w:tcW w:w="1035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94684C" w14:textId="77777777" w:rsidR="00982A1E" w:rsidRPr="00982A1E" w:rsidRDefault="00982A1E" w:rsidP="00982A1E">
            <w:pPr>
              <w:spacing w:before="0"/>
              <w:ind w:left="270" w:hanging="270"/>
              <w:rPr>
                <w:sz w:val="18"/>
                <w:lang w:val="es-UY"/>
              </w:rPr>
            </w:pPr>
            <w:r w:rsidRPr="00982A1E">
              <w:rPr>
                <w:b/>
                <w:color w:val="000000"/>
                <w:sz w:val="18"/>
                <w:lang w:val="es-ES"/>
              </w:rPr>
              <w:t>Componente 4: Fortalecimiento Institucional</w:t>
            </w:r>
          </w:p>
        </w:tc>
      </w:tr>
      <w:tr w:rsidR="00A81595" w:rsidRPr="00C97B72" w14:paraId="43AD1735"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204B6C6C" w14:textId="2D605AC1" w:rsidR="00C97B72" w:rsidRPr="00361170" w:rsidRDefault="00C97B72" w:rsidP="00982A1E">
            <w:pPr>
              <w:pStyle w:val="ListParagraph"/>
              <w:numPr>
                <w:ilvl w:val="0"/>
                <w:numId w:val="35"/>
              </w:numPr>
              <w:spacing w:before="0"/>
              <w:ind w:left="270" w:hanging="270"/>
              <w:jc w:val="left"/>
              <w:rPr>
                <w:sz w:val="18"/>
                <w:lang w:val="es-ES_tradnl"/>
              </w:rPr>
            </w:pPr>
            <w:r w:rsidRPr="00C97B72">
              <w:rPr>
                <w:sz w:val="18"/>
                <w:szCs w:val="18"/>
                <w:lang w:val="es-ES_tradnl"/>
              </w:rPr>
              <w:t>Personal del MINEC capacitado para la implementación</w:t>
            </w:r>
            <w:r w:rsidRPr="00982A1E">
              <w:rPr>
                <w:sz w:val="18"/>
                <w:lang w:val="es-ES_tradnl"/>
              </w:rPr>
              <w:t xml:space="preserve"> de las </w:t>
            </w:r>
            <w:r w:rsidRPr="00C97B72">
              <w:rPr>
                <w:sz w:val="18"/>
                <w:szCs w:val="18"/>
                <w:lang w:val="es-ES_tradnl"/>
              </w:rPr>
              <w:t>acciones</w:t>
            </w:r>
            <w:r w:rsidRPr="00982A1E">
              <w:rPr>
                <w:sz w:val="18"/>
                <w:lang w:val="es-ES_tradnl"/>
              </w:rPr>
              <w:t xml:space="preserve"> de apoyo a </w:t>
            </w:r>
            <w:r w:rsidRPr="00C97B72">
              <w:rPr>
                <w:sz w:val="18"/>
                <w:szCs w:val="18"/>
                <w:lang w:val="es-ES_tradnl"/>
              </w:rPr>
              <w:t>las entidades beneficiarias.</w:t>
            </w:r>
          </w:p>
        </w:tc>
        <w:tc>
          <w:tcPr>
            <w:tcW w:w="1172" w:type="dxa"/>
            <w:tcBorders>
              <w:top w:val="single" w:sz="4" w:space="0" w:color="auto"/>
              <w:left w:val="single" w:sz="4" w:space="0" w:color="auto"/>
              <w:bottom w:val="single" w:sz="4" w:space="0" w:color="auto"/>
              <w:right w:val="single" w:sz="4" w:space="0" w:color="auto"/>
            </w:tcBorders>
            <w:vAlign w:val="center"/>
          </w:tcPr>
          <w:p w14:paraId="088B26F5" w14:textId="77777777" w:rsidR="00C97B72" w:rsidRPr="00982A1E" w:rsidRDefault="00C97B72" w:rsidP="00982A1E">
            <w:pPr>
              <w:spacing w:before="0"/>
              <w:jc w:val="center"/>
              <w:rPr>
                <w:color w:val="000000"/>
                <w:sz w:val="18"/>
              </w:rPr>
            </w:pPr>
            <w:r w:rsidRPr="00C97B72">
              <w:rPr>
                <w:color w:val="000000"/>
                <w:sz w:val="18"/>
                <w:szCs w:val="18"/>
              </w:rPr>
              <w:t>Número de personas capacitadas</w:t>
            </w:r>
          </w:p>
        </w:tc>
        <w:tc>
          <w:tcPr>
            <w:tcW w:w="540" w:type="dxa"/>
            <w:tcBorders>
              <w:top w:val="single" w:sz="4" w:space="0" w:color="auto"/>
              <w:left w:val="single" w:sz="4" w:space="0" w:color="auto"/>
              <w:bottom w:val="single" w:sz="4" w:space="0" w:color="auto"/>
              <w:right w:val="single" w:sz="4" w:space="0" w:color="auto"/>
            </w:tcBorders>
            <w:vAlign w:val="center"/>
          </w:tcPr>
          <w:p w14:paraId="5D622F90" w14:textId="64867A20" w:rsidR="00C97B72" w:rsidRPr="00982A1E" w:rsidRDefault="00C97B72" w:rsidP="00982A1E">
            <w:pPr>
              <w:spacing w:before="0"/>
              <w:jc w:val="center"/>
              <w:rPr>
                <w:sz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1AC787BF" w14:textId="08454940" w:rsidR="00C97B72" w:rsidRPr="00982A1E" w:rsidRDefault="00C97B72" w:rsidP="00982A1E">
            <w:pPr>
              <w:spacing w:before="0"/>
              <w:jc w:val="center"/>
              <w:rPr>
                <w:sz w:val="18"/>
                <w:lang w:val="es-UY"/>
              </w:rPr>
            </w:pPr>
            <w:r w:rsidRPr="00C97B72">
              <w:rPr>
                <w:sz w:val="18"/>
                <w:szCs w:val="18"/>
                <w:lang w:val="es-UY"/>
              </w:rPr>
              <w:t>5</w:t>
            </w:r>
          </w:p>
        </w:tc>
        <w:tc>
          <w:tcPr>
            <w:tcW w:w="540" w:type="dxa"/>
            <w:tcBorders>
              <w:top w:val="single" w:sz="4" w:space="0" w:color="auto"/>
              <w:left w:val="single" w:sz="4" w:space="0" w:color="auto"/>
              <w:bottom w:val="single" w:sz="4" w:space="0" w:color="auto"/>
              <w:right w:val="single" w:sz="4" w:space="0" w:color="auto"/>
            </w:tcBorders>
            <w:vAlign w:val="center"/>
          </w:tcPr>
          <w:p w14:paraId="73AF7B75" w14:textId="77777777" w:rsidR="00C97B72" w:rsidRPr="00C97B72" w:rsidRDefault="00C97B72" w:rsidP="00816B3B">
            <w:pPr>
              <w:spacing w:before="0"/>
              <w:jc w:val="center"/>
              <w:rPr>
                <w:sz w:val="18"/>
                <w:szCs w:val="18"/>
                <w:lang w:val="es-UY"/>
              </w:rPr>
            </w:pPr>
            <w:r w:rsidRPr="00C97B72">
              <w:rPr>
                <w:sz w:val="18"/>
                <w:szCs w:val="18"/>
                <w:lang w:val="es-UY"/>
              </w:rPr>
              <w:t>7</w:t>
            </w:r>
          </w:p>
        </w:tc>
        <w:tc>
          <w:tcPr>
            <w:tcW w:w="450" w:type="dxa"/>
            <w:tcBorders>
              <w:top w:val="single" w:sz="4" w:space="0" w:color="auto"/>
              <w:left w:val="single" w:sz="4" w:space="0" w:color="auto"/>
              <w:bottom w:val="single" w:sz="4" w:space="0" w:color="auto"/>
              <w:right w:val="single" w:sz="4" w:space="0" w:color="auto"/>
            </w:tcBorders>
            <w:vAlign w:val="center"/>
          </w:tcPr>
          <w:p w14:paraId="2E2025E0" w14:textId="77777777" w:rsidR="00C97B72" w:rsidRPr="00C97B72" w:rsidRDefault="00C97B72" w:rsidP="00816B3B">
            <w:pPr>
              <w:spacing w:before="0"/>
              <w:jc w:val="center"/>
              <w:rPr>
                <w:sz w:val="18"/>
                <w:szCs w:val="18"/>
                <w:lang w:val="es-UY"/>
              </w:rPr>
            </w:pPr>
            <w:r w:rsidRPr="00C97B72">
              <w:rPr>
                <w:sz w:val="18"/>
                <w:szCs w:val="18"/>
                <w:lang w:val="es-UY"/>
              </w:rPr>
              <w:t>9</w:t>
            </w:r>
          </w:p>
        </w:tc>
        <w:tc>
          <w:tcPr>
            <w:tcW w:w="450" w:type="dxa"/>
            <w:tcBorders>
              <w:top w:val="single" w:sz="4" w:space="0" w:color="auto"/>
              <w:left w:val="single" w:sz="4" w:space="0" w:color="auto"/>
              <w:bottom w:val="single" w:sz="4" w:space="0" w:color="auto"/>
              <w:right w:val="single" w:sz="4" w:space="0" w:color="auto"/>
            </w:tcBorders>
            <w:vAlign w:val="center"/>
          </w:tcPr>
          <w:p w14:paraId="2259CB48" w14:textId="77777777" w:rsidR="00C97B72" w:rsidRPr="00C97B72" w:rsidRDefault="00C97B72" w:rsidP="00816B3B">
            <w:pPr>
              <w:spacing w:before="0"/>
              <w:jc w:val="center"/>
              <w:rPr>
                <w:sz w:val="18"/>
                <w:szCs w:val="18"/>
                <w:lang w:val="es-UY"/>
              </w:rPr>
            </w:pPr>
            <w:r w:rsidRPr="00C97B72">
              <w:rPr>
                <w:sz w:val="18"/>
                <w:szCs w:val="18"/>
                <w:lang w:val="es-UY"/>
              </w:rPr>
              <w:t>12</w:t>
            </w:r>
          </w:p>
        </w:tc>
        <w:tc>
          <w:tcPr>
            <w:tcW w:w="450" w:type="dxa"/>
            <w:tcBorders>
              <w:top w:val="single" w:sz="4" w:space="0" w:color="auto"/>
              <w:left w:val="single" w:sz="4" w:space="0" w:color="auto"/>
              <w:bottom w:val="single" w:sz="4" w:space="0" w:color="auto"/>
              <w:right w:val="single" w:sz="4" w:space="0" w:color="auto"/>
            </w:tcBorders>
            <w:vAlign w:val="center"/>
          </w:tcPr>
          <w:p w14:paraId="69D858E1" w14:textId="77777777" w:rsidR="00C97B72" w:rsidRPr="00C97B72" w:rsidRDefault="00C97B72" w:rsidP="00816B3B">
            <w:pPr>
              <w:spacing w:before="0"/>
              <w:jc w:val="center"/>
              <w:rPr>
                <w:sz w:val="18"/>
                <w:szCs w:val="18"/>
                <w:lang w:val="es-UY"/>
              </w:rPr>
            </w:pPr>
            <w:r w:rsidRPr="00C97B72">
              <w:rPr>
                <w:sz w:val="18"/>
                <w:szCs w:val="18"/>
                <w:lang w:val="es-UY"/>
              </w:rPr>
              <w:t>16</w:t>
            </w:r>
          </w:p>
        </w:tc>
        <w:tc>
          <w:tcPr>
            <w:tcW w:w="540" w:type="dxa"/>
            <w:tcBorders>
              <w:top w:val="single" w:sz="4" w:space="0" w:color="auto"/>
              <w:left w:val="single" w:sz="4" w:space="0" w:color="auto"/>
              <w:bottom w:val="single" w:sz="4" w:space="0" w:color="auto"/>
              <w:right w:val="single" w:sz="4" w:space="0" w:color="auto"/>
            </w:tcBorders>
            <w:vAlign w:val="center"/>
          </w:tcPr>
          <w:p w14:paraId="2BD693C5" w14:textId="77777777" w:rsidR="00C97B72" w:rsidRPr="00C97B72" w:rsidRDefault="00C97B72" w:rsidP="00816B3B">
            <w:pPr>
              <w:spacing w:before="0"/>
              <w:jc w:val="center"/>
              <w:rPr>
                <w:sz w:val="18"/>
                <w:szCs w:val="18"/>
                <w:lang w:val="es-UY"/>
              </w:rPr>
            </w:pPr>
            <w:r w:rsidRPr="00C97B72">
              <w:rPr>
                <w:sz w:val="18"/>
                <w:szCs w:val="18"/>
                <w:lang w:val="es-UY"/>
              </w:rPr>
              <w:t>40</w:t>
            </w:r>
          </w:p>
        </w:tc>
        <w:tc>
          <w:tcPr>
            <w:tcW w:w="2160" w:type="dxa"/>
            <w:tcBorders>
              <w:top w:val="single" w:sz="4" w:space="0" w:color="auto"/>
              <w:left w:val="single" w:sz="4" w:space="0" w:color="auto"/>
              <w:bottom w:val="single" w:sz="4" w:space="0" w:color="auto"/>
              <w:right w:val="single" w:sz="4" w:space="0" w:color="auto"/>
            </w:tcBorders>
            <w:vAlign w:val="center"/>
          </w:tcPr>
          <w:p w14:paraId="61EFB2D9" w14:textId="77777777" w:rsidR="00C97B72" w:rsidRPr="00C97B72" w:rsidRDefault="00C97B72" w:rsidP="00816B3B">
            <w:pPr>
              <w:spacing w:before="0"/>
              <w:rPr>
                <w:sz w:val="18"/>
                <w:szCs w:val="18"/>
                <w:highlight w:val="green"/>
                <w:lang w:val="es-ES"/>
              </w:rPr>
            </w:pPr>
            <w:r w:rsidRPr="00C97B72">
              <w:rPr>
                <w:sz w:val="18"/>
                <w:szCs w:val="18"/>
                <w:lang w:val="es-UY"/>
              </w:rPr>
              <w:t>Informes MINEC de ejecución del programa.</w:t>
            </w:r>
          </w:p>
        </w:tc>
      </w:tr>
      <w:tr w:rsidR="00BB23E5" w:rsidRPr="00C97B72" w14:paraId="3E1737C3"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62602711" w14:textId="77777777" w:rsidR="00C97B72" w:rsidRPr="00C97B72" w:rsidRDefault="00C97B72" w:rsidP="00816B3B">
            <w:pPr>
              <w:pStyle w:val="ListParagraph"/>
              <w:numPr>
                <w:ilvl w:val="0"/>
                <w:numId w:val="35"/>
              </w:numPr>
              <w:spacing w:before="0"/>
              <w:ind w:left="270" w:hanging="270"/>
              <w:jc w:val="left"/>
              <w:rPr>
                <w:sz w:val="18"/>
                <w:szCs w:val="18"/>
                <w:lang w:val="es-ES_tradnl"/>
              </w:rPr>
            </w:pPr>
            <w:r w:rsidRPr="00C97B72">
              <w:rPr>
                <w:sz w:val="18"/>
                <w:szCs w:val="18"/>
                <w:lang w:val="es-ES_tradnl"/>
              </w:rPr>
              <w:t>Encuestas empresariales de seguimiento y monitoreo en las áreas de intervención del programa.</w:t>
            </w:r>
          </w:p>
        </w:tc>
        <w:tc>
          <w:tcPr>
            <w:tcW w:w="1172" w:type="dxa"/>
            <w:tcBorders>
              <w:top w:val="single" w:sz="4" w:space="0" w:color="auto"/>
              <w:left w:val="single" w:sz="4" w:space="0" w:color="auto"/>
              <w:bottom w:val="single" w:sz="4" w:space="0" w:color="auto"/>
              <w:right w:val="single" w:sz="4" w:space="0" w:color="auto"/>
            </w:tcBorders>
            <w:vAlign w:val="center"/>
          </w:tcPr>
          <w:p w14:paraId="1DC796B6" w14:textId="77777777" w:rsidR="00C97B72" w:rsidRPr="00C97B72" w:rsidRDefault="00C97B72" w:rsidP="00816B3B">
            <w:pPr>
              <w:spacing w:before="0"/>
              <w:jc w:val="center"/>
              <w:rPr>
                <w:color w:val="000000"/>
                <w:sz w:val="18"/>
                <w:szCs w:val="18"/>
              </w:rPr>
            </w:pPr>
            <w:r w:rsidRPr="00C97B72">
              <w:rPr>
                <w:color w:val="000000"/>
                <w:sz w:val="18"/>
                <w:szCs w:val="18"/>
              </w:rPr>
              <w:t>Encuestas realizadas</w:t>
            </w:r>
          </w:p>
        </w:tc>
        <w:tc>
          <w:tcPr>
            <w:tcW w:w="540" w:type="dxa"/>
            <w:tcBorders>
              <w:top w:val="single" w:sz="4" w:space="0" w:color="auto"/>
              <w:left w:val="single" w:sz="4" w:space="0" w:color="auto"/>
              <w:bottom w:val="single" w:sz="4" w:space="0" w:color="auto"/>
              <w:right w:val="single" w:sz="4" w:space="0" w:color="auto"/>
            </w:tcBorders>
            <w:vAlign w:val="center"/>
          </w:tcPr>
          <w:p w14:paraId="0CED8E4D"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1078CCB5" w14:textId="77777777" w:rsidR="00C97B72" w:rsidRPr="00C97B72" w:rsidRDefault="00C97B72" w:rsidP="00816B3B">
            <w:pPr>
              <w:spacing w:before="0"/>
              <w:jc w:val="center"/>
              <w:rPr>
                <w:sz w:val="18"/>
                <w:szCs w:val="18"/>
                <w:lang w:val="es-UY"/>
              </w:rPr>
            </w:pPr>
            <w:r w:rsidRPr="00C97B72">
              <w:rPr>
                <w:sz w:val="18"/>
                <w:szCs w:val="18"/>
                <w:lang w:val="es-UY"/>
              </w:rPr>
              <w:t>1</w:t>
            </w:r>
          </w:p>
        </w:tc>
        <w:tc>
          <w:tcPr>
            <w:tcW w:w="540" w:type="dxa"/>
            <w:tcBorders>
              <w:top w:val="single" w:sz="4" w:space="0" w:color="auto"/>
              <w:left w:val="single" w:sz="4" w:space="0" w:color="auto"/>
              <w:bottom w:val="single" w:sz="4" w:space="0" w:color="auto"/>
              <w:right w:val="single" w:sz="4" w:space="0" w:color="auto"/>
            </w:tcBorders>
            <w:vAlign w:val="center"/>
          </w:tcPr>
          <w:p w14:paraId="05520018"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35DA3F02" w14:textId="77777777" w:rsidR="00C97B72" w:rsidRPr="00C97B72" w:rsidRDefault="00C97B72" w:rsidP="00816B3B">
            <w:pPr>
              <w:spacing w:before="0"/>
              <w:jc w:val="center"/>
              <w:rPr>
                <w:sz w:val="18"/>
                <w:szCs w:val="18"/>
                <w:lang w:val="es-UY"/>
              </w:rPr>
            </w:pPr>
            <w:r w:rsidRPr="00C97B72">
              <w:rPr>
                <w:sz w:val="18"/>
                <w:szCs w:val="18"/>
                <w:lang w:val="es-UY"/>
              </w:rPr>
              <w:t>1</w:t>
            </w:r>
          </w:p>
        </w:tc>
        <w:tc>
          <w:tcPr>
            <w:tcW w:w="450" w:type="dxa"/>
            <w:tcBorders>
              <w:top w:val="single" w:sz="4" w:space="0" w:color="auto"/>
              <w:left w:val="single" w:sz="4" w:space="0" w:color="auto"/>
              <w:bottom w:val="single" w:sz="4" w:space="0" w:color="auto"/>
              <w:right w:val="single" w:sz="4" w:space="0" w:color="auto"/>
            </w:tcBorders>
            <w:vAlign w:val="center"/>
          </w:tcPr>
          <w:p w14:paraId="10B0029A"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4B607D60" w14:textId="77777777" w:rsidR="00C97B72" w:rsidRPr="00C97B72" w:rsidRDefault="00C97B72" w:rsidP="00816B3B">
            <w:pPr>
              <w:spacing w:before="0"/>
              <w:jc w:val="center"/>
              <w:rPr>
                <w:sz w:val="18"/>
                <w:szCs w:val="18"/>
                <w:lang w:val="es-UY"/>
              </w:rPr>
            </w:pPr>
            <w:r w:rsidRPr="00C97B72">
              <w:rPr>
                <w:sz w:val="18"/>
                <w:szCs w:val="18"/>
                <w:lang w:val="es-UY"/>
              </w:rPr>
              <w:t>1</w:t>
            </w:r>
          </w:p>
        </w:tc>
        <w:tc>
          <w:tcPr>
            <w:tcW w:w="540" w:type="dxa"/>
            <w:tcBorders>
              <w:top w:val="single" w:sz="4" w:space="0" w:color="auto"/>
              <w:left w:val="single" w:sz="4" w:space="0" w:color="auto"/>
              <w:bottom w:val="single" w:sz="4" w:space="0" w:color="auto"/>
              <w:right w:val="single" w:sz="4" w:space="0" w:color="auto"/>
            </w:tcBorders>
            <w:vAlign w:val="center"/>
          </w:tcPr>
          <w:p w14:paraId="4FB6A4E4" w14:textId="77777777" w:rsidR="00C97B72" w:rsidRPr="00C97B72" w:rsidRDefault="00C97B72" w:rsidP="00816B3B">
            <w:pPr>
              <w:spacing w:before="0"/>
              <w:jc w:val="center"/>
              <w:rPr>
                <w:sz w:val="18"/>
                <w:szCs w:val="18"/>
                <w:lang w:val="es-UY"/>
              </w:rPr>
            </w:pPr>
            <w:r w:rsidRPr="00C97B72">
              <w:rPr>
                <w:sz w:val="18"/>
                <w:szCs w:val="18"/>
                <w:lang w:val="es-UY"/>
              </w:rPr>
              <w:t>3</w:t>
            </w:r>
          </w:p>
        </w:tc>
        <w:tc>
          <w:tcPr>
            <w:tcW w:w="2160" w:type="dxa"/>
            <w:tcBorders>
              <w:top w:val="single" w:sz="4" w:space="0" w:color="auto"/>
              <w:left w:val="single" w:sz="4" w:space="0" w:color="auto"/>
              <w:bottom w:val="single" w:sz="4" w:space="0" w:color="auto"/>
              <w:right w:val="single" w:sz="4" w:space="0" w:color="auto"/>
            </w:tcBorders>
            <w:vAlign w:val="center"/>
          </w:tcPr>
          <w:p w14:paraId="2CE09094" w14:textId="77777777" w:rsidR="00C97B72" w:rsidRPr="00C97B72" w:rsidRDefault="00C97B72" w:rsidP="00816B3B">
            <w:pPr>
              <w:spacing w:before="0"/>
              <w:rPr>
                <w:sz w:val="18"/>
                <w:szCs w:val="18"/>
                <w:lang w:val="es-UY"/>
              </w:rPr>
            </w:pPr>
            <w:r w:rsidRPr="00C97B72">
              <w:rPr>
                <w:sz w:val="18"/>
                <w:szCs w:val="18"/>
                <w:lang w:val="es-UY"/>
              </w:rPr>
              <w:t>Informes de ejecución del programa y bases de datos a partir de las encuestas empresariales realizadas.</w:t>
            </w:r>
          </w:p>
        </w:tc>
      </w:tr>
      <w:tr w:rsidR="00BB23E5" w:rsidRPr="00C97B72" w14:paraId="073750D3"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1BC2FDF2" w14:textId="36D57721" w:rsidR="00C97B72" w:rsidRPr="00C97B72" w:rsidRDefault="004C3171" w:rsidP="00816B3B">
            <w:pPr>
              <w:pStyle w:val="ListParagraph"/>
              <w:numPr>
                <w:ilvl w:val="0"/>
                <w:numId w:val="35"/>
              </w:numPr>
              <w:spacing w:before="0"/>
              <w:ind w:left="270" w:hanging="270"/>
              <w:jc w:val="left"/>
              <w:rPr>
                <w:sz w:val="18"/>
                <w:szCs w:val="18"/>
                <w:lang w:val="es-ES_tradnl"/>
              </w:rPr>
            </w:pPr>
            <w:r>
              <w:rPr>
                <w:sz w:val="18"/>
                <w:szCs w:val="18"/>
                <w:lang w:val="es-ES_tradnl"/>
              </w:rPr>
              <w:t>H</w:t>
            </w:r>
            <w:r w:rsidR="00C97B72" w:rsidRPr="00C97B72">
              <w:rPr>
                <w:sz w:val="18"/>
                <w:szCs w:val="18"/>
                <w:lang w:val="es-ES_tradnl"/>
              </w:rPr>
              <w:t>erramienta de geo-referenciamiento de empresas en las zonas de intervención</w:t>
            </w:r>
            <w:r>
              <w:rPr>
                <w:sz w:val="18"/>
                <w:szCs w:val="18"/>
                <w:lang w:val="es-ES_tradnl"/>
              </w:rPr>
              <w:t xml:space="preserve"> implementada</w:t>
            </w:r>
            <w:r w:rsidR="00C97B72" w:rsidRPr="00C97B72">
              <w:rPr>
                <w:sz w:val="18"/>
                <w:szCs w:val="18"/>
                <w:lang w:val="es-ES_tradnl"/>
              </w:rPr>
              <w:t>.</w:t>
            </w:r>
          </w:p>
        </w:tc>
        <w:tc>
          <w:tcPr>
            <w:tcW w:w="1172" w:type="dxa"/>
            <w:tcBorders>
              <w:top w:val="single" w:sz="4" w:space="0" w:color="auto"/>
              <w:left w:val="single" w:sz="4" w:space="0" w:color="auto"/>
              <w:bottom w:val="single" w:sz="4" w:space="0" w:color="auto"/>
              <w:right w:val="single" w:sz="4" w:space="0" w:color="auto"/>
            </w:tcBorders>
            <w:vAlign w:val="center"/>
          </w:tcPr>
          <w:p w14:paraId="2294F90B" w14:textId="77777777" w:rsidR="00C97B72" w:rsidRPr="00C97B72" w:rsidRDefault="00C97B72" w:rsidP="00816B3B">
            <w:pPr>
              <w:spacing w:before="0"/>
              <w:jc w:val="center"/>
              <w:rPr>
                <w:color w:val="000000"/>
                <w:sz w:val="18"/>
                <w:szCs w:val="18"/>
              </w:rPr>
            </w:pPr>
            <w:r w:rsidRPr="00C97B72">
              <w:rPr>
                <w:color w:val="000000"/>
                <w:sz w:val="18"/>
                <w:szCs w:val="18"/>
              </w:rPr>
              <w:t>Sistema</w:t>
            </w:r>
          </w:p>
        </w:tc>
        <w:tc>
          <w:tcPr>
            <w:tcW w:w="540" w:type="dxa"/>
            <w:tcBorders>
              <w:top w:val="single" w:sz="4" w:space="0" w:color="auto"/>
              <w:left w:val="single" w:sz="4" w:space="0" w:color="auto"/>
              <w:bottom w:val="single" w:sz="4" w:space="0" w:color="auto"/>
              <w:right w:val="single" w:sz="4" w:space="0" w:color="auto"/>
            </w:tcBorders>
            <w:vAlign w:val="center"/>
          </w:tcPr>
          <w:p w14:paraId="4822E374"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7D7CA56A"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31E2D044"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655C84D0"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295FFDAD" w14:textId="77777777" w:rsidR="00C97B72" w:rsidRPr="00C97B72" w:rsidRDefault="00C97B72" w:rsidP="00816B3B">
            <w:pPr>
              <w:spacing w:before="0"/>
              <w:jc w:val="center"/>
              <w:rPr>
                <w:sz w:val="18"/>
                <w:szCs w:val="18"/>
                <w:lang w:val="es-UY"/>
              </w:rPr>
            </w:pPr>
            <w:r w:rsidRPr="00C97B72">
              <w:rPr>
                <w:sz w:val="18"/>
                <w:szCs w:val="18"/>
                <w:lang w:val="es-UY"/>
              </w:rPr>
              <w:t>1</w:t>
            </w:r>
          </w:p>
        </w:tc>
        <w:tc>
          <w:tcPr>
            <w:tcW w:w="450" w:type="dxa"/>
            <w:tcBorders>
              <w:top w:val="single" w:sz="4" w:space="0" w:color="auto"/>
              <w:left w:val="single" w:sz="4" w:space="0" w:color="auto"/>
              <w:bottom w:val="single" w:sz="4" w:space="0" w:color="auto"/>
              <w:right w:val="single" w:sz="4" w:space="0" w:color="auto"/>
            </w:tcBorders>
            <w:vAlign w:val="center"/>
          </w:tcPr>
          <w:p w14:paraId="62938EB7"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51D6FD83" w14:textId="77777777" w:rsidR="00C97B72" w:rsidRPr="00C97B72" w:rsidRDefault="00C97B72" w:rsidP="00816B3B">
            <w:pPr>
              <w:spacing w:before="0"/>
              <w:jc w:val="center"/>
              <w:rPr>
                <w:sz w:val="18"/>
                <w:szCs w:val="18"/>
                <w:lang w:val="es-UY"/>
              </w:rPr>
            </w:pPr>
            <w:r w:rsidRPr="00C97B72">
              <w:rPr>
                <w:sz w:val="18"/>
                <w:szCs w:val="18"/>
                <w:lang w:val="es-UY"/>
              </w:rPr>
              <w:t>1</w:t>
            </w:r>
          </w:p>
        </w:tc>
        <w:tc>
          <w:tcPr>
            <w:tcW w:w="2160" w:type="dxa"/>
            <w:tcBorders>
              <w:top w:val="single" w:sz="4" w:space="0" w:color="auto"/>
              <w:left w:val="single" w:sz="4" w:space="0" w:color="auto"/>
              <w:bottom w:val="single" w:sz="4" w:space="0" w:color="auto"/>
              <w:right w:val="single" w:sz="4" w:space="0" w:color="auto"/>
            </w:tcBorders>
            <w:vAlign w:val="center"/>
          </w:tcPr>
          <w:p w14:paraId="3FC86E2B" w14:textId="77777777" w:rsidR="00C97B72" w:rsidRPr="00C97B72" w:rsidRDefault="00C97B72" w:rsidP="00816B3B">
            <w:pPr>
              <w:spacing w:before="0"/>
              <w:rPr>
                <w:sz w:val="18"/>
                <w:szCs w:val="18"/>
                <w:lang w:val="es-UY"/>
              </w:rPr>
            </w:pPr>
            <w:r w:rsidRPr="00C97B72">
              <w:rPr>
                <w:sz w:val="18"/>
                <w:szCs w:val="18"/>
                <w:lang w:val="es-UY"/>
              </w:rPr>
              <w:t>Informes de ejecución del programa</w:t>
            </w:r>
          </w:p>
        </w:tc>
      </w:tr>
      <w:tr w:rsidR="00BB23E5" w:rsidRPr="00C97B72" w14:paraId="15B50973"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70246306" w14:textId="77777777" w:rsidR="00C97B72" w:rsidRPr="00C97B72" w:rsidRDefault="00C97B72" w:rsidP="00816B3B">
            <w:pPr>
              <w:pStyle w:val="ListParagraph"/>
              <w:numPr>
                <w:ilvl w:val="0"/>
                <w:numId w:val="35"/>
              </w:numPr>
              <w:spacing w:before="0"/>
              <w:ind w:left="270" w:hanging="270"/>
              <w:jc w:val="left"/>
              <w:rPr>
                <w:sz w:val="18"/>
                <w:szCs w:val="18"/>
                <w:lang w:val="es-ES_tradnl"/>
              </w:rPr>
            </w:pPr>
            <w:r w:rsidRPr="00C97B72">
              <w:rPr>
                <w:sz w:val="18"/>
                <w:szCs w:val="18"/>
                <w:lang w:val="es-ES_tradnl"/>
              </w:rPr>
              <w:t>Asociación de Desarrollo Económico Local Equipadas</w:t>
            </w:r>
          </w:p>
        </w:tc>
        <w:tc>
          <w:tcPr>
            <w:tcW w:w="1172" w:type="dxa"/>
            <w:tcBorders>
              <w:top w:val="single" w:sz="4" w:space="0" w:color="auto"/>
              <w:left w:val="single" w:sz="4" w:space="0" w:color="auto"/>
              <w:bottom w:val="single" w:sz="4" w:space="0" w:color="auto"/>
              <w:right w:val="single" w:sz="4" w:space="0" w:color="auto"/>
            </w:tcBorders>
            <w:vAlign w:val="center"/>
          </w:tcPr>
          <w:p w14:paraId="3EF7DC1C" w14:textId="77777777" w:rsidR="00C97B72" w:rsidRPr="00C97B72" w:rsidRDefault="00C97B72" w:rsidP="00816B3B">
            <w:pPr>
              <w:spacing w:before="0"/>
              <w:jc w:val="center"/>
              <w:rPr>
                <w:color w:val="000000"/>
                <w:sz w:val="18"/>
                <w:szCs w:val="18"/>
              </w:rPr>
            </w:pPr>
            <w:r w:rsidRPr="00C97B72">
              <w:rPr>
                <w:color w:val="000000"/>
                <w:sz w:val="18"/>
                <w:szCs w:val="18"/>
              </w:rPr>
              <w:t>Equipamiento</w:t>
            </w:r>
          </w:p>
        </w:tc>
        <w:tc>
          <w:tcPr>
            <w:tcW w:w="540" w:type="dxa"/>
            <w:tcBorders>
              <w:top w:val="single" w:sz="4" w:space="0" w:color="auto"/>
              <w:left w:val="single" w:sz="4" w:space="0" w:color="auto"/>
              <w:bottom w:val="single" w:sz="4" w:space="0" w:color="auto"/>
              <w:right w:val="single" w:sz="4" w:space="0" w:color="auto"/>
            </w:tcBorders>
            <w:vAlign w:val="center"/>
          </w:tcPr>
          <w:p w14:paraId="45C3EC79"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0853B0AE"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0DADCB12" w14:textId="77777777" w:rsidR="00C97B72" w:rsidRPr="00C97B72" w:rsidRDefault="00C97B72" w:rsidP="00816B3B">
            <w:pPr>
              <w:spacing w:before="0"/>
              <w:jc w:val="center"/>
              <w:rPr>
                <w:sz w:val="18"/>
                <w:szCs w:val="18"/>
                <w:lang w:val="es-UY"/>
              </w:rPr>
            </w:pPr>
            <w:r w:rsidRPr="00C97B72">
              <w:rPr>
                <w:sz w:val="18"/>
                <w:szCs w:val="18"/>
                <w:lang w:val="es-UY"/>
              </w:rPr>
              <w:t>2</w:t>
            </w:r>
          </w:p>
        </w:tc>
        <w:tc>
          <w:tcPr>
            <w:tcW w:w="450" w:type="dxa"/>
            <w:tcBorders>
              <w:top w:val="single" w:sz="4" w:space="0" w:color="auto"/>
              <w:left w:val="single" w:sz="4" w:space="0" w:color="auto"/>
              <w:bottom w:val="single" w:sz="4" w:space="0" w:color="auto"/>
              <w:right w:val="single" w:sz="4" w:space="0" w:color="auto"/>
            </w:tcBorders>
            <w:vAlign w:val="center"/>
          </w:tcPr>
          <w:p w14:paraId="5F542C6E"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3B396F53"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25708431"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688C18C0" w14:textId="77777777" w:rsidR="00C97B72" w:rsidRPr="00C97B72" w:rsidRDefault="00C97B72" w:rsidP="00816B3B">
            <w:pPr>
              <w:spacing w:before="0"/>
              <w:jc w:val="center"/>
              <w:rPr>
                <w:sz w:val="18"/>
                <w:szCs w:val="18"/>
                <w:lang w:val="es-UY"/>
              </w:rPr>
            </w:pPr>
            <w:r w:rsidRPr="00C97B72">
              <w:rPr>
                <w:sz w:val="18"/>
                <w:szCs w:val="18"/>
                <w:lang w:val="es-UY"/>
              </w:rPr>
              <w:t>2</w:t>
            </w:r>
          </w:p>
        </w:tc>
        <w:tc>
          <w:tcPr>
            <w:tcW w:w="2160" w:type="dxa"/>
            <w:tcBorders>
              <w:top w:val="single" w:sz="4" w:space="0" w:color="auto"/>
              <w:left w:val="single" w:sz="4" w:space="0" w:color="auto"/>
              <w:bottom w:val="single" w:sz="4" w:space="0" w:color="auto"/>
              <w:right w:val="single" w:sz="4" w:space="0" w:color="auto"/>
            </w:tcBorders>
            <w:vAlign w:val="center"/>
          </w:tcPr>
          <w:p w14:paraId="619E6C7E" w14:textId="77777777" w:rsidR="00C97B72" w:rsidRPr="00C97B72" w:rsidRDefault="00C97B72" w:rsidP="00816B3B">
            <w:pPr>
              <w:spacing w:before="0"/>
              <w:rPr>
                <w:sz w:val="18"/>
                <w:szCs w:val="18"/>
                <w:lang w:val="es-UY"/>
              </w:rPr>
            </w:pPr>
            <w:r w:rsidRPr="00C97B72">
              <w:rPr>
                <w:sz w:val="18"/>
                <w:szCs w:val="18"/>
                <w:lang w:val="es-UY"/>
              </w:rPr>
              <w:t>Informes de ejecución del programa</w:t>
            </w:r>
          </w:p>
        </w:tc>
      </w:tr>
      <w:tr w:rsidR="00BB23E5" w:rsidRPr="00C97B72" w14:paraId="38C5D6D3"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5D3834ED" w14:textId="77777777" w:rsidR="00C97B72" w:rsidRPr="00C97B72" w:rsidRDefault="00C97B72" w:rsidP="00816B3B">
            <w:pPr>
              <w:pStyle w:val="ListParagraph"/>
              <w:numPr>
                <w:ilvl w:val="0"/>
                <w:numId w:val="35"/>
              </w:numPr>
              <w:spacing w:before="0"/>
              <w:ind w:left="270" w:hanging="270"/>
              <w:jc w:val="left"/>
              <w:rPr>
                <w:sz w:val="18"/>
                <w:szCs w:val="18"/>
                <w:lang w:val="es-ES_tradnl"/>
              </w:rPr>
            </w:pPr>
            <w:r w:rsidRPr="00C97B72">
              <w:rPr>
                <w:sz w:val="18"/>
                <w:szCs w:val="18"/>
                <w:lang w:val="es-ES_tradnl"/>
              </w:rPr>
              <w:t>Sistema informático para el monitoreo, seguimiento y gestión de riesgos</w:t>
            </w:r>
          </w:p>
        </w:tc>
        <w:tc>
          <w:tcPr>
            <w:tcW w:w="1172" w:type="dxa"/>
            <w:tcBorders>
              <w:top w:val="single" w:sz="4" w:space="0" w:color="auto"/>
              <w:left w:val="single" w:sz="4" w:space="0" w:color="auto"/>
              <w:bottom w:val="single" w:sz="4" w:space="0" w:color="auto"/>
              <w:right w:val="single" w:sz="4" w:space="0" w:color="auto"/>
            </w:tcBorders>
            <w:vAlign w:val="center"/>
          </w:tcPr>
          <w:p w14:paraId="5053521F" w14:textId="77777777" w:rsidR="00C97B72" w:rsidRPr="00C97B72" w:rsidRDefault="00C97B72" w:rsidP="00816B3B">
            <w:pPr>
              <w:spacing w:before="0"/>
              <w:jc w:val="center"/>
              <w:rPr>
                <w:color w:val="000000"/>
                <w:sz w:val="18"/>
                <w:szCs w:val="18"/>
              </w:rPr>
            </w:pPr>
            <w:r w:rsidRPr="00C97B72">
              <w:rPr>
                <w:color w:val="000000"/>
                <w:sz w:val="18"/>
                <w:szCs w:val="18"/>
              </w:rPr>
              <w:t>Sistema informático</w:t>
            </w:r>
          </w:p>
        </w:tc>
        <w:tc>
          <w:tcPr>
            <w:tcW w:w="540" w:type="dxa"/>
            <w:tcBorders>
              <w:top w:val="single" w:sz="4" w:space="0" w:color="auto"/>
              <w:left w:val="single" w:sz="4" w:space="0" w:color="auto"/>
              <w:bottom w:val="single" w:sz="4" w:space="0" w:color="auto"/>
              <w:right w:val="single" w:sz="4" w:space="0" w:color="auto"/>
            </w:tcBorders>
            <w:vAlign w:val="center"/>
          </w:tcPr>
          <w:p w14:paraId="278249ED"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4C5ADAB2" w14:textId="77777777" w:rsidR="00C97B72" w:rsidRPr="00C97B72" w:rsidRDefault="00C97B72" w:rsidP="00816B3B">
            <w:pPr>
              <w:spacing w:before="0"/>
              <w:jc w:val="center"/>
              <w:rPr>
                <w:sz w:val="18"/>
                <w:szCs w:val="18"/>
                <w:lang w:val="es-UY"/>
              </w:rPr>
            </w:pPr>
            <w:r w:rsidRPr="00C97B72">
              <w:rPr>
                <w:sz w:val="18"/>
                <w:szCs w:val="18"/>
                <w:lang w:val="es-UY"/>
              </w:rPr>
              <w:t>1</w:t>
            </w:r>
          </w:p>
        </w:tc>
        <w:tc>
          <w:tcPr>
            <w:tcW w:w="540" w:type="dxa"/>
            <w:tcBorders>
              <w:top w:val="single" w:sz="4" w:space="0" w:color="auto"/>
              <w:left w:val="single" w:sz="4" w:space="0" w:color="auto"/>
              <w:bottom w:val="single" w:sz="4" w:space="0" w:color="auto"/>
              <w:right w:val="single" w:sz="4" w:space="0" w:color="auto"/>
            </w:tcBorders>
            <w:vAlign w:val="center"/>
          </w:tcPr>
          <w:p w14:paraId="5484B116"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018A6B58"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3644B3FC"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04B99A0D"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5F5798F2" w14:textId="77777777" w:rsidR="00C97B72" w:rsidRPr="00C97B72" w:rsidRDefault="00C97B72" w:rsidP="00816B3B">
            <w:pPr>
              <w:spacing w:before="0"/>
              <w:jc w:val="center"/>
              <w:rPr>
                <w:sz w:val="18"/>
                <w:szCs w:val="18"/>
                <w:lang w:val="es-UY"/>
              </w:rPr>
            </w:pPr>
            <w:r w:rsidRPr="00C97B72">
              <w:rPr>
                <w:sz w:val="18"/>
                <w:szCs w:val="18"/>
                <w:lang w:val="es-UY"/>
              </w:rPr>
              <w:t>1</w:t>
            </w:r>
          </w:p>
        </w:tc>
        <w:tc>
          <w:tcPr>
            <w:tcW w:w="2160" w:type="dxa"/>
            <w:tcBorders>
              <w:top w:val="single" w:sz="4" w:space="0" w:color="auto"/>
              <w:left w:val="single" w:sz="4" w:space="0" w:color="auto"/>
              <w:bottom w:val="single" w:sz="4" w:space="0" w:color="auto"/>
              <w:right w:val="single" w:sz="4" w:space="0" w:color="auto"/>
            </w:tcBorders>
            <w:vAlign w:val="center"/>
          </w:tcPr>
          <w:p w14:paraId="3E936CE8" w14:textId="77777777" w:rsidR="00C97B72" w:rsidRPr="00C97B72" w:rsidRDefault="00C97B72" w:rsidP="00816B3B">
            <w:pPr>
              <w:spacing w:before="0"/>
              <w:rPr>
                <w:sz w:val="18"/>
                <w:szCs w:val="18"/>
                <w:lang w:val="es-UY"/>
              </w:rPr>
            </w:pPr>
            <w:r w:rsidRPr="00C97B72">
              <w:rPr>
                <w:sz w:val="18"/>
                <w:szCs w:val="18"/>
                <w:lang w:val="es-UY"/>
              </w:rPr>
              <w:t>Informes de ejecución del programa</w:t>
            </w:r>
          </w:p>
        </w:tc>
      </w:tr>
      <w:tr w:rsidR="00BB23E5" w:rsidRPr="00C97B72" w14:paraId="131ABCE0"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18CF2EA0" w14:textId="7DDA5130" w:rsidR="00C97B72" w:rsidRPr="00C97B72" w:rsidRDefault="00C97B72" w:rsidP="00816B3B">
            <w:pPr>
              <w:pStyle w:val="ListParagraph"/>
              <w:numPr>
                <w:ilvl w:val="0"/>
                <w:numId w:val="35"/>
              </w:numPr>
              <w:spacing w:before="0"/>
              <w:ind w:left="270" w:hanging="270"/>
              <w:jc w:val="left"/>
              <w:rPr>
                <w:sz w:val="18"/>
                <w:szCs w:val="18"/>
                <w:lang w:val="es-ES_tradnl"/>
              </w:rPr>
            </w:pPr>
          </w:p>
        </w:tc>
        <w:tc>
          <w:tcPr>
            <w:tcW w:w="1172" w:type="dxa"/>
            <w:tcBorders>
              <w:top w:val="single" w:sz="4" w:space="0" w:color="auto"/>
              <w:left w:val="single" w:sz="4" w:space="0" w:color="auto"/>
              <w:bottom w:val="single" w:sz="4" w:space="0" w:color="auto"/>
              <w:right w:val="single" w:sz="4" w:space="0" w:color="auto"/>
            </w:tcBorders>
            <w:vAlign w:val="center"/>
          </w:tcPr>
          <w:p w14:paraId="5F3C7F06" w14:textId="3B69A4A2" w:rsidR="00C97B72" w:rsidRPr="00C97B72" w:rsidRDefault="00C97B72" w:rsidP="00816B3B">
            <w:pPr>
              <w:spacing w:before="0"/>
              <w:jc w:val="center"/>
              <w:rPr>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14:paraId="2EE1ED49" w14:textId="5EDDC0FA" w:rsidR="00C97B72" w:rsidRPr="00C97B72" w:rsidRDefault="00C97B72" w:rsidP="00816B3B">
            <w:pPr>
              <w:spacing w:before="0"/>
              <w:jc w:val="center"/>
              <w:rPr>
                <w:sz w:val="18"/>
                <w:szCs w:val="18"/>
                <w:lang w:val="es-UY"/>
              </w:rPr>
            </w:pPr>
          </w:p>
        </w:tc>
        <w:tc>
          <w:tcPr>
            <w:tcW w:w="540" w:type="dxa"/>
            <w:tcBorders>
              <w:top w:val="single" w:sz="4" w:space="0" w:color="auto"/>
              <w:left w:val="single" w:sz="4" w:space="0" w:color="auto"/>
              <w:bottom w:val="single" w:sz="4" w:space="0" w:color="auto"/>
              <w:right w:val="single" w:sz="4" w:space="0" w:color="auto"/>
            </w:tcBorders>
            <w:vAlign w:val="center"/>
          </w:tcPr>
          <w:p w14:paraId="2C58D6C6" w14:textId="7C4126C3" w:rsidR="00C97B72" w:rsidRPr="00C97B72" w:rsidRDefault="00C97B72" w:rsidP="00816B3B">
            <w:pPr>
              <w:spacing w:before="0"/>
              <w:jc w:val="center"/>
              <w:rPr>
                <w:sz w:val="18"/>
                <w:szCs w:val="18"/>
                <w:lang w:val="es-UY"/>
              </w:rPr>
            </w:pPr>
          </w:p>
        </w:tc>
        <w:tc>
          <w:tcPr>
            <w:tcW w:w="540" w:type="dxa"/>
            <w:tcBorders>
              <w:top w:val="single" w:sz="4" w:space="0" w:color="auto"/>
              <w:left w:val="single" w:sz="4" w:space="0" w:color="auto"/>
              <w:bottom w:val="single" w:sz="4" w:space="0" w:color="auto"/>
              <w:right w:val="single" w:sz="4" w:space="0" w:color="auto"/>
            </w:tcBorders>
            <w:vAlign w:val="center"/>
          </w:tcPr>
          <w:p w14:paraId="673427D2" w14:textId="6A78EEEA" w:rsidR="00C97B72" w:rsidRPr="00C97B72" w:rsidRDefault="00C97B72" w:rsidP="00816B3B">
            <w:pPr>
              <w:spacing w:before="0"/>
              <w:jc w:val="center"/>
              <w:rPr>
                <w:sz w:val="18"/>
                <w:szCs w:val="18"/>
                <w:lang w:val="es-UY"/>
              </w:rPr>
            </w:pPr>
          </w:p>
        </w:tc>
        <w:tc>
          <w:tcPr>
            <w:tcW w:w="450" w:type="dxa"/>
            <w:tcBorders>
              <w:top w:val="single" w:sz="4" w:space="0" w:color="auto"/>
              <w:left w:val="single" w:sz="4" w:space="0" w:color="auto"/>
              <w:bottom w:val="single" w:sz="4" w:space="0" w:color="auto"/>
              <w:right w:val="single" w:sz="4" w:space="0" w:color="auto"/>
            </w:tcBorders>
            <w:vAlign w:val="center"/>
          </w:tcPr>
          <w:p w14:paraId="56E87E7A" w14:textId="3C726C63" w:rsidR="00C97B72" w:rsidRPr="00C97B72" w:rsidRDefault="00C97B72" w:rsidP="00816B3B">
            <w:pPr>
              <w:spacing w:before="0"/>
              <w:jc w:val="center"/>
              <w:rPr>
                <w:sz w:val="18"/>
                <w:szCs w:val="18"/>
                <w:lang w:val="es-UY"/>
              </w:rPr>
            </w:pPr>
          </w:p>
        </w:tc>
        <w:tc>
          <w:tcPr>
            <w:tcW w:w="450" w:type="dxa"/>
            <w:tcBorders>
              <w:top w:val="single" w:sz="4" w:space="0" w:color="auto"/>
              <w:left w:val="single" w:sz="4" w:space="0" w:color="auto"/>
              <w:bottom w:val="single" w:sz="4" w:space="0" w:color="auto"/>
              <w:right w:val="single" w:sz="4" w:space="0" w:color="auto"/>
            </w:tcBorders>
            <w:vAlign w:val="center"/>
          </w:tcPr>
          <w:p w14:paraId="3048EA55" w14:textId="0CB4E297" w:rsidR="00C97B72" w:rsidRPr="00C97B72" w:rsidRDefault="00C97B72" w:rsidP="00816B3B">
            <w:pPr>
              <w:spacing w:before="0"/>
              <w:jc w:val="center"/>
              <w:rPr>
                <w:sz w:val="18"/>
                <w:szCs w:val="18"/>
                <w:lang w:val="es-UY"/>
              </w:rPr>
            </w:pPr>
          </w:p>
        </w:tc>
        <w:tc>
          <w:tcPr>
            <w:tcW w:w="450" w:type="dxa"/>
            <w:tcBorders>
              <w:top w:val="single" w:sz="4" w:space="0" w:color="auto"/>
              <w:left w:val="single" w:sz="4" w:space="0" w:color="auto"/>
              <w:bottom w:val="single" w:sz="4" w:space="0" w:color="auto"/>
              <w:right w:val="single" w:sz="4" w:space="0" w:color="auto"/>
            </w:tcBorders>
            <w:vAlign w:val="center"/>
          </w:tcPr>
          <w:p w14:paraId="78529AD0" w14:textId="12657F6B" w:rsidR="00C97B72" w:rsidRPr="00C97B72" w:rsidRDefault="00C97B72" w:rsidP="00816B3B">
            <w:pPr>
              <w:spacing w:before="0"/>
              <w:jc w:val="center"/>
              <w:rPr>
                <w:sz w:val="18"/>
                <w:szCs w:val="18"/>
                <w:lang w:val="es-UY"/>
              </w:rPr>
            </w:pPr>
          </w:p>
        </w:tc>
        <w:tc>
          <w:tcPr>
            <w:tcW w:w="540" w:type="dxa"/>
            <w:tcBorders>
              <w:top w:val="single" w:sz="4" w:space="0" w:color="auto"/>
              <w:left w:val="single" w:sz="4" w:space="0" w:color="auto"/>
              <w:bottom w:val="single" w:sz="4" w:space="0" w:color="auto"/>
              <w:right w:val="single" w:sz="4" w:space="0" w:color="auto"/>
            </w:tcBorders>
            <w:vAlign w:val="center"/>
          </w:tcPr>
          <w:p w14:paraId="140A18E6" w14:textId="5AD5E710" w:rsidR="00C97B72" w:rsidRPr="00C97B72" w:rsidRDefault="00C97B72" w:rsidP="00816B3B">
            <w:pPr>
              <w:spacing w:before="0"/>
              <w:jc w:val="center"/>
              <w:rPr>
                <w:sz w:val="18"/>
                <w:szCs w:val="18"/>
                <w:lang w:val="es-UY"/>
              </w:rPr>
            </w:pPr>
          </w:p>
        </w:tc>
        <w:tc>
          <w:tcPr>
            <w:tcW w:w="2160" w:type="dxa"/>
            <w:tcBorders>
              <w:top w:val="single" w:sz="4" w:space="0" w:color="auto"/>
              <w:left w:val="single" w:sz="4" w:space="0" w:color="auto"/>
              <w:bottom w:val="single" w:sz="4" w:space="0" w:color="auto"/>
              <w:right w:val="single" w:sz="4" w:space="0" w:color="auto"/>
            </w:tcBorders>
            <w:vAlign w:val="center"/>
          </w:tcPr>
          <w:p w14:paraId="6269E248" w14:textId="5B0E3DAF" w:rsidR="00C97B72" w:rsidRPr="00C97B72" w:rsidRDefault="00C97B72" w:rsidP="00816B3B">
            <w:pPr>
              <w:spacing w:before="0"/>
              <w:rPr>
                <w:sz w:val="18"/>
                <w:szCs w:val="18"/>
                <w:lang w:val="es-UY"/>
              </w:rPr>
            </w:pPr>
          </w:p>
        </w:tc>
      </w:tr>
      <w:tr w:rsidR="00BB23E5" w:rsidRPr="00C97B72" w14:paraId="5A3112A6"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03CC9341" w14:textId="77777777" w:rsidR="00C97B72" w:rsidRPr="00C97B72" w:rsidRDefault="00C97B72" w:rsidP="00816B3B">
            <w:pPr>
              <w:pStyle w:val="ListParagraph"/>
              <w:numPr>
                <w:ilvl w:val="0"/>
                <w:numId w:val="35"/>
              </w:numPr>
              <w:spacing w:before="0"/>
              <w:ind w:left="270" w:hanging="270"/>
              <w:jc w:val="left"/>
              <w:rPr>
                <w:sz w:val="18"/>
                <w:szCs w:val="18"/>
                <w:lang w:val="es-ES_tradnl"/>
              </w:rPr>
            </w:pPr>
            <w:r w:rsidRPr="00C97B72">
              <w:rPr>
                <w:sz w:val="18"/>
                <w:szCs w:val="18"/>
                <w:lang w:val="es-ES_tradnl"/>
              </w:rPr>
              <w:t>Número de sistema de estadística pesquera</w:t>
            </w:r>
          </w:p>
        </w:tc>
        <w:tc>
          <w:tcPr>
            <w:tcW w:w="1172" w:type="dxa"/>
            <w:tcBorders>
              <w:top w:val="single" w:sz="4" w:space="0" w:color="auto"/>
              <w:left w:val="single" w:sz="4" w:space="0" w:color="auto"/>
              <w:bottom w:val="single" w:sz="4" w:space="0" w:color="auto"/>
              <w:right w:val="single" w:sz="4" w:space="0" w:color="auto"/>
            </w:tcBorders>
            <w:vAlign w:val="center"/>
          </w:tcPr>
          <w:p w14:paraId="5A39C8BA" w14:textId="77777777" w:rsidR="00C97B72" w:rsidRPr="00C97B72" w:rsidRDefault="00C97B72" w:rsidP="00816B3B">
            <w:pPr>
              <w:spacing w:before="0"/>
              <w:jc w:val="center"/>
              <w:rPr>
                <w:color w:val="000000"/>
                <w:sz w:val="18"/>
                <w:szCs w:val="18"/>
              </w:rPr>
            </w:pPr>
            <w:r w:rsidRPr="00C97B72">
              <w:rPr>
                <w:color w:val="000000"/>
                <w:sz w:val="18"/>
                <w:szCs w:val="18"/>
              </w:rPr>
              <w:t>Sistema</w:t>
            </w:r>
          </w:p>
        </w:tc>
        <w:tc>
          <w:tcPr>
            <w:tcW w:w="540" w:type="dxa"/>
            <w:tcBorders>
              <w:top w:val="single" w:sz="4" w:space="0" w:color="auto"/>
              <w:left w:val="single" w:sz="4" w:space="0" w:color="auto"/>
              <w:bottom w:val="single" w:sz="4" w:space="0" w:color="auto"/>
              <w:right w:val="single" w:sz="4" w:space="0" w:color="auto"/>
            </w:tcBorders>
            <w:vAlign w:val="center"/>
          </w:tcPr>
          <w:p w14:paraId="75D67689"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3F8E6659" w14:textId="77777777" w:rsidR="00C97B72" w:rsidRPr="00C97B72" w:rsidRDefault="00C97B72" w:rsidP="00816B3B">
            <w:pPr>
              <w:spacing w:before="0"/>
              <w:jc w:val="center"/>
              <w:rPr>
                <w:sz w:val="18"/>
                <w:szCs w:val="18"/>
                <w:lang w:val="es-UY"/>
              </w:rPr>
            </w:pPr>
            <w:r w:rsidRPr="00C97B72">
              <w:rPr>
                <w:sz w:val="18"/>
                <w:szCs w:val="18"/>
                <w:lang w:val="es-UY"/>
              </w:rPr>
              <w:t>1</w:t>
            </w:r>
          </w:p>
        </w:tc>
        <w:tc>
          <w:tcPr>
            <w:tcW w:w="540" w:type="dxa"/>
            <w:tcBorders>
              <w:top w:val="single" w:sz="4" w:space="0" w:color="auto"/>
              <w:left w:val="single" w:sz="4" w:space="0" w:color="auto"/>
              <w:bottom w:val="single" w:sz="4" w:space="0" w:color="auto"/>
              <w:right w:val="single" w:sz="4" w:space="0" w:color="auto"/>
            </w:tcBorders>
            <w:vAlign w:val="center"/>
          </w:tcPr>
          <w:p w14:paraId="54F9327B"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771283D4"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1C58527B"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0360F2E8"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395366EE" w14:textId="77777777" w:rsidR="00C97B72" w:rsidRPr="00C97B72" w:rsidRDefault="00C97B72" w:rsidP="00816B3B">
            <w:pPr>
              <w:spacing w:before="0"/>
              <w:jc w:val="center"/>
              <w:rPr>
                <w:sz w:val="18"/>
                <w:szCs w:val="18"/>
                <w:lang w:val="es-UY"/>
              </w:rPr>
            </w:pPr>
            <w:r w:rsidRPr="00C97B72">
              <w:rPr>
                <w:sz w:val="18"/>
                <w:szCs w:val="18"/>
                <w:lang w:val="es-UY"/>
              </w:rPr>
              <w:t>1</w:t>
            </w:r>
          </w:p>
        </w:tc>
        <w:tc>
          <w:tcPr>
            <w:tcW w:w="2160" w:type="dxa"/>
            <w:tcBorders>
              <w:top w:val="single" w:sz="4" w:space="0" w:color="auto"/>
              <w:left w:val="single" w:sz="4" w:space="0" w:color="auto"/>
              <w:bottom w:val="single" w:sz="4" w:space="0" w:color="auto"/>
              <w:right w:val="single" w:sz="4" w:space="0" w:color="auto"/>
            </w:tcBorders>
            <w:vAlign w:val="center"/>
          </w:tcPr>
          <w:p w14:paraId="4FA07839" w14:textId="77777777" w:rsidR="00C97B72" w:rsidRPr="00C97B72" w:rsidRDefault="00C97B72" w:rsidP="00816B3B">
            <w:pPr>
              <w:spacing w:before="0"/>
              <w:rPr>
                <w:sz w:val="18"/>
                <w:szCs w:val="18"/>
                <w:lang w:val="es-UY"/>
              </w:rPr>
            </w:pPr>
            <w:r w:rsidRPr="00C97B72">
              <w:rPr>
                <w:sz w:val="18"/>
                <w:szCs w:val="18"/>
                <w:lang w:val="es-UY"/>
              </w:rPr>
              <w:t>Informes de ejecución del programa</w:t>
            </w:r>
          </w:p>
        </w:tc>
      </w:tr>
      <w:tr w:rsidR="00BB23E5" w:rsidRPr="00C97B72" w14:paraId="002F6C2F"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27A55262" w14:textId="77777777" w:rsidR="00C97B72" w:rsidRPr="00C97B72" w:rsidRDefault="00C97B72" w:rsidP="00816B3B">
            <w:pPr>
              <w:pStyle w:val="ListParagraph"/>
              <w:numPr>
                <w:ilvl w:val="0"/>
                <w:numId w:val="35"/>
              </w:numPr>
              <w:spacing w:before="0"/>
              <w:ind w:left="270" w:hanging="270"/>
              <w:jc w:val="left"/>
              <w:rPr>
                <w:sz w:val="18"/>
                <w:szCs w:val="18"/>
                <w:lang w:val="es-ES_tradnl"/>
              </w:rPr>
            </w:pPr>
            <w:r w:rsidRPr="00C97B72">
              <w:rPr>
                <w:sz w:val="18"/>
                <w:szCs w:val="18"/>
                <w:lang w:val="es-ES_tradnl"/>
              </w:rPr>
              <w:t>Número de sistema de registro nacional de pesca y acuicultura</w:t>
            </w:r>
          </w:p>
        </w:tc>
        <w:tc>
          <w:tcPr>
            <w:tcW w:w="1172" w:type="dxa"/>
            <w:tcBorders>
              <w:top w:val="single" w:sz="4" w:space="0" w:color="auto"/>
              <w:left w:val="single" w:sz="4" w:space="0" w:color="auto"/>
              <w:bottom w:val="single" w:sz="4" w:space="0" w:color="auto"/>
              <w:right w:val="single" w:sz="4" w:space="0" w:color="auto"/>
            </w:tcBorders>
            <w:vAlign w:val="center"/>
          </w:tcPr>
          <w:p w14:paraId="0C56388B" w14:textId="77777777" w:rsidR="00C97B72" w:rsidRPr="00C97B72" w:rsidRDefault="00C97B72" w:rsidP="00816B3B">
            <w:pPr>
              <w:spacing w:before="0"/>
              <w:jc w:val="center"/>
              <w:rPr>
                <w:color w:val="000000"/>
                <w:sz w:val="18"/>
                <w:szCs w:val="18"/>
              </w:rPr>
            </w:pPr>
            <w:r w:rsidRPr="00C97B72">
              <w:rPr>
                <w:color w:val="000000"/>
                <w:sz w:val="18"/>
                <w:szCs w:val="18"/>
              </w:rPr>
              <w:t>Sistema</w:t>
            </w:r>
          </w:p>
        </w:tc>
        <w:tc>
          <w:tcPr>
            <w:tcW w:w="540" w:type="dxa"/>
            <w:tcBorders>
              <w:top w:val="single" w:sz="4" w:space="0" w:color="auto"/>
              <w:left w:val="single" w:sz="4" w:space="0" w:color="auto"/>
              <w:bottom w:val="single" w:sz="4" w:space="0" w:color="auto"/>
              <w:right w:val="single" w:sz="4" w:space="0" w:color="auto"/>
            </w:tcBorders>
            <w:vAlign w:val="center"/>
          </w:tcPr>
          <w:p w14:paraId="62C3F626"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12C6FEDA" w14:textId="77777777" w:rsidR="00C97B72" w:rsidRPr="00C97B72" w:rsidRDefault="00C97B72" w:rsidP="00816B3B">
            <w:pPr>
              <w:spacing w:before="0"/>
              <w:jc w:val="center"/>
              <w:rPr>
                <w:sz w:val="18"/>
                <w:szCs w:val="18"/>
                <w:lang w:val="es-UY"/>
              </w:rPr>
            </w:pPr>
            <w:r w:rsidRPr="00C97B72">
              <w:rPr>
                <w:sz w:val="18"/>
                <w:szCs w:val="18"/>
                <w:lang w:val="es-UY"/>
              </w:rPr>
              <w:t>1</w:t>
            </w:r>
          </w:p>
        </w:tc>
        <w:tc>
          <w:tcPr>
            <w:tcW w:w="540" w:type="dxa"/>
            <w:tcBorders>
              <w:top w:val="single" w:sz="4" w:space="0" w:color="auto"/>
              <w:left w:val="single" w:sz="4" w:space="0" w:color="auto"/>
              <w:bottom w:val="single" w:sz="4" w:space="0" w:color="auto"/>
              <w:right w:val="single" w:sz="4" w:space="0" w:color="auto"/>
            </w:tcBorders>
            <w:vAlign w:val="center"/>
          </w:tcPr>
          <w:p w14:paraId="772BAC03"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6172DF7B"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0EF45D36"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4FA886D4"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0F496549" w14:textId="77777777" w:rsidR="00C97B72" w:rsidRPr="00C97B72" w:rsidRDefault="00C97B72" w:rsidP="00816B3B">
            <w:pPr>
              <w:spacing w:before="0"/>
              <w:jc w:val="center"/>
              <w:rPr>
                <w:sz w:val="18"/>
                <w:szCs w:val="18"/>
                <w:lang w:val="es-UY"/>
              </w:rPr>
            </w:pPr>
            <w:r w:rsidRPr="00C97B72">
              <w:rPr>
                <w:sz w:val="18"/>
                <w:szCs w:val="18"/>
                <w:lang w:val="es-UY"/>
              </w:rPr>
              <w:t>1</w:t>
            </w:r>
          </w:p>
        </w:tc>
        <w:tc>
          <w:tcPr>
            <w:tcW w:w="2160" w:type="dxa"/>
            <w:tcBorders>
              <w:top w:val="single" w:sz="4" w:space="0" w:color="auto"/>
              <w:left w:val="single" w:sz="4" w:space="0" w:color="auto"/>
              <w:bottom w:val="single" w:sz="4" w:space="0" w:color="auto"/>
              <w:right w:val="single" w:sz="4" w:space="0" w:color="auto"/>
            </w:tcBorders>
            <w:vAlign w:val="center"/>
          </w:tcPr>
          <w:p w14:paraId="0DBF5513" w14:textId="77777777" w:rsidR="00C97B72" w:rsidRPr="00C97B72" w:rsidRDefault="00C97B72" w:rsidP="00816B3B">
            <w:pPr>
              <w:spacing w:before="0"/>
              <w:rPr>
                <w:sz w:val="18"/>
                <w:szCs w:val="18"/>
                <w:lang w:val="es-UY"/>
              </w:rPr>
            </w:pPr>
            <w:r w:rsidRPr="00C97B72">
              <w:rPr>
                <w:sz w:val="18"/>
                <w:szCs w:val="18"/>
                <w:lang w:val="es-UY"/>
              </w:rPr>
              <w:t>Informes de ejecución del programa</w:t>
            </w:r>
          </w:p>
        </w:tc>
      </w:tr>
      <w:tr w:rsidR="00A81595" w:rsidRPr="00C97B72" w14:paraId="435581C6" w14:textId="77777777" w:rsidTr="00816B3B">
        <w:trPr>
          <w:cantSplit/>
          <w:trHeight w:val="184"/>
        </w:trPr>
        <w:tc>
          <w:tcPr>
            <w:tcW w:w="3508" w:type="dxa"/>
            <w:tcBorders>
              <w:top w:val="single" w:sz="4" w:space="0" w:color="auto"/>
              <w:left w:val="single" w:sz="4" w:space="0" w:color="auto"/>
              <w:bottom w:val="single" w:sz="4" w:space="0" w:color="auto"/>
              <w:right w:val="single" w:sz="4" w:space="0" w:color="auto"/>
            </w:tcBorders>
            <w:vAlign w:val="center"/>
          </w:tcPr>
          <w:p w14:paraId="3655F5FB" w14:textId="5D5DC62E" w:rsidR="00C97B72" w:rsidRPr="00F622E3" w:rsidRDefault="00C97B72" w:rsidP="00982A1E">
            <w:pPr>
              <w:pStyle w:val="ListParagraph"/>
              <w:numPr>
                <w:ilvl w:val="0"/>
                <w:numId w:val="35"/>
              </w:numPr>
              <w:spacing w:before="0"/>
              <w:ind w:left="270" w:hanging="270"/>
              <w:jc w:val="left"/>
              <w:rPr>
                <w:sz w:val="18"/>
                <w:lang w:val="es-ES_tradnl"/>
              </w:rPr>
            </w:pPr>
            <w:r w:rsidRPr="00C97B72">
              <w:rPr>
                <w:sz w:val="18"/>
                <w:szCs w:val="18"/>
                <w:lang w:val="es-ES_tradnl"/>
              </w:rPr>
              <w:t>Número de sistema</w:t>
            </w:r>
            <w:r w:rsidRPr="00982A1E">
              <w:rPr>
                <w:sz w:val="18"/>
                <w:lang w:val="es-ES_tradnl"/>
              </w:rPr>
              <w:t xml:space="preserve"> de monitoreo</w:t>
            </w:r>
            <w:r w:rsidRPr="00C97B72">
              <w:rPr>
                <w:sz w:val="18"/>
                <w:szCs w:val="18"/>
                <w:lang w:val="es-ES_tradnl"/>
              </w:rPr>
              <w:t>, control</w:t>
            </w:r>
            <w:r w:rsidRPr="00982A1E">
              <w:rPr>
                <w:sz w:val="18"/>
                <w:lang w:val="es-ES_tradnl"/>
              </w:rPr>
              <w:t xml:space="preserve"> y </w:t>
            </w:r>
            <w:r w:rsidRPr="00C97B72">
              <w:rPr>
                <w:sz w:val="18"/>
                <w:szCs w:val="18"/>
                <w:lang w:val="es-ES_tradnl"/>
              </w:rPr>
              <w:t>vigilancia de pesca y acuicultura</w:t>
            </w:r>
          </w:p>
        </w:tc>
        <w:tc>
          <w:tcPr>
            <w:tcW w:w="1172" w:type="dxa"/>
            <w:tcBorders>
              <w:top w:val="single" w:sz="4" w:space="0" w:color="auto"/>
              <w:left w:val="single" w:sz="4" w:space="0" w:color="auto"/>
              <w:bottom w:val="single" w:sz="4" w:space="0" w:color="auto"/>
              <w:right w:val="single" w:sz="4" w:space="0" w:color="auto"/>
            </w:tcBorders>
            <w:vAlign w:val="center"/>
          </w:tcPr>
          <w:p w14:paraId="1ACA6CCA" w14:textId="7188C38D" w:rsidR="00C97B72" w:rsidRPr="00982A1E" w:rsidRDefault="00C97B72" w:rsidP="00982A1E">
            <w:pPr>
              <w:spacing w:before="0"/>
              <w:jc w:val="center"/>
              <w:rPr>
                <w:color w:val="000000"/>
                <w:sz w:val="18"/>
              </w:rPr>
            </w:pPr>
            <w:r w:rsidRPr="00C97B72">
              <w:rPr>
                <w:color w:val="000000"/>
                <w:sz w:val="18"/>
                <w:szCs w:val="18"/>
              </w:rPr>
              <w:t>Sistema</w:t>
            </w:r>
          </w:p>
        </w:tc>
        <w:tc>
          <w:tcPr>
            <w:tcW w:w="540" w:type="dxa"/>
            <w:tcBorders>
              <w:top w:val="single" w:sz="4" w:space="0" w:color="auto"/>
              <w:left w:val="single" w:sz="4" w:space="0" w:color="auto"/>
              <w:bottom w:val="single" w:sz="4" w:space="0" w:color="auto"/>
              <w:right w:val="single" w:sz="4" w:space="0" w:color="auto"/>
            </w:tcBorders>
            <w:vAlign w:val="center"/>
          </w:tcPr>
          <w:p w14:paraId="62BC31A3" w14:textId="26C2E731" w:rsidR="00C97B72" w:rsidRPr="00982A1E" w:rsidRDefault="00C97B72" w:rsidP="00982A1E">
            <w:pPr>
              <w:spacing w:before="0"/>
              <w:jc w:val="center"/>
              <w:rPr>
                <w:sz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68C91327" w14:textId="3F9E98FC" w:rsidR="00C97B72" w:rsidRPr="00982A1E" w:rsidRDefault="00C97B72" w:rsidP="00982A1E">
            <w:pPr>
              <w:spacing w:before="0"/>
              <w:jc w:val="center"/>
              <w:rPr>
                <w:sz w:val="18"/>
                <w:lang w:val="es-UY"/>
              </w:rPr>
            </w:pPr>
            <w:r w:rsidRPr="00C97B72">
              <w:rPr>
                <w:sz w:val="18"/>
                <w:szCs w:val="18"/>
                <w:lang w:val="es-UY"/>
              </w:rPr>
              <w:t>1</w:t>
            </w:r>
          </w:p>
        </w:tc>
        <w:tc>
          <w:tcPr>
            <w:tcW w:w="540" w:type="dxa"/>
            <w:tcBorders>
              <w:top w:val="single" w:sz="4" w:space="0" w:color="auto"/>
              <w:left w:val="single" w:sz="4" w:space="0" w:color="auto"/>
              <w:bottom w:val="single" w:sz="4" w:space="0" w:color="auto"/>
              <w:right w:val="single" w:sz="4" w:space="0" w:color="auto"/>
            </w:tcBorders>
            <w:vAlign w:val="center"/>
          </w:tcPr>
          <w:p w14:paraId="04F0B050"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20A8AB2E"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01BBCD72"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450" w:type="dxa"/>
            <w:tcBorders>
              <w:top w:val="single" w:sz="4" w:space="0" w:color="auto"/>
              <w:left w:val="single" w:sz="4" w:space="0" w:color="auto"/>
              <w:bottom w:val="single" w:sz="4" w:space="0" w:color="auto"/>
              <w:right w:val="single" w:sz="4" w:space="0" w:color="auto"/>
            </w:tcBorders>
            <w:vAlign w:val="center"/>
          </w:tcPr>
          <w:p w14:paraId="1CC537B4" w14:textId="77777777" w:rsidR="00C97B72" w:rsidRPr="00C97B72" w:rsidRDefault="00C97B72" w:rsidP="00816B3B">
            <w:pPr>
              <w:spacing w:before="0"/>
              <w:jc w:val="center"/>
              <w:rPr>
                <w:sz w:val="18"/>
                <w:szCs w:val="18"/>
                <w:lang w:val="es-UY"/>
              </w:rPr>
            </w:pPr>
            <w:r w:rsidRPr="00C97B72">
              <w:rPr>
                <w:sz w:val="18"/>
                <w:szCs w:val="18"/>
                <w:lang w:val="es-UY"/>
              </w:rPr>
              <w:t>0</w:t>
            </w:r>
          </w:p>
        </w:tc>
        <w:tc>
          <w:tcPr>
            <w:tcW w:w="540" w:type="dxa"/>
            <w:tcBorders>
              <w:top w:val="single" w:sz="4" w:space="0" w:color="auto"/>
              <w:left w:val="single" w:sz="4" w:space="0" w:color="auto"/>
              <w:bottom w:val="single" w:sz="4" w:space="0" w:color="auto"/>
              <w:right w:val="single" w:sz="4" w:space="0" w:color="auto"/>
            </w:tcBorders>
            <w:vAlign w:val="center"/>
          </w:tcPr>
          <w:p w14:paraId="54F6AB17" w14:textId="77777777" w:rsidR="00C97B72" w:rsidRPr="00C97B72" w:rsidRDefault="00C97B72" w:rsidP="00816B3B">
            <w:pPr>
              <w:spacing w:before="0"/>
              <w:jc w:val="center"/>
              <w:rPr>
                <w:sz w:val="18"/>
                <w:szCs w:val="18"/>
                <w:lang w:val="es-UY"/>
              </w:rPr>
            </w:pPr>
            <w:r w:rsidRPr="00C97B72">
              <w:rPr>
                <w:sz w:val="18"/>
                <w:szCs w:val="18"/>
                <w:lang w:val="es-UY"/>
              </w:rPr>
              <w:t>1</w:t>
            </w:r>
          </w:p>
        </w:tc>
        <w:tc>
          <w:tcPr>
            <w:tcW w:w="2160" w:type="dxa"/>
            <w:tcBorders>
              <w:top w:val="single" w:sz="4" w:space="0" w:color="auto"/>
              <w:left w:val="single" w:sz="4" w:space="0" w:color="auto"/>
              <w:bottom w:val="single" w:sz="4" w:space="0" w:color="auto"/>
              <w:right w:val="single" w:sz="4" w:space="0" w:color="auto"/>
            </w:tcBorders>
            <w:vAlign w:val="center"/>
          </w:tcPr>
          <w:p w14:paraId="160E72C4" w14:textId="77777777" w:rsidR="00C97B72" w:rsidRPr="00C97B72" w:rsidRDefault="00C97B72" w:rsidP="00816B3B">
            <w:pPr>
              <w:spacing w:before="0"/>
              <w:rPr>
                <w:sz w:val="18"/>
                <w:szCs w:val="18"/>
                <w:lang w:val="es-UY"/>
              </w:rPr>
            </w:pPr>
            <w:r w:rsidRPr="00C97B72">
              <w:rPr>
                <w:sz w:val="18"/>
                <w:szCs w:val="18"/>
                <w:lang w:val="es-UY"/>
              </w:rPr>
              <w:t>Informes de ejecución del programa</w:t>
            </w:r>
          </w:p>
        </w:tc>
      </w:tr>
    </w:tbl>
    <w:p w14:paraId="42606817" w14:textId="77777777" w:rsidR="00C97B72" w:rsidRPr="00272D32" w:rsidRDefault="00C97B72" w:rsidP="00C97B72">
      <w:pPr>
        <w:rPr>
          <w:sz w:val="20"/>
          <w:lang w:val="es-ES"/>
        </w:rPr>
      </w:pPr>
    </w:p>
    <w:p w14:paraId="0786080F" w14:textId="7F187A45" w:rsidR="008B74D3" w:rsidRPr="00982A1E" w:rsidRDefault="00F15428" w:rsidP="00982A1E">
      <w:pPr>
        <w:keepNext/>
        <w:keepLines/>
        <w:jc w:val="center"/>
        <w:rPr>
          <w:rFonts w:ascii="Times New Roman Bold" w:hAnsi="Times New Roman Bold"/>
          <w:b/>
          <w:smallCaps/>
          <w:sz w:val="22"/>
        </w:rPr>
      </w:pPr>
      <w:r w:rsidRPr="00982A1E">
        <w:rPr>
          <w:rFonts w:ascii="Times New Roman Bold" w:hAnsi="Times New Roman Bold"/>
          <w:b/>
          <w:smallCaps/>
          <w:sz w:val="22"/>
        </w:rPr>
        <w:lastRenderedPageBreak/>
        <w:t>Tabla 2</w:t>
      </w:r>
      <w:r>
        <w:rPr>
          <w:rFonts w:ascii="Times New Roman Bold" w:hAnsi="Times New Roman Bold"/>
          <w:b/>
          <w:smallCaps/>
          <w:sz w:val="22"/>
          <w:szCs w:val="22"/>
        </w:rPr>
        <w:t xml:space="preserve">   </w:t>
      </w:r>
      <w:r w:rsidRPr="00982A1E">
        <w:rPr>
          <w:rFonts w:ascii="Times New Roman Bold" w:hAnsi="Times New Roman Bold"/>
          <w:b/>
          <w:smallCaps/>
          <w:sz w:val="22"/>
        </w:rPr>
        <w:t xml:space="preserve"> </w:t>
      </w:r>
      <w:r w:rsidR="008B74D3" w:rsidRPr="00982A1E">
        <w:rPr>
          <w:rFonts w:ascii="Times New Roman Bold" w:hAnsi="Times New Roman Bold"/>
          <w:b/>
          <w:smallCaps/>
          <w:sz w:val="22"/>
        </w:rPr>
        <w:t xml:space="preserve">Indicadores de </w:t>
      </w:r>
      <w:r w:rsidR="008B74D3" w:rsidRPr="00CD4F5C">
        <w:rPr>
          <w:rFonts w:ascii="Times New Roman Bold" w:hAnsi="Times New Roman Bold"/>
          <w:b/>
          <w:smallCaps/>
          <w:sz w:val="22"/>
          <w:szCs w:val="22"/>
        </w:rPr>
        <w:t>Resultado</w:t>
      </w:r>
    </w:p>
    <w:p w14:paraId="3BEFE8CA" w14:textId="77777777" w:rsidR="00F15428" w:rsidRPr="00CD4F5C" w:rsidRDefault="00F15428" w:rsidP="008B74D3">
      <w:pPr>
        <w:keepNext/>
        <w:keepLines/>
        <w:jc w:val="center"/>
        <w:rPr>
          <w:rFonts w:ascii="Times New Roman Bold" w:hAnsi="Times New Roman Bold"/>
          <w:b/>
          <w:smallCaps/>
          <w:sz w:val="22"/>
          <w:szCs w:val="22"/>
        </w:rPr>
      </w:pPr>
    </w:p>
    <w:tbl>
      <w:tblPr>
        <w:tblW w:w="10710"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
        <w:gridCol w:w="3917"/>
        <w:gridCol w:w="1248"/>
        <w:gridCol w:w="803"/>
        <w:gridCol w:w="4629"/>
        <w:gridCol w:w="107"/>
      </w:tblGrid>
      <w:tr w:rsidR="00A81595" w:rsidRPr="00C97B72" w14:paraId="4B2C081B" w14:textId="77777777" w:rsidTr="00816B3B">
        <w:trPr>
          <w:gridBefore w:val="1"/>
          <w:cantSplit/>
          <w:trHeight w:val="184"/>
          <w:tblHeader/>
        </w:trPr>
        <w:tc>
          <w:tcPr>
            <w:tcW w:w="3960" w:type="dxa"/>
            <w:tcBorders>
              <w:bottom w:val="single" w:sz="4" w:space="0" w:color="auto"/>
            </w:tcBorders>
            <w:shd w:val="clear" w:color="auto" w:fill="8DB3E2" w:themeFill="text2" w:themeFillTint="66"/>
            <w:vAlign w:val="center"/>
          </w:tcPr>
          <w:p w14:paraId="7DC24FD7" w14:textId="69179530" w:rsidR="008B74D3" w:rsidRPr="00982A1E" w:rsidRDefault="008B74D3" w:rsidP="00982A1E">
            <w:pPr>
              <w:keepNext/>
              <w:keepLines/>
              <w:spacing w:before="0"/>
              <w:jc w:val="center"/>
              <w:rPr>
                <w:b/>
                <w:color w:val="000000"/>
                <w:sz w:val="18"/>
                <w:lang w:val="es-ES"/>
              </w:rPr>
            </w:pPr>
            <w:r w:rsidRPr="00C97B72">
              <w:rPr>
                <w:b/>
                <w:bCs/>
                <w:color w:val="000000"/>
                <w:sz w:val="18"/>
                <w:szCs w:val="18"/>
                <w:lang w:val="es-ES"/>
              </w:rPr>
              <w:t>Resultados</w:t>
            </w:r>
          </w:p>
        </w:tc>
        <w:tc>
          <w:tcPr>
            <w:tcW w:w="1260" w:type="dxa"/>
            <w:tcBorders>
              <w:bottom w:val="single" w:sz="4" w:space="0" w:color="auto"/>
            </w:tcBorders>
            <w:shd w:val="clear" w:color="auto" w:fill="8DB3E2" w:themeFill="text2" w:themeFillTint="66"/>
            <w:vAlign w:val="center"/>
          </w:tcPr>
          <w:p w14:paraId="227DEFBB" w14:textId="48C33079" w:rsidR="008B74D3" w:rsidRPr="00982A1E" w:rsidRDefault="008B74D3" w:rsidP="00982A1E">
            <w:pPr>
              <w:keepNext/>
              <w:keepLines/>
              <w:spacing w:before="0"/>
              <w:jc w:val="center"/>
              <w:rPr>
                <w:b/>
                <w:color w:val="000000"/>
                <w:sz w:val="18"/>
                <w:lang w:val="es-ES"/>
              </w:rPr>
            </w:pPr>
            <w:r w:rsidRPr="00982A1E">
              <w:rPr>
                <w:b/>
                <w:color w:val="000000"/>
                <w:sz w:val="18"/>
                <w:lang w:val="es-ES"/>
              </w:rPr>
              <w:t xml:space="preserve">Unidad de </w:t>
            </w:r>
            <w:r w:rsidRPr="00C97B72">
              <w:rPr>
                <w:b/>
                <w:bCs/>
                <w:color w:val="000000"/>
                <w:sz w:val="18"/>
                <w:szCs w:val="18"/>
                <w:lang w:val="es-ES"/>
              </w:rPr>
              <w:t>medida</w:t>
            </w:r>
          </w:p>
        </w:tc>
        <w:tc>
          <w:tcPr>
            <w:tcW w:w="810" w:type="dxa"/>
            <w:tcBorders>
              <w:bottom w:val="single" w:sz="4" w:space="0" w:color="auto"/>
            </w:tcBorders>
            <w:shd w:val="clear" w:color="auto" w:fill="8DB3E2" w:themeFill="text2" w:themeFillTint="66"/>
            <w:vAlign w:val="center"/>
          </w:tcPr>
          <w:p w14:paraId="54629FBD" w14:textId="03276A3A" w:rsidR="008B74D3" w:rsidRPr="00982A1E" w:rsidRDefault="008B74D3" w:rsidP="00982A1E">
            <w:pPr>
              <w:keepNext/>
              <w:keepLines/>
              <w:spacing w:before="0"/>
              <w:jc w:val="center"/>
              <w:rPr>
                <w:b/>
                <w:color w:val="000000"/>
                <w:sz w:val="18"/>
                <w:lang w:val="es-ES"/>
              </w:rPr>
            </w:pPr>
            <w:r w:rsidRPr="00982A1E">
              <w:rPr>
                <w:b/>
                <w:color w:val="000000"/>
                <w:sz w:val="18"/>
                <w:lang w:val="es-ES"/>
              </w:rPr>
              <w:t xml:space="preserve">Frecuencia de </w:t>
            </w:r>
            <w:r w:rsidRPr="00C97B72">
              <w:rPr>
                <w:b/>
                <w:bCs/>
                <w:color w:val="000000"/>
                <w:sz w:val="18"/>
                <w:szCs w:val="18"/>
                <w:lang w:val="es-ES"/>
              </w:rPr>
              <w:t xml:space="preserve">Medición </w:t>
            </w:r>
          </w:p>
        </w:tc>
        <w:tc>
          <w:tcPr>
            <w:tcW w:w="4680" w:type="dxa"/>
            <w:gridSpan w:val="2"/>
            <w:tcBorders>
              <w:bottom w:val="single" w:sz="4" w:space="0" w:color="auto"/>
            </w:tcBorders>
            <w:shd w:val="clear" w:color="auto" w:fill="8DB3E2" w:themeFill="text2" w:themeFillTint="66"/>
            <w:vAlign w:val="center"/>
          </w:tcPr>
          <w:p w14:paraId="66970873" w14:textId="1A22E580" w:rsidR="008B74D3" w:rsidRPr="00982A1E" w:rsidRDefault="008B74D3" w:rsidP="00982A1E">
            <w:pPr>
              <w:keepNext/>
              <w:keepLines/>
              <w:spacing w:before="0"/>
              <w:jc w:val="center"/>
              <w:rPr>
                <w:b/>
                <w:color w:val="000000"/>
                <w:sz w:val="18"/>
                <w:lang w:val="es-ES"/>
              </w:rPr>
            </w:pPr>
            <w:r w:rsidRPr="00C97B72">
              <w:rPr>
                <w:b/>
                <w:bCs/>
                <w:color w:val="000000"/>
                <w:sz w:val="18"/>
                <w:szCs w:val="18"/>
                <w:lang w:val="es-ES"/>
              </w:rPr>
              <w:t>Medios de Verificación / Comentarios</w:t>
            </w:r>
          </w:p>
        </w:tc>
      </w:tr>
      <w:tr w:rsidR="008B74D3" w:rsidRPr="00C97B72" w14:paraId="73003C9E" w14:textId="77777777" w:rsidTr="00982A1E">
        <w:trPr>
          <w:gridBefore w:val="1"/>
          <w:cantSplit/>
          <w:trHeight w:val="293"/>
        </w:trPr>
        <w:tc>
          <w:tcPr>
            <w:tcW w:w="10710" w:type="dxa"/>
            <w:gridSpan w:val="5"/>
            <w:vAlign w:val="center"/>
          </w:tcPr>
          <w:p w14:paraId="733FD5F6" w14:textId="77777777" w:rsidR="008B74D3" w:rsidRPr="00982A1E" w:rsidRDefault="008B74D3" w:rsidP="00982A1E">
            <w:pPr>
              <w:keepNext/>
              <w:keepLines/>
              <w:spacing w:before="0"/>
              <w:rPr>
                <w:sz w:val="18"/>
                <w:lang w:val="es-PY"/>
              </w:rPr>
            </w:pPr>
            <w:r w:rsidRPr="00C97B72">
              <w:rPr>
                <w:b/>
                <w:sz w:val="18"/>
                <w:szCs w:val="18"/>
                <w:lang w:val="es-ES"/>
              </w:rPr>
              <w:t xml:space="preserve">Componente 1: </w:t>
            </w:r>
            <w:r w:rsidRPr="00C97B72">
              <w:rPr>
                <w:b/>
                <w:bCs/>
                <w:sz w:val="18"/>
                <w:szCs w:val="18"/>
                <w:lang w:val="es-ES"/>
              </w:rPr>
              <w:t>Desarrollo Productivo para la Competitividad de MIPYMEs</w:t>
            </w:r>
          </w:p>
        </w:tc>
      </w:tr>
      <w:tr w:rsidR="008B74D3" w:rsidRPr="00C97B72" w14:paraId="45C1AAF7" w14:textId="77777777" w:rsidTr="00982A1E">
        <w:trPr>
          <w:gridBefore w:val="1"/>
          <w:cantSplit/>
          <w:trHeight w:val="1241"/>
        </w:trPr>
        <w:tc>
          <w:tcPr>
            <w:tcW w:w="3960" w:type="dxa"/>
          </w:tcPr>
          <w:p w14:paraId="266D7B2B" w14:textId="77777777" w:rsidR="00F3536A" w:rsidRPr="00F3536A" w:rsidRDefault="00F3536A" w:rsidP="00F3536A">
            <w:pPr>
              <w:contextualSpacing/>
              <w:jc w:val="left"/>
              <w:rPr>
                <w:color w:val="000000"/>
                <w:sz w:val="18"/>
                <w:lang w:val="es-ES"/>
              </w:rPr>
            </w:pPr>
            <w:r w:rsidRPr="00F3536A">
              <w:rPr>
                <w:color w:val="000000"/>
                <w:sz w:val="18"/>
                <w:lang w:val="es-ES"/>
              </w:rPr>
              <w:t xml:space="preserve">Cambio del nivel de ingresos de las empresas beneficiarias de </w:t>
            </w:r>
            <w:r w:rsidRPr="00F3536A">
              <w:rPr>
                <w:sz w:val="18"/>
              </w:rPr>
              <w:t xml:space="preserve">cofinanciamientos parciales no reembolsables (o aportes no-rembolsables ANR) </w:t>
            </w:r>
            <w:r w:rsidRPr="00F3536A">
              <w:rPr>
                <w:color w:val="000000"/>
                <w:sz w:val="18"/>
                <w:lang w:val="es-ES"/>
              </w:rPr>
              <w:t>y de iniciativas de articulación</w:t>
            </w:r>
          </w:p>
          <w:p w14:paraId="2501964C" w14:textId="560B3954" w:rsidR="008B74D3" w:rsidRPr="00607BB4" w:rsidRDefault="00F84C15" w:rsidP="00982A1E">
            <w:pPr>
              <w:spacing w:before="0"/>
              <w:rPr>
                <w:color w:val="000000"/>
                <w:sz w:val="18"/>
                <w:szCs w:val="18"/>
              </w:rPr>
            </w:pPr>
            <m:oMathPara>
              <m:oMath>
                <m:f>
                  <m:fPr>
                    <m:ctrlPr>
                      <w:rPr>
                        <w:rFonts w:ascii="Cambria Math" w:hAnsi="Cambria Math"/>
                        <w:i/>
                        <w:sz w:val="18"/>
                        <w:szCs w:val="18"/>
                        <w:lang w:val="es-ES"/>
                      </w:rPr>
                    </m:ctrlPr>
                  </m:fPr>
                  <m:num>
                    <m:sSubSup>
                      <m:sSubSupPr>
                        <m:ctrlPr>
                          <w:rPr>
                            <w:rFonts w:ascii="Cambria Math" w:hAnsi="Cambria Math"/>
                            <w:i/>
                            <w:sz w:val="18"/>
                            <w:szCs w:val="18"/>
                            <w:lang w:val="es-ES"/>
                          </w:rPr>
                        </m:ctrlPr>
                      </m:sSubSupPr>
                      <m:e>
                        <m:r>
                          <w:rPr>
                            <w:rFonts w:ascii="Cambria Math" w:hAnsi="Cambria Math"/>
                            <w:sz w:val="18"/>
                            <w:szCs w:val="18"/>
                            <w:lang w:val="es-ES"/>
                          </w:rPr>
                          <m:t>F</m:t>
                        </m:r>
                      </m:e>
                      <m:sub>
                        <m:r>
                          <w:rPr>
                            <w:rFonts w:ascii="Cambria Math" w:hAnsi="Cambria Math"/>
                            <w:sz w:val="18"/>
                            <w:szCs w:val="18"/>
                            <w:lang w:val="es-ES"/>
                          </w:rPr>
                          <m:t>ANR</m:t>
                        </m:r>
                      </m:sub>
                      <m:sup>
                        <m:r>
                          <w:rPr>
                            <w:rFonts w:ascii="Cambria Math" w:hAnsi="Cambria Math"/>
                            <w:sz w:val="18"/>
                            <w:szCs w:val="18"/>
                            <w:lang w:val="es-ES"/>
                          </w:rPr>
                          <m:t>t</m:t>
                        </m:r>
                      </m:sup>
                    </m:sSubSup>
                    <m:r>
                      <w:rPr>
                        <w:rFonts w:ascii="Cambria Math" w:hAnsi="Cambria Math"/>
                        <w:sz w:val="18"/>
                        <w:szCs w:val="18"/>
                        <w:lang w:val="es-ES"/>
                      </w:rPr>
                      <m:t>-</m:t>
                    </m:r>
                    <m:sSubSup>
                      <m:sSubSupPr>
                        <m:ctrlPr>
                          <w:rPr>
                            <w:rFonts w:ascii="Cambria Math" w:hAnsi="Cambria Math"/>
                            <w:i/>
                            <w:sz w:val="18"/>
                            <w:szCs w:val="18"/>
                            <w:lang w:val="es-ES"/>
                          </w:rPr>
                        </m:ctrlPr>
                      </m:sSubSupPr>
                      <m:e>
                        <m:r>
                          <w:rPr>
                            <w:rFonts w:ascii="Cambria Math" w:hAnsi="Cambria Math"/>
                            <w:sz w:val="18"/>
                            <w:szCs w:val="18"/>
                            <w:lang w:val="es-ES"/>
                          </w:rPr>
                          <m:t>F</m:t>
                        </m:r>
                      </m:e>
                      <m:sub>
                        <m:r>
                          <w:rPr>
                            <w:rFonts w:ascii="Cambria Math" w:hAnsi="Cambria Math"/>
                            <w:sz w:val="18"/>
                            <w:szCs w:val="18"/>
                            <w:lang w:val="es-ES"/>
                          </w:rPr>
                          <m:t>ANR</m:t>
                        </m:r>
                      </m:sub>
                      <m:sup>
                        <m:r>
                          <w:rPr>
                            <w:rFonts w:ascii="Cambria Math" w:hAnsi="Cambria Math"/>
                            <w:sz w:val="18"/>
                            <w:szCs w:val="18"/>
                            <w:lang w:val="es-ES"/>
                          </w:rPr>
                          <m:t>t-1</m:t>
                        </m:r>
                      </m:sup>
                    </m:sSubSup>
                  </m:num>
                  <m:den>
                    <m:sSubSup>
                      <m:sSubSupPr>
                        <m:ctrlPr>
                          <w:rPr>
                            <w:rFonts w:ascii="Cambria Math" w:hAnsi="Cambria Math"/>
                            <w:i/>
                            <w:sz w:val="18"/>
                            <w:szCs w:val="18"/>
                            <w:lang w:val="es-ES"/>
                          </w:rPr>
                        </m:ctrlPr>
                      </m:sSubSupPr>
                      <m:e>
                        <m:r>
                          <w:rPr>
                            <w:rFonts w:ascii="Cambria Math" w:hAnsi="Cambria Math"/>
                            <w:sz w:val="18"/>
                            <w:szCs w:val="18"/>
                            <w:lang w:val="es-ES"/>
                          </w:rPr>
                          <m:t>F</m:t>
                        </m:r>
                      </m:e>
                      <m:sub>
                        <m:r>
                          <w:rPr>
                            <w:rFonts w:ascii="Cambria Math" w:hAnsi="Cambria Math"/>
                            <w:sz w:val="18"/>
                            <w:szCs w:val="18"/>
                            <w:lang w:val="es-ES"/>
                          </w:rPr>
                          <m:t>ANR</m:t>
                        </m:r>
                      </m:sub>
                      <m:sup>
                        <m:r>
                          <w:rPr>
                            <w:rFonts w:ascii="Cambria Math" w:hAnsi="Cambria Math"/>
                            <w:sz w:val="18"/>
                            <w:szCs w:val="18"/>
                            <w:lang w:val="es-ES"/>
                          </w:rPr>
                          <m:t>t-1</m:t>
                        </m:r>
                      </m:sup>
                    </m:sSubSup>
                  </m:den>
                </m:f>
                <m:r>
                  <w:rPr>
                    <w:rFonts w:ascii="Cambria Math" w:hAnsi="Cambria Math"/>
                    <w:sz w:val="18"/>
                    <w:szCs w:val="18"/>
                    <w:lang w:val="es-ES"/>
                  </w:rPr>
                  <m:t>-</m:t>
                </m:r>
                <m:f>
                  <m:fPr>
                    <m:ctrlPr>
                      <w:rPr>
                        <w:rFonts w:ascii="Cambria Math" w:hAnsi="Cambria Math"/>
                        <w:i/>
                        <w:sz w:val="18"/>
                        <w:szCs w:val="18"/>
                        <w:lang w:val="es-ES"/>
                      </w:rPr>
                    </m:ctrlPr>
                  </m:fPr>
                  <m:num>
                    <m:sSubSup>
                      <m:sSubSupPr>
                        <m:ctrlPr>
                          <w:rPr>
                            <w:rFonts w:ascii="Cambria Math" w:hAnsi="Cambria Math"/>
                            <w:i/>
                            <w:sz w:val="18"/>
                            <w:szCs w:val="18"/>
                            <w:lang w:val="es-ES"/>
                          </w:rPr>
                        </m:ctrlPr>
                      </m:sSubSupPr>
                      <m:e>
                        <m:r>
                          <w:rPr>
                            <w:rFonts w:ascii="Cambria Math" w:hAnsi="Cambria Math"/>
                            <w:sz w:val="18"/>
                            <w:szCs w:val="18"/>
                            <w:lang w:val="es-ES"/>
                          </w:rPr>
                          <m:t>F</m:t>
                        </m:r>
                      </m:e>
                      <m:sub>
                        <m:r>
                          <w:rPr>
                            <w:rFonts w:ascii="Cambria Math" w:hAnsi="Cambria Math"/>
                            <w:sz w:val="18"/>
                            <w:szCs w:val="18"/>
                            <w:lang w:val="es-ES"/>
                          </w:rPr>
                          <m:t>C</m:t>
                        </m:r>
                      </m:sub>
                      <m:sup>
                        <m:r>
                          <w:rPr>
                            <w:rFonts w:ascii="Cambria Math" w:hAnsi="Cambria Math"/>
                            <w:sz w:val="18"/>
                            <w:szCs w:val="18"/>
                            <w:lang w:val="es-ES"/>
                          </w:rPr>
                          <m:t>t</m:t>
                        </m:r>
                      </m:sup>
                    </m:sSubSup>
                    <m:r>
                      <w:rPr>
                        <w:rFonts w:ascii="Cambria Math" w:hAnsi="Cambria Math"/>
                        <w:sz w:val="18"/>
                        <w:szCs w:val="18"/>
                        <w:lang w:val="es-ES"/>
                      </w:rPr>
                      <m:t>-</m:t>
                    </m:r>
                    <m:sSubSup>
                      <m:sSubSupPr>
                        <m:ctrlPr>
                          <w:rPr>
                            <w:rFonts w:ascii="Cambria Math" w:hAnsi="Cambria Math"/>
                            <w:i/>
                            <w:sz w:val="18"/>
                            <w:szCs w:val="18"/>
                            <w:lang w:val="es-ES"/>
                          </w:rPr>
                        </m:ctrlPr>
                      </m:sSubSupPr>
                      <m:e>
                        <m:r>
                          <w:rPr>
                            <w:rFonts w:ascii="Cambria Math" w:hAnsi="Cambria Math"/>
                            <w:sz w:val="18"/>
                            <w:szCs w:val="18"/>
                            <w:lang w:val="es-ES"/>
                          </w:rPr>
                          <m:t>F</m:t>
                        </m:r>
                      </m:e>
                      <m:sub>
                        <m:r>
                          <w:rPr>
                            <w:rFonts w:ascii="Cambria Math" w:hAnsi="Cambria Math"/>
                            <w:sz w:val="18"/>
                            <w:szCs w:val="18"/>
                            <w:lang w:val="es-ES"/>
                          </w:rPr>
                          <m:t>C</m:t>
                        </m:r>
                      </m:sub>
                      <m:sup>
                        <m:r>
                          <w:rPr>
                            <w:rFonts w:ascii="Cambria Math" w:hAnsi="Cambria Math"/>
                            <w:sz w:val="18"/>
                            <w:szCs w:val="18"/>
                            <w:lang w:val="es-ES"/>
                          </w:rPr>
                          <m:t>t-1</m:t>
                        </m:r>
                      </m:sup>
                    </m:sSubSup>
                  </m:num>
                  <m:den>
                    <m:sSubSup>
                      <m:sSubSupPr>
                        <m:ctrlPr>
                          <w:rPr>
                            <w:rFonts w:ascii="Cambria Math" w:hAnsi="Cambria Math"/>
                            <w:i/>
                            <w:sz w:val="18"/>
                            <w:szCs w:val="18"/>
                            <w:lang w:val="es-ES"/>
                          </w:rPr>
                        </m:ctrlPr>
                      </m:sSubSupPr>
                      <m:e>
                        <m:r>
                          <w:rPr>
                            <w:rFonts w:ascii="Cambria Math" w:hAnsi="Cambria Math"/>
                            <w:sz w:val="18"/>
                            <w:szCs w:val="18"/>
                            <w:lang w:val="es-ES"/>
                          </w:rPr>
                          <m:t>F</m:t>
                        </m:r>
                      </m:e>
                      <m:sub>
                        <m:r>
                          <w:rPr>
                            <w:rFonts w:ascii="Cambria Math" w:hAnsi="Cambria Math"/>
                            <w:sz w:val="18"/>
                            <w:szCs w:val="18"/>
                            <w:lang w:val="es-ES"/>
                          </w:rPr>
                          <m:t>C</m:t>
                        </m:r>
                      </m:sub>
                      <m:sup>
                        <m:r>
                          <w:rPr>
                            <w:rFonts w:ascii="Cambria Math" w:hAnsi="Cambria Math"/>
                            <w:sz w:val="18"/>
                            <w:szCs w:val="18"/>
                            <w:lang w:val="es-ES"/>
                          </w:rPr>
                          <m:t>t-1</m:t>
                        </m:r>
                      </m:sup>
                    </m:sSubSup>
                  </m:den>
                </m:f>
              </m:oMath>
            </m:oMathPara>
          </w:p>
        </w:tc>
        <w:tc>
          <w:tcPr>
            <w:tcW w:w="1260" w:type="dxa"/>
          </w:tcPr>
          <w:p w14:paraId="48EFA904" w14:textId="77777777" w:rsidR="008B74D3" w:rsidRPr="00CD302D" w:rsidRDefault="008B74D3" w:rsidP="00982A1E">
            <w:pPr>
              <w:spacing w:before="0"/>
              <w:rPr>
                <w:sz w:val="18"/>
                <w:szCs w:val="18"/>
                <w:lang w:val="es-ES"/>
              </w:rPr>
            </w:pPr>
            <w:r>
              <w:rPr>
                <w:sz w:val="18"/>
                <w:szCs w:val="18"/>
                <w:lang w:val="es-ES"/>
              </w:rPr>
              <w:t>Porcentaje</w:t>
            </w:r>
          </w:p>
        </w:tc>
        <w:tc>
          <w:tcPr>
            <w:tcW w:w="810" w:type="dxa"/>
          </w:tcPr>
          <w:p w14:paraId="2D33DC44" w14:textId="77777777" w:rsidR="008B74D3" w:rsidRPr="00CD302D" w:rsidRDefault="008B74D3" w:rsidP="00982A1E">
            <w:pPr>
              <w:spacing w:before="0"/>
              <w:rPr>
                <w:sz w:val="18"/>
                <w:szCs w:val="18"/>
                <w:lang w:val="es-ES"/>
              </w:rPr>
            </w:pPr>
            <w:r>
              <w:rPr>
                <w:sz w:val="18"/>
                <w:szCs w:val="18"/>
                <w:lang w:val="es-ES"/>
              </w:rPr>
              <w:t>Anual</w:t>
            </w:r>
          </w:p>
        </w:tc>
        <w:tc>
          <w:tcPr>
            <w:tcW w:w="4680" w:type="dxa"/>
            <w:gridSpan w:val="2"/>
          </w:tcPr>
          <w:p w14:paraId="3995E010" w14:textId="77777777" w:rsidR="008B74D3" w:rsidRPr="00CD302D" w:rsidRDefault="008B74D3" w:rsidP="00982A1E">
            <w:pPr>
              <w:spacing w:before="0"/>
              <w:rPr>
                <w:bCs/>
                <w:sz w:val="18"/>
                <w:szCs w:val="18"/>
                <w:lang w:val="es-PY"/>
              </w:rPr>
            </w:pPr>
            <w:r w:rsidRPr="003B7293">
              <w:rPr>
                <w:bCs/>
                <w:sz w:val="18"/>
                <w:szCs w:val="18"/>
                <w:lang w:val="es-PY"/>
              </w:rPr>
              <w:t xml:space="preserve">Se calcula a través del método de diferencias en diferencias </w:t>
            </w:r>
            <w:r>
              <w:rPr>
                <w:bCs/>
                <w:sz w:val="18"/>
                <w:szCs w:val="18"/>
                <w:lang w:val="es-PY"/>
              </w:rPr>
              <w:t xml:space="preserve">(DD) </w:t>
            </w:r>
            <w:r w:rsidRPr="003B7293">
              <w:rPr>
                <w:bCs/>
                <w:sz w:val="18"/>
                <w:szCs w:val="18"/>
                <w:lang w:val="es-PY"/>
              </w:rPr>
              <w:t>entre empresas apoyadas por el programa y el grupo de control. Fuente: Registros de la UE y encuestas a empresas. Las encuestas a empresas permitirán definir el nivel de ventas de los beneficiarios y no beneficiarios en la línea de base.</w:t>
            </w:r>
          </w:p>
        </w:tc>
      </w:tr>
      <w:tr w:rsidR="008B74D3" w:rsidRPr="00C97B72" w14:paraId="41B1BD5B" w14:textId="77777777" w:rsidTr="00982A1E">
        <w:trPr>
          <w:gridBefore w:val="1"/>
          <w:cantSplit/>
          <w:trHeight w:val="1250"/>
        </w:trPr>
        <w:tc>
          <w:tcPr>
            <w:tcW w:w="3960" w:type="dxa"/>
          </w:tcPr>
          <w:p w14:paraId="16642625" w14:textId="77777777" w:rsidR="00F3536A" w:rsidRPr="00F3536A" w:rsidRDefault="00F3536A" w:rsidP="00F3536A">
            <w:pPr>
              <w:contextualSpacing/>
              <w:jc w:val="left"/>
              <w:rPr>
                <w:color w:val="000000"/>
                <w:sz w:val="18"/>
                <w:lang w:val="es-ES"/>
              </w:rPr>
            </w:pPr>
            <w:r w:rsidRPr="00F3536A">
              <w:rPr>
                <w:color w:val="000000"/>
                <w:sz w:val="18"/>
                <w:lang w:val="es-ES"/>
              </w:rPr>
              <w:t>Cambio del nivel de empleo de los productores beneficiarios de ANR y de iniciativas de articulación</w:t>
            </w:r>
          </w:p>
          <w:p w14:paraId="31C8A7D0" w14:textId="6F0EBA2C" w:rsidR="008B74D3" w:rsidRPr="00F3536A" w:rsidRDefault="00F84C15" w:rsidP="00982A1E">
            <w:pPr>
              <w:spacing w:before="0"/>
              <w:rPr>
                <w:color w:val="000000"/>
                <w:sz w:val="18"/>
                <w:szCs w:val="18"/>
              </w:rPr>
            </w:pPr>
            <m:oMathPara>
              <m:oMath>
                <m:f>
                  <m:fPr>
                    <m:ctrlPr>
                      <w:rPr>
                        <w:rFonts w:ascii="Cambria Math" w:hAnsi="Cambria Math"/>
                        <w:i/>
                        <w:sz w:val="18"/>
                        <w:szCs w:val="18"/>
                        <w:lang w:val="es-ES"/>
                      </w:rPr>
                    </m:ctrlPr>
                  </m:fPr>
                  <m:num>
                    <m:sSubSup>
                      <m:sSubSupPr>
                        <m:ctrlPr>
                          <w:rPr>
                            <w:rFonts w:ascii="Cambria Math" w:hAnsi="Cambria Math"/>
                            <w:i/>
                            <w:sz w:val="18"/>
                            <w:szCs w:val="18"/>
                            <w:lang w:val="es-ES"/>
                          </w:rPr>
                        </m:ctrlPr>
                      </m:sSubSupPr>
                      <m:e>
                        <m:r>
                          <w:rPr>
                            <w:rFonts w:ascii="Cambria Math" w:hAnsi="Cambria Math"/>
                            <w:sz w:val="18"/>
                            <w:szCs w:val="18"/>
                            <w:lang w:val="es-ES"/>
                          </w:rPr>
                          <m:t>L</m:t>
                        </m:r>
                      </m:e>
                      <m:sub>
                        <m:r>
                          <w:rPr>
                            <w:rFonts w:ascii="Cambria Math" w:hAnsi="Cambria Math"/>
                            <w:sz w:val="18"/>
                            <w:szCs w:val="18"/>
                            <w:lang w:val="es-ES"/>
                          </w:rPr>
                          <m:t>ANR</m:t>
                        </m:r>
                      </m:sub>
                      <m:sup>
                        <m:r>
                          <w:rPr>
                            <w:rFonts w:ascii="Cambria Math" w:hAnsi="Cambria Math"/>
                            <w:sz w:val="18"/>
                            <w:szCs w:val="18"/>
                            <w:lang w:val="es-ES"/>
                          </w:rPr>
                          <m:t>t</m:t>
                        </m:r>
                      </m:sup>
                    </m:sSubSup>
                    <m:r>
                      <w:rPr>
                        <w:rFonts w:ascii="Cambria Math" w:hAnsi="Cambria Math"/>
                        <w:sz w:val="18"/>
                        <w:szCs w:val="18"/>
                        <w:lang w:val="es-ES"/>
                      </w:rPr>
                      <m:t>-</m:t>
                    </m:r>
                    <m:sSubSup>
                      <m:sSubSupPr>
                        <m:ctrlPr>
                          <w:rPr>
                            <w:rFonts w:ascii="Cambria Math" w:hAnsi="Cambria Math"/>
                            <w:i/>
                            <w:sz w:val="18"/>
                            <w:szCs w:val="18"/>
                            <w:lang w:val="es-ES"/>
                          </w:rPr>
                        </m:ctrlPr>
                      </m:sSubSupPr>
                      <m:e>
                        <m:r>
                          <w:rPr>
                            <w:rFonts w:ascii="Cambria Math" w:hAnsi="Cambria Math"/>
                            <w:sz w:val="18"/>
                            <w:szCs w:val="18"/>
                            <w:lang w:val="es-ES"/>
                          </w:rPr>
                          <m:t>L</m:t>
                        </m:r>
                      </m:e>
                      <m:sub>
                        <m:r>
                          <w:rPr>
                            <w:rFonts w:ascii="Cambria Math" w:hAnsi="Cambria Math"/>
                            <w:sz w:val="18"/>
                            <w:szCs w:val="18"/>
                            <w:lang w:val="es-ES"/>
                          </w:rPr>
                          <m:t>ANR</m:t>
                        </m:r>
                      </m:sub>
                      <m:sup>
                        <m:r>
                          <w:rPr>
                            <w:rFonts w:ascii="Cambria Math" w:hAnsi="Cambria Math"/>
                            <w:sz w:val="18"/>
                            <w:szCs w:val="18"/>
                            <w:lang w:val="es-ES"/>
                          </w:rPr>
                          <m:t>t-1</m:t>
                        </m:r>
                      </m:sup>
                    </m:sSubSup>
                  </m:num>
                  <m:den>
                    <m:sSubSup>
                      <m:sSubSupPr>
                        <m:ctrlPr>
                          <w:rPr>
                            <w:rFonts w:ascii="Cambria Math" w:hAnsi="Cambria Math"/>
                            <w:i/>
                            <w:sz w:val="18"/>
                            <w:szCs w:val="18"/>
                            <w:lang w:val="es-ES"/>
                          </w:rPr>
                        </m:ctrlPr>
                      </m:sSubSupPr>
                      <m:e>
                        <m:r>
                          <w:rPr>
                            <w:rFonts w:ascii="Cambria Math" w:hAnsi="Cambria Math"/>
                            <w:sz w:val="18"/>
                            <w:szCs w:val="18"/>
                            <w:lang w:val="es-ES"/>
                          </w:rPr>
                          <m:t>L</m:t>
                        </m:r>
                      </m:e>
                      <m:sub>
                        <m:r>
                          <w:rPr>
                            <w:rFonts w:ascii="Cambria Math" w:hAnsi="Cambria Math"/>
                            <w:sz w:val="18"/>
                            <w:szCs w:val="18"/>
                            <w:lang w:val="es-ES"/>
                          </w:rPr>
                          <m:t>ANR</m:t>
                        </m:r>
                      </m:sub>
                      <m:sup>
                        <m:r>
                          <w:rPr>
                            <w:rFonts w:ascii="Cambria Math" w:hAnsi="Cambria Math"/>
                            <w:sz w:val="18"/>
                            <w:szCs w:val="18"/>
                            <w:lang w:val="es-ES"/>
                          </w:rPr>
                          <m:t>t-1</m:t>
                        </m:r>
                      </m:sup>
                    </m:sSubSup>
                  </m:den>
                </m:f>
                <m:r>
                  <w:rPr>
                    <w:rFonts w:ascii="Cambria Math" w:hAnsi="Cambria Math"/>
                    <w:sz w:val="18"/>
                    <w:szCs w:val="18"/>
                    <w:lang w:val="es-ES"/>
                  </w:rPr>
                  <m:t>-</m:t>
                </m:r>
                <m:f>
                  <m:fPr>
                    <m:ctrlPr>
                      <w:rPr>
                        <w:rFonts w:ascii="Cambria Math" w:hAnsi="Cambria Math"/>
                        <w:i/>
                        <w:sz w:val="18"/>
                        <w:szCs w:val="18"/>
                        <w:lang w:val="es-ES"/>
                      </w:rPr>
                    </m:ctrlPr>
                  </m:fPr>
                  <m:num>
                    <m:sSubSup>
                      <m:sSubSupPr>
                        <m:ctrlPr>
                          <w:rPr>
                            <w:rFonts w:ascii="Cambria Math" w:hAnsi="Cambria Math"/>
                            <w:i/>
                            <w:sz w:val="18"/>
                            <w:szCs w:val="18"/>
                            <w:lang w:val="es-ES"/>
                          </w:rPr>
                        </m:ctrlPr>
                      </m:sSubSupPr>
                      <m:e>
                        <m:r>
                          <w:rPr>
                            <w:rFonts w:ascii="Cambria Math" w:hAnsi="Cambria Math"/>
                            <w:sz w:val="18"/>
                            <w:szCs w:val="18"/>
                            <w:lang w:val="es-ES"/>
                          </w:rPr>
                          <m:t>L</m:t>
                        </m:r>
                      </m:e>
                      <m:sub>
                        <m:r>
                          <w:rPr>
                            <w:rFonts w:ascii="Cambria Math" w:hAnsi="Cambria Math"/>
                            <w:sz w:val="18"/>
                            <w:szCs w:val="18"/>
                            <w:lang w:val="es-ES"/>
                          </w:rPr>
                          <m:t>C</m:t>
                        </m:r>
                      </m:sub>
                      <m:sup>
                        <m:r>
                          <w:rPr>
                            <w:rFonts w:ascii="Cambria Math" w:hAnsi="Cambria Math"/>
                            <w:sz w:val="18"/>
                            <w:szCs w:val="18"/>
                            <w:lang w:val="es-ES"/>
                          </w:rPr>
                          <m:t>t</m:t>
                        </m:r>
                      </m:sup>
                    </m:sSubSup>
                    <m:r>
                      <w:rPr>
                        <w:rFonts w:ascii="Cambria Math" w:hAnsi="Cambria Math"/>
                        <w:sz w:val="18"/>
                        <w:szCs w:val="18"/>
                        <w:lang w:val="es-ES"/>
                      </w:rPr>
                      <m:t>-</m:t>
                    </m:r>
                    <m:sSubSup>
                      <m:sSubSupPr>
                        <m:ctrlPr>
                          <w:rPr>
                            <w:rFonts w:ascii="Cambria Math" w:hAnsi="Cambria Math"/>
                            <w:i/>
                            <w:sz w:val="18"/>
                            <w:szCs w:val="18"/>
                            <w:lang w:val="es-ES"/>
                          </w:rPr>
                        </m:ctrlPr>
                      </m:sSubSupPr>
                      <m:e>
                        <m:r>
                          <w:rPr>
                            <w:rFonts w:ascii="Cambria Math" w:hAnsi="Cambria Math"/>
                            <w:sz w:val="18"/>
                            <w:szCs w:val="18"/>
                            <w:lang w:val="es-ES"/>
                          </w:rPr>
                          <m:t>L</m:t>
                        </m:r>
                      </m:e>
                      <m:sub>
                        <m:r>
                          <w:rPr>
                            <w:rFonts w:ascii="Cambria Math" w:hAnsi="Cambria Math"/>
                            <w:sz w:val="18"/>
                            <w:szCs w:val="18"/>
                            <w:lang w:val="es-ES"/>
                          </w:rPr>
                          <m:t>C</m:t>
                        </m:r>
                      </m:sub>
                      <m:sup>
                        <m:r>
                          <w:rPr>
                            <w:rFonts w:ascii="Cambria Math" w:hAnsi="Cambria Math"/>
                            <w:sz w:val="18"/>
                            <w:szCs w:val="18"/>
                            <w:lang w:val="es-ES"/>
                          </w:rPr>
                          <m:t>t-1</m:t>
                        </m:r>
                      </m:sup>
                    </m:sSubSup>
                  </m:num>
                  <m:den>
                    <m:sSubSup>
                      <m:sSubSupPr>
                        <m:ctrlPr>
                          <w:rPr>
                            <w:rFonts w:ascii="Cambria Math" w:hAnsi="Cambria Math"/>
                            <w:i/>
                            <w:sz w:val="18"/>
                            <w:szCs w:val="18"/>
                            <w:lang w:val="es-ES"/>
                          </w:rPr>
                        </m:ctrlPr>
                      </m:sSubSupPr>
                      <m:e>
                        <m:r>
                          <w:rPr>
                            <w:rFonts w:ascii="Cambria Math" w:hAnsi="Cambria Math"/>
                            <w:sz w:val="18"/>
                            <w:szCs w:val="18"/>
                            <w:lang w:val="es-ES"/>
                          </w:rPr>
                          <m:t>L</m:t>
                        </m:r>
                      </m:e>
                      <m:sub>
                        <m:r>
                          <w:rPr>
                            <w:rFonts w:ascii="Cambria Math" w:hAnsi="Cambria Math"/>
                            <w:sz w:val="18"/>
                            <w:szCs w:val="18"/>
                            <w:lang w:val="es-ES"/>
                          </w:rPr>
                          <m:t>C</m:t>
                        </m:r>
                      </m:sub>
                      <m:sup>
                        <m:r>
                          <w:rPr>
                            <w:rFonts w:ascii="Cambria Math" w:hAnsi="Cambria Math"/>
                            <w:sz w:val="18"/>
                            <w:szCs w:val="18"/>
                            <w:lang w:val="es-ES"/>
                          </w:rPr>
                          <m:t>t-1</m:t>
                        </m:r>
                      </m:sup>
                    </m:sSubSup>
                  </m:den>
                </m:f>
              </m:oMath>
            </m:oMathPara>
          </w:p>
        </w:tc>
        <w:tc>
          <w:tcPr>
            <w:tcW w:w="1260" w:type="dxa"/>
          </w:tcPr>
          <w:p w14:paraId="79DAA77B" w14:textId="77777777" w:rsidR="008B74D3" w:rsidRPr="00CD302D" w:rsidRDefault="008B74D3" w:rsidP="00982A1E">
            <w:pPr>
              <w:spacing w:before="0"/>
              <w:rPr>
                <w:sz w:val="18"/>
                <w:szCs w:val="18"/>
                <w:lang w:val="es-ES"/>
              </w:rPr>
            </w:pPr>
            <w:r>
              <w:rPr>
                <w:sz w:val="18"/>
                <w:szCs w:val="18"/>
                <w:lang w:val="es-ES"/>
              </w:rPr>
              <w:t>Porcentaje</w:t>
            </w:r>
          </w:p>
        </w:tc>
        <w:tc>
          <w:tcPr>
            <w:tcW w:w="810" w:type="dxa"/>
          </w:tcPr>
          <w:p w14:paraId="5458207B" w14:textId="77777777" w:rsidR="008B74D3" w:rsidRPr="00CD302D" w:rsidRDefault="008B74D3" w:rsidP="00982A1E">
            <w:pPr>
              <w:spacing w:before="0"/>
              <w:rPr>
                <w:sz w:val="18"/>
                <w:szCs w:val="18"/>
                <w:lang w:val="es-ES"/>
              </w:rPr>
            </w:pPr>
            <w:r>
              <w:rPr>
                <w:sz w:val="18"/>
                <w:szCs w:val="18"/>
                <w:lang w:val="es-ES"/>
              </w:rPr>
              <w:t>Anual</w:t>
            </w:r>
          </w:p>
        </w:tc>
        <w:tc>
          <w:tcPr>
            <w:tcW w:w="4680" w:type="dxa"/>
            <w:gridSpan w:val="2"/>
          </w:tcPr>
          <w:p w14:paraId="53E2DFD4" w14:textId="77777777" w:rsidR="008B74D3" w:rsidRPr="00CD302D" w:rsidRDefault="008B74D3" w:rsidP="00982A1E">
            <w:pPr>
              <w:spacing w:before="0"/>
              <w:rPr>
                <w:bCs/>
                <w:sz w:val="18"/>
                <w:szCs w:val="18"/>
                <w:lang w:val="es-PY"/>
              </w:rPr>
            </w:pPr>
            <w:r w:rsidRPr="003B7293">
              <w:rPr>
                <w:bCs/>
                <w:sz w:val="18"/>
                <w:szCs w:val="18"/>
                <w:lang w:val="es-PY"/>
              </w:rPr>
              <w:t xml:space="preserve">Se calcula a través del método de diferencias en diferencias </w:t>
            </w:r>
            <w:r>
              <w:rPr>
                <w:bCs/>
                <w:sz w:val="18"/>
                <w:szCs w:val="18"/>
                <w:lang w:val="es-PY"/>
              </w:rPr>
              <w:t xml:space="preserve">(DD) </w:t>
            </w:r>
            <w:r w:rsidRPr="003B7293">
              <w:rPr>
                <w:bCs/>
                <w:sz w:val="18"/>
                <w:szCs w:val="18"/>
                <w:lang w:val="es-PY"/>
              </w:rPr>
              <w:t>entre empresas apoyadas por el programa y el grupo de control. Fuente: Registros de la UE y encuestas a empresas. Las encuestas a empresas permitirán definir el nivel de ventas de los beneficiarios y no beneficiarios en la línea de base.</w:t>
            </w:r>
          </w:p>
        </w:tc>
      </w:tr>
      <w:tr w:rsidR="008B74D3" w:rsidRPr="00C97B72" w14:paraId="0A1F8B6B" w14:textId="77777777" w:rsidTr="00982A1E">
        <w:trPr>
          <w:gridBefore w:val="1"/>
          <w:cantSplit/>
          <w:trHeight w:val="1151"/>
        </w:trPr>
        <w:tc>
          <w:tcPr>
            <w:tcW w:w="3960" w:type="dxa"/>
          </w:tcPr>
          <w:p w14:paraId="04964B65" w14:textId="77777777" w:rsidR="00F3536A" w:rsidRPr="00F3536A" w:rsidRDefault="00F3536A" w:rsidP="00F3536A">
            <w:pPr>
              <w:contextualSpacing/>
              <w:jc w:val="left"/>
              <w:rPr>
                <w:color w:val="000000"/>
                <w:sz w:val="18"/>
                <w:lang w:val="es-ES"/>
              </w:rPr>
            </w:pPr>
            <w:r w:rsidRPr="00F3536A">
              <w:rPr>
                <w:color w:val="000000"/>
                <w:sz w:val="18"/>
                <w:lang w:val="es-ES"/>
              </w:rPr>
              <w:t>Cambio en la productividad de los productores beneficiarios de ANR y de iniciativas de articulación</w:t>
            </w:r>
          </w:p>
          <w:p w14:paraId="14D701FD" w14:textId="77777777" w:rsidR="00F3536A" w:rsidRPr="00233950" w:rsidRDefault="00F84C15" w:rsidP="00F3536A">
            <w:pPr>
              <w:pStyle w:val="ListParagraph"/>
              <w:ind w:left="270"/>
              <w:rPr>
                <w:sz w:val="18"/>
                <w:szCs w:val="18"/>
                <w:lang w:val="es-ES"/>
              </w:rPr>
            </w:pPr>
            <m:oMathPara>
              <m:oMath>
                <m:f>
                  <m:fPr>
                    <m:ctrlPr>
                      <w:rPr>
                        <w:rFonts w:ascii="Cambria Math" w:hAnsi="Cambria Math"/>
                        <w:i/>
                        <w:sz w:val="18"/>
                        <w:szCs w:val="18"/>
                        <w:lang w:val="es-ES"/>
                      </w:rPr>
                    </m:ctrlPr>
                  </m:fPr>
                  <m:num>
                    <m:sSubSup>
                      <m:sSubSupPr>
                        <m:ctrlPr>
                          <w:rPr>
                            <w:rFonts w:ascii="Cambria Math" w:hAnsi="Cambria Math"/>
                            <w:i/>
                            <w:sz w:val="18"/>
                            <w:szCs w:val="18"/>
                            <w:lang w:val="es-ES"/>
                          </w:rPr>
                        </m:ctrlPr>
                      </m:sSubSupPr>
                      <m:e>
                        <m:r>
                          <w:rPr>
                            <w:rFonts w:ascii="Cambria Math" w:hAnsi="Cambria Math"/>
                            <w:sz w:val="18"/>
                            <w:szCs w:val="18"/>
                            <w:lang w:val="es-ES"/>
                          </w:rPr>
                          <m:t>P</m:t>
                        </m:r>
                      </m:e>
                      <m:sub>
                        <m:r>
                          <w:rPr>
                            <w:rFonts w:ascii="Cambria Math" w:hAnsi="Cambria Math"/>
                            <w:sz w:val="18"/>
                            <w:szCs w:val="18"/>
                            <w:lang w:val="es-ES"/>
                          </w:rPr>
                          <m:t>T</m:t>
                        </m:r>
                      </m:sub>
                      <m:sup>
                        <m:r>
                          <w:rPr>
                            <w:rFonts w:ascii="Cambria Math" w:hAnsi="Cambria Math"/>
                            <w:sz w:val="18"/>
                            <w:szCs w:val="18"/>
                            <w:lang w:val="es-ES"/>
                          </w:rPr>
                          <m:t>t</m:t>
                        </m:r>
                      </m:sup>
                    </m:sSubSup>
                    <m:r>
                      <w:rPr>
                        <w:rFonts w:ascii="Cambria Math" w:hAnsi="Cambria Math"/>
                        <w:sz w:val="18"/>
                        <w:szCs w:val="18"/>
                        <w:lang w:val="es-ES"/>
                      </w:rPr>
                      <m:t>-</m:t>
                    </m:r>
                    <m:sSubSup>
                      <m:sSubSupPr>
                        <m:ctrlPr>
                          <w:rPr>
                            <w:rFonts w:ascii="Cambria Math" w:hAnsi="Cambria Math"/>
                            <w:i/>
                            <w:sz w:val="18"/>
                            <w:szCs w:val="18"/>
                            <w:lang w:val="es-ES"/>
                          </w:rPr>
                        </m:ctrlPr>
                      </m:sSubSupPr>
                      <m:e>
                        <m:r>
                          <w:rPr>
                            <w:rFonts w:ascii="Cambria Math" w:hAnsi="Cambria Math"/>
                            <w:sz w:val="18"/>
                            <w:szCs w:val="18"/>
                            <w:lang w:val="es-ES"/>
                          </w:rPr>
                          <m:t>P</m:t>
                        </m:r>
                      </m:e>
                      <m:sub>
                        <m:r>
                          <w:rPr>
                            <w:rFonts w:ascii="Cambria Math" w:hAnsi="Cambria Math"/>
                            <w:sz w:val="18"/>
                            <w:szCs w:val="18"/>
                            <w:lang w:val="es-ES"/>
                          </w:rPr>
                          <m:t>T</m:t>
                        </m:r>
                      </m:sub>
                      <m:sup>
                        <m:r>
                          <w:rPr>
                            <w:rFonts w:ascii="Cambria Math" w:hAnsi="Cambria Math"/>
                            <w:sz w:val="18"/>
                            <w:szCs w:val="18"/>
                            <w:lang w:val="es-ES"/>
                          </w:rPr>
                          <m:t>t-1</m:t>
                        </m:r>
                      </m:sup>
                    </m:sSubSup>
                  </m:num>
                  <m:den>
                    <m:sSubSup>
                      <m:sSubSupPr>
                        <m:ctrlPr>
                          <w:rPr>
                            <w:rFonts w:ascii="Cambria Math" w:hAnsi="Cambria Math"/>
                            <w:i/>
                            <w:sz w:val="18"/>
                            <w:szCs w:val="18"/>
                            <w:lang w:val="es-ES"/>
                          </w:rPr>
                        </m:ctrlPr>
                      </m:sSubSupPr>
                      <m:e>
                        <m:r>
                          <w:rPr>
                            <w:rFonts w:ascii="Cambria Math" w:hAnsi="Cambria Math"/>
                            <w:sz w:val="18"/>
                            <w:szCs w:val="18"/>
                            <w:lang w:val="es-ES"/>
                          </w:rPr>
                          <m:t>P</m:t>
                        </m:r>
                      </m:e>
                      <m:sub>
                        <m:r>
                          <w:rPr>
                            <w:rFonts w:ascii="Cambria Math" w:hAnsi="Cambria Math"/>
                            <w:sz w:val="18"/>
                            <w:szCs w:val="18"/>
                            <w:lang w:val="es-ES"/>
                          </w:rPr>
                          <m:t>T</m:t>
                        </m:r>
                      </m:sub>
                      <m:sup>
                        <m:r>
                          <w:rPr>
                            <w:rFonts w:ascii="Cambria Math" w:hAnsi="Cambria Math"/>
                            <w:sz w:val="18"/>
                            <w:szCs w:val="18"/>
                            <w:lang w:val="es-ES"/>
                          </w:rPr>
                          <m:t>t-1</m:t>
                        </m:r>
                      </m:sup>
                    </m:sSubSup>
                  </m:den>
                </m:f>
                <m:r>
                  <w:rPr>
                    <w:rFonts w:ascii="Cambria Math" w:hAnsi="Cambria Math"/>
                    <w:sz w:val="18"/>
                    <w:szCs w:val="18"/>
                    <w:lang w:val="es-ES"/>
                  </w:rPr>
                  <m:t>-</m:t>
                </m:r>
                <m:f>
                  <m:fPr>
                    <m:ctrlPr>
                      <w:rPr>
                        <w:rFonts w:ascii="Cambria Math" w:hAnsi="Cambria Math"/>
                        <w:i/>
                        <w:sz w:val="18"/>
                        <w:szCs w:val="18"/>
                        <w:lang w:val="es-ES"/>
                      </w:rPr>
                    </m:ctrlPr>
                  </m:fPr>
                  <m:num>
                    <m:sSubSup>
                      <m:sSubSupPr>
                        <m:ctrlPr>
                          <w:rPr>
                            <w:rFonts w:ascii="Cambria Math" w:hAnsi="Cambria Math"/>
                            <w:i/>
                            <w:sz w:val="18"/>
                            <w:szCs w:val="18"/>
                            <w:lang w:val="es-ES"/>
                          </w:rPr>
                        </m:ctrlPr>
                      </m:sSubSupPr>
                      <m:e>
                        <m:r>
                          <w:rPr>
                            <w:rFonts w:ascii="Cambria Math" w:hAnsi="Cambria Math"/>
                            <w:sz w:val="18"/>
                            <w:szCs w:val="18"/>
                            <w:lang w:val="es-ES"/>
                          </w:rPr>
                          <m:t>P</m:t>
                        </m:r>
                      </m:e>
                      <m:sub>
                        <m:r>
                          <w:rPr>
                            <w:rFonts w:ascii="Cambria Math" w:hAnsi="Cambria Math"/>
                            <w:sz w:val="18"/>
                            <w:szCs w:val="18"/>
                            <w:lang w:val="es-ES"/>
                          </w:rPr>
                          <m:t>C</m:t>
                        </m:r>
                      </m:sub>
                      <m:sup>
                        <m:r>
                          <w:rPr>
                            <w:rFonts w:ascii="Cambria Math" w:hAnsi="Cambria Math"/>
                            <w:sz w:val="18"/>
                            <w:szCs w:val="18"/>
                            <w:lang w:val="es-ES"/>
                          </w:rPr>
                          <m:t>t</m:t>
                        </m:r>
                      </m:sup>
                    </m:sSubSup>
                    <m:r>
                      <w:rPr>
                        <w:rFonts w:ascii="Cambria Math" w:hAnsi="Cambria Math"/>
                        <w:sz w:val="18"/>
                        <w:szCs w:val="18"/>
                        <w:lang w:val="es-ES"/>
                      </w:rPr>
                      <m:t>-</m:t>
                    </m:r>
                    <m:sSubSup>
                      <m:sSubSupPr>
                        <m:ctrlPr>
                          <w:rPr>
                            <w:rFonts w:ascii="Cambria Math" w:hAnsi="Cambria Math"/>
                            <w:i/>
                            <w:sz w:val="18"/>
                            <w:szCs w:val="18"/>
                            <w:lang w:val="es-ES"/>
                          </w:rPr>
                        </m:ctrlPr>
                      </m:sSubSupPr>
                      <m:e>
                        <m:r>
                          <w:rPr>
                            <w:rFonts w:ascii="Cambria Math" w:hAnsi="Cambria Math"/>
                            <w:sz w:val="18"/>
                            <w:szCs w:val="18"/>
                            <w:lang w:val="es-ES"/>
                          </w:rPr>
                          <m:t>P</m:t>
                        </m:r>
                      </m:e>
                      <m:sub>
                        <m:r>
                          <w:rPr>
                            <w:rFonts w:ascii="Cambria Math" w:hAnsi="Cambria Math"/>
                            <w:sz w:val="18"/>
                            <w:szCs w:val="18"/>
                            <w:lang w:val="es-ES"/>
                          </w:rPr>
                          <m:t>C</m:t>
                        </m:r>
                      </m:sub>
                      <m:sup>
                        <m:r>
                          <w:rPr>
                            <w:rFonts w:ascii="Cambria Math" w:hAnsi="Cambria Math"/>
                            <w:sz w:val="18"/>
                            <w:szCs w:val="18"/>
                            <w:lang w:val="es-ES"/>
                          </w:rPr>
                          <m:t>t-1</m:t>
                        </m:r>
                      </m:sup>
                    </m:sSubSup>
                  </m:num>
                  <m:den>
                    <m:sSubSup>
                      <m:sSubSupPr>
                        <m:ctrlPr>
                          <w:rPr>
                            <w:rFonts w:ascii="Cambria Math" w:hAnsi="Cambria Math"/>
                            <w:i/>
                            <w:sz w:val="18"/>
                            <w:szCs w:val="18"/>
                            <w:lang w:val="es-ES"/>
                          </w:rPr>
                        </m:ctrlPr>
                      </m:sSubSupPr>
                      <m:e>
                        <m:r>
                          <w:rPr>
                            <w:rFonts w:ascii="Cambria Math" w:hAnsi="Cambria Math"/>
                            <w:sz w:val="18"/>
                            <w:szCs w:val="18"/>
                            <w:lang w:val="es-ES"/>
                          </w:rPr>
                          <m:t>P</m:t>
                        </m:r>
                      </m:e>
                      <m:sub>
                        <m:r>
                          <w:rPr>
                            <w:rFonts w:ascii="Cambria Math" w:hAnsi="Cambria Math"/>
                            <w:sz w:val="18"/>
                            <w:szCs w:val="18"/>
                            <w:lang w:val="es-ES"/>
                          </w:rPr>
                          <m:t>C</m:t>
                        </m:r>
                      </m:sub>
                      <m:sup>
                        <m:r>
                          <w:rPr>
                            <w:rFonts w:ascii="Cambria Math" w:hAnsi="Cambria Math"/>
                            <w:sz w:val="18"/>
                            <w:szCs w:val="18"/>
                            <w:lang w:val="es-ES"/>
                          </w:rPr>
                          <m:t>t-1</m:t>
                        </m:r>
                      </m:sup>
                    </m:sSubSup>
                  </m:den>
                </m:f>
              </m:oMath>
            </m:oMathPara>
          </w:p>
          <w:p w14:paraId="5ABA10C4" w14:textId="7C0EAC31" w:rsidR="008B74D3" w:rsidRPr="001E4648" w:rsidRDefault="00F3536A" w:rsidP="00F3536A">
            <w:pPr>
              <w:spacing w:before="0"/>
              <w:rPr>
                <w:color w:val="000000"/>
                <w:sz w:val="18"/>
                <w:szCs w:val="18"/>
                <w:lang w:val="es-ES"/>
              </w:rPr>
            </w:pPr>
            <w:r w:rsidRPr="00F3536A">
              <w:rPr>
                <w:color w:val="000000"/>
                <w:sz w:val="18"/>
                <w:szCs w:val="18"/>
                <w:lang w:val="es-ES"/>
              </w:rPr>
              <w:t>P está medido como ventas a valor constante dividido por la cantidad de personas empleadas (P).</w:t>
            </w:r>
          </w:p>
        </w:tc>
        <w:tc>
          <w:tcPr>
            <w:tcW w:w="1260" w:type="dxa"/>
          </w:tcPr>
          <w:p w14:paraId="2F221EB3" w14:textId="77777777" w:rsidR="008B74D3" w:rsidRPr="00CD302D" w:rsidRDefault="008B74D3" w:rsidP="00982A1E">
            <w:pPr>
              <w:spacing w:before="0"/>
              <w:rPr>
                <w:sz w:val="18"/>
                <w:szCs w:val="18"/>
                <w:lang w:val="es-ES"/>
              </w:rPr>
            </w:pPr>
            <w:r>
              <w:rPr>
                <w:sz w:val="18"/>
                <w:szCs w:val="18"/>
                <w:lang w:val="es-ES"/>
              </w:rPr>
              <w:t>Porcentaje</w:t>
            </w:r>
          </w:p>
        </w:tc>
        <w:tc>
          <w:tcPr>
            <w:tcW w:w="810" w:type="dxa"/>
          </w:tcPr>
          <w:p w14:paraId="4B00774B" w14:textId="77777777" w:rsidR="008B74D3" w:rsidRPr="00CD302D" w:rsidRDefault="008B74D3" w:rsidP="00982A1E">
            <w:pPr>
              <w:spacing w:before="0"/>
              <w:rPr>
                <w:sz w:val="18"/>
                <w:szCs w:val="18"/>
                <w:lang w:val="es-ES"/>
              </w:rPr>
            </w:pPr>
            <w:r>
              <w:rPr>
                <w:sz w:val="18"/>
                <w:szCs w:val="18"/>
                <w:lang w:val="es-ES"/>
              </w:rPr>
              <w:t>Anual</w:t>
            </w:r>
          </w:p>
        </w:tc>
        <w:tc>
          <w:tcPr>
            <w:tcW w:w="4680" w:type="dxa"/>
            <w:gridSpan w:val="2"/>
          </w:tcPr>
          <w:p w14:paraId="6BED4FE9" w14:textId="08552CDA" w:rsidR="008B74D3" w:rsidRPr="003B7293" w:rsidRDefault="008B74D3" w:rsidP="00982A1E">
            <w:pPr>
              <w:spacing w:before="0"/>
              <w:rPr>
                <w:bCs/>
                <w:sz w:val="18"/>
                <w:szCs w:val="18"/>
                <w:lang w:val="es-PY"/>
              </w:rPr>
            </w:pPr>
            <w:r w:rsidRPr="003B7293">
              <w:rPr>
                <w:bCs/>
                <w:sz w:val="18"/>
                <w:szCs w:val="18"/>
                <w:lang w:val="es-PY"/>
              </w:rPr>
              <w:t xml:space="preserve">Se calcula a través del método de diferencias en diferencias </w:t>
            </w:r>
            <w:r>
              <w:rPr>
                <w:bCs/>
                <w:sz w:val="18"/>
                <w:szCs w:val="18"/>
                <w:lang w:val="es-PY"/>
              </w:rPr>
              <w:t xml:space="preserve">(DD) </w:t>
            </w:r>
            <w:r w:rsidRPr="003B7293">
              <w:rPr>
                <w:bCs/>
                <w:sz w:val="18"/>
                <w:szCs w:val="18"/>
                <w:lang w:val="es-PY"/>
              </w:rPr>
              <w:t>entre empresas apoyadas por el programa y el grupo de control. Fuente: Registros de la UE y encuestas a empresas. Las encuestas a empresas permitirán definir el nivel de ventas de los beneficiarios y no beneficiarios en la línea de base.</w:t>
            </w:r>
          </w:p>
        </w:tc>
      </w:tr>
      <w:tr w:rsidR="008B74D3" w:rsidRPr="00C97B72" w14:paraId="2A70D006" w14:textId="77777777" w:rsidTr="00982A1E">
        <w:trPr>
          <w:gridBefore w:val="1"/>
          <w:cantSplit/>
          <w:trHeight w:val="228"/>
        </w:trPr>
        <w:tc>
          <w:tcPr>
            <w:tcW w:w="10710" w:type="dxa"/>
            <w:gridSpan w:val="5"/>
          </w:tcPr>
          <w:p w14:paraId="77343F64" w14:textId="77777777" w:rsidR="008B74D3" w:rsidRPr="00982A1E" w:rsidRDefault="008B74D3" w:rsidP="00982A1E">
            <w:pPr>
              <w:spacing w:before="0"/>
              <w:rPr>
                <w:color w:val="000000"/>
                <w:sz w:val="18"/>
                <w:lang w:val="es-ES"/>
              </w:rPr>
            </w:pPr>
            <w:r w:rsidRPr="002A6E56">
              <w:rPr>
                <w:rFonts w:cs="Arial"/>
                <w:b/>
                <w:sz w:val="18"/>
                <w:szCs w:val="18"/>
                <w:lang w:val="es-AR"/>
              </w:rPr>
              <w:t xml:space="preserve">Componente 2: </w:t>
            </w:r>
            <w:r w:rsidRPr="002A6E56">
              <w:rPr>
                <w:b/>
                <w:bCs/>
                <w:sz w:val="18"/>
                <w:szCs w:val="18"/>
                <w:lang w:val="es-ES"/>
              </w:rPr>
              <w:t>Inversiones Productivas y Logísticas para la Competitividad</w:t>
            </w:r>
          </w:p>
        </w:tc>
      </w:tr>
      <w:tr w:rsidR="00A81595" w:rsidRPr="00EB01BD" w14:paraId="77C2AC46" w14:textId="77777777" w:rsidTr="00EC34E2">
        <w:tblPrEx>
          <w:tblBorders>
            <w:insideH w:val="single" w:sz="6" w:space="0" w:color="auto"/>
            <w:insideV w:val="single" w:sz="6" w:space="0" w:color="auto"/>
          </w:tblBorders>
          <w:tblCellMar>
            <w:left w:w="108" w:type="dxa"/>
            <w:right w:w="108" w:type="dxa"/>
          </w:tblCellMar>
          <w:tblLook w:val="04A0" w:firstRow="1" w:lastRow="0" w:firstColumn="1" w:lastColumn="0" w:noHBand="0" w:noVBand="1"/>
        </w:tblPrEx>
        <w:trPr>
          <w:gridAfter w:val="1"/>
          <w:wAfter w:w="108" w:type="dxa"/>
          <w:trHeight w:val="327"/>
        </w:trPr>
        <w:tc>
          <w:tcPr>
            <w:tcW w:w="3960" w:type="dxa"/>
            <w:gridSpan w:val="2"/>
            <w:shd w:val="clear" w:color="000000" w:fill="FFFFFF"/>
            <w:hideMark/>
          </w:tcPr>
          <w:p w14:paraId="44E930D9" w14:textId="77777777" w:rsidR="008B74D3" w:rsidRPr="00EB01BD" w:rsidRDefault="008B74D3" w:rsidP="00982A1E">
            <w:pPr>
              <w:spacing w:before="0"/>
              <w:jc w:val="left"/>
              <w:rPr>
                <w:color w:val="000000"/>
                <w:spacing w:val="0"/>
                <w:sz w:val="18"/>
                <w:szCs w:val="18"/>
                <w:lang w:val="es-ES"/>
              </w:rPr>
            </w:pPr>
            <w:r w:rsidRPr="00EB01BD">
              <w:rPr>
                <w:color w:val="000000"/>
                <w:spacing w:val="0"/>
                <w:sz w:val="18"/>
                <w:szCs w:val="18"/>
                <w:lang w:val="es-ES"/>
              </w:rPr>
              <w:t>Costo de operación vehicular para Automóviles</w:t>
            </w:r>
          </w:p>
        </w:tc>
        <w:tc>
          <w:tcPr>
            <w:tcW w:w="1260" w:type="dxa"/>
            <w:shd w:val="clear" w:color="000000" w:fill="FFFFFF"/>
            <w:hideMark/>
          </w:tcPr>
          <w:p w14:paraId="4103D74A" w14:textId="77777777" w:rsidR="008B74D3" w:rsidRPr="00EB01BD" w:rsidRDefault="008B74D3" w:rsidP="00982A1E">
            <w:pPr>
              <w:spacing w:before="0"/>
              <w:jc w:val="center"/>
              <w:rPr>
                <w:color w:val="000000"/>
                <w:spacing w:val="0"/>
                <w:sz w:val="18"/>
                <w:szCs w:val="18"/>
                <w:lang w:val="en-US"/>
              </w:rPr>
            </w:pPr>
            <w:r w:rsidRPr="00EB01BD">
              <w:rPr>
                <w:color w:val="000000"/>
                <w:spacing w:val="0"/>
                <w:sz w:val="18"/>
                <w:szCs w:val="18"/>
                <w:lang w:val="en-US"/>
              </w:rPr>
              <w:t>US$/veh.km</w:t>
            </w:r>
          </w:p>
        </w:tc>
        <w:tc>
          <w:tcPr>
            <w:tcW w:w="810" w:type="dxa"/>
            <w:shd w:val="clear" w:color="000000" w:fill="FFFFFF"/>
            <w:hideMark/>
          </w:tcPr>
          <w:p w14:paraId="4B66FF49" w14:textId="77777777" w:rsidR="008B74D3" w:rsidRPr="00EB01BD" w:rsidRDefault="008B74D3" w:rsidP="00982A1E">
            <w:pPr>
              <w:spacing w:before="0"/>
              <w:jc w:val="left"/>
              <w:rPr>
                <w:color w:val="000000"/>
                <w:spacing w:val="0"/>
                <w:sz w:val="18"/>
                <w:szCs w:val="18"/>
                <w:lang w:val="en-US"/>
              </w:rPr>
            </w:pPr>
            <w:r>
              <w:rPr>
                <w:color w:val="000000"/>
                <w:spacing w:val="0"/>
                <w:sz w:val="18"/>
                <w:szCs w:val="18"/>
                <w:lang w:val="en-US"/>
              </w:rPr>
              <w:t>Anual</w:t>
            </w:r>
          </w:p>
        </w:tc>
        <w:tc>
          <w:tcPr>
            <w:tcW w:w="4680" w:type="dxa"/>
            <w:shd w:val="clear" w:color="000000" w:fill="FFFFFF"/>
          </w:tcPr>
          <w:p w14:paraId="495C5F59" w14:textId="77777777" w:rsidR="008B74D3" w:rsidRPr="00EB01BD" w:rsidRDefault="008B74D3" w:rsidP="00982A1E">
            <w:pPr>
              <w:spacing w:before="0"/>
              <w:jc w:val="left"/>
              <w:rPr>
                <w:color w:val="000000"/>
                <w:spacing w:val="0"/>
                <w:sz w:val="18"/>
                <w:szCs w:val="18"/>
                <w:lang w:val="es-ES"/>
              </w:rPr>
            </w:pPr>
            <w:r w:rsidRPr="00EB01BD">
              <w:rPr>
                <w:color w:val="000000"/>
                <w:spacing w:val="0"/>
                <w:sz w:val="18"/>
                <w:szCs w:val="18"/>
                <w:lang w:val="es-ES"/>
              </w:rPr>
              <w:t>Actualmente 0.60, se prev</w:t>
            </w:r>
            <w:r>
              <w:rPr>
                <w:color w:val="000000"/>
                <w:spacing w:val="0"/>
                <w:sz w:val="18"/>
                <w:szCs w:val="18"/>
                <w:lang w:val="es-ES"/>
              </w:rPr>
              <w:t>é</w:t>
            </w:r>
            <w:r w:rsidRPr="00EB01BD">
              <w:rPr>
                <w:color w:val="000000"/>
                <w:spacing w:val="0"/>
                <w:sz w:val="18"/>
                <w:szCs w:val="18"/>
                <w:lang w:val="es-ES"/>
              </w:rPr>
              <w:t xml:space="preserve"> una reducción en un 20%</w:t>
            </w:r>
          </w:p>
        </w:tc>
      </w:tr>
      <w:tr w:rsidR="00A81595" w:rsidRPr="00EB01BD" w14:paraId="2ACA63A4" w14:textId="77777777" w:rsidTr="00EC34E2">
        <w:tblPrEx>
          <w:tblBorders>
            <w:insideH w:val="single" w:sz="6" w:space="0" w:color="auto"/>
            <w:insideV w:val="single" w:sz="6" w:space="0" w:color="auto"/>
          </w:tblBorders>
          <w:tblCellMar>
            <w:left w:w="108" w:type="dxa"/>
            <w:right w:w="108" w:type="dxa"/>
          </w:tblCellMar>
          <w:tblLook w:val="04A0" w:firstRow="1" w:lastRow="0" w:firstColumn="1" w:lastColumn="0" w:noHBand="0" w:noVBand="1"/>
        </w:tblPrEx>
        <w:trPr>
          <w:gridAfter w:val="1"/>
          <w:wAfter w:w="108" w:type="dxa"/>
          <w:trHeight w:val="345"/>
        </w:trPr>
        <w:tc>
          <w:tcPr>
            <w:tcW w:w="3960" w:type="dxa"/>
            <w:gridSpan w:val="2"/>
            <w:shd w:val="clear" w:color="000000" w:fill="FFFFFF"/>
            <w:hideMark/>
          </w:tcPr>
          <w:p w14:paraId="0257FC8F" w14:textId="77777777" w:rsidR="008B74D3" w:rsidRPr="00EB01BD" w:rsidRDefault="008B74D3" w:rsidP="00982A1E">
            <w:pPr>
              <w:spacing w:before="0"/>
              <w:jc w:val="left"/>
              <w:rPr>
                <w:color w:val="000000"/>
                <w:spacing w:val="0"/>
                <w:sz w:val="18"/>
                <w:szCs w:val="18"/>
                <w:lang w:val="es-ES"/>
              </w:rPr>
            </w:pPr>
            <w:r w:rsidRPr="00EB01BD">
              <w:rPr>
                <w:color w:val="000000"/>
                <w:spacing w:val="0"/>
                <w:sz w:val="18"/>
                <w:szCs w:val="18"/>
                <w:lang w:val="es-ES"/>
              </w:rPr>
              <w:t>Velocidad para los Usuarios de Automóviles</w:t>
            </w:r>
          </w:p>
        </w:tc>
        <w:tc>
          <w:tcPr>
            <w:tcW w:w="1260" w:type="dxa"/>
            <w:shd w:val="clear" w:color="000000" w:fill="FFFFFF"/>
            <w:hideMark/>
          </w:tcPr>
          <w:p w14:paraId="0480A87C" w14:textId="77777777" w:rsidR="008B74D3" w:rsidRPr="00EB01BD" w:rsidRDefault="008B74D3" w:rsidP="00982A1E">
            <w:pPr>
              <w:spacing w:before="0"/>
              <w:jc w:val="center"/>
              <w:rPr>
                <w:color w:val="000000"/>
                <w:spacing w:val="0"/>
                <w:sz w:val="18"/>
                <w:szCs w:val="18"/>
                <w:lang w:val="en-US"/>
              </w:rPr>
            </w:pPr>
            <w:r w:rsidRPr="00EB01BD">
              <w:rPr>
                <w:color w:val="000000"/>
                <w:spacing w:val="0"/>
                <w:sz w:val="18"/>
                <w:szCs w:val="18"/>
                <w:lang w:val="en-US"/>
              </w:rPr>
              <w:t>km/h</w:t>
            </w:r>
          </w:p>
        </w:tc>
        <w:tc>
          <w:tcPr>
            <w:tcW w:w="810" w:type="dxa"/>
            <w:shd w:val="clear" w:color="000000" w:fill="FFFFFF"/>
            <w:hideMark/>
          </w:tcPr>
          <w:p w14:paraId="56CC48CE" w14:textId="77777777" w:rsidR="008B74D3" w:rsidRDefault="008B74D3" w:rsidP="00982A1E">
            <w:pPr>
              <w:spacing w:before="0"/>
              <w:jc w:val="left"/>
            </w:pPr>
            <w:r w:rsidRPr="00AC68A1">
              <w:rPr>
                <w:color w:val="000000"/>
                <w:spacing w:val="0"/>
                <w:sz w:val="18"/>
                <w:szCs w:val="18"/>
                <w:lang w:val="en-US"/>
              </w:rPr>
              <w:t>Anual</w:t>
            </w:r>
          </w:p>
        </w:tc>
        <w:tc>
          <w:tcPr>
            <w:tcW w:w="4680" w:type="dxa"/>
            <w:shd w:val="clear" w:color="000000" w:fill="FFFFFF"/>
          </w:tcPr>
          <w:p w14:paraId="7611FAAB" w14:textId="77777777" w:rsidR="008B74D3" w:rsidRPr="00EB01BD" w:rsidRDefault="008B74D3" w:rsidP="00982A1E">
            <w:pPr>
              <w:spacing w:before="0"/>
              <w:jc w:val="left"/>
              <w:rPr>
                <w:color w:val="000000"/>
                <w:spacing w:val="0"/>
                <w:sz w:val="18"/>
                <w:szCs w:val="18"/>
                <w:lang w:val="es-ES"/>
              </w:rPr>
            </w:pPr>
            <w:r w:rsidRPr="00EB01BD">
              <w:rPr>
                <w:color w:val="000000"/>
                <w:spacing w:val="0"/>
                <w:sz w:val="18"/>
                <w:szCs w:val="18"/>
                <w:lang w:val="es-ES"/>
              </w:rPr>
              <w:t xml:space="preserve">Actualmente </w:t>
            </w:r>
            <w:r>
              <w:rPr>
                <w:color w:val="000000"/>
                <w:spacing w:val="0"/>
                <w:sz w:val="18"/>
                <w:szCs w:val="18"/>
                <w:lang w:val="es-ES"/>
              </w:rPr>
              <w:t>25.00, se prevé un i</w:t>
            </w:r>
            <w:r w:rsidRPr="00EB01BD">
              <w:rPr>
                <w:color w:val="000000"/>
                <w:spacing w:val="0"/>
                <w:sz w:val="18"/>
                <w:szCs w:val="18"/>
                <w:lang w:val="es-ES"/>
              </w:rPr>
              <w:t>ncremento de un 25 %</w:t>
            </w:r>
          </w:p>
        </w:tc>
      </w:tr>
      <w:tr w:rsidR="00A81595" w:rsidRPr="00EB01BD" w14:paraId="067C5D8E" w14:textId="77777777" w:rsidTr="00EC34E2">
        <w:tblPrEx>
          <w:tblBorders>
            <w:insideH w:val="single" w:sz="6" w:space="0" w:color="auto"/>
            <w:insideV w:val="single" w:sz="6" w:space="0" w:color="auto"/>
          </w:tblBorders>
          <w:tblCellMar>
            <w:left w:w="108" w:type="dxa"/>
            <w:right w:w="108" w:type="dxa"/>
          </w:tblCellMar>
          <w:tblLook w:val="04A0" w:firstRow="1" w:lastRow="0" w:firstColumn="1" w:lastColumn="0" w:noHBand="0" w:noVBand="1"/>
        </w:tblPrEx>
        <w:trPr>
          <w:gridAfter w:val="1"/>
          <w:wAfter w:w="108" w:type="dxa"/>
          <w:trHeight w:val="345"/>
        </w:trPr>
        <w:tc>
          <w:tcPr>
            <w:tcW w:w="3960" w:type="dxa"/>
            <w:gridSpan w:val="2"/>
            <w:shd w:val="clear" w:color="000000" w:fill="FFFFFF"/>
            <w:hideMark/>
          </w:tcPr>
          <w:p w14:paraId="315D4540" w14:textId="77777777" w:rsidR="008B74D3" w:rsidRPr="00EB01BD" w:rsidRDefault="008B74D3" w:rsidP="00982A1E">
            <w:pPr>
              <w:spacing w:before="0"/>
              <w:jc w:val="left"/>
              <w:rPr>
                <w:color w:val="000000"/>
                <w:spacing w:val="0"/>
                <w:sz w:val="18"/>
                <w:szCs w:val="18"/>
                <w:lang w:val="es-ES"/>
              </w:rPr>
            </w:pPr>
            <w:r w:rsidRPr="00EB01BD">
              <w:rPr>
                <w:color w:val="000000"/>
                <w:spacing w:val="0"/>
                <w:sz w:val="18"/>
                <w:szCs w:val="18"/>
                <w:lang w:val="es-ES"/>
              </w:rPr>
              <w:t xml:space="preserve">Costo de operación vehicular para Autobuses </w:t>
            </w:r>
          </w:p>
        </w:tc>
        <w:tc>
          <w:tcPr>
            <w:tcW w:w="1260" w:type="dxa"/>
            <w:shd w:val="clear" w:color="000000" w:fill="FFFFFF"/>
            <w:hideMark/>
          </w:tcPr>
          <w:p w14:paraId="62366457" w14:textId="77777777" w:rsidR="008B74D3" w:rsidRPr="00EB01BD" w:rsidRDefault="008B74D3" w:rsidP="00982A1E">
            <w:pPr>
              <w:spacing w:before="0"/>
              <w:jc w:val="center"/>
              <w:rPr>
                <w:color w:val="000000"/>
                <w:spacing w:val="0"/>
                <w:sz w:val="18"/>
                <w:szCs w:val="18"/>
                <w:lang w:val="en-US"/>
              </w:rPr>
            </w:pPr>
            <w:r w:rsidRPr="00EB01BD">
              <w:rPr>
                <w:color w:val="000000"/>
                <w:spacing w:val="0"/>
                <w:sz w:val="18"/>
                <w:szCs w:val="18"/>
                <w:lang w:val="en-US"/>
              </w:rPr>
              <w:t xml:space="preserve">US$/veh.km </w:t>
            </w:r>
          </w:p>
        </w:tc>
        <w:tc>
          <w:tcPr>
            <w:tcW w:w="810" w:type="dxa"/>
            <w:shd w:val="clear" w:color="000000" w:fill="FFFFFF"/>
            <w:hideMark/>
          </w:tcPr>
          <w:p w14:paraId="5BB4515E" w14:textId="77777777" w:rsidR="008B74D3" w:rsidRDefault="008B74D3" w:rsidP="00982A1E">
            <w:pPr>
              <w:spacing w:before="0"/>
              <w:jc w:val="left"/>
            </w:pPr>
            <w:r w:rsidRPr="00AC68A1">
              <w:rPr>
                <w:color w:val="000000"/>
                <w:spacing w:val="0"/>
                <w:sz w:val="18"/>
                <w:szCs w:val="18"/>
                <w:lang w:val="en-US"/>
              </w:rPr>
              <w:t>Anual</w:t>
            </w:r>
          </w:p>
        </w:tc>
        <w:tc>
          <w:tcPr>
            <w:tcW w:w="4680" w:type="dxa"/>
            <w:shd w:val="clear" w:color="000000" w:fill="FFFFFF"/>
          </w:tcPr>
          <w:p w14:paraId="2FA27557" w14:textId="77777777" w:rsidR="008B74D3" w:rsidRPr="00EB01BD" w:rsidRDefault="008B74D3" w:rsidP="00982A1E">
            <w:pPr>
              <w:spacing w:before="0"/>
              <w:jc w:val="left"/>
              <w:rPr>
                <w:color w:val="000000"/>
                <w:spacing w:val="0"/>
                <w:sz w:val="18"/>
                <w:szCs w:val="18"/>
                <w:lang w:val="es-ES"/>
              </w:rPr>
            </w:pPr>
            <w:r w:rsidRPr="00EB01BD">
              <w:rPr>
                <w:color w:val="000000"/>
                <w:spacing w:val="0"/>
                <w:sz w:val="18"/>
                <w:szCs w:val="18"/>
                <w:lang w:val="es-ES"/>
              </w:rPr>
              <w:t xml:space="preserve">Actualmente </w:t>
            </w:r>
            <w:r>
              <w:rPr>
                <w:color w:val="000000"/>
                <w:spacing w:val="0"/>
                <w:sz w:val="18"/>
                <w:szCs w:val="18"/>
                <w:lang w:val="es-ES"/>
              </w:rPr>
              <w:t xml:space="preserve">5.93, se prevé </w:t>
            </w:r>
            <w:r w:rsidRPr="00EB01BD">
              <w:rPr>
                <w:color w:val="000000"/>
                <w:spacing w:val="0"/>
                <w:sz w:val="18"/>
                <w:szCs w:val="18"/>
                <w:lang w:val="es-ES"/>
              </w:rPr>
              <w:t>reducción en un 20%</w:t>
            </w:r>
          </w:p>
        </w:tc>
      </w:tr>
      <w:tr w:rsidR="00A81595" w:rsidRPr="00EB01BD" w14:paraId="594B090A" w14:textId="77777777" w:rsidTr="00EC34E2">
        <w:tblPrEx>
          <w:tblBorders>
            <w:insideH w:val="single" w:sz="6" w:space="0" w:color="auto"/>
            <w:insideV w:val="single" w:sz="6" w:space="0" w:color="auto"/>
          </w:tblBorders>
          <w:tblCellMar>
            <w:left w:w="108" w:type="dxa"/>
            <w:right w:w="108" w:type="dxa"/>
          </w:tblCellMar>
          <w:tblLook w:val="04A0" w:firstRow="1" w:lastRow="0" w:firstColumn="1" w:lastColumn="0" w:noHBand="0" w:noVBand="1"/>
        </w:tblPrEx>
        <w:trPr>
          <w:gridAfter w:val="1"/>
          <w:wAfter w:w="108" w:type="dxa"/>
          <w:trHeight w:val="345"/>
        </w:trPr>
        <w:tc>
          <w:tcPr>
            <w:tcW w:w="3960" w:type="dxa"/>
            <w:gridSpan w:val="2"/>
            <w:shd w:val="clear" w:color="000000" w:fill="FFFFFF"/>
            <w:hideMark/>
          </w:tcPr>
          <w:p w14:paraId="6C1DC6FB" w14:textId="77777777" w:rsidR="008B74D3" w:rsidRPr="00EB01BD" w:rsidRDefault="008B74D3" w:rsidP="00982A1E">
            <w:pPr>
              <w:spacing w:before="0"/>
              <w:jc w:val="left"/>
              <w:rPr>
                <w:color w:val="000000"/>
                <w:spacing w:val="0"/>
                <w:sz w:val="18"/>
                <w:szCs w:val="18"/>
                <w:lang w:val="es-ES"/>
              </w:rPr>
            </w:pPr>
            <w:r w:rsidRPr="00EB01BD">
              <w:rPr>
                <w:color w:val="000000"/>
                <w:spacing w:val="0"/>
                <w:sz w:val="18"/>
                <w:szCs w:val="18"/>
                <w:lang w:val="es-ES"/>
              </w:rPr>
              <w:t>Velocidad para los Usuarios de Autobuses</w:t>
            </w:r>
          </w:p>
        </w:tc>
        <w:tc>
          <w:tcPr>
            <w:tcW w:w="1260" w:type="dxa"/>
            <w:shd w:val="clear" w:color="000000" w:fill="FFFFFF"/>
            <w:hideMark/>
          </w:tcPr>
          <w:p w14:paraId="4D678671" w14:textId="77777777" w:rsidR="008B74D3" w:rsidRPr="00EB01BD" w:rsidRDefault="008B74D3" w:rsidP="00982A1E">
            <w:pPr>
              <w:spacing w:before="0"/>
              <w:jc w:val="center"/>
              <w:rPr>
                <w:color w:val="000000"/>
                <w:spacing w:val="0"/>
                <w:sz w:val="18"/>
                <w:szCs w:val="18"/>
                <w:lang w:val="en-US"/>
              </w:rPr>
            </w:pPr>
            <w:r w:rsidRPr="00EB01BD">
              <w:rPr>
                <w:color w:val="000000"/>
                <w:spacing w:val="0"/>
                <w:sz w:val="18"/>
                <w:szCs w:val="18"/>
                <w:lang w:val="en-US"/>
              </w:rPr>
              <w:t xml:space="preserve">km/h </w:t>
            </w:r>
          </w:p>
        </w:tc>
        <w:tc>
          <w:tcPr>
            <w:tcW w:w="810" w:type="dxa"/>
            <w:shd w:val="clear" w:color="000000" w:fill="FFFFFF"/>
            <w:hideMark/>
          </w:tcPr>
          <w:p w14:paraId="179D6F40" w14:textId="77777777" w:rsidR="008B74D3" w:rsidRDefault="008B74D3" w:rsidP="00982A1E">
            <w:pPr>
              <w:spacing w:before="0"/>
              <w:jc w:val="left"/>
            </w:pPr>
            <w:r w:rsidRPr="00AC68A1">
              <w:rPr>
                <w:color w:val="000000"/>
                <w:spacing w:val="0"/>
                <w:sz w:val="18"/>
                <w:szCs w:val="18"/>
                <w:lang w:val="en-US"/>
              </w:rPr>
              <w:t>Anual</w:t>
            </w:r>
          </w:p>
        </w:tc>
        <w:tc>
          <w:tcPr>
            <w:tcW w:w="4680" w:type="dxa"/>
            <w:shd w:val="clear" w:color="000000" w:fill="FFFFFF"/>
          </w:tcPr>
          <w:p w14:paraId="0DC1A7B2" w14:textId="77777777" w:rsidR="008B74D3" w:rsidRPr="00EB01BD" w:rsidRDefault="008B74D3" w:rsidP="00982A1E">
            <w:pPr>
              <w:spacing w:before="0"/>
              <w:jc w:val="left"/>
              <w:rPr>
                <w:color w:val="000000"/>
                <w:spacing w:val="0"/>
                <w:sz w:val="18"/>
                <w:szCs w:val="18"/>
                <w:lang w:val="es-ES"/>
              </w:rPr>
            </w:pPr>
            <w:r w:rsidRPr="00EB01BD">
              <w:rPr>
                <w:color w:val="000000"/>
                <w:spacing w:val="0"/>
                <w:sz w:val="18"/>
                <w:szCs w:val="18"/>
                <w:lang w:val="es-ES"/>
              </w:rPr>
              <w:t xml:space="preserve">Actualmente </w:t>
            </w:r>
            <w:r>
              <w:rPr>
                <w:color w:val="000000"/>
                <w:spacing w:val="0"/>
                <w:sz w:val="18"/>
                <w:szCs w:val="18"/>
                <w:lang w:val="es-ES"/>
              </w:rPr>
              <w:t xml:space="preserve">20.00, se prevé </w:t>
            </w:r>
            <w:r w:rsidRPr="00EB01BD">
              <w:rPr>
                <w:color w:val="000000"/>
                <w:spacing w:val="0"/>
                <w:sz w:val="18"/>
                <w:szCs w:val="18"/>
                <w:lang w:val="es-ES"/>
              </w:rPr>
              <w:t>incremento en un 40%</w:t>
            </w:r>
          </w:p>
        </w:tc>
      </w:tr>
      <w:tr w:rsidR="00A81595" w:rsidRPr="00EB01BD" w14:paraId="6F4C63F3" w14:textId="77777777" w:rsidTr="00EC34E2">
        <w:tblPrEx>
          <w:tblBorders>
            <w:insideH w:val="single" w:sz="6" w:space="0" w:color="auto"/>
            <w:insideV w:val="single" w:sz="6" w:space="0" w:color="auto"/>
          </w:tblBorders>
          <w:tblCellMar>
            <w:left w:w="108" w:type="dxa"/>
            <w:right w:w="108" w:type="dxa"/>
          </w:tblCellMar>
          <w:tblLook w:val="04A0" w:firstRow="1" w:lastRow="0" w:firstColumn="1" w:lastColumn="0" w:noHBand="0" w:noVBand="1"/>
        </w:tblPrEx>
        <w:trPr>
          <w:gridAfter w:val="1"/>
          <w:wAfter w:w="108" w:type="dxa"/>
          <w:trHeight w:val="345"/>
        </w:trPr>
        <w:tc>
          <w:tcPr>
            <w:tcW w:w="3960" w:type="dxa"/>
            <w:gridSpan w:val="2"/>
            <w:shd w:val="clear" w:color="000000" w:fill="FFFFFF"/>
            <w:hideMark/>
          </w:tcPr>
          <w:p w14:paraId="2EA6B95F" w14:textId="77777777" w:rsidR="008B74D3" w:rsidRPr="00EB01BD" w:rsidRDefault="008B74D3" w:rsidP="00982A1E">
            <w:pPr>
              <w:spacing w:before="0"/>
              <w:jc w:val="left"/>
              <w:rPr>
                <w:color w:val="000000"/>
                <w:spacing w:val="0"/>
                <w:sz w:val="18"/>
                <w:szCs w:val="18"/>
                <w:lang w:val="es-ES"/>
              </w:rPr>
            </w:pPr>
            <w:r w:rsidRPr="00EB01BD">
              <w:rPr>
                <w:color w:val="000000"/>
                <w:spacing w:val="0"/>
                <w:sz w:val="18"/>
                <w:szCs w:val="18"/>
                <w:lang w:val="es-ES"/>
              </w:rPr>
              <w:t>Costo de operación vehicular para Camiones Pesados</w:t>
            </w:r>
          </w:p>
        </w:tc>
        <w:tc>
          <w:tcPr>
            <w:tcW w:w="1260" w:type="dxa"/>
            <w:shd w:val="clear" w:color="000000" w:fill="FFFFFF"/>
            <w:hideMark/>
          </w:tcPr>
          <w:p w14:paraId="4D224B33" w14:textId="77777777" w:rsidR="008B74D3" w:rsidRPr="00EB01BD" w:rsidRDefault="008B74D3" w:rsidP="00982A1E">
            <w:pPr>
              <w:spacing w:before="0"/>
              <w:jc w:val="center"/>
              <w:rPr>
                <w:color w:val="000000"/>
                <w:spacing w:val="0"/>
                <w:sz w:val="18"/>
                <w:szCs w:val="18"/>
                <w:lang w:val="en-US"/>
              </w:rPr>
            </w:pPr>
            <w:r w:rsidRPr="00EB01BD">
              <w:rPr>
                <w:color w:val="000000"/>
                <w:spacing w:val="0"/>
                <w:sz w:val="18"/>
                <w:szCs w:val="18"/>
                <w:lang w:val="en-US"/>
              </w:rPr>
              <w:t xml:space="preserve">US$/veh.km </w:t>
            </w:r>
          </w:p>
        </w:tc>
        <w:tc>
          <w:tcPr>
            <w:tcW w:w="810" w:type="dxa"/>
            <w:shd w:val="clear" w:color="000000" w:fill="FFFFFF"/>
            <w:hideMark/>
          </w:tcPr>
          <w:p w14:paraId="37ABCDA0" w14:textId="77777777" w:rsidR="008B74D3" w:rsidRDefault="008B74D3" w:rsidP="00982A1E">
            <w:pPr>
              <w:spacing w:before="0"/>
              <w:jc w:val="left"/>
            </w:pPr>
            <w:r w:rsidRPr="00AC68A1">
              <w:rPr>
                <w:color w:val="000000"/>
                <w:spacing w:val="0"/>
                <w:sz w:val="18"/>
                <w:szCs w:val="18"/>
                <w:lang w:val="en-US"/>
              </w:rPr>
              <w:t>Anual</w:t>
            </w:r>
          </w:p>
        </w:tc>
        <w:tc>
          <w:tcPr>
            <w:tcW w:w="4680" w:type="dxa"/>
            <w:shd w:val="clear" w:color="000000" w:fill="FFFFFF"/>
          </w:tcPr>
          <w:p w14:paraId="54FC54C1" w14:textId="77777777" w:rsidR="008B74D3" w:rsidRPr="00EB01BD" w:rsidRDefault="008B74D3" w:rsidP="00982A1E">
            <w:pPr>
              <w:spacing w:before="0"/>
              <w:jc w:val="left"/>
              <w:rPr>
                <w:color w:val="000000"/>
                <w:spacing w:val="0"/>
                <w:sz w:val="18"/>
                <w:szCs w:val="18"/>
                <w:lang w:val="es-ES"/>
              </w:rPr>
            </w:pPr>
            <w:r w:rsidRPr="00EB01BD">
              <w:rPr>
                <w:color w:val="000000"/>
                <w:spacing w:val="0"/>
                <w:sz w:val="18"/>
                <w:szCs w:val="18"/>
                <w:lang w:val="es-ES"/>
              </w:rPr>
              <w:t xml:space="preserve">Actualmente </w:t>
            </w:r>
            <w:r>
              <w:rPr>
                <w:color w:val="000000"/>
                <w:spacing w:val="0"/>
                <w:sz w:val="18"/>
                <w:szCs w:val="18"/>
                <w:lang w:val="es-ES"/>
              </w:rPr>
              <w:t>3.19, se prevé r</w:t>
            </w:r>
            <w:r w:rsidRPr="00EB01BD">
              <w:rPr>
                <w:color w:val="000000"/>
                <w:spacing w:val="0"/>
                <w:sz w:val="18"/>
                <w:szCs w:val="18"/>
                <w:lang w:val="es-ES"/>
              </w:rPr>
              <w:t>educción en un 20%</w:t>
            </w:r>
          </w:p>
        </w:tc>
      </w:tr>
      <w:tr w:rsidR="00A81595" w:rsidRPr="00EB01BD" w14:paraId="4B0C9CB5" w14:textId="77777777" w:rsidTr="00EC34E2">
        <w:tblPrEx>
          <w:tblBorders>
            <w:insideH w:val="single" w:sz="6" w:space="0" w:color="auto"/>
            <w:insideV w:val="single" w:sz="6" w:space="0" w:color="auto"/>
          </w:tblBorders>
          <w:tblCellMar>
            <w:left w:w="108" w:type="dxa"/>
            <w:right w:w="108" w:type="dxa"/>
          </w:tblCellMar>
          <w:tblLook w:val="04A0" w:firstRow="1" w:lastRow="0" w:firstColumn="1" w:lastColumn="0" w:noHBand="0" w:noVBand="1"/>
        </w:tblPrEx>
        <w:trPr>
          <w:gridAfter w:val="1"/>
          <w:wAfter w:w="108" w:type="dxa"/>
          <w:trHeight w:val="345"/>
        </w:trPr>
        <w:tc>
          <w:tcPr>
            <w:tcW w:w="3960" w:type="dxa"/>
            <w:gridSpan w:val="2"/>
            <w:shd w:val="clear" w:color="000000" w:fill="FFFFFF"/>
            <w:hideMark/>
          </w:tcPr>
          <w:p w14:paraId="60A35A6F" w14:textId="77777777" w:rsidR="008B74D3" w:rsidRPr="00EB01BD" w:rsidRDefault="008B74D3" w:rsidP="00982A1E">
            <w:pPr>
              <w:spacing w:before="0"/>
              <w:jc w:val="left"/>
              <w:rPr>
                <w:color w:val="000000"/>
                <w:spacing w:val="0"/>
                <w:sz w:val="18"/>
                <w:szCs w:val="18"/>
                <w:lang w:val="es-ES"/>
              </w:rPr>
            </w:pPr>
            <w:r w:rsidRPr="00EB01BD">
              <w:rPr>
                <w:color w:val="000000"/>
                <w:spacing w:val="0"/>
                <w:sz w:val="18"/>
                <w:szCs w:val="18"/>
                <w:lang w:val="es-ES"/>
              </w:rPr>
              <w:t>Velocidad para los Usuarios de Camiones Pesados</w:t>
            </w:r>
          </w:p>
        </w:tc>
        <w:tc>
          <w:tcPr>
            <w:tcW w:w="1260" w:type="dxa"/>
            <w:shd w:val="clear" w:color="000000" w:fill="FFFFFF"/>
            <w:hideMark/>
          </w:tcPr>
          <w:p w14:paraId="75D14996" w14:textId="77777777" w:rsidR="008B74D3" w:rsidRPr="00EB01BD" w:rsidRDefault="008B74D3" w:rsidP="00982A1E">
            <w:pPr>
              <w:spacing w:before="0"/>
              <w:jc w:val="center"/>
              <w:rPr>
                <w:color w:val="000000"/>
                <w:spacing w:val="0"/>
                <w:sz w:val="18"/>
                <w:szCs w:val="18"/>
                <w:lang w:val="es-ES"/>
              </w:rPr>
            </w:pPr>
            <w:r w:rsidRPr="00EB01BD">
              <w:rPr>
                <w:color w:val="000000"/>
                <w:spacing w:val="0"/>
                <w:sz w:val="18"/>
                <w:szCs w:val="18"/>
                <w:lang w:val="es-ES"/>
              </w:rPr>
              <w:t>km/h</w:t>
            </w:r>
          </w:p>
        </w:tc>
        <w:tc>
          <w:tcPr>
            <w:tcW w:w="810" w:type="dxa"/>
            <w:shd w:val="clear" w:color="000000" w:fill="FFFFFF"/>
            <w:hideMark/>
          </w:tcPr>
          <w:p w14:paraId="7900E398" w14:textId="77777777" w:rsidR="008B74D3" w:rsidRDefault="008B74D3" w:rsidP="00982A1E">
            <w:pPr>
              <w:spacing w:before="0"/>
              <w:jc w:val="left"/>
            </w:pPr>
            <w:r w:rsidRPr="00AC68A1">
              <w:rPr>
                <w:color w:val="000000"/>
                <w:spacing w:val="0"/>
                <w:sz w:val="18"/>
                <w:szCs w:val="18"/>
                <w:lang w:val="en-US"/>
              </w:rPr>
              <w:t>Anual</w:t>
            </w:r>
          </w:p>
        </w:tc>
        <w:tc>
          <w:tcPr>
            <w:tcW w:w="4680" w:type="dxa"/>
            <w:shd w:val="clear" w:color="000000" w:fill="FFFFFF"/>
          </w:tcPr>
          <w:p w14:paraId="322831D6" w14:textId="77777777" w:rsidR="008B74D3" w:rsidRPr="00EB01BD" w:rsidRDefault="008B74D3" w:rsidP="00982A1E">
            <w:pPr>
              <w:spacing w:before="0"/>
              <w:jc w:val="left"/>
              <w:rPr>
                <w:color w:val="000000"/>
                <w:spacing w:val="0"/>
                <w:sz w:val="18"/>
                <w:szCs w:val="18"/>
                <w:lang w:val="es-ES"/>
              </w:rPr>
            </w:pPr>
            <w:r w:rsidRPr="00EB01BD">
              <w:rPr>
                <w:color w:val="000000"/>
                <w:spacing w:val="0"/>
                <w:sz w:val="18"/>
                <w:szCs w:val="18"/>
                <w:lang w:val="es-ES"/>
              </w:rPr>
              <w:t xml:space="preserve">Actualmente </w:t>
            </w:r>
            <w:r>
              <w:rPr>
                <w:color w:val="000000"/>
                <w:spacing w:val="0"/>
                <w:sz w:val="18"/>
                <w:szCs w:val="18"/>
                <w:lang w:val="es-ES"/>
              </w:rPr>
              <w:t>20.00, se prevé i</w:t>
            </w:r>
            <w:r w:rsidRPr="00EB01BD">
              <w:rPr>
                <w:color w:val="000000"/>
                <w:spacing w:val="0"/>
                <w:sz w:val="18"/>
                <w:szCs w:val="18"/>
                <w:lang w:val="es-ES"/>
              </w:rPr>
              <w:t>ncremento en un 40%</w:t>
            </w:r>
          </w:p>
        </w:tc>
      </w:tr>
      <w:tr w:rsidR="008B74D3" w:rsidRPr="00BA266A" w14:paraId="455D09C0" w14:textId="77777777" w:rsidTr="00982A1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trHeight w:val="366"/>
        </w:trPr>
        <w:tc>
          <w:tcPr>
            <w:tcW w:w="3960" w:type="dxa"/>
          </w:tcPr>
          <w:p w14:paraId="3DE4ADE9" w14:textId="46A66DA1" w:rsidR="008B74D3" w:rsidRPr="00BA266A" w:rsidDel="000D4942" w:rsidRDefault="00F3536A" w:rsidP="00982A1E">
            <w:pPr>
              <w:spacing w:before="0"/>
              <w:rPr>
                <w:b/>
                <w:sz w:val="18"/>
                <w:szCs w:val="18"/>
                <w:lang w:val="es-AR"/>
              </w:rPr>
            </w:pPr>
            <w:r w:rsidRPr="00F3536A">
              <w:rPr>
                <w:sz w:val="18"/>
                <w:szCs w:val="22"/>
                <w:lang w:val="es-ES"/>
              </w:rPr>
              <w:t>Cantidad de productores y pescadores artesanales que utilizan nuevas infraestructuras productivas (muelles, centros de acopio, comercialización y sistemas de cadena de frio)</w:t>
            </w:r>
          </w:p>
        </w:tc>
        <w:tc>
          <w:tcPr>
            <w:tcW w:w="1260" w:type="dxa"/>
          </w:tcPr>
          <w:p w14:paraId="08F09B8A" w14:textId="79C8896F" w:rsidR="008B74D3" w:rsidRPr="00BA266A" w:rsidDel="000D4942" w:rsidRDefault="00F3536A" w:rsidP="00982A1E">
            <w:pPr>
              <w:spacing w:before="0"/>
              <w:jc w:val="left"/>
              <w:rPr>
                <w:sz w:val="18"/>
                <w:szCs w:val="18"/>
              </w:rPr>
            </w:pPr>
            <w:r>
              <w:rPr>
                <w:sz w:val="18"/>
                <w:szCs w:val="18"/>
              </w:rPr>
              <w:t>Número de Productores</w:t>
            </w:r>
          </w:p>
        </w:tc>
        <w:tc>
          <w:tcPr>
            <w:tcW w:w="810" w:type="dxa"/>
          </w:tcPr>
          <w:p w14:paraId="118BB316" w14:textId="77777777" w:rsidR="008B74D3" w:rsidRPr="00BA266A" w:rsidDel="000D4942" w:rsidRDefault="008B74D3" w:rsidP="00982A1E">
            <w:pPr>
              <w:spacing w:before="0"/>
              <w:rPr>
                <w:sz w:val="18"/>
                <w:szCs w:val="18"/>
              </w:rPr>
            </w:pPr>
            <w:r w:rsidRPr="00BA266A">
              <w:rPr>
                <w:sz w:val="18"/>
                <w:szCs w:val="18"/>
                <w:lang w:val="es-ES"/>
              </w:rPr>
              <w:t>Anual</w:t>
            </w:r>
          </w:p>
        </w:tc>
        <w:tc>
          <w:tcPr>
            <w:tcW w:w="4680" w:type="dxa"/>
            <w:gridSpan w:val="2"/>
          </w:tcPr>
          <w:p w14:paraId="3761FE14" w14:textId="77777777" w:rsidR="008B74D3" w:rsidRPr="00BA266A" w:rsidDel="000D4942" w:rsidRDefault="008B74D3" w:rsidP="00982A1E">
            <w:pPr>
              <w:spacing w:before="0"/>
              <w:rPr>
                <w:b/>
                <w:sz w:val="18"/>
                <w:szCs w:val="18"/>
              </w:rPr>
            </w:pPr>
            <w:r w:rsidRPr="00BA266A">
              <w:rPr>
                <w:bCs/>
                <w:sz w:val="18"/>
                <w:szCs w:val="18"/>
                <w:lang w:val="es-PY"/>
              </w:rPr>
              <w:t xml:space="preserve">Fuente: Registros de la </w:t>
            </w:r>
            <w:r>
              <w:rPr>
                <w:bCs/>
                <w:sz w:val="18"/>
                <w:szCs w:val="18"/>
                <w:lang w:val="es-PY"/>
              </w:rPr>
              <w:t>UCP</w:t>
            </w:r>
            <w:r w:rsidRPr="00BA266A">
              <w:rPr>
                <w:bCs/>
                <w:sz w:val="18"/>
                <w:szCs w:val="18"/>
                <w:lang w:val="es-PY"/>
              </w:rPr>
              <w:t xml:space="preserve"> y encuestas a empresas. Aumentos respecto a la línea de base.</w:t>
            </w:r>
          </w:p>
        </w:tc>
      </w:tr>
      <w:tr w:rsidR="00A81595" w:rsidRPr="00EB01BD" w14:paraId="55399729" w14:textId="77777777" w:rsidTr="00EC34E2">
        <w:tblPrEx>
          <w:tblBorders>
            <w:insideH w:val="single" w:sz="6" w:space="0" w:color="auto"/>
            <w:insideV w:val="single" w:sz="6" w:space="0" w:color="auto"/>
          </w:tblBorders>
          <w:tblCellMar>
            <w:left w:w="108" w:type="dxa"/>
            <w:right w:w="108" w:type="dxa"/>
          </w:tblCellMar>
          <w:tblLook w:val="04A0" w:firstRow="1" w:lastRow="0" w:firstColumn="1" w:lastColumn="0" w:noHBand="0" w:noVBand="1"/>
        </w:tblPrEx>
        <w:trPr>
          <w:gridAfter w:val="1"/>
          <w:wAfter w:w="108" w:type="dxa"/>
          <w:trHeight w:val="345"/>
        </w:trPr>
        <w:tc>
          <w:tcPr>
            <w:tcW w:w="3960" w:type="dxa"/>
            <w:gridSpan w:val="2"/>
            <w:shd w:val="clear" w:color="000000" w:fill="FFFFFF"/>
            <w:vAlign w:val="center"/>
          </w:tcPr>
          <w:p w14:paraId="421E15DD" w14:textId="1D4D6043" w:rsidR="008B74D3" w:rsidRPr="00982A1E" w:rsidDel="000A0966" w:rsidRDefault="00F3536A" w:rsidP="00982A1E">
            <w:pPr>
              <w:spacing w:before="0"/>
              <w:jc w:val="left"/>
              <w:rPr>
                <w:sz w:val="18"/>
                <w:lang w:val="es-UY"/>
              </w:rPr>
            </w:pPr>
            <w:r>
              <w:rPr>
                <w:sz w:val="22"/>
                <w:szCs w:val="22"/>
                <w:lang w:val="es-UY"/>
              </w:rPr>
              <w:t xml:space="preserve"> </w:t>
            </w:r>
            <w:r w:rsidRPr="00F3536A">
              <w:rPr>
                <w:sz w:val="18"/>
                <w:szCs w:val="18"/>
                <w:lang w:val="es-UY"/>
              </w:rPr>
              <w:t>Tiempo adicional que se conservan los productos a una temperatura adecuada para evitar pérdidas</w:t>
            </w:r>
          </w:p>
        </w:tc>
        <w:tc>
          <w:tcPr>
            <w:tcW w:w="1260" w:type="dxa"/>
            <w:shd w:val="clear" w:color="000000" w:fill="FFFFFF"/>
            <w:vAlign w:val="center"/>
          </w:tcPr>
          <w:p w14:paraId="17398C8A" w14:textId="3C72A443" w:rsidR="008B74D3" w:rsidRPr="00C97B72" w:rsidRDefault="00F3536A" w:rsidP="00F15428">
            <w:pPr>
              <w:spacing w:before="0"/>
              <w:jc w:val="center"/>
              <w:rPr>
                <w:bCs/>
                <w:color w:val="000000"/>
                <w:sz w:val="18"/>
                <w:szCs w:val="18"/>
                <w:lang w:val="es-ES"/>
              </w:rPr>
            </w:pPr>
            <w:r>
              <w:rPr>
                <w:bCs/>
                <w:color w:val="000000"/>
                <w:sz w:val="18"/>
                <w:szCs w:val="18"/>
                <w:lang w:val="es-ES"/>
              </w:rPr>
              <w:t>Horas</w:t>
            </w:r>
          </w:p>
        </w:tc>
        <w:tc>
          <w:tcPr>
            <w:tcW w:w="810" w:type="dxa"/>
            <w:shd w:val="clear" w:color="000000" w:fill="FFFFFF"/>
            <w:vAlign w:val="center"/>
          </w:tcPr>
          <w:p w14:paraId="15D14807" w14:textId="1514617B" w:rsidR="008B74D3" w:rsidRPr="00C97B72" w:rsidRDefault="00F3536A" w:rsidP="00F15428">
            <w:pPr>
              <w:spacing w:before="0"/>
              <w:jc w:val="center"/>
              <w:rPr>
                <w:bCs/>
                <w:color w:val="000000"/>
                <w:sz w:val="18"/>
                <w:szCs w:val="18"/>
                <w:lang w:val="es-ES"/>
              </w:rPr>
            </w:pPr>
            <w:r>
              <w:rPr>
                <w:bCs/>
                <w:color w:val="000000"/>
                <w:sz w:val="18"/>
                <w:szCs w:val="18"/>
                <w:lang w:val="es-ES"/>
              </w:rPr>
              <w:t>Anual</w:t>
            </w:r>
          </w:p>
        </w:tc>
        <w:tc>
          <w:tcPr>
            <w:tcW w:w="4680" w:type="dxa"/>
            <w:shd w:val="clear" w:color="000000" w:fill="FFFFFF"/>
            <w:vAlign w:val="center"/>
          </w:tcPr>
          <w:p w14:paraId="18C4E95F" w14:textId="77777777" w:rsidR="008B74D3" w:rsidRPr="00C97B72" w:rsidRDefault="008B74D3" w:rsidP="00F15428">
            <w:pPr>
              <w:spacing w:before="0"/>
              <w:rPr>
                <w:bCs/>
                <w:color w:val="000000"/>
                <w:sz w:val="18"/>
                <w:szCs w:val="18"/>
                <w:lang w:val="es-ES"/>
              </w:rPr>
            </w:pPr>
            <w:r w:rsidRPr="00C97B72">
              <w:rPr>
                <w:bCs/>
                <w:color w:val="000000"/>
                <w:sz w:val="18"/>
                <w:szCs w:val="18"/>
                <w:lang w:val="es-ES"/>
              </w:rPr>
              <w:t>Base de datos del programa, sobre la base de los registros de CENDEPESCA y MINEC.</w:t>
            </w:r>
          </w:p>
        </w:tc>
      </w:tr>
      <w:tr w:rsidR="00982A1E" w:rsidRPr="00C97B72" w14:paraId="0F62C3EF" w14:textId="77777777" w:rsidTr="00982A1E">
        <w:trPr>
          <w:gridBefore w:val="1"/>
          <w:cantSplit/>
          <w:trHeight w:val="228"/>
        </w:trPr>
        <w:tc>
          <w:tcPr>
            <w:tcW w:w="10710" w:type="dxa"/>
            <w:gridSpan w:val="5"/>
            <w:tcBorders>
              <w:bottom w:val="single" w:sz="4" w:space="0" w:color="auto"/>
            </w:tcBorders>
            <w:vAlign w:val="center"/>
          </w:tcPr>
          <w:p w14:paraId="2BEF1E1B" w14:textId="2B456579" w:rsidR="00982A1E" w:rsidRPr="00982A1E" w:rsidRDefault="00982A1E" w:rsidP="00982A1E">
            <w:pPr>
              <w:spacing w:before="0"/>
              <w:rPr>
                <w:color w:val="000000"/>
                <w:sz w:val="18"/>
                <w:lang w:val="es-ES"/>
              </w:rPr>
            </w:pPr>
            <w:r w:rsidRPr="00C97B72">
              <w:rPr>
                <w:b/>
                <w:bCs/>
                <w:color w:val="000000"/>
                <w:sz w:val="18"/>
                <w:szCs w:val="18"/>
                <w:lang w:val="es-ES"/>
              </w:rPr>
              <w:t>Componente 3: Gestión Ambiental de la Franja Costero-Marítima</w:t>
            </w:r>
          </w:p>
        </w:tc>
      </w:tr>
      <w:tr w:rsidR="00A81595" w:rsidRPr="00C97B72" w14:paraId="20ECEFCD" w14:textId="77777777" w:rsidTr="00EC34E2">
        <w:trPr>
          <w:gridBefore w:val="1"/>
          <w:cantSplit/>
          <w:trHeight w:val="228"/>
        </w:trPr>
        <w:tc>
          <w:tcPr>
            <w:tcW w:w="3960" w:type="dxa"/>
            <w:tcBorders>
              <w:bottom w:val="single" w:sz="4" w:space="0" w:color="auto"/>
            </w:tcBorders>
            <w:vAlign w:val="center"/>
          </w:tcPr>
          <w:p w14:paraId="04DEE26D" w14:textId="49EC5591" w:rsidR="008B74D3" w:rsidRPr="00982A1E" w:rsidRDefault="00F3536A" w:rsidP="00F3536A">
            <w:pPr>
              <w:spacing w:before="0"/>
              <w:jc w:val="left"/>
              <w:rPr>
                <w:sz w:val="18"/>
                <w:lang w:val="es-UY"/>
              </w:rPr>
            </w:pPr>
            <w:r w:rsidRPr="00F3536A">
              <w:rPr>
                <w:sz w:val="18"/>
                <w:szCs w:val="22"/>
                <w:lang w:val="es-UY"/>
              </w:rPr>
              <w:t>Percepción favorable de la gestión ambiental en la Franja Costero Marin</w:t>
            </w:r>
            <w:r>
              <w:rPr>
                <w:sz w:val="18"/>
                <w:szCs w:val="22"/>
                <w:lang w:val="es-UY"/>
              </w:rPr>
              <w:t>a</w:t>
            </w:r>
          </w:p>
        </w:tc>
        <w:tc>
          <w:tcPr>
            <w:tcW w:w="1260" w:type="dxa"/>
            <w:tcBorders>
              <w:bottom w:val="single" w:sz="4" w:space="0" w:color="auto"/>
            </w:tcBorders>
            <w:vAlign w:val="center"/>
          </w:tcPr>
          <w:p w14:paraId="75A121F2" w14:textId="3D68AA66" w:rsidR="008B74D3" w:rsidRPr="00982A1E" w:rsidRDefault="008B74D3" w:rsidP="00982A1E">
            <w:pPr>
              <w:spacing w:before="0"/>
              <w:jc w:val="center"/>
              <w:rPr>
                <w:color w:val="000000"/>
                <w:sz w:val="18"/>
                <w:lang w:val="es-UY"/>
              </w:rPr>
            </w:pPr>
            <w:r>
              <w:rPr>
                <w:bCs/>
                <w:color w:val="000000"/>
                <w:sz w:val="18"/>
                <w:szCs w:val="18"/>
                <w:lang w:val="es-UY"/>
              </w:rPr>
              <w:t>%</w:t>
            </w:r>
            <w:r w:rsidR="00F3536A">
              <w:rPr>
                <w:bCs/>
                <w:color w:val="000000"/>
                <w:sz w:val="18"/>
                <w:szCs w:val="18"/>
                <w:lang w:val="es-UY"/>
              </w:rPr>
              <w:t xml:space="preserve"> Población</w:t>
            </w:r>
            <w:r w:rsidRPr="00C97B72">
              <w:rPr>
                <w:bCs/>
                <w:color w:val="000000"/>
                <w:sz w:val="18"/>
                <w:szCs w:val="18"/>
                <w:lang w:val="es-UY"/>
              </w:rPr>
              <w:t xml:space="preserve"> </w:t>
            </w:r>
          </w:p>
        </w:tc>
        <w:tc>
          <w:tcPr>
            <w:tcW w:w="810" w:type="dxa"/>
            <w:tcBorders>
              <w:bottom w:val="single" w:sz="4" w:space="0" w:color="auto"/>
            </w:tcBorders>
            <w:vAlign w:val="center"/>
          </w:tcPr>
          <w:p w14:paraId="41A04384" w14:textId="0A9B8A20" w:rsidR="008B74D3" w:rsidRPr="00982A1E" w:rsidRDefault="00F3536A" w:rsidP="00F3536A">
            <w:pPr>
              <w:spacing w:before="0"/>
              <w:jc w:val="center"/>
              <w:rPr>
                <w:color w:val="000000"/>
                <w:sz w:val="18"/>
                <w:lang w:val="es-ES"/>
              </w:rPr>
            </w:pPr>
            <w:r>
              <w:rPr>
                <w:color w:val="000000"/>
                <w:sz w:val="18"/>
                <w:lang w:val="es-ES"/>
              </w:rPr>
              <w:t>Bia</w:t>
            </w:r>
            <w:r w:rsidR="008B74D3" w:rsidRPr="00982A1E">
              <w:rPr>
                <w:color w:val="000000"/>
                <w:sz w:val="18"/>
                <w:lang w:val="es-ES"/>
              </w:rPr>
              <w:t>nual</w:t>
            </w:r>
          </w:p>
        </w:tc>
        <w:tc>
          <w:tcPr>
            <w:tcW w:w="4680" w:type="dxa"/>
            <w:gridSpan w:val="2"/>
            <w:tcBorders>
              <w:bottom w:val="single" w:sz="4" w:space="0" w:color="auto"/>
            </w:tcBorders>
            <w:vAlign w:val="center"/>
          </w:tcPr>
          <w:p w14:paraId="3C4AE982" w14:textId="0F11C027" w:rsidR="008B74D3" w:rsidRPr="00982A1E" w:rsidRDefault="00F3536A" w:rsidP="00982A1E">
            <w:pPr>
              <w:spacing w:before="0"/>
              <w:rPr>
                <w:color w:val="000000"/>
                <w:sz w:val="18"/>
                <w:lang w:val="es-ES"/>
              </w:rPr>
            </w:pPr>
            <w:r>
              <w:rPr>
                <w:bCs/>
                <w:color w:val="000000"/>
                <w:sz w:val="18"/>
                <w:szCs w:val="18"/>
                <w:lang w:val="es-ES"/>
              </w:rPr>
              <w:t>Encuestas de percecpción</w:t>
            </w:r>
          </w:p>
        </w:tc>
      </w:tr>
      <w:tr w:rsidR="00982A1E" w:rsidRPr="00C97B72" w14:paraId="382803B8" w14:textId="77777777" w:rsidTr="00982A1E">
        <w:trPr>
          <w:gridBefore w:val="1"/>
          <w:cantSplit/>
          <w:trHeight w:val="228"/>
        </w:trPr>
        <w:tc>
          <w:tcPr>
            <w:tcW w:w="10710" w:type="dxa"/>
            <w:gridSpan w:val="5"/>
            <w:vAlign w:val="center"/>
          </w:tcPr>
          <w:p w14:paraId="3E17F53D" w14:textId="26C60573" w:rsidR="00982A1E" w:rsidRPr="00982A1E" w:rsidRDefault="00982A1E" w:rsidP="00982A1E">
            <w:pPr>
              <w:spacing w:before="0"/>
              <w:rPr>
                <w:sz w:val="18"/>
                <w:lang w:val="es-ES"/>
              </w:rPr>
            </w:pPr>
            <w:r w:rsidRPr="00982A1E">
              <w:rPr>
                <w:b/>
                <w:color w:val="000000"/>
                <w:sz w:val="18"/>
                <w:lang w:val="es-ES"/>
              </w:rPr>
              <w:t>Componente 4: Fortalecimiento Institucional</w:t>
            </w:r>
          </w:p>
        </w:tc>
      </w:tr>
      <w:tr w:rsidR="00982A1E" w:rsidRPr="00C97B72" w14:paraId="3071C485" w14:textId="77777777" w:rsidTr="00F3536A">
        <w:trPr>
          <w:gridBefore w:val="1"/>
          <w:cantSplit/>
          <w:trHeight w:val="228"/>
        </w:trPr>
        <w:tc>
          <w:tcPr>
            <w:tcW w:w="3960" w:type="dxa"/>
            <w:vAlign w:val="center"/>
          </w:tcPr>
          <w:p w14:paraId="63A9916F" w14:textId="77777777" w:rsidR="00982A1E" w:rsidRPr="00982A1E" w:rsidRDefault="00982A1E" w:rsidP="00982A1E">
            <w:pPr>
              <w:spacing w:before="0"/>
              <w:jc w:val="left"/>
              <w:rPr>
                <w:sz w:val="18"/>
                <w:lang w:val="es-UY"/>
              </w:rPr>
            </w:pPr>
            <w:r w:rsidRPr="00C97B72">
              <w:rPr>
                <w:sz w:val="18"/>
                <w:szCs w:val="18"/>
                <w:lang w:val="es-ES"/>
              </w:rPr>
              <w:t>Aumento del porcentaje del presupuesto de inversión de las instituciones involucradas comprometido para el final del primer trimestre del año</w:t>
            </w:r>
          </w:p>
        </w:tc>
        <w:tc>
          <w:tcPr>
            <w:tcW w:w="1260" w:type="dxa"/>
            <w:vAlign w:val="center"/>
          </w:tcPr>
          <w:p w14:paraId="7B3D44E2" w14:textId="77777777" w:rsidR="00982A1E" w:rsidRPr="00982A1E" w:rsidRDefault="00982A1E" w:rsidP="00982A1E">
            <w:pPr>
              <w:spacing w:before="0"/>
              <w:jc w:val="center"/>
              <w:rPr>
                <w:color w:val="000000"/>
                <w:sz w:val="18"/>
                <w:lang w:val="es-ES"/>
              </w:rPr>
            </w:pPr>
            <w:r>
              <w:rPr>
                <w:bCs/>
                <w:color w:val="000000"/>
                <w:sz w:val="18"/>
                <w:szCs w:val="18"/>
                <w:lang w:val="es-ES"/>
              </w:rPr>
              <w:t>Aumento %</w:t>
            </w:r>
          </w:p>
        </w:tc>
        <w:tc>
          <w:tcPr>
            <w:tcW w:w="810" w:type="dxa"/>
            <w:vAlign w:val="center"/>
          </w:tcPr>
          <w:p w14:paraId="78889213" w14:textId="77777777" w:rsidR="00982A1E" w:rsidRPr="00982A1E" w:rsidRDefault="00982A1E" w:rsidP="00982A1E">
            <w:pPr>
              <w:spacing w:before="0"/>
              <w:jc w:val="center"/>
              <w:rPr>
                <w:color w:val="000000"/>
                <w:sz w:val="18"/>
                <w:lang w:val="es-ES"/>
              </w:rPr>
            </w:pPr>
            <w:r w:rsidRPr="00982A1E">
              <w:rPr>
                <w:color w:val="000000"/>
                <w:sz w:val="18"/>
                <w:lang w:val="es-ES"/>
              </w:rPr>
              <w:t>Anual</w:t>
            </w:r>
            <w:r>
              <w:rPr>
                <w:bCs/>
                <w:color w:val="000000"/>
                <w:sz w:val="18"/>
                <w:szCs w:val="18"/>
                <w:lang w:val="es-ES"/>
              </w:rPr>
              <w:t xml:space="preserve"> </w:t>
            </w:r>
          </w:p>
        </w:tc>
        <w:tc>
          <w:tcPr>
            <w:tcW w:w="4680" w:type="dxa"/>
            <w:gridSpan w:val="2"/>
            <w:vAlign w:val="center"/>
          </w:tcPr>
          <w:p w14:paraId="2A58EC66" w14:textId="77777777" w:rsidR="00982A1E" w:rsidRPr="00982A1E" w:rsidRDefault="00982A1E" w:rsidP="00982A1E">
            <w:pPr>
              <w:spacing w:before="0"/>
              <w:rPr>
                <w:color w:val="000000"/>
                <w:sz w:val="18"/>
                <w:lang w:val="es-ES"/>
              </w:rPr>
            </w:pPr>
            <w:r w:rsidRPr="00982A1E">
              <w:rPr>
                <w:sz w:val="18"/>
                <w:lang w:val="es-ES"/>
              </w:rPr>
              <w:t>Registros de UCP y presupuestos de las instituciones involucradas</w:t>
            </w:r>
            <w:r w:rsidRPr="00982A1E">
              <w:rPr>
                <w:color w:val="000000"/>
                <w:sz w:val="18"/>
                <w:lang w:val="es-ES"/>
              </w:rPr>
              <w:t>.</w:t>
            </w:r>
          </w:p>
        </w:tc>
      </w:tr>
    </w:tbl>
    <w:p w14:paraId="0B4466D1" w14:textId="77777777" w:rsidR="006E4283" w:rsidRPr="00982A1E" w:rsidRDefault="006E4283" w:rsidP="00EE1836">
      <w:pPr>
        <w:ind w:firstLine="708"/>
        <w:rPr>
          <w:lang w:val="es-ES"/>
        </w:rPr>
      </w:pPr>
    </w:p>
    <w:p w14:paraId="5A2919D8" w14:textId="77777777" w:rsidR="00FA5EC3" w:rsidRPr="00E6798C" w:rsidRDefault="00BB706A" w:rsidP="00A7776A">
      <w:pPr>
        <w:pStyle w:val="Heading4"/>
        <w:numPr>
          <w:ilvl w:val="0"/>
          <w:numId w:val="0"/>
        </w:numPr>
        <w:rPr>
          <w:rFonts w:ascii="Times New Roman" w:hAnsi="Times New Roman"/>
          <w:noProof w:val="0"/>
          <w:szCs w:val="24"/>
          <w:lang w:val="es-ES_tradnl"/>
        </w:rPr>
      </w:pPr>
      <w:r w:rsidRPr="00E6798C">
        <w:rPr>
          <w:rFonts w:ascii="Times New Roman" w:hAnsi="Times New Roman"/>
          <w:noProof w:val="0"/>
          <w:szCs w:val="24"/>
          <w:lang w:val="es-ES_tradnl"/>
        </w:rPr>
        <w:t xml:space="preserve">b. </w:t>
      </w:r>
      <w:r w:rsidR="00FA5EC3" w:rsidRPr="00E6798C">
        <w:rPr>
          <w:rFonts w:ascii="Times New Roman" w:hAnsi="Times New Roman"/>
          <w:noProof w:val="0"/>
          <w:szCs w:val="24"/>
          <w:lang w:val="es-ES_tradnl"/>
        </w:rPr>
        <w:t>Recolección</w:t>
      </w:r>
      <w:r w:rsidR="00A012C7" w:rsidRPr="00E6798C">
        <w:rPr>
          <w:rFonts w:ascii="Times New Roman" w:hAnsi="Times New Roman"/>
          <w:noProof w:val="0"/>
          <w:szCs w:val="24"/>
          <w:lang w:val="es-ES_tradnl"/>
        </w:rPr>
        <w:t xml:space="preserve"> de datos e instrumentos</w:t>
      </w:r>
    </w:p>
    <w:p w14:paraId="75D15CF7" w14:textId="77777777" w:rsidR="00310557" w:rsidRDefault="00310557" w:rsidP="00F51C77">
      <w:r>
        <w:t xml:space="preserve">El ejecutor del Programa será el Ministerio de Economía, y </w:t>
      </w:r>
      <w:r w:rsidRPr="002A6E56">
        <w:t xml:space="preserve">la Unidad </w:t>
      </w:r>
      <w:r>
        <w:t>Ejecutora</w:t>
      </w:r>
      <w:r w:rsidRPr="002A6E56">
        <w:t xml:space="preserve"> del Programa </w:t>
      </w:r>
      <w:r>
        <w:t>(</w:t>
      </w:r>
      <w:r w:rsidR="00EB01BD">
        <w:t>UCP</w:t>
      </w:r>
      <w:r>
        <w:t>) se ubicará</w:t>
      </w:r>
      <w:r w:rsidRPr="002A6E56">
        <w:t xml:space="preserve"> en la Dirección de Fomento Productivo, </w:t>
      </w:r>
      <w:r w:rsidRPr="00E6798C">
        <w:rPr>
          <w:szCs w:val="24"/>
          <w:lang w:val="es-ES"/>
        </w:rPr>
        <w:t xml:space="preserve">La </w:t>
      </w:r>
      <w:r w:rsidR="00EB01BD">
        <w:rPr>
          <w:szCs w:val="24"/>
          <w:lang w:val="es-ES"/>
        </w:rPr>
        <w:t>UCP</w:t>
      </w:r>
      <w:r w:rsidRPr="00E6798C">
        <w:rPr>
          <w:szCs w:val="24"/>
          <w:lang w:val="es-ES"/>
        </w:rPr>
        <w:t xml:space="preserve"> será responsable de la gestión del Programa, tanto de sus aspectos técnicos como de su coordinación</w:t>
      </w:r>
      <w:r w:rsidR="00F51C77" w:rsidRPr="00F51C77">
        <w:rPr>
          <w:szCs w:val="24"/>
          <w:lang w:val="es-ES"/>
        </w:rPr>
        <w:t xml:space="preserve"> </w:t>
      </w:r>
      <w:r w:rsidR="00F51C77" w:rsidRPr="00E6798C">
        <w:rPr>
          <w:szCs w:val="24"/>
          <w:lang w:val="es-ES"/>
        </w:rPr>
        <w:t>y estará orientada al cumplimiento oportuno de sus objetivos y metas</w:t>
      </w:r>
      <w:r w:rsidRPr="00E6798C">
        <w:rPr>
          <w:szCs w:val="24"/>
          <w:lang w:val="es-ES"/>
        </w:rPr>
        <w:t xml:space="preserve">.  </w:t>
      </w:r>
      <w:r w:rsidR="007C4426">
        <w:t>El MIN</w:t>
      </w:r>
      <w:r>
        <w:t xml:space="preserve">Ec coordinará las actividades de cada componente con las respectivas instituciones y firmará acuerdos de colaboración con cada una definiendo las responsabilidades de las partes. </w:t>
      </w:r>
    </w:p>
    <w:p w14:paraId="7BE86657" w14:textId="77777777" w:rsidR="00FA5EC3" w:rsidRPr="00145825" w:rsidRDefault="00FA5EC3" w:rsidP="00FA5EC3">
      <w:pPr>
        <w:rPr>
          <w:szCs w:val="24"/>
          <w:lang w:eastAsia="es-AR"/>
        </w:rPr>
      </w:pPr>
    </w:p>
    <w:p w14:paraId="1DAB0621" w14:textId="77777777" w:rsidR="00A4026F" w:rsidRPr="009E0CAD" w:rsidRDefault="00A4026F" w:rsidP="004F68F7">
      <w:pPr>
        <w:pStyle w:val="Paragraph"/>
        <w:numPr>
          <w:ilvl w:val="1"/>
          <w:numId w:val="0"/>
        </w:numPr>
        <w:tabs>
          <w:tab w:val="num" w:pos="720"/>
        </w:tabs>
        <w:spacing w:before="40" w:after="40"/>
        <w:rPr>
          <w:szCs w:val="24"/>
          <w:lang w:val="es-ES_tradnl"/>
        </w:rPr>
      </w:pPr>
      <w:r w:rsidRPr="00145825">
        <w:rPr>
          <w:b/>
          <w:szCs w:val="24"/>
          <w:lang w:val="es-ES_tradnl"/>
        </w:rPr>
        <w:t>Indicadores de productos</w:t>
      </w:r>
      <w:r w:rsidRPr="00145825">
        <w:rPr>
          <w:szCs w:val="24"/>
          <w:lang w:val="es-ES_tradnl"/>
        </w:rPr>
        <w:t>. Los indicadores de productos del programa serán generados por</w:t>
      </w:r>
      <w:r w:rsidR="004053CD" w:rsidRPr="00145825">
        <w:rPr>
          <w:szCs w:val="24"/>
          <w:lang w:val="es-ES_tradnl"/>
        </w:rPr>
        <w:t xml:space="preserve"> (ver Tabla 1 para su desagregación por indicador)</w:t>
      </w:r>
      <w:r w:rsidR="00153E89" w:rsidRPr="009E0CAD">
        <w:rPr>
          <w:szCs w:val="24"/>
          <w:lang w:val="es-ES_tradnl"/>
        </w:rPr>
        <w:t>:</w:t>
      </w:r>
    </w:p>
    <w:p w14:paraId="4516D078" w14:textId="77777777" w:rsidR="00153E89" w:rsidRPr="00E6798C" w:rsidRDefault="00153E89" w:rsidP="007C4426">
      <w:pPr>
        <w:pStyle w:val="Paragraph"/>
        <w:numPr>
          <w:ilvl w:val="0"/>
          <w:numId w:val="25"/>
        </w:numPr>
        <w:spacing w:before="40" w:after="40"/>
        <w:ind w:left="720"/>
        <w:rPr>
          <w:szCs w:val="24"/>
          <w:lang w:val="es-ES_tradnl"/>
        </w:rPr>
      </w:pPr>
      <w:r w:rsidRPr="00E6798C">
        <w:rPr>
          <w:szCs w:val="24"/>
          <w:lang w:val="es-NI"/>
        </w:rPr>
        <w:t>Informe de aprobación del Proyecto de Desarrollo Empresarial (PDE). Certificados de  desembolso.</w:t>
      </w:r>
    </w:p>
    <w:p w14:paraId="17485314" w14:textId="77777777" w:rsidR="00153E89" w:rsidRPr="00E6798C" w:rsidRDefault="00153E89" w:rsidP="007C4426">
      <w:pPr>
        <w:pStyle w:val="Paragraph"/>
        <w:numPr>
          <w:ilvl w:val="0"/>
          <w:numId w:val="25"/>
        </w:numPr>
        <w:spacing w:before="40" w:after="40"/>
        <w:ind w:left="720"/>
        <w:rPr>
          <w:szCs w:val="24"/>
          <w:lang w:val="es-ES_tradnl"/>
        </w:rPr>
      </w:pPr>
      <w:r w:rsidRPr="00E6798C">
        <w:rPr>
          <w:szCs w:val="24"/>
          <w:lang w:val="es-NI"/>
        </w:rPr>
        <w:t xml:space="preserve">Convenios de vinculación de </w:t>
      </w:r>
      <w:r w:rsidR="00F51C77">
        <w:rPr>
          <w:szCs w:val="24"/>
          <w:lang w:val="es-NI"/>
        </w:rPr>
        <w:t>las instituciones involucradas en cada componente con el MINEC</w:t>
      </w:r>
      <w:r w:rsidRPr="00E6798C">
        <w:rPr>
          <w:szCs w:val="24"/>
          <w:lang w:val="es-NI"/>
        </w:rPr>
        <w:t>.</w:t>
      </w:r>
    </w:p>
    <w:p w14:paraId="4CA7E4AE" w14:textId="77777777" w:rsidR="00153E89" w:rsidRPr="00E6798C" w:rsidRDefault="00153E89" w:rsidP="007C4426">
      <w:pPr>
        <w:pStyle w:val="Paragraph"/>
        <w:numPr>
          <w:ilvl w:val="0"/>
          <w:numId w:val="25"/>
        </w:numPr>
        <w:spacing w:before="40" w:after="40"/>
        <w:ind w:left="720"/>
        <w:rPr>
          <w:szCs w:val="24"/>
          <w:lang w:val="es-ES_tradnl"/>
        </w:rPr>
      </w:pPr>
      <w:r w:rsidRPr="00E6798C">
        <w:rPr>
          <w:szCs w:val="24"/>
          <w:lang w:val="es-NI"/>
        </w:rPr>
        <w:t>Planes de desarrollo institucional financiados. Certificados de desembolso.</w:t>
      </w:r>
    </w:p>
    <w:p w14:paraId="5FFCCCD0" w14:textId="77777777" w:rsidR="00153E89" w:rsidRPr="00E6798C" w:rsidRDefault="00153E89" w:rsidP="00153E89">
      <w:pPr>
        <w:ind w:left="720"/>
        <w:rPr>
          <w:szCs w:val="24"/>
          <w:lang w:val="pt-BR"/>
        </w:rPr>
      </w:pPr>
    </w:p>
    <w:p w14:paraId="004A2D18" w14:textId="77777777" w:rsidR="00A4026F" w:rsidRPr="009E0CAD" w:rsidRDefault="00A4026F" w:rsidP="004F68F7">
      <w:pPr>
        <w:pStyle w:val="Paragraph"/>
        <w:numPr>
          <w:ilvl w:val="1"/>
          <w:numId w:val="0"/>
        </w:numPr>
        <w:tabs>
          <w:tab w:val="num" w:pos="720"/>
        </w:tabs>
        <w:spacing w:before="40" w:after="40"/>
        <w:rPr>
          <w:szCs w:val="24"/>
          <w:lang w:val="es-ES_tradnl"/>
        </w:rPr>
      </w:pPr>
      <w:r w:rsidRPr="00145825">
        <w:rPr>
          <w:b/>
          <w:szCs w:val="24"/>
          <w:lang w:val="es-ES_tradnl"/>
        </w:rPr>
        <w:t>Indicadores de resultados</w:t>
      </w:r>
      <w:r w:rsidRPr="00145825">
        <w:rPr>
          <w:szCs w:val="24"/>
          <w:lang w:val="es-ES_tradnl"/>
        </w:rPr>
        <w:t xml:space="preserve">. </w:t>
      </w:r>
      <w:r w:rsidR="00153E89" w:rsidRPr="00145825">
        <w:rPr>
          <w:szCs w:val="24"/>
          <w:lang w:val="es-ES_tradnl"/>
        </w:rPr>
        <w:t xml:space="preserve">La información relativa a los resultados será </w:t>
      </w:r>
      <w:r w:rsidR="00D34666" w:rsidRPr="00145825">
        <w:rPr>
          <w:szCs w:val="24"/>
          <w:lang w:val="es-ES_tradnl"/>
        </w:rPr>
        <w:t>generada a través de la integración de las si</w:t>
      </w:r>
      <w:r w:rsidR="004053CD" w:rsidRPr="00145825">
        <w:rPr>
          <w:szCs w:val="24"/>
          <w:lang w:val="es-ES_tradnl"/>
        </w:rPr>
        <w:t>guientes fue</w:t>
      </w:r>
      <w:r w:rsidR="008C52EC">
        <w:rPr>
          <w:szCs w:val="24"/>
          <w:lang w:val="es-ES_tradnl"/>
        </w:rPr>
        <w:t>ntes de información (ver Tabla 2</w:t>
      </w:r>
      <w:r w:rsidR="004053CD" w:rsidRPr="00145825">
        <w:rPr>
          <w:szCs w:val="24"/>
          <w:lang w:val="es-ES_tradnl"/>
        </w:rPr>
        <w:t xml:space="preserve"> para su desagregación por indicador):</w:t>
      </w:r>
    </w:p>
    <w:p w14:paraId="38B0A9EA" w14:textId="77777777" w:rsidR="00D34666" w:rsidRPr="007C4426" w:rsidRDefault="00D34666" w:rsidP="007C4426">
      <w:pPr>
        <w:pStyle w:val="ListParagraph"/>
        <w:numPr>
          <w:ilvl w:val="0"/>
          <w:numId w:val="24"/>
        </w:numPr>
        <w:rPr>
          <w:lang w:val="es-NI"/>
        </w:rPr>
      </w:pPr>
      <w:r w:rsidRPr="007C4426">
        <w:rPr>
          <w:lang w:val="es-NI"/>
        </w:rPr>
        <w:t>Base de datos del sistema de monitoreo y evaluación del Programa.</w:t>
      </w:r>
    </w:p>
    <w:p w14:paraId="6C7358B0" w14:textId="77777777" w:rsidR="00D34666" w:rsidRPr="00E6798C" w:rsidRDefault="00D34666" w:rsidP="007C4426">
      <w:pPr>
        <w:pStyle w:val="ListParagraph"/>
        <w:numPr>
          <w:ilvl w:val="0"/>
          <w:numId w:val="24"/>
        </w:numPr>
        <w:rPr>
          <w:lang w:val="es-ES_tradnl"/>
        </w:rPr>
      </w:pPr>
      <w:r w:rsidRPr="007C4426">
        <w:rPr>
          <w:lang w:val="es-NI"/>
        </w:rPr>
        <w:t>Encuesta a empresas participantes en el Programa y al grupo de control.</w:t>
      </w:r>
    </w:p>
    <w:p w14:paraId="201E48A2" w14:textId="77777777" w:rsidR="00D34666" w:rsidRPr="007C4426" w:rsidRDefault="00D34666" w:rsidP="007C4426">
      <w:pPr>
        <w:pStyle w:val="ListParagraph"/>
        <w:numPr>
          <w:ilvl w:val="0"/>
          <w:numId w:val="24"/>
        </w:numPr>
        <w:rPr>
          <w:lang w:val="es-NI"/>
        </w:rPr>
      </w:pPr>
      <w:r w:rsidRPr="007C4426">
        <w:rPr>
          <w:lang w:val="es-NI"/>
        </w:rPr>
        <w:t>Evaluación intermedia y final de ejecución del Programa</w:t>
      </w:r>
      <w:r w:rsidR="0058549F" w:rsidRPr="007C4426">
        <w:rPr>
          <w:lang w:val="es-NI"/>
        </w:rPr>
        <w:t>.</w:t>
      </w:r>
    </w:p>
    <w:p w14:paraId="44D52985" w14:textId="77777777" w:rsidR="00D34666" w:rsidRPr="007C4426" w:rsidRDefault="00D34666" w:rsidP="007C4426">
      <w:pPr>
        <w:pStyle w:val="ListParagraph"/>
        <w:numPr>
          <w:ilvl w:val="0"/>
          <w:numId w:val="24"/>
        </w:numPr>
        <w:rPr>
          <w:lang w:val="es-NI"/>
        </w:rPr>
      </w:pPr>
      <w:r w:rsidRPr="007C4426">
        <w:rPr>
          <w:lang w:val="es-NI"/>
        </w:rPr>
        <w:t>Informes semestrales de ejecución</w:t>
      </w:r>
      <w:r w:rsidR="0058549F" w:rsidRPr="007C4426">
        <w:rPr>
          <w:lang w:val="es-NI"/>
        </w:rPr>
        <w:t>.</w:t>
      </w:r>
    </w:p>
    <w:p w14:paraId="40A6B5C6" w14:textId="77777777" w:rsidR="00D34666" w:rsidRPr="007C4426" w:rsidRDefault="00D34666" w:rsidP="007C4426">
      <w:pPr>
        <w:pStyle w:val="ListParagraph"/>
        <w:numPr>
          <w:ilvl w:val="0"/>
          <w:numId w:val="24"/>
        </w:numPr>
        <w:rPr>
          <w:lang w:val="es-NI"/>
        </w:rPr>
      </w:pPr>
      <w:r w:rsidRPr="007C4426">
        <w:rPr>
          <w:lang w:val="es-NI"/>
        </w:rPr>
        <w:t>Reportes del sistema de monitoreo y evaluación</w:t>
      </w:r>
      <w:r w:rsidR="0058549F" w:rsidRPr="007C4426">
        <w:rPr>
          <w:lang w:val="es-NI"/>
        </w:rPr>
        <w:t>.</w:t>
      </w:r>
    </w:p>
    <w:p w14:paraId="56983A54" w14:textId="77777777" w:rsidR="00846664" w:rsidRDefault="00846664" w:rsidP="00F93A86">
      <w:pPr>
        <w:rPr>
          <w:szCs w:val="24"/>
          <w:lang w:val="es-NI"/>
        </w:rPr>
      </w:pPr>
      <w:r>
        <w:rPr>
          <w:szCs w:val="24"/>
          <w:lang w:val="es-NI"/>
        </w:rPr>
        <w:t xml:space="preserve">Los Componentes I y II serán objeto de evaluaciones detalladas. </w:t>
      </w:r>
      <w:r w:rsidR="00816B3B">
        <w:rPr>
          <w:szCs w:val="24"/>
          <w:lang w:val="es-NI"/>
        </w:rPr>
        <w:t xml:space="preserve">El impacto de </w:t>
      </w:r>
      <w:r>
        <w:rPr>
          <w:szCs w:val="24"/>
          <w:lang w:val="es-NI"/>
        </w:rPr>
        <w:t xml:space="preserve">la ejecución del Componente III </w:t>
      </w:r>
      <w:r w:rsidR="00816B3B">
        <w:rPr>
          <w:szCs w:val="24"/>
          <w:lang w:val="es-NI"/>
        </w:rPr>
        <w:t xml:space="preserve">será función de la posterior implementación de las intervenciones para las cuales se realizarán planes y estudios de factibilidad. </w:t>
      </w:r>
      <w:r>
        <w:rPr>
          <w:szCs w:val="24"/>
          <w:lang w:val="es-NI"/>
        </w:rPr>
        <w:t xml:space="preserve">La efectividad del Componente IV será reflejada en la buena ejecución de todos los otros componentes. </w:t>
      </w:r>
    </w:p>
    <w:p w14:paraId="29029AB5" w14:textId="2C353E41" w:rsidR="00846664" w:rsidRDefault="008A5A48" w:rsidP="00F93A86">
      <w:pPr>
        <w:rPr>
          <w:szCs w:val="24"/>
          <w:lang w:val="es-NI"/>
        </w:rPr>
      </w:pPr>
      <w:r>
        <w:rPr>
          <w:szCs w:val="24"/>
          <w:lang w:val="es-NI"/>
        </w:rPr>
        <w:t xml:space="preserve">Con el objeto de mantener un monitoreo adecuado a potenciales diferencias de género en la adjudicación de apoyos o proyectos </w:t>
      </w:r>
      <w:r w:rsidR="00D4583D">
        <w:rPr>
          <w:szCs w:val="24"/>
          <w:lang w:val="es-NI"/>
        </w:rPr>
        <w:t>de cofinanciamiento</w:t>
      </w:r>
      <w:r w:rsidR="0023442F">
        <w:rPr>
          <w:szCs w:val="24"/>
          <w:lang w:val="es-NI"/>
        </w:rPr>
        <w:t>,</w:t>
      </w:r>
      <w:r w:rsidR="00D4583D">
        <w:rPr>
          <w:szCs w:val="24"/>
          <w:lang w:val="es-NI"/>
        </w:rPr>
        <w:t xml:space="preserve"> </w:t>
      </w:r>
      <w:r w:rsidR="0023442F">
        <w:rPr>
          <w:szCs w:val="24"/>
          <w:lang w:val="es-NI"/>
        </w:rPr>
        <w:t>al momento de levantar los datos para los indicadores de resultados del Componente I (ver Tabla 2)</w:t>
      </w:r>
      <w:r w:rsidR="00D4583D" w:rsidRPr="00D4583D">
        <w:rPr>
          <w:szCs w:val="24"/>
          <w:lang w:val="es-NI"/>
        </w:rPr>
        <w:t xml:space="preserve"> se incluirá la información que permita separar los datos de </w:t>
      </w:r>
      <w:r w:rsidR="0023442F">
        <w:rPr>
          <w:szCs w:val="24"/>
          <w:lang w:val="es-NI"/>
        </w:rPr>
        <w:t xml:space="preserve">empresas lideradas por </w:t>
      </w:r>
      <w:r w:rsidR="00D4583D" w:rsidRPr="00D4583D">
        <w:rPr>
          <w:szCs w:val="24"/>
          <w:lang w:val="es-NI"/>
        </w:rPr>
        <w:t>mujeres y hombre</w:t>
      </w:r>
      <w:r w:rsidR="00DA5A5A">
        <w:rPr>
          <w:szCs w:val="24"/>
          <w:lang w:val="es-NI"/>
        </w:rPr>
        <w:t>s</w:t>
      </w:r>
      <w:r w:rsidR="00D4583D" w:rsidRPr="00D4583D">
        <w:rPr>
          <w:szCs w:val="24"/>
          <w:lang w:val="es-NI"/>
        </w:rPr>
        <w:t xml:space="preserve"> de forma que se pueda medir</w:t>
      </w:r>
      <w:r w:rsidR="0023442F">
        <w:rPr>
          <w:szCs w:val="24"/>
          <w:lang w:val="es-NI"/>
        </w:rPr>
        <w:t xml:space="preserve"> y hacer los análisis correspondientes.</w:t>
      </w:r>
    </w:p>
    <w:p w14:paraId="06F86E9F" w14:textId="77777777" w:rsidR="008A5A48" w:rsidRPr="00E6798C" w:rsidRDefault="008A5A48" w:rsidP="00F93A86">
      <w:pPr>
        <w:rPr>
          <w:szCs w:val="24"/>
          <w:lang w:val="es-NI"/>
        </w:rPr>
      </w:pPr>
    </w:p>
    <w:p w14:paraId="63F5E4B3" w14:textId="77777777" w:rsidR="00F93A86" w:rsidRPr="00145825" w:rsidRDefault="00F93A86" w:rsidP="00F93A86">
      <w:pPr>
        <w:spacing w:line="360" w:lineRule="auto"/>
        <w:contextualSpacing/>
        <w:rPr>
          <w:b/>
          <w:szCs w:val="24"/>
          <w:lang w:val="es-ES"/>
        </w:rPr>
      </w:pPr>
      <w:r w:rsidRPr="00145825">
        <w:rPr>
          <w:b/>
          <w:szCs w:val="24"/>
          <w:lang w:val="es-ES"/>
        </w:rPr>
        <w:t>c. Reporte de los resultados de monitoreo</w:t>
      </w:r>
    </w:p>
    <w:p w14:paraId="6B5383C9" w14:textId="77777777" w:rsidR="00404BE6" w:rsidRPr="00E6798C" w:rsidRDefault="00404BE6" w:rsidP="00404BE6">
      <w:pPr>
        <w:pStyle w:val="AutoNumpara"/>
        <w:numPr>
          <w:ilvl w:val="0"/>
          <w:numId w:val="0"/>
        </w:numPr>
        <w:rPr>
          <w:szCs w:val="24"/>
        </w:rPr>
      </w:pPr>
      <w:r w:rsidRPr="00FF1367">
        <w:rPr>
          <w:szCs w:val="24"/>
        </w:rPr>
        <w:t>El área de Monitoreo y Evaluación realizará informes de gestión mensuales con información relevada de las bases de datos del Programa</w:t>
      </w:r>
      <w:r w:rsidR="00F5706F" w:rsidRPr="00FF1367">
        <w:rPr>
          <w:szCs w:val="24"/>
        </w:rPr>
        <w:t>.</w:t>
      </w:r>
    </w:p>
    <w:p w14:paraId="7DF3B146" w14:textId="77777777" w:rsidR="00817471" w:rsidRPr="00145825" w:rsidRDefault="00817471" w:rsidP="00817471">
      <w:pPr>
        <w:tabs>
          <w:tab w:val="left" w:pos="540"/>
        </w:tabs>
        <w:spacing w:before="40" w:after="40"/>
        <w:rPr>
          <w:color w:val="000000"/>
          <w:szCs w:val="24"/>
        </w:rPr>
      </w:pPr>
      <w:r w:rsidRPr="00145825">
        <w:rPr>
          <w:szCs w:val="24"/>
        </w:rPr>
        <w:t xml:space="preserve">La </w:t>
      </w:r>
      <w:r w:rsidR="00EB01BD">
        <w:rPr>
          <w:szCs w:val="24"/>
        </w:rPr>
        <w:t>UCP</w:t>
      </w:r>
      <w:r w:rsidRPr="00145825">
        <w:rPr>
          <w:szCs w:val="24"/>
        </w:rPr>
        <w:t xml:space="preserve"> será responsable de la preparación de los </w:t>
      </w:r>
      <w:r w:rsidRPr="00145825">
        <w:rPr>
          <w:b/>
          <w:szCs w:val="24"/>
        </w:rPr>
        <w:t>informes de monitoreo del programa</w:t>
      </w:r>
      <w:r w:rsidRPr="00145825">
        <w:rPr>
          <w:szCs w:val="24"/>
        </w:rPr>
        <w:t xml:space="preserve">, lo cuales serán periódicamente entregados al Banco. En particular, la </w:t>
      </w:r>
      <w:r w:rsidR="00EB01BD">
        <w:rPr>
          <w:szCs w:val="24"/>
        </w:rPr>
        <w:t>UCP</w:t>
      </w:r>
      <w:r w:rsidRPr="00145825">
        <w:rPr>
          <w:szCs w:val="24"/>
        </w:rPr>
        <w:t xml:space="preserve"> entregará dentro de los sesenta días siguientes a la finalización de cada semestre calendario:</w:t>
      </w:r>
    </w:p>
    <w:p w14:paraId="08E4C2FE" w14:textId="77777777" w:rsidR="00404BE6" w:rsidRPr="00E6798C" w:rsidRDefault="00404BE6" w:rsidP="00483078">
      <w:pPr>
        <w:pStyle w:val="ListParagraph"/>
        <w:numPr>
          <w:ilvl w:val="0"/>
          <w:numId w:val="4"/>
        </w:numPr>
        <w:spacing w:before="40" w:after="40"/>
        <w:textAlignment w:val="top"/>
        <w:rPr>
          <w:color w:val="000000"/>
          <w:szCs w:val="24"/>
          <w:lang w:val="es-AR"/>
        </w:rPr>
      </w:pPr>
      <w:r w:rsidRPr="00E6798C">
        <w:rPr>
          <w:szCs w:val="24"/>
          <w:lang w:val="es-ES_tradnl"/>
        </w:rPr>
        <w:t xml:space="preserve">Un informe con el avance en la ejecución de las actividades del proyecto incluyendo el detalle de los productos alcanzados y su ejecución según los indicadores de la Matriz de Resultados del programa; </w:t>
      </w:r>
      <w:r w:rsidR="00004C1D" w:rsidRPr="00E6798C">
        <w:rPr>
          <w:szCs w:val="24"/>
          <w:lang w:val="es-ES_tradnl"/>
        </w:rPr>
        <w:t xml:space="preserve">este informe debe incluir la situación de las actividades </w:t>
      </w:r>
      <w:r w:rsidR="007B41B0" w:rsidRPr="00E6798C">
        <w:rPr>
          <w:szCs w:val="24"/>
          <w:lang w:val="es-ES_tradnl"/>
        </w:rPr>
        <w:t>así</w:t>
      </w:r>
      <w:r w:rsidR="00004C1D" w:rsidRPr="00E6798C">
        <w:rPr>
          <w:szCs w:val="24"/>
          <w:lang w:val="es-ES_tradnl"/>
        </w:rPr>
        <w:t xml:space="preserve"> como también </w:t>
      </w:r>
      <w:r w:rsidR="00004C1D" w:rsidRPr="00E6798C">
        <w:rPr>
          <w:szCs w:val="24"/>
          <w:lang w:val="es-AR"/>
        </w:rPr>
        <w:t>la identificación de problemas y riesgos, y las acciones propuestas para resolverlos;</w:t>
      </w:r>
    </w:p>
    <w:p w14:paraId="4B1947CA" w14:textId="77777777" w:rsidR="00404BE6" w:rsidRPr="00E6798C" w:rsidRDefault="00404BE6" w:rsidP="00483078">
      <w:pPr>
        <w:pStyle w:val="ListParagraph"/>
        <w:numPr>
          <w:ilvl w:val="0"/>
          <w:numId w:val="4"/>
        </w:numPr>
        <w:spacing w:before="40" w:after="40"/>
        <w:textAlignment w:val="top"/>
        <w:rPr>
          <w:color w:val="000000"/>
          <w:szCs w:val="24"/>
          <w:lang w:val="es-AR"/>
        </w:rPr>
      </w:pPr>
      <w:r w:rsidRPr="00E6798C">
        <w:rPr>
          <w:szCs w:val="24"/>
          <w:lang w:val="es-ES_tradnl"/>
        </w:rPr>
        <w:t xml:space="preserve">El informe de monitoreo y evaluación basándose en el plan diseñado por el equipo </w:t>
      </w:r>
      <w:r w:rsidRPr="00E6798C">
        <w:rPr>
          <w:szCs w:val="24"/>
          <w:lang w:val="es-AR"/>
        </w:rPr>
        <w:t xml:space="preserve">de proyecto; </w:t>
      </w:r>
    </w:p>
    <w:p w14:paraId="23E3EF18" w14:textId="77777777" w:rsidR="00404BE6" w:rsidRPr="00E6798C" w:rsidRDefault="00F5706F" w:rsidP="00483078">
      <w:pPr>
        <w:spacing w:before="40" w:after="40"/>
        <w:textAlignment w:val="top"/>
        <w:rPr>
          <w:color w:val="000000"/>
          <w:szCs w:val="24"/>
          <w:lang w:val="es-AR"/>
        </w:rPr>
      </w:pPr>
      <w:r w:rsidRPr="00E6798C">
        <w:rPr>
          <w:color w:val="000000"/>
          <w:szCs w:val="24"/>
          <w:lang w:val="es-AR"/>
        </w:rPr>
        <w:lastRenderedPageBreak/>
        <w:t xml:space="preserve">La </w:t>
      </w:r>
      <w:r w:rsidR="00EB01BD">
        <w:rPr>
          <w:color w:val="000000"/>
          <w:szCs w:val="24"/>
          <w:lang w:val="es-AR"/>
        </w:rPr>
        <w:t>UCP</w:t>
      </w:r>
      <w:r w:rsidRPr="00E6798C">
        <w:rPr>
          <w:color w:val="000000"/>
          <w:szCs w:val="24"/>
          <w:lang w:val="es-AR"/>
        </w:rPr>
        <w:t xml:space="preserve"> también será responsable de la preparación del </w:t>
      </w:r>
      <w:r w:rsidR="00817471" w:rsidRPr="00E6798C">
        <w:rPr>
          <w:b/>
          <w:szCs w:val="24"/>
          <w:lang w:val="es-AR"/>
        </w:rPr>
        <w:t>Informe de medio término</w:t>
      </w:r>
      <w:r w:rsidRPr="00E6798C">
        <w:rPr>
          <w:szCs w:val="24"/>
          <w:lang w:val="es-AR"/>
        </w:rPr>
        <w:t xml:space="preserve"> y el </w:t>
      </w:r>
      <w:r w:rsidRPr="00E6798C">
        <w:rPr>
          <w:b/>
          <w:szCs w:val="24"/>
          <w:lang w:val="es-AR"/>
        </w:rPr>
        <w:t>I</w:t>
      </w:r>
      <w:r w:rsidR="00404BE6" w:rsidRPr="00E6798C">
        <w:rPr>
          <w:b/>
          <w:szCs w:val="24"/>
          <w:lang w:val="es-AR"/>
        </w:rPr>
        <w:t>nforme final</w:t>
      </w:r>
      <w:r w:rsidR="00404BE6" w:rsidRPr="00E6798C">
        <w:rPr>
          <w:szCs w:val="24"/>
          <w:lang w:val="es-AR"/>
        </w:rPr>
        <w:t xml:space="preserve"> al término de la ejecución del Programa. </w:t>
      </w:r>
    </w:p>
    <w:p w14:paraId="7A5835F8" w14:textId="77777777" w:rsidR="00404BE6" w:rsidRPr="00E6798C" w:rsidRDefault="00404BE6" w:rsidP="00404BE6">
      <w:pPr>
        <w:pStyle w:val="AutoNumpara"/>
        <w:numPr>
          <w:ilvl w:val="0"/>
          <w:numId w:val="0"/>
        </w:numPr>
        <w:rPr>
          <w:noProof w:val="0"/>
          <w:szCs w:val="24"/>
        </w:rPr>
      </w:pPr>
      <w:r w:rsidRPr="00E6798C">
        <w:rPr>
          <w:szCs w:val="24"/>
        </w:rPr>
        <w:t>Estos informes proveen evidencia del cumplimiento de los compromisos acordados, contienen datos e información relacionados con el avance de la ejecución de actividades del proyecto, y constituyen el principal instrumento para el monitoreo de los resultados del Programa.</w:t>
      </w:r>
    </w:p>
    <w:p w14:paraId="251B6B86" w14:textId="77777777" w:rsidR="00404BE6" w:rsidRPr="00E6798C" w:rsidRDefault="00404BE6" w:rsidP="00404BE6">
      <w:pPr>
        <w:pStyle w:val="AutoNumpara"/>
        <w:numPr>
          <w:ilvl w:val="0"/>
          <w:numId w:val="0"/>
        </w:numPr>
        <w:rPr>
          <w:szCs w:val="24"/>
        </w:rPr>
      </w:pPr>
      <w:r w:rsidRPr="00E6798C">
        <w:rPr>
          <w:b/>
          <w:szCs w:val="24"/>
        </w:rPr>
        <w:t xml:space="preserve">Auditoría externa. </w:t>
      </w:r>
      <w:r w:rsidRPr="00E6798C">
        <w:rPr>
          <w:szCs w:val="24"/>
        </w:rPr>
        <w:t xml:space="preserve">La </w:t>
      </w:r>
      <w:r w:rsidR="00EB01BD">
        <w:rPr>
          <w:szCs w:val="24"/>
        </w:rPr>
        <w:t>UCP</w:t>
      </w:r>
      <w:r w:rsidRPr="00E6798C">
        <w:rPr>
          <w:szCs w:val="24"/>
        </w:rPr>
        <w:t xml:space="preserve"> presentará anualmente los estados financieros auditados del programa. Esta auditoría deberá ser efectuada por una firma de contadores independiente aceptable al BID y con base en los lineamientos establecidos en los TdR para auditoría externa de proyectos financiados por el BID. Los estados financieros anuales auditados del programa se presentarán dentro de los 120 días siguientes al cierre de cada ejercicio económico, comenzando con el ejercicio en que se inicia la ejecución del programa. Los estados financieros de cierre del programa serán presentados dentro de los 120 días posteriores al último desembolso. </w:t>
      </w:r>
    </w:p>
    <w:p w14:paraId="27F8B3E5" w14:textId="77777777" w:rsidR="004F68F7" w:rsidRPr="00E6798C" w:rsidRDefault="00404BE6" w:rsidP="00C05799">
      <w:pPr>
        <w:pStyle w:val="AutoNumpara"/>
        <w:numPr>
          <w:ilvl w:val="0"/>
          <w:numId w:val="0"/>
        </w:numPr>
        <w:rPr>
          <w:szCs w:val="24"/>
          <w:lang w:val="es-ES"/>
        </w:rPr>
      </w:pPr>
      <w:r w:rsidRPr="00E6798C">
        <w:rPr>
          <w:szCs w:val="24"/>
          <w:lang w:val="es-ES"/>
        </w:rPr>
        <w:t xml:space="preserve">El </w:t>
      </w:r>
      <w:r w:rsidRPr="00E6798C">
        <w:rPr>
          <w:b/>
          <w:szCs w:val="24"/>
          <w:lang w:val="es-ES"/>
        </w:rPr>
        <w:t>Plan Operativo Anual (POA)</w:t>
      </w:r>
      <w:r w:rsidRPr="00E6798C">
        <w:rPr>
          <w:szCs w:val="24"/>
          <w:lang w:val="es-ES"/>
        </w:rPr>
        <w:t xml:space="preserve"> consolida todas las actividades que serán desarrolladas durante determinado período de ejecución por producto y su cronograma </w:t>
      </w:r>
      <w:r w:rsidRPr="00E6798C">
        <w:rPr>
          <w:szCs w:val="24"/>
          <w:lang w:val="es-ES" w:eastAsia="pt-BR"/>
        </w:rPr>
        <w:t>físico-financiero. El primer POA alcanza el período de dieciocho</w:t>
      </w:r>
      <w:r w:rsidRPr="00E6798C">
        <w:rPr>
          <w:szCs w:val="24"/>
          <w:lang w:val="es-ES"/>
        </w:rPr>
        <w:t xml:space="preserve"> meses, contados a partir de la firma del Contrato de Préstamo. El POA siguiente abarcará el período inmediatamente posterior a la primera revisión, hasta el día 31 de diciembre del respectivo año. A partir de este evento, serán presentados POAs para cada año calendario (1º de enero a 31 de diciembre). Este documento deberá ser presentado al BID hasta el día 30 de noviembre del año anterior a su vigencia. La presentación del POA incluirá una actualización del </w:t>
      </w:r>
      <w:r w:rsidRPr="00E6798C">
        <w:rPr>
          <w:b/>
          <w:szCs w:val="24"/>
          <w:lang w:val="es-ES"/>
        </w:rPr>
        <w:t xml:space="preserve">Plan de Adquisiciones (PA). </w:t>
      </w:r>
      <w:r w:rsidRPr="00E6798C">
        <w:rPr>
          <w:szCs w:val="24"/>
          <w:lang w:val="es-ES"/>
        </w:rPr>
        <w:t>Este instrumento tiene por objeto presentar al Banco el detalle de todas las adquisiciones y contrataciones que serán efectuadas en determinado período de ejecución del Programa.</w:t>
      </w:r>
      <w:r w:rsidRPr="00E6798C">
        <w:rPr>
          <w:bCs/>
          <w:iCs/>
          <w:szCs w:val="24"/>
          <w:lang w:val="es-ES"/>
        </w:rPr>
        <w:t xml:space="preserve"> El</w:t>
      </w:r>
      <w:r w:rsidRPr="00E6798C">
        <w:rPr>
          <w:szCs w:val="24"/>
          <w:lang w:val="es-ES"/>
        </w:rPr>
        <w:t xml:space="preserve"> PA debe ser actualizado anualmente o cuando necesario, durante todo el período de ejecución del Programa.</w:t>
      </w:r>
    </w:p>
    <w:p w14:paraId="0B1A2539" w14:textId="77777777" w:rsidR="00C05799" w:rsidRPr="00E6798C" w:rsidRDefault="00C05799" w:rsidP="00C05799">
      <w:pPr>
        <w:pStyle w:val="AutoNumpara"/>
        <w:numPr>
          <w:ilvl w:val="0"/>
          <w:numId w:val="0"/>
        </w:numPr>
        <w:rPr>
          <w:szCs w:val="24"/>
          <w:lang w:val="es-ES"/>
        </w:rPr>
      </w:pPr>
    </w:p>
    <w:p w14:paraId="0512A4B2" w14:textId="77777777" w:rsidR="00BF275D" w:rsidRPr="00145825" w:rsidRDefault="00BF275D" w:rsidP="00BF275D">
      <w:pPr>
        <w:spacing w:line="360" w:lineRule="auto"/>
        <w:contextualSpacing/>
        <w:rPr>
          <w:b/>
          <w:szCs w:val="24"/>
          <w:lang w:val="es-ES"/>
        </w:rPr>
      </w:pPr>
      <w:r w:rsidRPr="00145825">
        <w:rPr>
          <w:b/>
          <w:szCs w:val="24"/>
          <w:lang w:val="es-ES"/>
        </w:rPr>
        <w:t>d. Coordinación de monitoreo, plan de trabajo y presupuesto</w:t>
      </w:r>
    </w:p>
    <w:p w14:paraId="374501DA" w14:textId="77777777" w:rsidR="00404BE6" w:rsidRPr="009E0CAD" w:rsidRDefault="00404BE6" w:rsidP="00404BE6">
      <w:pPr>
        <w:tabs>
          <w:tab w:val="left" w:pos="540"/>
        </w:tabs>
        <w:spacing w:before="40" w:after="40"/>
        <w:rPr>
          <w:szCs w:val="24"/>
        </w:rPr>
      </w:pPr>
      <w:r w:rsidRPr="00145825">
        <w:rPr>
          <w:szCs w:val="24"/>
        </w:rPr>
        <w:t>La</w:t>
      </w:r>
      <w:r w:rsidR="007B41B0" w:rsidRPr="00145825">
        <w:rPr>
          <w:szCs w:val="24"/>
        </w:rPr>
        <w:t>s</w:t>
      </w:r>
      <w:r w:rsidRPr="00145825">
        <w:rPr>
          <w:szCs w:val="24"/>
        </w:rPr>
        <w:t xml:space="preserve"> varias responsabilidades para la realización de las actividades de monitoreo (coordinación, levantamiento de datos y producción de los informes) ya han sido definidas en </w:t>
      </w:r>
      <w:r w:rsidR="00BF7FA5" w:rsidRPr="009E0CAD">
        <w:rPr>
          <w:szCs w:val="24"/>
        </w:rPr>
        <w:t xml:space="preserve">las </w:t>
      </w:r>
      <w:r w:rsidRPr="009E0CAD">
        <w:rPr>
          <w:szCs w:val="24"/>
        </w:rPr>
        <w:t xml:space="preserve">partes a, b y c de esta sección. </w:t>
      </w:r>
    </w:p>
    <w:p w14:paraId="6D64E315" w14:textId="77777777" w:rsidR="006B4AE8" w:rsidRPr="00145825" w:rsidRDefault="007B41B0" w:rsidP="009E0CAD">
      <w:pPr>
        <w:pStyle w:val="AutoNumpara"/>
        <w:numPr>
          <w:ilvl w:val="0"/>
          <w:numId w:val="0"/>
        </w:numPr>
      </w:pPr>
      <w:r w:rsidRPr="00E6798C">
        <w:rPr>
          <w:noProof w:val="0"/>
          <w:szCs w:val="24"/>
        </w:rPr>
        <w:t xml:space="preserve">La </w:t>
      </w:r>
      <w:r w:rsidR="00EB01BD">
        <w:rPr>
          <w:noProof w:val="0"/>
          <w:szCs w:val="24"/>
        </w:rPr>
        <w:t>UCP</w:t>
      </w:r>
      <w:r w:rsidR="00F43AAD" w:rsidRPr="00E6798C">
        <w:rPr>
          <w:noProof w:val="0"/>
          <w:szCs w:val="24"/>
        </w:rPr>
        <w:t xml:space="preserve"> será</w:t>
      </w:r>
      <w:r w:rsidR="00BF7FA5" w:rsidRPr="00E6798C">
        <w:rPr>
          <w:noProof w:val="0"/>
          <w:szCs w:val="24"/>
        </w:rPr>
        <w:t xml:space="preserve"> responsable de la supervisión,</w:t>
      </w:r>
      <w:r w:rsidR="00F43AAD" w:rsidRPr="00E6798C">
        <w:rPr>
          <w:noProof w:val="0"/>
          <w:szCs w:val="24"/>
        </w:rPr>
        <w:t xml:space="preserve"> coordinación técnic</w:t>
      </w:r>
      <w:r w:rsidR="00BF7FA5" w:rsidRPr="00E6798C">
        <w:rPr>
          <w:noProof w:val="0"/>
          <w:szCs w:val="24"/>
        </w:rPr>
        <w:t>a y administrativa y l</w:t>
      </w:r>
      <w:r w:rsidR="00F43AAD" w:rsidRPr="00E6798C">
        <w:rPr>
          <w:noProof w:val="0"/>
          <w:szCs w:val="24"/>
        </w:rPr>
        <w:t>a gestión de las actividades del proy</w:t>
      </w:r>
      <w:r w:rsidR="00BF7FA5" w:rsidRPr="00E6798C">
        <w:rPr>
          <w:noProof w:val="0"/>
          <w:szCs w:val="24"/>
        </w:rPr>
        <w:t>ecto. L</w:t>
      </w:r>
      <w:r w:rsidR="00F43AAD" w:rsidRPr="00E6798C">
        <w:rPr>
          <w:noProof w:val="0"/>
          <w:szCs w:val="24"/>
        </w:rPr>
        <w:t>a principal responsabilidad de</w:t>
      </w:r>
      <w:r w:rsidRPr="00E6798C">
        <w:rPr>
          <w:noProof w:val="0"/>
          <w:szCs w:val="24"/>
        </w:rPr>
        <w:t xml:space="preserve"> </w:t>
      </w:r>
      <w:r w:rsidR="00F43AAD" w:rsidRPr="00E6798C">
        <w:rPr>
          <w:noProof w:val="0"/>
          <w:szCs w:val="24"/>
        </w:rPr>
        <w:t>l</w:t>
      </w:r>
      <w:r w:rsidRPr="00E6798C">
        <w:rPr>
          <w:noProof w:val="0"/>
          <w:szCs w:val="24"/>
        </w:rPr>
        <w:t>a</w:t>
      </w:r>
      <w:r w:rsidR="00F43AAD" w:rsidRPr="00E6798C">
        <w:rPr>
          <w:noProof w:val="0"/>
          <w:szCs w:val="24"/>
        </w:rPr>
        <w:t xml:space="preserve"> </w:t>
      </w:r>
      <w:r w:rsidR="00EB01BD">
        <w:rPr>
          <w:noProof w:val="0"/>
          <w:szCs w:val="24"/>
        </w:rPr>
        <w:t>UCP</w:t>
      </w:r>
      <w:r w:rsidR="00F43AAD" w:rsidRPr="00E6798C">
        <w:rPr>
          <w:noProof w:val="0"/>
          <w:szCs w:val="24"/>
        </w:rPr>
        <w:t xml:space="preserve"> será conducir la ejecución de todas las actividades del proyecto y será responsable de reportar los informes semestrales de ejecución y todos los demás informes y documentación que sean requeridos por el Banco.</w:t>
      </w:r>
    </w:p>
    <w:p w14:paraId="52688321" w14:textId="77777777" w:rsidR="00F43AAD" w:rsidRPr="00E6798C" w:rsidRDefault="009E0CAD" w:rsidP="00F43AAD">
      <w:pPr>
        <w:pStyle w:val="heading-b24"/>
        <w:spacing w:after="120"/>
        <w:rPr>
          <w:rFonts w:ascii="Times New Roman" w:hAnsi="Times New Roman"/>
          <w:smallCaps w:val="0"/>
          <w:szCs w:val="24"/>
        </w:rPr>
      </w:pPr>
      <w:r>
        <w:rPr>
          <w:rFonts w:ascii="Times New Roman" w:hAnsi="Times New Roman"/>
          <w:smallCaps w:val="0"/>
          <w:szCs w:val="24"/>
        </w:rPr>
        <w:t>Tabla 3</w:t>
      </w:r>
      <w:r w:rsidR="00F43AAD" w:rsidRPr="00E6798C">
        <w:rPr>
          <w:rFonts w:ascii="Times New Roman" w:hAnsi="Times New Roman"/>
          <w:smallCaps w:val="0"/>
          <w:szCs w:val="24"/>
        </w:rPr>
        <w:t xml:space="preserve">. Plan de trabajo </w:t>
      </w:r>
      <w:r w:rsidR="009947A7">
        <w:rPr>
          <w:rFonts w:ascii="Times New Roman" w:hAnsi="Times New Roman"/>
          <w:smallCaps w:val="0"/>
          <w:szCs w:val="24"/>
        </w:rPr>
        <w:t xml:space="preserve">y presupuesto </w:t>
      </w:r>
      <w:r w:rsidR="00F43AAD" w:rsidRPr="00E6798C">
        <w:rPr>
          <w:rFonts w:ascii="Times New Roman" w:hAnsi="Times New Roman"/>
          <w:smallCaps w:val="0"/>
          <w:szCs w:val="24"/>
        </w:rPr>
        <w:t>del monitoreo</w:t>
      </w:r>
    </w:p>
    <w:tbl>
      <w:tblPr>
        <w:tblW w:w="9225" w:type="dxa"/>
        <w:jc w:val="center"/>
        <w:tblInd w:w="-1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3"/>
        <w:gridCol w:w="810"/>
        <w:gridCol w:w="731"/>
        <w:gridCol w:w="799"/>
        <w:gridCol w:w="810"/>
        <w:gridCol w:w="720"/>
        <w:gridCol w:w="1136"/>
        <w:gridCol w:w="1136"/>
      </w:tblGrid>
      <w:tr w:rsidR="009947A7" w:rsidRPr="009E0CAD" w14:paraId="00FB80C8" w14:textId="77777777" w:rsidTr="00982A1E">
        <w:trPr>
          <w:jc w:val="center"/>
        </w:trPr>
        <w:tc>
          <w:tcPr>
            <w:tcW w:w="3083" w:type="dxa"/>
          </w:tcPr>
          <w:p w14:paraId="0E7B756A" w14:textId="77777777" w:rsidR="009947A7" w:rsidRPr="009E0CAD" w:rsidRDefault="009947A7" w:rsidP="00677FE5">
            <w:pPr>
              <w:pStyle w:val="Paragraph"/>
              <w:rPr>
                <w:b/>
                <w:sz w:val="18"/>
                <w:szCs w:val="18"/>
                <w:lang w:val="es-ES_tradnl"/>
              </w:rPr>
            </w:pPr>
            <w:r w:rsidRPr="009E0CAD">
              <w:rPr>
                <w:b/>
                <w:sz w:val="18"/>
                <w:szCs w:val="18"/>
                <w:lang w:val="es-ES_tradnl"/>
              </w:rPr>
              <w:t>Actividades</w:t>
            </w:r>
          </w:p>
        </w:tc>
        <w:tc>
          <w:tcPr>
            <w:tcW w:w="810" w:type="dxa"/>
          </w:tcPr>
          <w:p w14:paraId="3154109E" w14:textId="77777777" w:rsidR="009947A7" w:rsidRPr="009E0CAD" w:rsidRDefault="009947A7" w:rsidP="003A1F63">
            <w:pPr>
              <w:pStyle w:val="Paragraph"/>
              <w:jc w:val="center"/>
              <w:rPr>
                <w:b/>
                <w:sz w:val="18"/>
                <w:szCs w:val="18"/>
                <w:lang w:val="es-ES_tradnl"/>
              </w:rPr>
            </w:pPr>
            <w:r w:rsidRPr="009E0CAD">
              <w:rPr>
                <w:b/>
                <w:sz w:val="18"/>
                <w:szCs w:val="18"/>
                <w:lang w:val="es-ES_tradnl"/>
              </w:rPr>
              <w:t>Año 1</w:t>
            </w:r>
          </w:p>
        </w:tc>
        <w:tc>
          <w:tcPr>
            <w:tcW w:w="731" w:type="dxa"/>
          </w:tcPr>
          <w:p w14:paraId="010E3E37" w14:textId="77777777" w:rsidR="009947A7" w:rsidRPr="009E0CAD" w:rsidRDefault="009947A7" w:rsidP="003A1F63">
            <w:pPr>
              <w:pStyle w:val="Paragraph"/>
              <w:jc w:val="center"/>
              <w:rPr>
                <w:b/>
                <w:sz w:val="18"/>
                <w:szCs w:val="18"/>
                <w:lang w:val="es-ES_tradnl"/>
              </w:rPr>
            </w:pPr>
            <w:r w:rsidRPr="009E0CAD">
              <w:rPr>
                <w:b/>
                <w:sz w:val="18"/>
                <w:szCs w:val="18"/>
                <w:lang w:val="es-ES_tradnl"/>
              </w:rPr>
              <w:t>Año 2</w:t>
            </w:r>
          </w:p>
        </w:tc>
        <w:tc>
          <w:tcPr>
            <w:tcW w:w="799" w:type="dxa"/>
          </w:tcPr>
          <w:p w14:paraId="1A757C08" w14:textId="77777777" w:rsidR="009947A7" w:rsidRPr="009E0CAD" w:rsidRDefault="009947A7" w:rsidP="003A1F63">
            <w:pPr>
              <w:pStyle w:val="Paragraph"/>
              <w:jc w:val="center"/>
              <w:rPr>
                <w:b/>
                <w:sz w:val="18"/>
                <w:szCs w:val="18"/>
                <w:lang w:val="es-ES_tradnl"/>
              </w:rPr>
            </w:pPr>
            <w:r w:rsidRPr="009E0CAD">
              <w:rPr>
                <w:b/>
                <w:sz w:val="18"/>
                <w:szCs w:val="18"/>
                <w:lang w:val="es-ES_tradnl"/>
              </w:rPr>
              <w:t>Año 3</w:t>
            </w:r>
          </w:p>
        </w:tc>
        <w:tc>
          <w:tcPr>
            <w:tcW w:w="810" w:type="dxa"/>
          </w:tcPr>
          <w:p w14:paraId="2823ED4A" w14:textId="77777777" w:rsidR="009947A7" w:rsidRPr="009E0CAD" w:rsidRDefault="009947A7" w:rsidP="003A1F63">
            <w:pPr>
              <w:pStyle w:val="Paragraph"/>
              <w:jc w:val="center"/>
              <w:rPr>
                <w:b/>
                <w:sz w:val="18"/>
                <w:szCs w:val="18"/>
                <w:lang w:val="es-ES_tradnl"/>
              </w:rPr>
            </w:pPr>
            <w:r w:rsidRPr="009E0CAD">
              <w:rPr>
                <w:b/>
                <w:sz w:val="18"/>
                <w:szCs w:val="18"/>
                <w:lang w:val="es-ES_tradnl"/>
              </w:rPr>
              <w:t>Año 4</w:t>
            </w:r>
          </w:p>
        </w:tc>
        <w:tc>
          <w:tcPr>
            <w:tcW w:w="720" w:type="dxa"/>
          </w:tcPr>
          <w:p w14:paraId="0552FF93" w14:textId="77777777" w:rsidR="009947A7" w:rsidRPr="009E0CAD" w:rsidRDefault="009947A7" w:rsidP="00483078">
            <w:pPr>
              <w:pStyle w:val="Paragraph"/>
              <w:tabs>
                <w:tab w:val="left" w:pos="1181"/>
              </w:tabs>
              <w:ind w:left="-169" w:right="-178"/>
              <w:jc w:val="center"/>
              <w:rPr>
                <w:b/>
                <w:sz w:val="18"/>
                <w:szCs w:val="18"/>
                <w:lang w:val="es-ES_tradnl"/>
              </w:rPr>
            </w:pPr>
            <w:r w:rsidRPr="009E0CAD">
              <w:rPr>
                <w:b/>
                <w:sz w:val="18"/>
                <w:szCs w:val="18"/>
                <w:lang w:val="es-ES_tradnl"/>
              </w:rPr>
              <w:t>Año 5</w:t>
            </w:r>
          </w:p>
        </w:tc>
        <w:tc>
          <w:tcPr>
            <w:tcW w:w="1136" w:type="dxa"/>
          </w:tcPr>
          <w:p w14:paraId="5C235167" w14:textId="15CBCEF1" w:rsidR="009947A7" w:rsidRPr="009E0CAD" w:rsidRDefault="009947A7" w:rsidP="00982A1E">
            <w:pPr>
              <w:pStyle w:val="Paragraph"/>
              <w:tabs>
                <w:tab w:val="left" w:pos="1181"/>
              </w:tabs>
              <w:ind w:left="-169" w:right="-178"/>
              <w:jc w:val="center"/>
              <w:rPr>
                <w:b/>
                <w:sz w:val="18"/>
                <w:szCs w:val="18"/>
                <w:lang w:val="es-ES_tradnl"/>
              </w:rPr>
            </w:pPr>
            <w:r w:rsidRPr="009E0CAD">
              <w:rPr>
                <w:b/>
                <w:sz w:val="18"/>
                <w:szCs w:val="18"/>
                <w:lang w:val="es-ES_tradnl"/>
              </w:rPr>
              <w:t>Responsable</w:t>
            </w:r>
          </w:p>
        </w:tc>
        <w:tc>
          <w:tcPr>
            <w:tcW w:w="1136" w:type="dxa"/>
          </w:tcPr>
          <w:p w14:paraId="51F6B7F1" w14:textId="77777777" w:rsidR="009947A7" w:rsidRPr="009E0CAD" w:rsidRDefault="009947A7" w:rsidP="00846664">
            <w:pPr>
              <w:pStyle w:val="Paragraph"/>
              <w:tabs>
                <w:tab w:val="left" w:pos="1181"/>
              </w:tabs>
              <w:ind w:left="-169" w:right="-178"/>
              <w:jc w:val="center"/>
              <w:rPr>
                <w:b/>
                <w:sz w:val="18"/>
                <w:szCs w:val="18"/>
                <w:lang w:val="es-ES_tradnl"/>
              </w:rPr>
            </w:pPr>
            <w:r>
              <w:rPr>
                <w:b/>
                <w:sz w:val="18"/>
                <w:szCs w:val="18"/>
                <w:lang w:val="es-ES_tradnl"/>
              </w:rPr>
              <w:t>Costo ($)</w:t>
            </w:r>
          </w:p>
        </w:tc>
      </w:tr>
      <w:tr w:rsidR="009947A7" w:rsidRPr="009E0CAD" w14:paraId="65A912B1" w14:textId="77777777" w:rsidTr="00982A1E">
        <w:trPr>
          <w:jc w:val="center"/>
        </w:trPr>
        <w:tc>
          <w:tcPr>
            <w:tcW w:w="3083" w:type="dxa"/>
          </w:tcPr>
          <w:p w14:paraId="4B881F2B" w14:textId="77777777" w:rsidR="009947A7" w:rsidRPr="009E0CAD" w:rsidRDefault="009947A7" w:rsidP="00F43AAD">
            <w:pPr>
              <w:spacing w:before="60" w:after="60"/>
              <w:ind w:left="-43" w:right="-72"/>
              <w:rPr>
                <w:sz w:val="18"/>
                <w:szCs w:val="18"/>
                <w:lang w:val="es-ES"/>
              </w:rPr>
            </w:pPr>
            <w:r w:rsidRPr="009E0CAD">
              <w:rPr>
                <w:bCs/>
                <w:sz w:val="18"/>
                <w:szCs w:val="18"/>
                <w:lang w:val="es-ES"/>
              </w:rPr>
              <w:t xml:space="preserve">Reuniones de coordinación </w:t>
            </w:r>
          </w:p>
        </w:tc>
        <w:tc>
          <w:tcPr>
            <w:tcW w:w="810" w:type="dxa"/>
          </w:tcPr>
          <w:p w14:paraId="40209C66" w14:textId="77777777" w:rsidR="009947A7" w:rsidRPr="009E0CAD" w:rsidRDefault="009947A7" w:rsidP="001333FC">
            <w:pPr>
              <w:pStyle w:val="Paragraph"/>
              <w:spacing w:before="60" w:after="60"/>
              <w:jc w:val="center"/>
              <w:rPr>
                <w:sz w:val="18"/>
                <w:szCs w:val="18"/>
                <w:lang w:val="es-ES_tradnl"/>
              </w:rPr>
            </w:pPr>
            <w:r w:rsidRPr="009E0CAD">
              <w:rPr>
                <w:sz w:val="18"/>
                <w:szCs w:val="18"/>
                <w:lang w:val="es-ES_tradnl"/>
              </w:rPr>
              <w:t>2</w:t>
            </w:r>
          </w:p>
        </w:tc>
        <w:tc>
          <w:tcPr>
            <w:tcW w:w="731" w:type="dxa"/>
          </w:tcPr>
          <w:p w14:paraId="3E1CC9F3" w14:textId="77777777" w:rsidR="009947A7" w:rsidRPr="009E0CAD" w:rsidRDefault="009947A7" w:rsidP="001333FC">
            <w:pPr>
              <w:pStyle w:val="Paragraph"/>
              <w:spacing w:before="60" w:after="60"/>
              <w:jc w:val="center"/>
              <w:rPr>
                <w:sz w:val="18"/>
                <w:szCs w:val="18"/>
                <w:lang w:val="es-ES_tradnl"/>
              </w:rPr>
            </w:pPr>
            <w:r w:rsidRPr="009E0CAD">
              <w:rPr>
                <w:sz w:val="18"/>
                <w:szCs w:val="18"/>
                <w:lang w:val="es-ES_tradnl"/>
              </w:rPr>
              <w:t>2</w:t>
            </w:r>
          </w:p>
        </w:tc>
        <w:tc>
          <w:tcPr>
            <w:tcW w:w="799" w:type="dxa"/>
          </w:tcPr>
          <w:p w14:paraId="717C4165" w14:textId="77777777" w:rsidR="009947A7" w:rsidRPr="009E0CAD" w:rsidRDefault="009947A7" w:rsidP="001333FC">
            <w:pPr>
              <w:pStyle w:val="Paragraph"/>
              <w:spacing w:before="60" w:after="60"/>
              <w:jc w:val="center"/>
              <w:rPr>
                <w:sz w:val="18"/>
                <w:szCs w:val="18"/>
                <w:lang w:val="es-ES_tradnl"/>
              </w:rPr>
            </w:pPr>
            <w:r w:rsidRPr="009E0CAD">
              <w:rPr>
                <w:sz w:val="18"/>
                <w:szCs w:val="18"/>
                <w:lang w:val="es-ES_tradnl"/>
              </w:rPr>
              <w:t>2</w:t>
            </w:r>
          </w:p>
        </w:tc>
        <w:tc>
          <w:tcPr>
            <w:tcW w:w="810" w:type="dxa"/>
          </w:tcPr>
          <w:p w14:paraId="46E5C2E4" w14:textId="77777777" w:rsidR="009947A7" w:rsidRPr="009E0CAD" w:rsidRDefault="009947A7" w:rsidP="001333FC">
            <w:pPr>
              <w:pStyle w:val="Paragraph"/>
              <w:spacing w:before="60" w:after="60"/>
              <w:jc w:val="center"/>
              <w:rPr>
                <w:sz w:val="18"/>
                <w:szCs w:val="18"/>
                <w:lang w:val="es-ES_tradnl"/>
              </w:rPr>
            </w:pPr>
            <w:r w:rsidRPr="009E0CAD">
              <w:rPr>
                <w:sz w:val="18"/>
                <w:szCs w:val="18"/>
                <w:lang w:val="es-ES_tradnl"/>
              </w:rPr>
              <w:t>2</w:t>
            </w:r>
          </w:p>
        </w:tc>
        <w:tc>
          <w:tcPr>
            <w:tcW w:w="720" w:type="dxa"/>
          </w:tcPr>
          <w:p w14:paraId="777280C3" w14:textId="77777777" w:rsidR="009947A7" w:rsidRPr="009E0CAD" w:rsidRDefault="009947A7" w:rsidP="001333FC">
            <w:pPr>
              <w:pStyle w:val="Paragraph"/>
              <w:spacing w:before="60" w:after="60"/>
              <w:jc w:val="center"/>
              <w:rPr>
                <w:sz w:val="18"/>
                <w:szCs w:val="18"/>
                <w:lang w:val="es-ES_tradnl"/>
              </w:rPr>
            </w:pPr>
            <w:r w:rsidRPr="009E0CAD">
              <w:rPr>
                <w:sz w:val="18"/>
                <w:szCs w:val="18"/>
                <w:lang w:val="es-ES_tradnl"/>
              </w:rPr>
              <w:t>2</w:t>
            </w:r>
          </w:p>
        </w:tc>
        <w:tc>
          <w:tcPr>
            <w:tcW w:w="1136" w:type="dxa"/>
          </w:tcPr>
          <w:p w14:paraId="7EC2B42B" w14:textId="77777777" w:rsidR="009947A7" w:rsidRPr="009E0CAD" w:rsidRDefault="009947A7" w:rsidP="00677FE5">
            <w:pPr>
              <w:pStyle w:val="Paragraph"/>
              <w:spacing w:before="60" w:after="60"/>
              <w:rPr>
                <w:sz w:val="18"/>
                <w:szCs w:val="18"/>
                <w:lang w:val="es-ES_tradnl"/>
              </w:rPr>
            </w:pPr>
            <w:r w:rsidRPr="009E0CAD">
              <w:rPr>
                <w:sz w:val="18"/>
                <w:szCs w:val="18"/>
                <w:lang w:val="es-ES_tradnl"/>
              </w:rPr>
              <w:t>BID</w:t>
            </w:r>
          </w:p>
        </w:tc>
        <w:tc>
          <w:tcPr>
            <w:tcW w:w="1136" w:type="dxa"/>
          </w:tcPr>
          <w:p w14:paraId="0E86D514" w14:textId="77777777" w:rsidR="009947A7" w:rsidRPr="009E0CAD" w:rsidRDefault="00A3473B" w:rsidP="009947A7">
            <w:pPr>
              <w:pStyle w:val="Paragraph"/>
              <w:spacing w:before="60" w:after="60"/>
              <w:jc w:val="right"/>
              <w:rPr>
                <w:sz w:val="18"/>
                <w:szCs w:val="18"/>
                <w:lang w:val="es-ES_tradnl"/>
              </w:rPr>
            </w:pPr>
            <w:r>
              <w:rPr>
                <w:sz w:val="18"/>
                <w:szCs w:val="18"/>
                <w:lang w:val="es-ES_tradnl"/>
              </w:rPr>
              <w:t>35,00</w:t>
            </w:r>
            <w:r w:rsidR="009947A7">
              <w:rPr>
                <w:sz w:val="18"/>
                <w:szCs w:val="18"/>
                <w:lang w:val="es-ES_tradnl"/>
              </w:rPr>
              <w:t>0</w:t>
            </w:r>
          </w:p>
        </w:tc>
      </w:tr>
      <w:tr w:rsidR="009947A7" w:rsidRPr="009E0CAD" w14:paraId="350A99CB" w14:textId="77777777" w:rsidTr="00982A1E">
        <w:trPr>
          <w:jc w:val="center"/>
        </w:trPr>
        <w:tc>
          <w:tcPr>
            <w:tcW w:w="3083" w:type="dxa"/>
            <w:vAlign w:val="center"/>
          </w:tcPr>
          <w:p w14:paraId="223EF382" w14:textId="77777777" w:rsidR="009947A7" w:rsidRPr="009E0CAD" w:rsidRDefault="009947A7" w:rsidP="00F43AAD">
            <w:pPr>
              <w:snapToGrid w:val="0"/>
              <w:spacing w:before="60" w:after="60" w:line="100" w:lineRule="atLeast"/>
              <w:ind w:left="-43" w:right="-72"/>
              <w:rPr>
                <w:bCs/>
                <w:sz w:val="18"/>
                <w:szCs w:val="18"/>
                <w:lang w:val="es-ES"/>
              </w:rPr>
            </w:pPr>
            <w:r w:rsidRPr="009E0CAD">
              <w:rPr>
                <w:bCs/>
                <w:sz w:val="18"/>
                <w:szCs w:val="18"/>
                <w:lang w:val="es-ES"/>
              </w:rPr>
              <w:t>Informes semestrales sobre el avance de la ejecución y monitoreo de resultados</w:t>
            </w:r>
          </w:p>
        </w:tc>
        <w:tc>
          <w:tcPr>
            <w:tcW w:w="810" w:type="dxa"/>
          </w:tcPr>
          <w:p w14:paraId="64108895" w14:textId="77777777" w:rsidR="009947A7" w:rsidRPr="009E0CAD" w:rsidRDefault="009947A7" w:rsidP="001333FC">
            <w:pPr>
              <w:pStyle w:val="Paragraph"/>
              <w:spacing w:before="60" w:after="60"/>
              <w:jc w:val="center"/>
              <w:rPr>
                <w:sz w:val="18"/>
                <w:szCs w:val="18"/>
                <w:lang w:val="es-ES_tradnl"/>
              </w:rPr>
            </w:pPr>
            <w:r w:rsidRPr="009E0CAD">
              <w:rPr>
                <w:sz w:val="18"/>
                <w:szCs w:val="18"/>
                <w:lang w:val="es-ES_tradnl"/>
              </w:rPr>
              <w:t>2</w:t>
            </w:r>
          </w:p>
        </w:tc>
        <w:tc>
          <w:tcPr>
            <w:tcW w:w="731" w:type="dxa"/>
          </w:tcPr>
          <w:p w14:paraId="6954AB78" w14:textId="77777777" w:rsidR="009947A7" w:rsidRPr="009E0CAD" w:rsidRDefault="009947A7" w:rsidP="001333FC">
            <w:pPr>
              <w:pStyle w:val="Paragraph"/>
              <w:spacing w:before="60" w:after="60"/>
              <w:jc w:val="center"/>
              <w:rPr>
                <w:sz w:val="18"/>
                <w:szCs w:val="18"/>
                <w:lang w:val="es-ES_tradnl"/>
              </w:rPr>
            </w:pPr>
            <w:r w:rsidRPr="009E0CAD">
              <w:rPr>
                <w:sz w:val="18"/>
                <w:szCs w:val="18"/>
                <w:lang w:val="es-ES_tradnl"/>
              </w:rPr>
              <w:t>2</w:t>
            </w:r>
          </w:p>
        </w:tc>
        <w:tc>
          <w:tcPr>
            <w:tcW w:w="799" w:type="dxa"/>
          </w:tcPr>
          <w:p w14:paraId="704317A5" w14:textId="77777777" w:rsidR="009947A7" w:rsidRPr="009E0CAD" w:rsidRDefault="009947A7" w:rsidP="001333FC">
            <w:pPr>
              <w:pStyle w:val="Paragraph"/>
              <w:spacing w:before="60" w:after="60"/>
              <w:jc w:val="center"/>
              <w:rPr>
                <w:sz w:val="18"/>
                <w:szCs w:val="18"/>
                <w:lang w:val="es-ES_tradnl"/>
              </w:rPr>
            </w:pPr>
            <w:r w:rsidRPr="009E0CAD">
              <w:rPr>
                <w:sz w:val="18"/>
                <w:szCs w:val="18"/>
                <w:lang w:val="es-ES_tradnl"/>
              </w:rPr>
              <w:t>2</w:t>
            </w:r>
          </w:p>
        </w:tc>
        <w:tc>
          <w:tcPr>
            <w:tcW w:w="810" w:type="dxa"/>
          </w:tcPr>
          <w:p w14:paraId="58EF1B36" w14:textId="77777777" w:rsidR="009947A7" w:rsidRPr="009E0CAD" w:rsidRDefault="009947A7" w:rsidP="001333FC">
            <w:pPr>
              <w:pStyle w:val="Paragraph"/>
              <w:spacing w:before="60" w:after="60"/>
              <w:jc w:val="center"/>
              <w:rPr>
                <w:sz w:val="18"/>
                <w:szCs w:val="18"/>
                <w:lang w:val="es-ES_tradnl"/>
              </w:rPr>
            </w:pPr>
            <w:r w:rsidRPr="009E0CAD">
              <w:rPr>
                <w:sz w:val="18"/>
                <w:szCs w:val="18"/>
                <w:lang w:val="es-ES_tradnl"/>
              </w:rPr>
              <w:t>2</w:t>
            </w:r>
          </w:p>
        </w:tc>
        <w:tc>
          <w:tcPr>
            <w:tcW w:w="720" w:type="dxa"/>
          </w:tcPr>
          <w:p w14:paraId="67F3D3A3" w14:textId="77777777" w:rsidR="009947A7" w:rsidRPr="009E0CAD" w:rsidRDefault="009947A7" w:rsidP="001333FC">
            <w:pPr>
              <w:pStyle w:val="Paragraph"/>
              <w:spacing w:before="60" w:after="60"/>
              <w:jc w:val="center"/>
              <w:rPr>
                <w:sz w:val="18"/>
                <w:szCs w:val="18"/>
                <w:lang w:val="es-ES_tradnl"/>
              </w:rPr>
            </w:pPr>
            <w:r w:rsidRPr="009E0CAD">
              <w:rPr>
                <w:sz w:val="18"/>
                <w:szCs w:val="18"/>
                <w:lang w:val="es-ES_tradnl"/>
              </w:rPr>
              <w:t>2</w:t>
            </w:r>
          </w:p>
        </w:tc>
        <w:tc>
          <w:tcPr>
            <w:tcW w:w="1136" w:type="dxa"/>
          </w:tcPr>
          <w:p w14:paraId="100AF912" w14:textId="77777777" w:rsidR="009947A7" w:rsidRPr="009E0CAD" w:rsidRDefault="009947A7" w:rsidP="00677FE5">
            <w:pPr>
              <w:pStyle w:val="Paragraph"/>
              <w:spacing w:before="60" w:after="60"/>
              <w:rPr>
                <w:sz w:val="18"/>
                <w:szCs w:val="18"/>
                <w:lang w:val="es-ES_tradnl"/>
              </w:rPr>
            </w:pPr>
            <w:r>
              <w:rPr>
                <w:sz w:val="18"/>
                <w:szCs w:val="18"/>
                <w:lang w:val="es-ES_tradnl"/>
              </w:rPr>
              <w:t>UCP</w:t>
            </w:r>
          </w:p>
        </w:tc>
        <w:tc>
          <w:tcPr>
            <w:tcW w:w="1136" w:type="dxa"/>
          </w:tcPr>
          <w:p w14:paraId="1001EDC0" w14:textId="77777777" w:rsidR="009947A7" w:rsidRDefault="009947A7" w:rsidP="009947A7">
            <w:pPr>
              <w:pStyle w:val="Paragraph"/>
              <w:spacing w:before="60" w:after="60"/>
              <w:jc w:val="right"/>
              <w:rPr>
                <w:sz w:val="18"/>
                <w:szCs w:val="18"/>
                <w:lang w:val="es-ES_tradnl"/>
              </w:rPr>
            </w:pPr>
            <w:r>
              <w:rPr>
                <w:sz w:val="18"/>
                <w:szCs w:val="18"/>
                <w:lang w:val="es-ES_tradnl"/>
              </w:rPr>
              <w:t>50,000</w:t>
            </w:r>
          </w:p>
        </w:tc>
      </w:tr>
      <w:tr w:rsidR="009947A7" w:rsidRPr="009E0CAD" w14:paraId="5ECFD703" w14:textId="77777777" w:rsidTr="00982A1E">
        <w:trPr>
          <w:jc w:val="center"/>
        </w:trPr>
        <w:tc>
          <w:tcPr>
            <w:tcW w:w="3083" w:type="dxa"/>
          </w:tcPr>
          <w:p w14:paraId="72BADFAD" w14:textId="77777777" w:rsidR="009947A7" w:rsidRPr="009E0CAD" w:rsidRDefault="009947A7" w:rsidP="00E703C7">
            <w:pPr>
              <w:pStyle w:val="Paragraph"/>
              <w:ind w:left="-43" w:right="-72"/>
              <w:jc w:val="left"/>
              <w:rPr>
                <w:bCs/>
                <w:sz w:val="18"/>
                <w:szCs w:val="18"/>
                <w:lang w:val="es-ES_tradnl"/>
              </w:rPr>
            </w:pPr>
            <w:r w:rsidRPr="009E0CAD">
              <w:rPr>
                <w:bCs/>
                <w:sz w:val="18"/>
                <w:szCs w:val="18"/>
                <w:lang w:val="es-ES_tradnl"/>
              </w:rPr>
              <w:t>Auditorías</w:t>
            </w:r>
          </w:p>
        </w:tc>
        <w:tc>
          <w:tcPr>
            <w:tcW w:w="810" w:type="dxa"/>
          </w:tcPr>
          <w:p w14:paraId="0623F560" w14:textId="77777777" w:rsidR="009947A7" w:rsidRPr="009E0CAD" w:rsidRDefault="009947A7" w:rsidP="00E703C7">
            <w:pPr>
              <w:pStyle w:val="Paragraph"/>
              <w:jc w:val="center"/>
              <w:rPr>
                <w:sz w:val="18"/>
                <w:szCs w:val="18"/>
                <w:lang w:val="es-ES_tradnl"/>
              </w:rPr>
            </w:pPr>
            <w:r w:rsidRPr="009E0CAD">
              <w:rPr>
                <w:sz w:val="18"/>
                <w:szCs w:val="18"/>
                <w:lang w:val="es-ES_tradnl"/>
              </w:rPr>
              <w:t>1</w:t>
            </w:r>
          </w:p>
        </w:tc>
        <w:tc>
          <w:tcPr>
            <w:tcW w:w="731" w:type="dxa"/>
          </w:tcPr>
          <w:p w14:paraId="2C890B37" w14:textId="77777777" w:rsidR="009947A7" w:rsidRPr="009E0CAD" w:rsidRDefault="009947A7" w:rsidP="00E703C7">
            <w:pPr>
              <w:pStyle w:val="Paragraph"/>
              <w:jc w:val="center"/>
              <w:rPr>
                <w:sz w:val="18"/>
                <w:szCs w:val="18"/>
                <w:lang w:val="es-ES_tradnl"/>
              </w:rPr>
            </w:pPr>
            <w:r w:rsidRPr="009E0CAD">
              <w:rPr>
                <w:sz w:val="18"/>
                <w:szCs w:val="18"/>
                <w:lang w:val="es-ES_tradnl"/>
              </w:rPr>
              <w:t>1</w:t>
            </w:r>
          </w:p>
        </w:tc>
        <w:tc>
          <w:tcPr>
            <w:tcW w:w="799" w:type="dxa"/>
          </w:tcPr>
          <w:p w14:paraId="207FFE52" w14:textId="77777777" w:rsidR="009947A7" w:rsidRPr="009E0CAD" w:rsidRDefault="009947A7" w:rsidP="00E703C7">
            <w:pPr>
              <w:pStyle w:val="Paragraph"/>
              <w:jc w:val="center"/>
              <w:rPr>
                <w:sz w:val="18"/>
                <w:szCs w:val="18"/>
                <w:lang w:val="es-ES_tradnl"/>
              </w:rPr>
            </w:pPr>
            <w:r w:rsidRPr="009E0CAD">
              <w:rPr>
                <w:sz w:val="18"/>
                <w:szCs w:val="18"/>
                <w:lang w:val="es-ES_tradnl"/>
              </w:rPr>
              <w:t>1</w:t>
            </w:r>
          </w:p>
        </w:tc>
        <w:tc>
          <w:tcPr>
            <w:tcW w:w="810" w:type="dxa"/>
          </w:tcPr>
          <w:p w14:paraId="694C5240" w14:textId="77777777" w:rsidR="009947A7" w:rsidRPr="009E0CAD" w:rsidRDefault="009947A7" w:rsidP="00E703C7">
            <w:pPr>
              <w:pStyle w:val="Paragraph"/>
              <w:jc w:val="center"/>
              <w:rPr>
                <w:sz w:val="18"/>
                <w:szCs w:val="18"/>
                <w:lang w:val="es-ES_tradnl"/>
              </w:rPr>
            </w:pPr>
            <w:r w:rsidRPr="009E0CAD">
              <w:rPr>
                <w:sz w:val="18"/>
                <w:szCs w:val="18"/>
                <w:lang w:val="es-ES_tradnl"/>
              </w:rPr>
              <w:t>1</w:t>
            </w:r>
          </w:p>
        </w:tc>
        <w:tc>
          <w:tcPr>
            <w:tcW w:w="720" w:type="dxa"/>
          </w:tcPr>
          <w:p w14:paraId="2FFC3F83" w14:textId="77777777" w:rsidR="009947A7" w:rsidRPr="009E0CAD" w:rsidRDefault="009947A7" w:rsidP="00E703C7">
            <w:pPr>
              <w:spacing w:before="120" w:after="120"/>
              <w:jc w:val="center"/>
              <w:rPr>
                <w:sz w:val="18"/>
                <w:szCs w:val="18"/>
              </w:rPr>
            </w:pPr>
            <w:r w:rsidRPr="009E0CAD">
              <w:rPr>
                <w:sz w:val="18"/>
                <w:szCs w:val="18"/>
              </w:rPr>
              <w:t>1</w:t>
            </w:r>
          </w:p>
        </w:tc>
        <w:tc>
          <w:tcPr>
            <w:tcW w:w="1136" w:type="dxa"/>
          </w:tcPr>
          <w:p w14:paraId="7B1D4B65" w14:textId="77777777" w:rsidR="009947A7" w:rsidRPr="009E0CAD" w:rsidRDefault="009947A7" w:rsidP="00E703C7">
            <w:pPr>
              <w:spacing w:before="120" w:after="120"/>
              <w:rPr>
                <w:sz w:val="18"/>
                <w:szCs w:val="18"/>
              </w:rPr>
            </w:pPr>
            <w:r>
              <w:rPr>
                <w:sz w:val="18"/>
                <w:szCs w:val="18"/>
              </w:rPr>
              <w:t>UCP</w:t>
            </w:r>
          </w:p>
        </w:tc>
        <w:tc>
          <w:tcPr>
            <w:tcW w:w="1136" w:type="dxa"/>
          </w:tcPr>
          <w:p w14:paraId="2DE2547C" w14:textId="77777777" w:rsidR="009947A7" w:rsidRDefault="009947A7" w:rsidP="009947A7">
            <w:pPr>
              <w:spacing w:before="120" w:after="120"/>
              <w:jc w:val="right"/>
              <w:rPr>
                <w:sz w:val="18"/>
                <w:szCs w:val="18"/>
              </w:rPr>
            </w:pPr>
            <w:r>
              <w:rPr>
                <w:sz w:val="18"/>
                <w:szCs w:val="18"/>
              </w:rPr>
              <w:t>125,000</w:t>
            </w:r>
          </w:p>
        </w:tc>
      </w:tr>
      <w:tr w:rsidR="009947A7" w:rsidRPr="004C3171" w14:paraId="7B7A94A9" w14:textId="77777777" w:rsidTr="009947A7">
        <w:trPr>
          <w:jc w:val="center"/>
        </w:trPr>
        <w:tc>
          <w:tcPr>
            <w:tcW w:w="3083" w:type="dxa"/>
          </w:tcPr>
          <w:p w14:paraId="6678703E" w14:textId="77777777" w:rsidR="009947A7" w:rsidRPr="004C3171" w:rsidRDefault="009947A7" w:rsidP="00E703C7">
            <w:pPr>
              <w:pStyle w:val="Paragraph"/>
              <w:ind w:left="-43" w:right="-72"/>
              <w:jc w:val="left"/>
              <w:rPr>
                <w:b/>
                <w:bCs/>
                <w:sz w:val="18"/>
                <w:szCs w:val="18"/>
                <w:lang w:val="es-ES_tradnl"/>
              </w:rPr>
            </w:pPr>
          </w:p>
        </w:tc>
        <w:tc>
          <w:tcPr>
            <w:tcW w:w="810" w:type="dxa"/>
          </w:tcPr>
          <w:p w14:paraId="3576F8C7" w14:textId="77777777" w:rsidR="009947A7" w:rsidRPr="004C3171" w:rsidRDefault="009947A7" w:rsidP="00E703C7">
            <w:pPr>
              <w:pStyle w:val="Paragraph"/>
              <w:jc w:val="center"/>
              <w:rPr>
                <w:b/>
                <w:sz w:val="18"/>
                <w:szCs w:val="18"/>
                <w:lang w:val="es-ES_tradnl"/>
              </w:rPr>
            </w:pPr>
          </w:p>
        </w:tc>
        <w:tc>
          <w:tcPr>
            <w:tcW w:w="731" w:type="dxa"/>
          </w:tcPr>
          <w:p w14:paraId="3032C69B" w14:textId="77777777" w:rsidR="009947A7" w:rsidRPr="004C3171" w:rsidRDefault="009947A7" w:rsidP="00E703C7">
            <w:pPr>
              <w:pStyle w:val="Paragraph"/>
              <w:jc w:val="center"/>
              <w:rPr>
                <w:b/>
                <w:sz w:val="18"/>
                <w:szCs w:val="18"/>
                <w:lang w:val="es-ES_tradnl"/>
              </w:rPr>
            </w:pPr>
          </w:p>
        </w:tc>
        <w:tc>
          <w:tcPr>
            <w:tcW w:w="799" w:type="dxa"/>
          </w:tcPr>
          <w:p w14:paraId="26F9F9C2" w14:textId="77777777" w:rsidR="009947A7" w:rsidRPr="004C3171" w:rsidRDefault="009947A7" w:rsidP="00E703C7">
            <w:pPr>
              <w:pStyle w:val="Paragraph"/>
              <w:jc w:val="center"/>
              <w:rPr>
                <w:b/>
                <w:sz w:val="18"/>
                <w:szCs w:val="18"/>
                <w:lang w:val="es-ES_tradnl"/>
              </w:rPr>
            </w:pPr>
          </w:p>
        </w:tc>
        <w:tc>
          <w:tcPr>
            <w:tcW w:w="810" w:type="dxa"/>
          </w:tcPr>
          <w:p w14:paraId="5EEF4BF6" w14:textId="77777777" w:rsidR="009947A7" w:rsidRPr="004C3171" w:rsidRDefault="009947A7" w:rsidP="00E703C7">
            <w:pPr>
              <w:pStyle w:val="Paragraph"/>
              <w:jc w:val="center"/>
              <w:rPr>
                <w:b/>
                <w:sz w:val="18"/>
                <w:szCs w:val="18"/>
                <w:lang w:val="es-ES_tradnl"/>
              </w:rPr>
            </w:pPr>
          </w:p>
        </w:tc>
        <w:tc>
          <w:tcPr>
            <w:tcW w:w="720" w:type="dxa"/>
          </w:tcPr>
          <w:p w14:paraId="1D41F6F5" w14:textId="77777777" w:rsidR="009947A7" w:rsidRPr="004C3171" w:rsidRDefault="009947A7" w:rsidP="00E703C7">
            <w:pPr>
              <w:spacing w:before="120" w:after="120"/>
              <w:jc w:val="center"/>
              <w:rPr>
                <w:b/>
                <w:sz w:val="18"/>
                <w:szCs w:val="18"/>
              </w:rPr>
            </w:pPr>
          </w:p>
        </w:tc>
        <w:tc>
          <w:tcPr>
            <w:tcW w:w="1136" w:type="dxa"/>
          </w:tcPr>
          <w:p w14:paraId="06ABDFA3" w14:textId="77777777" w:rsidR="009947A7" w:rsidRPr="004C3171" w:rsidRDefault="009947A7" w:rsidP="00E703C7">
            <w:pPr>
              <w:spacing w:before="120" w:after="120"/>
              <w:rPr>
                <w:b/>
                <w:sz w:val="18"/>
                <w:szCs w:val="18"/>
              </w:rPr>
            </w:pPr>
            <w:r w:rsidRPr="004C3171">
              <w:rPr>
                <w:b/>
                <w:sz w:val="18"/>
                <w:szCs w:val="18"/>
              </w:rPr>
              <w:t>TOTAL</w:t>
            </w:r>
          </w:p>
        </w:tc>
        <w:tc>
          <w:tcPr>
            <w:tcW w:w="1136" w:type="dxa"/>
          </w:tcPr>
          <w:p w14:paraId="0AAF2066" w14:textId="77777777" w:rsidR="009947A7" w:rsidRPr="004C3171" w:rsidRDefault="00A3473B" w:rsidP="00A3473B">
            <w:pPr>
              <w:spacing w:before="120" w:after="120"/>
              <w:jc w:val="right"/>
              <w:rPr>
                <w:b/>
                <w:sz w:val="18"/>
                <w:szCs w:val="18"/>
              </w:rPr>
            </w:pPr>
            <w:r w:rsidRPr="004C3171">
              <w:rPr>
                <w:b/>
                <w:sz w:val="18"/>
                <w:szCs w:val="18"/>
              </w:rPr>
              <w:t>2</w:t>
            </w:r>
            <w:r w:rsidR="009947A7" w:rsidRPr="004C3171">
              <w:rPr>
                <w:b/>
                <w:sz w:val="18"/>
                <w:szCs w:val="18"/>
              </w:rPr>
              <w:t>1</w:t>
            </w:r>
            <w:r w:rsidRPr="004C3171">
              <w:rPr>
                <w:b/>
                <w:sz w:val="18"/>
                <w:szCs w:val="18"/>
              </w:rPr>
              <w:t>0</w:t>
            </w:r>
            <w:r w:rsidR="009947A7" w:rsidRPr="004C3171">
              <w:rPr>
                <w:b/>
                <w:sz w:val="18"/>
                <w:szCs w:val="18"/>
              </w:rPr>
              <w:t>,000</w:t>
            </w:r>
          </w:p>
        </w:tc>
      </w:tr>
    </w:tbl>
    <w:p w14:paraId="28A60CA9" w14:textId="77777777" w:rsidR="00846664" w:rsidRDefault="00846664" w:rsidP="00313D60">
      <w:pPr>
        <w:pStyle w:val="AutoNumpara"/>
        <w:numPr>
          <w:ilvl w:val="0"/>
          <w:numId w:val="0"/>
        </w:numPr>
        <w:ind w:left="720" w:hanging="720"/>
        <w:rPr>
          <w:noProof w:val="0"/>
          <w:szCs w:val="24"/>
          <w:lang w:val="es-ES"/>
        </w:rPr>
      </w:pPr>
    </w:p>
    <w:p w14:paraId="05406D37" w14:textId="77777777" w:rsidR="004F68F7" w:rsidRPr="00E6798C" w:rsidRDefault="007C7A99" w:rsidP="00B42C40">
      <w:pPr>
        <w:pStyle w:val="AutoNumpara"/>
        <w:numPr>
          <w:ilvl w:val="0"/>
          <w:numId w:val="0"/>
        </w:numPr>
        <w:ind w:left="720" w:hanging="720"/>
        <w:rPr>
          <w:b/>
          <w:szCs w:val="24"/>
        </w:rPr>
      </w:pPr>
      <w:r w:rsidRPr="00E6798C">
        <w:rPr>
          <w:b/>
          <w:szCs w:val="24"/>
        </w:rPr>
        <w:t>III. Evaluación</w:t>
      </w:r>
    </w:p>
    <w:p w14:paraId="13AA84D7" w14:textId="77777777" w:rsidR="002051FC" w:rsidRPr="00E6798C" w:rsidRDefault="000A4463" w:rsidP="002051FC">
      <w:pPr>
        <w:pStyle w:val="ListParagraph"/>
        <w:tabs>
          <w:tab w:val="left" w:pos="540"/>
        </w:tabs>
        <w:spacing w:before="40" w:after="40"/>
        <w:ind w:left="0"/>
        <w:textAlignment w:val="top"/>
        <w:rPr>
          <w:szCs w:val="24"/>
          <w:lang w:val="es-ES_tradnl"/>
        </w:rPr>
      </w:pPr>
      <w:r w:rsidRPr="00E6798C">
        <w:rPr>
          <w:color w:val="000000"/>
          <w:szCs w:val="24"/>
          <w:lang w:val="es-ES"/>
        </w:rPr>
        <w:t>A continuación</w:t>
      </w:r>
      <w:r w:rsidR="002051FC" w:rsidRPr="00E6798C">
        <w:rPr>
          <w:color w:val="000000"/>
          <w:szCs w:val="24"/>
          <w:lang w:val="es-ES"/>
        </w:rPr>
        <w:t xml:space="preserve"> se provee una discusión detallada de las actividades de evaluación del impacto de las diferentes intervenciones promovidas por el programa. La primera sección presenta </w:t>
      </w:r>
      <w:r w:rsidR="003A1F63" w:rsidRPr="00E6798C">
        <w:rPr>
          <w:color w:val="000000"/>
          <w:szCs w:val="24"/>
          <w:lang w:val="es-ES"/>
        </w:rPr>
        <w:t xml:space="preserve">cuáles </w:t>
      </w:r>
      <w:r w:rsidR="002051FC" w:rsidRPr="00E6798C">
        <w:rPr>
          <w:color w:val="000000"/>
          <w:szCs w:val="24"/>
          <w:lang w:val="es-ES"/>
        </w:rPr>
        <w:t xml:space="preserve">son las principales preguntas de evaluación que se pretende contestar. La segunda sección discute </w:t>
      </w:r>
      <w:r w:rsidR="003A1F63" w:rsidRPr="00E6798C">
        <w:rPr>
          <w:color w:val="000000"/>
          <w:szCs w:val="24"/>
          <w:lang w:val="es-ES"/>
        </w:rPr>
        <w:t xml:space="preserve">cuál </w:t>
      </w:r>
      <w:r w:rsidR="002051FC" w:rsidRPr="00E6798C">
        <w:rPr>
          <w:color w:val="000000"/>
          <w:szCs w:val="24"/>
          <w:lang w:val="es-ES"/>
        </w:rPr>
        <w:t xml:space="preserve">es el conocimiento existente en la literatura sobre estas preguntas. La tercera parte presenta cuales son los principales indicadores que serán considerados. Finalmente, las últimas partes discuten aspectos conceptuales, técnicos y prácticos de las metodologías que se utilizaran para la evaluación. </w:t>
      </w:r>
    </w:p>
    <w:p w14:paraId="0FB6E5E1" w14:textId="77777777" w:rsidR="004F68F7" w:rsidRPr="00E6798C" w:rsidRDefault="004F68F7" w:rsidP="002051FC">
      <w:pPr>
        <w:pStyle w:val="AutoNumpara"/>
        <w:numPr>
          <w:ilvl w:val="0"/>
          <w:numId w:val="0"/>
        </w:numPr>
        <w:spacing w:before="40" w:after="40"/>
        <w:ind w:left="720" w:hanging="720"/>
        <w:rPr>
          <w:b/>
          <w:szCs w:val="24"/>
        </w:rPr>
      </w:pPr>
    </w:p>
    <w:p w14:paraId="769D9DEF" w14:textId="77777777" w:rsidR="002051FC" w:rsidRPr="00FF1367" w:rsidRDefault="002051FC" w:rsidP="00EE37A6">
      <w:pPr>
        <w:numPr>
          <w:ilvl w:val="0"/>
          <w:numId w:val="7"/>
        </w:numPr>
        <w:spacing w:line="360" w:lineRule="auto"/>
        <w:ind w:left="360"/>
        <w:contextualSpacing/>
        <w:rPr>
          <w:b/>
          <w:lang w:val="es-ES"/>
        </w:rPr>
      </w:pPr>
      <w:r w:rsidRPr="00FF1367">
        <w:rPr>
          <w:b/>
          <w:lang w:val="es-ES"/>
        </w:rPr>
        <w:t>Principales preguntas de evaluación</w:t>
      </w:r>
    </w:p>
    <w:p w14:paraId="17C0D8AE" w14:textId="77777777" w:rsidR="003D52F7" w:rsidRPr="00E6798C" w:rsidRDefault="002B654B" w:rsidP="00EE37A6">
      <w:pPr>
        <w:pStyle w:val="ListParagraph"/>
        <w:tabs>
          <w:tab w:val="left" w:pos="540"/>
        </w:tabs>
        <w:spacing w:before="40" w:after="40"/>
        <w:ind w:left="0"/>
        <w:textAlignment w:val="top"/>
        <w:rPr>
          <w:szCs w:val="24"/>
          <w:lang w:val="es-ES"/>
        </w:rPr>
      </w:pPr>
      <w:r w:rsidRPr="00E6798C">
        <w:rPr>
          <w:szCs w:val="24"/>
          <w:lang w:val="es-ES"/>
        </w:rPr>
        <w:t>Sobre el componente I</w:t>
      </w:r>
      <w:r w:rsidR="0093529D">
        <w:rPr>
          <w:szCs w:val="24"/>
          <w:lang w:val="es-ES"/>
        </w:rPr>
        <w:t xml:space="preserve"> </w:t>
      </w:r>
      <w:r w:rsidR="0093529D" w:rsidRPr="00C45D64">
        <w:rPr>
          <w:lang w:val="es-ES"/>
        </w:rPr>
        <w:t>(Desarrollo Productivo para la Competitividad de MIPYMEs)</w:t>
      </w:r>
      <w:r w:rsidRPr="00C45D64">
        <w:rPr>
          <w:lang w:val="es-ES"/>
        </w:rPr>
        <w:t>,</w:t>
      </w:r>
      <w:r w:rsidRPr="00E6798C">
        <w:rPr>
          <w:szCs w:val="24"/>
          <w:lang w:val="es-ES"/>
        </w:rPr>
        <w:t xml:space="preserve"> las preguntas de </w:t>
      </w:r>
      <w:r w:rsidR="00EE1836">
        <w:rPr>
          <w:szCs w:val="24"/>
          <w:lang w:val="es-ES"/>
        </w:rPr>
        <w:t xml:space="preserve">evaluación </w:t>
      </w:r>
      <w:r w:rsidRPr="00E6798C">
        <w:rPr>
          <w:szCs w:val="24"/>
          <w:lang w:val="es-ES"/>
        </w:rPr>
        <w:t>serán:</w:t>
      </w:r>
    </w:p>
    <w:p w14:paraId="5C45529E" w14:textId="77777777" w:rsidR="0093529D" w:rsidRPr="00897EC4" w:rsidRDefault="0093529D" w:rsidP="0093529D">
      <w:pPr>
        <w:pStyle w:val="ListParagraph"/>
        <w:numPr>
          <w:ilvl w:val="0"/>
          <w:numId w:val="27"/>
        </w:numPr>
        <w:rPr>
          <w:szCs w:val="24"/>
          <w:lang w:val="es-ES"/>
        </w:rPr>
      </w:pPr>
      <w:r w:rsidRPr="00897EC4">
        <w:rPr>
          <w:szCs w:val="24"/>
          <w:lang w:val="es-ES"/>
        </w:rPr>
        <w:t xml:space="preserve">¿Cuál es el efecto del apoyo </w:t>
      </w:r>
      <w:r w:rsidRPr="00897EC4">
        <w:rPr>
          <w:lang w:val="es-ES"/>
        </w:rPr>
        <w:t>al emprendimiento y el desarrollo productivo de las MIPYMEs de la FCM (municipios de La Unión y Acajutla) a través de ANR?</w:t>
      </w:r>
    </w:p>
    <w:p w14:paraId="6A7F5535" w14:textId="77777777" w:rsidR="00897EC4" w:rsidRPr="00897EC4" w:rsidRDefault="00F47E74" w:rsidP="00897EC4">
      <w:pPr>
        <w:pStyle w:val="ListParagraph"/>
        <w:numPr>
          <w:ilvl w:val="0"/>
          <w:numId w:val="27"/>
        </w:numPr>
        <w:rPr>
          <w:lang w:val="es-ES"/>
        </w:rPr>
      </w:pPr>
      <w:r w:rsidRPr="00897EC4">
        <w:rPr>
          <w:szCs w:val="24"/>
          <w:lang w:val="es-ES"/>
        </w:rPr>
        <w:t>¿Cuál es el efect</w:t>
      </w:r>
      <w:r w:rsidR="00897EC4" w:rsidRPr="00897EC4">
        <w:rPr>
          <w:szCs w:val="24"/>
          <w:lang w:val="es-ES"/>
        </w:rPr>
        <w:t>o de</w:t>
      </w:r>
      <w:r w:rsidRPr="00897EC4">
        <w:rPr>
          <w:szCs w:val="24"/>
          <w:lang w:val="es-ES"/>
        </w:rPr>
        <w:t>l</w:t>
      </w:r>
      <w:r w:rsidR="00897EC4" w:rsidRPr="00897EC4">
        <w:rPr>
          <w:szCs w:val="24"/>
          <w:lang w:val="es-ES"/>
        </w:rPr>
        <w:t xml:space="preserve"> apoyo </w:t>
      </w:r>
      <w:r w:rsidR="00897EC4" w:rsidRPr="00897EC4">
        <w:rPr>
          <w:lang w:val="es-ES"/>
        </w:rPr>
        <w:t>al emprendimiento y el desarrollo productivo de las MIPYMEs de la FCM (municipios de La Unión y Acajutla) a través de ANR sobre la facturación y el empleo de las empresas?</w:t>
      </w:r>
    </w:p>
    <w:p w14:paraId="31F4BBFB" w14:textId="77777777" w:rsidR="00897EC4" w:rsidRPr="00897EC4" w:rsidRDefault="00897EC4" w:rsidP="00897EC4">
      <w:pPr>
        <w:pStyle w:val="ListParagraph"/>
        <w:numPr>
          <w:ilvl w:val="0"/>
          <w:numId w:val="27"/>
        </w:numPr>
        <w:rPr>
          <w:szCs w:val="24"/>
          <w:lang w:val="es-ES"/>
        </w:rPr>
      </w:pPr>
      <w:r w:rsidRPr="00897EC4">
        <w:rPr>
          <w:szCs w:val="24"/>
          <w:lang w:val="es-ES"/>
        </w:rPr>
        <w:t xml:space="preserve">¿Cuál es el efecto del apoyo </w:t>
      </w:r>
      <w:r w:rsidRPr="00897EC4">
        <w:rPr>
          <w:lang w:val="es-ES"/>
        </w:rPr>
        <w:t xml:space="preserve">al emprendimiento y </w:t>
      </w:r>
      <w:r w:rsidR="0093529D">
        <w:rPr>
          <w:lang w:val="es-ES"/>
        </w:rPr>
        <w:t>a</w:t>
      </w:r>
      <w:r w:rsidRPr="00897EC4">
        <w:rPr>
          <w:lang w:val="es-ES"/>
        </w:rPr>
        <w:t>l desarrollo productivo de las MIPYMEs de la FCM (municipios de La Unión y Acajutla) a través de ANR sobre la productividad de las empresas?</w:t>
      </w:r>
    </w:p>
    <w:p w14:paraId="14DC4AFA" w14:textId="77777777" w:rsidR="00897EC4" w:rsidRPr="00897EC4" w:rsidRDefault="00897EC4" w:rsidP="00897EC4">
      <w:pPr>
        <w:pStyle w:val="ListParagraph"/>
        <w:numPr>
          <w:ilvl w:val="0"/>
          <w:numId w:val="27"/>
        </w:numPr>
        <w:rPr>
          <w:lang w:val="es-ES"/>
        </w:rPr>
      </w:pPr>
      <w:r w:rsidRPr="00897EC4">
        <w:rPr>
          <w:szCs w:val="24"/>
          <w:lang w:val="es-ES"/>
        </w:rPr>
        <w:t xml:space="preserve">¿Cuál es el efecto de las iniciativas del apoyo a la articulación productiva y a la asociatividad </w:t>
      </w:r>
      <w:r w:rsidRPr="00897EC4">
        <w:rPr>
          <w:lang w:val="es-ES"/>
        </w:rPr>
        <w:t>de las MIPYMEs de la FCM (municipios de La Unión y Acajutla) sobre la facturación y el empleo de las empresas?</w:t>
      </w:r>
    </w:p>
    <w:p w14:paraId="62351489" w14:textId="77777777" w:rsidR="00897EC4" w:rsidRPr="00897EC4" w:rsidRDefault="00897EC4" w:rsidP="00897EC4">
      <w:pPr>
        <w:pStyle w:val="ListParagraph"/>
        <w:numPr>
          <w:ilvl w:val="0"/>
          <w:numId w:val="27"/>
        </w:numPr>
        <w:rPr>
          <w:lang w:val="es-ES"/>
        </w:rPr>
      </w:pPr>
      <w:r w:rsidRPr="00897EC4">
        <w:rPr>
          <w:szCs w:val="24"/>
          <w:lang w:val="es-ES"/>
        </w:rPr>
        <w:t xml:space="preserve">¿Cuál es el efecto de las iniciativas del apoyo a la articulación productiva y a la asociatividad </w:t>
      </w:r>
      <w:r w:rsidRPr="00897EC4">
        <w:rPr>
          <w:lang w:val="es-ES"/>
        </w:rPr>
        <w:t>de las MIPYMEs de la FCM (municipios de La Unión y Acajutla) sobre la productividad de las empresas?</w:t>
      </w:r>
    </w:p>
    <w:p w14:paraId="2961C30F" w14:textId="77777777" w:rsidR="00897EC4" w:rsidRPr="00897EC4" w:rsidRDefault="00897EC4" w:rsidP="0093529D">
      <w:pPr>
        <w:rPr>
          <w:lang w:val="es-ES"/>
        </w:rPr>
      </w:pPr>
      <w:r w:rsidRPr="00897EC4">
        <w:rPr>
          <w:lang w:val="es-ES"/>
        </w:rPr>
        <w:t xml:space="preserve">Sobre el componente </w:t>
      </w:r>
      <w:r w:rsidRPr="0093529D">
        <w:t>II</w:t>
      </w:r>
      <w:r w:rsidR="0093529D" w:rsidRPr="0093529D">
        <w:t xml:space="preserve"> (Inversiones Productivas y Logísticas para la Competitividad)</w:t>
      </w:r>
      <w:r w:rsidRPr="0093529D">
        <w:t>,</w:t>
      </w:r>
      <w:r w:rsidRPr="00897EC4">
        <w:rPr>
          <w:lang w:val="es-ES"/>
        </w:rPr>
        <w:t xml:space="preserve"> las preguntas de investigación serán:</w:t>
      </w:r>
    </w:p>
    <w:p w14:paraId="2684D085" w14:textId="77777777" w:rsidR="00897EC4" w:rsidRPr="0093529D" w:rsidRDefault="00897EC4" w:rsidP="0093529D">
      <w:pPr>
        <w:pStyle w:val="ListParagraph"/>
        <w:numPr>
          <w:ilvl w:val="0"/>
          <w:numId w:val="28"/>
        </w:numPr>
        <w:rPr>
          <w:lang w:val="es-ES"/>
        </w:rPr>
      </w:pPr>
      <w:r w:rsidRPr="0093529D">
        <w:rPr>
          <w:lang w:val="es-ES"/>
        </w:rPr>
        <w:t>Cuál es el efecto de la finalización de</w:t>
      </w:r>
      <w:r w:rsidR="00082FC4">
        <w:rPr>
          <w:lang w:val="es-ES"/>
        </w:rPr>
        <w:t>l mejoramiento de</w:t>
      </w:r>
      <w:r w:rsidRPr="0093529D">
        <w:rPr>
          <w:lang w:val="es-ES"/>
        </w:rPr>
        <w:t xml:space="preserve"> l</w:t>
      </w:r>
      <w:r w:rsidR="0093529D" w:rsidRPr="0093529D">
        <w:rPr>
          <w:lang w:val="es-ES"/>
        </w:rPr>
        <w:t>os caminos</w:t>
      </w:r>
      <w:r w:rsidR="00082FC4">
        <w:rPr>
          <w:lang w:val="es-ES"/>
        </w:rPr>
        <w:t xml:space="preserve"> al pasar de caminos de tierra a caminos pavimentados</w:t>
      </w:r>
      <w:r w:rsidR="0093529D" w:rsidRPr="0093529D">
        <w:rPr>
          <w:lang w:val="es-ES"/>
        </w:rPr>
        <w:t xml:space="preserve"> </w:t>
      </w:r>
      <w:r w:rsidRPr="0093529D">
        <w:rPr>
          <w:lang w:val="es-ES"/>
        </w:rPr>
        <w:t xml:space="preserve">sobre el </w:t>
      </w:r>
      <w:r w:rsidR="0093529D" w:rsidRPr="0093529D">
        <w:rPr>
          <w:lang w:val="es-ES"/>
        </w:rPr>
        <w:t xml:space="preserve">acceso a los territorios seleccionados de la FCM y el </w:t>
      </w:r>
      <w:r w:rsidRPr="0093529D">
        <w:rPr>
          <w:lang w:val="es-ES"/>
        </w:rPr>
        <w:t>tiempo de viaje?</w:t>
      </w:r>
    </w:p>
    <w:p w14:paraId="50404F63" w14:textId="77777777" w:rsidR="0093529D" w:rsidRDefault="0093529D" w:rsidP="0093529D">
      <w:pPr>
        <w:pStyle w:val="ListParagraph"/>
        <w:numPr>
          <w:ilvl w:val="0"/>
          <w:numId w:val="28"/>
        </w:numPr>
        <w:rPr>
          <w:lang w:val="es-ES"/>
        </w:rPr>
      </w:pPr>
      <w:r w:rsidRPr="0093529D">
        <w:rPr>
          <w:lang w:val="es-ES"/>
        </w:rPr>
        <w:t xml:space="preserve">Cuál es el efecto </w:t>
      </w:r>
      <w:r w:rsidR="008E5E4C">
        <w:rPr>
          <w:lang w:val="es-ES"/>
        </w:rPr>
        <w:t xml:space="preserve">o incremento </w:t>
      </w:r>
      <w:r w:rsidR="008E5E4C" w:rsidRPr="0093529D">
        <w:rPr>
          <w:lang w:val="es-ES"/>
        </w:rPr>
        <w:t>la cantidad de visitantes a los territorios seleccionados de la FCM</w:t>
      </w:r>
      <w:r w:rsidR="008E5E4C">
        <w:rPr>
          <w:lang w:val="es-ES"/>
        </w:rPr>
        <w:t xml:space="preserve"> por e</w:t>
      </w:r>
      <w:r w:rsidR="00E32E7B">
        <w:rPr>
          <w:lang w:val="es-ES"/>
        </w:rPr>
        <w:t>l</w:t>
      </w:r>
      <w:r w:rsidR="008E5E4C">
        <w:rPr>
          <w:lang w:val="es-ES"/>
        </w:rPr>
        <w:t xml:space="preserve"> mejoramiento </w:t>
      </w:r>
      <w:r w:rsidR="00E32E7B">
        <w:rPr>
          <w:lang w:val="es-ES"/>
        </w:rPr>
        <w:t>de los caminos?</w:t>
      </w:r>
    </w:p>
    <w:p w14:paraId="4E327755" w14:textId="77777777" w:rsidR="0093529D" w:rsidRPr="0093529D" w:rsidRDefault="0093529D" w:rsidP="0093529D">
      <w:pPr>
        <w:pStyle w:val="ListParagraph"/>
        <w:numPr>
          <w:ilvl w:val="0"/>
          <w:numId w:val="28"/>
        </w:numPr>
        <w:rPr>
          <w:lang w:val="es-ES"/>
        </w:rPr>
      </w:pPr>
      <w:r w:rsidRPr="0093529D">
        <w:rPr>
          <w:lang w:val="es-ES"/>
        </w:rPr>
        <w:t xml:space="preserve">Cuál es el efecto de la realización de las infraestructuras productivas </w:t>
      </w:r>
      <w:r>
        <w:rPr>
          <w:lang w:val="es-ES"/>
        </w:rPr>
        <w:t xml:space="preserve">sobre </w:t>
      </w:r>
      <w:r w:rsidRPr="0093529D">
        <w:rPr>
          <w:lang w:val="es-ES"/>
        </w:rPr>
        <w:t>el cambio porcentual de ingresos, empleos y productividad de los productores beneficiarios?</w:t>
      </w:r>
    </w:p>
    <w:p w14:paraId="0118E714" w14:textId="77777777" w:rsidR="00EE1836" w:rsidRPr="00EE1836" w:rsidRDefault="00EE1836" w:rsidP="00FF1367">
      <w:pPr>
        <w:tabs>
          <w:tab w:val="left" w:pos="540"/>
        </w:tabs>
        <w:spacing w:before="40" w:after="40"/>
        <w:textAlignment w:val="top"/>
        <w:rPr>
          <w:szCs w:val="24"/>
        </w:rPr>
      </w:pPr>
    </w:p>
    <w:p w14:paraId="33658CA9" w14:textId="77777777" w:rsidR="006F3B3E" w:rsidRDefault="006F3B3E" w:rsidP="0093529D">
      <w:pPr>
        <w:tabs>
          <w:tab w:val="left" w:pos="540"/>
        </w:tabs>
        <w:spacing w:before="40" w:after="40"/>
        <w:textAlignment w:val="top"/>
        <w:rPr>
          <w:szCs w:val="24"/>
          <w:lang w:val="es-ES"/>
        </w:rPr>
      </w:pPr>
    </w:p>
    <w:p w14:paraId="59D1F12E" w14:textId="77777777" w:rsidR="004E43F7" w:rsidRPr="00145825" w:rsidRDefault="009D0081" w:rsidP="002E4395">
      <w:pPr>
        <w:spacing w:line="360" w:lineRule="auto"/>
        <w:contextualSpacing/>
        <w:rPr>
          <w:b/>
          <w:szCs w:val="24"/>
          <w:lang w:val="es-ES"/>
        </w:rPr>
      </w:pPr>
      <w:r w:rsidRPr="00145825">
        <w:rPr>
          <w:b/>
          <w:szCs w:val="24"/>
          <w:lang w:val="es-ES"/>
        </w:rPr>
        <w:t xml:space="preserve">b. Conocimiento existente </w:t>
      </w:r>
    </w:p>
    <w:p w14:paraId="661E697B" w14:textId="77777777" w:rsidR="004F3BFB" w:rsidRPr="009E0CAD" w:rsidRDefault="004F3BFB" w:rsidP="004F3BFB">
      <w:pPr>
        <w:pStyle w:val="ListParagraph"/>
        <w:tabs>
          <w:tab w:val="left" w:pos="540"/>
        </w:tabs>
        <w:spacing w:before="40" w:after="40"/>
        <w:ind w:left="0"/>
        <w:textAlignment w:val="top"/>
        <w:rPr>
          <w:rStyle w:val="TitleChar"/>
          <w:rFonts w:eastAsia="Times New Roman"/>
          <w:szCs w:val="24"/>
          <w:u w:val="single"/>
          <w:lang w:val="es-ES"/>
        </w:rPr>
      </w:pPr>
      <w:r w:rsidRPr="009E0CAD">
        <w:rPr>
          <w:rStyle w:val="TitleChar"/>
          <w:rFonts w:eastAsia="Times New Roman"/>
          <w:szCs w:val="24"/>
          <w:u w:val="single"/>
          <w:lang w:val="es-ES"/>
        </w:rPr>
        <w:t xml:space="preserve">Componente </w:t>
      </w:r>
      <w:r>
        <w:rPr>
          <w:rStyle w:val="TitleChar"/>
          <w:rFonts w:eastAsia="Times New Roman"/>
          <w:szCs w:val="24"/>
          <w:u w:val="single"/>
          <w:lang w:val="es-ES"/>
        </w:rPr>
        <w:t>I</w:t>
      </w:r>
    </w:p>
    <w:p w14:paraId="37C18E44" w14:textId="77777777" w:rsidR="00F95F4E" w:rsidRPr="00937BA2" w:rsidRDefault="00F95F4E" w:rsidP="00FC272B">
      <w:pPr>
        <w:rPr>
          <w:lang w:val="es-ES"/>
        </w:rPr>
      </w:pPr>
      <w:r w:rsidRPr="00937BA2">
        <w:rPr>
          <w:lang w:val="es-ES"/>
        </w:rPr>
        <w:lastRenderedPageBreak/>
        <w:t xml:space="preserve">La literatura sobre la </w:t>
      </w:r>
      <w:r w:rsidRPr="00DA66BA">
        <w:rPr>
          <w:b/>
          <w:lang w:val="es-ES"/>
        </w:rPr>
        <w:t>efectividad de los ANR</w:t>
      </w:r>
      <w:r w:rsidRPr="00937BA2">
        <w:rPr>
          <w:lang w:val="es-ES"/>
        </w:rPr>
        <w:t xml:space="preserve"> </w:t>
      </w:r>
      <w:r w:rsidR="00FC272B">
        <w:rPr>
          <w:lang w:val="es-ES"/>
        </w:rPr>
        <w:t xml:space="preserve">de </w:t>
      </w:r>
      <w:r w:rsidRPr="00937BA2">
        <w:rPr>
          <w:lang w:val="es-ES"/>
        </w:rPr>
        <w:t xml:space="preserve">fomentar </w:t>
      </w:r>
      <w:r w:rsidR="00FC272B">
        <w:rPr>
          <w:lang w:val="es-ES"/>
        </w:rPr>
        <w:t xml:space="preserve">el desarrollo productivo y </w:t>
      </w:r>
      <w:r w:rsidRPr="00937BA2">
        <w:rPr>
          <w:lang w:val="es-ES"/>
        </w:rPr>
        <w:t xml:space="preserve">la productividad ha crecido significativamente en años recientes. Una primera parte de esta literatura se ha enfocado en el análisis de servicios de extensión privado con financiamiento público parcial. La mayoría de estos estudios utilizan un enfoque no-experimental y lo más rigurosos propone una combinación de </w:t>
      </w:r>
      <w:r w:rsidRPr="00DA66BA">
        <w:rPr>
          <w:i/>
          <w:lang w:val="es-ES"/>
        </w:rPr>
        <w:t>proposity score matching</w:t>
      </w:r>
      <w:r w:rsidRPr="00937BA2">
        <w:rPr>
          <w:lang w:val="es-ES"/>
        </w:rPr>
        <w:t xml:space="preserve">  </w:t>
      </w:r>
      <w:r>
        <w:rPr>
          <w:lang w:val="es-ES"/>
        </w:rPr>
        <w:t xml:space="preserve">y </w:t>
      </w:r>
      <w:r w:rsidRPr="00937BA2">
        <w:rPr>
          <w:lang w:val="es-ES"/>
        </w:rPr>
        <w:t>diferencia en diferencia.</w:t>
      </w:r>
      <w:r w:rsidR="00FC272B">
        <w:rPr>
          <w:rStyle w:val="FootnoteReference"/>
          <w:lang w:val="es-ES"/>
        </w:rPr>
        <w:footnoteReference w:id="6"/>
      </w:r>
      <w:r w:rsidRPr="00937BA2">
        <w:rPr>
          <w:lang w:val="es-ES"/>
        </w:rPr>
        <w:t xml:space="preserve">  Los estudios muestran evidencia de la efectividad de estas intervenciones en fomentar </w:t>
      </w:r>
      <w:r w:rsidR="00FC272B">
        <w:rPr>
          <w:lang w:val="es-ES"/>
        </w:rPr>
        <w:t>el desarrollo productivo y la competitividad</w:t>
      </w:r>
      <w:r w:rsidRPr="00937BA2">
        <w:rPr>
          <w:lang w:val="es-ES"/>
        </w:rPr>
        <w:t xml:space="preserve">. Por ejemplo Maffioli et al. (2011) encuentran impacto positivo en la adopción de uva de alta calidad; Cerdan-Infantes et al. (2009) encuentran incrementos de intensidad de plantación. Sin embargo, la mayoría de estas evaluaciones no logran mostrar una evidencia clara de impacto en productividad (IDB 2010). </w:t>
      </w:r>
      <w:r>
        <w:rPr>
          <w:lang w:val="es-ES"/>
        </w:rPr>
        <w:t>Esta falta de evidencia</w:t>
      </w:r>
      <w:r w:rsidRPr="00937BA2">
        <w:rPr>
          <w:lang w:val="es-ES"/>
        </w:rPr>
        <w:t xml:space="preserve"> podría ser debida por la </w:t>
      </w:r>
      <w:r>
        <w:rPr>
          <w:lang w:val="es-ES"/>
        </w:rPr>
        <w:t>escasez</w:t>
      </w:r>
      <w:r w:rsidRPr="00937BA2">
        <w:rPr>
          <w:lang w:val="es-ES"/>
        </w:rPr>
        <w:t xml:space="preserve"> de datos que cubran un horizonte temporal suficientemente largo para poder detectar esto efectos. </w:t>
      </w:r>
    </w:p>
    <w:p w14:paraId="177BA6D7" w14:textId="77777777" w:rsidR="00FE5DE4" w:rsidRDefault="00F95F4E" w:rsidP="00FC272B">
      <w:pPr>
        <w:rPr>
          <w:lang w:val="es-ES"/>
        </w:rPr>
      </w:pPr>
      <w:r w:rsidRPr="00937BA2">
        <w:rPr>
          <w:lang w:val="es-ES"/>
        </w:rPr>
        <w:t xml:space="preserve">Una segunda parte de la literatura sobre ANR se enfoca más específicamente en análisis de los ANR </w:t>
      </w:r>
      <w:r>
        <w:rPr>
          <w:lang w:val="es-ES"/>
        </w:rPr>
        <w:t>destinado</w:t>
      </w:r>
      <w:r w:rsidRPr="00937BA2">
        <w:rPr>
          <w:lang w:val="es-ES"/>
        </w:rPr>
        <w:t xml:space="preserve"> a fome</w:t>
      </w:r>
      <w:r w:rsidR="00FC272B">
        <w:rPr>
          <w:lang w:val="es-ES"/>
        </w:rPr>
        <w:t>ntar innovación y productividad</w:t>
      </w:r>
      <w:r w:rsidRPr="00937BA2">
        <w:rPr>
          <w:lang w:val="es-ES"/>
        </w:rPr>
        <w:t>. La mayoría de estos estudios se centran en el llamado problema de</w:t>
      </w:r>
      <w:r>
        <w:rPr>
          <w:lang w:val="es-ES"/>
        </w:rPr>
        <w:t xml:space="preserve"> efecto expulsión o </w:t>
      </w:r>
      <w:r w:rsidRPr="00937BA2">
        <w:rPr>
          <w:lang w:val="es-ES"/>
        </w:rPr>
        <w:t xml:space="preserve"> </w:t>
      </w:r>
      <w:r w:rsidRPr="00DA66BA">
        <w:rPr>
          <w:i/>
          <w:lang w:val="es-ES"/>
        </w:rPr>
        <w:t>crowding-out</w:t>
      </w:r>
      <w:r w:rsidRPr="00937BA2">
        <w:rPr>
          <w:lang w:val="es-ES"/>
        </w:rPr>
        <w:t>, donde el financiamiento público simplemente sustituye a los recursos privados sin induc</w:t>
      </w:r>
      <w:r w:rsidR="00FC272B">
        <w:rPr>
          <w:lang w:val="es-ES"/>
        </w:rPr>
        <w:t>i</w:t>
      </w:r>
      <w:r w:rsidRPr="00937BA2">
        <w:rPr>
          <w:lang w:val="es-ES"/>
        </w:rPr>
        <w:t xml:space="preserve">r ninguna inversión adicional. David, Hall y Toole (2000) y Klette, Møen y Griliches (2000) Aschhoff (2009) un panorama completo los resultados más significativos de estos estudios. La mayoría de ellos confirma la ausencia de efectos de pleno </w:t>
      </w:r>
      <w:r w:rsidRPr="00DA66BA">
        <w:rPr>
          <w:i/>
          <w:lang w:val="es-ES"/>
        </w:rPr>
        <w:t xml:space="preserve">crowding-out </w:t>
      </w:r>
      <w:r w:rsidRPr="00937BA2">
        <w:rPr>
          <w:lang w:val="es-ES"/>
        </w:rPr>
        <w:t>y algunos muestran también evidencias de efectos multiplicadores sobre las inversiones. Otros estudios se enfocan en el potencial efecto heterogéneo del financiamiento público, sugiriendo que los subsidi</w:t>
      </w:r>
      <w:r>
        <w:rPr>
          <w:lang w:val="es-ES"/>
        </w:rPr>
        <w:t>o</w:t>
      </w:r>
      <w:r w:rsidRPr="00937BA2">
        <w:rPr>
          <w:lang w:val="es-ES"/>
        </w:rPr>
        <w:t xml:space="preserve">s son más eficaces para las firmas pequeñas, lo que es consistente con el argumento de la restricción financiera. </w:t>
      </w:r>
    </w:p>
    <w:p w14:paraId="7DBC3B4D" w14:textId="77777777" w:rsidR="00082921" w:rsidRDefault="00F95F4E" w:rsidP="00FE5DE4">
      <w:pPr>
        <w:rPr>
          <w:lang w:val="es-ES"/>
        </w:rPr>
      </w:pPr>
      <w:r w:rsidRPr="00937BA2">
        <w:rPr>
          <w:lang w:val="es-ES"/>
        </w:rPr>
        <w:t xml:space="preserve">La literatura sobre América Latina y el Caribe es reciente, pero </w:t>
      </w:r>
      <w:r w:rsidR="00FC272B">
        <w:rPr>
          <w:lang w:val="es-ES"/>
        </w:rPr>
        <w:t>ha mostrado</w:t>
      </w:r>
      <w:r w:rsidRPr="00937BA2">
        <w:rPr>
          <w:lang w:val="es-ES"/>
        </w:rPr>
        <w:t xml:space="preserve"> un aumento </w:t>
      </w:r>
      <w:r w:rsidR="00FC272B">
        <w:rPr>
          <w:lang w:val="es-ES"/>
        </w:rPr>
        <w:t xml:space="preserve">reciente y </w:t>
      </w:r>
      <w:r w:rsidRPr="00937BA2">
        <w:rPr>
          <w:lang w:val="es-ES"/>
        </w:rPr>
        <w:t xml:space="preserve">sostenido. Hall y Maffioli (2008) sintetizan los resultados de una serie de evaluaciones -efectuadas por OVE entre 2005 y 2007- de los Fondos de Desarrollo Tecnológico (TDFs, por sus siglas en inglés) en Argentina, Brasil, Chile y Panamá. Las evidencias mostraron de manera concluyente que dichos fondos no sustituyen a la inversión privada y tuvieron un efecto positivo sobre la intensidad del I+D. Sin embargo, evidencia acerca del desempeño de las empresas también fue mixta, con resultados positivos en términos de crecimiento, pero poco impacto en la productividad. </w:t>
      </w:r>
    </w:p>
    <w:p w14:paraId="393BF7D4" w14:textId="77777777" w:rsidR="00FE5DE4" w:rsidRPr="00EC38B0" w:rsidRDefault="00F95F4E" w:rsidP="00FE5DE4">
      <w:pPr>
        <w:rPr>
          <w:szCs w:val="24"/>
          <w:lang w:val="es-ES"/>
        </w:rPr>
      </w:pPr>
      <w:r w:rsidRPr="00937BA2">
        <w:rPr>
          <w:lang w:val="es-ES"/>
        </w:rPr>
        <w:t xml:space="preserve">Para cubrir parcialmente esta brecha, </w:t>
      </w:r>
      <w:r w:rsidR="00FE5DE4">
        <w:rPr>
          <w:lang w:val="es-ES"/>
        </w:rPr>
        <w:t>r</w:t>
      </w:r>
      <w:r w:rsidR="00FE5DE4" w:rsidRPr="00EC38B0">
        <w:rPr>
          <w:szCs w:val="24"/>
          <w:lang w:val="es-ES"/>
        </w:rPr>
        <w:t>ecientemente, López Acevedo y Tan (2010) evalúan varios programas de fomento a  las Pymes en México (Nafinsa, Bancomext, CONACyT, STPS y otros programas del Ministerio de Economía), Chile (SENCE, CORFO, PROCHILE, FONTEC), Colombia (FOMIPYME) y Perú (BONOPYME, PROMPYME, CITE). Los autores encuentran impactos positivos en ventas, productividad del trabajo y empleo en Chile, y mayor valor agregado, ventas, exportaciones y empleo en México. En Colombia, los resultados sugieren efectos positivos en ventas y beneficios. Confirmando los resultados de Hall y Maffioli, López Acevedo y Tan señalan que algunos de los impactos estimados no se materializan hasta después de varios años. Afirman entonces que la falta de impacto en estudios previos puede deberse a la dimensión corta de tiempo de las bases de datos disponibles, y remarcan la importancia no solo de controlar por sesgos de selección sino también dar cuenta de los rezagos de tiempo necesarios para estimar correctamente los efectos de las intervenciones.</w:t>
      </w:r>
    </w:p>
    <w:p w14:paraId="4C9F476C" w14:textId="77777777" w:rsidR="00FE5DE4" w:rsidRPr="00EC38B0" w:rsidRDefault="00FE5DE4" w:rsidP="00082921">
      <w:pPr>
        <w:rPr>
          <w:szCs w:val="24"/>
          <w:lang w:val="es-ES"/>
        </w:rPr>
      </w:pPr>
      <w:r w:rsidRPr="00937BA2">
        <w:rPr>
          <w:lang w:val="es-ES"/>
        </w:rPr>
        <w:lastRenderedPageBreak/>
        <w:t xml:space="preserve">Crespi et al. (2010) </w:t>
      </w:r>
      <w:r>
        <w:rPr>
          <w:lang w:val="es-ES"/>
        </w:rPr>
        <w:t xml:space="preserve">también </w:t>
      </w:r>
      <w:r w:rsidRPr="00937BA2">
        <w:rPr>
          <w:lang w:val="es-ES"/>
        </w:rPr>
        <w:t>han realizado estudios de los efectos dinámicos de largo plazo de los TDF</w:t>
      </w:r>
      <w:r>
        <w:rPr>
          <w:lang w:val="es-ES"/>
        </w:rPr>
        <w:t xml:space="preserve">, </w:t>
      </w:r>
      <w:r w:rsidRPr="00937BA2">
        <w:rPr>
          <w:lang w:val="es-ES"/>
        </w:rPr>
        <w:t>muestra</w:t>
      </w:r>
      <w:r>
        <w:rPr>
          <w:lang w:val="es-ES"/>
        </w:rPr>
        <w:t>n</w:t>
      </w:r>
      <w:r w:rsidRPr="00937BA2">
        <w:rPr>
          <w:lang w:val="es-ES"/>
        </w:rPr>
        <w:t xml:space="preserve"> que el financiamiento de COLCIENCIAS tuvo no sólo un impacto positivo en las inversiones en I+D de las empresas, sino también un impacto significativo en sus desempeños. Da también evidencias de que estos efectos permanecen y, en algunos casos, se acrecientan con el tiempo. Los ANR tuvieron un impacto promedio en el lanzamiento de nuevos productos y en la productividad laboral de alrededor de 12 por ciento y 15 por ciento, respectivamente, siendo estos efectos más significativos entre tres y cinco años después de que las empresas comenzaron a ser tratadas.</w:t>
      </w:r>
    </w:p>
    <w:p w14:paraId="1583D80C" w14:textId="77777777" w:rsidR="00FE5DE4" w:rsidRDefault="00FE5DE4" w:rsidP="00082921">
      <w:pPr>
        <w:rPr>
          <w:lang w:val="es-ES"/>
        </w:rPr>
      </w:pPr>
      <w:r w:rsidRPr="00EC38B0">
        <w:rPr>
          <w:lang w:val="es-ES"/>
        </w:rPr>
        <w:t>Más recientemente, Castillo et al. (201</w:t>
      </w:r>
      <w:r w:rsidR="00082921">
        <w:rPr>
          <w:lang w:val="es-ES"/>
        </w:rPr>
        <w:t>3</w:t>
      </w:r>
      <w:r w:rsidRPr="00EC38B0">
        <w:rPr>
          <w:lang w:val="es-ES"/>
        </w:rPr>
        <w:t xml:space="preserve">) presentan la evaluación  del </w:t>
      </w:r>
      <w:r>
        <w:rPr>
          <w:lang w:val="es-ES"/>
        </w:rPr>
        <w:t xml:space="preserve">programa </w:t>
      </w:r>
      <w:r w:rsidRPr="00EC38B0">
        <w:rPr>
          <w:lang w:val="es-ES"/>
        </w:rPr>
        <w:t>PRE en Argentina</w:t>
      </w:r>
      <w:r>
        <w:rPr>
          <w:lang w:val="es-ES"/>
        </w:rPr>
        <w:t xml:space="preserve">, </w:t>
      </w:r>
      <w:r w:rsidR="00082921">
        <w:rPr>
          <w:lang w:val="es-ES"/>
        </w:rPr>
        <w:t xml:space="preserve">que el BID apoyo entre 1997 y 2007, y </w:t>
      </w:r>
      <w:r>
        <w:rPr>
          <w:lang w:val="es-ES"/>
        </w:rPr>
        <w:t>que t</w:t>
      </w:r>
      <w:r w:rsidRPr="00EC38B0">
        <w:rPr>
          <w:lang w:val="es-ES"/>
        </w:rPr>
        <w:t>en</w:t>
      </w:r>
      <w:r>
        <w:rPr>
          <w:lang w:val="es-ES"/>
        </w:rPr>
        <w:t>ía</w:t>
      </w:r>
      <w:r w:rsidRPr="00EC38B0">
        <w:rPr>
          <w:lang w:val="es-ES"/>
        </w:rPr>
        <w:t xml:space="preserve"> por objetivo incrementar la competitividad de las PyMES cofinanciando asistencia técnica</w:t>
      </w:r>
      <w:r>
        <w:rPr>
          <w:lang w:val="es-ES"/>
        </w:rPr>
        <w:t xml:space="preserve">. </w:t>
      </w:r>
      <w:r w:rsidR="00082921" w:rsidRPr="00E60091">
        <w:rPr>
          <w:color w:val="000000"/>
          <w:lang w:val="es-ES"/>
        </w:rPr>
        <w:t>La evaluación de impacto del PRE llevada a cabo por Castillo et al 201</w:t>
      </w:r>
      <w:r w:rsidR="00082921">
        <w:rPr>
          <w:color w:val="000000"/>
          <w:lang w:val="es-ES"/>
        </w:rPr>
        <w:t>3</w:t>
      </w:r>
      <w:r w:rsidR="00082921" w:rsidRPr="00E60091">
        <w:rPr>
          <w:color w:val="000000"/>
          <w:lang w:val="es-ES"/>
        </w:rPr>
        <w:t xml:space="preserve"> muestra que el PRE fue efectivo en aumentar la probabilidad de supervivencia, el empleo, los salarios, y la probabilidad de exportar de las empresas beneficiarias.  Esta evaluación </w:t>
      </w:r>
      <w:r w:rsidR="00082921">
        <w:rPr>
          <w:lang w:val="es-ES"/>
        </w:rPr>
        <w:t xml:space="preserve">clasifica las actividades recibidas por las empresas como </w:t>
      </w:r>
      <w:r w:rsidR="00082921" w:rsidRPr="00EC38B0">
        <w:rPr>
          <w:lang w:val="es-ES"/>
        </w:rPr>
        <w:t xml:space="preserve">apoyo </w:t>
      </w:r>
      <w:r w:rsidR="00082921">
        <w:rPr>
          <w:lang w:val="es-ES"/>
        </w:rPr>
        <w:t>par</w:t>
      </w:r>
      <w:r w:rsidR="00082921" w:rsidRPr="00EC38B0">
        <w:rPr>
          <w:lang w:val="es-ES"/>
        </w:rPr>
        <w:t xml:space="preserve">a innovación de procesos </w:t>
      </w:r>
      <w:r w:rsidR="00082921">
        <w:rPr>
          <w:lang w:val="es-ES"/>
        </w:rPr>
        <w:t>y apoyo para la</w:t>
      </w:r>
      <w:r w:rsidR="00082921" w:rsidRPr="00EC38B0">
        <w:rPr>
          <w:lang w:val="es-ES"/>
        </w:rPr>
        <w:t xml:space="preserve"> innovación de productos</w:t>
      </w:r>
      <w:r w:rsidR="00082921">
        <w:rPr>
          <w:lang w:val="es-ES"/>
        </w:rPr>
        <w:t>, y muestra</w:t>
      </w:r>
      <w:r w:rsidR="00082921" w:rsidRPr="00E60091">
        <w:rPr>
          <w:color w:val="000000"/>
          <w:lang w:val="es-ES"/>
        </w:rPr>
        <w:t xml:space="preserve">además que los servicios que </w:t>
      </w:r>
      <w:r w:rsidR="00082921">
        <w:rPr>
          <w:color w:val="000000"/>
          <w:lang w:val="es-ES"/>
        </w:rPr>
        <w:t xml:space="preserve">apoyaron la innovación de productos tuvieron un impacto más grande sobre salarios, supervivencia, y exportaciones. </w:t>
      </w:r>
    </w:p>
    <w:p w14:paraId="7E0407B7" w14:textId="77777777" w:rsidR="00F63B38" w:rsidRDefault="00F95F4E" w:rsidP="00F63B38">
      <w:pPr>
        <w:rPr>
          <w:lang w:val="es-ES"/>
        </w:rPr>
      </w:pPr>
      <w:r w:rsidRPr="00937BA2">
        <w:rPr>
          <w:lang w:val="es-ES"/>
        </w:rPr>
        <w:t xml:space="preserve">La literatura sobre la efectividad de políticas de fomento de la productividad a través del </w:t>
      </w:r>
      <w:r w:rsidRPr="00DA66BA">
        <w:rPr>
          <w:b/>
          <w:lang w:val="es-ES"/>
        </w:rPr>
        <w:t>desarrollo de clúster</w:t>
      </w:r>
      <w:r w:rsidRPr="00937BA2">
        <w:rPr>
          <w:lang w:val="es-ES"/>
        </w:rPr>
        <w:t xml:space="preserve"> es mucho </w:t>
      </w:r>
      <w:r w:rsidR="00F63B38" w:rsidRPr="00937BA2">
        <w:rPr>
          <w:lang w:val="es-ES"/>
        </w:rPr>
        <w:t>más</w:t>
      </w:r>
      <w:r w:rsidRPr="00937BA2">
        <w:rPr>
          <w:lang w:val="es-ES"/>
        </w:rPr>
        <w:t xml:space="preserve"> incipiente. A pesar de que la literatura empírica sobre economías de aglomeración comenzó en los ´70  con las contribuciones de Shefer (1973) y Sveikauskas (1975), el trabajo de Ciccone y Hall (1996) fue el primero en puntualizar sobre una potencial endogeneidad: las firmas se benefician de la aglomeración debido a las externalidades y, al mismo tiempo, las mejores firmas deciden radicarse cerca de otras firmas. Usando datos del producto bruto estatal de Estados Unidos, Ciccone and Hall (1996) encuentran que una duplicación de la densidad de empleo incrementa la productividad del trabajo promedio en alrededor de un 6%.</w:t>
      </w:r>
      <w:r w:rsidR="00F63B38">
        <w:rPr>
          <w:rStyle w:val="FootnoteReference"/>
          <w:lang w:val="es-ES"/>
        </w:rPr>
        <w:footnoteReference w:id="7"/>
      </w:r>
      <w:r w:rsidRPr="00937BA2">
        <w:rPr>
          <w:lang w:val="es-ES"/>
        </w:rPr>
        <w:t xml:space="preserve"> Por otro lado, utilizando datos a nivel firma  para el periodo 1996-2004 Martin, Mayer y Mayneris encuentran que los beneficios generados por un incremento de clusterización sectorial son positivos y altamente significativos aunque modestos y limitados geográficamente. Por su parte, usando datos de manufacturas en Hungría para 1992-2003 y observando distintas tipos de firmas, Békés y Harasztosi (2010) confirman que las mismas obtienen un mejor </w:t>
      </w:r>
      <w:r>
        <w:rPr>
          <w:lang w:val="es-ES"/>
        </w:rPr>
        <w:t>comportamiento empresarial</w:t>
      </w:r>
      <w:r w:rsidRPr="00937BA2">
        <w:rPr>
          <w:lang w:val="es-ES"/>
        </w:rPr>
        <w:t xml:space="preserve"> en áreas aglomeradas y muestran que las que comercian ganan más en términos de productividad que aquellas que no comercian cuando la aglomeración crece. </w:t>
      </w:r>
    </w:p>
    <w:p w14:paraId="7BA902FE" w14:textId="77777777" w:rsidR="008C1623" w:rsidRDefault="00F95F4E" w:rsidP="00F63B38">
      <w:pPr>
        <w:rPr>
          <w:lang w:val="es-ES"/>
        </w:rPr>
      </w:pPr>
      <w:r w:rsidRPr="00937BA2">
        <w:rPr>
          <w:lang w:val="es-ES"/>
        </w:rPr>
        <w:t xml:space="preserve">En los últimos años existen dos trabajos que aplican técnicas cuasi-experimentales en la evaluación de políticas de cluster en Europa. Martin, Mayer y Mayneris (2008) analizan empíricamente una política pública que promueve los clusters industriales en Francia. Utilizando datos de producción y empleo para firmas que se beneficiaron de la política y para aquellas que no, encuentran que la política seleccionó firmas que se encontraban en un declive relativo no encontrando un efecto importante en la productividad, pero concluyen, sin embargo, que la política puede haber ayudado a las firmas en términos de empleo. Por su parte, Falck, Heblich y Kipar (2009) evalúan una política de cluster introducida en 1999 en Bavaria, </w:t>
      </w:r>
      <w:r w:rsidR="00F63B38">
        <w:rPr>
          <w:lang w:val="es-ES"/>
        </w:rPr>
        <w:t>Alemania</w:t>
      </w:r>
      <w:r>
        <w:rPr>
          <w:lang w:val="es-ES"/>
        </w:rPr>
        <w:t>,</w:t>
      </w:r>
      <w:r w:rsidRPr="00937BA2">
        <w:rPr>
          <w:lang w:val="es-ES"/>
        </w:rPr>
        <w:t xml:space="preserve"> y utilizando el enfoque de diferencias-en-diferencias encuentran que dicha política incrementó la </w:t>
      </w:r>
      <w:r w:rsidRPr="00937BA2">
        <w:rPr>
          <w:lang w:val="es-ES"/>
        </w:rPr>
        <w:lastRenderedPageBreak/>
        <w:t>probabilidad de convertirse en un innovador en la industria específica de 5.1 a 11.2 puntos porcentuales. Por otro lado, Nishimura y Okamuro (2009) evalúan el</w:t>
      </w:r>
      <w:r w:rsidR="00F63B38">
        <w:rPr>
          <w:lang w:val="es-ES"/>
        </w:rPr>
        <w:t xml:space="preserve"> impacto del</w:t>
      </w:r>
      <w:r w:rsidRPr="00937BA2">
        <w:rPr>
          <w:lang w:val="es-ES"/>
        </w:rPr>
        <w:t xml:space="preserve"> </w:t>
      </w:r>
      <w:r w:rsidRPr="00F63B38">
        <w:rPr>
          <w:i/>
          <w:lang w:val="es-ES"/>
        </w:rPr>
        <w:t>Industrial Cluster Project</w:t>
      </w:r>
      <w:r w:rsidRPr="00937BA2">
        <w:rPr>
          <w:lang w:val="es-ES"/>
        </w:rPr>
        <w:t xml:space="preserve"> (ICP) iniciado por el Ministerio de Economía, Comercio e Industria de Japón en 2001, sobre la productividad de los participantes en Investigación y Desarrollo (I+D). Para ello utilizan las técnicas de </w:t>
      </w:r>
      <w:r w:rsidRPr="00937BA2">
        <w:rPr>
          <w:i/>
          <w:lang w:val="es-ES"/>
        </w:rPr>
        <w:t>propensity score</w:t>
      </w:r>
      <w:r w:rsidRPr="00937BA2">
        <w:rPr>
          <w:lang w:val="es-ES"/>
        </w:rPr>
        <w:t xml:space="preserve"> y diferencias-en-diferencias y encuentran que la sola participación en el proyecto de clúster no tuvo un efecto significativo sobre la productividad I+D de las firmas. También analizan  el grado de formación de alianzas o redes antes y después de participar en el ICP sugiriendo que los miembros del cluster que explotaron los programas de soporte expandieron la red industria-universidad-gobierno luego de participar del ICP. Otro trabajo con datos a nivel firma es el de Long y Zhang (2009), quienes muestran que la rápida industrialización de China se caracteriza por un crecimiento en la formación de clúster, y encuentran que los clúster ayudan a sortear restricciones de crédito que enfrentan las pequeñas y medianas empresas. </w:t>
      </w:r>
    </w:p>
    <w:p w14:paraId="1DE4D2B8" w14:textId="77777777" w:rsidR="00FE5DE4" w:rsidRPr="00CA1164" w:rsidRDefault="00F95F4E" w:rsidP="00FE5DE4">
      <w:pPr>
        <w:pStyle w:val="ListParagraph"/>
        <w:tabs>
          <w:tab w:val="left" w:pos="540"/>
        </w:tabs>
        <w:spacing w:before="40" w:after="40"/>
        <w:ind w:left="0"/>
        <w:textAlignment w:val="top"/>
        <w:rPr>
          <w:rStyle w:val="TitleChar"/>
          <w:rFonts w:eastAsia="Times New Roman"/>
          <w:szCs w:val="24"/>
          <w:lang w:val="es-ES"/>
        </w:rPr>
      </w:pPr>
      <w:r w:rsidRPr="00937BA2">
        <w:rPr>
          <w:lang w:val="es-ES"/>
        </w:rPr>
        <w:t>Por último, en América Latina hay escasa investigación sobre la evaluación de impacto de políticas de clúster. En esta línea, Maffioli (2005) presenta una discusión teórica de redes industriales. Por su parte, Arraiz et al (2011) evalúa un programa de desarrollo de la oferta en Chile obteniendo que tanto las empresas agroindustriales pequeñas como las grandes empresas se benefician del programa.</w:t>
      </w:r>
      <w:r w:rsidRPr="00937BA2">
        <w:rPr>
          <w:rStyle w:val="FootnoteReference"/>
          <w:lang w:val="es-ES"/>
        </w:rPr>
        <w:footnoteReference w:id="8"/>
      </w:r>
      <w:r w:rsidRPr="00937BA2">
        <w:rPr>
          <w:lang w:val="es-ES"/>
        </w:rPr>
        <w:t xml:space="preserve"> </w:t>
      </w:r>
      <w:r w:rsidR="00FE5DE4">
        <w:rPr>
          <w:lang w:val="es-ES"/>
        </w:rPr>
        <w:t xml:space="preserve">Asimismo, </w:t>
      </w:r>
      <w:r w:rsidR="00FE5DE4">
        <w:rPr>
          <w:szCs w:val="24"/>
          <w:lang w:val="es-ES"/>
        </w:rPr>
        <w:t>Figal et</w:t>
      </w:r>
      <w:r w:rsidR="00FE5DE4" w:rsidRPr="00CA1164">
        <w:rPr>
          <w:szCs w:val="24"/>
          <w:lang w:val="es-ES"/>
        </w:rPr>
        <w:t xml:space="preserve"> al</w:t>
      </w:r>
      <w:r w:rsidR="00FE5DE4">
        <w:rPr>
          <w:szCs w:val="24"/>
          <w:lang w:val="es-ES"/>
        </w:rPr>
        <w:t>.,</w:t>
      </w:r>
      <w:r w:rsidR="00FE5DE4" w:rsidRPr="00CA1164">
        <w:rPr>
          <w:szCs w:val="24"/>
          <w:lang w:val="es-ES"/>
        </w:rPr>
        <w:t xml:space="preserve"> 2012</w:t>
      </w:r>
      <w:r w:rsidR="00FE5DE4">
        <w:rPr>
          <w:szCs w:val="24"/>
          <w:lang w:val="es-ES"/>
        </w:rPr>
        <w:t>,</w:t>
      </w:r>
      <w:r w:rsidR="00FE5DE4" w:rsidRPr="00CA1164">
        <w:rPr>
          <w:szCs w:val="24"/>
          <w:lang w:val="es-ES"/>
        </w:rPr>
        <w:t xml:space="preserve"> evaluaron el impacto directo e indirecto de </w:t>
      </w:r>
      <w:r w:rsidR="00FE5DE4">
        <w:rPr>
          <w:szCs w:val="24"/>
          <w:lang w:val="es-ES"/>
        </w:rPr>
        <w:t>programas de apoyo a los Arranjos Produtivos Locais (</w:t>
      </w:r>
      <w:r w:rsidR="00FE5DE4" w:rsidRPr="00CA1164">
        <w:rPr>
          <w:szCs w:val="24"/>
          <w:lang w:val="es-ES"/>
        </w:rPr>
        <w:t>APL</w:t>
      </w:r>
      <w:r w:rsidR="00FE5DE4">
        <w:rPr>
          <w:szCs w:val="24"/>
          <w:lang w:val="es-ES"/>
        </w:rPr>
        <w:t>)</w:t>
      </w:r>
      <w:r w:rsidR="00FE5DE4" w:rsidRPr="00CA1164">
        <w:rPr>
          <w:szCs w:val="24"/>
          <w:lang w:val="es-ES"/>
        </w:rPr>
        <w:t xml:space="preserve"> en Brasil. </w:t>
      </w:r>
    </w:p>
    <w:p w14:paraId="6E74ADD7" w14:textId="77777777" w:rsidR="00FE5DE4" w:rsidRDefault="00FE5DE4" w:rsidP="00FE5DE4">
      <w:pPr>
        <w:rPr>
          <w:lang w:val="es-ES"/>
        </w:rPr>
      </w:pPr>
    </w:p>
    <w:p w14:paraId="0D3DF883" w14:textId="77777777" w:rsidR="00F95F4E" w:rsidRDefault="00F95F4E" w:rsidP="00F95F4E">
      <w:pPr>
        <w:rPr>
          <w:szCs w:val="24"/>
          <w:u w:val="single"/>
        </w:rPr>
      </w:pPr>
      <w:r>
        <w:rPr>
          <w:szCs w:val="24"/>
          <w:u w:val="single"/>
        </w:rPr>
        <w:t>Componente II</w:t>
      </w:r>
    </w:p>
    <w:p w14:paraId="1D73602E" w14:textId="77777777" w:rsidR="004F3BFB" w:rsidRPr="00FF1367" w:rsidRDefault="004F3BFB" w:rsidP="004F3BFB">
      <w:pPr>
        <w:rPr>
          <w:szCs w:val="24"/>
        </w:rPr>
      </w:pPr>
      <w:r w:rsidRPr="00FF1367">
        <w:rPr>
          <w:szCs w:val="24"/>
        </w:rPr>
        <w:t>En la actualidad, en las instituciones de desarrollo existe un auge de los estudios que buscan evidencia cuantitativa de los efectos de las distintas intervenciones públicas en distintas variables de resultados, las llamadas evaluaciones de impacto. Esta tendencia se aprecia sobremanera en el área de política social, estando menos desarrollada en otras áreas como infraestructura. La razón de este desarrollo relativo menor es el hecho de que los experimentos controlados, la metodología hoy considerada más confiable para aislar efectos causales, es prácticamente imposible de aplicar en los proyectos de infraestructura. Esta dificultad tiene dos fuentes, por un lado, la asignación aleatoria de infraestructura no es posible debido a su elevado costo; por otro lado, es difícil encontrar observaciones de control ya que las inversiones en infraestructura se caracterizan por tener grandes externalidades y ser de difícil exclusión, por lo que es difícil argumentar que ciertos elementos estén totalmente libres del tratamiento. Además de estos problemas que hacen prácticamente inviables los experimentos controlados en infraestructura, las evaluaciones de este tipo de intervenciones deben lidiar con la heterogeneidad de los efectos a través de las unidades de observación y del tiempo.</w:t>
      </w:r>
    </w:p>
    <w:p w14:paraId="6E3D8D17" w14:textId="77777777" w:rsidR="004F3BFB" w:rsidRPr="00FF1367" w:rsidRDefault="004F3BFB" w:rsidP="004F3BFB">
      <w:pPr>
        <w:rPr>
          <w:szCs w:val="24"/>
        </w:rPr>
      </w:pPr>
      <w:r w:rsidRPr="00FF1367">
        <w:rPr>
          <w:szCs w:val="24"/>
        </w:rPr>
        <w:lastRenderedPageBreak/>
        <w:t>Ante la imposibilidad de realizar experimentos controlados, la mayoría de los estudios utilizan métodos que buscan eliminar el problema de la endogeneidad con la introducción de regresores o con diferenciación, más que con el uso de fuentes de variabilidad exógena.</w:t>
      </w:r>
    </w:p>
    <w:p w14:paraId="4A5A9707" w14:textId="77777777" w:rsidR="00AA69A6" w:rsidRPr="00F95F4E" w:rsidRDefault="00AA69A6" w:rsidP="00E32E7B">
      <w:r w:rsidRPr="00F95F4E">
        <w:t>Los pocos estudios disponibles sobre el efecto de la infraestructura caminera están principalmente concentrados en caminos rurales, debido a la gran importancia que le han dado las agencias internacionales como herramienta para superar la pobreza en este sector. La evaluación de proyectos camineros con foco en la actividad turística son prácticamente inexistentes. En todo caso, debido a que algunas dimensiones de los trabajos sobre el sector rural pueden ser importantes también para el análisis de los caminos orientados al turismo.</w:t>
      </w:r>
    </w:p>
    <w:p w14:paraId="1060C222" w14:textId="77777777" w:rsidR="00AA69A6" w:rsidRPr="00F95F4E" w:rsidRDefault="00AA69A6" w:rsidP="00E32E7B">
      <w:r w:rsidRPr="00F95F4E">
        <w:t>Lokshin y Yemtsov (2005) presenta una evaluación de la sobre rehabilitación de caminos rurales en Georgia empleando una combinación de diferencias-en-diferencias con emparejamiento y encuentra que estos reducen el tiempo consumido para viajar entre localidades cercanas, incrementa el número de empresas pequeñas y medianas, reduce la importancia del trueque en la operaciones comerciales en favor de formas más modernas de intercambio, mejora el acceso a atención médica de urgencia, incrementa la variedad de empleos en los poblados y aumenta la participación femenina en el mercado laboral. Una característica sobresaliente de estos hallazgos es que no se dan parejamente en toda la población, sino que tienden a beneficiar más a la población más pobre en lo que hace a acceso a atención de emergencia y a las mujeres en la participación en trabajos no agrícolas. Resultados similares son encontrados por Walle and Cratty (2002). Jacoby (1998) encuentra que la construcción de caminos rurales tiene efectos positivos sobre el acceso a mercados y el valor de los lotes in Nepal, beneficiando más a las áreas más pobres. El hallazgo de efectos heterogéneos y sus consecuentes efectos distributivos son una característica saliente de las evaluaciones de impacto de proyectos de infraestructura, como señala Estache (2010).</w:t>
      </w:r>
    </w:p>
    <w:p w14:paraId="6B045CFA" w14:textId="77777777" w:rsidR="00AA69A6" w:rsidRPr="00F95F4E" w:rsidRDefault="00AA69A6" w:rsidP="00E32E7B">
      <w:r w:rsidRPr="00F95F4E">
        <w:t>En el caso de las rutas turísticas, las variables de resultado más relevantes tienen que ver con arribo y permanencia de visitantes. Al analizarlas, es necesario tener en cuenta la posibilidad de efectos heterogéneos, como se ha visto en el caso de caminos rurales.</w:t>
      </w:r>
    </w:p>
    <w:p w14:paraId="216FDFBA" w14:textId="77777777" w:rsidR="00AA69A6" w:rsidRPr="00F95F4E" w:rsidRDefault="00AA69A6" w:rsidP="00E32E7B">
      <w:r w:rsidRPr="00F95F4E">
        <w:t>Ferri (2004), usando diferentes estrategias de series de tiempo, analiza el efecto de la construcción de una autopista en la actividad turística de Valencia, España. En particular, pone atención en la cantidad de visitantes recibidos por distintas ciudades en el área de influencia de la autopista. Los únicos hallazgos robustos a la metodología encontrados son el efecto positivo sobre los turistas nacionales en Alicante y el no efecto sobre los visitantes extranjeros en esa ciudad.  Más allá de sus no concluyentes hallazgos, este estudio muestra que los resultados pueden depender del origen y el destino de los turistas, gradiente que es necesario tener en cuenta en la evaluación de este tipo de programas.</w:t>
      </w:r>
    </w:p>
    <w:p w14:paraId="5BE6B49E" w14:textId="77777777" w:rsidR="00AA69A6" w:rsidRPr="00F95F4E" w:rsidRDefault="00AA69A6" w:rsidP="00E32E7B">
      <w:r w:rsidRPr="00F95F4E">
        <w:t>A diferencia del trabajo antes mencionado, Lumsdon (2006) no se ocupa de la cantidad de visitantes, sino del tipo de medio de transporte utilizado para llegar a los destinos. E</w:t>
      </w:r>
      <w:r w:rsidR="00E32E7B">
        <w:t>s</w:t>
      </w:r>
      <w:r w:rsidRPr="00F95F4E">
        <w:t xml:space="preserve">pecíficamente, evalúa la efectividad de un boleto multimodal de transporte público para inducir a la personas a cambiar el medio de transporte utilizado para visitar el Peak District National Park de auto particular al transporte público. El trabajo encuentra que esta intervención tuvo la capacidad de modificar la conducta en el segmento de la población más dispuesto ex-ante a usar el transporte público. En otros grupos de la población no se detectó cambio de conducta. De acuerdo a la encuesta realizada por los autores, los usuarios del ticket multimodal valoran el viaje en sí, más que verlo como una necesidad para llegar al parque nacional, siendo importantes los paisajes y las comunidades por los que atraviesan los medios de transporte </w:t>
      </w:r>
      <w:r w:rsidRPr="00F95F4E">
        <w:lastRenderedPageBreak/>
        <w:t>incluidos, otro aspecto a tener en cuenta a la hora de evaluar la efectividad de intervenciones en este campo.</w:t>
      </w:r>
    </w:p>
    <w:p w14:paraId="3CABE744" w14:textId="77777777" w:rsidR="00AA69A6" w:rsidRPr="00F95F4E" w:rsidRDefault="00AA69A6" w:rsidP="00E32E7B">
      <w:r w:rsidRPr="00F95F4E">
        <w:t xml:space="preserve">Khadaroo y Seeyanah (2007) analiza el efecto de la calidad de la infraestructura de transporte en Mauricio sobre la cantidad turistas que arriban a la isla. A diferencia de los dos estudios anteriores, la intervención en este caso no está relacionada con el transporte para llegar al destino, sino con las facilidades de transporte esperadas por los turistas una vez en el destino. Para realizar el análisis, se estima un modelo para los arribos a la isla que incluye entre sus regresores, el capital destinado a transporte en la capital de país. El trabajo encuentra que la infraestructura tiene un efecto positivo sobre los turistas que llegan al país, pero, como en casos anteriores, los efectos son heterogéneos. Los turistas de Estados Unidos y Europa son mucho más sensibles a la infraestructura disponible que los turistas provenientes de Asia o África. </w:t>
      </w:r>
    </w:p>
    <w:p w14:paraId="29D3FBB0" w14:textId="77777777" w:rsidR="00383F3F" w:rsidRDefault="00383F3F" w:rsidP="002E4395">
      <w:pPr>
        <w:pStyle w:val="Heading4"/>
        <w:numPr>
          <w:ilvl w:val="0"/>
          <w:numId w:val="0"/>
        </w:numPr>
        <w:rPr>
          <w:rFonts w:ascii="Times New Roman" w:hAnsi="Times New Roman"/>
          <w:noProof w:val="0"/>
          <w:szCs w:val="24"/>
          <w:lang w:val="es-ES_tradnl"/>
        </w:rPr>
      </w:pPr>
    </w:p>
    <w:p w14:paraId="446B5C90" w14:textId="77777777" w:rsidR="00E4465A" w:rsidRPr="00E6798C" w:rsidRDefault="002E4395" w:rsidP="002E4395">
      <w:pPr>
        <w:pStyle w:val="Heading4"/>
        <w:numPr>
          <w:ilvl w:val="0"/>
          <w:numId w:val="0"/>
        </w:numPr>
        <w:rPr>
          <w:rFonts w:ascii="Times New Roman" w:hAnsi="Times New Roman"/>
          <w:noProof w:val="0"/>
          <w:szCs w:val="24"/>
          <w:lang w:val="es-ES_tradnl"/>
        </w:rPr>
      </w:pPr>
      <w:r w:rsidRPr="00E6798C">
        <w:rPr>
          <w:rFonts w:ascii="Times New Roman" w:hAnsi="Times New Roman"/>
          <w:noProof w:val="0"/>
          <w:szCs w:val="24"/>
          <w:lang w:val="es-ES_tradnl"/>
        </w:rPr>
        <w:t>c. I</w:t>
      </w:r>
      <w:r w:rsidR="00E4465A" w:rsidRPr="00E6798C">
        <w:rPr>
          <w:rFonts w:ascii="Times New Roman" w:hAnsi="Times New Roman"/>
          <w:noProof w:val="0"/>
          <w:szCs w:val="24"/>
          <w:lang w:val="es-ES_tradnl"/>
        </w:rPr>
        <w:t xml:space="preserve">ndicadores de </w:t>
      </w:r>
      <w:r w:rsidRPr="00E6798C">
        <w:rPr>
          <w:rFonts w:ascii="Times New Roman" w:hAnsi="Times New Roman"/>
          <w:noProof w:val="0"/>
          <w:szCs w:val="24"/>
          <w:lang w:val="es-ES_tradnl"/>
        </w:rPr>
        <w:t>resultados</w:t>
      </w:r>
    </w:p>
    <w:p w14:paraId="65CAE10B" w14:textId="77777777" w:rsidR="00B42C40" w:rsidRPr="00224CA0" w:rsidRDefault="00B4220D" w:rsidP="00224CA0">
      <w:pPr>
        <w:pStyle w:val="ListParagraph"/>
        <w:tabs>
          <w:tab w:val="left" w:pos="540"/>
        </w:tabs>
        <w:spacing w:before="40" w:after="40"/>
        <w:ind w:left="0"/>
        <w:textAlignment w:val="top"/>
        <w:rPr>
          <w:szCs w:val="24"/>
          <w:lang w:val="es-ES_tradnl"/>
        </w:rPr>
      </w:pPr>
      <w:r w:rsidRPr="00224CA0">
        <w:rPr>
          <w:szCs w:val="24"/>
          <w:lang w:val="es-ES_tradnl"/>
        </w:rPr>
        <w:t>Para contestar las preguntas de evaluación anteriormente planteadas, las evaluaciones se enfocarán en una serie de indicadores de resultados intermedios y finales. La Tabla 3 presenta estos indicadores.</w:t>
      </w:r>
    </w:p>
    <w:p w14:paraId="33284FF1" w14:textId="77777777" w:rsidR="00A81BB1" w:rsidRPr="00E6798C" w:rsidRDefault="00A81BB1" w:rsidP="00B42C40">
      <w:pPr>
        <w:pStyle w:val="TableTitle"/>
        <w:rPr>
          <w:rFonts w:ascii="Times New Roman" w:hAnsi="Times New Roman"/>
          <w:sz w:val="24"/>
          <w:szCs w:val="24"/>
          <w:lang w:val="es-ES_tradnl" w:eastAsia="x-none"/>
        </w:rPr>
      </w:pPr>
    </w:p>
    <w:p w14:paraId="2C8FAE70" w14:textId="26E84ECD" w:rsidR="00CF56CD" w:rsidRPr="00E6798C" w:rsidRDefault="00B4220D" w:rsidP="000E1687">
      <w:pPr>
        <w:pStyle w:val="TableTitle"/>
        <w:spacing w:after="120"/>
        <w:rPr>
          <w:rFonts w:ascii="Times New Roman" w:hAnsi="Times New Roman"/>
          <w:sz w:val="24"/>
          <w:szCs w:val="24"/>
          <w:lang w:val="es-ES_tradnl" w:eastAsia="x-none"/>
        </w:rPr>
      </w:pPr>
      <w:r w:rsidRPr="00E6798C">
        <w:rPr>
          <w:rFonts w:ascii="Times New Roman" w:hAnsi="Times New Roman"/>
          <w:sz w:val="24"/>
          <w:szCs w:val="24"/>
          <w:lang w:val="es-ES_tradnl" w:eastAsia="x-none"/>
        </w:rPr>
        <w:t xml:space="preserve">Tabla 3. </w:t>
      </w:r>
      <w:r w:rsidR="00E4465A" w:rsidRPr="00E6798C">
        <w:rPr>
          <w:rFonts w:ascii="Times New Roman" w:hAnsi="Times New Roman"/>
          <w:sz w:val="24"/>
          <w:szCs w:val="24"/>
          <w:lang w:val="es-ES_tradnl" w:eastAsia="x-none"/>
        </w:rPr>
        <w:t>Impactos principales / Indicadores de resultados</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8"/>
        <w:gridCol w:w="270"/>
        <w:gridCol w:w="2340"/>
        <w:gridCol w:w="1080"/>
        <w:gridCol w:w="81"/>
        <w:gridCol w:w="2169"/>
      </w:tblGrid>
      <w:tr w:rsidR="00B763BC" w:rsidRPr="00BB7DD5" w14:paraId="19084089" w14:textId="77777777" w:rsidTr="00F23360">
        <w:tc>
          <w:tcPr>
            <w:tcW w:w="3438" w:type="dxa"/>
          </w:tcPr>
          <w:p w14:paraId="1F23C905" w14:textId="77777777" w:rsidR="00CF56CD" w:rsidRPr="00BB7DD5" w:rsidRDefault="00CF56CD" w:rsidP="00982A1E">
            <w:pPr>
              <w:spacing w:before="60"/>
              <w:jc w:val="center"/>
              <w:rPr>
                <w:b/>
                <w:sz w:val="18"/>
                <w:szCs w:val="18"/>
                <w:lang w:val="es-ES"/>
              </w:rPr>
            </w:pPr>
            <w:r w:rsidRPr="00BB7DD5">
              <w:rPr>
                <w:b/>
                <w:sz w:val="18"/>
                <w:szCs w:val="18"/>
                <w:lang w:val="es-ES"/>
              </w:rPr>
              <w:t>Indicador</w:t>
            </w:r>
          </w:p>
        </w:tc>
        <w:tc>
          <w:tcPr>
            <w:tcW w:w="2610" w:type="dxa"/>
            <w:gridSpan w:val="2"/>
          </w:tcPr>
          <w:p w14:paraId="3AE37F7C" w14:textId="77777777" w:rsidR="00CF56CD" w:rsidRPr="00BB7DD5" w:rsidRDefault="00CF56CD" w:rsidP="00982A1E">
            <w:pPr>
              <w:spacing w:before="60"/>
              <w:jc w:val="center"/>
              <w:rPr>
                <w:b/>
                <w:sz w:val="18"/>
                <w:szCs w:val="18"/>
                <w:lang w:val="es-ES"/>
              </w:rPr>
            </w:pPr>
            <w:r w:rsidRPr="00BB7DD5">
              <w:rPr>
                <w:b/>
                <w:sz w:val="18"/>
                <w:szCs w:val="18"/>
                <w:lang w:val="es-ES"/>
              </w:rPr>
              <w:t>Formula / Definición</w:t>
            </w:r>
          </w:p>
        </w:tc>
        <w:tc>
          <w:tcPr>
            <w:tcW w:w="1161" w:type="dxa"/>
            <w:gridSpan w:val="2"/>
          </w:tcPr>
          <w:p w14:paraId="449E9A81" w14:textId="77777777" w:rsidR="00CF56CD" w:rsidRPr="00BB7DD5" w:rsidRDefault="00CF56CD" w:rsidP="00982A1E">
            <w:pPr>
              <w:spacing w:before="60"/>
              <w:jc w:val="center"/>
              <w:rPr>
                <w:b/>
                <w:sz w:val="18"/>
                <w:szCs w:val="18"/>
                <w:lang w:val="es-ES"/>
              </w:rPr>
            </w:pPr>
            <w:r w:rsidRPr="00BB7DD5">
              <w:rPr>
                <w:b/>
                <w:sz w:val="18"/>
                <w:szCs w:val="18"/>
                <w:lang w:val="es-ES"/>
              </w:rPr>
              <w:t>Frecuencia de Medición</w:t>
            </w:r>
          </w:p>
        </w:tc>
        <w:tc>
          <w:tcPr>
            <w:tcW w:w="2169" w:type="dxa"/>
          </w:tcPr>
          <w:p w14:paraId="139A1444" w14:textId="77777777" w:rsidR="00CF56CD" w:rsidRPr="00BB7DD5" w:rsidRDefault="00CF56CD" w:rsidP="00982A1E">
            <w:pPr>
              <w:spacing w:before="60"/>
              <w:jc w:val="center"/>
              <w:rPr>
                <w:b/>
                <w:sz w:val="18"/>
                <w:szCs w:val="18"/>
                <w:lang w:val="es-ES"/>
              </w:rPr>
            </w:pPr>
            <w:r w:rsidRPr="00BB7DD5">
              <w:rPr>
                <w:b/>
                <w:sz w:val="18"/>
                <w:szCs w:val="18"/>
                <w:lang w:val="es-ES"/>
              </w:rPr>
              <w:t>Fuente</w:t>
            </w:r>
          </w:p>
        </w:tc>
      </w:tr>
      <w:tr w:rsidR="001E300C" w:rsidRPr="00BB7DD5" w14:paraId="629C7D74" w14:textId="77777777" w:rsidTr="00F23360">
        <w:trPr>
          <w:trHeight w:val="369"/>
        </w:trPr>
        <w:tc>
          <w:tcPr>
            <w:tcW w:w="9378" w:type="dxa"/>
            <w:gridSpan w:val="6"/>
          </w:tcPr>
          <w:p w14:paraId="6CA07459" w14:textId="77777777" w:rsidR="001E300C" w:rsidRPr="00BB7DD5" w:rsidRDefault="001E300C" w:rsidP="00982A1E">
            <w:pPr>
              <w:spacing w:before="60"/>
              <w:rPr>
                <w:b/>
                <w:sz w:val="18"/>
                <w:szCs w:val="18"/>
                <w:lang w:val="es-ES"/>
              </w:rPr>
            </w:pPr>
            <w:r w:rsidRPr="00BB7DD5">
              <w:rPr>
                <w:b/>
                <w:sz w:val="18"/>
                <w:szCs w:val="18"/>
                <w:lang w:val="es-ES"/>
              </w:rPr>
              <w:t>Componente I</w:t>
            </w:r>
          </w:p>
        </w:tc>
      </w:tr>
      <w:tr w:rsidR="001E300C" w:rsidRPr="00BB7DD5" w14:paraId="2BE83330" w14:textId="77777777" w:rsidTr="00F23360">
        <w:tc>
          <w:tcPr>
            <w:tcW w:w="3438" w:type="dxa"/>
          </w:tcPr>
          <w:p w14:paraId="2885C666" w14:textId="20779FE1" w:rsidR="001E300C" w:rsidRPr="00BB7DD5" w:rsidRDefault="00045FF9" w:rsidP="00045FF9">
            <w:pPr>
              <w:spacing w:before="60"/>
              <w:rPr>
                <w:sz w:val="18"/>
                <w:szCs w:val="18"/>
                <w:lang w:val="es-ES"/>
              </w:rPr>
            </w:pPr>
            <w:r w:rsidRPr="00045FF9">
              <w:rPr>
                <w:color w:val="000000"/>
                <w:sz w:val="18"/>
                <w:szCs w:val="22"/>
                <w:lang w:val="es-ES"/>
              </w:rPr>
              <w:t>Cambio del nivel de ingresos de las empresas beneficiarias de cofinanciamientos parciales no reembolsables (o aportes no-rembolsables ANR) y de iniciativas de articulación</w:t>
            </w:r>
          </w:p>
        </w:tc>
        <w:tc>
          <w:tcPr>
            <w:tcW w:w="2610" w:type="dxa"/>
            <w:gridSpan w:val="2"/>
          </w:tcPr>
          <w:p w14:paraId="2F19092D" w14:textId="77777777" w:rsidR="001E300C" w:rsidRPr="00BB7DD5" w:rsidRDefault="00F84C15" w:rsidP="00982A1E">
            <w:pPr>
              <w:spacing w:before="60"/>
              <w:rPr>
                <w:sz w:val="18"/>
                <w:szCs w:val="18"/>
                <w:lang w:val="es-ES"/>
              </w:rPr>
            </w:pPr>
            <m:oMathPara>
              <m:oMath>
                <m:f>
                  <m:fPr>
                    <m:ctrlPr>
                      <w:rPr>
                        <w:rFonts w:ascii="Cambria Math" w:hAnsi="Cambria Math"/>
                        <w:i/>
                        <w:sz w:val="18"/>
                        <w:szCs w:val="18"/>
                        <w:lang w:val="es-ES"/>
                      </w:rPr>
                    </m:ctrlPr>
                  </m:fPr>
                  <m:num>
                    <m:sSubSup>
                      <m:sSubSupPr>
                        <m:ctrlPr>
                          <w:rPr>
                            <w:rFonts w:ascii="Cambria Math" w:hAnsi="Cambria Math"/>
                            <w:i/>
                            <w:sz w:val="18"/>
                            <w:szCs w:val="18"/>
                            <w:lang w:val="es-ES"/>
                          </w:rPr>
                        </m:ctrlPr>
                      </m:sSubSupPr>
                      <m:e>
                        <m:r>
                          <w:rPr>
                            <w:rFonts w:ascii="Cambria Math" w:hAnsi="Cambria Math"/>
                            <w:sz w:val="18"/>
                            <w:szCs w:val="18"/>
                            <w:lang w:val="es-ES"/>
                          </w:rPr>
                          <m:t>F</m:t>
                        </m:r>
                      </m:e>
                      <m:sub>
                        <m:r>
                          <w:rPr>
                            <w:rFonts w:ascii="Cambria Math" w:hAnsi="Cambria Math"/>
                            <w:sz w:val="18"/>
                            <w:szCs w:val="18"/>
                            <w:lang w:val="es-ES"/>
                          </w:rPr>
                          <m:t>ANR</m:t>
                        </m:r>
                      </m:sub>
                      <m:sup>
                        <m:r>
                          <w:rPr>
                            <w:rFonts w:ascii="Cambria Math" w:hAnsi="Cambria Math"/>
                            <w:sz w:val="18"/>
                            <w:szCs w:val="18"/>
                            <w:lang w:val="es-ES"/>
                          </w:rPr>
                          <m:t>t</m:t>
                        </m:r>
                      </m:sup>
                    </m:sSubSup>
                    <m:r>
                      <w:rPr>
                        <w:rFonts w:ascii="Cambria Math" w:hAnsi="Cambria Math"/>
                        <w:sz w:val="18"/>
                        <w:szCs w:val="18"/>
                        <w:lang w:val="es-ES"/>
                      </w:rPr>
                      <m:t>-</m:t>
                    </m:r>
                    <m:sSubSup>
                      <m:sSubSupPr>
                        <m:ctrlPr>
                          <w:rPr>
                            <w:rFonts w:ascii="Cambria Math" w:hAnsi="Cambria Math"/>
                            <w:i/>
                            <w:sz w:val="18"/>
                            <w:szCs w:val="18"/>
                            <w:lang w:val="es-ES"/>
                          </w:rPr>
                        </m:ctrlPr>
                      </m:sSubSupPr>
                      <m:e>
                        <m:r>
                          <w:rPr>
                            <w:rFonts w:ascii="Cambria Math" w:hAnsi="Cambria Math"/>
                            <w:sz w:val="18"/>
                            <w:szCs w:val="18"/>
                            <w:lang w:val="es-ES"/>
                          </w:rPr>
                          <m:t>F</m:t>
                        </m:r>
                      </m:e>
                      <m:sub>
                        <m:r>
                          <w:rPr>
                            <w:rFonts w:ascii="Cambria Math" w:hAnsi="Cambria Math"/>
                            <w:sz w:val="18"/>
                            <w:szCs w:val="18"/>
                            <w:lang w:val="es-ES"/>
                          </w:rPr>
                          <m:t>ANR</m:t>
                        </m:r>
                      </m:sub>
                      <m:sup>
                        <m:r>
                          <w:rPr>
                            <w:rFonts w:ascii="Cambria Math" w:hAnsi="Cambria Math"/>
                            <w:sz w:val="18"/>
                            <w:szCs w:val="18"/>
                            <w:lang w:val="es-ES"/>
                          </w:rPr>
                          <m:t>t-1</m:t>
                        </m:r>
                      </m:sup>
                    </m:sSubSup>
                  </m:num>
                  <m:den>
                    <m:sSubSup>
                      <m:sSubSupPr>
                        <m:ctrlPr>
                          <w:rPr>
                            <w:rFonts w:ascii="Cambria Math" w:hAnsi="Cambria Math"/>
                            <w:i/>
                            <w:sz w:val="18"/>
                            <w:szCs w:val="18"/>
                            <w:lang w:val="es-ES"/>
                          </w:rPr>
                        </m:ctrlPr>
                      </m:sSubSupPr>
                      <m:e>
                        <m:r>
                          <w:rPr>
                            <w:rFonts w:ascii="Cambria Math" w:hAnsi="Cambria Math"/>
                            <w:sz w:val="18"/>
                            <w:szCs w:val="18"/>
                            <w:lang w:val="es-ES"/>
                          </w:rPr>
                          <m:t>F</m:t>
                        </m:r>
                      </m:e>
                      <m:sub>
                        <m:r>
                          <w:rPr>
                            <w:rFonts w:ascii="Cambria Math" w:hAnsi="Cambria Math"/>
                            <w:sz w:val="18"/>
                            <w:szCs w:val="18"/>
                            <w:lang w:val="es-ES"/>
                          </w:rPr>
                          <m:t>ANR</m:t>
                        </m:r>
                      </m:sub>
                      <m:sup>
                        <m:r>
                          <w:rPr>
                            <w:rFonts w:ascii="Cambria Math" w:hAnsi="Cambria Math"/>
                            <w:sz w:val="18"/>
                            <w:szCs w:val="18"/>
                            <w:lang w:val="es-ES"/>
                          </w:rPr>
                          <m:t>t-1</m:t>
                        </m:r>
                      </m:sup>
                    </m:sSubSup>
                  </m:den>
                </m:f>
                <m:r>
                  <w:rPr>
                    <w:rFonts w:ascii="Cambria Math" w:hAnsi="Cambria Math"/>
                    <w:sz w:val="18"/>
                    <w:szCs w:val="18"/>
                    <w:lang w:val="es-ES"/>
                  </w:rPr>
                  <m:t>-</m:t>
                </m:r>
                <m:f>
                  <m:fPr>
                    <m:ctrlPr>
                      <w:rPr>
                        <w:rFonts w:ascii="Cambria Math" w:hAnsi="Cambria Math"/>
                        <w:i/>
                        <w:sz w:val="18"/>
                        <w:szCs w:val="18"/>
                        <w:lang w:val="es-ES"/>
                      </w:rPr>
                    </m:ctrlPr>
                  </m:fPr>
                  <m:num>
                    <m:sSubSup>
                      <m:sSubSupPr>
                        <m:ctrlPr>
                          <w:rPr>
                            <w:rFonts w:ascii="Cambria Math" w:hAnsi="Cambria Math"/>
                            <w:i/>
                            <w:sz w:val="18"/>
                            <w:szCs w:val="18"/>
                            <w:lang w:val="es-ES"/>
                          </w:rPr>
                        </m:ctrlPr>
                      </m:sSubSupPr>
                      <m:e>
                        <m:r>
                          <w:rPr>
                            <w:rFonts w:ascii="Cambria Math" w:hAnsi="Cambria Math"/>
                            <w:sz w:val="18"/>
                            <w:szCs w:val="18"/>
                            <w:lang w:val="es-ES"/>
                          </w:rPr>
                          <m:t>F</m:t>
                        </m:r>
                      </m:e>
                      <m:sub>
                        <m:r>
                          <w:rPr>
                            <w:rFonts w:ascii="Cambria Math" w:hAnsi="Cambria Math"/>
                            <w:sz w:val="18"/>
                            <w:szCs w:val="18"/>
                            <w:lang w:val="es-ES"/>
                          </w:rPr>
                          <m:t>C</m:t>
                        </m:r>
                      </m:sub>
                      <m:sup>
                        <m:r>
                          <w:rPr>
                            <w:rFonts w:ascii="Cambria Math" w:hAnsi="Cambria Math"/>
                            <w:sz w:val="18"/>
                            <w:szCs w:val="18"/>
                            <w:lang w:val="es-ES"/>
                          </w:rPr>
                          <m:t>t</m:t>
                        </m:r>
                      </m:sup>
                    </m:sSubSup>
                    <m:r>
                      <w:rPr>
                        <w:rFonts w:ascii="Cambria Math" w:hAnsi="Cambria Math"/>
                        <w:sz w:val="18"/>
                        <w:szCs w:val="18"/>
                        <w:lang w:val="es-ES"/>
                      </w:rPr>
                      <m:t>-</m:t>
                    </m:r>
                    <m:sSubSup>
                      <m:sSubSupPr>
                        <m:ctrlPr>
                          <w:rPr>
                            <w:rFonts w:ascii="Cambria Math" w:hAnsi="Cambria Math"/>
                            <w:i/>
                            <w:sz w:val="18"/>
                            <w:szCs w:val="18"/>
                            <w:lang w:val="es-ES"/>
                          </w:rPr>
                        </m:ctrlPr>
                      </m:sSubSupPr>
                      <m:e>
                        <m:r>
                          <w:rPr>
                            <w:rFonts w:ascii="Cambria Math" w:hAnsi="Cambria Math"/>
                            <w:sz w:val="18"/>
                            <w:szCs w:val="18"/>
                            <w:lang w:val="es-ES"/>
                          </w:rPr>
                          <m:t>F</m:t>
                        </m:r>
                      </m:e>
                      <m:sub>
                        <m:r>
                          <w:rPr>
                            <w:rFonts w:ascii="Cambria Math" w:hAnsi="Cambria Math"/>
                            <w:sz w:val="18"/>
                            <w:szCs w:val="18"/>
                            <w:lang w:val="es-ES"/>
                          </w:rPr>
                          <m:t>C</m:t>
                        </m:r>
                      </m:sub>
                      <m:sup>
                        <m:r>
                          <w:rPr>
                            <w:rFonts w:ascii="Cambria Math" w:hAnsi="Cambria Math"/>
                            <w:sz w:val="18"/>
                            <w:szCs w:val="18"/>
                            <w:lang w:val="es-ES"/>
                          </w:rPr>
                          <m:t>t-1</m:t>
                        </m:r>
                      </m:sup>
                    </m:sSubSup>
                  </m:num>
                  <m:den>
                    <m:sSubSup>
                      <m:sSubSupPr>
                        <m:ctrlPr>
                          <w:rPr>
                            <w:rFonts w:ascii="Cambria Math" w:hAnsi="Cambria Math"/>
                            <w:i/>
                            <w:sz w:val="18"/>
                            <w:szCs w:val="18"/>
                            <w:lang w:val="es-ES"/>
                          </w:rPr>
                        </m:ctrlPr>
                      </m:sSubSupPr>
                      <m:e>
                        <m:r>
                          <w:rPr>
                            <w:rFonts w:ascii="Cambria Math" w:hAnsi="Cambria Math"/>
                            <w:sz w:val="18"/>
                            <w:szCs w:val="18"/>
                            <w:lang w:val="es-ES"/>
                          </w:rPr>
                          <m:t>F</m:t>
                        </m:r>
                      </m:e>
                      <m:sub>
                        <m:r>
                          <w:rPr>
                            <w:rFonts w:ascii="Cambria Math" w:hAnsi="Cambria Math"/>
                            <w:sz w:val="18"/>
                            <w:szCs w:val="18"/>
                            <w:lang w:val="es-ES"/>
                          </w:rPr>
                          <m:t>C</m:t>
                        </m:r>
                      </m:sub>
                      <m:sup>
                        <m:r>
                          <w:rPr>
                            <w:rFonts w:ascii="Cambria Math" w:hAnsi="Cambria Math"/>
                            <w:sz w:val="18"/>
                            <w:szCs w:val="18"/>
                            <w:lang w:val="es-ES"/>
                          </w:rPr>
                          <m:t>t-1</m:t>
                        </m:r>
                      </m:sup>
                    </m:sSubSup>
                  </m:den>
                </m:f>
              </m:oMath>
            </m:oMathPara>
          </w:p>
        </w:tc>
        <w:tc>
          <w:tcPr>
            <w:tcW w:w="1080" w:type="dxa"/>
          </w:tcPr>
          <w:p w14:paraId="6E81E02E" w14:textId="77777777" w:rsidR="001E300C" w:rsidRPr="00BB7DD5" w:rsidRDefault="00AF4CAD" w:rsidP="00982A1E">
            <w:pPr>
              <w:spacing w:before="60"/>
              <w:rPr>
                <w:sz w:val="18"/>
                <w:szCs w:val="18"/>
                <w:lang w:val="es-ES"/>
              </w:rPr>
            </w:pPr>
            <w:r w:rsidRPr="00BB7DD5">
              <w:rPr>
                <w:sz w:val="18"/>
                <w:szCs w:val="18"/>
                <w:lang w:val="es-ES"/>
              </w:rPr>
              <w:t>Anual</w:t>
            </w:r>
          </w:p>
        </w:tc>
        <w:tc>
          <w:tcPr>
            <w:tcW w:w="2250" w:type="dxa"/>
            <w:gridSpan w:val="2"/>
          </w:tcPr>
          <w:p w14:paraId="078246F1" w14:textId="77777777" w:rsidR="001E300C" w:rsidRPr="00BB7DD5" w:rsidDel="001E300C" w:rsidRDefault="00AF4CAD" w:rsidP="00982A1E">
            <w:pPr>
              <w:spacing w:before="60"/>
              <w:rPr>
                <w:rFonts w:ascii="Calibri" w:eastAsia="Calibri" w:hAnsi="Calibri"/>
                <w:sz w:val="18"/>
                <w:szCs w:val="18"/>
                <w:lang w:val="es-ES" w:eastAsia="es-ES"/>
              </w:rPr>
            </w:pPr>
            <w:r w:rsidRPr="00BB7DD5">
              <w:rPr>
                <w:sz w:val="18"/>
                <w:szCs w:val="18"/>
                <w:lang w:val="es-ES"/>
              </w:rPr>
              <w:t>Encuesta a empresas</w:t>
            </w:r>
          </w:p>
        </w:tc>
      </w:tr>
      <w:tr w:rsidR="00597FA9" w:rsidRPr="00BB7DD5" w14:paraId="004C2746" w14:textId="77777777" w:rsidTr="00F23360">
        <w:tc>
          <w:tcPr>
            <w:tcW w:w="3438" w:type="dxa"/>
          </w:tcPr>
          <w:p w14:paraId="060095A7" w14:textId="21A613DE" w:rsidR="00597FA9" w:rsidRPr="00BB7DD5" w:rsidRDefault="00045FF9" w:rsidP="00045FF9">
            <w:pPr>
              <w:spacing w:before="60"/>
              <w:rPr>
                <w:sz w:val="18"/>
                <w:szCs w:val="18"/>
                <w:lang w:val="es-ES"/>
              </w:rPr>
            </w:pPr>
            <w:r w:rsidRPr="00045FF9">
              <w:rPr>
                <w:sz w:val="18"/>
                <w:szCs w:val="18"/>
                <w:lang w:val="es-ES"/>
              </w:rPr>
              <w:t>Cambio del nivel de empleo de los productores beneficiarios de ANR y de iniciativas de articulación</w:t>
            </w:r>
            <w:r w:rsidRPr="00045FF9" w:rsidDel="00045FF9">
              <w:rPr>
                <w:sz w:val="18"/>
                <w:szCs w:val="18"/>
                <w:lang w:val="es-ES"/>
              </w:rPr>
              <w:t xml:space="preserve"> </w:t>
            </w:r>
          </w:p>
        </w:tc>
        <w:tc>
          <w:tcPr>
            <w:tcW w:w="2610" w:type="dxa"/>
            <w:gridSpan w:val="2"/>
          </w:tcPr>
          <w:p w14:paraId="5F79D9A5" w14:textId="77777777" w:rsidR="00597FA9" w:rsidRPr="00BB7DD5" w:rsidRDefault="00F84C15" w:rsidP="00982A1E">
            <w:pPr>
              <w:spacing w:before="60"/>
              <w:rPr>
                <w:sz w:val="18"/>
                <w:szCs w:val="18"/>
                <w:lang w:val="es-ES"/>
              </w:rPr>
            </w:pPr>
            <m:oMathPara>
              <m:oMath>
                <m:f>
                  <m:fPr>
                    <m:ctrlPr>
                      <w:rPr>
                        <w:rFonts w:ascii="Cambria Math" w:hAnsi="Cambria Math"/>
                        <w:i/>
                        <w:sz w:val="18"/>
                        <w:szCs w:val="18"/>
                        <w:lang w:val="es-ES"/>
                      </w:rPr>
                    </m:ctrlPr>
                  </m:fPr>
                  <m:num>
                    <m:sSubSup>
                      <m:sSubSupPr>
                        <m:ctrlPr>
                          <w:rPr>
                            <w:rFonts w:ascii="Cambria Math" w:hAnsi="Cambria Math"/>
                            <w:i/>
                            <w:sz w:val="18"/>
                            <w:szCs w:val="18"/>
                            <w:lang w:val="es-ES"/>
                          </w:rPr>
                        </m:ctrlPr>
                      </m:sSubSupPr>
                      <m:e>
                        <m:r>
                          <w:rPr>
                            <w:rFonts w:ascii="Cambria Math" w:hAnsi="Cambria Math"/>
                            <w:sz w:val="18"/>
                            <w:szCs w:val="18"/>
                            <w:lang w:val="es-ES"/>
                          </w:rPr>
                          <m:t>L</m:t>
                        </m:r>
                      </m:e>
                      <m:sub>
                        <m:r>
                          <w:rPr>
                            <w:rFonts w:ascii="Cambria Math" w:hAnsi="Cambria Math"/>
                            <w:sz w:val="18"/>
                            <w:szCs w:val="18"/>
                            <w:lang w:val="es-ES"/>
                          </w:rPr>
                          <m:t>ANR</m:t>
                        </m:r>
                      </m:sub>
                      <m:sup>
                        <m:r>
                          <w:rPr>
                            <w:rFonts w:ascii="Cambria Math" w:hAnsi="Cambria Math"/>
                            <w:sz w:val="18"/>
                            <w:szCs w:val="18"/>
                            <w:lang w:val="es-ES"/>
                          </w:rPr>
                          <m:t>t</m:t>
                        </m:r>
                      </m:sup>
                    </m:sSubSup>
                    <m:r>
                      <w:rPr>
                        <w:rFonts w:ascii="Cambria Math" w:hAnsi="Cambria Math"/>
                        <w:sz w:val="18"/>
                        <w:szCs w:val="18"/>
                        <w:lang w:val="es-ES"/>
                      </w:rPr>
                      <m:t>-</m:t>
                    </m:r>
                    <m:sSubSup>
                      <m:sSubSupPr>
                        <m:ctrlPr>
                          <w:rPr>
                            <w:rFonts w:ascii="Cambria Math" w:hAnsi="Cambria Math"/>
                            <w:i/>
                            <w:sz w:val="18"/>
                            <w:szCs w:val="18"/>
                            <w:lang w:val="es-ES"/>
                          </w:rPr>
                        </m:ctrlPr>
                      </m:sSubSupPr>
                      <m:e>
                        <m:r>
                          <w:rPr>
                            <w:rFonts w:ascii="Cambria Math" w:hAnsi="Cambria Math"/>
                            <w:sz w:val="18"/>
                            <w:szCs w:val="18"/>
                            <w:lang w:val="es-ES"/>
                          </w:rPr>
                          <m:t>L</m:t>
                        </m:r>
                      </m:e>
                      <m:sub>
                        <m:r>
                          <w:rPr>
                            <w:rFonts w:ascii="Cambria Math" w:hAnsi="Cambria Math"/>
                            <w:sz w:val="18"/>
                            <w:szCs w:val="18"/>
                            <w:lang w:val="es-ES"/>
                          </w:rPr>
                          <m:t>ANR</m:t>
                        </m:r>
                      </m:sub>
                      <m:sup>
                        <m:r>
                          <w:rPr>
                            <w:rFonts w:ascii="Cambria Math" w:hAnsi="Cambria Math"/>
                            <w:sz w:val="18"/>
                            <w:szCs w:val="18"/>
                            <w:lang w:val="es-ES"/>
                          </w:rPr>
                          <m:t>t-1</m:t>
                        </m:r>
                      </m:sup>
                    </m:sSubSup>
                  </m:num>
                  <m:den>
                    <m:sSubSup>
                      <m:sSubSupPr>
                        <m:ctrlPr>
                          <w:rPr>
                            <w:rFonts w:ascii="Cambria Math" w:hAnsi="Cambria Math"/>
                            <w:i/>
                            <w:sz w:val="18"/>
                            <w:szCs w:val="18"/>
                            <w:lang w:val="es-ES"/>
                          </w:rPr>
                        </m:ctrlPr>
                      </m:sSubSupPr>
                      <m:e>
                        <m:r>
                          <w:rPr>
                            <w:rFonts w:ascii="Cambria Math" w:hAnsi="Cambria Math"/>
                            <w:sz w:val="18"/>
                            <w:szCs w:val="18"/>
                            <w:lang w:val="es-ES"/>
                          </w:rPr>
                          <m:t>L</m:t>
                        </m:r>
                      </m:e>
                      <m:sub>
                        <m:r>
                          <w:rPr>
                            <w:rFonts w:ascii="Cambria Math" w:hAnsi="Cambria Math"/>
                            <w:sz w:val="18"/>
                            <w:szCs w:val="18"/>
                            <w:lang w:val="es-ES"/>
                          </w:rPr>
                          <m:t>ANR</m:t>
                        </m:r>
                      </m:sub>
                      <m:sup>
                        <m:r>
                          <w:rPr>
                            <w:rFonts w:ascii="Cambria Math" w:hAnsi="Cambria Math"/>
                            <w:sz w:val="18"/>
                            <w:szCs w:val="18"/>
                            <w:lang w:val="es-ES"/>
                          </w:rPr>
                          <m:t>t-1</m:t>
                        </m:r>
                      </m:sup>
                    </m:sSubSup>
                  </m:den>
                </m:f>
                <m:r>
                  <w:rPr>
                    <w:rFonts w:ascii="Cambria Math" w:hAnsi="Cambria Math"/>
                    <w:sz w:val="18"/>
                    <w:szCs w:val="18"/>
                    <w:lang w:val="es-ES"/>
                  </w:rPr>
                  <m:t>-</m:t>
                </m:r>
                <m:f>
                  <m:fPr>
                    <m:ctrlPr>
                      <w:rPr>
                        <w:rFonts w:ascii="Cambria Math" w:hAnsi="Cambria Math"/>
                        <w:i/>
                        <w:sz w:val="18"/>
                        <w:szCs w:val="18"/>
                        <w:lang w:val="es-ES"/>
                      </w:rPr>
                    </m:ctrlPr>
                  </m:fPr>
                  <m:num>
                    <m:sSubSup>
                      <m:sSubSupPr>
                        <m:ctrlPr>
                          <w:rPr>
                            <w:rFonts w:ascii="Cambria Math" w:hAnsi="Cambria Math"/>
                            <w:i/>
                            <w:sz w:val="18"/>
                            <w:szCs w:val="18"/>
                            <w:lang w:val="es-ES"/>
                          </w:rPr>
                        </m:ctrlPr>
                      </m:sSubSupPr>
                      <m:e>
                        <m:r>
                          <w:rPr>
                            <w:rFonts w:ascii="Cambria Math" w:hAnsi="Cambria Math"/>
                            <w:sz w:val="18"/>
                            <w:szCs w:val="18"/>
                            <w:lang w:val="es-ES"/>
                          </w:rPr>
                          <m:t>L</m:t>
                        </m:r>
                      </m:e>
                      <m:sub>
                        <m:r>
                          <w:rPr>
                            <w:rFonts w:ascii="Cambria Math" w:hAnsi="Cambria Math"/>
                            <w:sz w:val="18"/>
                            <w:szCs w:val="18"/>
                            <w:lang w:val="es-ES"/>
                          </w:rPr>
                          <m:t>C</m:t>
                        </m:r>
                      </m:sub>
                      <m:sup>
                        <m:r>
                          <w:rPr>
                            <w:rFonts w:ascii="Cambria Math" w:hAnsi="Cambria Math"/>
                            <w:sz w:val="18"/>
                            <w:szCs w:val="18"/>
                            <w:lang w:val="es-ES"/>
                          </w:rPr>
                          <m:t>t</m:t>
                        </m:r>
                      </m:sup>
                    </m:sSubSup>
                    <m:r>
                      <w:rPr>
                        <w:rFonts w:ascii="Cambria Math" w:hAnsi="Cambria Math"/>
                        <w:sz w:val="18"/>
                        <w:szCs w:val="18"/>
                        <w:lang w:val="es-ES"/>
                      </w:rPr>
                      <m:t>-</m:t>
                    </m:r>
                    <m:sSubSup>
                      <m:sSubSupPr>
                        <m:ctrlPr>
                          <w:rPr>
                            <w:rFonts w:ascii="Cambria Math" w:hAnsi="Cambria Math"/>
                            <w:i/>
                            <w:sz w:val="18"/>
                            <w:szCs w:val="18"/>
                            <w:lang w:val="es-ES"/>
                          </w:rPr>
                        </m:ctrlPr>
                      </m:sSubSupPr>
                      <m:e>
                        <m:r>
                          <w:rPr>
                            <w:rFonts w:ascii="Cambria Math" w:hAnsi="Cambria Math"/>
                            <w:sz w:val="18"/>
                            <w:szCs w:val="18"/>
                            <w:lang w:val="es-ES"/>
                          </w:rPr>
                          <m:t>L</m:t>
                        </m:r>
                      </m:e>
                      <m:sub>
                        <m:r>
                          <w:rPr>
                            <w:rFonts w:ascii="Cambria Math" w:hAnsi="Cambria Math"/>
                            <w:sz w:val="18"/>
                            <w:szCs w:val="18"/>
                            <w:lang w:val="es-ES"/>
                          </w:rPr>
                          <m:t>C</m:t>
                        </m:r>
                      </m:sub>
                      <m:sup>
                        <m:r>
                          <w:rPr>
                            <w:rFonts w:ascii="Cambria Math" w:hAnsi="Cambria Math"/>
                            <w:sz w:val="18"/>
                            <w:szCs w:val="18"/>
                            <w:lang w:val="es-ES"/>
                          </w:rPr>
                          <m:t>t-1</m:t>
                        </m:r>
                      </m:sup>
                    </m:sSubSup>
                  </m:num>
                  <m:den>
                    <m:sSubSup>
                      <m:sSubSupPr>
                        <m:ctrlPr>
                          <w:rPr>
                            <w:rFonts w:ascii="Cambria Math" w:hAnsi="Cambria Math"/>
                            <w:i/>
                            <w:sz w:val="18"/>
                            <w:szCs w:val="18"/>
                            <w:lang w:val="es-ES"/>
                          </w:rPr>
                        </m:ctrlPr>
                      </m:sSubSupPr>
                      <m:e>
                        <m:r>
                          <w:rPr>
                            <w:rFonts w:ascii="Cambria Math" w:hAnsi="Cambria Math"/>
                            <w:sz w:val="18"/>
                            <w:szCs w:val="18"/>
                            <w:lang w:val="es-ES"/>
                          </w:rPr>
                          <m:t>L</m:t>
                        </m:r>
                      </m:e>
                      <m:sub>
                        <m:r>
                          <w:rPr>
                            <w:rFonts w:ascii="Cambria Math" w:hAnsi="Cambria Math"/>
                            <w:sz w:val="18"/>
                            <w:szCs w:val="18"/>
                            <w:lang w:val="es-ES"/>
                          </w:rPr>
                          <m:t>C</m:t>
                        </m:r>
                      </m:sub>
                      <m:sup>
                        <m:r>
                          <w:rPr>
                            <w:rFonts w:ascii="Cambria Math" w:hAnsi="Cambria Math"/>
                            <w:sz w:val="18"/>
                            <w:szCs w:val="18"/>
                            <w:lang w:val="es-ES"/>
                          </w:rPr>
                          <m:t>t-1</m:t>
                        </m:r>
                      </m:sup>
                    </m:sSubSup>
                  </m:den>
                </m:f>
              </m:oMath>
            </m:oMathPara>
          </w:p>
        </w:tc>
        <w:tc>
          <w:tcPr>
            <w:tcW w:w="1080" w:type="dxa"/>
          </w:tcPr>
          <w:p w14:paraId="609F6EB3" w14:textId="77777777" w:rsidR="00597FA9" w:rsidRPr="00BB7DD5" w:rsidRDefault="00AF4CAD" w:rsidP="00982A1E">
            <w:pPr>
              <w:spacing w:before="60"/>
              <w:rPr>
                <w:sz w:val="18"/>
                <w:szCs w:val="18"/>
                <w:lang w:val="es-ES"/>
              </w:rPr>
            </w:pPr>
            <w:r w:rsidRPr="00BB7DD5">
              <w:rPr>
                <w:sz w:val="18"/>
                <w:szCs w:val="18"/>
                <w:lang w:val="es-ES"/>
              </w:rPr>
              <w:t>Anual</w:t>
            </w:r>
          </w:p>
        </w:tc>
        <w:tc>
          <w:tcPr>
            <w:tcW w:w="2250" w:type="dxa"/>
            <w:gridSpan w:val="2"/>
          </w:tcPr>
          <w:p w14:paraId="5F66A81C" w14:textId="77777777" w:rsidR="00597FA9" w:rsidRPr="00BB7DD5" w:rsidDel="001E300C" w:rsidRDefault="00AF4CAD" w:rsidP="00982A1E">
            <w:pPr>
              <w:spacing w:before="60"/>
              <w:rPr>
                <w:rFonts w:ascii="Calibri" w:eastAsia="Calibri" w:hAnsi="Calibri"/>
                <w:sz w:val="18"/>
                <w:szCs w:val="18"/>
                <w:lang w:val="es-ES" w:eastAsia="es-ES"/>
              </w:rPr>
            </w:pPr>
            <w:r w:rsidRPr="00BB7DD5">
              <w:rPr>
                <w:sz w:val="18"/>
                <w:szCs w:val="18"/>
                <w:lang w:val="es-ES"/>
              </w:rPr>
              <w:t>Encuesta a empresas</w:t>
            </w:r>
          </w:p>
        </w:tc>
      </w:tr>
      <w:tr w:rsidR="00597FA9" w:rsidRPr="00BB7DD5" w14:paraId="4DC3FA74" w14:textId="77777777" w:rsidTr="00F23360">
        <w:tc>
          <w:tcPr>
            <w:tcW w:w="3438" w:type="dxa"/>
          </w:tcPr>
          <w:p w14:paraId="048B4787" w14:textId="07FD451D" w:rsidR="00597FA9" w:rsidRPr="00BB7DD5" w:rsidRDefault="00045FF9" w:rsidP="00982A1E">
            <w:pPr>
              <w:spacing w:before="60"/>
              <w:rPr>
                <w:sz w:val="18"/>
                <w:szCs w:val="18"/>
                <w:lang w:val="es-ES"/>
              </w:rPr>
            </w:pPr>
            <w:r w:rsidRPr="00045FF9">
              <w:rPr>
                <w:sz w:val="18"/>
                <w:szCs w:val="18"/>
                <w:lang w:val="es-ES"/>
              </w:rPr>
              <w:t>Cambio ende la productividad de los productores beneficiarios de ANR y de iniciativas de articulación</w:t>
            </w:r>
            <w:r w:rsidRPr="00045FF9" w:rsidDel="00045FF9">
              <w:rPr>
                <w:sz w:val="18"/>
                <w:szCs w:val="18"/>
                <w:lang w:val="es-ES"/>
              </w:rPr>
              <w:t xml:space="preserve"> </w:t>
            </w:r>
          </w:p>
        </w:tc>
        <w:tc>
          <w:tcPr>
            <w:tcW w:w="2610" w:type="dxa"/>
            <w:gridSpan w:val="2"/>
          </w:tcPr>
          <w:p w14:paraId="6E43C821" w14:textId="77777777" w:rsidR="00597FA9" w:rsidRPr="00BB7DD5" w:rsidRDefault="00F84C15" w:rsidP="00982A1E">
            <w:pPr>
              <w:spacing w:before="60"/>
              <w:rPr>
                <w:sz w:val="18"/>
                <w:szCs w:val="18"/>
                <w:lang w:val="es-ES"/>
              </w:rPr>
            </w:pPr>
            <m:oMathPara>
              <m:oMath>
                <m:f>
                  <m:fPr>
                    <m:ctrlPr>
                      <w:rPr>
                        <w:rFonts w:ascii="Cambria Math" w:hAnsi="Cambria Math"/>
                        <w:i/>
                        <w:sz w:val="18"/>
                        <w:szCs w:val="18"/>
                        <w:lang w:val="es-ES"/>
                      </w:rPr>
                    </m:ctrlPr>
                  </m:fPr>
                  <m:num>
                    <m:sSubSup>
                      <m:sSubSupPr>
                        <m:ctrlPr>
                          <w:rPr>
                            <w:rFonts w:ascii="Cambria Math" w:hAnsi="Cambria Math"/>
                            <w:i/>
                            <w:sz w:val="18"/>
                            <w:szCs w:val="18"/>
                            <w:lang w:val="es-ES"/>
                          </w:rPr>
                        </m:ctrlPr>
                      </m:sSubSupPr>
                      <m:e>
                        <m:r>
                          <w:rPr>
                            <w:rFonts w:ascii="Cambria Math" w:hAnsi="Cambria Math"/>
                            <w:sz w:val="18"/>
                            <w:szCs w:val="18"/>
                            <w:lang w:val="es-ES"/>
                          </w:rPr>
                          <m:t>P</m:t>
                        </m:r>
                      </m:e>
                      <m:sub>
                        <m:r>
                          <w:rPr>
                            <w:rFonts w:ascii="Cambria Math" w:hAnsi="Cambria Math"/>
                            <w:sz w:val="18"/>
                            <w:szCs w:val="18"/>
                            <w:lang w:val="es-ES"/>
                          </w:rPr>
                          <m:t>T</m:t>
                        </m:r>
                      </m:sub>
                      <m:sup>
                        <m:r>
                          <w:rPr>
                            <w:rFonts w:ascii="Cambria Math" w:hAnsi="Cambria Math"/>
                            <w:sz w:val="18"/>
                            <w:szCs w:val="18"/>
                            <w:lang w:val="es-ES"/>
                          </w:rPr>
                          <m:t>t</m:t>
                        </m:r>
                      </m:sup>
                    </m:sSubSup>
                    <m:r>
                      <w:rPr>
                        <w:rFonts w:ascii="Cambria Math" w:hAnsi="Cambria Math"/>
                        <w:sz w:val="18"/>
                        <w:szCs w:val="18"/>
                        <w:lang w:val="es-ES"/>
                      </w:rPr>
                      <m:t>-</m:t>
                    </m:r>
                    <m:sSubSup>
                      <m:sSubSupPr>
                        <m:ctrlPr>
                          <w:rPr>
                            <w:rFonts w:ascii="Cambria Math" w:hAnsi="Cambria Math"/>
                            <w:i/>
                            <w:sz w:val="18"/>
                            <w:szCs w:val="18"/>
                            <w:lang w:val="es-ES"/>
                          </w:rPr>
                        </m:ctrlPr>
                      </m:sSubSupPr>
                      <m:e>
                        <m:r>
                          <w:rPr>
                            <w:rFonts w:ascii="Cambria Math" w:hAnsi="Cambria Math"/>
                            <w:sz w:val="18"/>
                            <w:szCs w:val="18"/>
                            <w:lang w:val="es-ES"/>
                          </w:rPr>
                          <m:t>P</m:t>
                        </m:r>
                      </m:e>
                      <m:sub>
                        <m:r>
                          <w:rPr>
                            <w:rFonts w:ascii="Cambria Math" w:hAnsi="Cambria Math"/>
                            <w:sz w:val="18"/>
                            <w:szCs w:val="18"/>
                            <w:lang w:val="es-ES"/>
                          </w:rPr>
                          <m:t>T</m:t>
                        </m:r>
                      </m:sub>
                      <m:sup>
                        <m:r>
                          <w:rPr>
                            <w:rFonts w:ascii="Cambria Math" w:hAnsi="Cambria Math"/>
                            <w:sz w:val="18"/>
                            <w:szCs w:val="18"/>
                            <w:lang w:val="es-ES"/>
                          </w:rPr>
                          <m:t>t-1</m:t>
                        </m:r>
                      </m:sup>
                    </m:sSubSup>
                  </m:num>
                  <m:den>
                    <m:sSubSup>
                      <m:sSubSupPr>
                        <m:ctrlPr>
                          <w:rPr>
                            <w:rFonts w:ascii="Cambria Math" w:hAnsi="Cambria Math"/>
                            <w:i/>
                            <w:sz w:val="18"/>
                            <w:szCs w:val="18"/>
                            <w:lang w:val="es-ES"/>
                          </w:rPr>
                        </m:ctrlPr>
                      </m:sSubSupPr>
                      <m:e>
                        <m:r>
                          <w:rPr>
                            <w:rFonts w:ascii="Cambria Math" w:hAnsi="Cambria Math"/>
                            <w:sz w:val="18"/>
                            <w:szCs w:val="18"/>
                            <w:lang w:val="es-ES"/>
                          </w:rPr>
                          <m:t>P</m:t>
                        </m:r>
                      </m:e>
                      <m:sub>
                        <m:r>
                          <w:rPr>
                            <w:rFonts w:ascii="Cambria Math" w:hAnsi="Cambria Math"/>
                            <w:sz w:val="18"/>
                            <w:szCs w:val="18"/>
                            <w:lang w:val="es-ES"/>
                          </w:rPr>
                          <m:t>T</m:t>
                        </m:r>
                      </m:sub>
                      <m:sup>
                        <m:r>
                          <w:rPr>
                            <w:rFonts w:ascii="Cambria Math" w:hAnsi="Cambria Math"/>
                            <w:sz w:val="18"/>
                            <w:szCs w:val="18"/>
                            <w:lang w:val="es-ES"/>
                          </w:rPr>
                          <m:t>t-1</m:t>
                        </m:r>
                      </m:sup>
                    </m:sSubSup>
                  </m:den>
                </m:f>
                <m:r>
                  <w:rPr>
                    <w:rFonts w:ascii="Cambria Math" w:hAnsi="Cambria Math"/>
                    <w:sz w:val="18"/>
                    <w:szCs w:val="18"/>
                    <w:lang w:val="es-ES"/>
                  </w:rPr>
                  <m:t>-</m:t>
                </m:r>
                <m:f>
                  <m:fPr>
                    <m:ctrlPr>
                      <w:rPr>
                        <w:rFonts w:ascii="Cambria Math" w:hAnsi="Cambria Math"/>
                        <w:i/>
                        <w:sz w:val="18"/>
                        <w:szCs w:val="18"/>
                        <w:lang w:val="es-ES"/>
                      </w:rPr>
                    </m:ctrlPr>
                  </m:fPr>
                  <m:num>
                    <m:sSubSup>
                      <m:sSubSupPr>
                        <m:ctrlPr>
                          <w:rPr>
                            <w:rFonts w:ascii="Cambria Math" w:hAnsi="Cambria Math"/>
                            <w:i/>
                            <w:sz w:val="18"/>
                            <w:szCs w:val="18"/>
                            <w:lang w:val="es-ES"/>
                          </w:rPr>
                        </m:ctrlPr>
                      </m:sSubSupPr>
                      <m:e>
                        <m:r>
                          <w:rPr>
                            <w:rFonts w:ascii="Cambria Math" w:hAnsi="Cambria Math"/>
                            <w:sz w:val="18"/>
                            <w:szCs w:val="18"/>
                            <w:lang w:val="es-ES"/>
                          </w:rPr>
                          <m:t>P</m:t>
                        </m:r>
                      </m:e>
                      <m:sub>
                        <m:r>
                          <w:rPr>
                            <w:rFonts w:ascii="Cambria Math" w:hAnsi="Cambria Math"/>
                            <w:sz w:val="18"/>
                            <w:szCs w:val="18"/>
                            <w:lang w:val="es-ES"/>
                          </w:rPr>
                          <m:t>C</m:t>
                        </m:r>
                      </m:sub>
                      <m:sup>
                        <m:r>
                          <w:rPr>
                            <w:rFonts w:ascii="Cambria Math" w:hAnsi="Cambria Math"/>
                            <w:sz w:val="18"/>
                            <w:szCs w:val="18"/>
                            <w:lang w:val="es-ES"/>
                          </w:rPr>
                          <m:t>t</m:t>
                        </m:r>
                      </m:sup>
                    </m:sSubSup>
                    <m:r>
                      <w:rPr>
                        <w:rFonts w:ascii="Cambria Math" w:hAnsi="Cambria Math"/>
                        <w:sz w:val="18"/>
                        <w:szCs w:val="18"/>
                        <w:lang w:val="es-ES"/>
                      </w:rPr>
                      <m:t>-</m:t>
                    </m:r>
                    <m:sSubSup>
                      <m:sSubSupPr>
                        <m:ctrlPr>
                          <w:rPr>
                            <w:rFonts w:ascii="Cambria Math" w:hAnsi="Cambria Math"/>
                            <w:i/>
                            <w:sz w:val="18"/>
                            <w:szCs w:val="18"/>
                            <w:lang w:val="es-ES"/>
                          </w:rPr>
                        </m:ctrlPr>
                      </m:sSubSupPr>
                      <m:e>
                        <m:r>
                          <w:rPr>
                            <w:rFonts w:ascii="Cambria Math" w:hAnsi="Cambria Math"/>
                            <w:sz w:val="18"/>
                            <w:szCs w:val="18"/>
                            <w:lang w:val="es-ES"/>
                          </w:rPr>
                          <m:t>P</m:t>
                        </m:r>
                      </m:e>
                      <m:sub>
                        <m:r>
                          <w:rPr>
                            <w:rFonts w:ascii="Cambria Math" w:hAnsi="Cambria Math"/>
                            <w:sz w:val="18"/>
                            <w:szCs w:val="18"/>
                            <w:lang w:val="es-ES"/>
                          </w:rPr>
                          <m:t>C</m:t>
                        </m:r>
                      </m:sub>
                      <m:sup>
                        <m:r>
                          <w:rPr>
                            <w:rFonts w:ascii="Cambria Math" w:hAnsi="Cambria Math"/>
                            <w:sz w:val="18"/>
                            <w:szCs w:val="18"/>
                            <w:lang w:val="es-ES"/>
                          </w:rPr>
                          <m:t>t-1</m:t>
                        </m:r>
                      </m:sup>
                    </m:sSubSup>
                  </m:num>
                  <m:den>
                    <m:sSubSup>
                      <m:sSubSupPr>
                        <m:ctrlPr>
                          <w:rPr>
                            <w:rFonts w:ascii="Cambria Math" w:hAnsi="Cambria Math"/>
                            <w:i/>
                            <w:sz w:val="18"/>
                            <w:szCs w:val="18"/>
                            <w:lang w:val="es-ES"/>
                          </w:rPr>
                        </m:ctrlPr>
                      </m:sSubSupPr>
                      <m:e>
                        <m:r>
                          <w:rPr>
                            <w:rFonts w:ascii="Cambria Math" w:hAnsi="Cambria Math"/>
                            <w:sz w:val="18"/>
                            <w:szCs w:val="18"/>
                            <w:lang w:val="es-ES"/>
                          </w:rPr>
                          <m:t>P</m:t>
                        </m:r>
                      </m:e>
                      <m:sub>
                        <m:r>
                          <w:rPr>
                            <w:rFonts w:ascii="Cambria Math" w:hAnsi="Cambria Math"/>
                            <w:sz w:val="18"/>
                            <w:szCs w:val="18"/>
                            <w:lang w:val="es-ES"/>
                          </w:rPr>
                          <m:t>C</m:t>
                        </m:r>
                      </m:sub>
                      <m:sup>
                        <m:r>
                          <w:rPr>
                            <w:rFonts w:ascii="Cambria Math" w:hAnsi="Cambria Math"/>
                            <w:sz w:val="18"/>
                            <w:szCs w:val="18"/>
                            <w:lang w:val="es-ES"/>
                          </w:rPr>
                          <m:t>t-1</m:t>
                        </m:r>
                      </m:sup>
                    </m:sSubSup>
                  </m:den>
                </m:f>
              </m:oMath>
            </m:oMathPara>
          </w:p>
          <w:p w14:paraId="39618A25" w14:textId="77777777" w:rsidR="00C76FB9" w:rsidRPr="00BB7DD5" w:rsidRDefault="00F84C15" w:rsidP="00982A1E">
            <w:pPr>
              <w:spacing w:before="60"/>
              <w:rPr>
                <w:sz w:val="18"/>
                <w:szCs w:val="18"/>
                <w:lang w:val="es-ES"/>
              </w:rPr>
            </w:pPr>
            <m:oMath>
              <m:sSubSup>
                <m:sSubSupPr>
                  <m:ctrlPr>
                    <w:rPr>
                      <w:rFonts w:ascii="Cambria Math" w:hAnsi="Cambria Math"/>
                      <w:i/>
                      <w:sz w:val="18"/>
                      <w:szCs w:val="18"/>
                      <w:lang w:val="es-ES"/>
                    </w:rPr>
                  </m:ctrlPr>
                </m:sSubSupPr>
                <m:e>
                  <m:r>
                    <w:rPr>
                      <w:rFonts w:ascii="Cambria Math" w:hAnsi="Cambria Math"/>
                      <w:sz w:val="18"/>
                      <w:szCs w:val="18"/>
                      <w:lang w:val="es-ES"/>
                    </w:rPr>
                    <m:t>P</m:t>
                  </m:r>
                </m:e>
                <m:sub>
                  <m:r>
                    <w:rPr>
                      <w:rFonts w:ascii="Cambria Math" w:hAnsi="Cambria Math"/>
                      <w:sz w:val="18"/>
                      <w:szCs w:val="18"/>
                      <w:lang w:val="es-ES"/>
                    </w:rPr>
                    <m:t>.</m:t>
                  </m:r>
                </m:sub>
                <m:sup>
                  <m:r>
                    <w:rPr>
                      <w:rFonts w:ascii="Cambria Math" w:hAnsi="Cambria Math"/>
                      <w:sz w:val="18"/>
                      <w:szCs w:val="18"/>
                      <w:lang w:val="es-ES"/>
                    </w:rPr>
                    <m:t>.</m:t>
                  </m:r>
                </m:sup>
              </m:sSubSup>
            </m:oMath>
            <w:r w:rsidR="00C76FB9" w:rsidRPr="00BB7DD5">
              <w:rPr>
                <w:sz w:val="18"/>
                <w:szCs w:val="18"/>
                <w:lang w:val="es-ES"/>
              </w:rPr>
              <w:t xml:space="preserve"> está medido como ventas a valor constante dividido por la cantidad de personas empleadas (</w:t>
            </w:r>
            <m:oMath>
              <m:sSubSup>
                <m:sSubSupPr>
                  <m:ctrlPr>
                    <w:rPr>
                      <w:rFonts w:ascii="Cambria Math" w:hAnsi="Cambria Math"/>
                      <w:i/>
                      <w:sz w:val="18"/>
                      <w:szCs w:val="18"/>
                      <w:lang w:val="es-ES"/>
                    </w:rPr>
                  </m:ctrlPr>
                </m:sSubSupPr>
                <m:e>
                  <m:r>
                    <w:rPr>
                      <w:rFonts w:ascii="Cambria Math" w:hAnsi="Cambria Math"/>
                      <w:sz w:val="18"/>
                      <w:szCs w:val="18"/>
                      <w:lang w:val="es-ES"/>
                    </w:rPr>
                    <m:t>P</m:t>
                  </m:r>
                </m:e>
                <m:sub>
                  <m:r>
                    <w:rPr>
                      <w:rFonts w:ascii="Cambria Math" w:hAnsi="Cambria Math"/>
                      <w:sz w:val="18"/>
                      <w:szCs w:val="18"/>
                      <w:lang w:val="es-ES"/>
                    </w:rPr>
                    <m:t>.</m:t>
                  </m:r>
                </m:sub>
                <m:sup>
                  <m:r>
                    <w:rPr>
                      <w:rFonts w:ascii="Cambria Math" w:hAnsi="Cambria Math"/>
                      <w:sz w:val="18"/>
                      <w:szCs w:val="18"/>
                      <w:lang w:val="es-ES"/>
                    </w:rPr>
                    <m:t>.</m:t>
                  </m:r>
                </m:sup>
              </m:sSubSup>
            </m:oMath>
            <w:r w:rsidR="00C76FB9" w:rsidRPr="00BB7DD5">
              <w:rPr>
                <w:sz w:val="18"/>
                <w:szCs w:val="18"/>
                <w:lang w:val="es-ES"/>
              </w:rPr>
              <w:t>).</w:t>
            </w:r>
          </w:p>
        </w:tc>
        <w:tc>
          <w:tcPr>
            <w:tcW w:w="1080" w:type="dxa"/>
          </w:tcPr>
          <w:p w14:paraId="6DFD6D34" w14:textId="77777777" w:rsidR="00597FA9" w:rsidRPr="00BB7DD5" w:rsidRDefault="00AF4CAD" w:rsidP="00982A1E">
            <w:pPr>
              <w:spacing w:before="60"/>
              <w:rPr>
                <w:sz w:val="18"/>
                <w:szCs w:val="18"/>
                <w:lang w:val="es-ES"/>
              </w:rPr>
            </w:pPr>
            <w:r w:rsidRPr="00BB7DD5">
              <w:rPr>
                <w:sz w:val="18"/>
                <w:szCs w:val="18"/>
                <w:lang w:val="es-ES"/>
              </w:rPr>
              <w:t>Anual</w:t>
            </w:r>
          </w:p>
        </w:tc>
        <w:tc>
          <w:tcPr>
            <w:tcW w:w="2250" w:type="dxa"/>
            <w:gridSpan w:val="2"/>
          </w:tcPr>
          <w:p w14:paraId="2E5353D6" w14:textId="77777777" w:rsidR="00597FA9" w:rsidRPr="00BB7DD5" w:rsidDel="001E300C" w:rsidRDefault="00AF4CAD" w:rsidP="00982A1E">
            <w:pPr>
              <w:spacing w:before="60"/>
              <w:rPr>
                <w:rFonts w:ascii="Calibri" w:eastAsia="Calibri" w:hAnsi="Calibri"/>
                <w:sz w:val="18"/>
                <w:szCs w:val="18"/>
                <w:lang w:val="es-ES" w:eastAsia="es-ES"/>
              </w:rPr>
            </w:pPr>
            <w:r w:rsidRPr="00BB7DD5">
              <w:rPr>
                <w:sz w:val="18"/>
                <w:szCs w:val="18"/>
                <w:lang w:val="es-ES"/>
              </w:rPr>
              <w:t>Encuesta a empre</w:t>
            </w:r>
            <w:r w:rsidR="00942789" w:rsidRPr="00BB7DD5">
              <w:rPr>
                <w:sz w:val="18"/>
                <w:szCs w:val="18"/>
                <w:lang w:val="es-ES"/>
              </w:rPr>
              <w:t>s</w:t>
            </w:r>
            <w:r w:rsidRPr="00BB7DD5">
              <w:rPr>
                <w:sz w:val="18"/>
                <w:szCs w:val="18"/>
                <w:lang w:val="es-ES"/>
              </w:rPr>
              <w:t>as</w:t>
            </w:r>
          </w:p>
        </w:tc>
      </w:tr>
      <w:tr w:rsidR="00BD25E2" w:rsidRPr="00BB7DD5" w14:paraId="012B04C3" w14:textId="77777777" w:rsidTr="00F23360">
        <w:tc>
          <w:tcPr>
            <w:tcW w:w="9378" w:type="dxa"/>
            <w:gridSpan w:val="6"/>
          </w:tcPr>
          <w:p w14:paraId="29AD8744" w14:textId="77777777" w:rsidR="00BD25E2" w:rsidRPr="00BB7DD5" w:rsidDel="001E300C" w:rsidRDefault="00BD25E2" w:rsidP="00982A1E">
            <w:pPr>
              <w:spacing w:before="60"/>
              <w:ind w:left="119"/>
              <w:rPr>
                <w:b/>
                <w:sz w:val="18"/>
                <w:szCs w:val="18"/>
                <w:lang w:val="es-ES"/>
              </w:rPr>
            </w:pPr>
            <w:r w:rsidRPr="00BB7DD5">
              <w:rPr>
                <w:b/>
                <w:sz w:val="18"/>
                <w:szCs w:val="18"/>
                <w:lang w:val="es-ES"/>
              </w:rPr>
              <w:t>Componente II</w:t>
            </w:r>
          </w:p>
        </w:tc>
      </w:tr>
      <w:tr w:rsidR="00E32E7B" w:rsidRPr="00BB7DD5" w14:paraId="1425B8EC" w14:textId="77777777" w:rsidTr="00F2336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327"/>
        </w:trPr>
        <w:tc>
          <w:tcPr>
            <w:tcW w:w="3708" w:type="dxa"/>
            <w:gridSpan w:val="2"/>
            <w:shd w:val="clear" w:color="000000" w:fill="FFFFFF"/>
            <w:hideMark/>
          </w:tcPr>
          <w:p w14:paraId="6A626422" w14:textId="1A512D46" w:rsidR="00E32E7B" w:rsidRPr="00BB7DD5" w:rsidRDefault="00045FF9" w:rsidP="00982A1E">
            <w:pPr>
              <w:spacing w:before="60"/>
              <w:jc w:val="left"/>
              <w:rPr>
                <w:color w:val="000000"/>
                <w:spacing w:val="0"/>
                <w:sz w:val="18"/>
                <w:szCs w:val="18"/>
                <w:lang w:val="es-ES"/>
              </w:rPr>
            </w:pPr>
            <w:r>
              <w:rPr>
                <w:color w:val="000000"/>
                <w:spacing w:val="0"/>
                <w:sz w:val="18"/>
                <w:szCs w:val="18"/>
                <w:lang w:val="es-ES"/>
              </w:rPr>
              <w:t>C</w:t>
            </w:r>
            <w:r w:rsidR="00E32E7B" w:rsidRPr="00BB7DD5">
              <w:rPr>
                <w:color w:val="000000"/>
                <w:spacing w:val="0"/>
                <w:sz w:val="18"/>
                <w:szCs w:val="18"/>
                <w:lang w:val="es-ES"/>
              </w:rPr>
              <w:t>osto de operación vehicular para Automóviles</w:t>
            </w:r>
          </w:p>
        </w:tc>
        <w:tc>
          <w:tcPr>
            <w:tcW w:w="2340" w:type="dxa"/>
            <w:shd w:val="clear" w:color="000000" w:fill="FFFFFF"/>
            <w:hideMark/>
          </w:tcPr>
          <w:p w14:paraId="5BA86E80" w14:textId="77777777" w:rsidR="00E32E7B" w:rsidRPr="00BB7DD5" w:rsidRDefault="00BB7DD5" w:rsidP="00982A1E">
            <w:pPr>
              <w:spacing w:before="60"/>
              <w:jc w:val="center"/>
              <w:rPr>
                <w:color w:val="000000"/>
                <w:spacing w:val="0"/>
                <w:sz w:val="18"/>
                <w:szCs w:val="18"/>
                <w:lang w:val="es-ES"/>
              </w:rPr>
            </w:pPr>
            <w:r w:rsidRPr="00BB7DD5">
              <w:rPr>
                <w:color w:val="000000"/>
                <w:spacing w:val="0"/>
                <w:sz w:val="18"/>
                <w:szCs w:val="18"/>
                <w:lang w:val="es-ES"/>
              </w:rPr>
              <w:t xml:space="preserve">Reducción % de </w:t>
            </w:r>
            <w:r w:rsidR="00E32E7B" w:rsidRPr="00BB7DD5">
              <w:rPr>
                <w:color w:val="000000"/>
                <w:spacing w:val="0"/>
                <w:sz w:val="18"/>
                <w:szCs w:val="18"/>
                <w:lang w:val="es-ES"/>
              </w:rPr>
              <w:t>US$/veh.km</w:t>
            </w:r>
          </w:p>
        </w:tc>
        <w:tc>
          <w:tcPr>
            <w:tcW w:w="1080" w:type="dxa"/>
            <w:shd w:val="clear" w:color="000000" w:fill="FFFFFF"/>
            <w:hideMark/>
          </w:tcPr>
          <w:p w14:paraId="67A41D5B" w14:textId="77777777" w:rsidR="00E32E7B" w:rsidRPr="00BB7DD5" w:rsidRDefault="00E32E7B" w:rsidP="00982A1E">
            <w:pPr>
              <w:spacing w:before="60"/>
              <w:jc w:val="left"/>
              <w:rPr>
                <w:color w:val="000000"/>
                <w:spacing w:val="0"/>
                <w:sz w:val="18"/>
                <w:szCs w:val="18"/>
                <w:lang w:val="es-ES"/>
              </w:rPr>
            </w:pPr>
            <w:r w:rsidRPr="00BB7DD5">
              <w:rPr>
                <w:color w:val="000000"/>
                <w:spacing w:val="0"/>
                <w:sz w:val="18"/>
                <w:szCs w:val="18"/>
                <w:lang w:val="es-ES"/>
              </w:rPr>
              <w:t>Anual</w:t>
            </w:r>
          </w:p>
        </w:tc>
        <w:tc>
          <w:tcPr>
            <w:tcW w:w="2250" w:type="dxa"/>
            <w:gridSpan w:val="2"/>
            <w:shd w:val="clear" w:color="000000" w:fill="FFFFFF"/>
          </w:tcPr>
          <w:p w14:paraId="1E072BBD" w14:textId="77777777" w:rsidR="00E32E7B" w:rsidRPr="00BB7DD5" w:rsidRDefault="00E32E7B" w:rsidP="00982A1E">
            <w:pPr>
              <w:spacing w:before="60"/>
              <w:jc w:val="left"/>
              <w:rPr>
                <w:color w:val="000000"/>
                <w:spacing w:val="0"/>
                <w:sz w:val="18"/>
                <w:szCs w:val="18"/>
                <w:lang w:val="es-ES"/>
              </w:rPr>
            </w:pPr>
            <w:r w:rsidRPr="00BB7DD5">
              <w:rPr>
                <w:color w:val="000000"/>
                <w:spacing w:val="0"/>
                <w:sz w:val="18"/>
                <w:szCs w:val="18"/>
                <w:lang w:val="es-ES"/>
              </w:rPr>
              <w:t>Actualmente 0.60, se prevé una reducción en un 20%</w:t>
            </w:r>
          </w:p>
        </w:tc>
      </w:tr>
      <w:tr w:rsidR="00E32E7B" w:rsidRPr="00BB7DD5" w14:paraId="73BA89B4" w14:textId="77777777" w:rsidTr="00F2336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345"/>
        </w:trPr>
        <w:tc>
          <w:tcPr>
            <w:tcW w:w="3708" w:type="dxa"/>
            <w:gridSpan w:val="2"/>
            <w:shd w:val="clear" w:color="000000" w:fill="FFFFFF"/>
            <w:hideMark/>
          </w:tcPr>
          <w:p w14:paraId="0633DF40" w14:textId="374291B3" w:rsidR="00E32E7B" w:rsidRPr="00BB7DD5" w:rsidRDefault="00045FF9" w:rsidP="00982A1E">
            <w:pPr>
              <w:spacing w:before="60"/>
              <w:jc w:val="left"/>
              <w:rPr>
                <w:color w:val="000000"/>
                <w:spacing w:val="0"/>
                <w:sz w:val="18"/>
                <w:szCs w:val="18"/>
                <w:lang w:val="es-ES"/>
              </w:rPr>
            </w:pPr>
            <w:r>
              <w:rPr>
                <w:color w:val="000000"/>
                <w:spacing w:val="0"/>
                <w:sz w:val="18"/>
                <w:szCs w:val="18"/>
                <w:lang w:val="es-ES"/>
              </w:rPr>
              <w:t>V</w:t>
            </w:r>
            <w:r w:rsidR="00E32E7B" w:rsidRPr="00BB7DD5">
              <w:rPr>
                <w:color w:val="000000"/>
                <w:spacing w:val="0"/>
                <w:sz w:val="18"/>
                <w:szCs w:val="18"/>
                <w:lang w:val="es-ES"/>
              </w:rPr>
              <w:t>elocidad para los Usuarios de Automóviles</w:t>
            </w:r>
          </w:p>
        </w:tc>
        <w:tc>
          <w:tcPr>
            <w:tcW w:w="2340" w:type="dxa"/>
            <w:shd w:val="clear" w:color="000000" w:fill="FFFFFF"/>
            <w:hideMark/>
          </w:tcPr>
          <w:p w14:paraId="0F083F7E" w14:textId="77777777" w:rsidR="00E32E7B" w:rsidRPr="00BB7DD5" w:rsidRDefault="00BB7DD5" w:rsidP="00982A1E">
            <w:pPr>
              <w:spacing w:before="60"/>
              <w:jc w:val="center"/>
              <w:rPr>
                <w:color w:val="000000"/>
                <w:spacing w:val="0"/>
                <w:sz w:val="18"/>
                <w:szCs w:val="18"/>
                <w:lang w:val="es-ES"/>
              </w:rPr>
            </w:pPr>
            <w:r>
              <w:rPr>
                <w:color w:val="000000"/>
                <w:spacing w:val="0"/>
                <w:sz w:val="18"/>
                <w:szCs w:val="18"/>
                <w:lang w:val="es-ES"/>
              </w:rPr>
              <w:t xml:space="preserve">Aumento % de </w:t>
            </w:r>
            <w:r w:rsidR="00E32E7B" w:rsidRPr="00BB7DD5">
              <w:rPr>
                <w:color w:val="000000"/>
                <w:spacing w:val="0"/>
                <w:sz w:val="18"/>
                <w:szCs w:val="18"/>
                <w:lang w:val="es-ES"/>
              </w:rPr>
              <w:t>km/h</w:t>
            </w:r>
          </w:p>
        </w:tc>
        <w:tc>
          <w:tcPr>
            <w:tcW w:w="1080" w:type="dxa"/>
            <w:shd w:val="clear" w:color="000000" w:fill="FFFFFF"/>
            <w:hideMark/>
          </w:tcPr>
          <w:p w14:paraId="4A7882D0" w14:textId="77777777" w:rsidR="00E32E7B" w:rsidRPr="00BB7DD5" w:rsidRDefault="00E32E7B" w:rsidP="00982A1E">
            <w:pPr>
              <w:spacing w:before="60"/>
              <w:jc w:val="left"/>
              <w:rPr>
                <w:lang w:val="es-ES"/>
              </w:rPr>
            </w:pPr>
            <w:r w:rsidRPr="00BB7DD5">
              <w:rPr>
                <w:color w:val="000000"/>
                <w:spacing w:val="0"/>
                <w:sz w:val="18"/>
                <w:szCs w:val="18"/>
                <w:lang w:val="es-ES"/>
              </w:rPr>
              <w:t>Anual</w:t>
            </w:r>
          </w:p>
        </w:tc>
        <w:tc>
          <w:tcPr>
            <w:tcW w:w="2250" w:type="dxa"/>
            <w:gridSpan w:val="2"/>
            <w:shd w:val="clear" w:color="000000" w:fill="FFFFFF"/>
          </w:tcPr>
          <w:p w14:paraId="0C3F4EB1" w14:textId="77777777" w:rsidR="00E32E7B" w:rsidRPr="00BB7DD5" w:rsidRDefault="00E32E7B" w:rsidP="00982A1E">
            <w:pPr>
              <w:spacing w:before="60"/>
              <w:ind w:right="-108"/>
              <w:jc w:val="left"/>
              <w:rPr>
                <w:color w:val="000000"/>
                <w:spacing w:val="0"/>
                <w:sz w:val="18"/>
                <w:szCs w:val="18"/>
                <w:lang w:val="es-ES"/>
              </w:rPr>
            </w:pPr>
            <w:r w:rsidRPr="00BB7DD5">
              <w:rPr>
                <w:color w:val="000000"/>
                <w:spacing w:val="0"/>
                <w:sz w:val="18"/>
                <w:szCs w:val="18"/>
                <w:lang w:val="es-ES"/>
              </w:rPr>
              <w:t>Actualmente 25.00, se prevé un incremento de un 25 %</w:t>
            </w:r>
          </w:p>
        </w:tc>
      </w:tr>
      <w:tr w:rsidR="00E32E7B" w:rsidRPr="00BB7DD5" w14:paraId="5DDC5904" w14:textId="77777777" w:rsidTr="00F2336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345"/>
        </w:trPr>
        <w:tc>
          <w:tcPr>
            <w:tcW w:w="3708" w:type="dxa"/>
            <w:gridSpan w:val="2"/>
            <w:shd w:val="clear" w:color="000000" w:fill="FFFFFF"/>
            <w:hideMark/>
          </w:tcPr>
          <w:p w14:paraId="5641C170" w14:textId="0FDC4D82" w:rsidR="00E32E7B" w:rsidRPr="00BB7DD5" w:rsidRDefault="00045FF9" w:rsidP="00982A1E">
            <w:pPr>
              <w:spacing w:before="60"/>
              <w:jc w:val="left"/>
              <w:rPr>
                <w:color w:val="000000"/>
                <w:spacing w:val="0"/>
                <w:sz w:val="18"/>
                <w:szCs w:val="18"/>
                <w:lang w:val="es-ES"/>
              </w:rPr>
            </w:pPr>
            <w:r>
              <w:rPr>
                <w:color w:val="000000"/>
                <w:spacing w:val="0"/>
                <w:sz w:val="18"/>
                <w:szCs w:val="18"/>
                <w:lang w:val="es-ES"/>
              </w:rPr>
              <w:t>C</w:t>
            </w:r>
            <w:r w:rsidR="00E32E7B" w:rsidRPr="00BB7DD5">
              <w:rPr>
                <w:color w:val="000000"/>
                <w:spacing w:val="0"/>
                <w:sz w:val="18"/>
                <w:szCs w:val="18"/>
                <w:lang w:val="es-ES"/>
              </w:rPr>
              <w:t xml:space="preserve">osto de operación vehicular para Autobuses </w:t>
            </w:r>
          </w:p>
        </w:tc>
        <w:tc>
          <w:tcPr>
            <w:tcW w:w="2340" w:type="dxa"/>
            <w:shd w:val="clear" w:color="000000" w:fill="FFFFFF"/>
            <w:hideMark/>
          </w:tcPr>
          <w:p w14:paraId="33A6DA0D" w14:textId="77777777" w:rsidR="00E32E7B" w:rsidRPr="00BB7DD5" w:rsidRDefault="00BB7DD5" w:rsidP="00982A1E">
            <w:pPr>
              <w:spacing w:before="60"/>
              <w:jc w:val="center"/>
              <w:rPr>
                <w:color w:val="000000"/>
                <w:spacing w:val="0"/>
                <w:sz w:val="18"/>
                <w:szCs w:val="18"/>
                <w:lang w:val="es-ES"/>
              </w:rPr>
            </w:pPr>
            <w:r w:rsidRPr="00BB7DD5">
              <w:rPr>
                <w:color w:val="000000"/>
                <w:spacing w:val="0"/>
                <w:sz w:val="18"/>
                <w:szCs w:val="18"/>
                <w:lang w:val="es-ES"/>
              </w:rPr>
              <w:t>Reducción %</w:t>
            </w:r>
            <w:r>
              <w:rPr>
                <w:color w:val="000000"/>
                <w:spacing w:val="0"/>
                <w:sz w:val="18"/>
                <w:szCs w:val="18"/>
                <w:lang w:val="es-ES"/>
              </w:rPr>
              <w:t xml:space="preserve"> de </w:t>
            </w:r>
            <w:r w:rsidR="00E32E7B" w:rsidRPr="00BB7DD5">
              <w:rPr>
                <w:color w:val="000000"/>
                <w:spacing w:val="0"/>
                <w:sz w:val="18"/>
                <w:szCs w:val="18"/>
                <w:lang w:val="es-ES"/>
              </w:rPr>
              <w:t xml:space="preserve">US$/veh.km </w:t>
            </w:r>
          </w:p>
        </w:tc>
        <w:tc>
          <w:tcPr>
            <w:tcW w:w="1080" w:type="dxa"/>
            <w:shd w:val="clear" w:color="000000" w:fill="FFFFFF"/>
            <w:hideMark/>
          </w:tcPr>
          <w:p w14:paraId="230801EF" w14:textId="77777777" w:rsidR="00E32E7B" w:rsidRPr="00BB7DD5" w:rsidRDefault="00E32E7B" w:rsidP="00982A1E">
            <w:pPr>
              <w:spacing w:before="60"/>
              <w:jc w:val="left"/>
              <w:rPr>
                <w:lang w:val="es-ES"/>
              </w:rPr>
            </w:pPr>
            <w:r w:rsidRPr="00BB7DD5">
              <w:rPr>
                <w:color w:val="000000"/>
                <w:spacing w:val="0"/>
                <w:sz w:val="18"/>
                <w:szCs w:val="18"/>
                <w:lang w:val="es-ES"/>
              </w:rPr>
              <w:t>Anual</w:t>
            </w:r>
          </w:p>
        </w:tc>
        <w:tc>
          <w:tcPr>
            <w:tcW w:w="2250" w:type="dxa"/>
            <w:gridSpan w:val="2"/>
            <w:shd w:val="clear" w:color="000000" w:fill="FFFFFF"/>
          </w:tcPr>
          <w:p w14:paraId="053F062B" w14:textId="77777777" w:rsidR="00E32E7B" w:rsidRPr="00BB7DD5" w:rsidRDefault="00E32E7B" w:rsidP="00982A1E">
            <w:pPr>
              <w:spacing w:before="60"/>
              <w:jc w:val="left"/>
              <w:rPr>
                <w:color w:val="000000"/>
                <w:spacing w:val="0"/>
                <w:sz w:val="18"/>
                <w:szCs w:val="18"/>
                <w:lang w:val="es-ES"/>
              </w:rPr>
            </w:pPr>
            <w:r w:rsidRPr="00BB7DD5">
              <w:rPr>
                <w:color w:val="000000"/>
                <w:spacing w:val="0"/>
                <w:sz w:val="18"/>
                <w:szCs w:val="18"/>
                <w:lang w:val="es-ES"/>
              </w:rPr>
              <w:t>Actualmente 5.93, se prevé reducción en un 20%</w:t>
            </w:r>
          </w:p>
        </w:tc>
      </w:tr>
      <w:tr w:rsidR="00E32E7B" w:rsidRPr="00BB7DD5" w14:paraId="3AE7E4C2" w14:textId="77777777" w:rsidTr="00F2336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345"/>
        </w:trPr>
        <w:tc>
          <w:tcPr>
            <w:tcW w:w="3708" w:type="dxa"/>
            <w:gridSpan w:val="2"/>
            <w:shd w:val="clear" w:color="000000" w:fill="FFFFFF"/>
            <w:hideMark/>
          </w:tcPr>
          <w:p w14:paraId="694FCD89" w14:textId="119620AA" w:rsidR="00E32E7B" w:rsidRPr="00BB7DD5" w:rsidRDefault="00045FF9" w:rsidP="00982A1E">
            <w:pPr>
              <w:spacing w:before="60"/>
              <w:jc w:val="left"/>
              <w:rPr>
                <w:color w:val="000000"/>
                <w:spacing w:val="0"/>
                <w:sz w:val="18"/>
                <w:szCs w:val="18"/>
                <w:lang w:val="es-ES"/>
              </w:rPr>
            </w:pPr>
            <w:r>
              <w:rPr>
                <w:color w:val="000000"/>
                <w:spacing w:val="0"/>
                <w:sz w:val="18"/>
                <w:szCs w:val="18"/>
                <w:lang w:val="es-ES"/>
              </w:rPr>
              <w:t>V</w:t>
            </w:r>
            <w:r w:rsidR="00E32E7B" w:rsidRPr="00BB7DD5">
              <w:rPr>
                <w:color w:val="000000"/>
                <w:spacing w:val="0"/>
                <w:sz w:val="18"/>
                <w:szCs w:val="18"/>
                <w:lang w:val="es-ES"/>
              </w:rPr>
              <w:t>elocidad para los Usuarios de Autobuses</w:t>
            </w:r>
          </w:p>
        </w:tc>
        <w:tc>
          <w:tcPr>
            <w:tcW w:w="2340" w:type="dxa"/>
            <w:shd w:val="clear" w:color="000000" w:fill="FFFFFF"/>
            <w:hideMark/>
          </w:tcPr>
          <w:p w14:paraId="358CEDDE" w14:textId="77777777" w:rsidR="00E32E7B" w:rsidRPr="00BB7DD5" w:rsidRDefault="00BB7DD5" w:rsidP="00982A1E">
            <w:pPr>
              <w:spacing w:before="60"/>
              <w:jc w:val="center"/>
              <w:rPr>
                <w:color w:val="000000"/>
                <w:spacing w:val="0"/>
                <w:sz w:val="18"/>
                <w:szCs w:val="18"/>
                <w:lang w:val="es-ES"/>
              </w:rPr>
            </w:pPr>
            <w:r>
              <w:rPr>
                <w:color w:val="000000"/>
                <w:spacing w:val="0"/>
                <w:sz w:val="18"/>
                <w:szCs w:val="18"/>
                <w:lang w:val="es-ES"/>
              </w:rPr>
              <w:t xml:space="preserve">Aumento % de </w:t>
            </w:r>
            <w:r w:rsidR="00E32E7B" w:rsidRPr="00BB7DD5">
              <w:rPr>
                <w:color w:val="000000"/>
                <w:spacing w:val="0"/>
                <w:sz w:val="18"/>
                <w:szCs w:val="18"/>
                <w:lang w:val="es-ES"/>
              </w:rPr>
              <w:t xml:space="preserve">km/h </w:t>
            </w:r>
          </w:p>
        </w:tc>
        <w:tc>
          <w:tcPr>
            <w:tcW w:w="1080" w:type="dxa"/>
            <w:shd w:val="clear" w:color="000000" w:fill="FFFFFF"/>
            <w:hideMark/>
          </w:tcPr>
          <w:p w14:paraId="7A8E231B" w14:textId="77777777" w:rsidR="00E32E7B" w:rsidRPr="00BB7DD5" w:rsidRDefault="00E32E7B" w:rsidP="00982A1E">
            <w:pPr>
              <w:spacing w:before="60"/>
              <w:jc w:val="left"/>
              <w:rPr>
                <w:lang w:val="es-ES"/>
              </w:rPr>
            </w:pPr>
            <w:r w:rsidRPr="00BB7DD5">
              <w:rPr>
                <w:color w:val="000000"/>
                <w:spacing w:val="0"/>
                <w:sz w:val="18"/>
                <w:szCs w:val="18"/>
                <w:lang w:val="es-ES"/>
              </w:rPr>
              <w:t>Anual</w:t>
            </w:r>
          </w:p>
        </w:tc>
        <w:tc>
          <w:tcPr>
            <w:tcW w:w="2250" w:type="dxa"/>
            <w:gridSpan w:val="2"/>
            <w:shd w:val="clear" w:color="000000" w:fill="FFFFFF"/>
          </w:tcPr>
          <w:p w14:paraId="39E5AB42" w14:textId="77777777" w:rsidR="00E32E7B" w:rsidRPr="00BB7DD5" w:rsidRDefault="00E32E7B" w:rsidP="00982A1E">
            <w:pPr>
              <w:spacing w:before="60"/>
              <w:jc w:val="left"/>
              <w:rPr>
                <w:color w:val="000000"/>
                <w:spacing w:val="0"/>
                <w:sz w:val="18"/>
                <w:szCs w:val="18"/>
                <w:lang w:val="es-ES"/>
              </w:rPr>
            </w:pPr>
            <w:r w:rsidRPr="00BB7DD5">
              <w:rPr>
                <w:color w:val="000000"/>
                <w:spacing w:val="0"/>
                <w:sz w:val="18"/>
                <w:szCs w:val="18"/>
                <w:lang w:val="es-ES"/>
              </w:rPr>
              <w:t>Actualmente 20.00, se prevé incremento en un 40%</w:t>
            </w:r>
          </w:p>
        </w:tc>
      </w:tr>
      <w:tr w:rsidR="00E32E7B" w:rsidRPr="00BB7DD5" w14:paraId="3BD8FC78" w14:textId="77777777" w:rsidTr="00F2336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345"/>
        </w:trPr>
        <w:tc>
          <w:tcPr>
            <w:tcW w:w="3708" w:type="dxa"/>
            <w:gridSpan w:val="2"/>
            <w:shd w:val="clear" w:color="000000" w:fill="FFFFFF"/>
            <w:hideMark/>
          </w:tcPr>
          <w:p w14:paraId="6D3FC1E3" w14:textId="476FC238" w:rsidR="00E32E7B" w:rsidRPr="00BB7DD5" w:rsidRDefault="00045FF9" w:rsidP="00982A1E">
            <w:pPr>
              <w:spacing w:before="60"/>
              <w:jc w:val="left"/>
              <w:rPr>
                <w:color w:val="000000"/>
                <w:spacing w:val="0"/>
                <w:sz w:val="18"/>
                <w:szCs w:val="18"/>
                <w:lang w:val="es-ES"/>
              </w:rPr>
            </w:pPr>
            <w:r>
              <w:rPr>
                <w:color w:val="000000"/>
                <w:spacing w:val="0"/>
                <w:sz w:val="18"/>
                <w:szCs w:val="18"/>
                <w:lang w:val="es-ES"/>
              </w:rPr>
              <w:t>C</w:t>
            </w:r>
            <w:r w:rsidR="00E32E7B" w:rsidRPr="00BB7DD5">
              <w:rPr>
                <w:color w:val="000000"/>
                <w:spacing w:val="0"/>
                <w:sz w:val="18"/>
                <w:szCs w:val="18"/>
                <w:lang w:val="es-ES"/>
              </w:rPr>
              <w:t>osto de operación vehicular para Camiones Pesados</w:t>
            </w:r>
          </w:p>
        </w:tc>
        <w:tc>
          <w:tcPr>
            <w:tcW w:w="2340" w:type="dxa"/>
            <w:shd w:val="clear" w:color="000000" w:fill="FFFFFF"/>
            <w:hideMark/>
          </w:tcPr>
          <w:p w14:paraId="41FE1262" w14:textId="77777777" w:rsidR="00E32E7B" w:rsidRPr="00BB7DD5" w:rsidRDefault="00BB7DD5" w:rsidP="00982A1E">
            <w:pPr>
              <w:spacing w:before="60"/>
              <w:jc w:val="center"/>
              <w:rPr>
                <w:color w:val="000000"/>
                <w:spacing w:val="0"/>
                <w:sz w:val="18"/>
                <w:szCs w:val="18"/>
                <w:lang w:val="es-ES"/>
              </w:rPr>
            </w:pPr>
            <w:r w:rsidRPr="00BB7DD5">
              <w:rPr>
                <w:color w:val="000000"/>
                <w:spacing w:val="0"/>
                <w:sz w:val="18"/>
                <w:szCs w:val="18"/>
                <w:lang w:val="es-ES"/>
              </w:rPr>
              <w:t>Reducción %</w:t>
            </w:r>
            <w:r>
              <w:rPr>
                <w:color w:val="000000"/>
                <w:spacing w:val="0"/>
                <w:sz w:val="18"/>
                <w:szCs w:val="18"/>
                <w:lang w:val="es-ES"/>
              </w:rPr>
              <w:t xml:space="preserve"> </w:t>
            </w:r>
            <w:r w:rsidR="00E32E7B" w:rsidRPr="00BB7DD5">
              <w:rPr>
                <w:color w:val="000000"/>
                <w:spacing w:val="0"/>
                <w:sz w:val="18"/>
                <w:szCs w:val="18"/>
                <w:lang w:val="es-ES"/>
              </w:rPr>
              <w:t xml:space="preserve">US$/veh.km </w:t>
            </w:r>
          </w:p>
        </w:tc>
        <w:tc>
          <w:tcPr>
            <w:tcW w:w="1080" w:type="dxa"/>
            <w:shd w:val="clear" w:color="000000" w:fill="FFFFFF"/>
            <w:hideMark/>
          </w:tcPr>
          <w:p w14:paraId="4B140940" w14:textId="77777777" w:rsidR="00E32E7B" w:rsidRPr="00BB7DD5" w:rsidRDefault="00E32E7B" w:rsidP="00982A1E">
            <w:pPr>
              <w:spacing w:before="60"/>
              <w:jc w:val="left"/>
              <w:rPr>
                <w:lang w:val="es-ES"/>
              </w:rPr>
            </w:pPr>
            <w:r w:rsidRPr="00BB7DD5">
              <w:rPr>
                <w:color w:val="000000"/>
                <w:spacing w:val="0"/>
                <w:sz w:val="18"/>
                <w:szCs w:val="18"/>
                <w:lang w:val="es-ES"/>
              </w:rPr>
              <w:t>Anual</w:t>
            </w:r>
          </w:p>
        </w:tc>
        <w:tc>
          <w:tcPr>
            <w:tcW w:w="2250" w:type="dxa"/>
            <w:gridSpan w:val="2"/>
            <w:shd w:val="clear" w:color="000000" w:fill="FFFFFF"/>
          </w:tcPr>
          <w:p w14:paraId="5AB3B94F" w14:textId="77777777" w:rsidR="00E32E7B" w:rsidRPr="00BB7DD5" w:rsidRDefault="00E32E7B" w:rsidP="00982A1E">
            <w:pPr>
              <w:spacing w:before="60"/>
              <w:jc w:val="left"/>
              <w:rPr>
                <w:color w:val="000000"/>
                <w:spacing w:val="0"/>
                <w:sz w:val="18"/>
                <w:szCs w:val="18"/>
                <w:lang w:val="es-ES"/>
              </w:rPr>
            </w:pPr>
            <w:r w:rsidRPr="00BB7DD5">
              <w:rPr>
                <w:color w:val="000000"/>
                <w:spacing w:val="0"/>
                <w:sz w:val="18"/>
                <w:szCs w:val="18"/>
                <w:lang w:val="es-ES"/>
              </w:rPr>
              <w:t>Actualmente 3.19, se prevé reducción en un 20%</w:t>
            </w:r>
          </w:p>
        </w:tc>
      </w:tr>
      <w:tr w:rsidR="00E32E7B" w:rsidRPr="00BB7DD5" w14:paraId="25C1C723" w14:textId="77777777" w:rsidTr="00F2336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345"/>
        </w:trPr>
        <w:tc>
          <w:tcPr>
            <w:tcW w:w="3708" w:type="dxa"/>
            <w:gridSpan w:val="2"/>
            <w:shd w:val="clear" w:color="000000" w:fill="FFFFFF"/>
            <w:hideMark/>
          </w:tcPr>
          <w:p w14:paraId="0E5A493C" w14:textId="257ABB7B" w:rsidR="00E32E7B" w:rsidRPr="00BB7DD5" w:rsidRDefault="00045FF9" w:rsidP="00982A1E">
            <w:pPr>
              <w:spacing w:before="60"/>
              <w:jc w:val="left"/>
              <w:rPr>
                <w:color w:val="000000"/>
                <w:spacing w:val="0"/>
                <w:sz w:val="18"/>
                <w:szCs w:val="18"/>
                <w:lang w:val="es-ES"/>
              </w:rPr>
            </w:pPr>
            <w:r>
              <w:rPr>
                <w:color w:val="000000"/>
                <w:spacing w:val="0"/>
                <w:sz w:val="18"/>
                <w:szCs w:val="18"/>
                <w:lang w:val="es-ES"/>
              </w:rPr>
              <w:t>C</w:t>
            </w:r>
            <w:r w:rsidR="00E32E7B" w:rsidRPr="00BB7DD5">
              <w:rPr>
                <w:color w:val="000000"/>
                <w:spacing w:val="0"/>
                <w:sz w:val="18"/>
                <w:szCs w:val="18"/>
                <w:lang w:val="es-ES"/>
              </w:rPr>
              <w:t>elocidad para los Usuarios de Camiones Pesados</w:t>
            </w:r>
          </w:p>
        </w:tc>
        <w:tc>
          <w:tcPr>
            <w:tcW w:w="2340" w:type="dxa"/>
            <w:shd w:val="clear" w:color="000000" w:fill="FFFFFF"/>
            <w:hideMark/>
          </w:tcPr>
          <w:p w14:paraId="38B83AC5" w14:textId="77777777" w:rsidR="00E32E7B" w:rsidRPr="00BB7DD5" w:rsidRDefault="00BB7DD5" w:rsidP="00982A1E">
            <w:pPr>
              <w:spacing w:before="60"/>
              <w:jc w:val="center"/>
              <w:rPr>
                <w:color w:val="000000"/>
                <w:spacing w:val="0"/>
                <w:sz w:val="18"/>
                <w:szCs w:val="18"/>
                <w:lang w:val="es-ES"/>
              </w:rPr>
            </w:pPr>
            <w:r>
              <w:rPr>
                <w:color w:val="000000"/>
                <w:spacing w:val="0"/>
                <w:sz w:val="18"/>
                <w:szCs w:val="18"/>
                <w:lang w:val="es-ES"/>
              </w:rPr>
              <w:t xml:space="preserve">Aumento % de </w:t>
            </w:r>
            <w:r w:rsidR="00E32E7B" w:rsidRPr="00BB7DD5">
              <w:rPr>
                <w:color w:val="000000"/>
                <w:spacing w:val="0"/>
                <w:sz w:val="18"/>
                <w:szCs w:val="18"/>
                <w:lang w:val="es-ES"/>
              </w:rPr>
              <w:t>km/h</w:t>
            </w:r>
          </w:p>
        </w:tc>
        <w:tc>
          <w:tcPr>
            <w:tcW w:w="1080" w:type="dxa"/>
            <w:shd w:val="clear" w:color="000000" w:fill="FFFFFF"/>
            <w:hideMark/>
          </w:tcPr>
          <w:p w14:paraId="0EB36558" w14:textId="77777777" w:rsidR="00E32E7B" w:rsidRPr="00BB7DD5" w:rsidRDefault="00E32E7B" w:rsidP="00982A1E">
            <w:pPr>
              <w:spacing w:before="60"/>
              <w:jc w:val="left"/>
              <w:rPr>
                <w:lang w:val="es-ES"/>
              </w:rPr>
            </w:pPr>
            <w:r w:rsidRPr="00BB7DD5">
              <w:rPr>
                <w:color w:val="000000"/>
                <w:spacing w:val="0"/>
                <w:sz w:val="18"/>
                <w:szCs w:val="18"/>
                <w:lang w:val="es-ES"/>
              </w:rPr>
              <w:t>Anual</w:t>
            </w:r>
          </w:p>
        </w:tc>
        <w:tc>
          <w:tcPr>
            <w:tcW w:w="2250" w:type="dxa"/>
            <w:gridSpan w:val="2"/>
            <w:shd w:val="clear" w:color="000000" w:fill="FFFFFF"/>
          </w:tcPr>
          <w:p w14:paraId="1343A947" w14:textId="77777777" w:rsidR="00E32E7B" w:rsidRPr="00BB7DD5" w:rsidRDefault="00E32E7B" w:rsidP="00982A1E">
            <w:pPr>
              <w:spacing w:before="60"/>
              <w:jc w:val="left"/>
              <w:rPr>
                <w:color w:val="000000"/>
                <w:spacing w:val="0"/>
                <w:sz w:val="18"/>
                <w:szCs w:val="18"/>
                <w:lang w:val="es-ES"/>
              </w:rPr>
            </w:pPr>
            <w:r w:rsidRPr="00BB7DD5">
              <w:rPr>
                <w:color w:val="000000"/>
                <w:spacing w:val="0"/>
                <w:sz w:val="18"/>
                <w:szCs w:val="18"/>
                <w:lang w:val="es-ES"/>
              </w:rPr>
              <w:t>Actualmente 20.00, se prevé incremento en un 40%</w:t>
            </w:r>
          </w:p>
        </w:tc>
      </w:tr>
      <w:tr w:rsidR="00E32E7B" w:rsidRPr="00BB7DD5" w14:paraId="15CBD252" w14:textId="77777777" w:rsidTr="00F23360">
        <w:trPr>
          <w:trHeight w:val="366"/>
        </w:trPr>
        <w:tc>
          <w:tcPr>
            <w:tcW w:w="3708" w:type="dxa"/>
            <w:gridSpan w:val="2"/>
          </w:tcPr>
          <w:p w14:paraId="160141FD" w14:textId="27550FF8" w:rsidR="00E32E7B" w:rsidRPr="00BB7DD5" w:rsidDel="000D4942" w:rsidRDefault="00045FF9" w:rsidP="00045FF9">
            <w:pPr>
              <w:spacing w:before="60"/>
              <w:rPr>
                <w:b/>
                <w:sz w:val="18"/>
                <w:szCs w:val="18"/>
                <w:lang w:val="es-ES"/>
              </w:rPr>
            </w:pPr>
            <w:r>
              <w:rPr>
                <w:sz w:val="18"/>
                <w:szCs w:val="18"/>
                <w:lang w:val="es-ES"/>
              </w:rPr>
              <w:t>Cantidad</w:t>
            </w:r>
            <w:r w:rsidR="00E32E7B" w:rsidRPr="00BB7DD5">
              <w:rPr>
                <w:sz w:val="18"/>
                <w:szCs w:val="18"/>
                <w:lang w:val="es-ES"/>
              </w:rPr>
              <w:t xml:space="preserve"> de productores y pescadores artesanales que utilizan nuevas infraestructuras productivas</w:t>
            </w:r>
          </w:p>
        </w:tc>
        <w:tc>
          <w:tcPr>
            <w:tcW w:w="2340" w:type="dxa"/>
          </w:tcPr>
          <w:p w14:paraId="494D4A32" w14:textId="77777777" w:rsidR="00E32E7B" w:rsidRPr="00BB7DD5" w:rsidDel="000D4942" w:rsidRDefault="00E32E7B" w:rsidP="00982A1E">
            <w:pPr>
              <w:spacing w:before="60"/>
              <w:jc w:val="left"/>
              <w:rPr>
                <w:sz w:val="18"/>
                <w:szCs w:val="18"/>
                <w:lang w:val="es-ES"/>
              </w:rPr>
            </w:pPr>
            <w:r w:rsidRPr="00BB7DD5">
              <w:rPr>
                <w:sz w:val="18"/>
                <w:szCs w:val="18"/>
                <w:lang w:val="es-ES"/>
              </w:rPr>
              <w:t xml:space="preserve">Aumento % del número de utilizadores </w:t>
            </w:r>
          </w:p>
        </w:tc>
        <w:tc>
          <w:tcPr>
            <w:tcW w:w="1080" w:type="dxa"/>
          </w:tcPr>
          <w:p w14:paraId="35243E5A" w14:textId="77777777" w:rsidR="00E32E7B" w:rsidRPr="00BB7DD5" w:rsidDel="000D4942" w:rsidRDefault="00E32E7B" w:rsidP="00982A1E">
            <w:pPr>
              <w:spacing w:before="60"/>
              <w:rPr>
                <w:sz w:val="18"/>
                <w:szCs w:val="18"/>
                <w:lang w:val="es-ES"/>
              </w:rPr>
            </w:pPr>
            <w:r w:rsidRPr="00BB7DD5">
              <w:rPr>
                <w:sz w:val="18"/>
                <w:szCs w:val="18"/>
                <w:lang w:val="es-ES"/>
              </w:rPr>
              <w:t>Anual</w:t>
            </w:r>
          </w:p>
        </w:tc>
        <w:tc>
          <w:tcPr>
            <w:tcW w:w="2250" w:type="dxa"/>
            <w:gridSpan w:val="2"/>
          </w:tcPr>
          <w:p w14:paraId="4A78C289" w14:textId="77777777" w:rsidR="00E32E7B" w:rsidRPr="00BB7DD5" w:rsidDel="000D4942" w:rsidRDefault="00E32E7B" w:rsidP="00982A1E">
            <w:pPr>
              <w:spacing w:before="60"/>
              <w:rPr>
                <w:b/>
                <w:sz w:val="18"/>
                <w:szCs w:val="18"/>
                <w:lang w:val="es-ES"/>
              </w:rPr>
            </w:pPr>
            <w:r w:rsidRPr="00BB7DD5">
              <w:rPr>
                <w:bCs/>
                <w:sz w:val="18"/>
                <w:szCs w:val="18"/>
                <w:lang w:val="es-ES"/>
              </w:rPr>
              <w:t xml:space="preserve">Fuente: Registros de la UCP y encuestas a empresas. </w:t>
            </w:r>
            <w:r w:rsidRPr="00BB7DD5">
              <w:rPr>
                <w:bCs/>
                <w:sz w:val="18"/>
                <w:szCs w:val="18"/>
                <w:lang w:val="es-ES"/>
              </w:rPr>
              <w:lastRenderedPageBreak/>
              <w:t>Aumentos respecto a la línea de base.</w:t>
            </w:r>
          </w:p>
        </w:tc>
      </w:tr>
      <w:tr w:rsidR="00E32E7B" w:rsidRPr="00BB7DD5" w14:paraId="39292754" w14:textId="77777777" w:rsidTr="00F23360">
        <w:trPr>
          <w:trHeight w:val="366"/>
        </w:trPr>
        <w:tc>
          <w:tcPr>
            <w:tcW w:w="3708" w:type="dxa"/>
            <w:gridSpan w:val="2"/>
          </w:tcPr>
          <w:p w14:paraId="47505161" w14:textId="337FDEE7" w:rsidR="00E32E7B" w:rsidRPr="00BB7DD5" w:rsidRDefault="00E32E7B" w:rsidP="00982A1E">
            <w:pPr>
              <w:spacing w:before="60"/>
              <w:rPr>
                <w:color w:val="000000"/>
                <w:sz w:val="18"/>
                <w:szCs w:val="18"/>
                <w:lang w:val="es-ES"/>
              </w:rPr>
            </w:pPr>
          </w:p>
        </w:tc>
        <w:tc>
          <w:tcPr>
            <w:tcW w:w="2340" w:type="dxa"/>
          </w:tcPr>
          <w:p w14:paraId="3F578C81" w14:textId="2C72C34E" w:rsidR="00BB7DD5" w:rsidRPr="00BB7DD5" w:rsidRDefault="00BB7DD5" w:rsidP="00982A1E">
            <w:pPr>
              <w:spacing w:before="60"/>
              <w:jc w:val="left"/>
              <w:rPr>
                <w:sz w:val="18"/>
                <w:szCs w:val="18"/>
                <w:lang w:val="es-ES"/>
              </w:rPr>
            </w:pPr>
          </w:p>
        </w:tc>
        <w:tc>
          <w:tcPr>
            <w:tcW w:w="1080" w:type="dxa"/>
          </w:tcPr>
          <w:p w14:paraId="1CB60B4E" w14:textId="49BB4F1E" w:rsidR="00E32E7B" w:rsidRPr="00BB7DD5" w:rsidRDefault="00E32E7B" w:rsidP="00982A1E">
            <w:pPr>
              <w:spacing w:before="60"/>
              <w:rPr>
                <w:sz w:val="18"/>
                <w:szCs w:val="18"/>
                <w:lang w:val="es-ES"/>
              </w:rPr>
            </w:pPr>
          </w:p>
        </w:tc>
        <w:tc>
          <w:tcPr>
            <w:tcW w:w="2250" w:type="dxa"/>
            <w:gridSpan w:val="2"/>
          </w:tcPr>
          <w:p w14:paraId="0EDC6C08" w14:textId="5B0D1E80" w:rsidR="00E32E7B" w:rsidRPr="00BB7DD5" w:rsidRDefault="00E32E7B" w:rsidP="00982A1E">
            <w:pPr>
              <w:spacing w:before="60"/>
              <w:rPr>
                <w:bCs/>
                <w:sz w:val="18"/>
                <w:szCs w:val="18"/>
                <w:lang w:val="es-ES"/>
              </w:rPr>
            </w:pPr>
          </w:p>
        </w:tc>
      </w:tr>
      <w:tr w:rsidR="00F15428" w:rsidRPr="00BB7DD5" w14:paraId="56F06B72" w14:textId="77777777" w:rsidTr="00EC34E2">
        <w:trPr>
          <w:trHeight w:val="818"/>
        </w:trPr>
        <w:tc>
          <w:tcPr>
            <w:tcW w:w="3708" w:type="dxa"/>
            <w:gridSpan w:val="2"/>
            <w:vAlign w:val="center"/>
          </w:tcPr>
          <w:p w14:paraId="7AD692BC" w14:textId="2CD06025" w:rsidR="00F15428" w:rsidRPr="00BB7DD5" w:rsidRDefault="00045FF9" w:rsidP="00045FF9">
            <w:pPr>
              <w:spacing w:before="60"/>
              <w:rPr>
                <w:color w:val="000000"/>
                <w:sz w:val="18"/>
                <w:szCs w:val="18"/>
                <w:lang w:val="es-ES"/>
              </w:rPr>
            </w:pPr>
            <w:r w:rsidRPr="00045FF9">
              <w:rPr>
                <w:sz w:val="18"/>
                <w:szCs w:val="18"/>
                <w:lang w:val="es-UY"/>
              </w:rPr>
              <w:t xml:space="preserve">Tiempo adicional que se conservan los productos a una temperatura adecuada para evitar pérdidasPérdida </w:t>
            </w:r>
          </w:p>
        </w:tc>
        <w:tc>
          <w:tcPr>
            <w:tcW w:w="2340" w:type="dxa"/>
            <w:vAlign w:val="center"/>
          </w:tcPr>
          <w:p w14:paraId="14C8329B" w14:textId="215431B7" w:rsidR="00F15428" w:rsidRDefault="00045FF9" w:rsidP="00816B3B">
            <w:pPr>
              <w:spacing w:before="60"/>
              <w:jc w:val="left"/>
              <w:rPr>
                <w:sz w:val="18"/>
                <w:szCs w:val="18"/>
                <w:lang w:val="es-ES"/>
              </w:rPr>
            </w:pPr>
            <w:r>
              <w:rPr>
                <w:bCs/>
                <w:color w:val="000000"/>
                <w:sz w:val="18"/>
                <w:szCs w:val="18"/>
                <w:lang w:val="es-ES"/>
              </w:rPr>
              <w:t>Horas</w:t>
            </w:r>
          </w:p>
        </w:tc>
        <w:tc>
          <w:tcPr>
            <w:tcW w:w="1080" w:type="dxa"/>
            <w:vAlign w:val="center"/>
          </w:tcPr>
          <w:p w14:paraId="5F4A24F8" w14:textId="77777777" w:rsidR="00F15428" w:rsidRPr="00BB7DD5" w:rsidRDefault="00F15428" w:rsidP="00816B3B">
            <w:pPr>
              <w:spacing w:before="60"/>
              <w:rPr>
                <w:sz w:val="18"/>
                <w:szCs w:val="18"/>
                <w:lang w:val="es-ES"/>
              </w:rPr>
            </w:pPr>
            <w:r>
              <w:rPr>
                <w:bCs/>
                <w:color w:val="000000"/>
                <w:sz w:val="18"/>
                <w:szCs w:val="18"/>
                <w:lang w:val="es-ES"/>
              </w:rPr>
              <w:t>Anual</w:t>
            </w:r>
          </w:p>
        </w:tc>
        <w:tc>
          <w:tcPr>
            <w:tcW w:w="2250" w:type="dxa"/>
            <w:gridSpan w:val="2"/>
            <w:vAlign w:val="center"/>
          </w:tcPr>
          <w:p w14:paraId="3A7934EE" w14:textId="77777777" w:rsidR="00F15428" w:rsidRPr="00BB7DD5" w:rsidRDefault="00F15428" w:rsidP="00816B3B">
            <w:pPr>
              <w:spacing w:before="60"/>
              <w:rPr>
                <w:bCs/>
                <w:sz w:val="18"/>
                <w:szCs w:val="18"/>
                <w:lang w:val="es-ES"/>
              </w:rPr>
            </w:pPr>
            <w:r w:rsidRPr="00C97B72">
              <w:rPr>
                <w:bCs/>
                <w:color w:val="000000"/>
                <w:sz w:val="18"/>
                <w:szCs w:val="18"/>
                <w:lang w:val="es-ES"/>
              </w:rPr>
              <w:t>Base de datos del programa, sobre la base de los registros de CENDEPESCA y MINEC.</w:t>
            </w:r>
          </w:p>
        </w:tc>
      </w:tr>
    </w:tbl>
    <w:p w14:paraId="6056DE36" w14:textId="77777777" w:rsidR="00F15428" w:rsidRPr="00982A1E" w:rsidRDefault="00F15428" w:rsidP="00982A1E">
      <w:pPr>
        <w:rPr>
          <w:lang w:val="es-ES"/>
        </w:rPr>
      </w:pPr>
    </w:p>
    <w:p w14:paraId="7F97A9BC" w14:textId="77777777" w:rsidR="00A6102E" w:rsidRPr="00E6798C" w:rsidRDefault="003E3E6F" w:rsidP="00A6102E">
      <w:pPr>
        <w:pStyle w:val="Heading4"/>
        <w:numPr>
          <w:ilvl w:val="0"/>
          <w:numId w:val="0"/>
        </w:numPr>
        <w:rPr>
          <w:rFonts w:ascii="Times New Roman" w:hAnsi="Times New Roman"/>
          <w:noProof w:val="0"/>
          <w:szCs w:val="24"/>
          <w:lang w:val="es-ES_tradnl"/>
        </w:rPr>
      </w:pPr>
      <w:r w:rsidRPr="00E6798C">
        <w:rPr>
          <w:rFonts w:ascii="Times New Roman" w:hAnsi="Times New Roman"/>
          <w:noProof w:val="0"/>
          <w:szCs w:val="24"/>
          <w:lang w:val="es-ES_tradnl"/>
        </w:rPr>
        <w:t xml:space="preserve">d. </w:t>
      </w:r>
      <w:r w:rsidR="00E4465A" w:rsidRPr="00E6798C">
        <w:rPr>
          <w:rFonts w:ascii="Times New Roman" w:hAnsi="Times New Roman"/>
          <w:noProof w:val="0"/>
          <w:szCs w:val="24"/>
          <w:lang w:val="es-ES_tradnl"/>
        </w:rPr>
        <w:t>Metodología de la evaluación</w:t>
      </w:r>
    </w:p>
    <w:p w14:paraId="5CA6BD23" w14:textId="77777777" w:rsidR="007D25D0" w:rsidRDefault="007D25D0" w:rsidP="007D25D0">
      <w:r>
        <w:t xml:space="preserve">Se propone evaluar los instrumentos al interior de cada componente de manera conjunta. Esto se debe a la similitud de objetivos y a la falta de potencia para evaluar los distintos instrumentos al interior de cada componente. </w:t>
      </w:r>
    </w:p>
    <w:p w14:paraId="03B2C587" w14:textId="77777777" w:rsidR="007D25D0" w:rsidRDefault="007D25D0" w:rsidP="007D25D0">
      <w:r>
        <w:t>Cada componente será evaluado utilizando la metodología que más se adecue para reducir el sesgo de selección considerando la disponibilidad de información y diseño del componente.</w:t>
      </w:r>
    </w:p>
    <w:p w14:paraId="7C508F66" w14:textId="77777777" w:rsidR="007D25D0" w:rsidRDefault="007D25D0" w:rsidP="007D25D0">
      <w:r>
        <w:t>Así que para evaluar el alcance de los instrumentos de apoyo del programa en el primer componente se propone un diseño cuasi-experimental con diferencia en diferencia y propensity score matching. Con esta metodología se analizarán las empresas que hayan recibido los distintos instrumentos de apoyo (i.e. servicios y programas de desarrollo empresarial como asistencia técnica, capacitación empresarial, uso de las TIC, fomento de la asociatividad y la articulación productiva, apoyo a la innovación, y otros)</w:t>
      </w:r>
    </w:p>
    <w:p w14:paraId="067B23A8" w14:textId="399A4792" w:rsidR="007D25D0" w:rsidRDefault="007D25D0" w:rsidP="007D25D0">
      <w:r>
        <w:t>Para evaluar los resultados del segundo componente del programa, Inversiones Productivas y Logísticas para la Competitividad, se propone una metodología de evaluación “antes y después”.</w:t>
      </w:r>
    </w:p>
    <w:p w14:paraId="66314762" w14:textId="77777777" w:rsidR="00AE49D7" w:rsidRDefault="00F0610D" w:rsidP="00383F3F">
      <w:pPr>
        <w:rPr>
          <w:lang w:val="es-ES"/>
        </w:rPr>
      </w:pPr>
      <w:r>
        <w:rPr>
          <w:lang w:val="es-ES"/>
        </w:rPr>
        <w:t xml:space="preserve">La metodología </w:t>
      </w:r>
      <w:r w:rsidR="00951425">
        <w:rPr>
          <w:lang w:val="es-ES"/>
        </w:rPr>
        <w:t>antes-después consiste, como su nombre lo indica, en comparar los valores de las variables de resultado antes de la intervención pública y luego de ella. La diferencia de sus valores se considera el efecto de la intervención. Esta metodología permite incorporar controles para tener en consideración diferencia pre-tratamiento entre las unidades de análisis. El modo más simple de incorporar esos controles en la estimación del efecto es implementa</w:t>
      </w:r>
      <w:r w:rsidR="002F1BA2">
        <w:rPr>
          <w:lang w:val="es-ES"/>
        </w:rPr>
        <w:t>n</w:t>
      </w:r>
      <w:r w:rsidR="00951425">
        <w:rPr>
          <w:lang w:val="es-ES"/>
        </w:rPr>
        <w:t xml:space="preserve">do la comparación a través de una regresión lineal de la variable de resultado en el estado de tratamiento y características pre-tratamiento. </w:t>
      </w:r>
      <w:r w:rsidR="00D728C8">
        <w:rPr>
          <w:lang w:val="es-ES"/>
        </w:rPr>
        <w:t>Esta metodología es adecuada cuando todas las unidades de análisis son tratadas al mismo tiempo, caso común en las obras de infraestructura, las cuales se vuelven disponibles para todos los individuos en el momento de su entrega.</w:t>
      </w:r>
    </w:p>
    <w:p w14:paraId="0B8C5891" w14:textId="77777777" w:rsidR="00951425" w:rsidRDefault="00951425" w:rsidP="00383F3F">
      <w:pPr>
        <w:rPr>
          <w:lang w:val="es-ES"/>
        </w:rPr>
      </w:pPr>
      <w:r>
        <w:rPr>
          <w:lang w:val="es-ES"/>
        </w:rPr>
        <w:t xml:space="preserve">La metodología antes-después tiene como principal desventaja el hecho de no poder separar efectos temporales en el momento de la intervención de aquellos verdaderamente atribuibles a esta. Por ejemplo, efectos del ciclo económico que ocurran en el </w:t>
      </w:r>
      <w:r w:rsidR="00D728C8">
        <w:rPr>
          <w:lang w:val="es-ES"/>
        </w:rPr>
        <w:t xml:space="preserve">momento de inicio de la intervención podrían ser </w:t>
      </w:r>
      <w:r w:rsidR="005E3081">
        <w:rPr>
          <w:lang w:val="es-ES"/>
        </w:rPr>
        <w:t>erróneamente</w:t>
      </w:r>
      <w:r>
        <w:rPr>
          <w:lang w:val="es-ES"/>
        </w:rPr>
        <w:t xml:space="preserve"> atribuidos al tratamiento. Para mitigar este efecto es recomendable controlar por la mayor cantidad de </w:t>
      </w:r>
      <w:r w:rsidR="00D728C8">
        <w:rPr>
          <w:lang w:val="es-ES"/>
        </w:rPr>
        <w:t>características previa posibles e incluir en esos controles características del entorno macroeconómico.</w:t>
      </w:r>
    </w:p>
    <w:p w14:paraId="222E5D9D" w14:textId="77777777" w:rsidR="00F64C53" w:rsidRDefault="00224CA0" w:rsidP="00383F3F">
      <w:pPr>
        <w:rPr>
          <w:lang w:val="es-ES"/>
        </w:rPr>
      </w:pPr>
      <w:r w:rsidRPr="00BB7DD5">
        <w:rPr>
          <w:lang w:val="es-ES"/>
        </w:rPr>
        <w:t xml:space="preserve">En la actualidad </w:t>
      </w:r>
      <w:r w:rsidR="00905355" w:rsidRPr="00BB7DD5">
        <w:rPr>
          <w:lang w:val="es-ES"/>
        </w:rPr>
        <w:t xml:space="preserve">no </w:t>
      </w:r>
      <w:r w:rsidRPr="00BB7DD5">
        <w:rPr>
          <w:lang w:val="es-ES"/>
        </w:rPr>
        <w:t>se ha realizado un análisis económico ex ante sobre la construcción de la ruta.</w:t>
      </w:r>
      <w:r w:rsidR="00490C34" w:rsidRPr="00BB7DD5">
        <w:rPr>
          <w:lang w:val="es-ES"/>
        </w:rPr>
        <w:t xml:space="preserve"> </w:t>
      </w:r>
      <w:r w:rsidRPr="00BB7DD5">
        <w:rPr>
          <w:lang w:val="es-ES"/>
        </w:rPr>
        <w:t>Un año luego de finalizadas las obras, se</w:t>
      </w:r>
      <w:r w:rsidR="00F64C53" w:rsidRPr="00BB7DD5">
        <w:rPr>
          <w:lang w:val="es-ES"/>
        </w:rPr>
        <w:t xml:space="preserve"> realizará un análisis costo-beneficio ex post (Véase sección f)</w:t>
      </w:r>
      <w:r w:rsidRPr="00BB7DD5">
        <w:rPr>
          <w:lang w:val="es-ES"/>
        </w:rPr>
        <w:t>.</w:t>
      </w:r>
      <w:r w:rsidR="00F64C53">
        <w:rPr>
          <w:lang w:val="es-ES"/>
        </w:rPr>
        <w:t xml:space="preserve"> </w:t>
      </w:r>
    </w:p>
    <w:p w14:paraId="67CA0695" w14:textId="77777777" w:rsidR="00A6102E" w:rsidRPr="00224CA0" w:rsidRDefault="00F64C53" w:rsidP="00383F3F">
      <w:r>
        <w:rPr>
          <w:lang w:val="es-ES"/>
        </w:rPr>
        <w:t>En el caso del c</w:t>
      </w:r>
      <w:r w:rsidR="00AE49D7">
        <w:rPr>
          <w:lang w:val="es-ES"/>
        </w:rPr>
        <w:t xml:space="preserve">omponente </w:t>
      </w:r>
      <w:r w:rsidR="00490C34">
        <w:rPr>
          <w:lang w:val="es-ES"/>
        </w:rPr>
        <w:t>I</w:t>
      </w:r>
      <w:r>
        <w:rPr>
          <w:lang w:val="es-ES"/>
        </w:rPr>
        <w:t xml:space="preserve">, </w:t>
      </w:r>
      <w:r w:rsidR="00490C34">
        <w:rPr>
          <w:lang w:val="es-ES"/>
        </w:rPr>
        <w:t xml:space="preserve">y del financiamiento de infraestructuras productivas con el Componente II, </w:t>
      </w:r>
      <w:r>
        <w:rPr>
          <w:lang w:val="es-ES"/>
        </w:rPr>
        <w:t xml:space="preserve">es posible aplicar técnicas que superan las limitaciones del análisis antes </w:t>
      </w:r>
      <w:r>
        <w:rPr>
          <w:lang w:val="es-ES"/>
        </w:rPr>
        <w:lastRenderedPageBreak/>
        <w:t xml:space="preserve">después mencionadas. </w:t>
      </w:r>
      <w:r w:rsidR="006E31C1" w:rsidRPr="00224CA0">
        <w:t xml:space="preserve">Para llevar a cabo </w:t>
      </w:r>
      <w:r w:rsidR="00AE49D7">
        <w:t>la evaluación de</w:t>
      </w:r>
      <w:r>
        <w:t xml:space="preserve"> este </w:t>
      </w:r>
      <w:r w:rsidR="00AE49D7">
        <w:t xml:space="preserve">componente </w:t>
      </w:r>
      <w:r w:rsidR="00A6102E" w:rsidRPr="00224CA0">
        <w:t xml:space="preserve"> se propone utilizar un </w:t>
      </w:r>
      <w:r w:rsidR="00A6102E" w:rsidRPr="00224CA0">
        <w:rPr>
          <w:b/>
        </w:rPr>
        <w:t>modelo de diferencia-en-diferencia</w:t>
      </w:r>
      <w:r w:rsidR="00A6102E" w:rsidRPr="00224CA0">
        <w:t xml:space="preserve"> (DD) combinado con </w:t>
      </w:r>
      <w:r w:rsidR="00A6102E" w:rsidRPr="00224CA0">
        <w:rPr>
          <w:b/>
        </w:rPr>
        <w:t>métodos de emparejamiento estadístico</w:t>
      </w:r>
      <w:r w:rsidR="00F11191">
        <w:rPr>
          <w:b/>
        </w:rPr>
        <w:t xml:space="preserve"> (Propensity Score Matching, PSM)</w:t>
      </w:r>
      <w:r w:rsidR="00A6102E" w:rsidRPr="00224CA0">
        <w:t xml:space="preserve">. Esta metodología permite capturar el efecto promedio de una intervención corrigiendo por las diferencias observables y no observables entre beneficiarios y no-beneficiarios bajo el supuesto que estas últimas sean constantes en el tiempo. </w:t>
      </w:r>
    </w:p>
    <w:p w14:paraId="4C6B64F5" w14:textId="77777777" w:rsidR="00A6102E" w:rsidRPr="00224CA0" w:rsidRDefault="00A6102E" w:rsidP="00383F3F">
      <w:r w:rsidRPr="00224CA0">
        <w:t>La implementación de esta metodología se basará en un modelo econométrico básico de efectos fijos:</w:t>
      </w:r>
    </w:p>
    <w:p w14:paraId="4F0CFB3F" w14:textId="77777777" w:rsidR="00A6102E" w:rsidRPr="00F11191" w:rsidRDefault="00F84C15" w:rsidP="00F11191">
      <w:pPr>
        <w:pStyle w:val="ListParagraph"/>
        <w:spacing w:before="40" w:after="40"/>
        <w:ind w:left="0"/>
        <w:jc w:val="right"/>
        <w:textAlignment w:val="top"/>
        <w:rPr>
          <w:szCs w:val="24"/>
          <w:lang w:val="es-ES_tradnl"/>
        </w:rPr>
      </w:pPr>
      <m:oMath>
        <m:sSub>
          <m:sSubPr>
            <m:ctrlPr>
              <w:rPr>
                <w:rFonts w:ascii="Cambria Math" w:hAnsi="Cambria Math"/>
                <w:i/>
                <w:szCs w:val="24"/>
              </w:rPr>
            </m:ctrlPr>
          </m:sSubPr>
          <m:e>
            <m:r>
              <w:rPr>
                <w:rFonts w:ascii="Cambria Math" w:hAnsi="Cambria Math"/>
                <w:szCs w:val="24"/>
              </w:rPr>
              <m:t>Y</m:t>
            </m:r>
          </m:e>
          <m:sub>
            <m:r>
              <w:rPr>
                <w:rFonts w:ascii="Cambria Math" w:hAnsi="Cambria Math"/>
                <w:szCs w:val="24"/>
              </w:rPr>
              <m:t>it</m:t>
            </m:r>
          </m:sub>
        </m:sSub>
        <m:r>
          <w:rPr>
            <w:rFonts w:ascii="Cambria Math" w:hAnsi="Cambria Math"/>
            <w:szCs w:val="24"/>
            <w:lang w:val="es-ES_tradnl"/>
          </w:rPr>
          <m:t>=</m:t>
        </m:r>
        <m:sSub>
          <m:sSubPr>
            <m:ctrlPr>
              <w:rPr>
                <w:rFonts w:ascii="Cambria Math" w:hAnsi="Cambria Math"/>
                <w:i/>
                <w:szCs w:val="24"/>
              </w:rPr>
            </m:ctrlPr>
          </m:sSubPr>
          <m:e>
            <m:r>
              <w:rPr>
                <w:rFonts w:ascii="Cambria Math" w:hAnsi="Cambria Math"/>
                <w:szCs w:val="24"/>
              </w:rPr>
              <m:t>α</m:t>
            </m:r>
          </m:e>
          <m:sub>
            <m:r>
              <w:rPr>
                <w:rFonts w:ascii="Cambria Math" w:hAnsi="Cambria Math"/>
                <w:szCs w:val="24"/>
              </w:rPr>
              <m:t>i</m:t>
            </m:r>
          </m:sub>
        </m:sSub>
        <m:r>
          <w:rPr>
            <w:rFonts w:ascii="Cambria Math" w:hAnsi="Cambria Math"/>
            <w:szCs w:val="24"/>
            <w:lang w:val="es-ES_tradnl"/>
          </w:rPr>
          <m:t>+</m:t>
        </m:r>
        <m:sSub>
          <m:sSubPr>
            <m:ctrlPr>
              <w:rPr>
                <w:rFonts w:ascii="Cambria Math" w:hAnsi="Cambria Math"/>
                <w:i/>
                <w:szCs w:val="24"/>
              </w:rPr>
            </m:ctrlPr>
          </m:sSubPr>
          <m:e>
            <m:r>
              <w:rPr>
                <w:rFonts w:ascii="Cambria Math" w:hAnsi="Cambria Math"/>
                <w:szCs w:val="24"/>
              </w:rPr>
              <m:t>λ</m:t>
            </m:r>
          </m:e>
          <m:sub>
            <m:r>
              <w:rPr>
                <w:rFonts w:ascii="Cambria Math" w:hAnsi="Cambria Math"/>
                <w:szCs w:val="24"/>
              </w:rPr>
              <m:t>t</m:t>
            </m:r>
          </m:sub>
        </m:sSub>
        <m:r>
          <w:rPr>
            <w:rFonts w:ascii="Cambria Math" w:hAnsi="Cambria Math"/>
            <w:szCs w:val="24"/>
            <w:lang w:val="es-ES_tradnl"/>
          </w:rPr>
          <m:t>+</m:t>
        </m:r>
        <m:r>
          <w:rPr>
            <w:rFonts w:ascii="Cambria Math" w:hAnsi="Cambria Math"/>
            <w:szCs w:val="24"/>
          </w:rPr>
          <m:t>β</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it</m:t>
            </m:r>
          </m:sub>
        </m:sSub>
        <m:r>
          <w:rPr>
            <w:rFonts w:ascii="Cambria Math" w:hAnsi="Cambria Math"/>
            <w:szCs w:val="24"/>
            <w:lang w:val="es-ES_tradnl"/>
          </w:rPr>
          <m:t>+</m:t>
        </m:r>
        <m:r>
          <w:rPr>
            <w:rFonts w:ascii="Cambria Math" w:hAnsi="Cambria Math"/>
            <w:szCs w:val="24"/>
          </w:rPr>
          <m:t>γ</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it</m:t>
            </m:r>
          </m:sub>
        </m:sSub>
        <m:r>
          <w:rPr>
            <w:rFonts w:ascii="Cambria Math" w:hAnsi="Cambria Math"/>
            <w:szCs w:val="24"/>
            <w:lang w:val="es-ES_tradnl"/>
          </w:rPr>
          <m:t>+</m:t>
        </m:r>
        <m:sSub>
          <m:sSubPr>
            <m:ctrlPr>
              <w:rPr>
                <w:rFonts w:ascii="Cambria Math" w:hAnsi="Cambria Math"/>
                <w:i/>
                <w:szCs w:val="24"/>
              </w:rPr>
            </m:ctrlPr>
          </m:sSubPr>
          <m:e>
            <m:r>
              <w:rPr>
                <w:rFonts w:ascii="Cambria Math" w:hAnsi="Cambria Math"/>
                <w:szCs w:val="24"/>
              </w:rPr>
              <m:t>ε</m:t>
            </m:r>
          </m:e>
          <m:sub>
            <m:r>
              <w:rPr>
                <w:rFonts w:ascii="Cambria Math" w:hAnsi="Cambria Math"/>
                <w:szCs w:val="24"/>
              </w:rPr>
              <m:t>it</m:t>
            </m:r>
          </m:sub>
        </m:sSub>
      </m:oMath>
      <w:r w:rsidR="00A6102E" w:rsidRPr="00F11191">
        <w:rPr>
          <w:i/>
          <w:szCs w:val="24"/>
          <w:lang w:val="es-ES_tradnl"/>
        </w:rPr>
        <w:tab/>
      </w:r>
      <w:r w:rsidR="00A6102E" w:rsidRPr="00F11191">
        <w:rPr>
          <w:szCs w:val="24"/>
          <w:lang w:val="es-ES_tradnl"/>
        </w:rPr>
        <w:tab/>
      </w:r>
      <w:r w:rsidR="00A6102E" w:rsidRPr="00F11191">
        <w:rPr>
          <w:szCs w:val="24"/>
          <w:lang w:val="es-ES_tradnl"/>
        </w:rPr>
        <w:tab/>
      </w:r>
      <w:r w:rsidR="00A6102E" w:rsidRPr="00F11191">
        <w:rPr>
          <w:szCs w:val="24"/>
          <w:lang w:val="es-ES_tradnl"/>
        </w:rPr>
        <w:tab/>
      </w:r>
      <w:r w:rsidR="00A6102E" w:rsidRPr="00F11191">
        <w:rPr>
          <w:szCs w:val="24"/>
          <w:lang w:val="es-ES_tradnl"/>
        </w:rPr>
        <w:tab/>
      </w:r>
      <w:r w:rsidR="00A6102E" w:rsidRPr="00F11191">
        <w:rPr>
          <w:szCs w:val="24"/>
          <w:lang w:val="es-ES_tradnl"/>
        </w:rPr>
        <w:tab/>
      </w:r>
      <w:r w:rsidR="00A6102E" w:rsidRPr="00F11191">
        <w:rPr>
          <w:szCs w:val="24"/>
          <w:lang w:val="es-ES_tradnl"/>
        </w:rPr>
        <w:tab/>
      </w:r>
      <w:r w:rsidR="00F67525" w:rsidRPr="00F11191">
        <w:rPr>
          <w:szCs w:val="24"/>
          <w:lang w:val="es-ES_tradnl"/>
        </w:rPr>
        <w:t xml:space="preserve"> </w:t>
      </w:r>
      <w:r w:rsidR="00A6102E" w:rsidRPr="00F11191">
        <w:rPr>
          <w:szCs w:val="24"/>
          <w:lang w:val="es-ES_tradnl"/>
        </w:rPr>
        <w:t>(1)</w:t>
      </w:r>
    </w:p>
    <w:p w14:paraId="400F7D79" w14:textId="77777777" w:rsidR="006F5028" w:rsidRPr="00F11191" w:rsidRDefault="006F5028" w:rsidP="00383F3F">
      <w:r w:rsidRPr="00F11191">
        <w:t xml:space="preserve">Donde </w:t>
      </w:r>
      <w:r w:rsidRPr="00F11191">
        <w:fldChar w:fldCharType="begin"/>
      </w:r>
      <w:r w:rsidRPr="00F11191">
        <w:instrText xml:space="preserve"> QUOTE </w:instrText>
      </w:r>
      <m:oMath>
        <m:sSub>
          <m:sSubPr>
            <m:ctrlPr>
              <w:rPr>
                <w:rFonts w:ascii="Cambria Math" w:hAnsi="Cambria Math"/>
              </w:rPr>
            </m:ctrlPr>
          </m:sSubPr>
          <m:e>
            <m:r>
              <m:rPr>
                <m:sty m:val="p"/>
              </m:rPr>
              <w:rPr>
                <w:rFonts w:ascii="Cambria Math" w:hAnsi="Cambria Math"/>
                <w:lang w:val="es-ES"/>
              </w:rPr>
              <m:t>Y</m:t>
            </m:r>
          </m:e>
          <m:sub>
            <m:r>
              <m:rPr>
                <m:sty m:val="p"/>
              </m:rPr>
              <w:rPr>
                <w:rFonts w:ascii="Cambria Math" w:hAnsi="Cambria Math"/>
                <w:lang w:val="es-ES"/>
              </w:rPr>
              <m:t>it</m:t>
            </m:r>
          </m:sub>
        </m:sSub>
      </m:oMath>
      <w:r w:rsidRPr="00F11191">
        <w:instrText xml:space="preserve"> </w:instrText>
      </w:r>
      <w:r w:rsidRPr="00F11191">
        <w:fldChar w:fldCharType="end"/>
      </w:r>
      <w:r w:rsidRPr="00F11191">
        <w:t xml:space="preserve"> </w:t>
      </w:r>
      <m:oMath>
        <m:sSub>
          <m:sSubPr>
            <m:ctrlPr>
              <w:rPr>
                <w:rFonts w:ascii="Cambria Math" w:hAnsi="Cambria Math"/>
              </w:rPr>
            </m:ctrlPr>
          </m:sSubPr>
          <m:e>
            <m:r>
              <w:rPr>
                <w:rFonts w:ascii="Cambria Math" w:hAnsi="Cambria Math"/>
              </w:rPr>
              <m:t>Y</m:t>
            </m:r>
          </m:e>
          <m:sub>
            <m:r>
              <w:rPr>
                <w:rFonts w:ascii="Cambria Math" w:hAnsi="Cambria Math"/>
              </w:rPr>
              <m:t>it</m:t>
            </m:r>
          </m:sub>
        </m:sSub>
      </m:oMath>
      <w:r w:rsidR="003A75CB" w:rsidRPr="00F11191">
        <w:rPr>
          <w:position w:val="-11"/>
          <w:lang w:val="es-ES"/>
        </w:rPr>
        <w:t xml:space="preserve"> </w:t>
      </w:r>
      <w:r w:rsidRPr="00F11191">
        <w:t xml:space="preserve">es el indicador de resultado de la empresa </w:t>
      </w:r>
      <w:r w:rsidRPr="00F11191">
        <w:rPr>
          <w:i/>
          <w:iCs/>
        </w:rPr>
        <w:t xml:space="preserve">i </w:t>
      </w:r>
      <w:r w:rsidRPr="00F11191">
        <w:t xml:space="preserve">en el periodo </w:t>
      </w:r>
      <w:r w:rsidRPr="00F11191">
        <w:rPr>
          <w:i/>
          <w:iCs/>
        </w:rPr>
        <w:t>t</w:t>
      </w:r>
      <w:r w:rsidRPr="00F11191">
        <w:t xml:space="preserve">, </w:t>
      </w:r>
      <m:oMath>
        <m:sSub>
          <m:sSubPr>
            <m:ctrlPr>
              <w:rPr>
                <w:rFonts w:ascii="Cambria Math" w:hAnsi="Cambria Math"/>
              </w:rPr>
            </m:ctrlPr>
          </m:sSubPr>
          <m:e>
            <m:r>
              <w:rPr>
                <w:rFonts w:ascii="Cambria Math" w:hAnsi="Cambria Math"/>
              </w:rPr>
              <m:t>T</m:t>
            </m:r>
          </m:e>
          <m:sub>
            <m:r>
              <w:rPr>
                <w:rFonts w:ascii="Cambria Math" w:hAnsi="Cambria Math"/>
              </w:rPr>
              <m:t>it</m:t>
            </m:r>
          </m:sub>
        </m:sSub>
      </m:oMath>
      <w:r w:rsidRPr="00F11191">
        <w:t xml:space="preserve">es una variable dicotómica que toma el valor de 1 si la empresa </w:t>
      </w:r>
      <w:r w:rsidRPr="00F11191">
        <w:rPr>
          <w:i/>
        </w:rPr>
        <w:t>i</w:t>
      </w:r>
      <w:r w:rsidRPr="00F11191">
        <w:t xml:space="preserve"> ha recibido financiamiento </w:t>
      </w:r>
      <w:r w:rsidR="00490C34">
        <w:t xml:space="preserve">(ANR) </w:t>
      </w:r>
      <w:r w:rsidRPr="00F11191">
        <w:t xml:space="preserve">en el periodo t y 0 sino; </w:t>
      </w:r>
      <m:oMath>
        <m:sSub>
          <m:sSubPr>
            <m:ctrlPr>
              <w:rPr>
                <w:rFonts w:ascii="Cambria Math" w:hAnsi="Cambria Math"/>
              </w:rPr>
            </m:ctrlPr>
          </m:sSubPr>
          <m:e>
            <m:r>
              <w:rPr>
                <w:rFonts w:ascii="Cambria Math" w:hAnsi="Cambria Math"/>
              </w:rPr>
              <m:t>λ</m:t>
            </m:r>
          </m:e>
          <m:sub>
            <m:r>
              <w:rPr>
                <w:rFonts w:ascii="Cambria Math" w:hAnsi="Cambria Math"/>
              </w:rPr>
              <m:t>t</m:t>
            </m:r>
          </m:sub>
        </m:sSub>
      </m:oMath>
      <w:r w:rsidRPr="00F11191">
        <w:t xml:space="preserve"> son los efectos de tiempo comunes a todas las unidades del análisis; </w:t>
      </w:r>
      <m:oMath>
        <m:sSub>
          <m:sSubPr>
            <m:ctrlPr>
              <w:rPr>
                <w:rFonts w:ascii="Cambria Math" w:hAnsi="Cambria Math"/>
              </w:rPr>
            </m:ctrlPr>
          </m:sSubPr>
          <m:e>
            <m:r>
              <w:rPr>
                <w:rFonts w:ascii="Cambria Math" w:hAnsi="Cambria Math"/>
              </w:rPr>
              <m:t>X</m:t>
            </m:r>
          </m:e>
          <m:sub>
            <m:r>
              <w:rPr>
                <w:rFonts w:ascii="Cambria Math" w:hAnsi="Cambria Math"/>
              </w:rPr>
              <m:t>it</m:t>
            </m:r>
          </m:sub>
        </m:sSub>
      </m:oMath>
      <w:r w:rsidRPr="00F11191">
        <w:t xml:space="preserve"> es un vector de variables de control observables; </w:t>
      </w:r>
      <m:oMath>
        <m:sSub>
          <m:sSubPr>
            <m:ctrlPr>
              <w:rPr>
                <w:rFonts w:ascii="Cambria Math" w:hAnsi="Cambria Math"/>
              </w:rPr>
            </m:ctrlPr>
          </m:sSubPr>
          <m:e>
            <m:r>
              <w:rPr>
                <w:rFonts w:ascii="Cambria Math" w:hAnsi="Cambria Math"/>
              </w:rPr>
              <m:t>α</m:t>
            </m:r>
          </m:e>
          <m:sub>
            <m:r>
              <w:rPr>
                <w:rFonts w:ascii="Cambria Math" w:hAnsi="Cambria Math"/>
              </w:rPr>
              <m:t>i</m:t>
            </m:r>
          </m:sub>
        </m:sSub>
      </m:oMath>
      <w:r w:rsidRPr="00F11191">
        <w:t xml:space="preserve"> es el efecto fijo por empresa que controla por todas aquellas diferencias que varían entre empresas pero están fijas en el tiempo (productividad, región, etc.); y </w:t>
      </w:r>
      <m:oMath>
        <m:sSub>
          <m:sSubPr>
            <m:ctrlPr>
              <w:rPr>
                <w:rFonts w:ascii="Cambria Math" w:hAnsi="Cambria Math"/>
              </w:rPr>
            </m:ctrlPr>
          </m:sSubPr>
          <m:e>
            <m:r>
              <w:rPr>
                <w:rFonts w:ascii="Cambria Math" w:hAnsi="Cambria Math"/>
              </w:rPr>
              <m:t>ε</m:t>
            </m:r>
          </m:e>
          <m:sub>
            <m:r>
              <w:rPr>
                <w:rFonts w:ascii="Cambria Math" w:hAnsi="Cambria Math"/>
              </w:rPr>
              <m:t>it</m:t>
            </m:r>
          </m:sub>
        </m:sSub>
        <m:r>
          <w:rPr>
            <w:rFonts w:ascii="Cambria Math" w:hAnsi="Cambria Math"/>
            <w:lang w:val="es-ES"/>
          </w:rPr>
          <m:t xml:space="preserve"> </m:t>
        </m:r>
      </m:oMath>
      <w:r w:rsidRPr="00F11191">
        <w:t xml:space="preserve">es el termino de error que deberá ser agrupado a nivel de empresa. En esta especificación básica el efecto de haber participado en </w:t>
      </w:r>
      <w:r w:rsidR="00490C34">
        <w:t xml:space="preserve">el Componente I o en </w:t>
      </w:r>
      <w:r w:rsidRPr="00F11191">
        <w:t>una de las intervenciones del componente I</w:t>
      </w:r>
      <w:r w:rsidR="00AE49D7">
        <w:t>I</w:t>
      </w:r>
      <w:r w:rsidRPr="00F11191">
        <w:t xml:space="preserve"> </w:t>
      </w:r>
      <w:r w:rsidR="00490C34">
        <w:t xml:space="preserve">para apoyar infraestructuras productivas </w:t>
      </w:r>
      <w:r w:rsidRPr="00F11191">
        <w:t xml:space="preserve">será capturado por el coeficiente </w:t>
      </w:r>
      <m:oMath>
        <m:r>
          <w:rPr>
            <w:rFonts w:ascii="Cambria Math" w:hAnsi="Cambria Math"/>
          </w:rPr>
          <m:t>β</m:t>
        </m:r>
      </m:oMath>
      <w:r w:rsidRPr="00F11191">
        <w:t>.</w:t>
      </w:r>
    </w:p>
    <w:p w14:paraId="2D4D5FC7" w14:textId="77777777" w:rsidR="006F5028" w:rsidRPr="00F11191" w:rsidRDefault="006F5028" w:rsidP="00383F3F">
      <w:r w:rsidRPr="00F11191">
        <w:t xml:space="preserve">Un análisis más detallado de la efectividad de los diferentes instrumentos apoyados por </w:t>
      </w:r>
      <w:r w:rsidR="00490C34">
        <w:t>los</w:t>
      </w:r>
      <w:r w:rsidR="00490C34" w:rsidRPr="00F11191">
        <w:t xml:space="preserve"> </w:t>
      </w:r>
      <w:r w:rsidRPr="00F11191">
        <w:t>componente</w:t>
      </w:r>
      <w:r w:rsidR="00490C34">
        <w:t>s I y II</w:t>
      </w:r>
      <w:r w:rsidRPr="00F11191">
        <w:t xml:space="preserve"> podría ser estimado extendiendo el modelo econométrico a la siguiente especificación:</w:t>
      </w:r>
    </w:p>
    <w:p w14:paraId="0C602073" w14:textId="77777777" w:rsidR="00A6102E" w:rsidRPr="00F11191" w:rsidRDefault="00F84C15" w:rsidP="00383F3F">
      <m:oMath>
        <m:sSub>
          <m:sSubPr>
            <m:ctrlPr>
              <w:rPr>
                <w:rFonts w:ascii="Cambria Math" w:hAnsi="Cambria Math"/>
                <w:i/>
              </w:rPr>
            </m:ctrlPr>
          </m:sSubPr>
          <m:e>
            <m:r>
              <w:rPr>
                <w:rFonts w:ascii="Cambria Math" w:hAnsi="Cambria Math"/>
              </w:rPr>
              <m:t>Y</m:t>
            </m:r>
          </m:e>
          <m:sub>
            <m:r>
              <w:rPr>
                <w:rFonts w:ascii="Cambria Math" w:hAnsi="Cambria Math"/>
              </w:rPr>
              <m:t>it</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λ</m:t>
            </m:r>
          </m:e>
          <m:sub>
            <m:r>
              <w:rPr>
                <w:rFonts w:ascii="Cambria Math" w:hAnsi="Cambria Math"/>
              </w:rPr>
              <m:t>t</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β</m:t>
                </m:r>
              </m:e>
              <m:sub>
                <m:r>
                  <w:rPr>
                    <w:rFonts w:ascii="Cambria Math" w:hAnsi="Cambria Math"/>
                  </w:rPr>
                  <m:t>0</m:t>
                </m:r>
              </m:sub>
            </m:sSub>
            <m:r>
              <w:rPr>
                <w:rFonts w:ascii="Cambria Math" w:hAnsi="Cambria Math"/>
              </w:rPr>
              <m:t>T</m:t>
            </m:r>
          </m:e>
          <m:sub>
            <m:r>
              <w:rPr>
                <w:rFonts w:ascii="Cambria Math" w:hAnsi="Cambria Math"/>
              </w:rPr>
              <m:t>it</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I</m:t>
            </m:r>
          </m:e>
          <m:sub>
            <m:r>
              <w:rPr>
                <w:rFonts w:ascii="Cambria Math" w:hAnsi="Cambria Math"/>
              </w:rPr>
              <m:t>i</m:t>
            </m:r>
          </m:sub>
        </m:sSub>
        <m:sSub>
          <m:sSubPr>
            <m:ctrlPr>
              <w:rPr>
                <w:rFonts w:ascii="Cambria Math" w:hAnsi="Cambria Math"/>
                <w:i/>
              </w:rPr>
            </m:ctrlPr>
          </m:sSubPr>
          <m:e>
            <m:r>
              <w:rPr>
                <w:rFonts w:ascii="Cambria Math" w:hAnsi="Cambria Math"/>
              </w:rPr>
              <m:t>*T</m:t>
            </m:r>
          </m:e>
          <m:sub>
            <m:r>
              <w:rPr>
                <w:rFonts w:ascii="Cambria Math" w:hAnsi="Cambria Math"/>
              </w:rPr>
              <m:t>it</m:t>
            </m:r>
          </m:sub>
        </m:sSub>
        <m:r>
          <w:rPr>
            <w:rFonts w:ascii="Cambria Math" w:hAnsi="Cambria Math"/>
          </w:rPr>
          <m:t>+γ</m:t>
        </m:r>
        <m:sSub>
          <m:sSubPr>
            <m:ctrlPr>
              <w:rPr>
                <w:rFonts w:ascii="Cambria Math" w:hAnsi="Cambria Math"/>
                <w:i/>
              </w:rPr>
            </m:ctrlPr>
          </m:sSubPr>
          <m:e>
            <m:r>
              <w:rPr>
                <w:rFonts w:ascii="Cambria Math" w:hAnsi="Cambria Math"/>
              </w:rPr>
              <m:t>X</m:t>
            </m:r>
          </m:e>
          <m:sub>
            <m:r>
              <w:rPr>
                <w:rFonts w:ascii="Cambria Math" w:hAnsi="Cambria Math"/>
              </w:rPr>
              <m:t>it</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it</m:t>
            </m:r>
          </m:sub>
        </m:sSub>
      </m:oMath>
      <w:r w:rsidR="00A6102E" w:rsidRPr="00F11191">
        <w:tab/>
      </w:r>
      <w:r w:rsidR="00A6102E" w:rsidRPr="00F11191">
        <w:tab/>
      </w:r>
      <w:r w:rsidR="00A6102E" w:rsidRPr="00F11191">
        <w:tab/>
      </w:r>
      <w:r w:rsidR="00A6102E" w:rsidRPr="00F11191">
        <w:tab/>
        <w:t>(2)</w:t>
      </w:r>
    </w:p>
    <w:p w14:paraId="5EC9965F" w14:textId="77777777" w:rsidR="00A6102E" w:rsidRPr="00F11191" w:rsidRDefault="00A6102E" w:rsidP="00383F3F">
      <w:r w:rsidRPr="00F11191">
        <w:t xml:space="preserve">Donde </w:t>
      </w:r>
      <m:oMath>
        <m:sSub>
          <m:sSubPr>
            <m:ctrlPr>
              <w:rPr>
                <w:rFonts w:ascii="Cambria Math" w:hAnsi="Cambria Math"/>
              </w:rPr>
            </m:ctrlPr>
          </m:sSubPr>
          <m:e>
            <m:r>
              <w:rPr>
                <w:rFonts w:ascii="Cambria Math" w:hAnsi="Cambria Math"/>
              </w:rPr>
              <m:t>I</m:t>
            </m:r>
          </m:e>
          <m:sub>
            <m:r>
              <w:rPr>
                <w:rFonts w:ascii="Cambria Math" w:hAnsi="Cambria Math"/>
              </w:rPr>
              <m:t>i</m:t>
            </m:r>
          </m:sub>
        </m:sSub>
      </m:oMath>
      <w:r w:rsidRPr="00F11191">
        <w:t xml:space="preserve"> es un conjunto de variables dicotómicas que indican </w:t>
      </w:r>
      <w:r w:rsidR="006F5028" w:rsidRPr="00F11191">
        <w:t>de qué tipo de apoyo se trata</w:t>
      </w:r>
      <w:r w:rsidRPr="00F11191">
        <w:t xml:space="preserve">. En esta especificación básica el efecto de haber participado en las diferentes intervenciones </w:t>
      </w:r>
      <w:r w:rsidR="003A75CB" w:rsidRPr="00F11191">
        <w:t>del componente I</w:t>
      </w:r>
      <w:r w:rsidRPr="00F11191">
        <w:t xml:space="preserve"> </w:t>
      </w:r>
      <w:r w:rsidR="00490C34">
        <w:t xml:space="preserve">y II </w:t>
      </w:r>
      <w:r w:rsidRPr="00F11191">
        <w:t xml:space="preserve">será capturado por el coeficiente </w:t>
      </w:r>
      <w:r w:rsidR="006F5028" w:rsidRPr="00F11191">
        <w:t xml:space="preserve"> </w:t>
      </w:r>
      <m:oMath>
        <m:sSub>
          <m:sSubPr>
            <m:ctrlPr>
              <w:rPr>
                <w:rFonts w:ascii="Cambria Math" w:hAnsi="Cambria Math"/>
              </w:rPr>
            </m:ctrlPr>
          </m:sSubPr>
          <m:e>
            <m:r>
              <w:rPr>
                <w:rFonts w:ascii="Cambria Math" w:hAnsi="Cambria Math"/>
              </w:rPr>
              <m:t>β</m:t>
            </m:r>
          </m:e>
          <m:sub>
            <m:r>
              <w:rPr>
                <w:rFonts w:ascii="Cambria Math" w:hAnsi="Cambria Math"/>
                <w:lang w:val="es-ES"/>
              </w:rPr>
              <m:t>0</m:t>
            </m:r>
          </m:sub>
        </m:sSub>
        <m:sSub>
          <m:sSubPr>
            <m:ctrlPr>
              <w:rPr>
                <w:rFonts w:ascii="Cambria Math" w:hAnsi="Cambria Math"/>
              </w:rPr>
            </m:ctrlPr>
          </m:sSubPr>
          <m:e>
            <m:sSub>
              <m:sSubPr>
                <m:ctrlPr>
                  <w:rPr>
                    <w:rFonts w:ascii="Cambria Math" w:hAnsi="Cambria Math"/>
                  </w:rPr>
                </m:ctrlPr>
              </m:sSubPr>
              <m:e>
                <m:r>
                  <w:rPr>
                    <w:rFonts w:ascii="Cambria Math" w:hAnsi="Cambria Math"/>
                    <w:lang w:val="es-ES"/>
                  </w:rPr>
                  <m:t>+</m:t>
                </m:r>
                <m:r>
                  <w:rPr>
                    <w:rFonts w:ascii="Cambria Math" w:hAnsi="Cambria Math"/>
                  </w:rPr>
                  <m:t>β</m:t>
                </m:r>
              </m:e>
              <m:sub>
                <m:r>
                  <w:rPr>
                    <w:rFonts w:ascii="Cambria Math" w:hAnsi="Cambria Math"/>
                    <w:lang w:val="es-ES"/>
                  </w:rPr>
                  <m:t>1</m:t>
                </m:r>
              </m:sub>
            </m:sSub>
            <m:r>
              <w:rPr>
                <w:rFonts w:ascii="Cambria Math" w:hAnsi="Cambria Math"/>
              </w:rPr>
              <m:t>I</m:t>
            </m:r>
          </m:e>
          <m:sub>
            <m:r>
              <w:rPr>
                <w:rFonts w:ascii="Cambria Math" w:hAnsi="Cambria Math"/>
              </w:rPr>
              <m:t>i</m:t>
            </m:r>
          </m:sub>
        </m:sSub>
      </m:oMath>
      <w:r w:rsidRPr="00F11191">
        <w:t>.</w:t>
      </w:r>
    </w:p>
    <w:p w14:paraId="769A95FF" w14:textId="77777777" w:rsidR="00B016E8" w:rsidRPr="00F11191" w:rsidRDefault="00B016E8" w:rsidP="00383F3F">
      <w:r w:rsidRPr="00F11191">
        <w:t xml:space="preserve">En general, se necesita un tiempo para que los efectos de este tipo de programas se manifiesten en </w:t>
      </w:r>
      <w:r w:rsidR="00490C34">
        <w:t>el desempeño empresarial</w:t>
      </w:r>
      <w:r w:rsidRPr="00F11191">
        <w:t>. La realización del impacto puede requerir de un periodo de gestación luego de que el programa se implementó. Es por ello que una consideración adecuada del timing de los efectos es crucial en este tipo de evaluaciones de impacto, y no dar cuenta de este tema puede llevar a conclusiones y recomendaciones de política erróneas. Luego, podemos estimar efectos dinámicos del programa a partir del siguiente modelo:</w:t>
      </w:r>
    </w:p>
    <w:p w14:paraId="23794F86" w14:textId="77777777" w:rsidR="00F86D7E" w:rsidRPr="00F11191" w:rsidRDefault="00F84C15" w:rsidP="00383F3F">
      <m:oMath>
        <m:sSub>
          <m:sSubPr>
            <m:ctrlPr>
              <w:rPr>
                <w:rFonts w:ascii="Cambria Math" w:hAnsi="Cambria Math"/>
                <w:i/>
              </w:rPr>
            </m:ctrlPr>
          </m:sSubPr>
          <m:e>
            <m:r>
              <w:rPr>
                <w:rFonts w:ascii="Cambria Math" w:hAnsi="Cambria Math"/>
              </w:rPr>
              <m:t>Y</m:t>
            </m:r>
          </m:e>
          <m:sub>
            <m:r>
              <w:rPr>
                <w:rFonts w:ascii="Cambria Math" w:hAnsi="Cambria Math"/>
              </w:rPr>
              <m:t>i,t</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λ</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1it</m:t>
            </m:r>
          </m:sub>
        </m:sSub>
        <m:r>
          <w:rPr>
            <w:rFonts w:ascii="Cambria Math" w:hAnsi="Cambria Math"/>
          </w:rPr>
          <m:t>+</m:t>
        </m:r>
        <m:r>
          <w:rPr>
            <w:rFonts w:ascii="Cambria Math" w:hAnsi="Cambria Math" w:hint="eastAsia"/>
          </w:rPr>
          <m:t>…</m:t>
        </m:r>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kit</m:t>
            </m:r>
          </m:sub>
        </m:sSub>
        <m:r>
          <w:rPr>
            <w:rFonts w:ascii="Cambria Math" w:hAnsi="Cambria Math"/>
          </w:rPr>
          <m:t>+γ</m:t>
        </m:r>
        <m:sSub>
          <m:sSubPr>
            <m:ctrlPr>
              <w:rPr>
                <w:rFonts w:ascii="Cambria Math" w:hAnsi="Cambria Math"/>
                <w:i/>
              </w:rPr>
            </m:ctrlPr>
          </m:sSubPr>
          <m:e>
            <m:r>
              <w:rPr>
                <w:rFonts w:ascii="Cambria Math" w:hAnsi="Cambria Math"/>
              </w:rPr>
              <m:t>.X</m:t>
            </m:r>
          </m:e>
          <m:sub>
            <m:r>
              <w:rPr>
                <w:rFonts w:ascii="Cambria Math" w:hAnsi="Cambria Math"/>
              </w:rPr>
              <m:t>i,t</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it</m:t>
            </m:r>
          </m:sub>
        </m:sSub>
      </m:oMath>
      <w:r w:rsidR="00F86D7E" w:rsidRPr="00F11191">
        <w:rPr>
          <w:b/>
        </w:rPr>
        <w:t xml:space="preserve">  </w:t>
      </w:r>
      <w:r w:rsidR="00F67525" w:rsidRPr="00F11191">
        <w:t xml:space="preserve">      </w:t>
      </w:r>
      <w:r w:rsidR="00AE49D7">
        <w:tab/>
      </w:r>
      <w:r w:rsidR="00AE49D7">
        <w:tab/>
      </w:r>
      <w:r w:rsidR="00F86D7E" w:rsidRPr="00F11191">
        <w:t xml:space="preserve"> (3)</w:t>
      </w:r>
    </w:p>
    <w:p w14:paraId="7FEC9321" w14:textId="77777777" w:rsidR="00F86D7E" w:rsidRPr="00E6798C" w:rsidRDefault="00F86D7E" w:rsidP="00383F3F">
      <w:r w:rsidRPr="00E6798C">
        <w:t xml:space="preserve">donde  </w:t>
      </w:r>
      <m:oMath>
        <m:sSub>
          <m:sSubPr>
            <m:ctrlPr>
              <w:rPr>
                <w:rFonts w:ascii="Cambria Math" w:hAnsi="Cambria Math"/>
                <w:i/>
              </w:rPr>
            </m:ctrlPr>
          </m:sSubPr>
          <m:e>
            <m:r>
              <w:rPr>
                <w:rFonts w:ascii="Cambria Math" w:hAnsi="Cambria Math"/>
              </w:rPr>
              <m:t>C</m:t>
            </m:r>
          </m:e>
          <m:sub>
            <m:r>
              <w:rPr>
                <w:rFonts w:ascii="Cambria Math" w:hAnsi="Cambria Math"/>
              </w:rPr>
              <m:t>kit</m:t>
            </m:r>
          </m:sub>
        </m:sSub>
        <m:r>
          <w:rPr>
            <w:rFonts w:ascii="Cambria Math" w:hAnsi="Cambria Math"/>
          </w:rPr>
          <m:t xml:space="preserve"> </m:t>
        </m:r>
      </m:oMath>
      <w:r w:rsidRPr="00E6798C">
        <w:t>toma valor 1 si la empresa recibi</w:t>
      </w:r>
      <w:r w:rsidRPr="00E6798C">
        <w:rPr>
          <w:lang w:val="es-ES"/>
        </w:rPr>
        <w:t xml:space="preserve">ó el </w:t>
      </w:r>
      <w:r w:rsidR="00E24A51" w:rsidRPr="00E6798C">
        <w:rPr>
          <w:lang w:val="es-ES"/>
        </w:rPr>
        <w:t>programa</w:t>
      </w:r>
      <w:r w:rsidRPr="00E6798C">
        <w:rPr>
          <w:lang w:val="es-ES"/>
        </w:rPr>
        <w:t xml:space="preserve"> </w:t>
      </w:r>
      <w:r w:rsidRPr="00E6798C">
        <w:rPr>
          <w:i/>
        </w:rPr>
        <w:t>k</w:t>
      </w:r>
      <w:r w:rsidRPr="00E6798C">
        <w:t xml:space="preserve"> a</w:t>
      </w:r>
      <w:r w:rsidRPr="00E6798C">
        <w:rPr>
          <w:lang w:val="es-ES"/>
        </w:rPr>
        <w:t>ños antes</w:t>
      </w:r>
      <w:r w:rsidRPr="00E6798C">
        <w:t xml:space="preserve"> y 0 de otra manera.</w:t>
      </w:r>
    </w:p>
    <w:p w14:paraId="31D555D2" w14:textId="77777777" w:rsidR="00A6102E" w:rsidRPr="00F64C53" w:rsidRDefault="00A6102E" w:rsidP="00383F3F">
      <w:r w:rsidRPr="00F64C53">
        <w:t>Para fortalecer la credibilidad de los resultados conseguidos con la estimación de los modelos recién descriptos, la metodología de DD puede ser combinada con métodos de emparejamiento estadístico. En particular, el principal supuesto de identificación del modelo de DD es la ausencia de factores que varían en el tiempo y que afectan tanto la participación en el programa como los resultados que se quieren medir, lo que significa que todos los factores relevantes no observables tienen que ser constantes en el tiempo. En otras palabras, el modelo de DD requiere que, en ausencia del tratamiento, la variable de resultado para el grupo</w:t>
      </w:r>
      <w:r w:rsidR="006F5028" w:rsidRPr="00F64C53">
        <w:t xml:space="preserve"> de empresas beneficiarias y no beneficiarias</w:t>
      </w:r>
      <w:r w:rsidRPr="00F64C53">
        <w:t xml:space="preserve"> tenga la misma tendencia. A pesar de que este supuesto no se pueda testear, </w:t>
      </w:r>
      <w:r w:rsidRPr="00F64C53">
        <w:lastRenderedPageBreak/>
        <w:t>una práctica ampliamente aceptada en la literatura para fortalecer la credibilidad de este supuesto consiste en mostrar que estas tendencias eran iguales antes del periodo de tratamiento.</w:t>
      </w:r>
      <w:r w:rsidRPr="00F64C53">
        <w:rPr>
          <w:rStyle w:val="FootnoteReference"/>
          <w:szCs w:val="24"/>
        </w:rPr>
        <w:footnoteReference w:id="9"/>
      </w:r>
      <w:r w:rsidRPr="00F64C53">
        <w:t xml:space="preserve">   </w:t>
      </w:r>
    </w:p>
    <w:p w14:paraId="604A244A" w14:textId="77777777" w:rsidR="00A6102E" w:rsidRPr="00F64C53" w:rsidRDefault="00A6102E" w:rsidP="00383F3F">
      <w:r w:rsidRPr="00F64C53">
        <w:t>Por este motivo se utilizaran métodos de emparejamiento estadístico para identificar un grupo de empresas de control que sea similar a las empresas que reciben los beneficios del programa en todas las variables pre-tratamiento relevantes, incluyendo las tendencias pre-tratamiento de las variables de resultados. Más en detalle, considerado una cohorte específica de beneficiarios, se definirá el año anterior al tratamiento como el año base y por cada empresa en el grupo de beneficiarios y de control se estimará la probabilidad condicional de participar utilizando el siguiente modelo probabilístico:</w:t>
      </w:r>
    </w:p>
    <w:p w14:paraId="175F2445" w14:textId="77777777" w:rsidR="00A6102E" w:rsidRPr="00145825" w:rsidRDefault="001E4A5E" w:rsidP="00383F3F">
      <m:oMath>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it</m:t>
                </m:r>
              </m:sub>
            </m:sSub>
            <m:r>
              <m:rPr>
                <m:sty m:val="p"/>
              </m:rPr>
              <w:rPr>
                <w:rFonts w:ascii="Cambria Math" w:hAnsi="Cambria Math"/>
              </w:rPr>
              <m:t>=1|</m:t>
            </m:r>
            <m:sSub>
              <m:sSubPr>
                <m:ctrlPr>
                  <w:rPr>
                    <w:rFonts w:ascii="Cambria Math" w:hAnsi="Cambria Math"/>
                  </w:rPr>
                </m:ctrlPr>
              </m:sSubPr>
              <m:e>
                <m:r>
                  <w:rPr>
                    <w:rFonts w:ascii="Cambria Math" w:hAnsi="Cambria Math"/>
                  </w:rPr>
                  <m:t>Z</m:t>
                </m:r>
              </m:e>
              <m:sub>
                <m:r>
                  <w:rPr>
                    <w:rFonts w:ascii="Cambria Math" w:hAnsi="Cambria Math"/>
                  </w:rPr>
                  <m:t>it</m:t>
                </m:r>
              </m:sub>
            </m:sSub>
            <m:r>
              <m:rPr>
                <m:sty m:val="p"/>
              </m:rPr>
              <w:rPr>
                <w:rFonts w:ascii="Cambria Math" w:hAnsi="Cambria Math"/>
              </w:rPr>
              <m:t>,</m:t>
            </m:r>
            <m:sSubSup>
              <m:sSubSupPr>
                <m:ctrlPr>
                  <w:rPr>
                    <w:rFonts w:ascii="Cambria Math" w:hAnsi="Cambria Math"/>
                  </w:rPr>
                </m:ctrlPr>
              </m:sSubSupPr>
              <m:e>
                <m:r>
                  <w:rPr>
                    <w:rFonts w:ascii="Cambria Math" w:hAnsi="Cambria Math"/>
                  </w:rPr>
                  <m:t>Y</m:t>
                </m:r>
              </m:e>
              <m:sub>
                <m:r>
                  <w:rPr>
                    <w:rFonts w:ascii="Cambria Math" w:hAnsi="Cambria Math"/>
                  </w:rPr>
                  <m:t>it</m:t>
                </m:r>
              </m:sub>
              <m:sup>
                <m:r>
                  <w:rPr>
                    <w:rFonts w:ascii="Cambria Math" w:hAnsi="Cambria Math"/>
                  </w:rPr>
                  <m:t>l</m:t>
                </m:r>
              </m:sup>
            </m:sSubSup>
          </m:e>
        </m:d>
        <m:r>
          <m:rPr>
            <m:sty m:val="p"/>
          </m:rPr>
          <w:rPr>
            <w:rFonts w:ascii="Cambria Math" w:hAnsi="Cambria Math"/>
          </w:rPr>
          <m:t>=</m:t>
        </m:r>
        <m:r>
          <m:rPr>
            <m:sty m:val="p"/>
          </m:rPr>
          <w:rPr>
            <w:rFonts w:ascii="Cambria Math" w:hAnsi="Cambria Math" w:hint="eastAsia"/>
          </w:rPr>
          <m:t>Φ</m:t>
        </m:r>
        <m:d>
          <m:dPr>
            <m:ctrlPr>
              <w:rPr>
                <w:rFonts w:ascii="Cambria Math" w:hAnsi="Cambria Math"/>
              </w:rPr>
            </m:ctrlPr>
          </m:dPr>
          <m:e>
            <m:r>
              <w:rPr>
                <w:rFonts w:ascii="Cambria Math" w:hAnsi="Cambria Math"/>
              </w:rPr>
              <m:t>θ</m:t>
            </m:r>
            <m:sSub>
              <m:sSubPr>
                <m:ctrlPr>
                  <w:rPr>
                    <w:rFonts w:ascii="Cambria Math" w:hAnsi="Cambria Math"/>
                  </w:rPr>
                </m:ctrlPr>
              </m:sSubPr>
              <m:e>
                <m:r>
                  <w:rPr>
                    <w:rFonts w:ascii="Cambria Math" w:hAnsi="Cambria Math"/>
                  </w:rPr>
                  <m:t>Z</m:t>
                </m:r>
              </m:e>
              <m:sub>
                <m:r>
                  <w:rPr>
                    <w:rFonts w:ascii="Cambria Math" w:hAnsi="Cambria Math"/>
                  </w:rPr>
                  <m:t>it</m:t>
                </m:r>
              </m:sub>
            </m:sSub>
            <m:r>
              <m:rPr>
                <m:sty m:val="p"/>
              </m:rPr>
              <w:rPr>
                <w:rFonts w:ascii="Cambria Math" w:hAnsi="Cambria Math"/>
              </w:rPr>
              <m:t>+</m:t>
            </m:r>
            <m:r>
              <w:rPr>
                <w:rFonts w:ascii="Cambria Math" w:hAnsi="Cambria Math"/>
              </w:rPr>
              <m:t>λ</m:t>
            </m:r>
            <m:sSubSup>
              <m:sSubSupPr>
                <m:ctrlPr>
                  <w:rPr>
                    <w:rFonts w:ascii="Cambria Math" w:hAnsi="Cambria Math"/>
                  </w:rPr>
                </m:ctrlPr>
              </m:sSubSupPr>
              <m:e>
                <m:r>
                  <w:rPr>
                    <w:rFonts w:ascii="Cambria Math" w:hAnsi="Cambria Math"/>
                  </w:rPr>
                  <m:t>Y</m:t>
                </m:r>
              </m:e>
              <m:sub>
                <m:r>
                  <w:rPr>
                    <w:rFonts w:ascii="Cambria Math" w:hAnsi="Cambria Math"/>
                  </w:rPr>
                  <m:t>it</m:t>
                </m:r>
              </m:sub>
              <m:sup>
                <m:r>
                  <w:rPr>
                    <w:rFonts w:ascii="Cambria Math" w:hAnsi="Cambria Math"/>
                  </w:rPr>
                  <m:t>l</m:t>
                </m:r>
              </m:sup>
            </m:sSubSup>
          </m:e>
        </m:d>
      </m:oMath>
      <w:r w:rsidR="00196891" w:rsidRPr="00145825">
        <w:tab/>
      </w:r>
      <w:r w:rsidR="00196891" w:rsidRPr="00145825">
        <w:tab/>
        <w:t xml:space="preserve"> </w:t>
      </w:r>
      <w:r w:rsidR="00196891" w:rsidRPr="00145825">
        <w:tab/>
      </w:r>
      <w:r w:rsidR="00196891" w:rsidRPr="00145825">
        <w:tab/>
      </w:r>
      <w:r w:rsidR="00196891" w:rsidRPr="00145825">
        <w:tab/>
        <w:t>(4</w:t>
      </w:r>
      <w:r w:rsidR="00A6102E" w:rsidRPr="00145825">
        <w:t>)</w:t>
      </w:r>
    </w:p>
    <w:p w14:paraId="37FF286F" w14:textId="77777777" w:rsidR="00A6102E" w:rsidRDefault="00A6102E" w:rsidP="00383F3F">
      <w:r w:rsidRPr="00F64C53">
        <w:t xml:space="preserve">Donde Z es un vector de variables de control; </w:t>
      </w:r>
      <m:oMath>
        <m:sSup>
          <m:sSupPr>
            <m:ctrlPr>
              <w:rPr>
                <w:rFonts w:ascii="Cambria Math" w:hAnsi="Cambria Math"/>
                <w:i/>
              </w:rPr>
            </m:ctrlPr>
          </m:sSupPr>
          <m:e>
            <m:r>
              <w:rPr>
                <w:rFonts w:ascii="Cambria Math" w:hAnsi="Cambria Math"/>
              </w:rPr>
              <m:t>Y</m:t>
            </m:r>
          </m:e>
          <m:sup>
            <m:r>
              <w:rPr>
                <w:rFonts w:ascii="Cambria Math" w:hAnsi="Cambria Math"/>
              </w:rPr>
              <m:t>l</m:t>
            </m:r>
          </m:sup>
        </m:sSup>
      </m:oMath>
      <w:r w:rsidRPr="00F64C53">
        <w:t xml:space="preserve"> es un vector de </w:t>
      </w:r>
      <w:r w:rsidRPr="00F64C53">
        <w:rPr>
          <w:i/>
        </w:rPr>
        <w:t>k</w:t>
      </w:r>
      <w:r w:rsidRPr="00F64C53">
        <w:t xml:space="preserve"> </w:t>
      </w:r>
      <w:r w:rsidRPr="00F64C53">
        <w:rPr>
          <w:i/>
        </w:rPr>
        <w:t>lags</w:t>
      </w:r>
      <w:r w:rsidRPr="00F64C53">
        <w:t xml:space="preserve"> de la variable de resultado, </w:t>
      </w:r>
      <m:oMath>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it-1</m:t>
                </m:r>
              </m:sub>
            </m:sSub>
            <m:r>
              <w:rPr>
                <w:rFonts w:ascii="Cambria Math" w:hAnsi="Cambria Math"/>
              </w:rPr>
              <m:t>,</m:t>
            </m:r>
            <m:r>
              <w:rPr>
                <w:rFonts w:ascii="Cambria Math" w:hAnsi="Cambria Math" w:hint="eastAsia"/>
              </w:rPr>
              <m:t>…</m:t>
            </m:r>
            <m:sSub>
              <m:sSubPr>
                <m:ctrlPr>
                  <w:rPr>
                    <w:rFonts w:ascii="Cambria Math" w:hAnsi="Cambria Math"/>
                    <w:i/>
                  </w:rPr>
                </m:ctrlPr>
              </m:sSubPr>
              <m:e>
                <m:r>
                  <w:rPr>
                    <w:rFonts w:ascii="Cambria Math" w:hAnsi="Cambria Math"/>
                  </w:rPr>
                  <m:t>Y</m:t>
                </m:r>
              </m:e>
              <m:sub>
                <m:r>
                  <w:rPr>
                    <w:rFonts w:ascii="Cambria Math" w:hAnsi="Cambria Math"/>
                  </w:rPr>
                  <m:t>it-k</m:t>
                </m:r>
              </m:sub>
            </m:sSub>
          </m:e>
        </m:d>
      </m:oMath>
      <w:r w:rsidRPr="00F64C53">
        <w:t xml:space="preserve">, y </w:t>
      </w:r>
      <m:oMath>
        <m:r>
          <m:rPr>
            <m:sty m:val="p"/>
          </m:rPr>
          <w:rPr>
            <w:rFonts w:ascii="Cambria Math" w:hAnsi="Cambria Math" w:hint="eastAsia"/>
          </w:rPr>
          <m:t>Φ</m:t>
        </m:r>
      </m:oMath>
      <w:r w:rsidRPr="00F64C53">
        <w:t xml:space="preserve"> es la estándar función cumulativa de distribución normal. Después, se utilizará un algoritmo de emparejamiento estadísticos para identificar el grupo de control más similar posible en base a las probabilidades condicionales estimadas (o </w:t>
      </w:r>
      <w:r w:rsidRPr="00F64C53">
        <w:rPr>
          <w:i/>
        </w:rPr>
        <w:t>propensity score</w:t>
      </w:r>
      <w:r w:rsidRPr="00F64C53">
        <w:t>). Finalmente, se vo</w:t>
      </w:r>
      <w:r w:rsidR="006D14C8" w:rsidRPr="00F64C53">
        <w:t xml:space="preserve">lverá a estimar los modelos 1, </w:t>
      </w:r>
      <w:r w:rsidRPr="00F64C53">
        <w:t>2</w:t>
      </w:r>
      <w:r w:rsidR="006D14C8" w:rsidRPr="00F64C53">
        <w:t xml:space="preserve"> y 3</w:t>
      </w:r>
      <w:r w:rsidRPr="00F64C53">
        <w:t xml:space="preserve"> utilizando las empresas tratadas y las empresas de control identificadas por medio del proceso de emparejamiento.</w:t>
      </w:r>
      <w:r w:rsidRPr="00F64C53">
        <w:rPr>
          <w:rStyle w:val="FootnoteReference"/>
          <w:szCs w:val="24"/>
        </w:rPr>
        <w:footnoteReference w:id="10"/>
      </w:r>
      <w:r w:rsidRPr="00AD4BF9">
        <w:t xml:space="preserve">  </w:t>
      </w:r>
    </w:p>
    <w:p w14:paraId="52BEFB19" w14:textId="77777777" w:rsidR="00C04CBF" w:rsidRPr="00AD4BF9" w:rsidRDefault="00C04CBF" w:rsidP="00383F3F">
      <w:r>
        <w:t>Adicionalmente, a manera de ejercicio de robustez, se empleará la técnica de emparejamiento propuesta por Alvarez, Crespi y Volpe (2012). Esta técnica consiste en estimar para las probabilidades condicionales de tratamiento en cada período considerando los valores rezagados de la variable de resultado y las variables de control para luego emparejar a las firmas con base en esas probabilidades y luego tomar la diferencia de las variaciones de la variable de resultado los grupos emparejados a la manera del método descrito antes.</w:t>
      </w:r>
    </w:p>
    <w:p w14:paraId="03B3C095" w14:textId="77777777" w:rsidR="004377DD" w:rsidRPr="0001717F" w:rsidRDefault="00C45D64" w:rsidP="009B1FF3">
      <w:pPr>
        <w:rPr>
          <w:lang w:val="es-ES"/>
        </w:rPr>
      </w:pPr>
      <w:r>
        <w:rPr>
          <w:noProof/>
          <w:lang w:val="es-AR" w:eastAsia="es-AR"/>
        </w:rPr>
        <w:t xml:space="preserve">Una metodologia adicional que se podra utilizar es la </w:t>
      </w:r>
      <w:r w:rsidR="009A522E" w:rsidRPr="009A522E">
        <w:rPr>
          <w:szCs w:val="22"/>
          <w:u w:val="single"/>
        </w:rPr>
        <w:t>metodología</w:t>
      </w:r>
      <w:r w:rsidR="004377DD" w:rsidRPr="009B1FF3">
        <w:rPr>
          <w:szCs w:val="22"/>
          <w:u w:val="single"/>
        </w:rPr>
        <w:t xml:space="preserve"> de Control Sintético (SC)</w:t>
      </w:r>
      <w:r w:rsidRPr="00C45D64">
        <w:rPr>
          <w:lang w:val="es-ES"/>
        </w:rPr>
        <w:t xml:space="preserve"> </w:t>
      </w:r>
      <w:r>
        <w:rPr>
          <w:lang w:val="es-ES"/>
        </w:rPr>
        <w:t>(Abadie et al., 2010, 2011)</w:t>
      </w:r>
      <w:r>
        <w:rPr>
          <w:szCs w:val="22"/>
          <w:u w:val="single"/>
        </w:rPr>
        <w:t xml:space="preserve">, que se </w:t>
      </w:r>
      <w:r w:rsidR="004377DD">
        <w:rPr>
          <w:lang w:val="es-ES"/>
        </w:rPr>
        <w:t xml:space="preserve">basa en la idea que la combinación de unidades (por ej. municipios, regiones, provincias, </w:t>
      </w:r>
      <w:r>
        <w:rPr>
          <w:lang w:val="es-ES"/>
        </w:rPr>
        <w:t>países</w:t>
      </w:r>
      <w:r w:rsidR="004377DD">
        <w:rPr>
          <w:lang w:val="es-ES"/>
        </w:rPr>
        <w:t>) para la construcción de un grupo de control para la unidad/es expuestas al tratamiento del programa usualmente brinda una mejor comparación que cualquier unidad por si sola. Dado que un control sintético es un promedio ponderado de las unidades de control disponibles, este método hace explícito: la contribución relativa de cada unidad de control al contrafactual de interés, y la similitud entre la unidad afectada por la intervención y el control sintético en términos de los resultados pre-tratamiento y otras variables predictores de los resultados post-tratamiento.</w:t>
      </w:r>
    </w:p>
    <w:p w14:paraId="21EFC715" w14:textId="77777777" w:rsidR="004377DD" w:rsidRDefault="004377DD" w:rsidP="009B1FF3">
      <w:pPr>
        <w:rPr>
          <w:rFonts w:ascii="Times" w:hAnsi="Times"/>
          <w:lang w:val="es-ES"/>
        </w:rPr>
      </w:pPr>
      <w:r w:rsidRPr="00435F8B">
        <w:rPr>
          <w:rFonts w:ascii="Times" w:hAnsi="Times"/>
          <w:lang w:val="es-ES"/>
        </w:rPr>
        <w:t>La</w:t>
      </w:r>
      <w:r>
        <w:rPr>
          <w:rFonts w:ascii="Times" w:hAnsi="Times"/>
          <w:lang w:val="es-ES"/>
        </w:rPr>
        <w:t xml:space="preserve"> selección de características (o predictores) </w:t>
      </w:r>
      <w:r w:rsidRPr="00435F8B">
        <w:rPr>
          <w:rFonts w:ascii="Times" w:hAnsi="Times"/>
          <w:i/>
          <w:lang w:val="es-ES"/>
        </w:rPr>
        <w:t>X</w:t>
      </w:r>
      <w:r>
        <w:rPr>
          <w:rFonts w:ascii="Times" w:hAnsi="Times"/>
          <w:lang w:val="es-ES"/>
        </w:rPr>
        <w:t xml:space="preserve"> a partir de las cuales la unidad de comparación es elegida se basa en los estándares de literatura. Siguiendo a Abadie et al. </w:t>
      </w:r>
      <w:r w:rsidRPr="00435F8B">
        <w:rPr>
          <w:rFonts w:ascii="Times" w:hAnsi="Times"/>
          <w:i/>
          <w:lang w:val="es-ES"/>
        </w:rPr>
        <w:t>X</w:t>
      </w:r>
      <w:r>
        <w:rPr>
          <w:rFonts w:ascii="Times" w:hAnsi="Times"/>
          <w:lang w:val="es-ES"/>
        </w:rPr>
        <w:t xml:space="preserve"> es particionado en </w:t>
      </w:r>
      <w:r w:rsidRPr="00435F8B">
        <w:rPr>
          <w:rFonts w:ascii="Times" w:hAnsi="Times"/>
          <w:i/>
          <w:lang w:val="es-ES"/>
        </w:rPr>
        <w:t>X</w:t>
      </w:r>
      <w:r w:rsidRPr="00435F8B">
        <w:rPr>
          <w:rFonts w:ascii="Times" w:hAnsi="Times"/>
          <w:i/>
          <w:vertAlign w:val="subscript"/>
          <w:lang w:val="es-ES"/>
        </w:rPr>
        <w:t>1</w:t>
      </w:r>
      <w:r>
        <w:rPr>
          <w:rFonts w:ascii="Times" w:hAnsi="Times"/>
          <w:i/>
          <w:vertAlign w:val="subscript"/>
          <w:lang w:val="es-ES"/>
        </w:rPr>
        <w:t xml:space="preserve"> </w:t>
      </w:r>
      <w:r>
        <w:rPr>
          <w:rFonts w:ascii="Times" w:hAnsi="Times"/>
          <w:lang w:val="es-ES"/>
        </w:rPr>
        <w:t xml:space="preserve">y </w:t>
      </w:r>
      <w:r w:rsidRPr="00435F8B">
        <w:rPr>
          <w:rFonts w:ascii="Times" w:hAnsi="Times"/>
          <w:i/>
          <w:lang w:val="es-ES"/>
        </w:rPr>
        <w:t>X</w:t>
      </w:r>
      <w:r>
        <w:rPr>
          <w:rFonts w:ascii="Times" w:hAnsi="Times"/>
          <w:i/>
          <w:vertAlign w:val="subscript"/>
          <w:lang w:val="es-ES"/>
        </w:rPr>
        <w:t>0</w:t>
      </w:r>
      <w:r>
        <w:rPr>
          <w:rFonts w:ascii="Times" w:hAnsi="Times"/>
          <w:i/>
          <w:lang w:val="es-ES"/>
        </w:rPr>
        <w:t xml:space="preserve"> </w:t>
      </w:r>
      <w:r w:rsidRPr="00435F8B">
        <w:rPr>
          <w:rFonts w:ascii="Times" w:hAnsi="Times"/>
          <w:lang w:val="es-ES"/>
        </w:rPr>
        <w:t>para referirse</w:t>
      </w:r>
      <w:r>
        <w:rPr>
          <w:rFonts w:ascii="Times" w:hAnsi="Times"/>
          <w:lang w:val="es-ES"/>
        </w:rPr>
        <w:t xml:space="preserve"> a las unidades tratadas o unidades no tratadas, respectivamente. Luego, el vector óptimo de ponderación (</w:t>
      </w:r>
      <w:r w:rsidRPr="00435F8B">
        <w:rPr>
          <w:rFonts w:ascii="Times" w:hAnsi="Times"/>
          <w:i/>
          <w:lang w:val="es-ES"/>
        </w:rPr>
        <w:t>W*</w:t>
      </w:r>
      <w:r>
        <w:rPr>
          <w:rFonts w:ascii="Times" w:hAnsi="Times"/>
          <w:lang w:val="es-ES"/>
        </w:rPr>
        <w:t>) es elegido tal que minimice</w:t>
      </w:r>
    </w:p>
    <w:p w14:paraId="06B537E4" w14:textId="77777777" w:rsidR="004377DD" w:rsidRPr="00683D34" w:rsidRDefault="004377DD" w:rsidP="009B1FF3">
      <w:pPr>
        <w:rPr>
          <w:sz w:val="20"/>
          <w:lang w:val="es-ES"/>
        </w:rPr>
      </w:pPr>
      <w:r>
        <w:rPr>
          <w:rFonts w:ascii="Times" w:hAnsi="Times"/>
          <w:sz w:val="22"/>
          <w:szCs w:val="22"/>
          <w:lang w:val="es-ES"/>
        </w:rPr>
        <w:t xml:space="preserve"> </w:t>
      </w:r>
      <m:oMath>
        <m:r>
          <m:rPr>
            <m:sty m:val="p"/>
          </m:rPr>
          <w:rPr>
            <w:rFonts w:ascii="Cambria Math" w:hAnsi="Cambria Math"/>
            <w:lang w:val="es-ES"/>
          </w:rPr>
          <m:t>(</m:t>
        </m:r>
        <m:sSub>
          <m:sSubPr>
            <m:ctrlPr>
              <w:rPr>
                <w:rFonts w:ascii="Cambria Math" w:hAnsi="Cambria Math"/>
              </w:rPr>
            </m:ctrlPr>
          </m:sSubPr>
          <m:e>
            <m:r>
              <w:rPr>
                <w:rFonts w:ascii="Cambria Math" w:hAnsi="Cambria Math"/>
                <w:lang w:val="es-ES"/>
              </w:rPr>
              <m:t>X</m:t>
            </m:r>
          </m:e>
          <m:sub>
            <m:r>
              <m:rPr>
                <m:sty m:val="p"/>
              </m:rPr>
              <w:rPr>
                <w:rFonts w:ascii="Cambria Math" w:hAnsi="Cambria Math"/>
                <w:lang w:val="es-ES"/>
              </w:rPr>
              <m:t>1</m:t>
            </m:r>
          </m:sub>
        </m:sSub>
        <m:r>
          <m:rPr>
            <m:sty m:val="p"/>
          </m:rPr>
          <w:rPr>
            <w:rFonts w:ascii="Cambria Math" w:hAnsi="Cambria Math"/>
            <w:lang w:val="es-ES"/>
          </w:rPr>
          <m:t>-</m:t>
        </m:r>
        <m:sSub>
          <m:sSubPr>
            <m:ctrlPr>
              <w:rPr>
                <w:rFonts w:ascii="Cambria Math" w:hAnsi="Cambria Math"/>
              </w:rPr>
            </m:ctrlPr>
          </m:sSubPr>
          <m:e>
            <m:r>
              <w:rPr>
                <w:rFonts w:ascii="Cambria Math" w:hAnsi="Cambria Math"/>
                <w:lang w:val="es-ES"/>
              </w:rPr>
              <m:t>X</m:t>
            </m:r>
          </m:e>
          <m:sub>
            <m:r>
              <m:rPr>
                <m:sty m:val="p"/>
              </m:rPr>
              <w:rPr>
                <w:rFonts w:ascii="Cambria Math" w:hAnsi="Cambria Math"/>
                <w:lang w:val="es-ES"/>
              </w:rPr>
              <m:t>0</m:t>
            </m:r>
          </m:sub>
        </m:sSub>
        <m:r>
          <w:rPr>
            <w:rFonts w:ascii="Cambria Math" w:hAnsi="Cambria Math"/>
            <w:lang w:val="es-ES"/>
          </w:rPr>
          <m:t>W</m:t>
        </m:r>
        <m:r>
          <m:rPr>
            <m:sty m:val="p"/>
          </m:rPr>
          <w:rPr>
            <w:rFonts w:ascii="Cambria Math" w:hAnsi="Cambria Math"/>
            <w:lang w:val="es-ES"/>
          </w:rPr>
          <m:t>)'</m:t>
        </m:r>
        <m:r>
          <w:rPr>
            <w:rFonts w:ascii="Cambria Math" w:hAnsi="Cambria Math"/>
            <w:lang w:val="es-ES"/>
          </w:rPr>
          <m:t>V</m:t>
        </m:r>
        <m:r>
          <m:rPr>
            <m:sty m:val="p"/>
          </m:rPr>
          <w:rPr>
            <w:rFonts w:ascii="Cambria Math" w:hAnsi="Cambria Math"/>
            <w:lang w:val="es-ES"/>
          </w:rPr>
          <m:t>(</m:t>
        </m:r>
        <m:sSub>
          <m:sSubPr>
            <m:ctrlPr>
              <w:rPr>
                <w:rFonts w:ascii="Cambria Math" w:hAnsi="Cambria Math"/>
              </w:rPr>
            </m:ctrlPr>
          </m:sSubPr>
          <m:e>
            <m:r>
              <w:rPr>
                <w:rFonts w:ascii="Cambria Math" w:hAnsi="Cambria Math"/>
                <w:lang w:val="es-ES"/>
              </w:rPr>
              <m:t>X</m:t>
            </m:r>
          </m:e>
          <m:sub>
            <m:r>
              <m:rPr>
                <m:sty m:val="p"/>
              </m:rPr>
              <w:rPr>
                <w:rFonts w:ascii="Cambria Math" w:hAnsi="Cambria Math"/>
                <w:lang w:val="es-ES"/>
              </w:rPr>
              <m:t>1</m:t>
            </m:r>
          </m:sub>
        </m:sSub>
        <m:r>
          <m:rPr>
            <m:sty m:val="p"/>
          </m:rPr>
          <w:rPr>
            <w:rFonts w:ascii="Cambria Math" w:hAnsi="Cambria Math"/>
            <w:lang w:val="es-ES"/>
          </w:rPr>
          <m:t>-</m:t>
        </m:r>
        <m:sSub>
          <m:sSubPr>
            <m:ctrlPr>
              <w:rPr>
                <w:rFonts w:ascii="Cambria Math" w:hAnsi="Cambria Math"/>
              </w:rPr>
            </m:ctrlPr>
          </m:sSubPr>
          <m:e>
            <m:r>
              <w:rPr>
                <w:rFonts w:ascii="Cambria Math" w:hAnsi="Cambria Math"/>
                <w:lang w:val="es-ES"/>
              </w:rPr>
              <m:t>X</m:t>
            </m:r>
          </m:e>
          <m:sub>
            <m:r>
              <m:rPr>
                <m:sty m:val="p"/>
              </m:rPr>
              <w:rPr>
                <w:rFonts w:ascii="Cambria Math" w:hAnsi="Cambria Math"/>
                <w:lang w:val="es-ES"/>
              </w:rPr>
              <m:t>0</m:t>
            </m:r>
          </m:sub>
        </m:sSub>
        <m:r>
          <w:rPr>
            <w:rFonts w:ascii="Cambria Math" w:hAnsi="Cambria Math"/>
            <w:lang w:val="es-ES"/>
          </w:rPr>
          <m:t>W</m:t>
        </m:r>
        <m:r>
          <m:rPr>
            <m:sty m:val="p"/>
          </m:rPr>
          <w:rPr>
            <w:rFonts w:ascii="Cambria Math" w:hAnsi="Cambria Math"/>
            <w:lang w:val="es-ES"/>
          </w:rPr>
          <m:t>)</m:t>
        </m:r>
      </m:oMath>
      <w:r w:rsidRPr="008B3C6C">
        <w:rPr>
          <w:lang w:val="es-ES"/>
        </w:rPr>
        <w:t xml:space="preserve"> </w:t>
      </w:r>
      <w:r w:rsidRPr="004A6D5D">
        <w:rPr>
          <w:rFonts w:ascii="Times" w:hAnsi="Times"/>
          <w:sz w:val="22"/>
          <w:szCs w:val="22"/>
          <w:lang w:val="es-ES"/>
        </w:rPr>
        <w:t>sujeto</w:t>
      </w:r>
      <w:r>
        <w:rPr>
          <w:rFonts w:ascii="Times" w:hAnsi="Times"/>
          <w:sz w:val="22"/>
          <w:szCs w:val="22"/>
          <w:lang w:val="es-ES"/>
        </w:rPr>
        <w:t xml:space="preserve"> a que </w:t>
      </w:r>
      <m:oMath>
        <m:sSub>
          <m:sSubPr>
            <m:ctrlPr>
              <w:rPr>
                <w:rFonts w:ascii="Cambria Math" w:hAnsi="Cambria Math"/>
              </w:rPr>
            </m:ctrlPr>
          </m:sSubPr>
          <m:e>
            <m:r>
              <w:rPr>
                <w:rFonts w:ascii="Cambria Math" w:hAnsi="Cambria Math"/>
              </w:rPr>
              <m:t>w</m:t>
            </m:r>
          </m:e>
          <m:sub>
            <m:r>
              <w:rPr>
                <w:rFonts w:ascii="Cambria Math" w:hAnsi="Cambria Math"/>
              </w:rPr>
              <m:t>j</m:t>
            </m:r>
          </m:sub>
        </m:sSub>
        <m:r>
          <m:rPr>
            <m:sty m:val="p"/>
          </m:rPr>
          <w:rPr>
            <w:rFonts w:ascii="Cambria Math" w:hAnsi="Cambria Math"/>
            <w:lang w:val="es-ES"/>
          </w:rPr>
          <m:t>≥0</m:t>
        </m:r>
      </m:oMath>
      <w:r w:rsidRPr="003C7DD8">
        <w:rPr>
          <w:rFonts w:ascii="Times" w:hAnsi="Times"/>
          <w:lang w:val="es-ES"/>
        </w:rPr>
        <w:t xml:space="preserve"> y </w:t>
      </w:r>
      <m:oMath>
        <m:nary>
          <m:naryPr>
            <m:chr m:val="∑"/>
            <m:limLoc m:val="subSup"/>
            <m:supHide m:val="1"/>
            <m:ctrlPr>
              <w:rPr>
                <w:rFonts w:ascii="Cambria Math" w:hAnsi="Cambria Math"/>
              </w:rPr>
            </m:ctrlPr>
          </m:naryPr>
          <m:sub>
            <m:r>
              <w:rPr>
                <w:rFonts w:ascii="Cambria Math" w:hAnsi="Cambria Math"/>
              </w:rPr>
              <m:t>j</m:t>
            </m:r>
          </m:sub>
          <m:sup/>
          <m:e>
            <m:sSub>
              <m:sSubPr>
                <m:ctrlPr>
                  <w:rPr>
                    <w:rFonts w:ascii="Cambria Math" w:hAnsi="Cambria Math"/>
                  </w:rPr>
                </m:ctrlPr>
              </m:sSubPr>
              <m:e>
                <m:r>
                  <w:rPr>
                    <w:rFonts w:ascii="Cambria Math" w:hAnsi="Cambria Math"/>
                  </w:rPr>
                  <m:t>w</m:t>
                </m:r>
              </m:e>
              <m:sub>
                <m:r>
                  <w:rPr>
                    <w:rFonts w:ascii="Cambria Math" w:hAnsi="Cambria Math"/>
                  </w:rPr>
                  <m:t>j</m:t>
                </m:r>
              </m:sub>
            </m:sSub>
          </m:e>
        </m:nary>
      </m:oMath>
      <w:r w:rsidRPr="003C7DD8">
        <w:rPr>
          <w:lang w:val="es-ES"/>
        </w:rPr>
        <w:t>=1</w:t>
      </w:r>
      <w:r>
        <w:rPr>
          <w:lang w:val="es-ES"/>
        </w:rPr>
        <w:t xml:space="preserve"> </w:t>
      </w:r>
      <w:r w:rsidRPr="00683D34">
        <w:rPr>
          <w:sz w:val="20"/>
          <w:lang w:val="es-ES"/>
        </w:rPr>
        <w:t xml:space="preserve">(siendo j indicador de unidad de control) </w:t>
      </w:r>
    </w:p>
    <w:p w14:paraId="712DCF56" w14:textId="77777777" w:rsidR="004377DD" w:rsidRDefault="004377DD" w:rsidP="009B1FF3">
      <w:pPr>
        <w:rPr>
          <w:lang w:val="es-ES"/>
        </w:rPr>
      </w:pPr>
      <w:r>
        <w:rPr>
          <w:lang w:val="es-ES"/>
        </w:rPr>
        <w:lastRenderedPageBreak/>
        <w:t xml:space="preserve">Estas dos condiciones restringen el problema a encontrar una unidad de comparación solo si </w:t>
      </w:r>
      <w:r w:rsidRPr="00683D34">
        <w:rPr>
          <w:lang w:val="es-ES"/>
        </w:rPr>
        <w:t>X</w:t>
      </w:r>
      <w:r w:rsidRPr="00683D34">
        <w:rPr>
          <w:vertAlign w:val="subscript"/>
          <w:lang w:val="es-ES"/>
        </w:rPr>
        <w:t>1</w:t>
      </w:r>
      <w:r w:rsidRPr="00683D34">
        <w:rPr>
          <w:lang w:val="es-ES"/>
        </w:rPr>
        <w:t xml:space="preserve"> </w:t>
      </w:r>
      <w:r>
        <w:rPr>
          <w:lang w:val="es-ES"/>
        </w:rPr>
        <w:t xml:space="preserve">se encuentra en el soporte de los predictores, evitando extrapolaciones. Por otro lado, </w:t>
      </w:r>
      <w:r w:rsidRPr="006945DA">
        <w:rPr>
          <w:lang w:val="es-ES"/>
        </w:rPr>
        <w:t>V</w:t>
      </w:r>
      <w:r>
        <w:rPr>
          <w:lang w:val="es-ES"/>
        </w:rPr>
        <w:t xml:space="preserve"> representa la matriz diagonal, cuyos elementos reflejan la importancia de cada predictor. Siguiendo a Abadie et al. una opción optima de </w:t>
      </w:r>
      <w:r w:rsidRPr="00683D34">
        <w:rPr>
          <w:lang w:val="es-ES"/>
        </w:rPr>
        <w:t>V</w:t>
      </w:r>
      <w:r>
        <w:rPr>
          <w:lang w:val="es-ES"/>
        </w:rPr>
        <w:t xml:space="preserve"> asigna pesos que minimizan el error cuadrático medio del estimador del control sintético, es decir, la esperanza d</w:t>
      </w:r>
      <w:r w:rsidRPr="004A6D5D">
        <w:rPr>
          <w:lang w:val="es-ES"/>
        </w:rPr>
        <w:t xml:space="preserve">e </w:t>
      </w:r>
      <m:oMath>
        <m:r>
          <m:rPr>
            <m:sty m:val="p"/>
          </m:rPr>
          <w:rPr>
            <w:rFonts w:ascii="Cambria Math" w:hAnsi="Cambria Math"/>
            <w:lang w:val="es-ES"/>
          </w:rPr>
          <m:t>(</m:t>
        </m:r>
        <m:sSub>
          <m:sSubPr>
            <m:ctrlPr>
              <w:rPr>
                <w:rFonts w:ascii="Cambria Math" w:hAnsi="Cambria Math"/>
              </w:rPr>
            </m:ctrlPr>
          </m:sSubPr>
          <m:e>
            <m:r>
              <w:rPr>
                <w:rFonts w:ascii="Cambria Math" w:hAnsi="Cambria Math"/>
                <w:lang w:val="es-ES"/>
              </w:rPr>
              <m:t>X</m:t>
            </m:r>
          </m:e>
          <m:sub>
            <m:r>
              <m:rPr>
                <m:sty m:val="p"/>
              </m:rPr>
              <w:rPr>
                <w:rFonts w:ascii="Cambria Math" w:hAnsi="Cambria Math"/>
                <w:lang w:val="es-ES"/>
              </w:rPr>
              <m:t>1</m:t>
            </m:r>
          </m:sub>
        </m:sSub>
        <m:r>
          <m:rPr>
            <m:sty m:val="p"/>
          </m:rPr>
          <w:rPr>
            <w:rFonts w:ascii="Cambria Math" w:hAnsi="Cambria Math"/>
            <w:lang w:val="es-ES"/>
          </w:rPr>
          <m:t>-</m:t>
        </m:r>
        <m:sSub>
          <m:sSubPr>
            <m:ctrlPr>
              <w:rPr>
                <w:rFonts w:ascii="Cambria Math" w:hAnsi="Cambria Math"/>
              </w:rPr>
            </m:ctrlPr>
          </m:sSubPr>
          <m:e>
            <m:r>
              <w:rPr>
                <w:rFonts w:ascii="Cambria Math" w:hAnsi="Cambria Math"/>
                <w:lang w:val="es-ES"/>
              </w:rPr>
              <m:t>X</m:t>
            </m:r>
          </m:e>
          <m:sub>
            <m:r>
              <m:rPr>
                <m:sty m:val="p"/>
              </m:rPr>
              <w:rPr>
                <w:rFonts w:ascii="Cambria Math" w:hAnsi="Cambria Math"/>
                <w:lang w:val="es-ES"/>
              </w:rPr>
              <m:t>0</m:t>
            </m:r>
          </m:sub>
        </m:sSub>
        <m:r>
          <w:rPr>
            <w:rFonts w:ascii="Cambria Math" w:hAnsi="Cambria Math"/>
            <w:lang w:val="es-ES"/>
          </w:rPr>
          <m:t>W</m:t>
        </m:r>
        <m:r>
          <m:rPr>
            <m:sty m:val="p"/>
          </m:rPr>
          <w:rPr>
            <w:rFonts w:ascii="Cambria Math" w:hAnsi="Cambria Math"/>
            <w:lang w:val="es-ES"/>
          </w:rPr>
          <m:t>)'(</m:t>
        </m:r>
        <m:sSub>
          <m:sSubPr>
            <m:ctrlPr>
              <w:rPr>
                <w:rFonts w:ascii="Cambria Math" w:hAnsi="Cambria Math"/>
              </w:rPr>
            </m:ctrlPr>
          </m:sSubPr>
          <m:e>
            <m:r>
              <w:rPr>
                <w:rFonts w:ascii="Cambria Math" w:hAnsi="Cambria Math"/>
                <w:lang w:val="es-ES"/>
              </w:rPr>
              <m:t>X</m:t>
            </m:r>
          </m:e>
          <m:sub>
            <m:r>
              <m:rPr>
                <m:sty m:val="p"/>
              </m:rPr>
              <w:rPr>
                <w:rFonts w:ascii="Cambria Math" w:hAnsi="Cambria Math"/>
                <w:lang w:val="es-ES"/>
              </w:rPr>
              <m:t>1</m:t>
            </m:r>
          </m:sub>
        </m:sSub>
        <m:r>
          <m:rPr>
            <m:sty m:val="p"/>
          </m:rPr>
          <w:rPr>
            <w:rFonts w:ascii="Cambria Math" w:hAnsi="Cambria Math"/>
            <w:lang w:val="es-ES"/>
          </w:rPr>
          <m:t>-</m:t>
        </m:r>
        <m:sSub>
          <m:sSubPr>
            <m:ctrlPr>
              <w:rPr>
                <w:rFonts w:ascii="Cambria Math" w:hAnsi="Cambria Math"/>
              </w:rPr>
            </m:ctrlPr>
          </m:sSubPr>
          <m:e>
            <m:r>
              <w:rPr>
                <w:rFonts w:ascii="Cambria Math" w:hAnsi="Cambria Math"/>
                <w:lang w:val="es-ES"/>
              </w:rPr>
              <m:t>X</m:t>
            </m:r>
          </m:e>
          <m:sub>
            <m:r>
              <m:rPr>
                <m:sty m:val="p"/>
              </m:rPr>
              <w:rPr>
                <w:rFonts w:ascii="Cambria Math" w:hAnsi="Cambria Math"/>
                <w:lang w:val="es-ES"/>
              </w:rPr>
              <m:t>0</m:t>
            </m:r>
          </m:sub>
        </m:sSub>
        <m:r>
          <w:rPr>
            <w:rFonts w:ascii="Cambria Math" w:hAnsi="Cambria Math"/>
            <w:lang w:val="es-ES"/>
          </w:rPr>
          <m:t>W</m:t>
        </m:r>
        <m:r>
          <m:rPr>
            <m:sty m:val="p"/>
          </m:rPr>
          <w:rPr>
            <w:rFonts w:ascii="Cambria Math" w:hAnsi="Cambria Math"/>
            <w:lang w:val="es-ES"/>
          </w:rPr>
          <m:t>)</m:t>
        </m:r>
      </m:oMath>
      <w:r>
        <w:rPr>
          <w:lang w:val="es-ES"/>
        </w:rPr>
        <w:t>.</w:t>
      </w:r>
    </w:p>
    <w:p w14:paraId="05780836" w14:textId="77777777" w:rsidR="004377DD" w:rsidRDefault="004377DD" w:rsidP="009B1FF3">
      <w:pPr>
        <w:rPr>
          <w:lang w:val="es-ES"/>
        </w:rPr>
      </w:pPr>
      <w:r>
        <w:rPr>
          <w:lang w:val="es-ES"/>
        </w:rPr>
        <w:t>Finalmente, estimamos el impacto del programa como:</w:t>
      </w:r>
    </w:p>
    <w:p w14:paraId="68DFBDBB" w14:textId="77777777" w:rsidR="004377DD" w:rsidRPr="00314B09" w:rsidRDefault="004377DD" w:rsidP="009B1FF3">
      <w:pPr>
        <w:rPr>
          <w:b/>
          <w:lang w:val="es-ES"/>
        </w:rPr>
      </w:pPr>
      <w:r w:rsidRPr="00314B09">
        <w:rPr>
          <w:b/>
          <w:lang w:val="es-ES"/>
        </w:rPr>
        <w:t xml:space="preserve"> </w:t>
      </w:r>
      <m:oMath>
        <m:acc>
          <m:accPr>
            <m:ctrlPr>
              <w:rPr>
                <w:rFonts w:ascii="Cambria Math" w:hAnsi="Cambria Math"/>
                <w:b/>
                <w:lang w:val="es-ES"/>
              </w:rPr>
            </m:ctrlPr>
          </m:accPr>
          <m:e>
            <m:sSub>
              <m:sSubPr>
                <m:ctrlPr>
                  <w:rPr>
                    <w:rFonts w:ascii="Cambria Math" w:hAnsi="Cambria Math"/>
                    <w:b/>
                    <w:lang w:val="es-ES"/>
                  </w:rPr>
                </m:ctrlPr>
              </m:sSubPr>
              <m:e>
                <m:r>
                  <m:rPr>
                    <m:sty m:val="bi"/>
                  </m:rPr>
                  <w:rPr>
                    <w:rFonts w:ascii="Cambria Math" w:hAnsi="Cambria Math"/>
                    <w:lang w:val="es-ES"/>
                  </w:rPr>
                  <m:t>β</m:t>
                </m:r>
              </m:e>
              <m:sub>
                <m:r>
                  <m:rPr>
                    <m:sty m:val="b"/>
                  </m:rPr>
                  <w:rPr>
                    <w:rFonts w:ascii="Cambria Math" w:hAnsi="Cambria Math"/>
                    <w:lang w:val="es-ES"/>
                  </w:rPr>
                  <m:t>1</m:t>
                </m:r>
                <m:r>
                  <m:rPr>
                    <m:sty m:val="bi"/>
                  </m:rPr>
                  <w:rPr>
                    <w:rFonts w:ascii="Cambria Math" w:hAnsi="Cambria Math"/>
                    <w:lang w:val="es-ES"/>
                  </w:rPr>
                  <m:t>t</m:t>
                </m:r>
              </m:sub>
            </m:sSub>
          </m:e>
        </m:acc>
        <m:r>
          <m:rPr>
            <m:sty m:val="b"/>
          </m:rPr>
          <w:rPr>
            <w:rFonts w:ascii="Cambria Math" w:hAnsi="Cambria Math"/>
            <w:lang w:val="es-ES"/>
          </w:rPr>
          <m:t xml:space="preserve">= </m:t>
        </m:r>
        <m:sSub>
          <m:sSubPr>
            <m:ctrlPr>
              <w:rPr>
                <w:rFonts w:ascii="Cambria Math" w:hAnsi="Cambria Math"/>
                <w:b/>
                <w:lang w:val="es-ES"/>
              </w:rPr>
            </m:ctrlPr>
          </m:sSubPr>
          <m:e>
            <m:r>
              <m:rPr>
                <m:sty m:val="bi"/>
              </m:rPr>
              <w:rPr>
                <w:rFonts w:ascii="Cambria Math" w:hAnsi="Cambria Math"/>
                <w:lang w:val="es-ES"/>
              </w:rPr>
              <m:t>Y</m:t>
            </m:r>
          </m:e>
          <m:sub>
            <m:r>
              <m:rPr>
                <m:sty m:val="b"/>
              </m:rPr>
              <w:rPr>
                <w:rFonts w:ascii="Cambria Math" w:hAnsi="Cambria Math"/>
                <w:lang w:val="es-ES"/>
              </w:rPr>
              <m:t>1</m:t>
            </m:r>
            <m:r>
              <m:rPr>
                <m:sty m:val="bi"/>
              </m:rPr>
              <w:rPr>
                <w:rFonts w:ascii="Cambria Math" w:hAnsi="Cambria Math"/>
                <w:lang w:val="es-ES"/>
              </w:rPr>
              <m:t>t</m:t>
            </m:r>
          </m:sub>
        </m:sSub>
        <m:r>
          <m:rPr>
            <m:sty m:val="b"/>
          </m:rPr>
          <w:rPr>
            <w:rFonts w:ascii="Cambria Math" w:hAnsi="Cambria Math"/>
            <w:lang w:val="es-ES"/>
          </w:rPr>
          <m:t xml:space="preserve">- </m:t>
        </m:r>
        <m:nary>
          <m:naryPr>
            <m:chr m:val="∑"/>
            <m:limLoc m:val="undOvr"/>
            <m:subHide m:val="1"/>
            <m:supHide m:val="1"/>
            <m:ctrlPr>
              <w:rPr>
                <w:rFonts w:ascii="Cambria Math" w:hAnsi="Cambria Math"/>
                <w:b/>
                <w:lang w:val="es-ES"/>
              </w:rPr>
            </m:ctrlPr>
          </m:naryPr>
          <m:sub/>
          <m:sup/>
          <m:e>
            <m:sSubSup>
              <m:sSubSupPr>
                <m:ctrlPr>
                  <w:rPr>
                    <w:rFonts w:ascii="Cambria Math" w:hAnsi="Cambria Math"/>
                    <w:b/>
                    <w:lang w:val="es-ES"/>
                  </w:rPr>
                </m:ctrlPr>
              </m:sSubSupPr>
              <m:e>
                <m:r>
                  <m:rPr>
                    <m:sty m:val="bi"/>
                  </m:rPr>
                  <w:rPr>
                    <w:rFonts w:ascii="Cambria Math" w:hAnsi="Cambria Math"/>
                    <w:lang w:val="es-ES"/>
                  </w:rPr>
                  <m:t>w</m:t>
                </m:r>
              </m:e>
              <m:sub>
                <m:r>
                  <m:rPr>
                    <m:sty m:val="bi"/>
                  </m:rPr>
                  <w:rPr>
                    <w:rFonts w:ascii="Cambria Math" w:hAnsi="Cambria Math"/>
                    <w:lang w:val="es-ES"/>
                  </w:rPr>
                  <m:t>j</m:t>
                </m:r>
                <m:r>
                  <m:rPr>
                    <m:sty m:val="b"/>
                  </m:rPr>
                  <w:rPr>
                    <w:rFonts w:ascii="Cambria Math" w:hAnsi="Cambria Math"/>
                    <w:lang w:val="es-ES"/>
                  </w:rPr>
                  <m:t>.</m:t>
                </m:r>
              </m:sub>
              <m:sup>
                <m:r>
                  <m:rPr>
                    <m:sty m:val="b"/>
                  </m:rPr>
                  <w:rPr>
                    <w:rFonts w:ascii="Cambria Math" w:hAnsi="Cambria Math"/>
                    <w:lang w:val="es-ES"/>
                  </w:rPr>
                  <m:t>*</m:t>
                </m:r>
              </m:sup>
            </m:sSubSup>
            <m:sSub>
              <m:sSubPr>
                <m:ctrlPr>
                  <w:rPr>
                    <w:rFonts w:ascii="Cambria Math" w:hAnsi="Cambria Math"/>
                    <w:b/>
                    <w:lang w:val="es-ES"/>
                  </w:rPr>
                </m:ctrlPr>
              </m:sSubPr>
              <m:e>
                <m:r>
                  <m:rPr>
                    <m:sty m:val="bi"/>
                  </m:rPr>
                  <w:rPr>
                    <w:rFonts w:ascii="Cambria Math" w:hAnsi="Cambria Math"/>
                    <w:lang w:val="es-ES"/>
                  </w:rPr>
                  <m:t>Y</m:t>
                </m:r>
              </m:e>
              <m:sub>
                <m:r>
                  <m:rPr>
                    <m:sty m:val="bi"/>
                  </m:rPr>
                  <w:rPr>
                    <w:rFonts w:ascii="Cambria Math" w:hAnsi="Cambria Math"/>
                    <w:lang w:val="es-ES"/>
                  </w:rPr>
                  <m:t>jt</m:t>
                </m:r>
              </m:sub>
            </m:sSub>
          </m:e>
        </m:nary>
        <m:r>
          <m:rPr>
            <m:sty m:val="p"/>
          </m:rPr>
          <w:rPr>
            <w:rFonts w:ascii="Cambria Math" w:hAnsi="Cambria Math"/>
            <w:lang w:val="es-ES"/>
          </w:rPr>
          <m:t xml:space="preserve">  </m:t>
        </m:r>
      </m:oMath>
      <w:r w:rsidRPr="00B572CC">
        <w:rPr>
          <w:lang w:val="es-ES"/>
        </w:rPr>
        <w:t xml:space="preserve">                                                                                                               (7)</w:t>
      </w:r>
    </w:p>
    <w:p w14:paraId="6A7E9F06" w14:textId="77777777" w:rsidR="004377DD" w:rsidRDefault="004377DD" w:rsidP="009B1FF3">
      <w:pPr>
        <w:rPr>
          <w:lang w:val="es-ES"/>
        </w:rPr>
      </w:pPr>
      <w:r w:rsidRPr="004429D2">
        <w:rPr>
          <w:lang w:val="es-ES"/>
        </w:rPr>
        <w:t>Siendo Y</w:t>
      </w:r>
      <w:r w:rsidRPr="004429D2">
        <w:rPr>
          <w:vertAlign w:val="subscript"/>
          <w:lang w:val="es-ES"/>
        </w:rPr>
        <w:t>1</w:t>
      </w:r>
      <w:r>
        <w:rPr>
          <w:lang w:val="es-ES"/>
        </w:rPr>
        <w:t xml:space="preserve">  la variable de</w:t>
      </w:r>
      <w:r w:rsidRPr="004429D2">
        <w:rPr>
          <w:lang w:val="es-ES"/>
        </w:rPr>
        <w:t xml:space="preserve"> resultado para la unidad afectada por el programa.</w:t>
      </w:r>
    </w:p>
    <w:p w14:paraId="16A79F32" w14:textId="77777777" w:rsidR="00045232" w:rsidRPr="00E6798C" w:rsidRDefault="00045232" w:rsidP="00F64C53">
      <w:pPr>
        <w:rPr>
          <w:noProof/>
          <w:szCs w:val="24"/>
          <w:lang w:val="es-AR" w:eastAsia="es-AR"/>
        </w:rPr>
      </w:pPr>
    </w:p>
    <w:p w14:paraId="3792F7DD" w14:textId="77777777" w:rsidR="00746365" w:rsidRPr="00E6798C" w:rsidRDefault="00880D3F" w:rsidP="00B42C40">
      <w:pPr>
        <w:rPr>
          <w:b/>
          <w:szCs w:val="24"/>
          <w:lang w:val="es-AR"/>
        </w:rPr>
      </w:pPr>
      <w:r w:rsidRPr="00E6798C">
        <w:rPr>
          <w:b/>
          <w:szCs w:val="24"/>
          <w:lang w:val="es-AR"/>
        </w:rPr>
        <w:t>e. Otros aspectos técnicos de la evaluación</w:t>
      </w:r>
    </w:p>
    <w:p w14:paraId="1C3BA3B1" w14:textId="77777777" w:rsidR="00B4049C" w:rsidRPr="00AE157C" w:rsidRDefault="00B4049C" w:rsidP="00383F3F">
      <w:pPr>
        <w:rPr>
          <w:u w:val="single"/>
          <w:lang w:val="es-ES"/>
        </w:rPr>
      </w:pPr>
      <w:r w:rsidRPr="00AE157C">
        <w:rPr>
          <w:u w:val="single"/>
          <w:lang w:val="es-ES"/>
        </w:rPr>
        <w:t>Identificación de los grupos de tratamiento y control</w:t>
      </w:r>
    </w:p>
    <w:p w14:paraId="37037EF0" w14:textId="77777777" w:rsidR="00897150" w:rsidRPr="00AD4BF9" w:rsidRDefault="00897150" w:rsidP="00383F3F">
      <w:pPr>
        <w:rPr>
          <w:lang w:val="es-ES"/>
        </w:rPr>
      </w:pPr>
      <w:r w:rsidRPr="00AD4BF9">
        <w:rPr>
          <w:lang w:val="es-ES"/>
        </w:rPr>
        <w:t xml:space="preserve">Las </w:t>
      </w:r>
      <w:r w:rsidRPr="00AD4BF9">
        <w:rPr>
          <w:b/>
          <w:lang w:val="es-ES"/>
        </w:rPr>
        <w:t>empresas de tratamiento</w:t>
      </w:r>
      <w:r w:rsidRPr="00AD4BF9">
        <w:rPr>
          <w:lang w:val="es-ES"/>
        </w:rPr>
        <w:t xml:space="preserve"> que serán consideradas en la evaluación (grupo A) son aquellas que recibirán algún apoyo ofrecido por las </w:t>
      </w:r>
      <w:r w:rsidRPr="00AD4BF9">
        <w:rPr>
          <w:b/>
          <w:lang w:val="es-ES"/>
        </w:rPr>
        <w:t xml:space="preserve">diferentes intervenciones incluidas en el componente </w:t>
      </w:r>
      <w:r w:rsidR="006A40DA" w:rsidRPr="00AD4BF9">
        <w:rPr>
          <w:b/>
          <w:lang w:val="es-ES"/>
        </w:rPr>
        <w:t xml:space="preserve">correspondiente </w:t>
      </w:r>
      <w:r w:rsidRPr="00AD4BF9">
        <w:rPr>
          <w:lang w:val="es-ES"/>
        </w:rPr>
        <w:t>del programa. Estas serán empresas que han participado en las convocatorias de cada una de las líneas de financiamiento, han sido seleccionadas y han ejecutado en todo o en parte los beneficios asignados.</w:t>
      </w:r>
    </w:p>
    <w:p w14:paraId="1C299B86" w14:textId="77777777" w:rsidR="00897150" w:rsidRPr="00AD4BF9" w:rsidRDefault="00897150" w:rsidP="00383F3F">
      <w:pPr>
        <w:rPr>
          <w:lang w:val="es-ES"/>
        </w:rPr>
      </w:pPr>
      <w:r w:rsidRPr="00AD4BF9">
        <w:rPr>
          <w:lang w:val="es-ES"/>
        </w:rPr>
        <w:t xml:space="preserve">El </w:t>
      </w:r>
      <w:r w:rsidRPr="00AD4BF9">
        <w:rPr>
          <w:b/>
          <w:lang w:val="es-ES"/>
        </w:rPr>
        <w:t>grupo de control</w:t>
      </w:r>
      <w:r w:rsidRPr="00AD4BF9">
        <w:rPr>
          <w:lang w:val="es-ES"/>
        </w:rPr>
        <w:t xml:space="preserve"> o comparación incluirá dos grupos: B) todas aquellas empresas que han aplicado a algún apoyo ofrecido por las diferentes intervenciones incluidas en el componente I </w:t>
      </w:r>
      <w:r w:rsidR="00AE157C">
        <w:rPr>
          <w:lang w:val="es-ES"/>
        </w:rPr>
        <w:t>y en el componente II (por lo que concierne infraestructuras productivas</w:t>
      </w:r>
      <w:r w:rsidR="00F23360">
        <w:rPr>
          <w:lang w:val="es-ES"/>
        </w:rPr>
        <w:t xml:space="preserve"> y de logistica</w:t>
      </w:r>
      <w:r w:rsidR="00AE157C">
        <w:rPr>
          <w:lang w:val="es-ES"/>
        </w:rPr>
        <w:t xml:space="preserve">) </w:t>
      </w:r>
      <w:r w:rsidRPr="00AD4BF9">
        <w:rPr>
          <w:lang w:val="es-ES"/>
        </w:rPr>
        <w:t>del programa y no han sido seleccionadas; C) un grupo empresas que no han aplicado al programa.</w:t>
      </w:r>
    </w:p>
    <w:p w14:paraId="03403176" w14:textId="77777777" w:rsidR="00287706" w:rsidRPr="00AD4BF9" w:rsidRDefault="00897150" w:rsidP="00383F3F">
      <w:pPr>
        <w:rPr>
          <w:lang w:val="es-ES"/>
        </w:rPr>
      </w:pPr>
      <w:r w:rsidRPr="00AD4BF9">
        <w:rPr>
          <w:lang w:val="es-ES"/>
        </w:rPr>
        <w:t xml:space="preserve">La similitud entre las empresas beneficiarias y las empresas de control será analizada en base a los datos de las fuentes de información correspondientes. Ex ante se puede prever que las empresas de los grupos A y B tendrán un alto nivel de similitud por ser empresas que han demostrado un interés activo en </w:t>
      </w:r>
      <w:r w:rsidR="00624649" w:rsidRPr="00AD4BF9">
        <w:rPr>
          <w:lang w:val="es-ES"/>
        </w:rPr>
        <w:t>la compra de servicios de desarrollo empresarial</w:t>
      </w:r>
      <w:r w:rsidR="00AE157C">
        <w:rPr>
          <w:lang w:val="es-ES"/>
        </w:rPr>
        <w:t xml:space="preserve"> y en el acceso a ANR</w:t>
      </w:r>
      <w:r w:rsidRPr="00AD4BF9">
        <w:rPr>
          <w:lang w:val="es-ES"/>
        </w:rPr>
        <w:t>. Parte del grupo C también tiene la potencialidad de ser altamente comparable con las empresas beneficiarias.</w:t>
      </w:r>
    </w:p>
    <w:p w14:paraId="50B61DCF" w14:textId="77777777" w:rsidR="00AE157C" w:rsidRDefault="00AE157C" w:rsidP="00383F3F">
      <w:pPr>
        <w:rPr>
          <w:u w:val="single"/>
          <w:lang w:val="es-ES"/>
        </w:rPr>
      </w:pPr>
    </w:p>
    <w:p w14:paraId="75A272E7" w14:textId="77777777" w:rsidR="002A2119" w:rsidRPr="002A2119" w:rsidRDefault="00B4049C" w:rsidP="002A2119">
      <w:pPr>
        <w:rPr>
          <w:b/>
          <w:lang w:val="es-ES"/>
        </w:rPr>
      </w:pPr>
      <w:r w:rsidRPr="002A2119">
        <w:rPr>
          <w:b/>
          <w:u w:val="single"/>
          <w:lang w:val="es-ES"/>
        </w:rPr>
        <w:t>Estrategia de muestreo y temas relacionados al poder estadístico</w:t>
      </w:r>
      <w:r w:rsidR="002A2119" w:rsidRPr="002A2119">
        <w:rPr>
          <w:b/>
          <w:u w:val="single"/>
          <w:lang w:val="es-ES"/>
        </w:rPr>
        <w:t xml:space="preserve"> </w:t>
      </w:r>
      <w:r w:rsidR="002A2119" w:rsidRPr="002A2119">
        <w:rPr>
          <w:rStyle w:val="FootnoteReference"/>
          <w:b/>
          <w:lang w:val="es-ES"/>
        </w:rPr>
        <w:footnoteReference w:id="11"/>
      </w:r>
    </w:p>
    <w:p w14:paraId="741EFD8D" w14:textId="6EA60EF3" w:rsidR="00BF7DC8" w:rsidRDefault="00951F7E" w:rsidP="002A2119">
      <w:r>
        <w:t xml:space="preserve">En resumen, se podría esperar una demanda </w:t>
      </w:r>
      <w:r w:rsidR="002A2119">
        <w:t>de servicios de 120 empresas</w:t>
      </w:r>
      <w:r w:rsidR="00BF7DC8">
        <w:t xml:space="preserve"> y 72 pescadores y cooperativas de pescadores </w:t>
      </w:r>
      <w:r w:rsidR="002A2119">
        <w:t xml:space="preserve"> en tres </w:t>
      </w:r>
      <w:r w:rsidR="00BF7DC8">
        <w:t>años</w:t>
      </w:r>
      <w:r w:rsidR="002A2119">
        <w:t xml:space="preserve">, incluyendo distintos tipos de servicios orientados a la formalización, la formación en </w:t>
      </w:r>
      <w:r w:rsidR="00BF7DC8">
        <w:t>habilidades</w:t>
      </w:r>
      <w:r w:rsidR="002A2119">
        <w:t xml:space="preserve"> “</w:t>
      </w:r>
      <w:r w:rsidR="00BF7DC8">
        <w:t>bl</w:t>
      </w:r>
      <w:r w:rsidR="002A2119">
        <w:t>a</w:t>
      </w:r>
      <w:r w:rsidR="00BF7DC8">
        <w:t>n</w:t>
      </w:r>
      <w:r w:rsidR="002A2119">
        <w:t xml:space="preserve">das”, </w:t>
      </w:r>
      <w:r w:rsidR="00BF7DC8">
        <w:t>desarrollo de modelos de negocios y proyectos, trasferencia tecnológica.</w:t>
      </w:r>
    </w:p>
    <w:p w14:paraId="63F2112B" w14:textId="77777777" w:rsidR="002A2119" w:rsidRDefault="002A2119" w:rsidP="00383F3F">
      <w:pPr>
        <w:rPr>
          <w:lang w:val="es-ES"/>
        </w:rPr>
      </w:pPr>
      <w:r>
        <w:rPr>
          <w:noProof/>
          <w:lang w:val="en-US"/>
        </w:rPr>
        <w:lastRenderedPageBreak/>
        <w:drawing>
          <wp:inline distT="0" distB="0" distL="0" distR="0" wp14:anchorId="44A9A4A9" wp14:editId="78C8526C">
            <wp:extent cx="5939212" cy="5295569"/>
            <wp:effectExtent l="0" t="0" r="444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580" cy="5296789"/>
                    </a:xfrm>
                    <a:prstGeom prst="rect">
                      <a:avLst/>
                    </a:prstGeom>
                    <a:noFill/>
                    <a:ln>
                      <a:noFill/>
                    </a:ln>
                  </pic:spPr>
                </pic:pic>
              </a:graphicData>
            </a:graphic>
          </wp:inline>
        </w:drawing>
      </w:r>
    </w:p>
    <w:p w14:paraId="58897DB4" w14:textId="77777777" w:rsidR="00B1329E" w:rsidRPr="00E6798C" w:rsidRDefault="00B1329E" w:rsidP="00383F3F">
      <w:pPr>
        <w:rPr>
          <w:lang w:val="es-ES"/>
        </w:rPr>
      </w:pPr>
      <w:r w:rsidRPr="00E6798C">
        <w:rPr>
          <w:lang w:val="es-ES"/>
        </w:rPr>
        <w:t xml:space="preserve">Para asegurar que el tamaño de esta muestra (o sea del programa) sea suficiente para medir los impactos esperados se ha estimado el tamaño de muestra necesario para medir dicho efectos sobre los indicadores </w:t>
      </w:r>
      <w:r w:rsidR="00B15062" w:rsidRPr="00E6798C">
        <w:rPr>
          <w:lang w:val="es-ES"/>
        </w:rPr>
        <w:t xml:space="preserve">principales </w:t>
      </w:r>
      <w:r w:rsidRPr="00E6798C">
        <w:rPr>
          <w:lang w:val="es-ES"/>
        </w:rPr>
        <w:t>a nivel de empresa.</w:t>
      </w:r>
      <w:r w:rsidR="00321B32" w:rsidRPr="00E6798C">
        <w:rPr>
          <w:rStyle w:val="FootnoteReference"/>
          <w:szCs w:val="24"/>
          <w:lang w:val="es-ES"/>
        </w:rPr>
        <w:footnoteReference w:id="12"/>
      </w:r>
      <w:r w:rsidRPr="00E6798C">
        <w:rPr>
          <w:lang w:val="es-ES"/>
        </w:rPr>
        <w:t xml:space="preserve"> Para este ejercicio se ha definido un escenario conservador sobre la base de siguientes parámetros: </w:t>
      </w:r>
    </w:p>
    <w:p w14:paraId="2DA84F7D" w14:textId="77777777" w:rsidR="00B1329E" w:rsidRPr="00383F3F" w:rsidRDefault="00B1329E" w:rsidP="00383F3F">
      <w:pPr>
        <w:pStyle w:val="ListParagraph"/>
        <w:numPr>
          <w:ilvl w:val="0"/>
          <w:numId w:val="29"/>
        </w:numPr>
        <w:rPr>
          <w:lang w:val="es-AR"/>
        </w:rPr>
      </w:pPr>
      <w:r w:rsidRPr="00383F3F">
        <w:rPr>
          <w:lang w:val="es-AR"/>
        </w:rPr>
        <w:t xml:space="preserve">Un nivel de poder de </w:t>
      </w:r>
      <w:r w:rsidR="00782CDE" w:rsidRPr="00383F3F">
        <w:rPr>
          <w:lang w:val="es-AR"/>
        </w:rPr>
        <w:t>0.</w:t>
      </w:r>
      <w:r w:rsidR="00215D67" w:rsidRPr="00383F3F">
        <w:rPr>
          <w:lang w:val="es-AR"/>
        </w:rPr>
        <w:t>9 para la productividad y de 0.</w:t>
      </w:r>
      <w:r w:rsidR="00782CDE" w:rsidRPr="00383F3F">
        <w:rPr>
          <w:lang w:val="es-AR"/>
        </w:rPr>
        <w:t>8 para el empleo y facturación</w:t>
      </w:r>
    </w:p>
    <w:p w14:paraId="2CFE33DF" w14:textId="77777777" w:rsidR="00B1329E" w:rsidRPr="00383F3F" w:rsidRDefault="00B1329E" w:rsidP="00383F3F">
      <w:pPr>
        <w:pStyle w:val="ListParagraph"/>
        <w:numPr>
          <w:ilvl w:val="0"/>
          <w:numId w:val="29"/>
        </w:numPr>
        <w:rPr>
          <w:lang w:val="es-AR"/>
        </w:rPr>
      </w:pPr>
      <w:r w:rsidRPr="00383F3F">
        <w:rPr>
          <w:lang w:val="es-AR"/>
        </w:rPr>
        <w:t>Un nivel de significancia d</w:t>
      </w:r>
      <w:r w:rsidR="003C338A" w:rsidRPr="00383F3F">
        <w:rPr>
          <w:lang w:val="es-AR"/>
        </w:rPr>
        <w:t>e 0.01 para la productividad y 0.</w:t>
      </w:r>
      <w:r w:rsidR="003C08A1" w:rsidRPr="00383F3F">
        <w:rPr>
          <w:lang w:val="es-AR"/>
        </w:rPr>
        <w:t>05</w:t>
      </w:r>
      <w:r w:rsidR="001703E0" w:rsidRPr="00383F3F">
        <w:rPr>
          <w:lang w:val="es-AR"/>
        </w:rPr>
        <w:t xml:space="preserve"> </w:t>
      </w:r>
      <w:r w:rsidR="003C338A" w:rsidRPr="00383F3F">
        <w:rPr>
          <w:lang w:val="es-AR"/>
        </w:rPr>
        <w:t>para el caso del empleo y facturación</w:t>
      </w:r>
    </w:p>
    <w:p w14:paraId="2F18B41A" w14:textId="77777777" w:rsidR="00B1329E" w:rsidRPr="00383F3F" w:rsidRDefault="00B1329E" w:rsidP="00383F3F">
      <w:pPr>
        <w:pStyle w:val="ListParagraph"/>
        <w:numPr>
          <w:ilvl w:val="0"/>
          <w:numId w:val="29"/>
        </w:numPr>
        <w:rPr>
          <w:lang w:val="es-AR"/>
        </w:rPr>
      </w:pPr>
      <w:r w:rsidRPr="00383F3F">
        <w:rPr>
          <w:lang w:val="es-AR"/>
        </w:rPr>
        <w:t>Una observación de línea de base y dos de seguimiento</w:t>
      </w:r>
    </w:p>
    <w:p w14:paraId="61C204DD" w14:textId="77777777" w:rsidR="001703E0" w:rsidRPr="00383F3F" w:rsidRDefault="00B1329E" w:rsidP="00383F3F">
      <w:pPr>
        <w:pStyle w:val="ListParagraph"/>
        <w:numPr>
          <w:ilvl w:val="0"/>
          <w:numId w:val="29"/>
        </w:numPr>
        <w:rPr>
          <w:lang w:val="es-AR"/>
        </w:rPr>
      </w:pPr>
      <w:r w:rsidRPr="00383F3F">
        <w:rPr>
          <w:lang w:val="es-AR"/>
        </w:rPr>
        <w:t>Se utilizó el supuesto de de</w:t>
      </w:r>
      <w:r w:rsidR="003C338A" w:rsidRPr="00383F3F">
        <w:rPr>
          <w:lang w:val="es-AR"/>
        </w:rPr>
        <w:t xml:space="preserve">svío estándar igual a </w:t>
      </w:r>
      <w:r w:rsidR="00524506" w:rsidRPr="00383F3F">
        <w:rPr>
          <w:lang w:val="es-AR"/>
        </w:rPr>
        <w:t>½ de la media</w:t>
      </w:r>
    </w:p>
    <w:p w14:paraId="6B416DB2" w14:textId="77777777" w:rsidR="00B1329E" w:rsidRPr="00383F3F" w:rsidRDefault="00B1329E" w:rsidP="00383F3F">
      <w:pPr>
        <w:pStyle w:val="ListParagraph"/>
        <w:numPr>
          <w:ilvl w:val="0"/>
          <w:numId w:val="29"/>
        </w:numPr>
        <w:rPr>
          <w:lang w:val="es-AR"/>
        </w:rPr>
      </w:pPr>
      <w:r w:rsidRPr="00383F3F">
        <w:rPr>
          <w:lang w:val="es-AR"/>
        </w:rPr>
        <w:t xml:space="preserve">Se fijó una correlación entre los seguimientos y, los seguimientos y la línea de base de </w:t>
      </w:r>
      <w:r w:rsidR="00524506" w:rsidRPr="00383F3F">
        <w:rPr>
          <w:lang w:val="es-AR"/>
        </w:rPr>
        <w:t xml:space="preserve">entre </w:t>
      </w:r>
      <w:r w:rsidRPr="00383F3F">
        <w:rPr>
          <w:lang w:val="es-AR"/>
        </w:rPr>
        <w:t>0.9</w:t>
      </w:r>
      <w:r w:rsidR="003C08A1" w:rsidRPr="00383F3F">
        <w:rPr>
          <w:lang w:val="es-AR"/>
        </w:rPr>
        <w:t xml:space="preserve"> y 0.98</w:t>
      </w:r>
    </w:p>
    <w:p w14:paraId="481A3695" w14:textId="77777777" w:rsidR="00B1329E" w:rsidRPr="00383F3F" w:rsidRDefault="00B1329E" w:rsidP="00383F3F">
      <w:pPr>
        <w:pStyle w:val="ListParagraph"/>
        <w:numPr>
          <w:ilvl w:val="0"/>
          <w:numId w:val="29"/>
        </w:numPr>
        <w:rPr>
          <w:lang w:val="es-AR"/>
        </w:rPr>
      </w:pPr>
      <w:r w:rsidRPr="00383F3F">
        <w:rPr>
          <w:lang w:val="es-AR"/>
        </w:rPr>
        <w:lastRenderedPageBreak/>
        <w:t xml:space="preserve">Se estableció un ratio=grupo tratamiento/grupo control de </w:t>
      </w:r>
      <w:r w:rsidR="00014B17" w:rsidRPr="00383F3F">
        <w:rPr>
          <w:lang w:val="es-AR"/>
        </w:rPr>
        <w:t>1</w:t>
      </w:r>
    </w:p>
    <w:p w14:paraId="30ACC1C7" w14:textId="77777777" w:rsidR="00A47BA7" w:rsidRPr="00E6798C" w:rsidRDefault="00A47BA7" w:rsidP="00A47BA7">
      <w:pPr>
        <w:pStyle w:val="ListParagraph"/>
        <w:spacing w:before="40" w:after="40"/>
        <w:ind w:left="0"/>
        <w:rPr>
          <w:szCs w:val="24"/>
          <w:lang w:val="es-AR"/>
        </w:rPr>
      </w:pPr>
    </w:p>
    <w:p w14:paraId="6E92CC5A" w14:textId="77777777" w:rsidR="00A47BA7" w:rsidRPr="00E6798C" w:rsidRDefault="00A47BA7" w:rsidP="00383F3F">
      <w:pPr>
        <w:rPr>
          <w:lang w:val="es-AR"/>
        </w:rPr>
      </w:pPr>
      <w:r w:rsidRPr="00E6798C">
        <w:rPr>
          <w:lang w:val="es-AR"/>
        </w:rPr>
        <w:t xml:space="preserve">A partir de la simulación </w:t>
      </w:r>
      <w:r w:rsidR="007A08F8" w:rsidRPr="00E6798C">
        <w:rPr>
          <w:lang w:val="es-AR"/>
        </w:rPr>
        <w:t xml:space="preserve">(Tabla 4) </w:t>
      </w:r>
      <w:r w:rsidRPr="00E6798C">
        <w:rPr>
          <w:lang w:val="es-AR"/>
        </w:rPr>
        <w:t xml:space="preserve">podemos concluir que el tamaño de muestra óptimo </w:t>
      </w:r>
      <w:r w:rsidR="002C59E3" w:rsidRPr="00E6798C">
        <w:rPr>
          <w:lang w:val="es-AR"/>
        </w:rPr>
        <w:t>en cada levantamiento (</w:t>
      </w:r>
      <w:r w:rsidR="003C08A1" w:rsidRPr="00E6798C">
        <w:rPr>
          <w:lang w:val="es-AR"/>
        </w:rPr>
        <w:t>línea</w:t>
      </w:r>
      <w:r w:rsidR="001310F8" w:rsidRPr="00E6798C">
        <w:rPr>
          <w:lang w:val="es-AR"/>
        </w:rPr>
        <w:t xml:space="preserve"> de base y </w:t>
      </w:r>
      <w:r w:rsidR="003C08A1" w:rsidRPr="00E6798C">
        <w:rPr>
          <w:lang w:val="es-AR"/>
        </w:rPr>
        <w:t>dos seguimientos</w:t>
      </w:r>
      <w:r w:rsidR="002C59E3" w:rsidRPr="00E6798C">
        <w:rPr>
          <w:lang w:val="es-AR"/>
        </w:rPr>
        <w:t>)</w:t>
      </w:r>
      <w:r w:rsidR="003C08A1" w:rsidRPr="00E6798C">
        <w:rPr>
          <w:lang w:val="es-AR"/>
        </w:rPr>
        <w:t xml:space="preserve"> </w:t>
      </w:r>
      <w:r w:rsidR="007A08F8" w:rsidRPr="00E6798C">
        <w:rPr>
          <w:lang w:val="es-AR"/>
        </w:rPr>
        <w:t>debe ser</w:t>
      </w:r>
      <w:r w:rsidR="002C59E3" w:rsidRPr="00E6798C">
        <w:rPr>
          <w:lang w:val="es-AR"/>
        </w:rPr>
        <w:t xml:space="preserve"> de aprox. </w:t>
      </w:r>
      <w:r w:rsidR="007A08F8" w:rsidRPr="00E6798C">
        <w:rPr>
          <w:lang w:val="es-AR"/>
        </w:rPr>
        <w:t>60</w:t>
      </w:r>
      <w:r w:rsidR="00305FBE" w:rsidRPr="00E6798C">
        <w:rPr>
          <w:lang w:val="es-AR"/>
        </w:rPr>
        <w:t>0</w:t>
      </w:r>
      <w:r w:rsidRPr="00E6798C">
        <w:rPr>
          <w:lang w:val="es-AR"/>
        </w:rPr>
        <w:t xml:space="preserve"> firmas</w:t>
      </w:r>
      <w:r w:rsidR="002C59E3" w:rsidRPr="00E6798C">
        <w:rPr>
          <w:lang w:val="es-AR"/>
        </w:rPr>
        <w:t xml:space="preserve"> (</w:t>
      </w:r>
      <w:r w:rsidR="007A08F8" w:rsidRPr="00E6798C">
        <w:rPr>
          <w:lang w:val="es-AR"/>
        </w:rPr>
        <w:t>300</w:t>
      </w:r>
      <w:r w:rsidR="002C59E3" w:rsidRPr="00E6798C">
        <w:rPr>
          <w:lang w:val="es-AR"/>
        </w:rPr>
        <w:t xml:space="preserve"> tratadas y </w:t>
      </w:r>
      <w:r w:rsidR="007A08F8" w:rsidRPr="00E6798C">
        <w:rPr>
          <w:lang w:val="es-AR"/>
        </w:rPr>
        <w:t>300</w:t>
      </w:r>
      <w:r w:rsidR="002C59E3" w:rsidRPr="00E6798C">
        <w:rPr>
          <w:lang w:val="es-AR"/>
        </w:rPr>
        <w:t xml:space="preserve"> control)</w:t>
      </w:r>
      <w:r w:rsidRPr="00E6798C">
        <w:rPr>
          <w:lang w:val="es-AR"/>
        </w:rPr>
        <w:t xml:space="preserve">. </w:t>
      </w:r>
    </w:p>
    <w:p w14:paraId="10B68977" w14:textId="77777777" w:rsidR="00B1329E" w:rsidRPr="00E6798C" w:rsidRDefault="00B1329E" w:rsidP="00383F3F">
      <w:pPr>
        <w:rPr>
          <w:lang w:val="es-ES"/>
        </w:rPr>
      </w:pPr>
      <w:r w:rsidRPr="00E6798C">
        <w:rPr>
          <w:lang w:val="es-ES"/>
        </w:rPr>
        <w:t>Para hallar el tamaño de muestra, comparamos la media de la medición en la línea de base y la esperada correspondiente a las mediciones de seguimiento,</w:t>
      </w:r>
      <m:oMath>
        <m:sSub>
          <m:sSubPr>
            <m:ctrlPr>
              <w:rPr>
                <w:rFonts w:ascii="Cambria Math" w:eastAsia="Calibri" w:hAnsi="Cambria Math"/>
                <w:i/>
                <w:lang w:val="es-ES"/>
              </w:rPr>
            </m:ctrlPr>
          </m:sSubPr>
          <m:e>
            <m:acc>
              <m:accPr>
                <m:chr m:val="̅"/>
                <m:ctrlPr>
                  <w:rPr>
                    <w:rFonts w:ascii="Cambria Math" w:eastAsia="Calibri" w:hAnsi="Cambria Math"/>
                    <w:i/>
                    <w:lang w:val="es-ES"/>
                  </w:rPr>
                </m:ctrlPr>
              </m:accPr>
              <m:e>
                <m:r>
                  <w:rPr>
                    <w:rFonts w:ascii="Cambria Math" w:hAnsi="Cambria Math"/>
                    <w:lang w:val="es-ES"/>
                  </w:rPr>
                  <m:t xml:space="preserve"> X</m:t>
                </m:r>
              </m:e>
            </m:acc>
          </m:e>
          <m:sub>
            <m:r>
              <w:rPr>
                <w:rFonts w:ascii="Cambria Math" w:hAnsi="Cambria Math"/>
                <w:lang w:val="es-ES"/>
              </w:rPr>
              <m:t>1</m:t>
            </m:r>
          </m:sub>
        </m:sSub>
        <m:r>
          <w:rPr>
            <w:rFonts w:ascii="Cambria Math" w:hAnsi="Cambria Math"/>
            <w:lang w:val="es-ES"/>
          </w:rPr>
          <m:t xml:space="preserve">- </m:t>
        </m:r>
        <m:sSub>
          <m:sSubPr>
            <m:ctrlPr>
              <w:rPr>
                <w:rFonts w:ascii="Cambria Math" w:eastAsia="Calibri" w:hAnsi="Cambria Math"/>
                <w:i/>
                <w:lang w:val="es-ES"/>
              </w:rPr>
            </m:ctrlPr>
          </m:sSubPr>
          <m:e>
            <m:acc>
              <m:accPr>
                <m:chr m:val="̅"/>
                <m:ctrlPr>
                  <w:rPr>
                    <w:rFonts w:ascii="Cambria Math" w:eastAsia="Calibri" w:hAnsi="Cambria Math"/>
                    <w:i/>
                    <w:lang w:val="es-ES"/>
                  </w:rPr>
                </m:ctrlPr>
              </m:accPr>
              <m:e>
                <m:r>
                  <w:rPr>
                    <w:rFonts w:ascii="Cambria Math" w:hAnsi="Cambria Math"/>
                    <w:lang w:val="es-ES"/>
                  </w:rPr>
                  <m:t>X</m:t>
                </m:r>
              </m:e>
            </m:acc>
          </m:e>
          <m:sub>
            <m:r>
              <w:rPr>
                <w:rFonts w:ascii="Cambria Math" w:hAnsi="Cambria Math"/>
                <w:lang w:val="es-ES"/>
              </w:rPr>
              <m:t>0</m:t>
            </m:r>
          </m:sub>
        </m:sSub>
      </m:oMath>
      <w:r w:rsidRPr="00E6798C">
        <w:rPr>
          <w:lang w:val="es-ES"/>
        </w:rPr>
        <w:t xml:space="preserve">, utilizando un simple </w:t>
      </w:r>
      <w:r w:rsidRPr="00E6798C">
        <w:rPr>
          <w:i/>
          <w:lang w:val="es-ES"/>
        </w:rPr>
        <w:t>t</w:t>
      </w:r>
      <w:r w:rsidRPr="00E6798C">
        <w:rPr>
          <w:lang w:val="es-ES"/>
        </w:rPr>
        <w:t xml:space="preserve"> test y la configuración recién descripta. Luego, la mejora en la varianza de la estimación del efecto tratamiento de utilizar una medición en la línea de base y dos de seguimiento está determinada por:</w:t>
      </w:r>
    </w:p>
    <w:p w14:paraId="45C45BF1" w14:textId="77777777" w:rsidR="00B1329E" w:rsidRPr="00E6798C" w:rsidRDefault="001E4A5E" w:rsidP="00B1329E">
      <w:pPr>
        <w:pStyle w:val="ListParagraph"/>
        <w:spacing w:line="360" w:lineRule="auto"/>
        <w:jc w:val="center"/>
        <w:rPr>
          <w:szCs w:val="24"/>
        </w:rPr>
      </w:pPr>
      <w:r w:rsidRPr="00145825">
        <w:rPr>
          <w:noProof/>
          <w:szCs w:val="24"/>
        </w:rPr>
        <w:drawing>
          <wp:inline distT="0" distB="0" distL="0" distR="0" wp14:anchorId="253E541A" wp14:editId="632D296F">
            <wp:extent cx="2727960" cy="495300"/>
            <wp:effectExtent l="0" t="0" r="0" b="12700"/>
            <wp:docPr id="4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27960" cy="495300"/>
                    </a:xfrm>
                    <a:prstGeom prst="rect">
                      <a:avLst/>
                    </a:prstGeom>
                    <a:noFill/>
                    <a:ln>
                      <a:noFill/>
                    </a:ln>
                  </pic:spPr>
                </pic:pic>
              </a:graphicData>
            </a:graphic>
          </wp:inline>
        </w:drawing>
      </w:r>
    </w:p>
    <w:p w14:paraId="190811DB" w14:textId="77777777" w:rsidR="00B1329E" w:rsidRPr="00E6798C" w:rsidRDefault="00B1329E" w:rsidP="00383F3F">
      <w:pPr>
        <w:rPr>
          <w:lang w:val="es-ES"/>
        </w:rPr>
      </w:pPr>
      <w:r w:rsidRPr="00E6798C">
        <w:rPr>
          <w:lang w:val="es-ES"/>
        </w:rPr>
        <w:t xml:space="preserve">Donde </w:t>
      </w:r>
      <m:oMath>
        <m:r>
          <w:rPr>
            <w:rFonts w:ascii="Cambria Math" w:hAnsi="Cambria Math"/>
            <w:lang w:val="es-ES"/>
          </w:rPr>
          <m:t xml:space="preserve"> p</m:t>
        </m:r>
      </m:oMath>
      <w:r w:rsidRPr="00E6798C">
        <w:rPr>
          <w:lang w:val="es-ES"/>
        </w:rPr>
        <w:t xml:space="preserve">  es el número de mediciones en la línea de base,  </w:t>
      </w:r>
      <m:oMath>
        <m:r>
          <w:rPr>
            <w:rFonts w:ascii="Cambria Math" w:hAnsi="Cambria Math"/>
            <w:lang w:val="es-ES"/>
          </w:rPr>
          <m:t>r</m:t>
        </m:r>
      </m:oMath>
      <w:r w:rsidRPr="00E6798C">
        <w:rPr>
          <w:lang w:val="es-ES"/>
        </w:rPr>
        <w:t xml:space="preserve"> es el número de mediciones en el seguimiento,</w:t>
      </w:r>
      <m:oMath>
        <m:r>
          <w:rPr>
            <w:rFonts w:ascii="Cambria Math" w:hAnsi="Cambria Math"/>
            <w:lang w:val="es-ES"/>
          </w:rPr>
          <m:t xml:space="preserve"> </m:t>
        </m:r>
        <m:acc>
          <m:accPr>
            <m:chr m:val="̅"/>
            <m:ctrlPr>
              <w:rPr>
                <w:rFonts w:ascii="Cambria Math" w:hAnsi="Cambria Math"/>
                <w:i/>
                <w:lang w:val="es-ES"/>
              </w:rPr>
            </m:ctrlPr>
          </m:accPr>
          <m:e>
            <m:r>
              <w:rPr>
                <w:rFonts w:ascii="Cambria Math" w:hAnsi="Cambria Math"/>
                <w:lang w:val="es-ES"/>
              </w:rPr>
              <m:t>p</m:t>
            </m:r>
          </m:e>
        </m:acc>
      </m:oMath>
      <w:r w:rsidRPr="00E6798C">
        <w:rPr>
          <w:vertAlign w:val="subscript"/>
          <w:lang w:val="es-ES"/>
        </w:rPr>
        <w:t xml:space="preserve">pre </w:t>
      </w:r>
      <w:r w:rsidRPr="00E6798C">
        <w:rPr>
          <w:lang w:val="es-ES"/>
        </w:rPr>
        <w:t xml:space="preserve">es la correlación entre las mediciones en la línea de base,  </w:t>
      </w:r>
      <m:oMath>
        <m:acc>
          <m:accPr>
            <m:chr m:val="̅"/>
            <m:ctrlPr>
              <w:rPr>
                <w:rFonts w:ascii="Cambria Math" w:hAnsi="Cambria Math"/>
                <w:i/>
                <w:lang w:val="es-ES"/>
              </w:rPr>
            </m:ctrlPr>
          </m:accPr>
          <m:e>
            <m:r>
              <w:rPr>
                <w:rFonts w:ascii="Cambria Math" w:hAnsi="Cambria Math"/>
                <w:lang w:val="es-ES"/>
              </w:rPr>
              <m:t>p</m:t>
            </m:r>
          </m:e>
        </m:acc>
      </m:oMath>
      <w:r w:rsidRPr="00E6798C">
        <w:rPr>
          <w:vertAlign w:val="subscript"/>
          <w:lang w:val="es-ES"/>
        </w:rPr>
        <w:t xml:space="preserve">post </w:t>
      </w:r>
      <w:r w:rsidRPr="00E6798C">
        <w:rPr>
          <w:lang w:val="es-ES"/>
        </w:rPr>
        <w:t xml:space="preserve">es la correlación entre las mediciones  de seguimiento y </w:t>
      </w:r>
      <m:oMath>
        <m:acc>
          <m:accPr>
            <m:chr m:val="̅"/>
            <m:ctrlPr>
              <w:rPr>
                <w:rFonts w:ascii="Cambria Math" w:hAnsi="Cambria Math"/>
                <w:i/>
                <w:lang w:val="es-ES"/>
              </w:rPr>
            </m:ctrlPr>
          </m:accPr>
          <m:e>
            <m:r>
              <w:rPr>
                <w:rFonts w:ascii="Cambria Math" w:hAnsi="Cambria Math"/>
                <w:lang w:val="es-ES"/>
              </w:rPr>
              <m:t>p</m:t>
            </m:r>
          </m:e>
        </m:acc>
      </m:oMath>
      <w:r w:rsidRPr="00E6798C">
        <w:rPr>
          <w:vertAlign w:val="subscript"/>
          <w:lang w:val="es-ES"/>
        </w:rPr>
        <w:t xml:space="preserve">mix </w:t>
      </w:r>
      <w:r w:rsidRPr="00E6798C">
        <w:rPr>
          <w:lang w:val="es-ES"/>
        </w:rPr>
        <w:t>es la correlación entre las mediciones en la línea de base y las correspondientes al seguimiento.</w:t>
      </w:r>
    </w:p>
    <w:p w14:paraId="65A1C836" w14:textId="77777777" w:rsidR="00E24779" w:rsidRPr="00E6798C" w:rsidRDefault="00B1329E" w:rsidP="00383F3F">
      <w:pPr>
        <w:rPr>
          <w:lang w:val="es-AR"/>
        </w:rPr>
      </w:pPr>
      <w:r w:rsidRPr="00E6798C">
        <w:rPr>
          <w:lang w:val="es-AR"/>
        </w:rPr>
        <w:t xml:space="preserve">Las fuentes de datos utilizadas para la definición </w:t>
      </w:r>
      <w:r w:rsidR="00402EF6" w:rsidRPr="00E6798C">
        <w:rPr>
          <w:lang w:val="es-AR"/>
        </w:rPr>
        <w:t xml:space="preserve">de los valores de </w:t>
      </w:r>
      <w:r w:rsidR="00E22952" w:rsidRPr="00E6798C">
        <w:rPr>
          <w:lang w:val="es-AR"/>
        </w:rPr>
        <w:t>línea</w:t>
      </w:r>
      <w:r w:rsidR="00402EF6" w:rsidRPr="00E6798C">
        <w:rPr>
          <w:lang w:val="es-AR"/>
        </w:rPr>
        <w:t xml:space="preserve"> de base y los impactos esperados son</w:t>
      </w:r>
      <w:r w:rsidR="00B1029E">
        <w:rPr>
          <w:lang w:val="es-AR"/>
        </w:rPr>
        <w:t xml:space="preserve"> coherentes con</w:t>
      </w:r>
      <w:r w:rsidR="00402EF6" w:rsidRPr="00E6798C">
        <w:rPr>
          <w:lang w:val="es-AR"/>
        </w:rPr>
        <w:t xml:space="preserve"> los identificado</w:t>
      </w:r>
      <w:r w:rsidRPr="00E6798C">
        <w:rPr>
          <w:lang w:val="es-AR"/>
        </w:rPr>
        <w:t xml:space="preserve">s en la matriz de resultados del programa. </w:t>
      </w:r>
      <w:r w:rsidR="00402EF6" w:rsidRPr="00E6798C">
        <w:rPr>
          <w:lang w:val="es-AR"/>
        </w:rPr>
        <w:t>La tabla 4 muestra los resultados de la simulación</w:t>
      </w:r>
      <w:r w:rsidR="0037223F" w:rsidRPr="00E6798C">
        <w:rPr>
          <w:lang w:val="es-AR"/>
        </w:rPr>
        <w:t xml:space="preserve"> para los indicadores principales</w:t>
      </w:r>
      <w:r w:rsidR="00402EF6" w:rsidRPr="00E6798C">
        <w:rPr>
          <w:lang w:val="es-AR"/>
        </w:rPr>
        <w:t>.</w:t>
      </w:r>
    </w:p>
    <w:p w14:paraId="0A8AAEAA" w14:textId="77777777" w:rsidR="00581C55" w:rsidRPr="00E6798C" w:rsidRDefault="00581C55" w:rsidP="00F52852">
      <w:pPr>
        <w:spacing w:before="40" w:after="40"/>
        <w:rPr>
          <w:szCs w:val="24"/>
          <w:lang w:val="es-AR"/>
        </w:rPr>
      </w:pPr>
    </w:p>
    <w:p w14:paraId="055B6A95" w14:textId="77777777" w:rsidR="00402EF6" w:rsidRPr="00AD4BF9" w:rsidRDefault="00402EF6" w:rsidP="00402EF6">
      <w:pPr>
        <w:pStyle w:val="NoSpacing"/>
        <w:ind w:left="360"/>
        <w:jc w:val="center"/>
        <w:rPr>
          <w:b/>
          <w:lang w:val="es-ES"/>
        </w:rPr>
      </w:pPr>
      <w:r w:rsidRPr="00AD4BF9">
        <w:rPr>
          <w:b/>
          <w:lang w:val="es-ES"/>
        </w:rPr>
        <w:t xml:space="preserve">Tabla </w:t>
      </w:r>
      <w:r w:rsidR="00E22952" w:rsidRPr="00AD4BF9">
        <w:rPr>
          <w:b/>
          <w:lang w:val="es-ES"/>
        </w:rPr>
        <w:t>4</w:t>
      </w:r>
      <w:r w:rsidRPr="00AD4BF9">
        <w:rPr>
          <w:b/>
          <w:lang w:val="es-ES"/>
        </w:rPr>
        <w:t>: Requisitos de muestra para efectos mínimos detectables</w:t>
      </w:r>
    </w:p>
    <w:p w14:paraId="1F1479CC" w14:textId="77777777" w:rsidR="00402EF6" w:rsidRPr="00AD4BF9" w:rsidRDefault="00402EF6" w:rsidP="00402EF6">
      <w:pPr>
        <w:pStyle w:val="NoSpacing"/>
        <w:ind w:left="360"/>
        <w:jc w:val="center"/>
        <w:rPr>
          <w:b/>
          <w:lang w:val="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1926"/>
        <w:gridCol w:w="1789"/>
        <w:gridCol w:w="1535"/>
        <w:gridCol w:w="1850"/>
      </w:tblGrid>
      <w:tr w:rsidR="00402EF6" w:rsidRPr="00AD4BF9" w14:paraId="740F07CA" w14:textId="77777777" w:rsidTr="00AD4BF9">
        <w:trPr>
          <w:jc w:val="center"/>
        </w:trPr>
        <w:tc>
          <w:tcPr>
            <w:tcW w:w="1954" w:type="dxa"/>
            <w:vAlign w:val="center"/>
          </w:tcPr>
          <w:p w14:paraId="6F914C44" w14:textId="77777777" w:rsidR="00402EF6" w:rsidRPr="00AD4BF9" w:rsidRDefault="00402EF6" w:rsidP="00224CA0">
            <w:pPr>
              <w:jc w:val="center"/>
              <w:rPr>
                <w:b/>
                <w:bCs/>
                <w:sz w:val="18"/>
                <w:szCs w:val="18"/>
                <w:lang w:val="es-ES"/>
              </w:rPr>
            </w:pPr>
            <w:r w:rsidRPr="00AD4BF9">
              <w:rPr>
                <w:b/>
                <w:bCs/>
                <w:sz w:val="18"/>
                <w:szCs w:val="18"/>
                <w:lang w:val="es-ES"/>
              </w:rPr>
              <w:t>Indicador</w:t>
            </w:r>
          </w:p>
        </w:tc>
        <w:tc>
          <w:tcPr>
            <w:tcW w:w="1926" w:type="dxa"/>
            <w:vAlign w:val="center"/>
          </w:tcPr>
          <w:p w14:paraId="3427BFA5" w14:textId="77777777" w:rsidR="00402EF6" w:rsidRPr="00AD4BF9" w:rsidRDefault="00402EF6" w:rsidP="0067069B">
            <w:pPr>
              <w:jc w:val="center"/>
              <w:rPr>
                <w:b/>
                <w:bCs/>
                <w:sz w:val="18"/>
                <w:szCs w:val="18"/>
                <w:lang w:val="es-ES"/>
              </w:rPr>
            </w:pPr>
            <w:r w:rsidRPr="00AD4BF9">
              <w:rPr>
                <w:b/>
                <w:bCs/>
                <w:sz w:val="18"/>
                <w:szCs w:val="18"/>
                <w:lang w:val="es-ES"/>
              </w:rPr>
              <w:t>Tamaño de muestra grupo de tratamiento</w:t>
            </w:r>
          </w:p>
        </w:tc>
        <w:tc>
          <w:tcPr>
            <w:tcW w:w="1789" w:type="dxa"/>
            <w:vAlign w:val="center"/>
          </w:tcPr>
          <w:p w14:paraId="73EFE8D7" w14:textId="77777777" w:rsidR="00402EF6" w:rsidRPr="00AD4BF9" w:rsidRDefault="00402EF6" w:rsidP="00AD4BF9">
            <w:pPr>
              <w:jc w:val="center"/>
              <w:rPr>
                <w:b/>
                <w:bCs/>
                <w:sz w:val="18"/>
                <w:szCs w:val="18"/>
                <w:lang w:val="es-ES"/>
              </w:rPr>
            </w:pPr>
            <w:r w:rsidRPr="00AD4BF9">
              <w:rPr>
                <w:b/>
                <w:bCs/>
                <w:sz w:val="18"/>
                <w:szCs w:val="18"/>
                <w:lang w:val="es-ES"/>
              </w:rPr>
              <w:t>Tamaño de muestra grupo control</w:t>
            </w:r>
          </w:p>
        </w:tc>
        <w:tc>
          <w:tcPr>
            <w:tcW w:w="1535" w:type="dxa"/>
            <w:vAlign w:val="center"/>
          </w:tcPr>
          <w:p w14:paraId="55C48062" w14:textId="77777777" w:rsidR="00402EF6" w:rsidRPr="00AD4BF9" w:rsidRDefault="00402EF6" w:rsidP="00AD4BF9">
            <w:pPr>
              <w:jc w:val="center"/>
              <w:rPr>
                <w:b/>
                <w:bCs/>
                <w:sz w:val="18"/>
                <w:szCs w:val="18"/>
                <w:lang w:val="es-ES"/>
              </w:rPr>
            </w:pPr>
            <w:r w:rsidRPr="00AD4BF9">
              <w:rPr>
                <w:b/>
                <w:bCs/>
                <w:sz w:val="18"/>
                <w:szCs w:val="18"/>
                <w:lang w:val="es-ES"/>
              </w:rPr>
              <w:t>Muestra total</w:t>
            </w:r>
          </w:p>
        </w:tc>
        <w:tc>
          <w:tcPr>
            <w:tcW w:w="1850" w:type="dxa"/>
            <w:vAlign w:val="center"/>
          </w:tcPr>
          <w:p w14:paraId="6E7E083D" w14:textId="77777777" w:rsidR="00402EF6" w:rsidRPr="00AD4BF9" w:rsidRDefault="00402EF6" w:rsidP="00AD4BF9">
            <w:pPr>
              <w:jc w:val="center"/>
              <w:rPr>
                <w:b/>
                <w:bCs/>
                <w:sz w:val="18"/>
                <w:szCs w:val="18"/>
                <w:lang w:val="es-ES"/>
              </w:rPr>
            </w:pPr>
            <w:r w:rsidRPr="00AD4BF9">
              <w:rPr>
                <w:b/>
                <w:bCs/>
                <w:sz w:val="18"/>
                <w:szCs w:val="18"/>
                <w:lang w:val="es-ES"/>
              </w:rPr>
              <w:t>Diferencia mínima detectable</w:t>
            </w:r>
          </w:p>
        </w:tc>
      </w:tr>
      <w:tr w:rsidR="00402EF6" w:rsidRPr="00AD4BF9" w14:paraId="79A32B79" w14:textId="77777777" w:rsidTr="00811CD6">
        <w:trPr>
          <w:jc w:val="center"/>
        </w:trPr>
        <w:tc>
          <w:tcPr>
            <w:tcW w:w="1954" w:type="dxa"/>
          </w:tcPr>
          <w:p w14:paraId="7FAAC558" w14:textId="77777777" w:rsidR="00402EF6" w:rsidRPr="00AD4BF9" w:rsidRDefault="00C778B9" w:rsidP="007E25B3">
            <w:pPr>
              <w:rPr>
                <w:bCs/>
                <w:sz w:val="18"/>
                <w:szCs w:val="18"/>
                <w:lang w:val="es-ES"/>
              </w:rPr>
            </w:pPr>
            <w:r>
              <w:rPr>
                <w:bCs/>
                <w:sz w:val="18"/>
                <w:szCs w:val="18"/>
                <w:lang w:val="es-ES"/>
              </w:rPr>
              <w:t>Probabilidad de exportar</w:t>
            </w:r>
          </w:p>
        </w:tc>
        <w:tc>
          <w:tcPr>
            <w:tcW w:w="1926" w:type="dxa"/>
          </w:tcPr>
          <w:p w14:paraId="5561AFA3" w14:textId="77777777" w:rsidR="00402EF6" w:rsidRPr="00AD4BF9" w:rsidRDefault="00C778B9" w:rsidP="008C4F9C">
            <w:pPr>
              <w:jc w:val="center"/>
              <w:rPr>
                <w:bCs/>
                <w:sz w:val="18"/>
                <w:szCs w:val="18"/>
                <w:lang w:val="es-ES"/>
              </w:rPr>
            </w:pPr>
            <w:r>
              <w:rPr>
                <w:bCs/>
                <w:sz w:val="18"/>
                <w:szCs w:val="18"/>
                <w:lang w:val="es-ES"/>
              </w:rPr>
              <w:t>206</w:t>
            </w:r>
          </w:p>
        </w:tc>
        <w:tc>
          <w:tcPr>
            <w:tcW w:w="1789" w:type="dxa"/>
          </w:tcPr>
          <w:p w14:paraId="1F9BE4FF" w14:textId="77777777" w:rsidR="00402EF6" w:rsidRPr="00AD4BF9" w:rsidRDefault="00C778B9" w:rsidP="008C4F9C">
            <w:pPr>
              <w:jc w:val="center"/>
              <w:rPr>
                <w:bCs/>
                <w:sz w:val="18"/>
                <w:szCs w:val="18"/>
                <w:lang w:val="es-ES"/>
              </w:rPr>
            </w:pPr>
            <w:r>
              <w:rPr>
                <w:bCs/>
                <w:sz w:val="18"/>
                <w:szCs w:val="18"/>
                <w:lang w:val="es-ES"/>
              </w:rPr>
              <w:t>206</w:t>
            </w:r>
          </w:p>
        </w:tc>
        <w:tc>
          <w:tcPr>
            <w:tcW w:w="1535" w:type="dxa"/>
          </w:tcPr>
          <w:p w14:paraId="3AACC9E0" w14:textId="77777777" w:rsidR="00402EF6" w:rsidRPr="00AD4BF9" w:rsidRDefault="00C778B9" w:rsidP="00C778B9">
            <w:pPr>
              <w:jc w:val="center"/>
              <w:rPr>
                <w:bCs/>
                <w:sz w:val="18"/>
                <w:szCs w:val="18"/>
                <w:lang w:val="es-ES"/>
              </w:rPr>
            </w:pPr>
            <w:r>
              <w:rPr>
                <w:bCs/>
                <w:sz w:val="18"/>
                <w:szCs w:val="18"/>
                <w:lang w:val="es-ES"/>
              </w:rPr>
              <w:t>412</w:t>
            </w:r>
          </w:p>
        </w:tc>
        <w:tc>
          <w:tcPr>
            <w:tcW w:w="1850" w:type="dxa"/>
          </w:tcPr>
          <w:p w14:paraId="11C97BE8" w14:textId="77777777" w:rsidR="00402EF6" w:rsidRPr="00AD4BF9" w:rsidRDefault="00C778B9" w:rsidP="007E25B3">
            <w:pPr>
              <w:jc w:val="center"/>
              <w:rPr>
                <w:bCs/>
                <w:sz w:val="18"/>
                <w:szCs w:val="18"/>
                <w:lang w:val="es-ES"/>
              </w:rPr>
            </w:pPr>
            <w:r>
              <w:rPr>
                <w:bCs/>
                <w:sz w:val="18"/>
                <w:szCs w:val="18"/>
                <w:lang w:val="es-ES"/>
              </w:rPr>
              <w:t>0.04</w:t>
            </w:r>
          </w:p>
        </w:tc>
      </w:tr>
    </w:tbl>
    <w:p w14:paraId="03C7CA01" w14:textId="77777777" w:rsidR="00402EF6" w:rsidRPr="00145825" w:rsidRDefault="00402EF6" w:rsidP="00321B32">
      <w:pPr>
        <w:spacing w:line="360" w:lineRule="auto"/>
        <w:contextualSpacing/>
        <w:rPr>
          <w:b/>
          <w:szCs w:val="24"/>
          <w:lang w:val="es-ES"/>
        </w:rPr>
      </w:pPr>
    </w:p>
    <w:p w14:paraId="229D4462" w14:textId="77777777" w:rsidR="00402EF6" w:rsidRDefault="00C778B9" w:rsidP="00383F3F">
      <w:pPr>
        <w:rPr>
          <w:lang w:val="es-ES"/>
        </w:rPr>
      </w:pPr>
      <w:r>
        <w:rPr>
          <w:lang w:val="es-ES"/>
        </w:rPr>
        <w:t>Los datos de presentados en la tabla 4 corresponden al cálculo de potencia estadística para un modelo de la probabilidad. Se ha considerado un nivel de significatividad de 0.1 y un</w:t>
      </w:r>
      <w:r w:rsidR="002749C3">
        <w:rPr>
          <w:lang w:val="es-ES"/>
        </w:rPr>
        <w:t>a</w:t>
      </w:r>
      <w:r>
        <w:rPr>
          <w:lang w:val="es-ES"/>
        </w:rPr>
        <w:t xml:space="preserve"> potencia de 0.8, como es estándar en la literatura. Asumimos que contaremos con un panel de datos de comercio exterior que nos permitirá tener datos para anuales desde 1996. Hemos supuesto </w:t>
      </w:r>
      <w:r w:rsidR="0043414D">
        <w:rPr>
          <w:lang w:val="es-ES"/>
        </w:rPr>
        <w:t xml:space="preserve">un desvío estándar pre-tratamiento de 0.5 y una correlación entre las observaciones del panel de 0.9. Además hemos tomado 0.2 como la proporción de firmas exportadoras del grupo no tratado, valor que es consistente con el encontrado en la evaluación del Programa de Apoyo a la Reestructuración Empresarial. </w:t>
      </w:r>
    </w:p>
    <w:p w14:paraId="06552A0A" w14:textId="77777777" w:rsidR="0043414D" w:rsidRDefault="0043414D" w:rsidP="00383F3F">
      <w:pPr>
        <w:rPr>
          <w:lang w:val="es-ES"/>
        </w:rPr>
      </w:pPr>
      <w:r>
        <w:rPr>
          <w:lang w:val="es-ES"/>
        </w:rPr>
        <w:t>A man</w:t>
      </w:r>
      <w:r w:rsidR="001F29AA">
        <w:rPr>
          <w:lang w:val="es-ES"/>
        </w:rPr>
        <w:t>era de ejercicio de robustez, también se ha realizado el cálculo de potencia con valores considerando una correlación de 0.8 entre las observaciones a través del tiempo. En ese caso, el tamaño de muestra necesario es de 822 firmas, repartidas en partes iguales entre tratamiento y control.</w:t>
      </w:r>
    </w:p>
    <w:p w14:paraId="0C3A6B39" w14:textId="77777777" w:rsidR="00C778B9" w:rsidRPr="00C778B9" w:rsidRDefault="00C778B9" w:rsidP="00321B32">
      <w:pPr>
        <w:spacing w:line="360" w:lineRule="auto"/>
        <w:contextualSpacing/>
        <w:rPr>
          <w:szCs w:val="24"/>
          <w:lang w:val="es-ES"/>
        </w:rPr>
      </w:pPr>
    </w:p>
    <w:p w14:paraId="383015EA" w14:textId="77777777" w:rsidR="00321B32" w:rsidRPr="00145825" w:rsidRDefault="00321B32" w:rsidP="00321B32">
      <w:pPr>
        <w:spacing w:line="360" w:lineRule="auto"/>
        <w:contextualSpacing/>
        <w:rPr>
          <w:b/>
          <w:bCs/>
          <w:szCs w:val="24"/>
          <w:lang w:val="es-ES"/>
        </w:rPr>
      </w:pPr>
      <w:r w:rsidRPr="00145825">
        <w:rPr>
          <w:b/>
          <w:szCs w:val="24"/>
          <w:lang w:val="es-ES"/>
        </w:rPr>
        <w:t>f. Evaluaciones</w:t>
      </w:r>
      <w:r w:rsidRPr="00145825">
        <w:rPr>
          <w:b/>
          <w:bCs/>
          <w:szCs w:val="24"/>
          <w:lang w:val="es-ES"/>
        </w:rPr>
        <w:t xml:space="preserve"> complementarias - Análisis Costo-Beneficio ExPost </w:t>
      </w:r>
    </w:p>
    <w:p w14:paraId="27C5924B" w14:textId="77777777" w:rsidR="002749C3" w:rsidRDefault="00225EBA" w:rsidP="00383F3F">
      <w:pPr>
        <w:rPr>
          <w:lang w:val="es-ES"/>
        </w:rPr>
      </w:pPr>
      <w:r w:rsidRPr="00BC2699">
        <w:rPr>
          <w:lang w:val="es-ES"/>
        </w:rPr>
        <w:lastRenderedPageBreak/>
        <w:t>En el caso de la</w:t>
      </w:r>
      <w:r w:rsidR="002749C3">
        <w:rPr>
          <w:lang w:val="es-ES"/>
        </w:rPr>
        <w:t xml:space="preserve">s inversiones en infraestructuras de trasporte </w:t>
      </w:r>
      <w:r w:rsidRPr="00BC2699">
        <w:rPr>
          <w:lang w:val="es-ES"/>
        </w:rPr>
        <w:t>se realizará un análisis económico ex post.</w:t>
      </w:r>
      <w:r w:rsidR="00DB1DD2" w:rsidRPr="00BC2699">
        <w:rPr>
          <w:lang w:val="es-ES"/>
        </w:rPr>
        <w:t xml:space="preserve"> </w:t>
      </w:r>
    </w:p>
    <w:p w14:paraId="618A0A61" w14:textId="77777777" w:rsidR="00B4049C" w:rsidRPr="00BC2699" w:rsidRDefault="00B82E86" w:rsidP="00383F3F">
      <w:pPr>
        <w:rPr>
          <w:lang w:val="es-ES"/>
        </w:rPr>
      </w:pPr>
      <w:r w:rsidRPr="00BC2699">
        <w:rPr>
          <w:lang w:val="es-ES"/>
        </w:rPr>
        <w:t>El análisis costo-beneficio ex-post, se basa en determinar cuál es la ganancia para la economía de</w:t>
      </w:r>
      <w:r w:rsidR="00913F19" w:rsidRPr="00BC2699">
        <w:rPr>
          <w:lang w:val="es-ES"/>
        </w:rPr>
        <w:t xml:space="preserve"> haber </w:t>
      </w:r>
      <w:r w:rsidRPr="00BC2699">
        <w:rPr>
          <w:lang w:val="es-ES"/>
        </w:rPr>
        <w:t>ejecut</w:t>
      </w:r>
      <w:r w:rsidR="00913F19" w:rsidRPr="00BC2699">
        <w:rPr>
          <w:lang w:val="es-ES"/>
        </w:rPr>
        <w:t>ado</w:t>
      </w:r>
      <w:r w:rsidRPr="00BC2699">
        <w:rPr>
          <w:lang w:val="es-ES"/>
        </w:rPr>
        <w:t xml:space="preserve"> un programa cualquiera, a un determinado nivel de</w:t>
      </w:r>
      <w:r w:rsidR="00913F19" w:rsidRPr="00BC2699">
        <w:rPr>
          <w:lang w:val="es-ES"/>
        </w:rPr>
        <w:t xml:space="preserve"> esfuerzo. </w:t>
      </w:r>
      <w:r w:rsidR="00DB1DD2" w:rsidRPr="00BC2699">
        <w:rPr>
          <w:lang w:val="es-ES"/>
        </w:rPr>
        <w:t>Al igual que en la evaluación ex ante, la evaluación económica ex post consistirá del cálculo de la tasa interna de retorno (TIR) y del valor actual neto (VAN) del proyecto, esta vez utilizando los verdaderos valores de los beneficios y costos del proyecto.</w:t>
      </w:r>
    </w:p>
    <w:p w14:paraId="07BD21DB" w14:textId="77777777" w:rsidR="00B82E86" w:rsidRPr="00BC2699" w:rsidRDefault="00DB1DD2" w:rsidP="00383F3F">
      <w:pPr>
        <w:rPr>
          <w:lang w:val="es-ES"/>
        </w:rPr>
      </w:pPr>
      <w:r w:rsidRPr="00BC2699">
        <w:rPr>
          <w:lang w:val="es-ES"/>
        </w:rPr>
        <w:t>En la evaluación ex post, el valor de los beneficios, además de incluir el valor del ahorro de tiempo y de la reducción en los costos de operación</w:t>
      </w:r>
      <w:r w:rsidR="00B82E86" w:rsidRPr="00BC2699">
        <w:rPr>
          <w:lang w:val="es-ES"/>
        </w:rPr>
        <w:t xml:space="preserve"> verdaderamente realizados,</w:t>
      </w:r>
      <w:r w:rsidRPr="00BC2699">
        <w:rPr>
          <w:lang w:val="es-ES"/>
        </w:rPr>
        <w:t xml:space="preserve"> </w:t>
      </w:r>
      <w:r w:rsidR="00B82E86" w:rsidRPr="00BC2699">
        <w:rPr>
          <w:lang w:val="es-ES"/>
        </w:rPr>
        <w:t>deberá considerar</w:t>
      </w:r>
      <w:r w:rsidRPr="00BC2699">
        <w:rPr>
          <w:lang w:val="es-ES"/>
        </w:rPr>
        <w:t xml:space="preserve"> el valor de l</w:t>
      </w:r>
      <w:r w:rsidR="00B82E86" w:rsidRPr="00BC2699">
        <w:rPr>
          <w:lang w:val="es-ES"/>
        </w:rPr>
        <w:t>os impactos (positivos o negativos) encontrados en la evaluación descrita en las secciones anteriores, a saber, una monetización de los efectos sobre los visitantes de</w:t>
      </w:r>
      <w:r w:rsidR="00BB7018">
        <w:rPr>
          <w:lang w:val="es-ES"/>
        </w:rPr>
        <w:t xml:space="preserve"> los territorios considerados como de las empresas basadas en dichos territorios </w:t>
      </w:r>
      <w:r w:rsidR="00B82E86" w:rsidRPr="00BC2699">
        <w:rPr>
          <w:lang w:val="es-ES"/>
        </w:rPr>
        <w:t xml:space="preserve"> sobre ahorro de tiempo </w:t>
      </w:r>
      <w:r w:rsidR="00BB7018">
        <w:rPr>
          <w:lang w:val="es-ES"/>
        </w:rPr>
        <w:t>y acceso a mercados y canales de comercialización.</w:t>
      </w:r>
      <w:r w:rsidR="00827035">
        <w:rPr>
          <w:lang w:val="es-ES"/>
        </w:rPr>
        <w:t xml:space="preserve"> </w:t>
      </w:r>
      <w:r w:rsidR="00B82E86" w:rsidRPr="00BC2699">
        <w:rPr>
          <w:lang w:val="es-ES"/>
        </w:rPr>
        <w:t>En cuanto a los costos, estos deberán obtenerse a partir de los costos realizados del proyecto.</w:t>
      </w:r>
    </w:p>
    <w:p w14:paraId="7DC87046" w14:textId="77777777" w:rsidR="00913F19" w:rsidRPr="00982A1E" w:rsidRDefault="00BC2699" w:rsidP="00383F3F">
      <w:pPr>
        <w:rPr>
          <w:lang w:val="es-ES"/>
        </w:rPr>
      </w:pPr>
      <w:r w:rsidRPr="00BC2699">
        <w:rPr>
          <w:lang w:val="es-ES"/>
        </w:rPr>
        <w:t xml:space="preserve">Esta forma </w:t>
      </w:r>
      <w:r>
        <w:rPr>
          <w:lang w:val="es-ES"/>
        </w:rPr>
        <w:t>de análisis</w:t>
      </w:r>
      <w:r w:rsidRPr="00BC2699">
        <w:t xml:space="preserve"> ex post es aplicación común en parte porque bajo el supuesto de que </w:t>
      </w:r>
      <w:r w:rsidRPr="00BC2699">
        <w:rPr>
          <w:lang w:val="es-ES"/>
        </w:rPr>
        <w:t>es posible una redistribución sin costos de los beneficios del programa, maximizar los beneficios así calculados permitiría maximizar el bienestar social.</w:t>
      </w:r>
    </w:p>
    <w:p w14:paraId="0D882398" w14:textId="77777777" w:rsidR="00FD3D34" w:rsidRPr="00982A1E" w:rsidRDefault="00FD3D34" w:rsidP="00982A1E"/>
    <w:p w14:paraId="3ACA42EE" w14:textId="77777777" w:rsidR="00FD3D34" w:rsidRPr="00E6798C" w:rsidRDefault="00FD3D34" w:rsidP="00FD3D34">
      <w:pPr>
        <w:pStyle w:val="Heading4"/>
        <w:numPr>
          <w:ilvl w:val="0"/>
          <w:numId w:val="0"/>
        </w:numPr>
        <w:rPr>
          <w:rFonts w:ascii="Times New Roman" w:hAnsi="Times New Roman"/>
          <w:noProof w:val="0"/>
          <w:szCs w:val="24"/>
          <w:lang w:val="es-ES_tradnl"/>
        </w:rPr>
      </w:pPr>
      <w:r w:rsidRPr="00E6798C">
        <w:rPr>
          <w:rFonts w:ascii="Times New Roman" w:hAnsi="Times New Roman"/>
          <w:noProof w:val="0"/>
          <w:szCs w:val="24"/>
          <w:lang w:val="es-ES_tradnl"/>
        </w:rPr>
        <w:t>g. Coordinación, plan de trabajo y presupuesto de la evaluación</w:t>
      </w:r>
    </w:p>
    <w:p w14:paraId="7C766D96" w14:textId="77777777" w:rsidR="00FD3D34" w:rsidRPr="00E6798C" w:rsidRDefault="00FD3D34" w:rsidP="00FD3D34">
      <w:r>
        <w:t>La Tabla 5</w:t>
      </w:r>
      <w:r w:rsidRPr="00E6798C">
        <w:t xml:space="preserve"> presenta las actividades y los costos correspondientes. </w:t>
      </w:r>
    </w:p>
    <w:p w14:paraId="66571E7B" w14:textId="77777777" w:rsidR="00FD3D34" w:rsidRDefault="00FD3D34" w:rsidP="00FD3D34">
      <w:pPr>
        <w:pStyle w:val="heading-b24"/>
        <w:spacing w:before="120" w:after="120"/>
        <w:jc w:val="left"/>
        <w:rPr>
          <w:rFonts w:ascii="Times New Roman" w:hAnsi="Times New Roman"/>
          <w:smallCaps w:val="0"/>
          <w:szCs w:val="24"/>
        </w:rPr>
      </w:pPr>
    </w:p>
    <w:p w14:paraId="373952CA" w14:textId="77777777" w:rsidR="00FD3D34" w:rsidRPr="00AD4BF9" w:rsidRDefault="00FD3D34" w:rsidP="00FD3D34">
      <w:pPr>
        <w:pStyle w:val="heading-b24"/>
        <w:spacing w:before="120" w:after="120"/>
        <w:jc w:val="left"/>
        <w:rPr>
          <w:rFonts w:ascii="Times New Roman" w:hAnsi="Times New Roman"/>
          <w:smallCaps w:val="0"/>
          <w:szCs w:val="24"/>
        </w:rPr>
      </w:pPr>
      <w:r w:rsidRPr="00AD4BF9">
        <w:rPr>
          <w:rFonts w:ascii="Times New Roman" w:hAnsi="Times New Roman"/>
          <w:smallCaps w:val="0"/>
          <w:szCs w:val="24"/>
        </w:rPr>
        <w:t xml:space="preserve">Tabla </w:t>
      </w:r>
      <w:r>
        <w:rPr>
          <w:rFonts w:ascii="Times New Roman" w:hAnsi="Times New Roman"/>
          <w:smallCaps w:val="0"/>
          <w:szCs w:val="24"/>
        </w:rPr>
        <w:t>5</w:t>
      </w:r>
      <w:r w:rsidRPr="00AD4BF9">
        <w:rPr>
          <w:rFonts w:ascii="Times New Roman" w:hAnsi="Times New Roman"/>
          <w:smallCaps w:val="0"/>
          <w:szCs w:val="24"/>
        </w:rPr>
        <w:t>. Plan de trabajo de la evaluación</w:t>
      </w:r>
    </w:p>
    <w:tbl>
      <w:tblPr>
        <w:tblW w:w="10024" w:type="dxa"/>
        <w:jc w:val="center"/>
        <w:tblInd w:w="-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54"/>
        <w:gridCol w:w="810"/>
        <w:gridCol w:w="840"/>
        <w:gridCol w:w="900"/>
        <w:gridCol w:w="825"/>
        <w:gridCol w:w="810"/>
        <w:gridCol w:w="1350"/>
        <w:gridCol w:w="1335"/>
      </w:tblGrid>
      <w:tr w:rsidR="00FD3D34" w:rsidRPr="007C6122" w14:paraId="288D81DF" w14:textId="77777777" w:rsidTr="00982A1E">
        <w:trPr>
          <w:trHeight w:val="880"/>
          <w:jc w:val="center"/>
        </w:trPr>
        <w:tc>
          <w:tcPr>
            <w:tcW w:w="3154" w:type="dxa"/>
            <w:vAlign w:val="center"/>
          </w:tcPr>
          <w:p w14:paraId="2D29DDC2" w14:textId="77777777" w:rsidR="00FD3D34" w:rsidRPr="007C6122" w:rsidRDefault="00FD3D34" w:rsidP="00982A1E">
            <w:pPr>
              <w:spacing w:before="120"/>
              <w:rPr>
                <w:b/>
                <w:sz w:val="20"/>
              </w:rPr>
            </w:pPr>
            <w:r w:rsidRPr="007C6122">
              <w:rPr>
                <w:b/>
                <w:sz w:val="20"/>
              </w:rPr>
              <w:t>Principales actividades de evaluación/Productos por actividad</w:t>
            </w:r>
          </w:p>
        </w:tc>
        <w:tc>
          <w:tcPr>
            <w:tcW w:w="810" w:type="dxa"/>
            <w:vAlign w:val="center"/>
          </w:tcPr>
          <w:p w14:paraId="3A2D352B" w14:textId="77777777" w:rsidR="00FD3D34" w:rsidRPr="007C6122" w:rsidRDefault="00FD3D34" w:rsidP="00982A1E">
            <w:pPr>
              <w:spacing w:before="120"/>
              <w:jc w:val="center"/>
              <w:rPr>
                <w:b/>
                <w:sz w:val="20"/>
              </w:rPr>
            </w:pPr>
            <w:r w:rsidRPr="007C6122">
              <w:rPr>
                <w:b/>
                <w:sz w:val="20"/>
              </w:rPr>
              <w:t>Año 1</w:t>
            </w:r>
          </w:p>
        </w:tc>
        <w:tc>
          <w:tcPr>
            <w:tcW w:w="840" w:type="dxa"/>
            <w:vAlign w:val="center"/>
          </w:tcPr>
          <w:p w14:paraId="735D765A" w14:textId="77777777" w:rsidR="00FD3D34" w:rsidRPr="007C6122" w:rsidRDefault="00FD3D34" w:rsidP="00982A1E">
            <w:pPr>
              <w:spacing w:before="120"/>
              <w:jc w:val="center"/>
              <w:rPr>
                <w:b/>
                <w:sz w:val="20"/>
              </w:rPr>
            </w:pPr>
            <w:r w:rsidRPr="007C6122">
              <w:rPr>
                <w:b/>
                <w:sz w:val="20"/>
              </w:rPr>
              <w:t>Año 2</w:t>
            </w:r>
          </w:p>
        </w:tc>
        <w:tc>
          <w:tcPr>
            <w:tcW w:w="900" w:type="dxa"/>
            <w:vAlign w:val="center"/>
          </w:tcPr>
          <w:p w14:paraId="639262B0" w14:textId="77777777" w:rsidR="00FD3D34" w:rsidRPr="007C6122" w:rsidRDefault="00FD3D34" w:rsidP="00982A1E">
            <w:pPr>
              <w:spacing w:before="120"/>
              <w:jc w:val="center"/>
              <w:rPr>
                <w:b/>
                <w:sz w:val="20"/>
              </w:rPr>
            </w:pPr>
            <w:r w:rsidRPr="007C6122">
              <w:rPr>
                <w:b/>
                <w:sz w:val="20"/>
              </w:rPr>
              <w:t>Año 3</w:t>
            </w:r>
          </w:p>
        </w:tc>
        <w:tc>
          <w:tcPr>
            <w:tcW w:w="825" w:type="dxa"/>
            <w:vAlign w:val="center"/>
          </w:tcPr>
          <w:p w14:paraId="01E0EDDB" w14:textId="77777777" w:rsidR="00FD3D34" w:rsidRPr="007C6122" w:rsidRDefault="00FD3D34" w:rsidP="00982A1E">
            <w:pPr>
              <w:spacing w:before="120"/>
              <w:jc w:val="center"/>
              <w:rPr>
                <w:b/>
                <w:sz w:val="20"/>
              </w:rPr>
            </w:pPr>
            <w:r w:rsidRPr="007C6122">
              <w:rPr>
                <w:b/>
                <w:sz w:val="20"/>
              </w:rPr>
              <w:t>Año 4</w:t>
            </w:r>
          </w:p>
        </w:tc>
        <w:tc>
          <w:tcPr>
            <w:tcW w:w="810" w:type="dxa"/>
            <w:vAlign w:val="center"/>
          </w:tcPr>
          <w:p w14:paraId="2D119DF6" w14:textId="77777777" w:rsidR="00FD3D34" w:rsidRPr="007C6122" w:rsidRDefault="00FD3D34" w:rsidP="00982A1E">
            <w:pPr>
              <w:spacing w:before="120"/>
              <w:jc w:val="center"/>
              <w:rPr>
                <w:b/>
                <w:sz w:val="20"/>
              </w:rPr>
            </w:pPr>
            <w:r w:rsidRPr="007C6122">
              <w:rPr>
                <w:b/>
                <w:sz w:val="20"/>
              </w:rPr>
              <w:t>Año 5</w:t>
            </w:r>
          </w:p>
        </w:tc>
        <w:tc>
          <w:tcPr>
            <w:tcW w:w="1350" w:type="dxa"/>
            <w:vAlign w:val="center"/>
          </w:tcPr>
          <w:p w14:paraId="17E5B113" w14:textId="77777777" w:rsidR="00FD3D34" w:rsidRPr="007C6122" w:rsidRDefault="00FD3D34" w:rsidP="00982A1E">
            <w:pPr>
              <w:spacing w:before="120"/>
              <w:jc w:val="center"/>
              <w:rPr>
                <w:b/>
                <w:sz w:val="20"/>
              </w:rPr>
            </w:pPr>
            <w:r w:rsidRPr="007C6122">
              <w:rPr>
                <w:b/>
                <w:sz w:val="20"/>
              </w:rPr>
              <w:t>Responsable</w:t>
            </w:r>
          </w:p>
        </w:tc>
        <w:tc>
          <w:tcPr>
            <w:tcW w:w="1335" w:type="dxa"/>
            <w:vAlign w:val="center"/>
          </w:tcPr>
          <w:p w14:paraId="61C6F40D" w14:textId="77777777" w:rsidR="00FD3D34" w:rsidRPr="007C6122" w:rsidRDefault="00FD3D34" w:rsidP="00982A1E">
            <w:pPr>
              <w:spacing w:before="120"/>
              <w:jc w:val="center"/>
              <w:rPr>
                <w:b/>
                <w:sz w:val="20"/>
              </w:rPr>
            </w:pPr>
            <w:r w:rsidRPr="007C6122">
              <w:rPr>
                <w:b/>
                <w:sz w:val="20"/>
              </w:rPr>
              <w:t>Costo</w:t>
            </w:r>
          </w:p>
        </w:tc>
      </w:tr>
      <w:tr w:rsidR="00562121" w:rsidRPr="00393228" w14:paraId="0DA9E159" w14:textId="77777777" w:rsidTr="00EC34E2">
        <w:trPr>
          <w:jc w:val="center"/>
        </w:trPr>
        <w:tc>
          <w:tcPr>
            <w:tcW w:w="3154" w:type="dxa"/>
          </w:tcPr>
          <w:p w14:paraId="6BF54DAF" w14:textId="77777777" w:rsidR="00562121" w:rsidRPr="00112033" w:rsidRDefault="00562121" w:rsidP="00EC34E2">
            <w:pPr>
              <w:pStyle w:val="ListParagraph"/>
              <w:numPr>
                <w:ilvl w:val="0"/>
                <w:numId w:val="41"/>
              </w:numPr>
              <w:ind w:left="286" w:hanging="196"/>
              <w:rPr>
                <w:sz w:val="20"/>
              </w:rPr>
            </w:pPr>
            <w:r w:rsidRPr="00EC34E2">
              <w:rPr>
                <w:sz w:val="20"/>
                <w:szCs w:val="20"/>
              </w:rPr>
              <w:t>Informe de Medio Término</w:t>
            </w:r>
          </w:p>
        </w:tc>
        <w:tc>
          <w:tcPr>
            <w:tcW w:w="810" w:type="dxa"/>
          </w:tcPr>
          <w:p w14:paraId="3CB22B5C" w14:textId="77777777" w:rsidR="00562121" w:rsidRPr="00393228" w:rsidRDefault="00562121" w:rsidP="00EC34E2">
            <w:pPr>
              <w:spacing w:before="120"/>
              <w:jc w:val="center"/>
              <w:rPr>
                <w:rFonts w:ascii="Arial" w:hAnsi="Arial" w:cs="Arial"/>
                <w:sz w:val="20"/>
              </w:rPr>
            </w:pPr>
          </w:p>
        </w:tc>
        <w:tc>
          <w:tcPr>
            <w:tcW w:w="840" w:type="dxa"/>
          </w:tcPr>
          <w:p w14:paraId="1A363AC5" w14:textId="77777777" w:rsidR="00562121" w:rsidRPr="00393228" w:rsidRDefault="00562121" w:rsidP="00EC34E2">
            <w:pPr>
              <w:spacing w:before="120"/>
              <w:jc w:val="center"/>
              <w:rPr>
                <w:rFonts w:ascii="Arial" w:hAnsi="Arial" w:cs="Arial"/>
                <w:sz w:val="20"/>
              </w:rPr>
            </w:pPr>
          </w:p>
        </w:tc>
        <w:tc>
          <w:tcPr>
            <w:tcW w:w="900" w:type="dxa"/>
          </w:tcPr>
          <w:p w14:paraId="2D7962F2" w14:textId="77777777" w:rsidR="00562121" w:rsidRDefault="003B46E4" w:rsidP="00EC34E2">
            <w:pPr>
              <w:spacing w:before="120"/>
              <w:jc w:val="center"/>
              <w:rPr>
                <w:rFonts w:ascii="Arial" w:hAnsi="Arial" w:cs="Arial"/>
                <w:sz w:val="20"/>
              </w:rPr>
            </w:pPr>
            <w:r>
              <w:rPr>
                <w:rFonts w:ascii="Arial" w:hAnsi="Arial" w:cs="Arial"/>
                <w:sz w:val="20"/>
              </w:rPr>
              <w:t>X</w:t>
            </w:r>
          </w:p>
        </w:tc>
        <w:tc>
          <w:tcPr>
            <w:tcW w:w="825" w:type="dxa"/>
          </w:tcPr>
          <w:p w14:paraId="24D5AD6A" w14:textId="77777777" w:rsidR="00562121" w:rsidRPr="00393228" w:rsidRDefault="00562121" w:rsidP="00EC34E2">
            <w:pPr>
              <w:spacing w:before="120"/>
              <w:jc w:val="center"/>
              <w:rPr>
                <w:rFonts w:ascii="Arial" w:hAnsi="Arial" w:cs="Arial"/>
                <w:sz w:val="20"/>
              </w:rPr>
            </w:pPr>
          </w:p>
        </w:tc>
        <w:tc>
          <w:tcPr>
            <w:tcW w:w="810" w:type="dxa"/>
          </w:tcPr>
          <w:p w14:paraId="346A8AA2" w14:textId="77777777" w:rsidR="00562121" w:rsidRDefault="00562121" w:rsidP="00EC34E2">
            <w:pPr>
              <w:spacing w:before="120"/>
              <w:jc w:val="center"/>
              <w:rPr>
                <w:rFonts w:ascii="Arial" w:hAnsi="Arial" w:cs="Arial"/>
                <w:sz w:val="20"/>
              </w:rPr>
            </w:pPr>
          </w:p>
        </w:tc>
        <w:tc>
          <w:tcPr>
            <w:tcW w:w="1350" w:type="dxa"/>
          </w:tcPr>
          <w:p w14:paraId="76553B7F" w14:textId="77777777" w:rsidR="00562121" w:rsidRDefault="003B46E4" w:rsidP="00EC34E2">
            <w:pPr>
              <w:spacing w:before="120"/>
              <w:jc w:val="center"/>
              <w:rPr>
                <w:sz w:val="20"/>
              </w:rPr>
            </w:pPr>
            <w:r>
              <w:rPr>
                <w:sz w:val="20"/>
              </w:rPr>
              <w:t>UCP</w:t>
            </w:r>
          </w:p>
        </w:tc>
        <w:tc>
          <w:tcPr>
            <w:tcW w:w="1335" w:type="dxa"/>
          </w:tcPr>
          <w:p w14:paraId="3ED85E63" w14:textId="4EA41AAC" w:rsidR="00562121" w:rsidRDefault="005F1F6C" w:rsidP="005F1F6C">
            <w:pPr>
              <w:spacing w:before="120"/>
              <w:jc w:val="center"/>
              <w:rPr>
                <w:sz w:val="20"/>
                <w:lang w:val="es-ES"/>
              </w:rPr>
            </w:pPr>
            <w:r>
              <w:rPr>
                <w:sz w:val="20"/>
                <w:lang w:val="es-ES"/>
              </w:rPr>
              <w:t>72</w:t>
            </w:r>
            <w:r w:rsidR="003B46E4">
              <w:rPr>
                <w:sz w:val="20"/>
                <w:lang w:val="es-ES"/>
              </w:rPr>
              <w:t>,</w:t>
            </w:r>
            <w:r>
              <w:rPr>
                <w:sz w:val="20"/>
                <w:lang w:val="es-ES"/>
              </w:rPr>
              <w:t>5</w:t>
            </w:r>
            <w:r w:rsidR="003B46E4">
              <w:rPr>
                <w:sz w:val="20"/>
                <w:lang w:val="es-ES"/>
              </w:rPr>
              <w:t>00</w:t>
            </w:r>
          </w:p>
        </w:tc>
      </w:tr>
      <w:tr w:rsidR="00FD3D34" w:rsidRPr="00393228" w14:paraId="7075B99A" w14:textId="77777777" w:rsidTr="00EC34E2">
        <w:trPr>
          <w:jc w:val="center"/>
        </w:trPr>
        <w:tc>
          <w:tcPr>
            <w:tcW w:w="3154" w:type="dxa"/>
          </w:tcPr>
          <w:p w14:paraId="7674F124" w14:textId="2C97DBFE" w:rsidR="00FD3D34" w:rsidRPr="00EC34E2" w:rsidRDefault="00562121" w:rsidP="00EC34E2">
            <w:pPr>
              <w:pStyle w:val="ListParagraph"/>
              <w:numPr>
                <w:ilvl w:val="0"/>
                <w:numId w:val="41"/>
              </w:numPr>
              <w:ind w:left="286" w:hanging="196"/>
              <w:rPr>
                <w:sz w:val="20"/>
              </w:rPr>
            </w:pPr>
            <w:r w:rsidRPr="00EC34E2">
              <w:rPr>
                <w:sz w:val="20"/>
                <w:szCs w:val="20"/>
              </w:rPr>
              <w:t>Informe final del programa</w:t>
            </w:r>
          </w:p>
        </w:tc>
        <w:tc>
          <w:tcPr>
            <w:tcW w:w="810" w:type="dxa"/>
          </w:tcPr>
          <w:p w14:paraId="7F53F8DF" w14:textId="77777777" w:rsidR="00FD3D34" w:rsidRPr="00393228" w:rsidRDefault="00FD3D34" w:rsidP="00EC34E2">
            <w:pPr>
              <w:spacing w:before="120"/>
              <w:jc w:val="center"/>
              <w:rPr>
                <w:rFonts w:ascii="Arial" w:hAnsi="Arial" w:cs="Arial"/>
                <w:sz w:val="20"/>
              </w:rPr>
            </w:pPr>
          </w:p>
        </w:tc>
        <w:tc>
          <w:tcPr>
            <w:tcW w:w="840" w:type="dxa"/>
          </w:tcPr>
          <w:p w14:paraId="537F7A86" w14:textId="77777777" w:rsidR="00FD3D34" w:rsidRPr="00393228" w:rsidRDefault="00FD3D34" w:rsidP="00EC34E2">
            <w:pPr>
              <w:spacing w:before="120"/>
              <w:jc w:val="center"/>
              <w:rPr>
                <w:rFonts w:ascii="Arial" w:hAnsi="Arial" w:cs="Arial"/>
                <w:sz w:val="20"/>
              </w:rPr>
            </w:pPr>
          </w:p>
        </w:tc>
        <w:tc>
          <w:tcPr>
            <w:tcW w:w="900" w:type="dxa"/>
          </w:tcPr>
          <w:p w14:paraId="5C8C35BA" w14:textId="58DF5C1D" w:rsidR="00FD3D34" w:rsidRPr="00393228" w:rsidRDefault="00FD3D34" w:rsidP="00EC34E2">
            <w:pPr>
              <w:spacing w:before="120"/>
              <w:jc w:val="center"/>
              <w:rPr>
                <w:rFonts w:ascii="Arial" w:hAnsi="Arial" w:cs="Arial"/>
                <w:sz w:val="20"/>
              </w:rPr>
            </w:pPr>
          </w:p>
        </w:tc>
        <w:tc>
          <w:tcPr>
            <w:tcW w:w="825" w:type="dxa"/>
          </w:tcPr>
          <w:p w14:paraId="09F6129D" w14:textId="77777777" w:rsidR="00FD3D34" w:rsidRPr="00393228" w:rsidRDefault="00FD3D34" w:rsidP="00EC34E2">
            <w:pPr>
              <w:spacing w:before="120"/>
              <w:jc w:val="center"/>
              <w:rPr>
                <w:rFonts w:ascii="Arial" w:hAnsi="Arial" w:cs="Arial"/>
                <w:sz w:val="20"/>
              </w:rPr>
            </w:pPr>
          </w:p>
        </w:tc>
        <w:tc>
          <w:tcPr>
            <w:tcW w:w="810" w:type="dxa"/>
          </w:tcPr>
          <w:p w14:paraId="4034D60B" w14:textId="77777777" w:rsidR="00FD3D34" w:rsidRPr="00393228" w:rsidRDefault="00FD3D34" w:rsidP="00EC34E2">
            <w:pPr>
              <w:spacing w:before="120"/>
              <w:jc w:val="center"/>
              <w:rPr>
                <w:rFonts w:ascii="Arial" w:hAnsi="Arial" w:cs="Arial"/>
                <w:sz w:val="20"/>
              </w:rPr>
            </w:pPr>
            <w:r>
              <w:rPr>
                <w:rFonts w:ascii="Arial" w:hAnsi="Arial" w:cs="Arial"/>
                <w:sz w:val="20"/>
              </w:rPr>
              <w:t>X</w:t>
            </w:r>
          </w:p>
        </w:tc>
        <w:tc>
          <w:tcPr>
            <w:tcW w:w="1350" w:type="dxa"/>
          </w:tcPr>
          <w:p w14:paraId="46044900" w14:textId="77777777" w:rsidR="00FD3D34" w:rsidRPr="00393228" w:rsidRDefault="00FD3D34" w:rsidP="00EC34E2">
            <w:pPr>
              <w:spacing w:before="120"/>
              <w:jc w:val="center"/>
              <w:rPr>
                <w:sz w:val="20"/>
              </w:rPr>
            </w:pPr>
            <w:r>
              <w:rPr>
                <w:sz w:val="20"/>
              </w:rPr>
              <w:t>UCP</w:t>
            </w:r>
          </w:p>
        </w:tc>
        <w:tc>
          <w:tcPr>
            <w:tcW w:w="1335" w:type="dxa"/>
          </w:tcPr>
          <w:p w14:paraId="2D715925" w14:textId="76573D70" w:rsidR="00FD3D34" w:rsidRPr="00393228" w:rsidRDefault="005F1F6C" w:rsidP="005F1F6C">
            <w:pPr>
              <w:spacing w:before="120"/>
              <w:jc w:val="center"/>
              <w:rPr>
                <w:sz w:val="20"/>
                <w:lang w:val="es-ES"/>
              </w:rPr>
            </w:pPr>
            <w:r>
              <w:rPr>
                <w:sz w:val="20"/>
                <w:lang w:val="es-ES"/>
              </w:rPr>
              <w:t>7</w:t>
            </w:r>
            <w:r w:rsidR="003B46E4">
              <w:rPr>
                <w:sz w:val="20"/>
                <w:lang w:val="es-ES"/>
              </w:rPr>
              <w:t>2</w:t>
            </w:r>
            <w:r w:rsidR="00FD3D34" w:rsidRPr="00393228">
              <w:rPr>
                <w:sz w:val="20"/>
                <w:lang w:val="es-ES"/>
              </w:rPr>
              <w:t>,</w:t>
            </w:r>
            <w:r>
              <w:rPr>
                <w:sz w:val="20"/>
                <w:lang w:val="es-ES"/>
              </w:rPr>
              <w:t>5</w:t>
            </w:r>
            <w:r w:rsidR="00FD3D34" w:rsidRPr="00393228">
              <w:rPr>
                <w:sz w:val="20"/>
                <w:lang w:val="es-ES"/>
              </w:rPr>
              <w:t>00</w:t>
            </w:r>
          </w:p>
        </w:tc>
      </w:tr>
      <w:tr w:rsidR="00562121" w:rsidRPr="00393228" w14:paraId="40B746A2" w14:textId="77777777" w:rsidTr="00982A1E">
        <w:trPr>
          <w:jc w:val="center"/>
        </w:trPr>
        <w:tc>
          <w:tcPr>
            <w:tcW w:w="3154" w:type="dxa"/>
          </w:tcPr>
          <w:p w14:paraId="6F5E4EFD" w14:textId="455F5147" w:rsidR="00562121" w:rsidRPr="00045FF9" w:rsidRDefault="00562121" w:rsidP="00982A1E">
            <w:pPr>
              <w:pStyle w:val="ListParagraph"/>
              <w:numPr>
                <w:ilvl w:val="0"/>
                <w:numId w:val="41"/>
              </w:numPr>
              <w:ind w:left="286" w:hanging="196"/>
              <w:rPr>
                <w:sz w:val="20"/>
                <w:lang w:val="es-ES_tradnl"/>
              </w:rPr>
            </w:pPr>
            <w:r w:rsidRPr="00EC34E2">
              <w:rPr>
                <w:sz w:val="20"/>
                <w:szCs w:val="20"/>
                <w:lang w:val="es-ES_tradnl"/>
              </w:rPr>
              <w:t>Evaluación de impacto y</w:t>
            </w:r>
            <w:r w:rsidRPr="00982A1E">
              <w:rPr>
                <w:sz w:val="20"/>
                <w:lang w:val="es-ES_tradnl"/>
              </w:rPr>
              <w:t xml:space="preserve"> Análisis costo-beneficio ex-post</w:t>
            </w:r>
          </w:p>
        </w:tc>
        <w:tc>
          <w:tcPr>
            <w:tcW w:w="810" w:type="dxa"/>
          </w:tcPr>
          <w:p w14:paraId="10093E78" w14:textId="6D2A024B" w:rsidR="00562121" w:rsidRPr="00393228" w:rsidRDefault="005F1F6C" w:rsidP="00982A1E">
            <w:pPr>
              <w:spacing w:before="120"/>
              <w:jc w:val="center"/>
              <w:rPr>
                <w:rFonts w:ascii="Arial" w:hAnsi="Arial" w:cs="Arial"/>
                <w:sz w:val="20"/>
              </w:rPr>
            </w:pPr>
            <w:r>
              <w:rPr>
                <w:rFonts w:ascii="Arial" w:hAnsi="Arial" w:cs="Arial"/>
                <w:sz w:val="20"/>
              </w:rPr>
              <w:t>X</w:t>
            </w:r>
          </w:p>
        </w:tc>
        <w:tc>
          <w:tcPr>
            <w:tcW w:w="840" w:type="dxa"/>
          </w:tcPr>
          <w:p w14:paraId="4DAE2D20" w14:textId="77777777" w:rsidR="00562121" w:rsidRPr="00393228" w:rsidRDefault="00562121" w:rsidP="00982A1E">
            <w:pPr>
              <w:spacing w:before="120"/>
              <w:jc w:val="center"/>
              <w:rPr>
                <w:rFonts w:ascii="Arial" w:hAnsi="Arial" w:cs="Arial"/>
                <w:sz w:val="20"/>
              </w:rPr>
            </w:pPr>
          </w:p>
        </w:tc>
        <w:tc>
          <w:tcPr>
            <w:tcW w:w="900" w:type="dxa"/>
          </w:tcPr>
          <w:p w14:paraId="2E0612EC" w14:textId="0521748D" w:rsidR="00562121" w:rsidRPr="00393228" w:rsidRDefault="00FF4E0F" w:rsidP="00982A1E">
            <w:pPr>
              <w:spacing w:before="120"/>
              <w:jc w:val="center"/>
              <w:rPr>
                <w:rFonts w:ascii="Arial" w:hAnsi="Arial" w:cs="Arial"/>
                <w:sz w:val="20"/>
              </w:rPr>
            </w:pPr>
            <w:r>
              <w:rPr>
                <w:rFonts w:ascii="Arial" w:hAnsi="Arial" w:cs="Arial"/>
                <w:sz w:val="20"/>
              </w:rPr>
              <w:t>X</w:t>
            </w:r>
          </w:p>
        </w:tc>
        <w:tc>
          <w:tcPr>
            <w:tcW w:w="825" w:type="dxa"/>
          </w:tcPr>
          <w:p w14:paraId="3A10A999" w14:textId="77777777" w:rsidR="00562121" w:rsidRPr="00393228" w:rsidRDefault="00562121" w:rsidP="00982A1E">
            <w:pPr>
              <w:spacing w:before="120"/>
              <w:jc w:val="center"/>
              <w:rPr>
                <w:rFonts w:ascii="Arial" w:hAnsi="Arial" w:cs="Arial"/>
                <w:sz w:val="20"/>
              </w:rPr>
            </w:pPr>
          </w:p>
        </w:tc>
        <w:tc>
          <w:tcPr>
            <w:tcW w:w="810" w:type="dxa"/>
          </w:tcPr>
          <w:p w14:paraId="2C471F76" w14:textId="77777777" w:rsidR="00562121" w:rsidRPr="00393228" w:rsidRDefault="00562121" w:rsidP="00982A1E">
            <w:pPr>
              <w:spacing w:before="120"/>
              <w:jc w:val="center"/>
              <w:rPr>
                <w:rFonts w:ascii="Arial" w:hAnsi="Arial" w:cs="Arial"/>
                <w:sz w:val="20"/>
              </w:rPr>
            </w:pPr>
            <w:r w:rsidRPr="00393228">
              <w:rPr>
                <w:rFonts w:ascii="Arial" w:hAnsi="Arial" w:cs="Arial"/>
                <w:sz w:val="20"/>
              </w:rPr>
              <w:t>X</w:t>
            </w:r>
          </w:p>
        </w:tc>
        <w:tc>
          <w:tcPr>
            <w:tcW w:w="1350" w:type="dxa"/>
          </w:tcPr>
          <w:p w14:paraId="3F8EB348" w14:textId="77777777" w:rsidR="00562121" w:rsidRPr="00393228" w:rsidRDefault="00562121" w:rsidP="00982A1E">
            <w:pPr>
              <w:spacing w:before="120"/>
              <w:jc w:val="center"/>
              <w:rPr>
                <w:sz w:val="20"/>
              </w:rPr>
            </w:pPr>
            <w:r>
              <w:rPr>
                <w:sz w:val="20"/>
              </w:rPr>
              <w:t>UCP</w:t>
            </w:r>
          </w:p>
        </w:tc>
        <w:tc>
          <w:tcPr>
            <w:tcW w:w="1335" w:type="dxa"/>
          </w:tcPr>
          <w:p w14:paraId="60809A96" w14:textId="74BDEA2E" w:rsidR="00562121" w:rsidRPr="00982A1E" w:rsidRDefault="005F1F6C" w:rsidP="005F1F6C">
            <w:pPr>
              <w:spacing w:before="120"/>
              <w:jc w:val="center"/>
              <w:rPr>
                <w:sz w:val="20"/>
              </w:rPr>
            </w:pPr>
            <w:r>
              <w:rPr>
                <w:sz w:val="20"/>
                <w:lang w:val="es-ES"/>
              </w:rPr>
              <w:t>9</w:t>
            </w:r>
            <w:r w:rsidR="00562121">
              <w:rPr>
                <w:sz w:val="20"/>
              </w:rPr>
              <w:t>0</w:t>
            </w:r>
            <w:r w:rsidR="00562121" w:rsidRPr="00982A1E">
              <w:rPr>
                <w:sz w:val="20"/>
              </w:rPr>
              <w:t>,000</w:t>
            </w:r>
          </w:p>
        </w:tc>
      </w:tr>
      <w:tr w:rsidR="00FD3D34" w:rsidRPr="00393228" w14:paraId="5B345614" w14:textId="77777777" w:rsidTr="00982A1E">
        <w:trPr>
          <w:jc w:val="center"/>
        </w:trPr>
        <w:tc>
          <w:tcPr>
            <w:tcW w:w="3154" w:type="dxa"/>
          </w:tcPr>
          <w:p w14:paraId="521D7C08" w14:textId="77777777" w:rsidR="00FD3D34" w:rsidRPr="00393228" w:rsidRDefault="00FD3D34" w:rsidP="00982A1E">
            <w:pPr>
              <w:spacing w:before="120"/>
              <w:rPr>
                <w:b/>
                <w:sz w:val="20"/>
              </w:rPr>
            </w:pPr>
            <w:r w:rsidRPr="00393228">
              <w:rPr>
                <w:b/>
                <w:sz w:val="20"/>
              </w:rPr>
              <w:t>Costo Total</w:t>
            </w:r>
          </w:p>
        </w:tc>
        <w:tc>
          <w:tcPr>
            <w:tcW w:w="810" w:type="dxa"/>
          </w:tcPr>
          <w:p w14:paraId="502C2E2D" w14:textId="77777777" w:rsidR="00FD3D34" w:rsidRPr="00393228" w:rsidRDefault="00FD3D34" w:rsidP="00982A1E">
            <w:pPr>
              <w:spacing w:before="120"/>
              <w:jc w:val="center"/>
              <w:rPr>
                <w:b/>
                <w:sz w:val="20"/>
              </w:rPr>
            </w:pPr>
          </w:p>
        </w:tc>
        <w:tc>
          <w:tcPr>
            <w:tcW w:w="840" w:type="dxa"/>
          </w:tcPr>
          <w:p w14:paraId="49F44412" w14:textId="77777777" w:rsidR="00FD3D34" w:rsidRPr="00393228" w:rsidRDefault="00FD3D34" w:rsidP="00982A1E">
            <w:pPr>
              <w:spacing w:before="120"/>
              <w:jc w:val="center"/>
              <w:rPr>
                <w:b/>
                <w:sz w:val="20"/>
              </w:rPr>
            </w:pPr>
          </w:p>
        </w:tc>
        <w:tc>
          <w:tcPr>
            <w:tcW w:w="900" w:type="dxa"/>
          </w:tcPr>
          <w:p w14:paraId="3AE44A92" w14:textId="77777777" w:rsidR="00FD3D34" w:rsidRPr="00393228" w:rsidRDefault="00FD3D34" w:rsidP="00982A1E">
            <w:pPr>
              <w:spacing w:before="120"/>
              <w:jc w:val="center"/>
              <w:rPr>
                <w:b/>
                <w:sz w:val="20"/>
              </w:rPr>
            </w:pPr>
          </w:p>
        </w:tc>
        <w:tc>
          <w:tcPr>
            <w:tcW w:w="825" w:type="dxa"/>
          </w:tcPr>
          <w:p w14:paraId="630D8952" w14:textId="77777777" w:rsidR="00FD3D34" w:rsidRPr="00393228" w:rsidRDefault="00FD3D34" w:rsidP="00982A1E">
            <w:pPr>
              <w:spacing w:before="120"/>
              <w:jc w:val="center"/>
              <w:rPr>
                <w:b/>
                <w:sz w:val="20"/>
              </w:rPr>
            </w:pPr>
          </w:p>
        </w:tc>
        <w:tc>
          <w:tcPr>
            <w:tcW w:w="810" w:type="dxa"/>
          </w:tcPr>
          <w:p w14:paraId="1959F72B" w14:textId="77777777" w:rsidR="00FD3D34" w:rsidRPr="00393228" w:rsidRDefault="00FD3D34" w:rsidP="00982A1E">
            <w:pPr>
              <w:spacing w:before="120"/>
              <w:jc w:val="center"/>
              <w:rPr>
                <w:b/>
                <w:sz w:val="20"/>
              </w:rPr>
            </w:pPr>
          </w:p>
        </w:tc>
        <w:tc>
          <w:tcPr>
            <w:tcW w:w="1350" w:type="dxa"/>
          </w:tcPr>
          <w:p w14:paraId="2B6BE113" w14:textId="77777777" w:rsidR="00FD3D34" w:rsidRPr="00393228" w:rsidRDefault="00FD3D34" w:rsidP="00982A1E">
            <w:pPr>
              <w:spacing w:before="120"/>
              <w:jc w:val="center"/>
              <w:rPr>
                <w:b/>
                <w:sz w:val="20"/>
              </w:rPr>
            </w:pPr>
          </w:p>
        </w:tc>
        <w:tc>
          <w:tcPr>
            <w:tcW w:w="1335" w:type="dxa"/>
          </w:tcPr>
          <w:p w14:paraId="64A64F12" w14:textId="5862E4B9" w:rsidR="00FD3D34" w:rsidRPr="00393228" w:rsidRDefault="005F1F6C" w:rsidP="005F1F6C">
            <w:pPr>
              <w:spacing w:before="120"/>
              <w:jc w:val="center"/>
              <w:rPr>
                <w:b/>
                <w:sz w:val="20"/>
                <w:lang w:val="es-ES"/>
              </w:rPr>
            </w:pPr>
            <w:r>
              <w:rPr>
                <w:b/>
                <w:sz w:val="20"/>
                <w:lang w:val="es-ES"/>
              </w:rPr>
              <w:t>2</w:t>
            </w:r>
            <w:r w:rsidR="00FD3D34">
              <w:rPr>
                <w:b/>
                <w:sz w:val="20"/>
                <w:lang w:val="es-ES"/>
              </w:rPr>
              <w:t>3</w:t>
            </w:r>
            <w:r>
              <w:rPr>
                <w:b/>
                <w:sz w:val="20"/>
                <w:lang w:val="es-ES"/>
              </w:rPr>
              <w:t>5</w:t>
            </w:r>
            <w:r w:rsidR="00FD3D34" w:rsidRPr="00393228">
              <w:rPr>
                <w:b/>
                <w:sz w:val="20"/>
                <w:lang w:val="es-ES"/>
              </w:rPr>
              <w:t>,000</w:t>
            </w:r>
          </w:p>
        </w:tc>
      </w:tr>
    </w:tbl>
    <w:p w14:paraId="01D736BA" w14:textId="77777777" w:rsidR="00562121" w:rsidRPr="00D26CB8" w:rsidRDefault="00562121" w:rsidP="005E3081">
      <w:pPr>
        <w:rPr>
          <w:szCs w:val="24"/>
        </w:rPr>
      </w:pPr>
    </w:p>
    <w:p w14:paraId="385B41E8" w14:textId="77777777" w:rsidR="0018518E" w:rsidRPr="00E6798C" w:rsidRDefault="0018518E" w:rsidP="00D45C8E">
      <w:pPr>
        <w:pStyle w:val="AutoNumpara"/>
        <w:numPr>
          <w:ilvl w:val="0"/>
          <w:numId w:val="0"/>
        </w:numPr>
        <w:rPr>
          <w:b/>
          <w:noProof w:val="0"/>
          <w:szCs w:val="24"/>
          <w:lang w:val="en-US"/>
        </w:rPr>
      </w:pPr>
      <w:r w:rsidRPr="00E6798C">
        <w:rPr>
          <w:b/>
          <w:noProof w:val="0"/>
          <w:szCs w:val="24"/>
          <w:lang w:val="en-US"/>
        </w:rPr>
        <w:t>Referencias</w:t>
      </w:r>
    </w:p>
    <w:p w14:paraId="1FFC2DF0" w14:textId="77777777" w:rsidR="00C04CBF" w:rsidRPr="00BD78ED" w:rsidRDefault="00C04CBF" w:rsidP="00BD78ED">
      <w:pPr>
        <w:autoSpaceDE w:val="0"/>
        <w:autoSpaceDN w:val="0"/>
        <w:adjustRightInd w:val="0"/>
        <w:spacing w:before="120"/>
        <w:ind w:left="720" w:hanging="720"/>
        <w:rPr>
          <w:szCs w:val="24"/>
          <w:lang w:val="en-US"/>
        </w:rPr>
      </w:pPr>
      <w:r w:rsidRPr="00BD78ED">
        <w:rPr>
          <w:szCs w:val="24"/>
          <w:lang w:val="en-US"/>
        </w:rPr>
        <w:t xml:space="preserve">Alvarez, R., G. Crespi y C. Volpe (2012): “Impact evaluation in a multiple program world: export and innovation promotion”, IDB </w:t>
      </w:r>
      <w:r w:rsidR="00E24A51" w:rsidRPr="00BD78ED">
        <w:rPr>
          <w:szCs w:val="24"/>
          <w:lang w:val="en-US"/>
        </w:rPr>
        <w:t>Workshop</w:t>
      </w:r>
      <w:r w:rsidRPr="00BD78ED">
        <w:rPr>
          <w:szCs w:val="24"/>
          <w:lang w:val="en-US"/>
        </w:rPr>
        <w:t xml:space="preserve"> on the effects of trade and investment promotion.</w:t>
      </w:r>
    </w:p>
    <w:p w14:paraId="287B13B3" w14:textId="77777777" w:rsidR="00225EBA" w:rsidRPr="00BD78ED" w:rsidRDefault="00225EBA" w:rsidP="00BD78ED">
      <w:pPr>
        <w:autoSpaceDE w:val="0"/>
        <w:autoSpaceDN w:val="0"/>
        <w:adjustRightInd w:val="0"/>
        <w:spacing w:before="120"/>
        <w:ind w:left="720" w:hanging="720"/>
        <w:rPr>
          <w:szCs w:val="24"/>
          <w:lang w:val="en-US"/>
        </w:rPr>
      </w:pPr>
      <w:r w:rsidRPr="00BD78ED">
        <w:rPr>
          <w:szCs w:val="24"/>
          <w:lang w:val="en-US"/>
        </w:rPr>
        <w:t xml:space="preserve">Arráiz, I., F. Henríquez, and R. Stucchi (2013): “Supplier development programs and firm performance: Evidence from Chile,” </w:t>
      </w:r>
      <w:r w:rsidRPr="00BD78ED">
        <w:rPr>
          <w:i/>
          <w:szCs w:val="24"/>
          <w:lang w:val="en-US"/>
        </w:rPr>
        <w:t>Small Business Economics</w:t>
      </w:r>
      <w:r w:rsidRPr="00BD78ED">
        <w:rPr>
          <w:szCs w:val="24"/>
          <w:lang w:val="en-US"/>
        </w:rPr>
        <w:t>, 41(1), 277-293</w:t>
      </w:r>
    </w:p>
    <w:p w14:paraId="14AF86C2" w14:textId="77777777" w:rsidR="0018518E" w:rsidRPr="00BD78ED" w:rsidRDefault="0018518E" w:rsidP="00BD78ED">
      <w:pPr>
        <w:autoSpaceDE w:val="0"/>
        <w:autoSpaceDN w:val="0"/>
        <w:adjustRightInd w:val="0"/>
        <w:spacing w:before="120"/>
        <w:ind w:left="720" w:hanging="720"/>
        <w:rPr>
          <w:szCs w:val="24"/>
          <w:lang w:val="en-US"/>
        </w:rPr>
      </w:pPr>
      <w:r w:rsidRPr="00BD78ED">
        <w:rPr>
          <w:szCs w:val="24"/>
          <w:lang w:val="en-US"/>
        </w:rPr>
        <w:t xml:space="preserve">Binelli, C. and A. Maffioli. 2007. “A Micro-econometric Analysis of Public Support to Private R&amp;D in Argentina”. </w:t>
      </w:r>
      <w:r w:rsidRPr="00BD78ED">
        <w:rPr>
          <w:i/>
          <w:iCs/>
          <w:szCs w:val="24"/>
          <w:lang w:val="en-US"/>
        </w:rPr>
        <w:t xml:space="preserve">International Review of Applied Economics, </w:t>
      </w:r>
      <w:r w:rsidRPr="00BD78ED">
        <w:rPr>
          <w:szCs w:val="24"/>
          <w:lang w:val="en-US"/>
        </w:rPr>
        <w:t>vol. 21(3), pp. 339-359.</w:t>
      </w:r>
    </w:p>
    <w:p w14:paraId="2CD173F4" w14:textId="77777777" w:rsidR="00082921" w:rsidRPr="00BD78ED" w:rsidRDefault="00AD4BF9" w:rsidP="00BD78ED">
      <w:pPr>
        <w:autoSpaceDE w:val="0"/>
        <w:autoSpaceDN w:val="0"/>
        <w:adjustRightInd w:val="0"/>
        <w:spacing w:before="120"/>
        <w:ind w:left="720" w:hanging="720"/>
        <w:rPr>
          <w:szCs w:val="24"/>
          <w:lang w:val="en-US"/>
        </w:rPr>
      </w:pPr>
      <w:r w:rsidRPr="00BD78ED">
        <w:rPr>
          <w:szCs w:val="24"/>
          <w:lang w:val="en-US"/>
        </w:rPr>
        <w:lastRenderedPageBreak/>
        <w:t xml:space="preserve">Castillo, V., A. Maffioli, S. Rojo, and R. Stucchi (2013): “The effect of innovation policy on SMEs' employment and wages in Argentina,” </w:t>
      </w:r>
      <w:r w:rsidRPr="00BD78ED">
        <w:rPr>
          <w:i/>
          <w:szCs w:val="24"/>
          <w:lang w:val="en-US"/>
        </w:rPr>
        <w:t>Small Business Economics</w:t>
      </w:r>
      <w:r w:rsidRPr="00BD78ED">
        <w:rPr>
          <w:szCs w:val="24"/>
          <w:lang w:val="en-US"/>
        </w:rPr>
        <w:t xml:space="preserve">, </w:t>
      </w:r>
      <w:r w:rsidR="00082921">
        <w:rPr>
          <w:szCs w:val="24"/>
          <w:lang w:val="en-US"/>
        </w:rPr>
        <w:t xml:space="preserve">de proxima publicacion, publicado anteriormente como </w:t>
      </w:r>
      <w:r w:rsidR="00082921" w:rsidRPr="00082921">
        <w:rPr>
          <w:lang w:val="en-US"/>
        </w:rPr>
        <w:t xml:space="preserve"> “Innovation policy and employment: Evidence from an impact evaluation in Argentina</w:t>
      </w:r>
      <w:r w:rsidR="00082921" w:rsidRPr="00082921">
        <w:rPr>
          <w:color w:val="000000"/>
          <w:lang w:val="en-US"/>
        </w:rPr>
        <w:t xml:space="preserve">;” </w:t>
      </w:r>
      <w:r w:rsidR="00755296">
        <w:rPr>
          <w:color w:val="000000"/>
          <w:lang w:val="en-US"/>
        </w:rPr>
        <w:t>IADB</w:t>
      </w:r>
      <w:r w:rsidR="00082921" w:rsidRPr="00082921">
        <w:rPr>
          <w:color w:val="000000"/>
          <w:lang w:val="en-US"/>
        </w:rPr>
        <w:t xml:space="preserve">, Science and Technology Division Technical Notes No. IDB-TN-341. </w:t>
      </w:r>
      <w:r w:rsidR="00082921" w:rsidRPr="00082921">
        <w:rPr>
          <w:bCs/>
          <w:color w:val="000000"/>
          <w:lang w:val="en-US"/>
        </w:rPr>
        <w:t>December 2011</w:t>
      </w:r>
      <w:r w:rsidR="00082921" w:rsidRPr="00082921">
        <w:rPr>
          <w:color w:val="000000"/>
          <w:lang w:val="en-US"/>
        </w:rPr>
        <w:t>.</w:t>
      </w:r>
    </w:p>
    <w:p w14:paraId="7A5A294F" w14:textId="77777777" w:rsidR="002D12CF" w:rsidRPr="00BD78ED" w:rsidRDefault="002D12CF" w:rsidP="00BD78ED">
      <w:pPr>
        <w:autoSpaceDE w:val="0"/>
        <w:autoSpaceDN w:val="0"/>
        <w:adjustRightInd w:val="0"/>
        <w:spacing w:before="120"/>
        <w:ind w:left="720" w:hanging="720"/>
        <w:rPr>
          <w:szCs w:val="24"/>
          <w:lang w:val="en-US"/>
        </w:rPr>
      </w:pPr>
      <w:r w:rsidRPr="00BD78ED">
        <w:rPr>
          <w:szCs w:val="24"/>
          <w:lang w:val="en-US"/>
        </w:rPr>
        <w:t>Estache, A. (2010): “A survey of the impact evaluation of infrastructure projects, programs and policies”. Ecore Discussion Paper, No. 10.</w:t>
      </w:r>
    </w:p>
    <w:p w14:paraId="6FEFBB73" w14:textId="77777777" w:rsidR="002D12CF" w:rsidRPr="00BD78ED" w:rsidRDefault="002D12CF" w:rsidP="00BD78ED">
      <w:pPr>
        <w:autoSpaceDE w:val="0"/>
        <w:autoSpaceDN w:val="0"/>
        <w:adjustRightInd w:val="0"/>
        <w:spacing w:before="120"/>
        <w:ind w:left="720" w:hanging="720"/>
        <w:rPr>
          <w:szCs w:val="24"/>
          <w:lang w:val="en-US"/>
        </w:rPr>
      </w:pPr>
      <w:r w:rsidRPr="00BD78ED">
        <w:rPr>
          <w:szCs w:val="24"/>
          <w:lang w:val="en-US"/>
        </w:rPr>
        <w:t>Ferri (2004): “Evaluating the regional impact of a new road on tourism”. Regional Studies, Vol. 38, No. 4, pp. 409-418.</w:t>
      </w:r>
    </w:p>
    <w:p w14:paraId="5AF71F70" w14:textId="77777777" w:rsidR="00AC70E5" w:rsidRPr="00BD78ED" w:rsidRDefault="00AC70E5" w:rsidP="00BD78ED">
      <w:pPr>
        <w:autoSpaceDE w:val="0"/>
        <w:autoSpaceDN w:val="0"/>
        <w:adjustRightInd w:val="0"/>
        <w:spacing w:before="120"/>
        <w:ind w:left="720" w:hanging="720"/>
        <w:rPr>
          <w:szCs w:val="24"/>
          <w:lang w:val="en-US"/>
        </w:rPr>
      </w:pPr>
      <w:r w:rsidRPr="00BD78ED">
        <w:rPr>
          <w:szCs w:val="24"/>
          <w:lang w:val="en-US"/>
        </w:rPr>
        <w:t>Khadaroo, J., B. Seetanah (2007): “Transport infrastructure and tourism development”. Annals of Tourism Research, Vol. 34, No. 4, pp. 1021-1032.</w:t>
      </w:r>
    </w:p>
    <w:p w14:paraId="557E04D8" w14:textId="77777777" w:rsidR="0045317B" w:rsidRPr="00BD78ED" w:rsidRDefault="00BD78ED" w:rsidP="00BD78ED">
      <w:pPr>
        <w:autoSpaceDE w:val="0"/>
        <w:autoSpaceDN w:val="0"/>
        <w:adjustRightInd w:val="0"/>
        <w:spacing w:before="120"/>
        <w:ind w:left="720" w:hanging="720"/>
        <w:rPr>
          <w:szCs w:val="24"/>
          <w:lang w:val="en-US"/>
        </w:rPr>
      </w:pPr>
      <w:r w:rsidRPr="00BD78ED">
        <w:rPr>
          <w:szCs w:val="24"/>
          <w:lang w:val="en-US"/>
        </w:rPr>
        <w:t xml:space="preserve">Imbens, G., &amp; Wooldridge, J. (2008, August). </w:t>
      </w:r>
      <w:r w:rsidRPr="00BD78ED">
        <w:rPr>
          <w:i/>
          <w:iCs/>
          <w:szCs w:val="24"/>
          <w:lang w:val="en-US"/>
        </w:rPr>
        <w:t>Recent Developments in the Econometrics of Program Evaluation.</w:t>
      </w:r>
      <w:r w:rsidRPr="00BD78ED">
        <w:rPr>
          <w:szCs w:val="24"/>
          <w:lang w:val="en-US"/>
        </w:rPr>
        <w:t xml:space="preserve"> Retrieved from National Bureau of Economic Research: </w:t>
      </w:r>
      <w:hyperlink r:id="rId13" w:history="1">
        <w:r w:rsidRPr="00BD78ED">
          <w:rPr>
            <w:rStyle w:val="Hyperlink"/>
            <w:szCs w:val="24"/>
            <w:lang w:val="en-US"/>
          </w:rPr>
          <w:t>http://www.nber.org/papers/w14251</w:t>
        </w:r>
      </w:hyperlink>
    </w:p>
    <w:p w14:paraId="5E8CC7A8" w14:textId="77777777" w:rsidR="00BD78ED" w:rsidRPr="00BD78ED" w:rsidRDefault="00BD78ED" w:rsidP="00BD78ED">
      <w:pPr>
        <w:autoSpaceDE w:val="0"/>
        <w:autoSpaceDN w:val="0"/>
        <w:adjustRightInd w:val="0"/>
        <w:spacing w:before="120"/>
        <w:ind w:left="720" w:hanging="720"/>
        <w:rPr>
          <w:szCs w:val="24"/>
          <w:lang w:val="en-US"/>
        </w:rPr>
      </w:pPr>
      <w:r w:rsidRPr="009E4A98">
        <w:rPr>
          <w:szCs w:val="24"/>
          <w:lang w:val="en-US"/>
        </w:rPr>
        <w:t xml:space="preserve">Rosenbaum, P. R., &amp; Rubin, D. R. (1983). </w:t>
      </w:r>
      <w:r w:rsidRPr="00BD78ED">
        <w:rPr>
          <w:szCs w:val="24"/>
          <w:lang w:val="en-US"/>
        </w:rPr>
        <w:t xml:space="preserve">The Central Role of the Propensity Score in Observational Studies for Causal Effects. </w:t>
      </w:r>
      <w:r w:rsidRPr="00BD78ED">
        <w:rPr>
          <w:i/>
          <w:iCs/>
          <w:szCs w:val="24"/>
          <w:lang w:val="en-US"/>
        </w:rPr>
        <w:t>Biometrika, 70</w:t>
      </w:r>
      <w:r w:rsidRPr="00BD78ED">
        <w:rPr>
          <w:szCs w:val="24"/>
          <w:lang w:val="en-US"/>
        </w:rPr>
        <w:t>(1), 41-55</w:t>
      </w:r>
    </w:p>
    <w:p w14:paraId="59D4552A" w14:textId="77777777" w:rsidR="00BD78ED" w:rsidRDefault="00BD78ED" w:rsidP="00BD78ED">
      <w:pPr>
        <w:autoSpaceDE w:val="0"/>
        <w:autoSpaceDN w:val="0"/>
        <w:adjustRightInd w:val="0"/>
        <w:spacing w:before="120"/>
        <w:ind w:left="720" w:hanging="720"/>
        <w:rPr>
          <w:szCs w:val="24"/>
          <w:lang w:val="en-US"/>
        </w:rPr>
      </w:pPr>
      <w:r w:rsidRPr="00607BB4">
        <w:rPr>
          <w:lang w:val="en-US"/>
        </w:rPr>
        <w:t xml:space="preserve">van de Walle, D., &amp; Cratty, D. (2002). </w:t>
      </w:r>
      <w:r w:rsidRPr="00BD78ED">
        <w:rPr>
          <w:i/>
          <w:iCs/>
          <w:szCs w:val="24"/>
          <w:lang w:val="en-US"/>
        </w:rPr>
        <w:t>Impact of a Rural Road Rehabilitation Project.</w:t>
      </w:r>
      <w:r w:rsidRPr="00BD78ED">
        <w:rPr>
          <w:szCs w:val="24"/>
          <w:lang w:val="en-US"/>
        </w:rPr>
        <w:t xml:space="preserve"> World Bank.</w:t>
      </w:r>
    </w:p>
    <w:p w14:paraId="41D423FE" w14:textId="77777777" w:rsidR="00D0512D" w:rsidRDefault="00D0512D" w:rsidP="00BF7DC8">
      <w:pPr>
        <w:autoSpaceDE w:val="0"/>
        <w:autoSpaceDN w:val="0"/>
        <w:adjustRightInd w:val="0"/>
        <w:spacing w:before="120"/>
        <w:ind w:left="720" w:hanging="720"/>
        <w:rPr>
          <w:szCs w:val="24"/>
          <w:lang w:val="en-US"/>
        </w:rPr>
      </w:pPr>
    </w:p>
    <w:p w14:paraId="0275AB28" w14:textId="77777777" w:rsidR="00005053" w:rsidRDefault="00005053" w:rsidP="00F22B31">
      <w:pPr>
        <w:autoSpaceDE w:val="0"/>
        <w:autoSpaceDN w:val="0"/>
        <w:adjustRightInd w:val="0"/>
        <w:spacing w:before="120"/>
        <w:ind w:left="720" w:hanging="720"/>
        <w:rPr>
          <w:szCs w:val="24"/>
          <w:lang w:val="en-US"/>
        </w:rPr>
      </w:pPr>
    </w:p>
    <w:p w14:paraId="7733D5E0" w14:textId="77777777" w:rsidR="002A5317" w:rsidRPr="00EB01BD" w:rsidRDefault="002A5317" w:rsidP="00EB01BD">
      <w:pPr>
        <w:spacing w:before="0"/>
        <w:jc w:val="left"/>
        <w:rPr>
          <w:szCs w:val="24"/>
          <w:lang w:val="en-US"/>
        </w:rPr>
      </w:pPr>
    </w:p>
    <w:sectPr w:rsidR="002A5317" w:rsidRPr="00EB01BD" w:rsidSect="006E0E25">
      <w:headerReference w:type="default" r:id="rId14"/>
      <w:pgSz w:w="11907" w:h="16840" w:code="9"/>
      <w:pgMar w:top="1440" w:right="1440" w:bottom="1440" w:left="1440" w:header="562" w:footer="5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7331F8" w14:textId="77777777" w:rsidR="00AE3B26" w:rsidRDefault="00AE3B26">
      <w:r>
        <w:separator/>
      </w:r>
    </w:p>
  </w:endnote>
  <w:endnote w:type="continuationSeparator" w:id="0">
    <w:p w14:paraId="0BDAC9AA" w14:textId="77777777" w:rsidR="00AE3B26" w:rsidRDefault="00AE3B26">
      <w:r>
        <w:continuationSeparator/>
      </w:r>
    </w:p>
  </w:endnote>
  <w:endnote w:type="continuationNotice" w:id="1">
    <w:p w14:paraId="710DDF9A" w14:textId="77777777" w:rsidR="00AE3B26" w:rsidRDefault="00AE3B2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2280198"/>
      <w:docPartObj>
        <w:docPartGallery w:val="Page Numbers (Bottom of Page)"/>
        <w:docPartUnique/>
      </w:docPartObj>
    </w:sdtPr>
    <w:sdtEndPr>
      <w:rPr>
        <w:noProof/>
      </w:rPr>
    </w:sdtEndPr>
    <w:sdtContent>
      <w:p w14:paraId="6D0E2981" w14:textId="277F2DB8" w:rsidR="00AE3B26" w:rsidRDefault="00AE3B26" w:rsidP="00F23360">
        <w:pPr>
          <w:pStyle w:val="Footer"/>
        </w:pPr>
        <w:r>
          <w:t xml:space="preserve">Ver. </w:t>
        </w:r>
        <w:r w:rsidR="00A54529">
          <w:t>24</w:t>
        </w:r>
        <w:r>
          <w:t xml:space="preserve"> de </w:t>
        </w:r>
        <w:r w:rsidR="00A54529">
          <w:t xml:space="preserve">Abril </w:t>
        </w:r>
        <w:r>
          <w:t>2014</w:t>
        </w:r>
        <w:r>
          <w:tab/>
        </w:r>
        <w:r>
          <w:fldChar w:fldCharType="begin"/>
        </w:r>
        <w:r>
          <w:instrText xml:space="preserve"> PAGE   \* MERGEFORMAT </w:instrText>
        </w:r>
        <w:r>
          <w:fldChar w:fldCharType="separate"/>
        </w:r>
        <w:r w:rsidR="00F84C15">
          <w:rPr>
            <w:noProof/>
          </w:rPr>
          <w:t>25</w:t>
        </w:r>
        <w:r>
          <w:rPr>
            <w:noProof/>
          </w:rPr>
          <w:fldChar w:fldCharType="end"/>
        </w:r>
      </w:p>
    </w:sdtContent>
  </w:sdt>
  <w:p w14:paraId="535B24C9" w14:textId="77777777" w:rsidR="00AE3B26" w:rsidRDefault="00AE3B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AEB333" w14:textId="77777777" w:rsidR="00AE3B26" w:rsidRDefault="00AE3B26">
      <w:r>
        <w:separator/>
      </w:r>
    </w:p>
  </w:footnote>
  <w:footnote w:type="continuationSeparator" w:id="0">
    <w:p w14:paraId="03A14638" w14:textId="77777777" w:rsidR="00AE3B26" w:rsidRDefault="00AE3B26">
      <w:r>
        <w:continuationSeparator/>
      </w:r>
    </w:p>
  </w:footnote>
  <w:footnote w:type="continuationNotice" w:id="1">
    <w:p w14:paraId="35CA5DA3" w14:textId="77777777" w:rsidR="00AE3B26" w:rsidRDefault="00AE3B26">
      <w:pPr>
        <w:spacing w:before="0"/>
      </w:pPr>
    </w:p>
  </w:footnote>
  <w:footnote w:id="2">
    <w:p w14:paraId="1AA0E2FF" w14:textId="710EB1F8" w:rsidR="00AE3B26" w:rsidRPr="00457B6D" w:rsidRDefault="00AE3B26" w:rsidP="00457B6D">
      <w:pPr>
        <w:pStyle w:val="FootnoteText"/>
        <w:ind w:left="180" w:hanging="180"/>
        <w:rPr>
          <w:lang w:val="es-ES"/>
        </w:rPr>
      </w:pPr>
      <w:r>
        <w:rPr>
          <w:rStyle w:val="FootnoteReference"/>
        </w:rPr>
        <w:footnoteRef/>
      </w:r>
      <w:r w:rsidRPr="00457B6D">
        <w:rPr>
          <w:lang w:val="es-ES"/>
        </w:rPr>
        <w:t xml:space="preserve"> </w:t>
      </w:r>
      <w:r w:rsidRPr="00457B6D">
        <w:rPr>
          <w:sz w:val="18"/>
          <w:lang w:val="es-ES"/>
        </w:rPr>
        <w:t xml:space="preserve">El programa se enfoca en </w:t>
      </w:r>
      <w:r>
        <w:rPr>
          <w:sz w:val="18"/>
          <w:szCs w:val="18"/>
          <w:lang w:val="es-ES_tradnl"/>
        </w:rPr>
        <w:t xml:space="preserve">30 municipios priorizados para este programa son: </w:t>
      </w:r>
      <w:r w:rsidRPr="00E279F1">
        <w:rPr>
          <w:sz w:val="18"/>
          <w:szCs w:val="18"/>
          <w:lang w:val="es-ES_tradnl"/>
        </w:rPr>
        <w:t>Sonsonate, Acajutla, Caluco, Cuisnahuat, Izalco, Juayúa, Nahuizalco, Nahulingo, Salcoatitán, San Antonio del Monte, San Julián, Santa Catarina Masahuat, Santa Isabel Ishuatán, Santo Domingo de Guzmán, Sonzacate, Apaneca, Guaymango, Jujutla, San Pedro Puxtla y San Francisco Ménendez (adyacentes a Acajutla), La Unión, Conchagua, El Carmen, Intipuca, Meanguera del Golfo, Pasaquina, San Alejo y Santa Rosa de Lima (adyacentes a La Unión)</w:t>
      </w:r>
      <w:r>
        <w:rPr>
          <w:sz w:val="18"/>
          <w:szCs w:val="18"/>
          <w:lang w:val="es-ES_tradnl"/>
        </w:rPr>
        <w:t>; y Jiquilisco y San Agustión (adyacentes a Jiquilisco)</w:t>
      </w:r>
      <w:r w:rsidRPr="00E279F1">
        <w:rPr>
          <w:sz w:val="18"/>
          <w:szCs w:val="18"/>
          <w:lang w:val="es-ES_tradnl"/>
        </w:rPr>
        <w:t>.</w:t>
      </w:r>
    </w:p>
  </w:footnote>
  <w:footnote w:id="3">
    <w:p w14:paraId="5BF2B61D" w14:textId="77777777" w:rsidR="00AE3B26" w:rsidRPr="00DB7D2C" w:rsidRDefault="00AE3B26" w:rsidP="00457B6D">
      <w:pPr>
        <w:pStyle w:val="FootnoteText"/>
        <w:ind w:left="180" w:hanging="180"/>
        <w:rPr>
          <w:sz w:val="18"/>
          <w:szCs w:val="18"/>
          <w:lang w:val="es-ES_tradnl"/>
        </w:rPr>
      </w:pPr>
      <w:r w:rsidRPr="00DB7D2C">
        <w:rPr>
          <w:rStyle w:val="FootnoteReference"/>
          <w:sz w:val="18"/>
          <w:szCs w:val="18"/>
        </w:rPr>
        <w:footnoteRef/>
      </w:r>
      <w:r w:rsidRPr="00DB7D2C">
        <w:rPr>
          <w:sz w:val="18"/>
          <w:szCs w:val="18"/>
          <w:lang w:val="es-ES_tradnl"/>
        </w:rPr>
        <w:t xml:space="preserve"> </w:t>
      </w:r>
      <w:r>
        <w:rPr>
          <w:sz w:val="18"/>
          <w:szCs w:val="18"/>
          <w:lang w:val="es-ES_tradnl"/>
        </w:rPr>
        <w:tab/>
      </w:r>
      <w:r w:rsidRPr="00DB7D2C">
        <w:rPr>
          <w:sz w:val="18"/>
          <w:szCs w:val="18"/>
          <w:lang w:val="es-ES_tradnl"/>
        </w:rPr>
        <w:t>El FONDEPRO tiene como objetivo contribuir a mejorar la productividad y la competitividad de las pequeñas y medianas empresas (PYMES), a través de cofinanciamientos no reembolsables en apoyo a la ejecución de sus proyectos, complementando las actividades de los CDMYPEs, que se encuentran enfocadas mayormente a las empresas de menor tamaño.</w:t>
      </w:r>
    </w:p>
  </w:footnote>
  <w:footnote w:id="4">
    <w:p w14:paraId="20DE6FDD" w14:textId="25DA5E79" w:rsidR="00AE3B26" w:rsidRPr="00AE3B26" w:rsidRDefault="00AE3B26">
      <w:pPr>
        <w:pStyle w:val="FootnoteText"/>
        <w:rPr>
          <w:lang w:val="es-ES_tradnl"/>
        </w:rPr>
      </w:pPr>
      <w:r>
        <w:rPr>
          <w:rStyle w:val="FootnoteReference"/>
        </w:rPr>
        <w:footnoteRef/>
      </w:r>
      <w:r w:rsidRPr="00AE3B26">
        <w:rPr>
          <w:lang w:val="es-ES_tradnl"/>
        </w:rPr>
        <w:t xml:space="preserve"> En la playa El Cuco opera un centro de acopio donado por la cooperación española, con un modelo auto sostenible.</w:t>
      </w:r>
    </w:p>
  </w:footnote>
  <w:footnote w:id="5">
    <w:p w14:paraId="09416AC1" w14:textId="77777777" w:rsidR="00AE3B26" w:rsidRPr="00DB7D2C" w:rsidRDefault="00AE3B26" w:rsidP="00457B6D">
      <w:pPr>
        <w:pStyle w:val="FootnoteText"/>
        <w:ind w:left="180" w:hanging="180"/>
        <w:rPr>
          <w:sz w:val="18"/>
          <w:szCs w:val="18"/>
          <w:lang w:val="es-ES_tradnl"/>
        </w:rPr>
      </w:pPr>
      <w:r w:rsidRPr="00DB7D2C">
        <w:rPr>
          <w:rStyle w:val="FootnoteReference"/>
          <w:sz w:val="18"/>
          <w:szCs w:val="18"/>
        </w:rPr>
        <w:footnoteRef/>
      </w:r>
      <w:r w:rsidRPr="00DB7D2C">
        <w:rPr>
          <w:sz w:val="18"/>
          <w:szCs w:val="18"/>
          <w:lang w:val="es-ES_tradnl"/>
        </w:rPr>
        <w:t xml:space="preserve"> </w:t>
      </w:r>
      <w:r>
        <w:rPr>
          <w:sz w:val="18"/>
          <w:szCs w:val="18"/>
          <w:lang w:val="es-ES_tradnl"/>
        </w:rPr>
        <w:tab/>
      </w:r>
      <w:r w:rsidRPr="00DB7D2C">
        <w:rPr>
          <w:sz w:val="18"/>
          <w:szCs w:val="18"/>
          <w:lang w:val="es-ES_tradnl"/>
        </w:rPr>
        <w:t>Las acciones de sostenibilidad ambiental permitirán potenciar las actuales actividades de pesca, turismo y agricultura.</w:t>
      </w:r>
    </w:p>
  </w:footnote>
  <w:footnote w:id="6">
    <w:p w14:paraId="2DA91707" w14:textId="77777777" w:rsidR="00AE3B26" w:rsidRPr="00FC272B" w:rsidRDefault="00AE3B26">
      <w:pPr>
        <w:pStyle w:val="FootnoteText"/>
        <w:rPr>
          <w:lang w:val="es-ES"/>
        </w:rPr>
      </w:pPr>
      <w:r>
        <w:rPr>
          <w:rStyle w:val="FootnoteReference"/>
        </w:rPr>
        <w:footnoteRef/>
      </w:r>
      <w:r w:rsidRPr="00FC272B">
        <w:rPr>
          <w:lang w:val="es-ES"/>
        </w:rPr>
        <w:t xml:space="preserve"> </w:t>
      </w:r>
      <w:r w:rsidRPr="00FD7DBF">
        <w:rPr>
          <w:lang w:val="es-ES"/>
        </w:rPr>
        <w:t>Una revisión completa de evaluaciones se puede encontrar en el informe “Assessing the Effectiveness of Agricultural interventions” (IDB, 2010).</w:t>
      </w:r>
    </w:p>
  </w:footnote>
  <w:footnote w:id="7">
    <w:p w14:paraId="4AE521C3" w14:textId="77777777" w:rsidR="00AE3B26" w:rsidRPr="00F63B38" w:rsidRDefault="00AE3B26">
      <w:pPr>
        <w:pStyle w:val="FootnoteText"/>
        <w:rPr>
          <w:lang w:val="es-ES"/>
        </w:rPr>
      </w:pPr>
      <w:r>
        <w:rPr>
          <w:rStyle w:val="FootnoteReference"/>
        </w:rPr>
        <w:footnoteRef/>
      </w:r>
      <w:r w:rsidRPr="00F63B38">
        <w:rPr>
          <w:lang w:val="es-ES"/>
        </w:rPr>
        <w:t xml:space="preserve"> </w:t>
      </w:r>
      <w:r w:rsidRPr="00937BA2">
        <w:rPr>
          <w:lang w:val="es-ES"/>
        </w:rPr>
        <w:t>Otros trabajos que presentan evidencia de economías de aglomeración son Ellison y Glaeser (1997), Hanson (2001), Rosenthal y Strange (2003), y Rodriguez-Clare (2005).</w:t>
      </w:r>
    </w:p>
  </w:footnote>
  <w:footnote w:id="8">
    <w:p w14:paraId="534D14D9" w14:textId="77777777" w:rsidR="00AE3B26" w:rsidRPr="009E4A98" w:rsidRDefault="00AE3B26" w:rsidP="00F95F4E">
      <w:pPr>
        <w:pStyle w:val="FootnoteText"/>
        <w:rPr>
          <w:lang w:val="es-ES"/>
        </w:rPr>
      </w:pPr>
      <w:r w:rsidRPr="00FD7DBF">
        <w:rPr>
          <w:rStyle w:val="FootnoteReference"/>
        </w:rPr>
        <w:footnoteRef/>
      </w:r>
      <w:r w:rsidRPr="00F63B38">
        <w:rPr>
          <w:lang w:val="es-ES"/>
        </w:rPr>
        <w:t xml:space="preserve"> </w:t>
      </w:r>
      <w:r w:rsidRPr="00FD7DBF">
        <w:rPr>
          <w:lang w:val="es-ES"/>
        </w:rPr>
        <w:t>Otros programas de desarrollo productivo que han sido evaluados en América Latina pueden servir de guía en el diseño e implementación de evaluaciones de impacto de políticas de cluster en la región. Programas de Agricultura fueron evaluados por Gónzalez et al. (2009), Cerdán-Infantes et al. (2008) y López y Maffioli (2008). Programas de innovación fueron evaluados por Binelli y Maffioli (2007), Benavente et al. (2007), Hall y Maffioli (2008) y Crespi et al. (2010). Programas de promoción de exportaciones fueron evaluados por Volpe y Carballo (2008). Programas de soporte a las pymes fueron evaluados por Acevedo y Tongh (2010) y Castillo et al (2011). Finalmente, Arráiz et al. (2011) evalúa programa de créditos.</w:t>
      </w:r>
    </w:p>
  </w:footnote>
  <w:footnote w:id="9">
    <w:p w14:paraId="4F25AEF5" w14:textId="77777777" w:rsidR="00AE3B26" w:rsidRPr="00A3419A" w:rsidRDefault="00AE3B26" w:rsidP="00A6102E">
      <w:pPr>
        <w:pStyle w:val="FootnoteText"/>
        <w:ind w:left="259" w:hanging="259"/>
        <w:rPr>
          <w:lang w:val="es-ES_tradnl"/>
        </w:rPr>
      </w:pPr>
      <w:r w:rsidRPr="00A3419A">
        <w:rPr>
          <w:rStyle w:val="FootnoteReference"/>
        </w:rPr>
        <w:footnoteRef/>
      </w:r>
      <w:r>
        <w:rPr>
          <w:lang w:val="es-ES_tradnl"/>
        </w:rPr>
        <w:t xml:space="preserve"> </w:t>
      </w:r>
      <w:r w:rsidRPr="00A3419A">
        <w:rPr>
          <w:lang w:val="es-ES"/>
        </w:rPr>
        <w:t>Véase Galiani et al. (2005) sobre como testear la hipótesis de tendencias pre-tratamiento similar.</w:t>
      </w:r>
    </w:p>
  </w:footnote>
  <w:footnote w:id="10">
    <w:p w14:paraId="73B5DCF2" w14:textId="77777777" w:rsidR="00AE3B26" w:rsidRPr="00A3419A" w:rsidRDefault="00AE3B26" w:rsidP="00A6102E">
      <w:pPr>
        <w:pStyle w:val="FootnoteText"/>
        <w:rPr>
          <w:lang w:val="es-ES_tradnl"/>
        </w:rPr>
      </w:pPr>
      <w:r w:rsidRPr="00A3419A">
        <w:rPr>
          <w:rStyle w:val="FootnoteReference"/>
        </w:rPr>
        <w:footnoteRef/>
      </w:r>
      <w:r w:rsidRPr="00A3419A">
        <w:rPr>
          <w:lang w:val="es-ES_tradnl"/>
        </w:rPr>
        <w:t xml:space="preserve"> Es altamente probable que este enfoque sea muy efectivo cuando se utilizan como control empresas que han aplicado al programa pero no han sido apoyada. Mejor aun cuando se pueden observar las variables sobre las cuales se ha tomado la decisión de financiamiento. </w:t>
      </w:r>
    </w:p>
  </w:footnote>
  <w:footnote w:id="11">
    <w:p w14:paraId="22EA17FE" w14:textId="77777777" w:rsidR="00AE3B26" w:rsidRPr="002A2119" w:rsidRDefault="00AE3B26" w:rsidP="002A2119">
      <w:pPr>
        <w:spacing w:before="0"/>
        <w:rPr>
          <w:sz w:val="20"/>
        </w:rPr>
      </w:pPr>
      <w:r>
        <w:rPr>
          <w:rStyle w:val="FootnoteReference"/>
        </w:rPr>
        <w:footnoteRef/>
      </w:r>
      <w:r w:rsidRPr="002A2119">
        <w:rPr>
          <w:lang w:val="es-ES"/>
        </w:rPr>
        <w:t xml:space="preserve"> </w:t>
      </w:r>
      <w:r w:rsidRPr="002A2119">
        <w:rPr>
          <w:sz w:val="20"/>
          <w:lang w:val="es-ES"/>
        </w:rPr>
        <w:t xml:space="preserve">La estimación de la demanda de servicios que el presente programa podrá proveer se basa en: </w:t>
      </w:r>
      <w:r w:rsidRPr="002A2119">
        <w:rPr>
          <w:sz w:val="20"/>
        </w:rPr>
        <w:t xml:space="preserve">Vidal L., 2013, “Principales Características de la Franja Costero-Marina de El Salvador para Pesca y Acuicultura, informe elaborado para el BID </w:t>
      </w:r>
      <w:r>
        <w:rPr>
          <w:sz w:val="20"/>
        </w:rPr>
        <w:t>para</w:t>
      </w:r>
      <w:r w:rsidRPr="002A2119">
        <w:rPr>
          <w:sz w:val="20"/>
        </w:rPr>
        <w:t xml:space="preserve"> la formulación del presente programa, Agosto.</w:t>
      </w:r>
    </w:p>
  </w:footnote>
  <w:footnote w:id="12">
    <w:p w14:paraId="09A72A4B" w14:textId="77777777" w:rsidR="00AE3B26" w:rsidRPr="00157CD3" w:rsidRDefault="00AE3B26">
      <w:pPr>
        <w:pStyle w:val="FootnoteText"/>
        <w:rPr>
          <w:lang w:val="es-ES"/>
        </w:rPr>
      </w:pPr>
      <w:r w:rsidRPr="00321B32">
        <w:rPr>
          <w:rStyle w:val="FootnoteReference"/>
        </w:rPr>
        <w:footnoteRef/>
      </w:r>
      <w:r w:rsidRPr="00157CD3">
        <w:rPr>
          <w:lang w:val="es-ES"/>
        </w:rPr>
        <w:t xml:space="preserve"> </w:t>
      </w:r>
      <w:r w:rsidRPr="00321B32">
        <w:rPr>
          <w:lang w:val="es-ES_tradnl"/>
        </w:rPr>
        <w:t>Estos efectos son los incluidos en la matriz de resultado del programa.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81824" w14:textId="77777777" w:rsidR="00AE3B26" w:rsidRDefault="00AE3B26">
    <w:pPr>
      <w:pStyle w:val="Header"/>
      <w:ind w:left="-14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B0E54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9163D4"/>
    <w:multiLevelType w:val="hybridMultilevel"/>
    <w:tmpl w:val="A22E627E"/>
    <w:lvl w:ilvl="0" w:tplc="E8C8D6FC">
      <w:start w:val="1"/>
      <w:numFmt w:val="decimal"/>
      <w:lvlText w:val="%1."/>
      <w:lvlJc w:val="left"/>
      <w:pPr>
        <w:ind w:left="360" w:hanging="360"/>
      </w:pPr>
      <w:rPr>
        <w:b/>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nsid w:val="0C152E98"/>
    <w:multiLevelType w:val="hybridMultilevel"/>
    <w:tmpl w:val="9662B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826F4B"/>
    <w:multiLevelType w:val="hybridMultilevel"/>
    <w:tmpl w:val="1512C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FD35E1"/>
    <w:multiLevelType w:val="hybridMultilevel"/>
    <w:tmpl w:val="5B427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0C62030"/>
    <w:multiLevelType w:val="multilevel"/>
    <w:tmpl w:val="1BA4B102"/>
    <w:styleLink w:val="LFO8"/>
    <w:lvl w:ilvl="0">
      <w:start w:val="1"/>
      <w:numFmt w:val="upperRoman"/>
      <w:lvlText w:val="%1."/>
      <w:lvlJc w:val="center"/>
      <w:pPr>
        <w:ind w:left="1706"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6">
    <w:nsid w:val="116804EE"/>
    <w:multiLevelType w:val="multilevel"/>
    <w:tmpl w:val="53788A0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746"/>
        </w:tabs>
        <w:ind w:left="1746" w:hanging="1296"/>
      </w:pPr>
      <w:rPr>
        <w:b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nsid w:val="143140DA"/>
    <w:multiLevelType w:val="hybridMultilevel"/>
    <w:tmpl w:val="4D0C2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E0188C"/>
    <w:multiLevelType w:val="hybridMultilevel"/>
    <w:tmpl w:val="21E83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980905"/>
    <w:multiLevelType w:val="hybridMultilevel"/>
    <w:tmpl w:val="5AF60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CE1DB9"/>
    <w:multiLevelType w:val="hybridMultilevel"/>
    <w:tmpl w:val="363C1B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E351DA4"/>
    <w:multiLevelType w:val="hybridMultilevel"/>
    <w:tmpl w:val="BAB65A8E"/>
    <w:lvl w:ilvl="0" w:tplc="0409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24F62AF4"/>
    <w:multiLevelType w:val="multilevel"/>
    <w:tmpl w:val="4B127000"/>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3">
    <w:nsid w:val="259917E2"/>
    <w:multiLevelType w:val="hybridMultilevel"/>
    <w:tmpl w:val="D868CD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B964CA"/>
    <w:multiLevelType w:val="hybridMultilevel"/>
    <w:tmpl w:val="E0E8AB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B535AE1"/>
    <w:multiLevelType w:val="multilevel"/>
    <w:tmpl w:val="CF04543A"/>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lowerLetter"/>
      <w:lvlText w:val="%3."/>
      <w:lvlJc w:val="left"/>
      <w:pPr>
        <w:tabs>
          <w:tab w:val="num" w:pos="1872"/>
        </w:tabs>
        <w:ind w:left="1872" w:hanging="432"/>
      </w:pPr>
    </w:lvl>
    <w:lvl w:ilvl="3">
      <w:start w:val="1"/>
      <w:numFmt w:val="lowerRoman"/>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6">
    <w:nsid w:val="3B753AC3"/>
    <w:multiLevelType w:val="hybridMultilevel"/>
    <w:tmpl w:val="8ECCC6B0"/>
    <w:lvl w:ilvl="0" w:tplc="0409000F">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nsid w:val="4F4A0CF5"/>
    <w:multiLevelType w:val="multilevel"/>
    <w:tmpl w:val="9B70C2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3AC346A"/>
    <w:multiLevelType w:val="hybridMultilevel"/>
    <w:tmpl w:val="FF66B40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56025DE7"/>
    <w:multiLevelType w:val="hybridMultilevel"/>
    <w:tmpl w:val="3D9A8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9905A8"/>
    <w:multiLevelType w:val="multilevel"/>
    <w:tmpl w:val="3DCC2B3C"/>
    <w:lvl w:ilvl="0">
      <w:start w:val="1"/>
      <w:numFmt w:val="upperRoman"/>
      <w:lvlRestart w:val="0"/>
      <w:pStyle w:val="Chapter"/>
      <w:lvlText w:val="%1."/>
      <w:lvlJc w:val="center"/>
      <w:pPr>
        <w:tabs>
          <w:tab w:val="num" w:pos="1800"/>
        </w:tabs>
        <w:ind w:left="1152" w:firstLine="288"/>
      </w:pPr>
      <w:rPr>
        <w:rFonts w:cs="Times New Roman"/>
        <w:b/>
        <w:i w:val="0"/>
      </w:rPr>
    </w:lvl>
    <w:lvl w:ilvl="1">
      <w:start w:val="1"/>
      <w:numFmt w:val="decimal"/>
      <w:isLgl/>
      <w:lvlText w:val="%1.%2"/>
      <w:lvlJc w:val="left"/>
      <w:pPr>
        <w:tabs>
          <w:tab w:val="num" w:pos="2448"/>
        </w:tabs>
        <w:ind w:left="2448" w:hanging="1296"/>
      </w:pPr>
      <w:rPr>
        <w:rFonts w:ascii="Times New Roman" w:hAnsi="Times New Roman" w:cs="Times New Roman"/>
        <w:b w:val="0"/>
        <w:i w:val="0"/>
        <w:sz w:val="24"/>
      </w:rPr>
    </w:lvl>
    <w:lvl w:ilvl="2">
      <w:start w:val="1"/>
      <w:numFmt w:val="lowerLetter"/>
      <w:pStyle w:val="subpar"/>
      <w:lvlText w:val="%3."/>
      <w:lvlJc w:val="left"/>
      <w:pPr>
        <w:tabs>
          <w:tab w:val="num" w:pos="2304"/>
        </w:tabs>
        <w:ind w:left="2304" w:hanging="432"/>
      </w:pPr>
      <w:rPr>
        <w:rFonts w:cs="Times New Roman"/>
      </w:rPr>
    </w:lvl>
    <w:lvl w:ilvl="3">
      <w:start w:val="1"/>
      <w:numFmt w:val="lowerRoman"/>
      <w:pStyle w:val="SubSubPar"/>
      <w:lvlText w:val="%4."/>
      <w:lvlJc w:val="right"/>
      <w:pPr>
        <w:tabs>
          <w:tab w:val="num" w:pos="2736"/>
        </w:tabs>
        <w:ind w:left="2736" w:hanging="288"/>
      </w:pPr>
      <w:rPr>
        <w:rFonts w:cs="Times New Roman"/>
      </w:rPr>
    </w:lvl>
    <w:lvl w:ilvl="4">
      <w:start w:val="1"/>
      <w:numFmt w:val="none"/>
      <w:lvlText w:val=""/>
      <w:lvlJc w:val="left"/>
      <w:pPr>
        <w:tabs>
          <w:tab w:val="num" w:pos="4392"/>
        </w:tabs>
        <w:ind w:left="4032"/>
      </w:pPr>
      <w:rPr>
        <w:rFonts w:cs="Times New Roman"/>
      </w:rPr>
    </w:lvl>
    <w:lvl w:ilvl="5">
      <w:start w:val="1"/>
      <w:numFmt w:val="none"/>
      <w:lvlText w:val=""/>
      <w:lvlJc w:val="left"/>
      <w:pPr>
        <w:tabs>
          <w:tab w:val="num" w:pos="5112"/>
        </w:tabs>
        <w:ind w:left="4752"/>
      </w:pPr>
      <w:rPr>
        <w:rFonts w:cs="Times New Roman"/>
      </w:rPr>
    </w:lvl>
    <w:lvl w:ilvl="6">
      <w:start w:val="1"/>
      <w:numFmt w:val="none"/>
      <w:lvlText w:val=""/>
      <w:lvlJc w:val="left"/>
      <w:pPr>
        <w:tabs>
          <w:tab w:val="num" w:pos="5832"/>
        </w:tabs>
        <w:ind w:left="5472"/>
      </w:pPr>
      <w:rPr>
        <w:rFonts w:cs="Times New Roman"/>
      </w:rPr>
    </w:lvl>
    <w:lvl w:ilvl="7">
      <w:start w:val="1"/>
      <w:numFmt w:val="none"/>
      <w:lvlText w:val=""/>
      <w:lvlJc w:val="left"/>
      <w:pPr>
        <w:tabs>
          <w:tab w:val="num" w:pos="6552"/>
        </w:tabs>
        <w:ind w:left="6192"/>
      </w:pPr>
      <w:rPr>
        <w:rFonts w:cs="Times New Roman"/>
      </w:rPr>
    </w:lvl>
    <w:lvl w:ilvl="8">
      <w:start w:val="1"/>
      <w:numFmt w:val="none"/>
      <w:lvlText w:val=""/>
      <w:lvlJc w:val="left"/>
      <w:pPr>
        <w:tabs>
          <w:tab w:val="num" w:pos="7272"/>
        </w:tabs>
        <w:ind w:left="6912"/>
      </w:pPr>
      <w:rPr>
        <w:rFonts w:cs="Times New Roman"/>
      </w:rPr>
    </w:lvl>
  </w:abstractNum>
  <w:abstractNum w:abstractNumId="21">
    <w:nsid w:val="5B9A7602"/>
    <w:multiLevelType w:val="hybridMultilevel"/>
    <w:tmpl w:val="9A380202"/>
    <w:lvl w:ilvl="0" w:tplc="269234AA">
      <w:start w:val="1"/>
      <w:numFmt w:val="upperRoman"/>
      <w:lvlText w:val="%1."/>
      <w:lvlJc w:val="left"/>
      <w:pPr>
        <w:ind w:left="1080" w:hanging="720"/>
      </w:pPr>
      <w:rPr>
        <w:rFonts w:hint="default"/>
      </w:rPr>
    </w:lvl>
    <w:lvl w:ilvl="1" w:tplc="B1E41032">
      <w:start w:val="1"/>
      <w:numFmt w:val="lowerLetter"/>
      <w:lvlText w:val="%2."/>
      <w:lvlJc w:val="left"/>
      <w:pPr>
        <w:ind w:left="1440" w:hanging="360"/>
      </w:pPr>
    </w:lvl>
    <w:lvl w:ilvl="2" w:tplc="AE8E077E">
      <w:start w:val="1"/>
      <w:numFmt w:val="lowerRoman"/>
      <w:lvlText w:val="%3)"/>
      <w:lvlJc w:val="left"/>
      <w:pPr>
        <w:ind w:left="2700" w:hanging="720"/>
      </w:pPr>
      <w:rPr>
        <w:rFonts w:hint="default"/>
      </w:rPr>
    </w:lvl>
    <w:lvl w:ilvl="3" w:tplc="CC4AE9D0" w:tentative="1">
      <w:start w:val="1"/>
      <w:numFmt w:val="decimal"/>
      <w:lvlText w:val="%4."/>
      <w:lvlJc w:val="left"/>
      <w:pPr>
        <w:ind w:left="2880" w:hanging="360"/>
      </w:pPr>
    </w:lvl>
    <w:lvl w:ilvl="4" w:tplc="80884DDE" w:tentative="1">
      <w:start w:val="1"/>
      <w:numFmt w:val="lowerLetter"/>
      <w:lvlText w:val="%5."/>
      <w:lvlJc w:val="left"/>
      <w:pPr>
        <w:ind w:left="3600" w:hanging="360"/>
      </w:pPr>
    </w:lvl>
    <w:lvl w:ilvl="5" w:tplc="AA921E82" w:tentative="1">
      <w:start w:val="1"/>
      <w:numFmt w:val="lowerRoman"/>
      <w:lvlText w:val="%6."/>
      <w:lvlJc w:val="right"/>
      <w:pPr>
        <w:ind w:left="4320" w:hanging="180"/>
      </w:pPr>
    </w:lvl>
    <w:lvl w:ilvl="6" w:tplc="B3929A0A" w:tentative="1">
      <w:start w:val="1"/>
      <w:numFmt w:val="decimal"/>
      <w:lvlText w:val="%7."/>
      <w:lvlJc w:val="left"/>
      <w:pPr>
        <w:ind w:left="5040" w:hanging="360"/>
      </w:pPr>
    </w:lvl>
    <w:lvl w:ilvl="7" w:tplc="DF8C9780" w:tentative="1">
      <w:start w:val="1"/>
      <w:numFmt w:val="lowerLetter"/>
      <w:lvlText w:val="%8."/>
      <w:lvlJc w:val="left"/>
      <w:pPr>
        <w:ind w:left="5760" w:hanging="360"/>
      </w:pPr>
    </w:lvl>
    <w:lvl w:ilvl="8" w:tplc="8B665E2E" w:tentative="1">
      <w:start w:val="1"/>
      <w:numFmt w:val="lowerRoman"/>
      <w:lvlText w:val="%9."/>
      <w:lvlJc w:val="right"/>
      <w:pPr>
        <w:ind w:left="6480" w:hanging="180"/>
      </w:pPr>
    </w:lvl>
  </w:abstractNum>
  <w:abstractNum w:abstractNumId="22">
    <w:nsid w:val="5E924AD8"/>
    <w:multiLevelType w:val="hybridMultilevel"/>
    <w:tmpl w:val="DE5E3C0E"/>
    <w:lvl w:ilvl="0" w:tplc="C792A634">
      <w:start w:val="2"/>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609923C8"/>
    <w:multiLevelType w:val="multilevel"/>
    <w:tmpl w:val="83829716"/>
    <w:lvl w:ilvl="0">
      <w:start w:val="1"/>
      <w:numFmt w:val="upperRoman"/>
      <w:pStyle w:val="Heading1"/>
      <w:lvlText w:val="%1."/>
      <w:lvlJc w:val="center"/>
      <w:pPr>
        <w:tabs>
          <w:tab w:val="num" w:pos="4230"/>
        </w:tabs>
        <w:ind w:left="4158" w:hanging="288"/>
      </w:pPr>
      <w:rPr>
        <w:rFonts w:ascii="Times New Roman Bold" w:hAnsi="Times New Roman Bold" w:cs="Times New Roman" w:hint="default"/>
        <w:b/>
        <w:i w:val="0"/>
        <w:sz w:val="24"/>
      </w:rPr>
    </w:lvl>
    <w:lvl w:ilvl="1">
      <w:start w:val="1"/>
      <w:numFmt w:val="decimal"/>
      <w:pStyle w:val="AutoNumpara"/>
      <w:isLgl/>
      <w:lvlText w:val="%1.%2"/>
      <w:lvlJc w:val="left"/>
      <w:pPr>
        <w:tabs>
          <w:tab w:val="num" w:pos="720"/>
        </w:tabs>
        <w:ind w:left="720" w:hanging="720"/>
      </w:pPr>
      <w:rPr>
        <w:rFonts w:ascii="Times New Roman" w:hAnsi="Times New Roman" w:cs="Times New Roman"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cs="Times New Roman" w:hint="default"/>
        <w:b/>
        <w:i w:val="0"/>
        <w:sz w:val="24"/>
      </w:rPr>
    </w:lvl>
    <w:lvl w:ilvl="3">
      <w:start w:val="1"/>
      <w:numFmt w:val="lowerRoman"/>
      <w:lvlRestart w:val="0"/>
      <w:pStyle w:val="Heading5"/>
      <w:lvlText w:val="(%4)"/>
      <w:lvlJc w:val="right"/>
      <w:pPr>
        <w:tabs>
          <w:tab w:val="num" w:pos="2088"/>
        </w:tabs>
        <w:ind w:left="2088" w:hanging="288"/>
      </w:pPr>
      <w:rPr>
        <w:rFonts w:ascii="Times New Roman" w:hAnsi="Times New Roman" w:cs="Times New Roman" w:hint="default"/>
        <w:b w:val="0"/>
        <w:i w:val="0"/>
        <w:sz w:val="24"/>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24">
    <w:nsid w:val="68AF4D5F"/>
    <w:multiLevelType w:val="hybridMultilevel"/>
    <w:tmpl w:val="13E0D1D4"/>
    <w:lvl w:ilvl="0" w:tplc="FE3AA30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396344"/>
    <w:multiLevelType w:val="hybridMultilevel"/>
    <w:tmpl w:val="DAB61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880D67"/>
    <w:multiLevelType w:val="hybridMultilevel"/>
    <w:tmpl w:val="AFACD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FF3D64"/>
    <w:multiLevelType w:val="hybridMultilevel"/>
    <w:tmpl w:val="CAA005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CA4C17"/>
    <w:multiLevelType w:val="hybridMultilevel"/>
    <w:tmpl w:val="8C003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7F6BD9"/>
    <w:multiLevelType w:val="hybridMultilevel"/>
    <w:tmpl w:val="8ECCC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D8434E"/>
    <w:multiLevelType w:val="hybridMultilevel"/>
    <w:tmpl w:val="810407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971DCC"/>
    <w:multiLevelType w:val="hybridMultilevel"/>
    <w:tmpl w:val="C7604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0"/>
  </w:num>
  <w:num w:numId="3">
    <w:abstractNumId w:val="23"/>
  </w:num>
  <w:num w:numId="4">
    <w:abstractNumId w:val="22"/>
  </w:num>
  <w:num w:numId="5">
    <w:abstractNumId w:val="31"/>
  </w:num>
  <w:num w:numId="6">
    <w:abstractNumId w:val="2"/>
  </w:num>
  <w:num w:numId="7">
    <w:abstractNumId w:val="30"/>
  </w:num>
  <w:num w:numId="8">
    <w:abstractNumId w:val="9"/>
  </w:num>
  <w:num w:numId="9">
    <w:abstractNumId w:val="8"/>
  </w:num>
  <w:num w:numId="10">
    <w:abstractNumId w:val="5"/>
  </w:num>
  <w:num w:numId="11">
    <w:abstractNumId w:val="18"/>
  </w:num>
  <w:num w:numId="12">
    <w:abstractNumId w:val="0"/>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
  </w:num>
  <w:num w:numId="23">
    <w:abstractNumId w:val="4"/>
  </w:num>
  <w:num w:numId="24">
    <w:abstractNumId w:val="26"/>
  </w:num>
  <w:num w:numId="25">
    <w:abstractNumId w:val="14"/>
  </w:num>
  <w:num w:numId="26">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1"/>
  </w:num>
  <w:num w:numId="29">
    <w:abstractNumId w:val="25"/>
  </w:num>
  <w:num w:numId="30">
    <w:abstractNumId w:val="29"/>
  </w:num>
  <w:num w:numId="31">
    <w:abstractNumId w:val="16"/>
  </w:num>
  <w:num w:numId="32">
    <w:abstractNumId w:val="19"/>
  </w:num>
  <w:num w:numId="33">
    <w:abstractNumId w:val="6"/>
  </w:num>
  <w:num w:numId="34">
    <w:abstractNumId w:val="12"/>
  </w:num>
  <w:num w:numId="35">
    <w:abstractNumId w:val="24"/>
  </w:num>
  <w:num w:numId="36">
    <w:abstractNumId w:val="10"/>
  </w:num>
  <w:num w:numId="37">
    <w:abstractNumId w:val="3"/>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28"/>
  </w:num>
  <w:num w:numId="41">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37"/>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E60"/>
    <w:rsid w:val="000010DB"/>
    <w:rsid w:val="0000148C"/>
    <w:rsid w:val="0000395D"/>
    <w:rsid w:val="00004C1D"/>
    <w:rsid w:val="00005053"/>
    <w:rsid w:val="000107B9"/>
    <w:rsid w:val="00010E52"/>
    <w:rsid w:val="00011F23"/>
    <w:rsid w:val="0001415B"/>
    <w:rsid w:val="00014B17"/>
    <w:rsid w:val="00017810"/>
    <w:rsid w:val="00021A78"/>
    <w:rsid w:val="00024E97"/>
    <w:rsid w:val="0004063D"/>
    <w:rsid w:val="000419BC"/>
    <w:rsid w:val="00042C7E"/>
    <w:rsid w:val="000433D9"/>
    <w:rsid w:val="00045232"/>
    <w:rsid w:val="00045FF9"/>
    <w:rsid w:val="00047743"/>
    <w:rsid w:val="0005110F"/>
    <w:rsid w:val="000536CB"/>
    <w:rsid w:val="00057074"/>
    <w:rsid w:val="00061213"/>
    <w:rsid w:val="00062F8A"/>
    <w:rsid w:val="00063185"/>
    <w:rsid w:val="0006318D"/>
    <w:rsid w:val="00064A44"/>
    <w:rsid w:val="00071198"/>
    <w:rsid w:val="000729C4"/>
    <w:rsid w:val="00082921"/>
    <w:rsid w:val="00082FC4"/>
    <w:rsid w:val="000936F9"/>
    <w:rsid w:val="000966E7"/>
    <w:rsid w:val="000A2B61"/>
    <w:rsid w:val="000A4463"/>
    <w:rsid w:val="000B5FA4"/>
    <w:rsid w:val="000C44C2"/>
    <w:rsid w:val="000D4942"/>
    <w:rsid w:val="000D574A"/>
    <w:rsid w:val="000E0930"/>
    <w:rsid w:val="000E1687"/>
    <w:rsid w:val="000E2856"/>
    <w:rsid w:val="000F1005"/>
    <w:rsid w:val="000F1789"/>
    <w:rsid w:val="00101601"/>
    <w:rsid w:val="00103B96"/>
    <w:rsid w:val="0010778C"/>
    <w:rsid w:val="00112033"/>
    <w:rsid w:val="00112B5E"/>
    <w:rsid w:val="001242EE"/>
    <w:rsid w:val="00126A20"/>
    <w:rsid w:val="0013002B"/>
    <w:rsid w:val="001310F8"/>
    <w:rsid w:val="001333FC"/>
    <w:rsid w:val="00135837"/>
    <w:rsid w:val="001366D9"/>
    <w:rsid w:val="00136A96"/>
    <w:rsid w:val="001403E7"/>
    <w:rsid w:val="00141043"/>
    <w:rsid w:val="00142AD3"/>
    <w:rsid w:val="001451A5"/>
    <w:rsid w:val="00145825"/>
    <w:rsid w:val="00153E89"/>
    <w:rsid w:val="00157CD3"/>
    <w:rsid w:val="001703E0"/>
    <w:rsid w:val="00174E57"/>
    <w:rsid w:val="00175EFA"/>
    <w:rsid w:val="00183A04"/>
    <w:rsid w:val="00184F8E"/>
    <w:rsid w:val="0018518E"/>
    <w:rsid w:val="001863BA"/>
    <w:rsid w:val="00187913"/>
    <w:rsid w:val="001911BC"/>
    <w:rsid w:val="0019383E"/>
    <w:rsid w:val="00193A42"/>
    <w:rsid w:val="001951C4"/>
    <w:rsid w:val="00196891"/>
    <w:rsid w:val="00197BA8"/>
    <w:rsid w:val="001A5B8B"/>
    <w:rsid w:val="001A73AB"/>
    <w:rsid w:val="001B50DD"/>
    <w:rsid w:val="001C2112"/>
    <w:rsid w:val="001C32F4"/>
    <w:rsid w:val="001C40AD"/>
    <w:rsid w:val="001C4676"/>
    <w:rsid w:val="001C778C"/>
    <w:rsid w:val="001C7C3F"/>
    <w:rsid w:val="001D11A8"/>
    <w:rsid w:val="001D5239"/>
    <w:rsid w:val="001E07D7"/>
    <w:rsid w:val="001E300C"/>
    <w:rsid w:val="001E4053"/>
    <w:rsid w:val="001E4648"/>
    <w:rsid w:val="001E4A5E"/>
    <w:rsid w:val="001E68F6"/>
    <w:rsid w:val="001F29AA"/>
    <w:rsid w:val="001F2E60"/>
    <w:rsid w:val="001F5575"/>
    <w:rsid w:val="001F618E"/>
    <w:rsid w:val="00204AF9"/>
    <w:rsid w:val="002051FC"/>
    <w:rsid w:val="00214C13"/>
    <w:rsid w:val="00214FDA"/>
    <w:rsid w:val="00215D67"/>
    <w:rsid w:val="00216132"/>
    <w:rsid w:val="002205BD"/>
    <w:rsid w:val="00224CA0"/>
    <w:rsid w:val="00225AE4"/>
    <w:rsid w:val="00225EBA"/>
    <w:rsid w:val="0022686C"/>
    <w:rsid w:val="0023091F"/>
    <w:rsid w:val="0023188C"/>
    <w:rsid w:val="0023442F"/>
    <w:rsid w:val="0023687F"/>
    <w:rsid w:val="0025158E"/>
    <w:rsid w:val="00251F6C"/>
    <w:rsid w:val="00253C3E"/>
    <w:rsid w:val="002713AB"/>
    <w:rsid w:val="002749C3"/>
    <w:rsid w:val="002752FD"/>
    <w:rsid w:val="00275A3A"/>
    <w:rsid w:val="00275FAE"/>
    <w:rsid w:val="0028730C"/>
    <w:rsid w:val="00287662"/>
    <w:rsid w:val="00287706"/>
    <w:rsid w:val="00295241"/>
    <w:rsid w:val="002952F7"/>
    <w:rsid w:val="002A2119"/>
    <w:rsid w:val="002A2EDE"/>
    <w:rsid w:val="002A5317"/>
    <w:rsid w:val="002A6249"/>
    <w:rsid w:val="002B3203"/>
    <w:rsid w:val="002B332E"/>
    <w:rsid w:val="002B3865"/>
    <w:rsid w:val="002B4553"/>
    <w:rsid w:val="002B4DB3"/>
    <w:rsid w:val="002B654B"/>
    <w:rsid w:val="002C15BD"/>
    <w:rsid w:val="002C59E3"/>
    <w:rsid w:val="002C6CB6"/>
    <w:rsid w:val="002D12CF"/>
    <w:rsid w:val="002E1B27"/>
    <w:rsid w:val="002E1E86"/>
    <w:rsid w:val="002E4395"/>
    <w:rsid w:val="002E65D8"/>
    <w:rsid w:val="002F03BD"/>
    <w:rsid w:val="002F06E2"/>
    <w:rsid w:val="002F1BA2"/>
    <w:rsid w:val="002F2297"/>
    <w:rsid w:val="002F2673"/>
    <w:rsid w:val="002F3E00"/>
    <w:rsid w:val="003000AB"/>
    <w:rsid w:val="00305FBE"/>
    <w:rsid w:val="00310557"/>
    <w:rsid w:val="00313D60"/>
    <w:rsid w:val="00321B32"/>
    <w:rsid w:val="003226B2"/>
    <w:rsid w:val="003307E7"/>
    <w:rsid w:val="00336173"/>
    <w:rsid w:val="003366C1"/>
    <w:rsid w:val="00351B65"/>
    <w:rsid w:val="00351C2B"/>
    <w:rsid w:val="00351D7C"/>
    <w:rsid w:val="00352161"/>
    <w:rsid w:val="00352D23"/>
    <w:rsid w:val="003541EE"/>
    <w:rsid w:val="00360424"/>
    <w:rsid w:val="00361170"/>
    <w:rsid w:val="00367B9E"/>
    <w:rsid w:val="0037198C"/>
    <w:rsid w:val="0037223F"/>
    <w:rsid w:val="003738CC"/>
    <w:rsid w:val="003754E7"/>
    <w:rsid w:val="00381078"/>
    <w:rsid w:val="00383F3F"/>
    <w:rsid w:val="00384215"/>
    <w:rsid w:val="00390ED8"/>
    <w:rsid w:val="00392925"/>
    <w:rsid w:val="00393228"/>
    <w:rsid w:val="003932CD"/>
    <w:rsid w:val="00395B28"/>
    <w:rsid w:val="00395F37"/>
    <w:rsid w:val="003A1F63"/>
    <w:rsid w:val="003A5FB2"/>
    <w:rsid w:val="003A652B"/>
    <w:rsid w:val="003A75CB"/>
    <w:rsid w:val="003B46E4"/>
    <w:rsid w:val="003B4ADE"/>
    <w:rsid w:val="003B66F8"/>
    <w:rsid w:val="003B7293"/>
    <w:rsid w:val="003C08A1"/>
    <w:rsid w:val="003C338A"/>
    <w:rsid w:val="003C7454"/>
    <w:rsid w:val="003D14B9"/>
    <w:rsid w:val="003D235F"/>
    <w:rsid w:val="003D3704"/>
    <w:rsid w:val="003D52F7"/>
    <w:rsid w:val="003D65B5"/>
    <w:rsid w:val="003D7D07"/>
    <w:rsid w:val="003E016C"/>
    <w:rsid w:val="003E3E6F"/>
    <w:rsid w:val="003F3052"/>
    <w:rsid w:val="003F3411"/>
    <w:rsid w:val="003F375A"/>
    <w:rsid w:val="003F799F"/>
    <w:rsid w:val="003F7C06"/>
    <w:rsid w:val="00402EF6"/>
    <w:rsid w:val="00404BE6"/>
    <w:rsid w:val="004053CD"/>
    <w:rsid w:val="00410B41"/>
    <w:rsid w:val="00412BF0"/>
    <w:rsid w:val="00416844"/>
    <w:rsid w:val="00421F1F"/>
    <w:rsid w:val="00424C87"/>
    <w:rsid w:val="0042779D"/>
    <w:rsid w:val="0043061C"/>
    <w:rsid w:val="00433E81"/>
    <w:rsid w:val="0043414D"/>
    <w:rsid w:val="004345C6"/>
    <w:rsid w:val="0043727F"/>
    <w:rsid w:val="004377DD"/>
    <w:rsid w:val="0044255E"/>
    <w:rsid w:val="004466B6"/>
    <w:rsid w:val="0044761E"/>
    <w:rsid w:val="0045317B"/>
    <w:rsid w:val="00453D70"/>
    <w:rsid w:val="00454DF9"/>
    <w:rsid w:val="004576FD"/>
    <w:rsid w:val="00457B6D"/>
    <w:rsid w:val="004630E7"/>
    <w:rsid w:val="00466262"/>
    <w:rsid w:val="0046701F"/>
    <w:rsid w:val="00480614"/>
    <w:rsid w:val="00483078"/>
    <w:rsid w:val="00487E30"/>
    <w:rsid w:val="00490C34"/>
    <w:rsid w:val="00491DA3"/>
    <w:rsid w:val="004A4204"/>
    <w:rsid w:val="004B7AAF"/>
    <w:rsid w:val="004B7FBB"/>
    <w:rsid w:val="004C0BB7"/>
    <w:rsid w:val="004C1D80"/>
    <w:rsid w:val="004C2FF7"/>
    <w:rsid w:val="004C3171"/>
    <w:rsid w:val="004C6BDF"/>
    <w:rsid w:val="004C7163"/>
    <w:rsid w:val="004D0D9A"/>
    <w:rsid w:val="004D1869"/>
    <w:rsid w:val="004D654C"/>
    <w:rsid w:val="004E240C"/>
    <w:rsid w:val="004E3D88"/>
    <w:rsid w:val="004E43F7"/>
    <w:rsid w:val="004F3A7F"/>
    <w:rsid w:val="004F3BFB"/>
    <w:rsid w:val="004F68F7"/>
    <w:rsid w:val="0050402A"/>
    <w:rsid w:val="005113ED"/>
    <w:rsid w:val="00515653"/>
    <w:rsid w:val="00517699"/>
    <w:rsid w:val="0052387C"/>
    <w:rsid w:val="00524506"/>
    <w:rsid w:val="0052469C"/>
    <w:rsid w:val="00527B49"/>
    <w:rsid w:val="00530ABD"/>
    <w:rsid w:val="00530C2F"/>
    <w:rsid w:val="00535F41"/>
    <w:rsid w:val="00537D3A"/>
    <w:rsid w:val="0054349D"/>
    <w:rsid w:val="005460FE"/>
    <w:rsid w:val="00546A03"/>
    <w:rsid w:val="0055525C"/>
    <w:rsid w:val="00556DCE"/>
    <w:rsid w:val="00557345"/>
    <w:rsid w:val="00562121"/>
    <w:rsid w:val="005647CD"/>
    <w:rsid w:val="005667F0"/>
    <w:rsid w:val="00571931"/>
    <w:rsid w:val="00573974"/>
    <w:rsid w:val="00576BD1"/>
    <w:rsid w:val="00576EF5"/>
    <w:rsid w:val="00581C55"/>
    <w:rsid w:val="00582E29"/>
    <w:rsid w:val="00583F0B"/>
    <w:rsid w:val="0058549F"/>
    <w:rsid w:val="005855FA"/>
    <w:rsid w:val="005862BB"/>
    <w:rsid w:val="0058714C"/>
    <w:rsid w:val="00587D7D"/>
    <w:rsid w:val="0059198F"/>
    <w:rsid w:val="0059695F"/>
    <w:rsid w:val="00596A3F"/>
    <w:rsid w:val="00597FA9"/>
    <w:rsid w:val="005A4505"/>
    <w:rsid w:val="005B2524"/>
    <w:rsid w:val="005C0399"/>
    <w:rsid w:val="005C3E57"/>
    <w:rsid w:val="005C48AE"/>
    <w:rsid w:val="005C6B72"/>
    <w:rsid w:val="005C77AD"/>
    <w:rsid w:val="005D3F50"/>
    <w:rsid w:val="005D4C3C"/>
    <w:rsid w:val="005E3081"/>
    <w:rsid w:val="005F1F6C"/>
    <w:rsid w:val="005F5FEA"/>
    <w:rsid w:val="005F7112"/>
    <w:rsid w:val="005F73FB"/>
    <w:rsid w:val="005F7812"/>
    <w:rsid w:val="005F7832"/>
    <w:rsid w:val="006021FF"/>
    <w:rsid w:val="006054B8"/>
    <w:rsid w:val="00607305"/>
    <w:rsid w:val="00607BB4"/>
    <w:rsid w:val="00613B06"/>
    <w:rsid w:val="00613D45"/>
    <w:rsid w:val="00624649"/>
    <w:rsid w:val="00636343"/>
    <w:rsid w:val="0065692E"/>
    <w:rsid w:val="00662794"/>
    <w:rsid w:val="006628F0"/>
    <w:rsid w:val="00663D3B"/>
    <w:rsid w:val="00664AD0"/>
    <w:rsid w:val="00665380"/>
    <w:rsid w:val="00667CB9"/>
    <w:rsid w:val="0067069B"/>
    <w:rsid w:val="006714BF"/>
    <w:rsid w:val="00677FE5"/>
    <w:rsid w:val="00682AEF"/>
    <w:rsid w:val="0068501D"/>
    <w:rsid w:val="006851A5"/>
    <w:rsid w:val="006A1393"/>
    <w:rsid w:val="006A40DA"/>
    <w:rsid w:val="006B38C9"/>
    <w:rsid w:val="006B3D03"/>
    <w:rsid w:val="006B4AE8"/>
    <w:rsid w:val="006B511A"/>
    <w:rsid w:val="006B6C17"/>
    <w:rsid w:val="006B7065"/>
    <w:rsid w:val="006B7670"/>
    <w:rsid w:val="006C3C8E"/>
    <w:rsid w:val="006C5BA1"/>
    <w:rsid w:val="006C6238"/>
    <w:rsid w:val="006C732F"/>
    <w:rsid w:val="006D14C8"/>
    <w:rsid w:val="006D31CF"/>
    <w:rsid w:val="006E0E25"/>
    <w:rsid w:val="006E31C1"/>
    <w:rsid w:val="006E4283"/>
    <w:rsid w:val="006E6F78"/>
    <w:rsid w:val="006F3B3E"/>
    <w:rsid w:val="006F3C57"/>
    <w:rsid w:val="006F5028"/>
    <w:rsid w:val="006F71A8"/>
    <w:rsid w:val="00701455"/>
    <w:rsid w:val="007047C3"/>
    <w:rsid w:val="00705694"/>
    <w:rsid w:val="0070656E"/>
    <w:rsid w:val="007139C4"/>
    <w:rsid w:val="00715D82"/>
    <w:rsid w:val="00716397"/>
    <w:rsid w:val="00717D21"/>
    <w:rsid w:val="00724293"/>
    <w:rsid w:val="007311A8"/>
    <w:rsid w:val="00732128"/>
    <w:rsid w:val="00735200"/>
    <w:rsid w:val="007405D9"/>
    <w:rsid w:val="0074223F"/>
    <w:rsid w:val="00746365"/>
    <w:rsid w:val="00747F32"/>
    <w:rsid w:val="0075174A"/>
    <w:rsid w:val="00755296"/>
    <w:rsid w:val="007608A8"/>
    <w:rsid w:val="00762748"/>
    <w:rsid w:val="00763DDA"/>
    <w:rsid w:val="007716C1"/>
    <w:rsid w:val="007722F2"/>
    <w:rsid w:val="00782CDE"/>
    <w:rsid w:val="0078525D"/>
    <w:rsid w:val="007858CA"/>
    <w:rsid w:val="00793C6D"/>
    <w:rsid w:val="007940DB"/>
    <w:rsid w:val="007A08F8"/>
    <w:rsid w:val="007A262D"/>
    <w:rsid w:val="007A2CB9"/>
    <w:rsid w:val="007A2CF8"/>
    <w:rsid w:val="007A6B35"/>
    <w:rsid w:val="007B23D9"/>
    <w:rsid w:val="007B29C7"/>
    <w:rsid w:val="007B41B0"/>
    <w:rsid w:val="007B4217"/>
    <w:rsid w:val="007C4426"/>
    <w:rsid w:val="007C5D1F"/>
    <w:rsid w:val="007C6122"/>
    <w:rsid w:val="007C7248"/>
    <w:rsid w:val="007C7A99"/>
    <w:rsid w:val="007D25D0"/>
    <w:rsid w:val="007D47F2"/>
    <w:rsid w:val="007D4CF8"/>
    <w:rsid w:val="007E0726"/>
    <w:rsid w:val="007E25B3"/>
    <w:rsid w:val="007E4B74"/>
    <w:rsid w:val="007E4B8F"/>
    <w:rsid w:val="007F249B"/>
    <w:rsid w:val="008021D4"/>
    <w:rsid w:val="0080299C"/>
    <w:rsid w:val="008079E6"/>
    <w:rsid w:val="00811BF0"/>
    <w:rsid w:val="00811CD6"/>
    <w:rsid w:val="00814375"/>
    <w:rsid w:val="00814641"/>
    <w:rsid w:val="00816B3B"/>
    <w:rsid w:val="00817471"/>
    <w:rsid w:val="00817963"/>
    <w:rsid w:val="008226A6"/>
    <w:rsid w:val="00825FF7"/>
    <w:rsid w:val="008261A0"/>
    <w:rsid w:val="00827035"/>
    <w:rsid w:val="00834CBF"/>
    <w:rsid w:val="008371AD"/>
    <w:rsid w:val="00844436"/>
    <w:rsid w:val="00846664"/>
    <w:rsid w:val="00850140"/>
    <w:rsid w:val="00854AEE"/>
    <w:rsid w:val="00863104"/>
    <w:rsid w:val="008756B9"/>
    <w:rsid w:val="00880D3F"/>
    <w:rsid w:val="0088152E"/>
    <w:rsid w:val="008855F3"/>
    <w:rsid w:val="00891C38"/>
    <w:rsid w:val="00892220"/>
    <w:rsid w:val="00892868"/>
    <w:rsid w:val="00892B1F"/>
    <w:rsid w:val="008951BD"/>
    <w:rsid w:val="00897150"/>
    <w:rsid w:val="00897EC4"/>
    <w:rsid w:val="008A3103"/>
    <w:rsid w:val="008A4C33"/>
    <w:rsid w:val="008A5A48"/>
    <w:rsid w:val="008A6E64"/>
    <w:rsid w:val="008B54CD"/>
    <w:rsid w:val="008B74D3"/>
    <w:rsid w:val="008C1623"/>
    <w:rsid w:val="008C4F9C"/>
    <w:rsid w:val="008C52EC"/>
    <w:rsid w:val="008D165E"/>
    <w:rsid w:val="008D2825"/>
    <w:rsid w:val="008D5061"/>
    <w:rsid w:val="008E1225"/>
    <w:rsid w:val="008E5699"/>
    <w:rsid w:val="008E5E4C"/>
    <w:rsid w:val="008E76CA"/>
    <w:rsid w:val="008F3A99"/>
    <w:rsid w:val="008F55CF"/>
    <w:rsid w:val="009001AC"/>
    <w:rsid w:val="009049E1"/>
    <w:rsid w:val="00905254"/>
    <w:rsid w:val="00905355"/>
    <w:rsid w:val="00911F44"/>
    <w:rsid w:val="00912B72"/>
    <w:rsid w:val="00913F19"/>
    <w:rsid w:val="009202FD"/>
    <w:rsid w:val="00920D06"/>
    <w:rsid w:val="0092385C"/>
    <w:rsid w:val="00925459"/>
    <w:rsid w:val="0093529D"/>
    <w:rsid w:val="00941E2D"/>
    <w:rsid w:val="00942789"/>
    <w:rsid w:val="00951425"/>
    <w:rsid w:val="00951ACE"/>
    <w:rsid w:val="00951F7E"/>
    <w:rsid w:val="009523D5"/>
    <w:rsid w:val="009560DE"/>
    <w:rsid w:val="0095686F"/>
    <w:rsid w:val="00960B85"/>
    <w:rsid w:val="00965B7E"/>
    <w:rsid w:val="00970EB7"/>
    <w:rsid w:val="00971B72"/>
    <w:rsid w:val="00974A0A"/>
    <w:rsid w:val="0097788C"/>
    <w:rsid w:val="00982693"/>
    <w:rsid w:val="00982A1E"/>
    <w:rsid w:val="00984815"/>
    <w:rsid w:val="00993CDE"/>
    <w:rsid w:val="009947A7"/>
    <w:rsid w:val="009A522E"/>
    <w:rsid w:val="009A5B1A"/>
    <w:rsid w:val="009B1FF3"/>
    <w:rsid w:val="009C0D93"/>
    <w:rsid w:val="009C6B49"/>
    <w:rsid w:val="009D0081"/>
    <w:rsid w:val="009D23F8"/>
    <w:rsid w:val="009D430E"/>
    <w:rsid w:val="009E09FE"/>
    <w:rsid w:val="009E0CAD"/>
    <w:rsid w:val="009E4A98"/>
    <w:rsid w:val="009E60A3"/>
    <w:rsid w:val="009E694B"/>
    <w:rsid w:val="009F457E"/>
    <w:rsid w:val="009F45E6"/>
    <w:rsid w:val="009F7A0F"/>
    <w:rsid w:val="00A012C7"/>
    <w:rsid w:val="00A01BFF"/>
    <w:rsid w:val="00A03540"/>
    <w:rsid w:val="00A069F5"/>
    <w:rsid w:val="00A110E1"/>
    <w:rsid w:val="00A1192F"/>
    <w:rsid w:val="00A2120B"/>
    <w:rsid w:val="00A2414E"/>
    <w:rsid w:val="00A3015C"/>
    <w:rsid w:val="00A30DF5"/>
    <w:rsid w:val="00A3419A"/>
    <w:rsid w:val="00A3473B"/>
    <w:rsid w:val="00A4026F"/>
    <w:rsid w:val="00A441E3"/>
    <w:rsid w:val="00A454E8"/>
    <w:rsid w:val="00A47BA7"/>
    <w:rsid w:val="00A47C23"/>
    <w:rsid w:val="00A5222C"/>
    <w:rsid w:val="00A523DE"/>
    <w:rsid w:val="00A54529"/>
    <w:rsid w:val="00A6102E"/>
    <w:rsid w:val="00A617F9"/>
    <w:rsid w:val="00A61BBF"/>
    <w:rsid w:val="00A62D18"/>
    <w:rsid w:val="00A63FA9"/>
    <w:rsid w:val="00A649D4"/>
    <w:rsid w:val="00A6760B"/>
    <w:rsid w:val="00A7776A"/>
    <w:rsid w:val="00A777D1"/>
    <w:rsid w:val="00A81595"/>
    <w:rsid w:val="00A81BB1"/>
    <w:rsid w:val="00A826D1"/>
    <w:rsid w:val="00A8340C"/>
    <w:rsid w:val="00A845A7"/>
    <w:rsid w:val="00A85474"/>
    <w:rsid w:val="00A9041D"/>
    <w:rsid w:val="00A96E21"/>
    <w:rsid w:val="00A97947"/>
    <w:rsid w:val="00AA2E41"/>
    <w:rsid w:val="00AA3843"/>
    <w:rsid w:val="00AA4993"/>
    <w:rsid w:val="00AA52F9"/>
    <w:rsid w:val="00AA5E8B"/>
    <w:rsid w:val="00AA69A6"/>
    <w:rsid w:val="00AB124F"/>
    <w:rsid w:val="00AB410E"/>
    <w:rsid w:val="00AB4A36"/>
    <w:rsid w:val="00AC70E5"/>
    <w:rsid w:val="00AD3013"/>
    <w:rsid w:val="00AD4BF9"/>
    <w:rsid w:val="00AE030D"/>
    <w:rsid w:val="00AE0EED"/>
    <w:rsid w:val="00AE157C"/>
    <w:rsid w:val="00AE3B26"/>
    <w:rsid w:val="00AE49D7"/>
    <w:rsid w:val="00AE4E02"/>
    <w:rsid w:val="00AF4528"/>
    <w:rsid w:val="00AF4CAD"/>
    <w:rsid w:val="00B016E8"/>
    <w:rsid w:val="00B07840"/>
    <w:rsid w:val="00B1029E"/>
    <w:rsid w:val="00B1329E"/>
    <w:rsid w:val="00B143F9"/>
    <w:rsid w:val="00B15062"/>
    <w:rsid w:val="00B161E9"/>
    <w:rsid w:val="00B267AA"/>
    <w:rsid w:val="00B26E60"/>
    <w:rsid w:val="00B31871"/>
    <w:rsid w:val="00B34279"/>
    <w:rsid w:val="00B34A56"/>
    <w:rsid w:val="00B34C2F"/>
    <w:rsid w:val="00B35046"/>
    <w:rsid w:val="00B36F4D"/>
    <w:rsid w:val="00B4049C"/>
    <w:rsid w:val="00B4220D"/>
    <w:rsid w:val="00B42C40"/>
    <w:rsid w:val="00B469AB"/>
    <w:rsid w:val="00B472A9"/>
    <w:rsid w:val="00B510B8"/>
    <w:rsid w:val="00B545C5"/>
    <w:rsid w:val="00B56358"/>
    <w:rsid w:val="00B572CC"/>
    <w:rsid w:val="00B73D28"/>
    <w:rsid w:val="00B76125"/>
    <w:rsid w:val="00B763BC"/>
    <w:rsid w:val="00B82E86"/>
    <w:rsid w:val="00B87BBF"/>
    <w:rsid w:val="00B87CC6"/>
    <w:rsid w:val="00BA216D"/>
    <w:rsid w:val="00BA266A"/>
    <w:rsid w:val="00BA4464"/>
    <w:rsid w:val="00BB23E5"/>
    <w:rsid w:val="00BB4889"/>
    <w:rsid w:val="00BB7018"/>
    <w:rsid w:val="00BB706A"/>
    <w:rsid w:val="00BB7DD5"/>
    <w:rsid w:val="00BC0937"/>
    <w:rsid w:val="00BC2699"/>
    <w:rsid w:val="00BD25E2"/>
    <w:rsid w:val="00BD78ED"/>
    <w:rsid w:val="00BF1E65"/>
    <w:rsid w:val="00BF275D"/>
    <w:rsid w:val="00BF29A5"/>
    <w:rsid w:val="00BF2ABA"/>
    <w:rsid w:val="00BF2C88"/>
    <w:rsid w:val="00BF3A8F"/>
    <w:rsid w:val="00BF6828"/>
    <w:rsid w:val="00BF7DC8"/>
    <w:rsid w:val="00BF7FA5"/>
    <w:rsid w:val="00C0098B"/>
    <w:rsid w:val="00C04301"/>
    <w:rsid w:val="00C04CBF"/>
    <w:rsid w:val="00C05799"/>
    <w:rsid w:val="00C06CDF"/>
    <w:rsid w:val="00C0789F"/>
    <w:rsid w:val="00C14BA7"/>
    <w:rsid w:val="00C15B89"/>
    <w:rsid w:val="00C275B8"/>
    <w:rsid w:val="00C329D0"/>
    <w:rsid w:val="00C34417"/>
    <w:rsid w:val="00C348B6"/>
    <w:rsid w:val="00C34BE3"/>
    <w:rsid w:val="00C35C37"/>
    <w:rsid w:val="00C360CC"/>
    <w:rsid w:val="00C3753A"/>
    <w:rsid w:val="00C401FA"/>
    <w:rsid w:val="00C43FB8"/>
    <w:rsid w:val="00C4434D"/>
    <w:rsid w:val="00C45D64"/>
    <w:rsid w:val="00C50E38"/>
    <w:rsid w:val="00C5216F"/>
    <w:rsid w:val="00C705E6"/>
    <w:rsid w:val="00C76E24"/>
    <w:rsid w:val="00C76FB9"/>
    <w:rsid w:val="00C772D2"/>
    <w:rsid w:val="00C778B9"/>
    <w:rsid w:val="00C80E46"/>
    <w:rsid w:val="00C910D8"/>
    <w:rsid w:val="00C93DDB"/>
    <w:rsid w:val="00C94EBC"/>
    <w:rsid w:val="00C97B72"/>
    <w:rsid w:val="00CA1164"/>
    <w:rsid w:val="00CA3B1E"/>
    <w:rsid w:val="00CA640E"/>
    <w:rsid w:val="00CB6406"/>
    <w:rsid w:val="00CC1463"/>
    <w:rsid w:val="00CC2E61"/>
    <w:rsid w:val="00CD20E7"/>
    <w:rsid w:val="00CD302D"/>
    <w:rsid w:val="00CD6993"/>
    <w:rsid w:val="00CD7063"/>
    <w:rsid w:val="00CE01A8"/>
    <w:rsid w:val="00CE278B"/>
    <w:rsid w:val="00CE3E47"/>
    <w:rsid w:val="00CE5A1F"/>
    <w:rsid w:val="00CE6BC3"/>
    <w:rsid w:val="00CE7259"/>
    <w:rsid w:val="00CE79C6"/>
    <w:rsid w:val="00CF47F7"/>
    <w:rsid w:val="00CF56CD"/>
    <w:rsid w:val="00D01146"/>
    <w:rsid w:val="00D0167F"/>
    <w:rsid w:val="00D0512D"/>
    <w:rsid w:val="00D06785"/>
    <w:rsid w:val="00D06E74"/>
    <w:rsid w:val="00D114AD"/>
    <w:rsid w:val="00D12538"/>
    <w:rsid w:val="00D14675"/>
    <w:rsid w:val="00D16183"/>
    <w:rsid w:val="00D30DE2"/>
    <w:rsid w:val="00D34666"/>
    <w:rsid w:val="00D37738"/>
    <w:rsid w:val="00D43D31"/>
    <w:rsid w:val="00D4583D"/>
    <w:rsid w:val="00D45C8E"/>
    <w:rsid w:val="00D4608D"/>
    <w:rsid w:val="00D464E5"/>
    <w:rsid w:val="00D60884"/>
    <w:rsid w:val="00D66DF5"/>
    <w:rsid w:val="00D728C8"/>
    <w:rsid w:val="00D74803"/>
    <w:rsid w:val="00D74FA2"/>
    <w:rsid w:val="00D77339"/>
    <w:rsid w:val="00D85062"/>
    <w:rsid w:val="00D86E37"/>
    <w:rsid w:val="00D91974"/>
    <w:rsid w:val="00D93BB4"/>
    <w:rsid w:val="00DA5A5A"/>
    <w:rsid w:val="00DA7B50"/>
    <w:rsid w:val="00DB1DD2"/>
    <w:rsid w:val="00DB637A"/>
    <w:rsid w:val="00DC0CB2"/>
    <w:rsid w:val="00DC3008"/>
    <w:rsid w:val="00DC62F3"/>
    <w:rsid w:val="00DD043F"/>
    <w:rsid w:val="00DD2DD7"/>
    <w:rsid w:val="00DE0237"/>
    <w:rsid w:val="00DE579C"/>
    <w:rsid w:val="00DF10C2"/>
    <w:rsid w:val="00DF1DBA"/>
    <w:rsid w:val="00DF5872"/>
    <w:rsid w:val="00DF7295"/>
    <w:rsid w:val="00E061F9"/>
    <w:rsid w:val="00E1160E"/>
    <w:rsid w:val="00E131E1"/>
    <w:rsid w:val="00E1321F"/>
    <w:rsid w:val="00E1331C"/>
    <w:rsid w:val="00E15FC4"/>
    <w:rsid w:val="00E22952"/>
    <w:rsid w:val="00E2474F"/>
    <w:rsid w:val="00E24779"/>
    <w:rsid w:val="00E24A51"/>
    <w:rsid w:val="00E26F32"/>
    <w:rsid w:val="00E32E7B"/>
    <w:rsid w:val="00E4465A"/>
    <w:rsid w:val="00E47AAD"/>
    <w:rsid w:val="00E5247D"/>
    <w:rsid w:val="00E53F42"/>
    <w:rsid w:val="00E60091"/>
    <w:rsid w:val="00E646E1"/>
    <w:rsid w:val="00E64ADE"/>
    <w:rsid w:val="00E658B4"/>
    <w:rsid w:val="00E6607C"/>
    <w:rsid w:val="00E6798C"/>
    <w:rsid w:val="00E703C7"/>
    <w:rsid w:val="00E705D7"/>
    <w:rsid w:val="00E827C7"/>
    <w:rsid w:val="00E83E85"/>
    <w:rsid w:val="00E90174"/>
    <w:rsid w:val="00E90BD2"/>
    <w:rsid w:val="00E919A5"/>
    <w:rsid w:val="00E974CA"/>
    <w:rsid w:val="00E9795B"/>
    <w:rsid w:val="00EA1E7C"/>
    <w:rsid w:val="00EA210D"/>
    <w:rsid w:val="00EA39B3"/>
    <w:rsid w:val="00EB01BD"/>
    <w:rsid w:val="00EB459F"/>
    <w:rsid w:val="00EB5E07"/>
    <w:rsid w:val="00EB623D"/>
    <w:rsid w:val="00EB7853"/>
    <w:rsid w:val="00EC119E"/>
    <w:rsid w:val="00EC34E2"/>
    <w:rsid w:val="00EC38B0"/>
    <w:rsid w:val="00EC6AF3"/>
    <w:rsid w:val="00ED6017"/>
    <w:rsid w:val="00EE02B1"/>
    <w:rsid w:val="00EE12A4"/>
    <w:rsid w:val="00EE1836"/>
    <w:rsid w:val="00EE2DEE"/>
    <w:rsid w:val="00EE37A6"/>
    <w:rsid w:val="00EE7E34"/>
    <w:rsid w:val="00EF0717"/>
    <w:rsid w:val="00EF5DAF"/>
    <w:rsid w:val="00F005A5"/>
    <w:rsid w:val="00F00622"/>
    <w:rsid w:val="00F0610D"/>
    <w:rsid w:val="00F0721F"/>
    <w:rsid w:val="00F11191"/>
    <w:rsid w:val="00F15428"/>
    <w:rsid w:val="00F17953"/>
    <w:rsid w:val="00F22B31"/>
    <w:rsid w:val="00F23360"/>
    <w:rsid w:val="00F25650"/>
    <w:rsid w:val="00F26FF9"/>
    <w:rsid w:val="00F2798A"/>
    <w:rsid w:val="00F33174"/>
    <w:rsid w:val="00F3536A"/>
    <w:rsid w:val="00F43AAD"/>
    <w:rsid w:val="00F46649"/>
    <w:rsid w:val="00F467E4"/>
    <w:rsid w:val="00F47E74"/>
    <w:rsid w:val="00F51C77"/>
    <w:rsid w:val="00F52852"/>
    <w:rsid w:val="00F53CBD"/>
    <w:rsid w:val="00F543C6"/>
    <w:rsid w:val="00F56EC8"/>
    <w:rsid w:val="00F5706F"/>
    <w:rsid w:val="00F5732E"/>
    <w:rsid w:val="00F57988"/>
    <w:rsid w:val="00F607D6"/>
    <w:rsid w:val="00F612E1"/>
    <w:rsid w:val="00F622E3"/>
    <w:rsid w:val="00F63B38"/>
    <w:rsid w:val="00F64C53"/>
    <w:rsid w:val="00F67525"/>
    <w:rsid w:val="00F6791B"/>
    <w:rsid w:val="00F74465"/>
    <w:rsid w:val="00F75F5D"/>
    <w:rsid w:val="00F76F63"/>
    <w:rsid w:val="00F8056D"/>
    <w:rsid w:val="00F817D4"/>
    <w:rsid w:val="00F83FC5"/>
    <w:rsid w:val="00F84B4F"/>
    <w:rsid w:val="00F84C15"/>
    <w:rsid w:val="00F86D7E"/>
    <w:rsid w:val="00F87829"/>
    <w:rsid w:val="00F916E6"/>
    <w:rsid w:val="00F92898"/>
    <w:rsid w:val="00F93A86"/>
    <w:rsid w:val="00F95F4E"/>
    <w:rsid w:val="00FA501F"/>
    <w:rsid w:val="00FA5EC3"/>
    <w:rsid w:val="00FA6EE3"/>
    <w:rsid w:val="00FB16C8"/>
    <w:rsid w:val="00FB3AB1"/>
    <w:rsid w:val="00FB3CF1"/>
    <w:rsid w:val="00FC272B"/>
    <w:rsid w:val="00FC2A34"/>
    <w:rsid w:val="00FD015A"/>
    <w:rsid w:val="00FD04C4"/>
    <w:rsid w:val="00FD3D34"/>
    <w:rsid w:val="00FE1EBE"/>
    <w:rsid w:val="00FE3507"/>
    <w:rsid w:val="00FE5DE4"/>
    <w:rsid w:val="00FF1367"/>
    <w:rsid w:val="00FF4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uiPriority="9" w:qFormat="1"/>
    <w:lsdException w:name="heading 5" w:qFormat="1"/>
    <w:lsdException w:name="heading 6" w:semiHidden="1" w:unhideWhenUsed="1"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uiPriority="67"/>
    <w:lsdException w:name="No Spacing" w:uiPriority="99"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atentStyles>
  <w:style w:type="paragraph" w:default="1" w:styleId="Normal">
    <w:name w:val="Normal"/>
    <w:qFormat/>
    <w:rsid w:val="0093529D"/>
    <w:pPr>
      <w:spacing w:before="240"/>
      <w:jc w:val="both"/>
    </w:pPr>
    <w:rPr>
      <w:spacing w:val="-3"/>
      <w:sz w:val="24"/>
      <w:lang w:val="es-ES_tradnl"/>
    </w:rPr>
  </w:style>
  <w:style w:type="paragraph" w:styleId="Heading1">
    <w:name w:val="heading 1"/>
    <w:aliases w:val="Heading 1.I"/>
    <w:basedOn w:val="Normal"/>
    <w:next w:val="Normal"/>
    <w:link w:val="Heading1Char"/>
    <w:uiPriority w:val="9"/>
    <w:qFormat/>
    <w:rsid w:val="006F3C57"/>
    <w:pPr>
      <w:keepNext/>
      <w:numPr>
        <w:numId w:val="3"/>
      </w:numPr>
      <w:spacing w:after="240"/>
      <w:jc w:val="center"/>
      <w:outlineLvl w:val="0"/>
    </w:pPr>
    <w:rPr>
      <w:rFonts w:ascii="Times New Roman Bold" w:eastAsia="Calibri" w:hAnsi="Times New Roman Bold"/>
      <w:b/>
      <w:smallCaps/>
      <w:noProof/>
      <w:spacing w:val="0"/>
      <w:sz w:val="28"/>
      <w:lang w:val="es-AR" w:eastAsia="es-AR"/>
    </w:rPr>
  </w:style>
  <w:style w:type="paragraph" w:styleId="Heading4">
    <w:name w:val="heading 4"/>
    <w:aliases w:val="Heading 4.a"/>
    <w:basedOn w:val="Normal"/>
    <w:next w:val="Normal"/>
    <w:uiPriority w:val="9"/>
    <w:qFormat/>
    <w:rsid w:val="006F3C57"/>
    <w:pPr>
      <w:keepNext/>
      <w:numPr>
        <w:ilvl w:val="2"/>
        <w:numId w:val="3"/>
      </w:numPr>
      <w:tabs>
        <w:tab w:val="left" w:pos="1440"/>
      </w:tabs>
      <w:spacing w:before="120" w:after="120"/>
      <w:outlineLvl w:val="3"/>
    </w:pPr>
    <w:rPr>
      <w:rFonts w:ascii="Times New Roman Bold" w:eastAsia="Calibri" w:hAnsi="Times New Roman Bold"/>
      <w:b/>
      <w:noProof/>
      <w:spacing w:val="0"/>
      <w:lang w:val="es-AR" w:eastAsia="es-AR"/>
    </w:rPr>
  </w:style>
  <w:style w:type="paragraph" w:styleId="Heading5">
    <w:name w:val="heading 5"/>
    <w:aliases w:val="Heading 5.(i)"/>
    <w:basedOn w:val="Normal"/>
    <w:next w:val="Normal"/>
    <w:qFormat/>
    <w:rsid w:val="006F3C57"/>
    <w:pPr>
      <w:keepNext/>
      <w:numPr>
        <w:ilvl w:val="3"/>
        <w:numId w:val="3"/>
      </w:numPr>
      <w:spacing w:before="120" w:after="120"/>
      <w:outlineLvl w:val="4"/>
    </w:pPr>
    <w:rPr>
      <w:rFonts w:ascii="Times New Roman Bold" w:eastAsia="Calibri" w:hAnsi="Times New Roman Bold"/>
      <w:b/>
      <w:noProof/>
      <w:spacing w:val="0"/>
      <w:lang w:val="es-AR" w:eastAsia="es-AR"/>
    </w:rPr>
  </w:style>
  <w:style w:type="paragraph" w:styleId="Heading6">
    <w:name w:val="heading 6"/>
    <w:basedOn w:val="Normal"/>
    <w:next w:val="Normal"/>
    <w:link w:val="Heading6Char"/>
    <w:qFormat/>
    <w:rsid w:val="00F93A86"/>
    <w:pPr>
      <w:spacing w:after="60"/>
      <w:ind w:left="5976" w:hanging="432"/>
      <w:outlineLvl w:val="5"/>
    </w:pPr>
    <w:rPr>
      <w:i/>
      <w:spacing w:val="0"/>
      <w:sz w:val="22"/>
      <w:lang w:val="en-US"/>
    </w:rPr>
  </w:style>
  <w:style w:type="paragraph" w:styleId="Heading7">
    <w:name w:val="heading 7"/>
    <w:basedOn w:val="Normal"/>
    <w:next w:val="Normal"/>
    <w:qFormat/>
    <w:rsid w:val="006F3C57"/>
    <w:pPr>
      <w:spacing w:after="60"/>
      <w:ind w:left="2016" w:hanging="1296"/>
      <w:outlineLvl w:val="6"/>
    </w:pPr>
    <w:rPr>
      <w:rFonts w:ascii="Calibri" w:eastAsia="Calibri" w:hAnsi="Calibri"/>
      <w:spacing w:val="0"/>
      <w:szCs w:val="24"/>
      <w:lang w:val="es-AR" w:eastAsia="es-ES"/>
    </w:rPr>
  </w:style>
  <w:style w:type="paragraph" w:styleId="Heading8">
    <w:name w:val="heading 8"/>
    <w:basedOn w:val="Normal"/>
    <w:next w:val="Normal"/>
    <w:qFormat/>
    <w:rsid w:val="006F3C57"/>
    <w:pPr>
      <w:spacing w:after="60"/>
      <w:ind w:left="2160" w:hanging="1440"/>
      <w:outlineLvl w:val="7"/>
    </w:pPr>
    <w:rPr>
      <w:rFonts w:ascii="Calibri" w:eastAsia="Calibri" w:hAnsi="Calibri"/>
      <w:i/>
      <w:iCs/>
      <w:spacing w:val="0"/>
      <w:szCs w:val="24"/>
      <w:lang w:val="es-AR" w:eastAsia="es-ES"/>
    </w:rPr>
  </w:style>
  <w:style w:type="paragraph" w:styleId="Heading9">
    <w:name w:val="heading 9"/>
    <w:basedOn w:val="Normal"/>
    <w:next w:val="Normal"/>
    <w:qFormat/>
    <w:rsid w:val="006F3C57"/>
    <w:pPr>
      <w:spacing w:after="60"/>
      <w:ind w:left="2304" w:hanging="1584"/>
      <w:outlineLvl w:val="8"/>
    </w:pPr>
    <w:rPr>
      <w:rFonts w:ascii="Cambria" w:eastAsia="Calibri" w:hAnsi="Cambria"/>
      <w:spacing w:val="0"/>
      <w:sz w:val="22"/>
      <w:szCs w:val="22"/>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419"/>
        <w:tab w:val="right" w:pos="8838"/>
      </w:tabs>
    </w:pPr>
  </w:style>
  <w:style w:type="paragraph" w:styleId="Footer">
    <w:name w:val="footer"/>
    <w:basedOn w:val="Normal"/>
    <w:link w:val="FooterChar"/>
    <w:uiPriority w:val="99"/>
    <w:pPr>
      <w:tabs>
        <w:tab w:val="center" w:pos="4419"/>
        <w:tab w:val="right" w:pos="8838"/>
      </w:tabs>
    </w:pPr>
  </w:style>
  <w:style w:type="paragraph" w:customStyle="1" w:styleId="ColorfulList-Accent11">
    <w:name w:val="Colorful List - Accent 11"/>
    <w:basedOn w:val="Normal"/>
    <w:link w:val="ColorfulList-Accent1Char"/>
    <w:qFormat/>
    <w:rsid w:val="001F2E60"/>
    <w:pPr>
      <w:ind w:left="720"/>
      <w:contextualSpacing/>
    </w:pPr>
    <w:rPr>
      <w:rFonts w:ascii="Calibri" w:eastAsia="Calibri" w:hAnsi="Calibri"/>
      <w:spacing w:val="0"/>
      <w:sz w:val="22"/>
      <w:szCs w:val="22"/>
      <w:lang w:val="x-none" w:eastAsia="x-none"/>
    </w:rPr>
  </w:style>
  <w:style w:type="paragraph" w:styleId="Title">
    <w:name w:val="Title"/>
    <w:basedOn w:val="Normal"/>
    <w:link w:val="TitleChar1"/>
    <w:qFormat/>
    <w:rsid w:val="001F2E60"/>
    <w:pPr>
      <w:tabs>
        <w:tab w:val="left" w:pos="1440"/>
        <w:tab w:val="left" w:pos="3060"/>
      </w:tabs>
      <w:jc w:val="center"/>
      <w:outlineLvl w:val="0"/>
    </w:pPr>
    <w:rPr>
      <w:spacing w:val="0"/>
      <w:lang w:val="x-none" w:eastAsia="x-none"/>
    </w:rPr>
  </w:style>
  <w:style w:type="character" w:customStyle="1" w:styleId="TitleChar1">
    <w:name w:val="Title Char1"/>
    <w:link w:val="Title"/>
    <w:rsid w:val="001F2E60"/>
    <w:rPr>
      <w:sz w:val="24"/>
      <w:lang w:val="x-none" w:eastAsia="x-none" w:bidi="ar-SA"/>
    </w:rPr>
  </w:style>
  <w:style w:type="paragraph" w:customStyle="1" w:styleId="Newpage">
    <w:name w:val="Newpage"/>
    <w:basedOn w:val="Normal"/>
    <w:rsid w:val="001F2E60"/>
    <w:pPr>
      <w:tabs>
        <w:tab w:val="left" w:pos="1440"/>
        <w:tab w:val="left" w:pos="3060"/>
      </w:tabs>
      <w:jc w:val="center"/>
    </w:pPr>
    <w:rPr>
      <w:rFonts w:cs="Arial"/>
      <w:b/>
      <w:smallCaps/>
    </w:rPr>
  </w:style>
  <w:style w:type="paragraph" w:styleId="BodyText">
    <w:name w:val="Body Text"/>
    <w:aliases w:val=" Car"/>
    <w:basedOn w:val="Normal"/>
    <w:link w:val="BodyTextChar"/>
    <w:rsid w:val="001F2E60"/>
    <w:pPr>
      <w:tabs>
        <w:tab w:val="left" w:pos="3060"/>
      </w:tabs>
      <w:jc w:val="center"/>
    </w:pPr>
    <w:rPr>
      <w:spacing w:val="0"/>
      <w:lang w:val="x-none" w:eastAsia="x-none"/>
    </w:rPr>
  </w:style>
  <w:style w:type="character" w:customStyle="1" w:styleId="BodyTextChar">
    <w:name w:val="Body Text Char"/>
    <w:aliases w:val=" Car Char"/>
    <w:link w:val="BodyText"/>
    <w:rsid w:val="001F2E60"/>
    <w:rPr>
      <w:sz w:val="24"/>
      <w:lang w:val="x-none" w:eastAsia="x-none" w:bidi="ar-SA"/>
    </w:rPr>
  </w:style>
  <w:style w:type="character" w:customStyle="1" w:styleId="ColorfulList-Accent1Char">
    <w:name w:val="Colorful List - Accent 1 Char"/>
    <w:link w:val="ColorfulList-Accent11"/>
    <w:rsid w:val="001F2E60"/>
    <w:rPr>
      <w:rFonts w:ascii="Calibri" w:eastAsia="Calibri" w:hAnsi="Calibri"/>
      <w:sz w:val="22"/>
      <w:szCs w:val="22"/>
      <w:lang w:val="x-none" w:eastAsia="x-none" w:bidi="ar-SA"/>
    </w:rPr>
  </w:style>
  <w:style w:type="paragraph" w:customStyle="1" w:styleId="heading-b24">
    <w:name w:val="heading-b24"/>
    <w:basedOn w:val="Normal"/>
    <w:next w:val="Normal"/>
    <w:rsid w:val="003D235F"/>
    <w:pPr>
      <w:spacing w:after="600"/>
      <w:jc w:val="center"/>
    </w:pPr>
    <w:rPr>
      <w:rFonts w:ascii="Times New Roman Bold" w:hAnsi="Times New Roman Bold"/>
      <w:b/>
      <w:smallCaps/>
    </w:rPr>
  </w:style>
  <w:style w:type="paragraph" w:customStyle="1" w:styleId="Chapter">
    <w:name w:val="Chapter"/>
    <w:basedOn w:val="Normal"/>
    <w:next w:val="Normal"/>
    <w:uiPriority w:val="99"/>
    <w:rsid w:val="00B56358"/>
    <w:pPr>
      <w:numPr>
        <w:numId w:val="2"/>
      </w:numPr>
      <w:tabs>
        <w:tab w:val="left" w:pos="1440"/>
      </w:tabs>
      <w:spacing w:after="240"/>
      <w:jc w:val="center"/>
    </w:pPr>
    <w:rPr>
      <w:b/>
      <w:smallCaps/>
      <w:spacing w:val="0"/>
      <w:lang w:val="es-AR"/>
    </w:rPr>
  </w:style>
  <w:style w:type="paragraph" w:customStyle="1" w:styleId="Paragraph">
    <w:name w:val="Paragraph"/>
    <w:aliases w:val="paragraph,p,PARAGRAPH,PG,pa,at"/>
    <w:basedOn w:val="BodyTextIndent"/>
    <w:link w:val="ParagraphChar"/>
    <w:uiPriority w:val="99"/>
    <w:qFormat/>
    <w:rsid w:val="00B56358"/>
    <w:pPr>
      <w:spacing w:before="120"/>
      <w:ind w:left="0"/>
      <w:outlineLvl w:val="1"/>
    </w:pPr>
    <w:rPr>
      <w:spacing w:val="0"/>
      <w:lang w:val="es-AR"/>
    </w:rPr>
  </w:style>
  <w:style w:type="paragraph" w:customStyle="1" w:styleId="subpar">
    <w:name w:val="subpar"/>
    <w:basedOn w:val="BodyTextIndent3"/>
    <w:link w:val="subparChar"/>
    <w:uiPriority w:val="99"/>
    <w:rsid w:val="00B56358"/>
    <w:pPr>
      <w:numPr>
        <w:ilvl w:val="2"/>
        <w:numId w:val="2"/>
      </w:numPr>
      <w:spacing w:before="120"/>
      <w:outlineLvl w:val="2"/>
    </w:pPr>
    <w:rPr>
      <w:spacing w:val="0"/>
      <w:sz w:val="24"/>
      <w:lang w:val="es-AR"/>
    </w:rPr>
  </w:style>
  <w:style w:type="paragraph" w:customStyle="1" w:styleId="SubSubPar">
    <w:name w:val="SubSubPar"/>
    <w:basedOn w:val="subpar"/>
    <w:uiPriority w:val="99"/>
    <w:rsid w:val="00B56358"/>
    <w:pPr>
      <w:numPr>
        <w:ilvl w:val="3"/>
      </w:numPr>
      <w:tabs>
        <w:tab w:val="left" w:pos="0"/>
      </w:tabs>
    </w:pPr>
  </w:style>
  <w:style w:type="character" w:customStyle="1" w:styleId="ParagraphChar">
    <w:name w:val="Paragraph Char"/>
    <w:link w:val="Paragraph"/>
    <w:uiPriority w:val="99"/>
    <w:locked/>
    <w:rsid w:val="00B56358"/>
    <w:rPr>
      <w:sz w:val="24"/>
      <w:lang w:val="es-AR" w:eastAsia="en-US" w:bidi="ar-SA"/>
    </w:rPr>
  </w:style>
  <w:style w:type="paragraph" w:styleId="BodyTextIndent">
    <w:name w:val="Body Text Indent"/>
    <w:basedOn w:val="Normal"/>
    <w:rsid w:val="00B56358"/>
    <w:pPr>
      <w:spacing w:after="120"/>
      <w:ind w:left="283"/>
    </w:pPr>
  </w:style>
  <w:style w:type="paragraph" w:styleId="BodyTextIndent3">
    <w:name w:val="Body Text Indent 3"/>
    <w:basedOn w:val="Normal"/>
    <w:rsid w:val="00B56358"/>
    <w:pPr>
      <w:spacing w:after="120"/>
      <w:ind w:left="283"/>
    </w:pPr>
    <w:rPr>
      <w:sz w:val="16"/>
      <w:szCs w:val="16"/>
    </w:rPr>
  </w:style>
  <w:style w:type="character" w:customStyle="1" w:styleId="Heading1Char">
    <w:name w:val="Heading 1 Char"/>
    <w:aliases w:val="Heading 1.I Char"/>
    <w:link w:val="Heading1"/>
    <w:locked/>
    <w:rsid w:val="006F3C57"/>
    <w:rPr>
      <w:rFonts w:ascii="Times New Roman Bold" w:eastAsia="Calibri" w:hAnsi="Times New Roman Bold"/>
      <w:b/>
      <w:smallCaps/>
      <w:noProof/>
      <w:sz w:val="28"/>
      <w:lang w:val="es-AR" w:eastAsia="es-AR"/>
    </w:rPr>
  </w:style>
  <w:style w:type="paragraph" w:customStyle="1" w:styleId="AutoNumpara">
    <w:name w:val="AutoNumpara"/>
    <w:basedOn w:val="BodyTextIndent"/>
    <w:rsid w:val="006F3C57"/>
    <w:pPr>
      <w:numPr>
        <w:ilvl w:val="1"/>
        <w:numId w:val="3"/>
      </w:numPr>
      <w:spacing w:before="120"/>
    </w:pPr>
    <w:rPr>
      <w:rFonts w:eastAsia="Calibri"/>
      <w:noProof/>
      <w:spacing w:val="-2"/>
      <w:lang w:eastAsia="es-ES"/>
    </w:rPr>
  </w:style>
  <w:style w:type="paragraph" w:customStyle="1" w:styleId="Regtable">
    <w:name w:val="Regtable"/>
    <w:link w:val="RegtableChar"/>
    <w:rsid w:val="00E4465A"/>
    <w:pPr>
      <w:keepLines/>
      <w:spacing w:before="20" w:after="20"/>
    </w:pPr>
    <w:rPr>
      <w:rFonts w:eastAsia="Calibri"/>
      <w:noProof/>
    </w:rPr>
  </w:style>
  <w:style w:type="character" w:customStyle="1" w:styleId="RegtableChar">
    <w:name w:val="Regtable Char"/>
    <w:link w:val="Regtable"/>
    <w:locked/>
    <w:rsid w:val="00E4465A"/>
    <w:rPr>
      <w:rFonts w:eastAsia="Calibri"/>
      <w:noProof/>
      <w:lang w:val="en-US" w:eastAsia="en-US" w:bidi="ar-SA"/>
    </w:rPr>
  </w:style>
  <w:style w:type="paragraph" w:customStyle="1" w:styleId="TableTitle">
    <w:name w:val="TableTitle"/>
    <w:basedOn w:val="Normal"/>
    <w:link w:val="TableTitleChar"/>
    <w:rsid w:val="00E4465A"/>
    <w:pPr>
      <w:keepNext/>
      <w:spacing w:before="20" w:after="20"/>
      <w:jc w:val="center"/>
    </w:pPr>
    <w:rPr>
      <w:rFonts w:ascii="Times New Roman Bold" w:eastAsia="Calibri" w:hAnsi="Times New Roman Bold"/>
      <w:b/>
      <w:sz w:val="20"/>
      <w:lang w:val="es-ES" w:eastAsia="es-ES"/>
    </w:rPr>
  </w:style>
  <w:style w:type="character" w:customStyle="1" w:styleId="TableTitleChar">
    <w:name w:val="TableTitle Char"/>
    <w:link w:val="TableTitle"/>
    <w:locked/>
    <w:rsid w:val="00E4465A"/>
    <w:rPr>
      <w:rFonts w:ascii="Times New Roman Bold" w:eastAsia="Calibri" w:hAnsi="Times New Roman Bold"/>
      <w:b/>
      <w:spacing w:val="-3"/>
      <w:lang w:val="es-ES" w:eastAsia="es-ES" w:bidi="ar-SA"/>
    </w:rPr>
  </w:style>
  <w:style w:type="character" w:customStyle="1" w:styleId="subparChar">
    <w:name w:val="subpar Char"/>
    <w:link w:val="subpar"/>
    <w:rsid w:val="00EA1E7C"/>
    <w:rPr>
      <w:sz w:val="24"/>
      <w:szCs w:val="16"/>
      <w:lang w:val="es-AR"/>
    </w:rPr>
  </w:style>
  <w:style w:type="paragraph" w:styleId="FootnoteText">
    <w:name w:val="footnote text"/>
    <w:aliases w:val="Texto,nota,pie,Ref.,al,Footnote,text,single space,fn,ft,Geneva 9,Font: Geneva 9,Boston 10,f,Footnote Text Char1,Geneva 91,Font: Geneva 91,Boston 101,f1,single space1,footnote text1,fn1,Footnote Text Char2,f2,F,foottextfra,footnote,FOOTNOT"/>
    <w:basedOn w:val="Normal"/>
    <w:link w:val="FootnoteTextChar"/>
    <w:uiPriority w:val="99"/>
    <w:rsid w:val="00F63B38"/>
    <w:pPr>
      <w:spacing w:before="120"/>
    </w:pPr>
    <w:rPr>
      <w:spacing w:val="0"/>
      <w:sz w:val="20"/>
      <w:lang w:val="en-US"/>
    </w:rPr>
  </w:style>
  <w:style w:type="character" w:customStyle="1" w:styleId="FootnoteTextChar">
    <w:name w:val="Footnote Text Char"/>
    <w:aliases w:val="Texto Char,nota Char,pie Char,Ref. Char,al Char,Footnote Char,text Char,single space Char,fn Char,ft Char,Geneva 9 Char,Font: Geneva 9 Char,Boston 10 Char,f Char,Footnote Text Char1 Char,Geneva 91 Char,Font: Geneva 91 Char,f1 Char"/>
    <w:link w:val="FootnoteText"/>
    <w:uiPriority w:val="99"/>
    <w:locked/>
    <w:rsid w:val="00F63B38"/>
  </w:style>
  <w:style w:type="character" w:styleId="FootnoteReference">
    <w:name w:val="footnote reference"/>
    <w:aliases w:val="Style 24,titulo 2,pie pddes,16 Point,Superscript 6 Point"/>
    <w:uiPriority w:val="99"/>
    <w:rsid w:val="008079E6"/>
    <w:rPr>
      <w:rFonts w:cs="Times New Roman"/>
      <w:vertAlign w:val="superscript"/>
    </w:rPr>
  </w:style>
  <w:style w:type="character" w:styleId="CommentReference">
    <w:name w:val="annotation reference"/>
    <w:uiPriority w:val="99"/>
    <w:rsid w:val="00A81595"/>
    <w:rPr>
      <w:sz w:val="16"/>
      <w:szCs w:val="16"/>
    </w:rPr>
  </w:style>
  <w:style w:type="paragraph" w:styleId="CommentText">
    <w:name w:val="annotation text"/>
    <w:basedOn w:val="Normal"/>
    <w:link w:val="CommentTextChar1"/>
    <w:uiPriority w:val="99"/>
    <w:rsid w:val="009F7A0F"/>
    <w:rPr>
      <w:sz w:val="20"/>
    </w:rPr>
  </w:style>
  <w:style w:type="paragraph" w:styleId="CommentSubject">
    <w:name w:val="annotation subject"/>
    <w:basedOn w:val="CommentText"/>
    <w:next w:val="CommentText"/>
    <w:semiHidden/>
    <w:rsid w:val="009F7A0F"/>
    <w:rPr>
      <w:b/>
      <w:bCs/>
    </w:rPr>
  </w:style>
  <w:style w:type="paragraph" w:styleId="BalloonText">
    <w:name w:val="Balloon Text"/>
    <w:basedOn w:val="Normal"/>
    <w:semiHidden/>
    <w:rsid w:val="009F7A0F"/>
    <w:rPr>
      <w:rFonts w:ascii="Tahoma" w:hAnsi="Tahoma" w:cs="Tahoma"/>
      <w:sz w:val="16"/>
      <w:szCs w:val="16"/>
    </w:rPr>
  </w:style>
  <w:style w:type="paragraph" w:styleId="BodyTextIndent2">
    <w:name w:val="Body Text Indent 2"/>
    <w:basedOn w:val="Normal"/>
    <w:rsid w:val="00892220"/>
    <w:pPr>
      <w:spacing w:after="120" w:line="480" w:lineRule="auto"/>
      <w:ind w:left="283"/>
    </w:pPr>
  </w:style>
  <w:style w:type="character" w:customStyle="1" w:styleId="CommentTextChar1">
    <w:name w:val="Comment Text Char1"/>
    <w:link w:val="CommentText"/>
    <w:uiPriority w:val="99"/>
    <w:locked/>
    <w:rsid w:val="00892220"/>
    <w:rPr>
      <w:spacing w:val="-3"/>
      <w:lang w:val="es-ES_tradnl" w:eastAsia="en-US" w:bidi="ar-SA"/>
    </w:rPr>
  </w:style>
  <w:style w:type="character" w:customStyle="1" w:styleId="CommentTextChar">
    <w:name w:val="Comment Text Char"/>
    <w:uiPriority w:val="99"/>
    <w:locked/>
    <w:rsid w:val="00C360CC"/>
    <w:rPr>
      <w:rFonts w:cs="Times New Roman"/>
    </w:rPr>
  </w:style>
  <w:style w:type="character" w:customStyle="1" w:styleId="ParagraphCar">
    <w:name w:val="Paragraph Car"/>
    <w:rsid w:val="00CD7063"/>
    <w:rPr>
      <w:sz w:val="24"/>
    </w:rPr>
  </w:style>
  <w:style w:type="paragraph" w:styleId="NormalWeb">
    <w:name w:val="Normal (Web)"/>
    <w:basedOn w:val="Normal"/>
    <w:uiPriority w:val="99"/>
    <w:unhideWhenUsed/>
    <w:rsid w:val="00135837"/>
    <w:pPr>
      <w:spacing w:before="100" w:beforeAutospacing="1" w:after="100" w:afterAutospacing="1"/>
    </w:pPr>
    <w:rPr>
      <w:spacing w:val="0"/>
      <w:szCs w:val="24"/>
      <w:lang w:val="en-US"/>
    </w:rPr>
  </w:style>
  <w:style w:type="character" w:customStyle="1" w:styleId="Heading6Char">
    <w:name w:val="Heading 6 Char"/>
    <w:link w:val="Heading6"/>
    <w:rsid w:val="00F93A86"/>
    <w:rPr>
      <w:i/>
      <w:sz w:val="22"/>
      <w:lang w:val="en-US" w:eastAsia="en-US"/>
    </w:rPr>
  </w:style>
  <w:style w:type="paragraph" w:styleId="ListParagraph">
    <w:name w:val="List Paragraph"/>
    <w:basedOn w:val="Normal"/>
    <w:uiPriority w:val="34"/>
    <w:qFormat/>
    <w:rsid w:val="00897EC4"/>
    <w:pPr>
      <w:spacing w:before="120"/>
      <w:ind w:left="720"/>
    </w:pPr>
    <w:rPr>
      <w:spacing w:val="0"/>
      <w:szCs w:val="22"/>
      <w:lang w:val="en-US"/>
    </w:rPr>
  </w:style>
  <w:style w:type="paragraph" w:customStyle="1" w:styleId="FirstHeading">
    <w:name w:val="FirstHeading"/>
    <w:basedOn w:val="Normal"/>
    <w:next w:val="Normal"/>
    <w:uiPriority w:val="99"/>
    <w:rsid w:val="00F93A86"/>
    <w:pPr>
      <w:keepNext/>
      <w:tabs>
        <w:tab w:val="left" w:pos="0"/>
        <w:tab w:val="left" w:pos="86"/>
      </w:tabs>
      <w:spacing w:before="120" w:after="120"/>
      <w:ind w:left="720" w:hanging="720"/>
    </w:pPr>
    <w:rPr>
      <w:b/>
      <w:spacing w:val="0"/>
      <w:lang w:val="en-US"/>
    </w:rPr>
  </w:style>
  <w:style w:type="paragraph" w:customStyle="1" w:styleId="SecHeading">
    <w:name w:val="SecHeading"/>
    <w:basedOn w:val="Normal"/>
    <w:next w:val="Paragraph"/>
    <w:uiPriority w:val="99"/>
    <w:rsid w:val="00F93A86"/>
    <w:pPr>
      <w:keepNext/>
      <w:tabs>
        <w:tab w:val="num" w:pos="1296"/>
      </w:tabs>
      <w:spacing w:before="120" w:after="120"/>
      <w:ind w:left="1296" w:hanging="576"/>
    </w:pPr>
    <w:rPr>
      <w:b/>
      <w:spacing w:val="0"/>
      <w:lang w:val="en-US"/>
    </w:rPr>
  </w:style>
  <w:style w:type="paragraph" w:customStyle="1" w:styleId="SubHeading1">
    <w:name w:val="SubHeading1"/>
    <w:basedOn w:val="SecHeading"/>
    <w:uiPriority w:val="99"/>
    <w:rsid w:val="00F93A86"/>
    <w:pPr>
      <w:tabs>
        <w:tab w:val="clear" w:pos="1296"/>
        <w:tab w:val="num" w:pos="1872"/>
      </w:tabs>
      <w:ind w:left="1872"/>
    </w:pPr>
  </w:style>
  <w:style w:type="paragraph" w:customStyle="1" w:styleId="Subheading2">
    <w:name w:val="Subheading2"/>
    <w:basedOn w:val="SecHeading"/>
    <w:uiPriority w:val="99"/>
    <w:rsid w:val="00F93A86"/>
    <w:pPr>
      <w:tabs>
        <w:tab w:val="clear" w:pos="1296"/>
        <w:tab w:val="num" w:pos="2376"/>
      </w:tabs>
      <w:ind w:left="2376" w:hanging="288"/>
    </w:pPr>
  </w:style>
  <w:style w:type="character" w:customStyle="1" w:styleId="mediumtext1">
    <w:name w:val="medium_text1"/>
    <w:rsid w:val="00CF56CD"/>
    <w:rPr>
      <w:sz w:val="24"/>
      <w:szCs w:val="24"/>
    </w:rPr>
  </w:style>
  <w:style w:type="paragraph" w:customStyle="1" w:styleId="Title1">
    <w:name w:val="Title1"/>
    <w:basedOn w:val="Normal"/>
    <w:link w:val="TitleChar"/>
    <w:rsid w:val="007311A8"/>
    <w:pPr>
      <w:spacing w:line="360" w:lineRule="auto"/>
      <w:ind w:firstLine="720"/>
    </w:pPr>
    <w:rPr>
      <w:rFonts w:eastAsia="Calibri"/>
      <w:spacing w:val="0"/>
      <w:szCs w:val="22"/>
      <w:lang w:val="x-none" w:eastAsia="x-none"/>
    </w:rPr>
  </w:style>
  <w:style w:type="character" w:customStyle="1" w:styleId="TitleChar">
    <w:name w:val="Title Char"/>
    <w:link w:val="Title1"/>
    <w:locked/>
    <w:rsid w:val="007311A8"/>
    <w:rPr>
      <w:rFonts w:eastAsia="Calibri" w:cs="Times New Roman"/>
      <w:sz w:val="24"/>
      <w:szCs w:val="22"/>
    </w:rPr>
  </w:style>
  <w:style w:type="paragraph" w:styleId="NoSpacing">
    <w:name w:val="No Spacing"/>
    <w:link w:val="NoSpacingChar"/>
    <w:uiPriority w:val="99"/>
    <w:qFormat/>
    <w:rsid w:val="00402EF6"/>
    <w:pPr>
      <w:widowControl w:val="0"/>
      <w:adjustRightInd w:val="0"/>
      <w:jc w:val="both"/>
      <w:textAlignment w:val="baseline"/>
    </w:pPr>
    <w:rPr>
      <w:rFonts w:eastAsia="ヒラギノ角ゴ Pro W3"/>
      <w:color w:val="000000"/>
      <w:sz w:val="24"/>
      <w:szCs w:val="24"/>
    </w:rPr>
  </w:style>
  <w:style w:type="character" w:customStyle="1" w:styleId="NoSpacingChar">
    <w:name w:val="No Spacing Char"/>
    <w:link w:val="NoSpacing"/>
    <w:uiPriority w:val="99"/>
    <w:rsid w:val="00402EF6"/>
    <w:rPr>
      <w:rFonts w:eastAsia="ヒラギノ角ゴ Pro W3"/>
      <w:color w:val="000000"/>
      <w:sz w:val="24"/>
      <w:szCs w:val="24"/>
      <w:lang w:val="en-US" w:eastAsia="en-US" w:bidi="ar-SA"/>
    </w:rPr>
  </w:style>
  <w:style w:type="character" w:styleId="Hyperlink">
    <w:name w:val="Hyperlink"/>
    <w:unhideWhenUsed/>
    <w:rsid w:val="00157CD3"/>
    <w:rPr>
      <w:color w:val="0000FF"/>
      <w:u w:val="single"/>
    </w:rPr>
  </w:style>
  <w:style w:type="numbering" w:customStyle="1" w:styleId="LFO8">
    <w:name w:val="LFO8"/>
    <w:rsid w:val="005855FA"/>
    <w:pPr>
      <w:numPr>
        <w:numId w:val="10"/>
      </w:numPr>
    </w:pPr>
  </w:style>
  <w:style w:type="paragraph" w:customStyle="1" w:styleId="References">
    <w:name w:val="References"/>
    <w:basedOn w:val="Normal"/>
    <w:rsid w:val="002E1E86"/>
    <w:pPr>
      <w:spacing w:line="360" w:lineRule="auto"/>
      <w:ind w:left="720" w:hanging="720"/>
    </w:pPr>
    <w:rPr>
      <w:spacing w:val="0"/>
      <w:szCs w:val="24"/>
      <w:lang w:val="en-US"/>
    </w:rPr>
  </w:style>
  <w:style w:type="paragraph" w:styleId="Revision">
    <w:name w:val="Revision"/>
    <w:hidden/>
    <w:uiPriority w:val="71"/>
    <w:rsid w:val="00483078"/>
    <w:rPr>
      <w:spacing w:val="-3"/>
      <w:sz w:val="24"/>
      <w:lang w:val="es-ES_tradnl"/>
    </w:rPr>
  </w:style>
  <w:style w:type="character" w:customStyle="1" w:styleId="FooterChar">
    <w:name w:val="Footer Char"/>
    <w:basedOn w:val="DefaultParagraphFont"/>
    <w:link w:val="Footer"/>
    <w:uiPriority w:val="99"/>
    <w:rsid w:val="0043061C"/>
    <w:rPr>
      <w:spacing w:val="-3"/>
      <w:sz w:val="24"/>
      <w:lang w:val="es-ES_tradnl"/>
    </w:rPr>
  </w:style>
  <w:style w:type="character" w:styleId="PlaceholderText">
    <w:name w:val="Placeholder Text"/>
    <w:basedOn w:val="DefaultParagraphFont"/>
    <w:uiPriority w:val="67"/>
    <w:rsid w:val="00B82E86"/>
    <w:rPr>
      <w:color w:val="808080"/>
    </w:rPr>
  </w:style>
  <w:style w:type="paragraph" w:styleId="Bibliography">
    <w:name w:val="Bibliography"/>
    <w:basedOn w:val="Normal"/>
    <w:next w:val="Normal"/>
    <w:rsid w:val="00BD78ED"/>
    <w:pPr>
      <w:spacing w:before="0"/>
      <w:jc w:val="left"/>
    </w:pPr>
  </w:style>
  <w:style w:type="paragraph" w:customStyle="1" w:styleId="Default">
    <w:name w:val="Default"/>
    <w:rsid w:val="002A2119"/>
    <w:pPr>
      <w:autoSpaceDE w:val="0"/>
      <w:autoSpaceDN w:val="0"/>
      <w:adjustRightInd w:val="0"/>
    </w:pPr>
    <w:rPr>
      <w:rFonts w:ascii="Calibri" w:hAnsi="Calibri" w:cs="Calibri"/>
      <w:color w:val="000000"/>
      <w:sz w:val="24"/>
      <w:szCs w:val="24"/>
    </w:rPr>
  </w:style>
  <w:style w:type="table" w:styleId="TableGrid">
    <w:name w:val="Table Grid"/>
    <w:basedOn w:val="TableNormal"/>
    <w:rsid w:val="002A53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1">
    <w:name w:val="List Paragraph11"/>
    <w:basedOn w:val="Normal"/>
    <w:uiPriority w:val="99"/>
    <w:rsid w:val="00562121"/>
    <w:pPr>
      <w:spacing w:before="0" w:after="200" w:line="276" w:lineRule="auto"/>
      <w:ind w:left="720"/>
      <w:contextualSpacing/>
      <w:jc w:val="left"/>
    </w:pPr>
    <w:rPr>
      <w:rFonts w:ascii="Calibri" w:hAnsi="Calibri"/>
      <w:spacing w:val="0"/>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uiPriority="9" w:qFormat="1"/>
    <w:lsdException w:name="heading 5" w:qFormat="1"/>
    <w:lsdException w:name="heading 6" w:semiHidden="1" w:unhideWhenUsed="1"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uiPriority="67"/>
    <w:lsdException w:name="No Spacing" w:uiPriority="99"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atentStyles>
  <w:style w:type="paragraph" w:default="1" w:styleId="Normal">
    <w:name w:val="Normal"/>
    <w:qFormat/>
    <w:rsid w:val="0093529D"/>
    <w:pPr>
      <w:spacing w:before="240"/>
      <w:jc w:val="both"/>
    </w:pPr>
    <w:rPr>
      <w:spacing w:val="-3"/>
      <w:sz w:val="24"/>
      <w:lang w:val="es-ES_tradnl"/>
    </w:rPr>
  </w:style>
  <w:style w:type="paragraph" w:styleId="Heading1">
    <w:name w:val="heading 1"/>
    <w:aliases w:val="Heading 1.I"/>
    <w:basedOn w:val="Normal"/>
    <w:next w:val="Normal"/>
    <w:link w:val="Heading1Char"/>
    <w:uiPriority w:val="9"/>
    <w:qFormat/>
    <w:rsid w:val="006F3C57"/>
    <w:pPr>
      <w:keepNext/>
      <w:numPr>
        <w:numId w:val="3"/>
      </w:numPr>
      <w:spacing w:after="240"/>
      <w:jc w:val="center"/>
      <w:outlineLvl w:val="0"/>
    </w:pPr>
    <w:rPr>
      <w:rFonts w:ascii="Times New Roman Bold" w:eastAsia="Calibri" w:hAnsi="Times New Roman Bold"/>
      <w:b/>
      <w:smallCaps/>
      <w:noProof/>
      <w:spacing w:val="0"/>
      <w:sz w:val="28"/>
      <w:lang w:val="es-AR" w:eastAsia="es-AR"/>
    </w:rPr>
  </w:style>
  <w:style w:type="paragraph" w:styleId="Heading4">
    <w:name w:val="heading 4"/>
    <w:aliases w:val="Heading 4.a"/>
    <w:basedOn w:val="Normal"/>
    <w:next w:val="Normal"/>
    <w:uiPriority w:val="9"/>
    <w:qFormat/>
    <w:rsid w:val="006F3C57"/>
    <w:pPr>
      <w:keepNext/>
      <w:numPr>
        <w:ilvl w:val="2"/>
        <w:numId w:val="3"/>
      </w:numPr>
      <w:tabs>
        <w:tab w:val="left" w:pos="1440"/>
      </w:tabs>
      <w:spacing w:before="120" w:after="120"/>
      <w:outlineLvl w:val="3"/>
    </w:pPr>
    <w:rPr>
      <w:rFonts w:ascii="Times New Roman Bold" w:eastAsia="Calibri" w:hAnsi="Times New Roman Bold"/>
      <w:b/>
      <w:noProof/>
      <w:spacing w:val="0"/>
      <w:lang w:val="es-AR" w:eastAsia="es-AR"/>
    </w:rPr>
  </w:style>
  <w:style w:type="paragraph" w:styleId="Heading5">
    <w:name w:val="heading 5"/>
    <w:aliases w:val="Heading 5.(i)"/>
    <w:basedOn w:val="Normal"/>
    <w:next w:val="Normal"/>
    <w:qFormat/>
    <w:rsid w:val="006F3C57"/>
    <w:pPr>
      <w:keepNext/>
      <w:numPr>
        <w:ilvl w:val="3"/>
        <w:numId w:val="3"/>
      </w:numPr>
      <w:spacing w:before="120" w:after="120"/>
      <w:outlineLvl w:val="4"/>
    </w:pPr>
    <w:rPr>
      <w:rFonts w:ascii="Times New Roman Bold" w:eastAsia="Calibri" w:hAnsi="Times New Roman Bold"/>
      <w:b/>
      <w:noProof/>
      <w:spacing w:val="0"/>
      <w:lang w:val="es-AR" w:eastAsia="es-AR"/>
    </w:rPr>
  </w:style>
  <w:style w:type="paragraph" w:styleId="Heading6">
    <w:name w:val="heading 6"/>
    <w:basedOn w:val="Normal"/>
    <w:next w:val="Normal"/>
    <w:link w:val="Heading6Char"/>
    <w:qFormat/>
    <w:rsid w:val="00F93A86"/>
    <w:pPr>
      <w:spacing w:after="60"/>
      <w:ind w:left="5976" w:hanging="432"/>
      <w:outlineLvl w:val="5"/>
    </w:pPr>
    <w:rPr>
      <w:i/>
      <w:spacing w:val="0"/>
      <w:sz w:val="22"/>
      <w:lang w:val="en-US"/>
    </w:rPr>
  </w:style>
  <w:style w:type="paragraph" w:styleId="Heading7">
    <w:name w:val="heading 7"/>
    <w:basedOn w:val="Normal"/>
    <w:next w:val="Normal"/>
    <w:qFormat/>
    <w:rsid w:val="006F3C57"/>
    <w:pPr>
      <w:spacing w:after="60"/>
      <w:ind w:left="2016" w:hanging="1296"/>
      <w:outlineLvl w:val="6"/>
    </w:pPr>
    <w:rPr>
      <w:rFonts w:ascii="Calibri" w:eastAsia="Calibri" w:hAnsi="Calibri"/>
      <w:spacing w:val="0"/>
      <w:szCs w:val="24"/>
      <w:lang w:val="es-AR" w:eastAsia="es-ES"/>
    </w:rPr>
  </w:style>
  <w:style w:type="paragraph" w:styleId="Heading8">
    <w:name w:val="heading 8"/>
    <w:basedOn w:val="Normal"/>
    <w:next w:val="Normal"/>
    <w:qFormat/>
    <w:rsid w:val="006F3C57"/>
    <w:pPr>
      <w:spacing w:after="60"/>
      <w:ind w:left="2160" w:hanging="1440"/>
      <w:outlineLvl w:val="7"/>
    </w:pPr>
    <w:rPr>
      <w:rFonts w:ascii="Calibri" w:eastAsia="Calibri" w:hAnsi="Calibri"/>
      <w:i/>
      <w:iCs/>
      <w:spacing w:val="0"/>
      <w:szCs w:val="24"/>
      <w:lang w:val="es-AR" w:eastAsia="es-ES"/>
    </w:rPr>
  </w:style>
  <w:style w:type="paragraph" w:styleId="Heading9">
    <w:name w:val="heading 9"/>
    <w:basedOn w:val="Normal"/>
    <w:next w:val="Normal"/>
    <w:qFormat/>
    <w:rsid w:val="006F3C57"/>
    <w:pPr>
      <w:spacing w:after="60"/>
      <w:ind w:left="2304" w:hanging="1584"/>
      <w:outlineLvl w:val="8"/>
    </w:pPr>
    <w:rPr>
      <w:rFonts w:ascii="Cambria" w:eastAsia="Calibri" w:hAnsi="Cambria"/>
      <w:spacing w:val="0"/>
      <w:sz w:val="22"/>
      <w:szCs w:val="22"/>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419"/>
        <w:tab w:val="right" w:pos="8838"/>
      </w:tabs>
    </w:pPr>
  </w:style>
  <w:style w:type="paragraph" w:styleId="Footer">
    <w:name w:val="footer"/>
    <w:basedOn w:val="Normal"/>
    <w:link w:val="FooterChar"/>
    <w:uiPriority w:val="99"/>
    <w:pPr>
      <w:tabs>
        <w:tab w:val="center" w:pos="4419"/>
        <w:tab w:val="right" w:pos="8838"/>
      </w:tabs>
    </w:pPr>
  </w:style>
  <w:style w:type="paragraph" w:customStyle="1" w:styleId="ColorfulList-Accent11">
    <w:name w:val="Colorful List - Accent 11"/>
    <w:basedOn w:val="Normal"/>
    <w:link w:val="ColorfulList-Accent1Char"/>
    <w:qFormat/>
    <w:rsid w:val="001F2E60"/>
    <w:pPr>
      <w:ind w:left="720"/>
      <w:contextualSpacing/>
    </w:pPr>
    <w:rPr>
      <w:rFonts w:ascii="Calibri" w:eastAsia="Calibri" w:hAnsi="Calibri"/>
      <w:spacing w:val="0"/>
      <w:sz w:val="22"/>
      <w:szCs w:val="22"/>
      <w:lang w:val="x-none" w:eastAsia="x-none"/>
    </w:rPr>
  </w:style>
  <w:style w:type="paragraph" w:styleId="Title">
    <w:name w:val="Title"/>
    <w:basedOn w:val="Normal"/>
    <w:link w:val="TitleChar1"/>
    <w:qFormat/>
    <w:rsid w:val="001F2E60"/>
    <w:pPr>
      <w:tabs>
        <w:tab w:val="left" w:pos="1440"/>
        <w:tab w:val="left" w:pos="3060"/>
      </w:tabs>
      <w:jc w:val="center"/>
      <w:outlineLvl w:val="0"/>
    </w:pPr>
    <w:rPr>
      <w:spacing w:val="0"/>
      <w:lang w:val="x-none" w:eastAsia="x-none"/>
    </w:rPr>
  </w:style>
  <w:style w:type="character" w:customStyle="1" w:styleId="TitleChar1">
    <w:name w:val="Title Char1"/>
    <w:link w:val="Title"/>
    <w:rsid w:val="001F2E60"/>
    <w:rPr>
      <w:sz w:val="24"/>
      <w:lang w:val="x-none" w:eastAsia="x-none" w:bidi="ar-SA"/>
    </w:rPr>
  </w:style>
  <w:style w:type="paragraph" w:customStyle="1" w:styleId="Newpage">
    <w:name w:val="Newpage"/>
    <w:basedOn w:val="Normal"/>
    <w:rsid w:val="001F2E60"/>
    <w:pPr>
      <w:tabs>
        <w:tab w:val="left" w:pos="1440"/>
        <w:tab w:val="left" w:pos="3060"/>
      </w:tabs>
      <w:jc w:val="center"/>
    </w:pPr>
    <w:rPr>
      <w:rFonts w:cs="Arial"/>
      <w:b/>
      <w:smallCaps/>
    </w:rPr>
  </w:style>
  <w:style w:type="paragraph" w:styleId="BodyText">
    <w:name w:val="Body Text"/>
    <w:aliases w:val=" Car"/>
    <w:basedOn w:val="Normal"/>
    <w:link w:val="BodyTextChar"/>
    <w:rsid w:val="001F2E60"/>
    <w:pPr>
      <w:tabs>
        <w:tab w:val="left" w:pos="3060"/>
      </w:tabs>
      <w:jc w:val="center"/>
    </w:pPr>
    <w:rPr>
      <w:spacing w:val="0"/>
      <w:lang w:val="x-none" w:eastAsia="x-none"/>
    </w:rPr>
  </w:style>
  <w:style w:type="character" w:customStyle="1" w:styleId="BodyTextChar">
    <w:name w:val="Body Text Char"/>
    <w:aliases w:val=" Car Char"/>
    <w:link w:val="BodyText"/>
    <w:rsid w:val="001F2E60"/>
    <w:rPr>
      <w:sz w:val="24"/>
      <w:lang w:val="x-none" w:eastAsia="x-none" w:bidi="ar-SA"/>
    </w:rPr>
  </w:style>
  <w:style w:type="character" w:customStyle="1" w:styleId="ColorfulList-Accent1Char">
    <w:name w:val="Colorful List - Accent 1 Char"/>
    <w:link w:val="ColorfulList-Accent11"/>
    <w:rsid w:val="001F2E60"/>
    <w:rPr>
      <w:rFonts w:ascii="Calibri" w:eastAsia="Calibri" w:hAnsi="Calibri"/>
      <w:sz w:val="22"/>
      <w:szCs w:val="22"/>
      <w:lang w:val="x-none" w:eastAsia="x-none" w:bidi="ar-SA"/>
    </w:rPr>
  </w:style>
  <w:style w:type="paragraph" w:customStyle="1" w:styleId="heading-b24">
    <w:name w:val="heading-b24"/>
    <w:basedOn w:val="Normal"/>
    <w:next w:val="Normal"/>
    <w:rsid w:val="003D235F"/>
    <w:pPr>
      <w:spacing w:after="600"/>
      <w:jc w:val="center"/>
    </w:pPr>
    <w:rPr>
      <w:rFonts w:ascii="Times New Roman Bold" w:hAnsi="Times New Roman Bold"/>
      <w:b/>
      <w:smallCaps/>
    </w:rPr>
  </w:style>
  <w:style w:type="paragraph" w:customStyle="1" w:styleId="Chapter">
    <w:name w:val="Chapter"/>
    <w:basedOn w:val="Normal"/>
    <w:next w:val="Normal"/>
    <w:uiPriority w:val="99"/>
    <w:rsid w:val="00B56358"/>
    <w:pPr>
      <w:numPr>
        <w:numId w:val="2"/>
      </w:numPr>
      <w:tabs>
        <w:tab w:val="left" w:pos="1440"/>
      </w:tabs>
      <w:spacing w:after="240"/>
      <w:jc w:val="center"/>
    </w:pPr>
    <w:rPr>
      <w:b/>
      <w:smallCaps/>
      <w:spacing w:val="0"/>
      <w:lang w:val="es-AR"/>
    </w:rPr>
  </w:style>
  <w:style w:type="paragraph" w:customStyle="1" w:styleId="Paragraph">
    <w:name w:val="Paragraph"/>
    <w:aliases w:val="paragraph,p,PARAGRAPH,PG,pa,at"/>
    <w:basedOn w:val="BodyTextIndent"/>
    <w:link w:val="ParagraphChar"/>
    <w:uiPriority w:val="99"/>
    <w:qFormat/>
    <w:rsid w:val="00B56358"/>
    <w:pPr>
      <w:spacing w:before="120"/>
      <w:ind w:left="0"/>
      <w:outlineLvl w:val="1"/>
    </w:pPr>
    <w:rPr>
      <w:spacing w:val="0"/>
      <w:lang w:val="es-AR"/>
    </w:rPr>
  </w:style>
  <w:style w:type="paragraph" w:customStyle="1" w:styleId="subpar">
    <w:name w:val="subpar"/>
    <w:basedOn w:val="BodyTextIndent3"/>
    <w:link w:val="subparChar"/>
    <w:uiPriority w:val="99"/>
    <w:rsid w:val="00B56358"/>
    <w:pPr>
      <w:numPr>
        <w:ilvl w:val="2"/>
        <w:numId w:val="2"/>
      </w:numPr>
      <w:spacing w:before="120"/>
      <w:outlineLvl w:val="2"/>
    </w:pPr>
    <w:rPr>
      <w:spacing w:val="0"/>
      <w:sz w:val="24"/>
      <w:lang w:val="es-AR"/>
    </w:rPr>
  </w:style>
  <w:style w:type="paragraph" w:customStyle="1" w:styleId="SubSubPar">
    <w:name w:val="SubSubPar"/>
    <w:basedOn w:val="subpar"/>
    <w:uiPriority w:val="99"/>
    <w:rsid w:val="00B56358"/>
    <w:pPr>
      <w:numPr>
        <w:ilvl w:val="3"/>
      </w:numPr>
      <w:tabs>
        <w:tab w:val="left" w:pos="0"/>
      </w:tabs>
    </w:pPr>
  </w:style>
  <w:style w:type="character" w:customStyle="1" w:styleId="ParagraphChar">
    <w:name w:val="Paragraph Char"/>
    <w:link w:val="Paragraph"/>
    <w:uiPriority w:val="99"/>
    <w:locked/>
    <w:rsid w:val="00B56358"/>
    <w:rPr>
      <w:sz w:val="24"/>
      <w:lang w:val="es-AR" w:eastAsia="en-US" w:bidi="ar-SA"/>
    </w:rPr>
  </w:style>
  <w:style w:type="paragraph" w:styleId="BodyTextIndent">
    <w:name w:val="Body Text Indent"/>
    <w:basedOn w:val="Normal"/>
    <w:rsid w:val="00B56358"/>
    <w:pPr>
      <w:spacing w:after="120"/>
      <w:ind w:left="283"/>
    </w:pPr>
  </w:style>
  <w:style w:type="paragraph" w:styleId="BodyTextIndent3">
    <w:name w:val="Body Text Indent 3"/>
    <w:basedOn w:val="Normal"/>
    <w:rsid w:val="00B56358"/>
    <w:pPr>
      <w:spacing w:after="120"/>
      <w:ind w:left="283"/>
    </w:pPr>
    <w:rPr>
      <w:sz w:val="16"/>
      <w:szCs w:val="16"/>
    </w:rPr>
  </w:style>
  <w:style w:type="character" w:customStyle="1" w:styleId="Heading1Char">
    <w:name w:val="Heading 1 Char"/>
    <w:aliases w:val="Heading 1.I Char"/>
    <w:link w:val="Heading1"/>
    <w:locked/>
    <w:rsid w:val="006F3C57"/>
    <w:rPr>
      <w:rFonts w:ascii="Times New Roman Bold" w:eastAsia="Calibri" w:hAnsi="Times New Roman Bold"/>
      <w:b/>
      <w:smallCaps/>
      <w:noProof/>
      <w:sz w:val="28"/>
      <w:lang w:val="es-AR" w:eastAsia="es-AR"/>
    </w:rPr>
  </w:style>
  <w:style w:type="paragraph" w:customStyle="1" w:styleId="AutoNumpara">
    <w:name w:val="AutoNumpara"/>
    <w:basedOn w:val="BodyTextIndent"/>
    <w:rsid w:val="006F3C57"/>
    <w:pPr>
      <w:numPr>
        <w:ilvl w:val="1"/>
        <w:numId w:val="3"/>
      </w:numPr>
      <w:spacing w:before="120"/>
    </w:pPr>
    <w:rPr>
      <w:rFonts w:eastAsia="Calibri"/>
      <w:noProof/>
      <w:spacing w:val="-2"/>
      <w:lang w:eastAsia="es-ES"/>
    </w:rPr>
  </w:style>
  <w:style w:type="paragraph" w:customStyle="1" w:styleId="Regtable">
    <w:name w:val="Regtable"/>
    <w:link w:val="RegtableChar"/>
    <w:rsid w:val="00E4465A"/>
    <w:pPr>
      <w:keepLines/>
      <w:spacing w:before="20" w:after="20"/>
    </w:pPr>
    <w:rPr>
      <w:rFonts w:eastAsia="Calibri"/>
      <w:noProof/>
    </w:rPr>
  </w:style>
  <w:style w:type="character" w:customStyle="1" w:styleId="RegtableChar">
    <w:name w:val="Regtable Char"/>
    <w:link w:val="Regtable"/>
    <w:locked/>
    <w:rsid w:val="00E4465A"/>
    <w:rPr>
      <w:rFonts w:eastAsia="Calibri"/>
      <w:noProof/>
      <w:lang w:val="en-US" w:eastAsia="en-US" w:bidi="ar-SA"/>
    </w:rPr>
  </w:style>
  <w:style w:type="paragraph" w:customStyle="1" w:styleId="TableTitle">
    <w:name w:val="TableTitle"/>
    <w:basedOn w:val="Normal"/>
    <w:link w:val="TableTitleChar"/>
    <w:rsid w:val="00E4465A"/>
    <w:pPr>
      <w:keepNext/>
      <w:spacing w:before="20" w:after="20"/>
      <w:jc w:val="center"/>
    </w:pPr>
    <w:rPr>
      <w:rFonts w:ascii="Times New Roman Bold" w:eastAsia="Calibri" w:hAnsi="Times New Roman Bold"/>
      <w:b/>
      <w:sz w:val="20"/>
      <w:lang w:val="es-ES" w:eastAsia="es-ES"/>
    </w:rPr>
  </w:style>
  <w:style w:type="character" w:customStyle="1" w:styleId="TableTitleChar">
    <w:name w:val="TableTitle Char"/>
    <w:link w:val="TableTitle"/>
    <w:locked/>
    <w:rsid w:val="00E4465A"/>
    <w:rPr>
      <w:rFonts w:ascii="Times New Roman Bold" w:eastAsia="Calibri" w:hAnsi="Times New Roman Bold"/>
      <w:b/>
      <w:spacing w:val="-3"/>
      <w:lang w:val="es-ES" w:eastAsia="es-ES" w:bidi="ar-SA"/>
    </w:rPr>
  </w:style>
  <w:style w:type="character" w:customStyle="1" w:styleId="subparChar">
    <w:name w:val="subpar Char"/>
    <w:link w:val="subpar"/>
    <w:rsid w:val="00EA1E7C"/>
    <w:rPr>
      <w:sz w:val="24"/>
      <w:szCs w:val="16"/>
      <w:lang w:val="es-AR"/>
    </w:rPr>
  </w:style>
  <w:style w:type="paragraph" w:styleId="FootnoteText">
    <w:name w:val="footnote text"/>
    <w:aliases w:val="Texto,nota,pie,Ref.,al,Footnote,text,single space,fn,ft,Geneva 9,Font: Geneva 9,Boston 10,f,Footnote Text Char1,Geneva 91,Font: Geneva 91,Boston 101,f1,single space1,footnote text1,fn1,Footnote Text Char2,f2,F,foottextfra,footnote,FOOTNOT"/>
    <w:basedOn w:val="Normal"/>
    <w:link w:val="FootnoteTextChar"/>
    <w:uiPriority w:val="99"/>
    <w:rsid w:val="00F63B38"/>
    <w:pPr>
      <w:spacing w:before="120"/>
    </w:pPr>
    <w:rPr>
      <w:spacing w:val="0"/>
      <w:sz w:val="20"/>
      <w:lang w:val="en-US"/>
    </w:rPr>
  </w:style>
  <w:style w:type="character" w:customStyle="1" w:styleId="FootnoteTextChar">
    <w:name w:val="Footnote Text Char"/>
    <w:aliases w:val="Texto Char,nota Char,pie Char,Ref. Char,al Char,Footnote Char,text Char,single space Char,fn Char,ft Char,Geneva 9 Char,Font: Geneva 9 Char,Boston 10 Char,f Char,Footnote Text Char1 Char,Geneva 91 Char,Font: Geneva 91 Char,f1 Char"/>
    <w:link w:val="FootnoteText"/>
    <w:uiPriority w:val="99"/>
    <w:locked/>
    <w:rsid w:val="00F63B38"/>
  </w:style>
  <w:style w:type="character" w:styleId="FootnoteReference">
    <w:name w:val="footnote reference"/>
    <w:aliases w:val="Style 24,titulo 2,pie pddes,16 Point,Superscript 6 Point"/>
    <w:uiPriority w:val="99"/>
    <w:rsid w:val="008079E6"/>
    <w:rPr>
      <w:rFonts w:cs="Times New Roman"/>
      <w:vertAlign w:val="superscript"/>
    </w:rPr>
  </w:style>
  <w:style w:type="character" w:styleId="CommentReference">
    <w:name w:val="annotation reference"/>
    <w:uiPriority w:val="99"/>
    <w:rsid w:val="00A81595"/>
    <w:rPr>
      <w:sz w:val="16"/>
      <w:szCs w:val="16"/>
    </w:rPr>
  </w:style>
  <w:style w:type="paragraph" w:styleId="CommentText">
    <w:name w:val="annotation text"/>
    <w:basedOn w:val="Normal"/>
    <w:link w:val="CommentTextChar1"/>
    <w:uiPriority w:val="99"/>
    <w:rsid w:val="009F7A0F"/>
    <w:rPr>
      <w:sz w:val="20"/>
    </w:rPr>
  </w:style>
  <w:style w:type="paragraph" w:styleId="CommentSubject">
    <w:name w:val="annotation subject"/>
    <w:basedOn w:val="CommentText"/>
    <w:next w:val="CommentText"/>
    <w:semiHidden/>
    <w:rsid w:val="009F7A0F"/>
    <w:rPr>
      <w:b/>
      <w:bCs/>
    </w:rPr>
  </w:style>
  <w:style w:type="paragraph" w:styleId="BalloonText">
    <w:name w:val="Balloon Text"/>
    <w:basedOn w:val="Normal"/>
    <w:semiHidden/>
    <w:rsid w:val="009F7A0F"/>
    <w:rPr>
      <w:rFonts w:ascii="Tahoma" w:hAnsi="Tahoma" w:cs="Tahoma"/>
      <w:sz w:val="16"/>
      <w:szCs w:val="16"/>
    </w:rPr>
  </w:style>
  <w:style w:type="paragraph" w:styleId="BodyTextIndent2">
    <w:name w:val="Body Text Indent 2"/>
    <w:basedOn w:val="Normal"/>
    <w:rsid w:val="00892220"/>
    <w:pPr>
      <w:spacing w:after="120" w:line="480" w:lineRule="auto"/>
      <w:ind w:left="283"/>
    </w:pPr>
  </w:style>
  <w:style w:type="character" w:customStyle="1" w:styleId="CommentTextChar1">
    <w:name w:val="Comment Text Char1"/>
    <w:link w:val="CommentText"/>
    <w:uiPriority w:val="99"/>
    <w:locked/>
    <w:rsid w:val="00892220"/>
    <w:rPr>
      <w:spacing w:val="-3"/>
      <w:lang w:val="es-ES_tradnl" w:eastAsia="en-US" w:bidi="ar-SA"/>
    </w:rPr>
  </w:style>
  <w:style w:type="character" w:customStyle="1" w:styleId="CommentTextChar">
    <w:name w:val="Comment Text Char"/>
    <w:uiPriority w:val="99"/>
    <w:locked/>
    <w:rsid w:val="00C360CC"/>
    <w:rPr>
      <w:rFonts w:cs="Times New Roman"/>
    </w:rPr>
  </w:style>
  <w:style w:type="character" w:customStyle="1" w:styleId="ParagraphCar">
    <w:name w:val="Paragraph Car"/>
    <w:rsid w:val="00CD7063"/>
    <w:rPr>
      <w:sz w:val="24"/>
    </w:rPr>
  </w:style>
  <w:style w:type="paragraph" w:styleId="NormalWeb">
    <w:name w:val="Normal (Web)"/>
    <w:basedOn w:val="Normal"/>
    <w:uiPriority w:val="99"/>
    <w:unhideWhenUsed/>
    <w:rsid w:val="00135837"/>
    <w:pPr>
      <w:spacing w:before="100" w:beforeAutospacing="1" w:after="100" w:afterAutospacing="1"/>
    </w:pPr>
    <w:rPr>
      <w:spacing w:val="0"/>
      <w:szCs w:val="24"/>
      <w:lang w:val="en-US"/>
    </w:rPr>
  </w:style>
  <w:style w:type="character" w:customStyle="1" w:styleId="Heading6Char">
    <w:name w:val="Heading 6 Char"/>
    <w:link w:val="Heading6"/>
    <w:rsid w:val="00F93A86"/>
    <w:rPr>
      <w:i/>
      <w:sz w:val="22"/>
      <w:lang w:val="en-US" w:eastAsia="en-US"/>
    </w:rPr>
  </w:style>
  <w:style w:type="paragraph" w:styleId="ListParagraph">
    <w:name w:val="List Paragraph"/>
    <w:basedOn w:val="Normal"/>
    <w:uiPriority w:val="34"/>
    <w:qFormat/>
    <w:rsid w:val="00897EC4"/>
    <w:pPr>
      <w:spacing w:before="120"/>
      <w:ind w:left="720"/>
    </w:pPr>
    <w:rPr>
      <w:spacing w:val="0"/>
      <w:szCs w:val="22"/>
      <w:lang w:val="en-US"/>
    </w:rPr>
  </w:style>
  <w:style w:type="paragraph" w:customStyle="1" w:styleId="FirstHeading">
    <w:name w:val="FirstHeading"/>
    <w:basedOn w:val="Normal"/>
    <w:next w:val="Normal"/>
    <w:uiPriority w:val="99"/>
    <w:rsid w:val="00F93A86"/>
    <w:pPr>
      <w:keepNext/>
      <w:tabs>
        <w:tab w:val="left" w:pos="0"/>
        <w:tab w:val="left" w:pos="86"/>
      </w:tabs>
      <w:spacing w:before="120" w:after="120"/>
      <w:ind w:left="720" w:hanging="720"/>
    </w:pPr>
    <w:rPr>
      <w:b/>
      <w:spacing w:val="0"/>
      <w:lang w:val="en-US"/>
    </w:rPr>
  </w:style>
  <w:style w:type="paragraph" w:customStyle="1" w:styleId="SecHeading">
    <w:name w:val="SecHeading"/>
    <w:basedOn w:val="Normal"/>
    <w:next w:val="Paragraph"/>
    <w:uiPriority w:val="99"/>
    <w:rsid w:val="00F93A86"/>
    <w:pPr>
      <w:keepNext/>
      <w:tabs>
        <w:tab w:val="num" w:pos="1296"/>
      </w:tabs>
      <w:spacing w:before="120" w:after="120"/>
      <w:ind w:left="1296" w:hanging="576"/>
    </w:pPr>
    <w:rPr>
      <w:b/>
      <w:spacing w:val="0"/>
      <w:lang w:val="en-US"/>
    </w:rPr>
  </w:style>
  <w:style w:type="paragraph" w:customStyle="1" w:styleId="SubHeading1">
    <w:name w:val="SubHeading1"/>
    <w:basedOn w:val="SecHeading"/>
    <w:uiPriority w:val="99"/>
    <w:rsid w:val="00F93A86"/>
    <w:pPr>
      <w:tabs>
        <w:tab w:val="clear" w:pos="1296"/>
        <w:tab w:val="num" w:pos="1872"/>
      </w:tabs>
      <w:ind w:left="1872"/>
    </w:pPr>
  </w:style>
  <w:style w:type="paragraph" w:customStyle="1" w:styleId="Subheading2">
    <w:name w:val="Subheading2"/>
    <w:basedOn w:val="SecHeading"/>
    <w:uiPriority w:val="99"/>
    <w:rsid w:val="00F93A86"/>
    <w:pPr>
      <w:tabs>
        <w:tab w:val="clear" w:pos="1296"/>
        <w:tab w:val="num" w:pos="2376"/>
      </w:tabs>
      <w:ind w:left="2376" w:hanging="288"/>
    </w:pPr>
  </w:style>
  <w:style w:type="character" w:customStyle="1" w:styleId="mediumtext1">
    <w:name w:val="medium_text1"/>
    <w:rsid w:val="00CF56CD"/>
    <w:rPr>
      <w:sz w:val="24"/>
      <w:szCs w:val="24"/>
    </w:rPr>
  </w:style>
  <w:style w:type="paragraph" w:customStyle="1" w:styleId="Title1">
    <w:name w:val="Title1"/>
    <w:basedOn w:val="Normal"/>
    <w:link w:val="TitleChar"/>
    <w:rsid w:val="007311A8"/>
    <w:pPr>
      <w:spacing w:line="360" w:lineRule="auto"/>
      <w:ind w:firstLine="720"/>
    </w:pPr>
    <w:rPr>
      <w:rFonts w:eastAsia="Calibri"/>
      <w:spacing w:val="0"/>
      <w:szCs w:val="22"/>
      <w:lang w:val="x-none" w:eastAsia="x-none"/>
    </w:rPr>
  </w:style>
  <w:style w:type="character" w:customStyle="1" w:styleId="TitleChar">
    <w:name w:val="Title Char"/>
    <w:link w:val="Title1"/>
    <w:locked/>
    <w:rsid w:val="007311A8"/>
    <w:rPr>
      <w:rFonts w:eastAsia="Calibri" w:cs="Times New Roman"/>
      <w:sz w:val="24"/>
      <w:szCs w:val="22"/>
    </w:rPr>
  </w:style>
  <w:style w:type="paragraph" w:styleId="NoSpacing">
    <w:name w:val="No Spacing"/>
    <w:link w:val="NoSpacingChar"/>
    <w:uiPriority w:val="99"/>
    <w:qFormat/>
    <w:rsid w:val="00402EF6"/>
    <w:pPr>
      <w:widowControl w:val="0"/>
      <w:adjustRightInd w:val="0"/>
      <w:jc w:val="both"/>
      <w:textAlignment w:val="baseline"/>
    </w:pPr>
    <w:rPr>
      <w:rFonts w:eastAsia="ヒラギノ角ゴ Pro W3"/>
      <w:color w:val="000000"/>
      <w:sz w:val="24"/>
      <w:szCs w:val="24"/>
    </w:rPr>
  </w:style>
  <w:style w:type="character" w:customStyle="1" w:styleId="NoSpacingChar">
    <w:name w:val="No Spacing Char"/>
    <w:link w:val="NoSpacing"/>
    <w:uiPriority w:val="99"/>
    <w:rsid w:val="00402EF6"/>
    <w:rPr>
      <w:rFonts w:eastAsia="ヒラギノ角ゴ Pro W3"/>
      <w:color w:val="000000"/>
      <w:sz w:val="24"/>
      <w:szCs w:val="24"/>
      <w:lang w:val="en-US" w:eastAsia="en-US" w:bidi="ar-SA"/>
    </w:rPr>
  </w:style>
  <w:style w:type="character" w:styleId="Hyperlink">
    <w:name w:val="Hyperlink"/>
    <w:unhideWhenUsed/>
    <w:rsid w:val="00157CD3"/>
    <w:rPr>
      <w:color w:val="0000FF"/>
      <w:u w:val="single"/>
    </w:rPr>
  </w:style>
  <w:style w:type="numbering" w:customStyle="1" w:styleId="LFO8">
    <w:name w:val="LFO8"/>
    <w:rsid w:val="005855FA"/>
    <w:pPr>
      <w:numPr>
        <w:numId w:val="10"/>
      </w:numPr>
    </w:pPr>
  </w:style>
  <w:style w:type="paragraph" w:customStyle="1" w:styleId="References">
    <w:name w:val="References"/>
    <w:basedOn w:val="Normal"/>
    <w:rsid w:val="002E1E86"/>
    <w:pPr>
      <w:spacing w:line="360" w:lineRule="auto"/>
      <w:ind w:left="720" w:hanging="720"/>
    </w:pPr>
    <w:rPr>
      <w:spacing w:val="0"/>
      <w:szCs w:val="24"/>
      <w:lang w:val="en-US"/>
    </w:rPr>
  </w:style>
  <w:style w:type="paragraph" w:styleId="Revision">
    <w:name w:val="Revision"/>
    <w:hidden/>
    <w:uiPriority w:val="71"/>
    <w:rsid w:val="00483078"/>
    <w:rPr>
      <w:spacing w:val="-3"/>
      <w:sz w:val="24"/>
      <w:lang w:val="es-ES_tradnl"/>
    </w:rPr>
  </w:style>
  <w:style w:type="character" w:customStyle="1" w:styleId="FooterChar">
    <w:name w:val="Footer Char"/>
    <w:basedOn w:val="DefaultParagraphFont"/>
    <w:link w:val="Footer"/>
    <w:uiPriority w:val="99"/>
    <w:rsid w:val="0043061C"/>
    <w:rPr>
      <w:spacing w:val="-3"/>
      <w:sz w:val="24"/>
      <w:lang w:val="es-ES_tradnl"/>
    </w:rPr>
  </w:style>
  <w:style w:type="character" w:styleId="PlaceholderText">
    <w:name w:val="Placeholder Text"/>
    <w:basedOn w:val="DefaultParagraphFont"/>
    <w:uiPriority w:val="67"/>
    <w:rsid w:val="00B82E86"/>
    <w:rPr>
      <w:color w:val="808080"/>
    </w:rPr>
  </w:style>
  <w:style w:type="paragraph" w:styleId="Bibliography">
    <w:name w:val="Bibliography"/>
    <w:basedOn w:val="Normal"/>
    <w:next w:val="Normal"/>
    <w:rsid w:val="00BD78ED"/>
    <w:pPr>
      <w:spacing w:before="0"/>
      <w:jc w:val="left"/>
    </w:pPr>
  </w:style>
  <w:style w:type="paragraph" w:customStyle="1" w:styleId="Default">
    <w:name w:val="Default"/>
    <w:rsid w:val="002A2119"/>
    <w:pPr>
      <w:autoSpaceDE w:val="0"/>
      <w:autoSpaceDN w:val="0"/>
      <w:adjustRightInd w:val="0"/>
    </w:pPr>
    <w:rPr>
      <w:rFonts w:ascii="Calibri" w:hAnsi="Calibri" w:cs="Calibri"/>
      <w:color w:val="000000"/>
      <w:sz w:val="24"/>
      <w:szCs w:val="24"/>
    </w:rPr>
  </w:style>
  <w:style w:type="table" w:styleId="TableGrid">
    <w:name w:val="Table Grid"/>
    <w:basedOn w:val="TableNormal"/>
    <w:rsid w:val="002A53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1">
    <w:name w:val="List Paragraph11"/>
    <w:basedOn w:val="Normal"/>
    <w:uiPriority w:val="99"/>
    <w:rsid w:val="00562121"/>
    <w:pPr>
      <w:spacing w:before="0" w:after="200" w:line="276" w:lineRule="auto"/>
      <w:ind w:left="720"/>
      <w:contextualSpacing/>
      <w:jc w:val="left"/>
    </w:pPr>
    <w:rPr>
      <w:rFonts w:ascii="Calibri" w:hAnsi="Calibri"/>
      <w:spacing w:val="0"/>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2049">
      <w:bodyDiv w:val="1"/>
      <w:marLeft w:val="0"/>
      <w:marRight w:val="0"/>
      <w:marTop w:val="0"/>
      <w:marBottom w:val="0"/>
      <w:divBdr>
        <w:top w:val="none" w:sz="0" w:space="0" w:color="auto"/>
        <w:left w:val="none" w:sz="0" w:space="0" w:color="auto"/>
        <w:bottom w:val="none" w:sz="0" w:space="0" w:color="auto"/>
        <w:right w:val="none" w:sz="0" w:space="0" w:color="auto"/>
      </w:divBdr>
    </w:div>
    <w:div w:id="126556464">
      <w:bodyDiv w:val="1"/>
      <w:marLeft w:val="0"/>
      <w:marRight w:val="0"/>
      <w:marTop w:val="0"/>
      <w:marBottom w:val="0"/>
      <w:divBdr>
        <w:top w:val="none" w:sz="0" w:space="0" w:color="auto"/>
        <w:left w:val="none" w:sz="0" w:space="0" w:color="auto"/>
        <w:bottom w:val="none" w:sz="0" w:space="0" w:color="auto"/>
        <w:right w:val="none" w:sz="0" w:space="0" w:color="auto"/>
      </w:divBdr>
    </w:div>
    <w:div w:id="144322466">
      <w:bodyDiv w:val="1"/>
      <w:marLeft w:val="0"/>
      <w:marRight w:val="0"/>
      <w:marTop w:val="0"/>
      <w:marBottom w:val="0"/>
      <w:divBdr>
        <w:top w:val="none" w:sz="0" w:space="0" w:color="auto"/>
        <w:left w:val="none" w:sz="0" w:space="0" w:color="auto"/>
        <w:bottom w:val="none" w:sz="0" w:space="0" w:color="auto"/>
        <w:right w:val="none" w:sz="0" w:space="0" w:color="auto"/>
      </w:divBdr>
    </w:div>
    <w:div w:id="292758046">
      <w:bodyDiv w:val="1"/>
      <w:marLeft w:val="0"/>
      <w:marRight w:val="0"/>
      <w:marTop w:val="0"/>
      <w:marBottom w:val="0"/>
      <w:divBdr>
        <w:top w:val="none" w:sz="0" w:space="0" w:color="auto"/>
        <w:left w:val="none" w:sz="0" w:space="0" w:color="auto"/>
        <w:bottom w:val="none" w:sz="0" w:space="0" w:color="auto"/>
        <w:right w:val="none" w:sz="0" w:space="0" w:color="auto"/>
      </w:divBdr>
    </w:div>
    <w:div w:id="991635764">
      <w:bodyDiv w:val="1"/>
      <w:marLeft w:val="0"/>
      <w:marRight w:val="0"/>
      <w:marTop w:val="0"/>
      <w:marBottom w:val="0"/>
      <w:divBdr>
        <w:top w:val="none" w:sz="0" w:space="0" w:color="auto"/>
        <w:left w:val="none" w:sz="0" w:space="0" w:color="auto"/>
        <w:bottom w:val="none" w:sz="0" w:space="0" w:color="auto"/>
        <w:right w:val="none" w:sz="0" w:space="0" w:color="auto"/>
      </w:divBdr>
    </w:div>
    <w:div w:id="1028724847">
      <w:bodyDiv w:val="1"/>
      <w:marLeft w:val="0"/>
      <w:marRight w:val="0"/>
      <w:marTop w:val="0"/>
      <w:marBottom w:val="0"/>
      <w:divBdr>
        <w:top w:val="none" w:sz="0" w:space="0" w:color="auto"/>
        <w:left w:val="none" w:sz="0" w:space="0" w:color="auto"/>
        <w:bottom w:val="none" w:sz="0" w:space="0" w:color="auto"/>
        <w:right w:val="none" w:sz="0" w:space="0" w:color="auto"/>
      </w:divBdr>
    </w:div>
    <w:div w:id="1082876405">
      <w:bodyDiv w:val="1"/>
      <w:marLeft w:val="0"/>
      <w:marRight w:val="0"/>
      <w:marTop w:val="0"/>
      <w:marBottom w:val="0"/>
      <w:divBdr>
        <w:top w:val="none" w:sz="0" w:space="0" w:color="auto"/>
        <w:left w:val="none" w:sz="0" w:space="0" w:color="auto"/>
        <w:bottom w:val="none" w:sz="0" w:space="0" w:color="auto"/>
        <w:right w:val="none" w:sz="0" w:space="0" w:color="auto"/>
      </w:divBdr>
    </w:div>
    <w:div w:id="1134785569">
      <w:bodyDiv w:val="1"/>
      <w:marLeft w:val="0"/>
      <w:marRight w:val="0"/>
      <w:marTop w:val="0"/>
      <w:marBottom w:val="0"/>
      <w:divBdr>
        <w:top w:val="none" w:sz="0" w:space="0" w:color="auto"/>
        <w:left w:val="none" w:sz="0" w:space="0" w:color="auto"/>
        <w:bottom w:val="none" w:sz="0" w:space="0" w:color="auto"/>
        <w:right w:val="none" w:sz="0" w:space="0" w:color="auto"/>
      </w:divBdr>
    </w:div>
    <w:div w:id="1286425279">
      <w:bodyDiv w:val="1"/>
      <w:marLeft w:val="0"/>
      <w:marRight w:val="0"/>
      <w:marTop w:val="0"/>
      <w:marBottom w:val="0"/>
      <w:divBdr>
        <w:top w:val="none" w:sz="0" w:space="0" w:color="auto"/>
        <w:left w:val="none" w:sz="0" w:space="0" w:color="auto"/>
        <w:bottom w:val="none" w:sz="0" w:space="0" w:color="auto"/>
        <w:right w:val="none" w:sz="0" w:space="0" w:color="auto"/>
      </w:divBdr>
    </w:div>
    <w:div w:id="1314145294">
      <w:bodyDiv w:val="1"/>
      <w:marLeft w:val="0"/>
      <w:marRight w:val="0"/>
      <w:marTop w:val="0"/>
      <w:marBottom w:val="0"/>
      <w:divBdr>
        <w:top w:val="none" w:sz="0" w:space="0" w:color="auto"/>
        <w:left w:val="none" w:sz="0" w:space="0" w:color="auto"/>
        <w:bottom w:val="none" w:sz="0" w:space="0" w:color="auto"/>
        <w:right w:val="none" w:sz="0" w:space="0" w:color="auto"/>
      </w:divBdr>
    </w:div>
    <w:div w:id="1566799229">
      <w:bodyDiv w:val="1"/>
      <w:marLeft w:val="0"/>
      <w:marRight w:val="0"/>
      <w:marTop w:val="0"/>
      <w:marBottom w:val="0"/>
      <w:divBdr>
        <w:top w:val="none" w:sz="0" w:space="0" w:color="auto"/>
        <w:left w:val="none" w:sz="0" w:space="0" w:color="auto"/>
        <w:bottom w:val="none" w:sz="0" w:space="0" w:color="auto"/>
        <w:right w:val="none" w:sz="0" w:space="0" w:color="auto"/>
      </w:divBdr>
    </w:div>
    <w:div w:id="1900050454">
      <w:bodyDiv w:val="1"/>
      <w:marLeft w:val="0"/>
      <w:marRight w:val="0"/>
      <w:marTop w:val="0"/>
      <w:marBottom w:val="0"/>
      <w:divBdr>
        <w:top w:val="none" w:sz="0" w:space="0" w:color="auto"/>
        <w:left w:val="none" w:sz="0" w:space="0" w:color="auto"/>
        <w:bottom w:val="none" w:sz="0" w:space="0" w:color="auto"/>
        <w:right w:val="none" w:sz="0" w:space="0" w:color="auto"/>
      </w:divBdr>
    </w:div>
    <w:div w:id="1947762363">
      <w:bodyDiv w:val="1"/>
      <w:marLeft w:val="0"/>
      <w:marRight w:val="0"/>
      <w:marTop w:val="0"/>
      <w:marBottom w:val="0"/>
      <w:divBdr>
        <w:top w:val="none" w:sz="0" w:space="0" w:color="auto"/>
        <w:left w:val="none" w:sz="0" w:space="0" w:color="auto"/>
        <w:bottom w:val="none" w:sz="0" w:space="0" w:color="auto"/>
        <w:right w:val="none" w:sz="0" w:space="0" w:color="auto"/>
      </w:divBdr>
    </w:div>
    <w:div w:id="20780470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ber.org/papers/w14251" TargetMode="External"/><Relationship Id="rId18" Type="http://schemas.openxmlformats.org/officeDocument/2006/relationships/customXml" Target="../customXml/item4.xml"/><Relationship Id="rId3" Type="http://schemas.openxmlformats.org/officeDocument/2006/relationships/numbering" Target="numbering.xml"/><Relationship Id="rId21" Type="http://schemas.openxmlformats.org/officeDocument/2006/relationships/customXml" Target="../customXml/item7.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5C8367B4BCE064893CEDA9A0C814C98" ma:contentTypeVersion="0" ma:contentTypeDescription="A content type to manage public (operations) IDB documents" ma:contentTypeScope="" ma:versionID="3552019bea6815f263d273e76f7720d5">
  <xsd:schema xmlns:xsd="http://www.w3.org/2001/XMLSchema" xmlns:xs="http://www.w3.org/2001/XMLSchema" xmlns:p="http://schemas.microsoft.com/office/2006/metadata/properties" xmlns:ns2="9c571b2f-e523-4ab2-ba2e-09e151a03ef4" targetNamespace="http://schemas.microsoft.com/office/2006/metadata/properties" ma:root="true" ma:fieldsID="5dc240e628757ba7ec5e5939143c27f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04a3a5b-86bb-404a-93c9-b33ba2dc986f}" ma:internalName="TaxCatchAll" ma:showField="CatchAllData"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04a3a5b-86bb-404a-93c9-b33ba2dc986f}" ma:internalName="TaxCatchAllLabel" ma:readOnly="true" ma:showField="CatchAllDataLabel"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b:Source>
    <b:Tag>Ros83</b:Tag>
    <b:SourceType>JournalArticle</b:SourceType>
    <b:Guid>{EB1E7845-5B93-4018-9BBE-34D6333F5F81}</b:Guid>
    <b:Title>The Central Role of the Propensity Score in Observational Studies for Causal Effects.</b:Title>
    <b:Year>1983</b:Year>
    <b:Author>
      <b:Author>
        <b:NameList>
          <b:Person>
            <b:Last>Rosenbaum</b:Last>
            <b:First>Paul</b:First>
            <b:Middle>R.</b:Middle>
          </b:Person>
          <b:Person>
            <b:Last>Rubin</b:Last>
            <b:First>Donald</b:First>
            <b:Middle>R.</b:Middle>
          </b:Person>
        </b:NameList>
      </b:Author>
    </b:Author>
    <b:Volume>70</b:Volume>
    <b:Pages>41-55</b:Pages>
    <b:JournalName>Biometrika</b:JournalName>
    <b:Issue>1</b:Issue>
    <b:RefOrder>26</b:RefOrder>
  </b:Source>
  <b:Source>
    <b:Tag>Imb08</b:Tag>
    <b:SourceType>DocumentFromInternetSite</b:SourceType>
    <b:Guid>{5FE838CF-862D-4E1E-8DB7-836DFD613F37}</b:Guid>
    <b:Title>Recent Developments in the Econometrics of Program Evaluation</b:Title>
    <b:Year>2008</b:Year>
    <b:Author>
      <b:Author>
        <b:NameList>
          <b:Person>
            <b:Last>Imbens</b:Last>
            <b:First>Guido</b:First>
          </b:Person>
          <b:Person>
            <b:Last>Wooldridge</b:Last>
            <b:First>Jeffrey</b:First>
          </b:Person>
        </b:NameList>
      </b:Author>
    </b:Author>
    <b:City>Cambridge</b:City>
    <b:StateProvince>MA</b:StateProvince>
    <b:Month>August</b:Month>
    <b:InternetSiteTitle>National Bureau of Economic Research</b:InternetSiteTitle>
    <b:URL>http://www.nber.org/papers/w14251</b:URL>
    <b:RefOrder>27</b:RefOrder>
  </b:Source>
  <b:Source>
    <b:Tag>Woo07</b:Tag>
    <b:SourceType>JournalArticle</b:SourceType>
    <b:Guid>{69BBEA0D-4B95-4B20-940E-3B9128319C38}</b:Guid>
    <b:Author>
      <b:Author>
        <b:NameList>
          <b:Person>
            <b:Last>Wooldridge</b:Last>
            <b:First>Jeffrey</b:First>
          </b:Person>
        </b:NameList>
      </b:Author>
    </b:Author>
    <b:Title>Inverse Probability Weighted Estimation for General Missing Data Problems</b:Title>
    <b:JournalName>Journal of Econometrics</b:JournalName>
    <b:Year>2007</b:Year>
    <b:Pages>1281-1301</b:Pages>
    <b:Volume>141</b:Volume>
    <b:Issue>2</b:Issue>
    <b:RefOrder>28</b:RefOrder>
  </b:Source>
  <b:Source>
    <b:Tag>van02</b:Tag>
    <b:SourceType>Report</b:SourceType>
    <b:Guid>{02B0F3BE-1B06-4FA4-8B2C-D3FFBF05C989}</b:Guid>
    <b:Title>Impact of a Rural Road Rehabilitation Project</b:Title>
    <b:Year>2002</b:Year>
    <b:Author>
      <b:Author>
        <b:NameList>
          <b:Person>
            <b:Last>van de Walle</b:Last>
            <b:First>Dominique</b:First>
          </b:Person>
          <b:Person>
            <b:Last>Cratty</b:Last>
            <b:First>Dorothyjean</b:First>
          </b:Person>
        </b:NameList>
      </b:Author>
    </b:Author>
    <b:Publisher>World Bank</b:Publisher>
    <b:RefOrder>2</b:RefOrder>
  </b:Source>
  <b:Source>
    <b:Tag>Esc00</b:Tag>
    <b:SourceType>Report</b:SourceType>
    <b:Guid>{4A869B5C-EB38-4EC8-B4DE-919F98D7BC77}</b:Guid>
    <b:Author>
      <b:Author>
        <b:NameList>
          <b:Person>
            <b:Last>Escobal</b:Last>
            <b:First>Javier</b:First>
          </b:Person>
        </b:NameList>
      </b:Author>
    </b:Author>
    <b:Title>Costos de Transacción en la Agricultura Peruana: Una Primera Aproximación a su Medición e Impacto</b:Title>
    <b:Year>2000</b:Year>
    <b:Publisher>GRADE</b:Publisher>
    <b:City>Lima, Perú</b:City>
    <b:Department>Grupo de Análisis</b:Department>
    <b:StandardNumber>GRADE Working Paper 40-I.</b:StandardNumber>
    <b:RefOrder>3</b:RefOrder>
  </b:Source>
  <b:Source>
    <b:Tag>Kha09</b:Tag>
    <b:SourceType>JournalArticle</b:SourceType>
    <b:Guid>{05DD7262-30A2-4287-ACF0-665522317FDC}</b:Guid>
    <b:Title>The Poverty Impact of Rural Roads: Evidence from Bangladesh</b:Title>
    <b:Year>2009</b:Year>
    <b:JournalName>Economic Development and Cultural Change</b:JournalName>
    <b:Pages>685-722</b:Pages>
    <b:Author>
      <b:Author>
        <b:NameList>
          <b:Person>
            <b:Last>Khandker</b:Last>
            <b:First>Shahidur</b:First>
          </b:Person>
          <b:Person>
            <b:Last>Bakht</b:Last>
            <b:First>Zaid</b:First>
          </b:Person>
          <b:Person>
            <b:Last>Koolwal</b:Last>
            <b:First>Gayatri</b:First>
          </b:Person>
        </b:NameList>
      </b:Author>
    </b:Author>
    <b:Volume>57</b:Volume>
    <b:Issue>4</b:Issue>
    <b:RefOrder>4</b:RefOrder>
  </b:Source>
  <b:Source>
    <b:Tag>Esc02</b:Tag>
    <b:SourceType>Report</b:SourceType>
    <b:Guid>{DC4E42E7-9613-40E7-9408-C59292BF9192}</b:Guid>
    <b:Title>The Benefits of Rural Roads: Enhancing Income Opportunities for the Rural Poor</b:Title>
    <b:Year>2002</b:Year>
    <b:Author>
      <b:Author>
        <b:NameList>
          <b:Person>
            <b:Last>Escobal</b:Last>
            <b:First>Javier</b:First>
          </b:Person>
          <b:Person>
            <b:Last>Ponce</b:Last>
            <b:First>Carmen</b:First>
          </b:Person>
        </b:NameList>
      </b:Author>
    </b:Author>
    <b:City>Lima, Perú</b:City>
    <b:StandardNumber>40-I</b:StandardNumber>
    <b:Department>Grupo de Análisis para el Desarrollo</b:Department>
    <b:Institution>GRADE</b:Institution>
    <b:ThesisType>Working paper</b:ThesisType>
    <b:RefOrder>5</b:RefOrder>
  </b:Source>
  <b:Source>
    <b:Tag>Lok05</b:Tag>
    <b:SourceType>JournalArticle</b:SourceType>
    <b:Guid>{1F8B4394-9B34-4C0C-B3F1-674F1A3EA0C9}</b:Guid>
    <b:Title>Has Rural Infrastructure Rehabilitation in Georgia Helped the Poor?</b:Title>
    <b:Year>2005</b:Year>
    <b:Author>
      <b:Author>
        <b:NameList>
          <b:Person>
            <b:Last>Lokshin</b:Last>
            <b:First>Michael</b:First>
          </b:Person>
          <b:Person>
            <b:Last>Yemtsov</b:Last>
            <b:First>Ruslan</b:First>
          </b:Person>
        </b:NameList>
      </b:Author>
    </b:Author>
    <b:Pages>311-333</b:Pages>
    <b:JournalName>World Bank Economic Review</b:JournalName>
    <b:Volume>19</b:Volume>
    <b:Issue>2</b:Issue>
    <b:RefOrder>6</b:RefOrder>
  </b:Source>
  <b:Source>
    <b:Tag>Bin93</b:Tag>
    <b:SourceType>JournalArticle</b:SourceType>
    <b:Guid>{566C9663-0112-4CAE-AD9A-C42F01CDAD89}</b:Guid>
    <b:Title>How Infrastructure and Financial Institutions Affect Agricultural Output and Investment in India</b:Title>
    <b:Year>1993</b:Year>
    <b:Author>
      <b:Author>
        <b:NameList>
          <b:Person>
            <b:Last>Binswanger</b:Last>
            <b:First>Hans</b:First>
          </b:Person>
          <b:Person>
            <b:Last>Khandker</b:Last>
            <b:First>Shadihur</b:First>
          </b:Person>
          <b:Person>
            <b:Last>Rosenzweig</b:Last>
            <b:First>Mark</b:First>
          </b:Person>
        </b:NameList>
      </b:Author>
    </b:Author>
    <b:JournalName>Journal of Development Economics</b:JournalName>
    <b:Pages>337-366</b:Pages>
    <b:Volume>41</b:Volume>
    <b:Issue>2</b:Issue>
    <b:RefOrder>8</b:RefOrder>
  </b:Source>
  <b:Source>
    <b:Tag>Ahm90</b:Tag>
    <b:SourceType>Report</b:SourceType>
    <b:Guid>{C914400C-0FDB-45ED-BCEC-DBB0D9293F5F}</b:Guid>
    <b:Title>Developmental impact of rural infrastructure in Bangladesh</b:Title>
    <b:Year>1990</b:Year>
    <b:Publisher>IFPRI</b:Publisher>
    <b:City>Washington, D.C.</b:City>
    <b:Author>
      <b:Author>
        <b:NameList>
          <b:Person>
            <b:Last>Ahmed</b:Last>
            <b:First>Raisuddin</b:First>
          </b:Person>
          <b:Person>
            <b:Last>Hossain</b:Last>
            <b:First>Mahabub</b:First>
          </b:Person>
        </b:NameList>
      </b:Author>
    </b:Author>
    <b:Institution>International Food Policy Research Center</b:Institution>
    <b:RefOrder>11</b:RefOrder>
  </b:Source>
  <b:Source>
    <b:Tag>Kha06</b:Tag>
    <b:SourceType>Report</b:SourceType>
    <b:Guid>{F68B1AD8-2386-433D-A13D-369926BD9D7E}</b:Guid>
    <b:Title>The Poverty Impact of Rural Roads: Evidence from Bangladesh</b:Title>
    <b:Year>2006</b:Year>
    <b:Author>
      <b:Author>
        <b:NameList>
          <b:Person>
            <b:Last>Khandker</b:Last>
            <b:First>Shahidur</b:First>
          </b:Person>
          <b:Person>
            <b:Last>Bakht</b:Last>
            <b:First>Zaid</b:First>
          </b:Person>
          <b:Person>
            <b:Last>Koolwal</b:Last>
            <b:First>Gayatri</b:First>
          </b:Person>
        </b:NameList>
      </b:Author>
    </b:Author>
    <b:Institution>World Bank</b:Institution>
    <b:ThesisType>World Bank Policy Research Working Paper</b:ThesisType>
    <b:StandardNumber>3875</b:StandardNumber>
    <b:Publisher>World Bank</b:Publisher>
    <b:City>Washington, D.C.</b:City>
    <b:RefOrder>10</b:RefOrder>
  </b:Source>
  <b:Source>
    <b:Tag>MuR08</b:Tag>
    <b:SourceType>Report</b:SourceType>
    <b:Guid>{CB17C9AF-D6E6-4F6A-BD84-7EA746521635}</b:Guid>
    <b:Title>Rural Roads and Local Market Development in Vietnam</b:Title>
    <b:Year>2008</b:Year>
    <b:Author>
      <b:Author>
        <b:NameList>
          <b:Person>
            <b:Last>Mu</b:Last>
            <b:First>Ren</b:First>
          </b:Person>
          <b:Person>
            <b:Last>van de Walle</b:Last>
            <b:First>Dominique</b:First>
          </b:Person>
        </b:NameList>
      </b:Author>
    </b:Author>
    <b:Institution>World Bank</b:Institution>
    <b:Publisher>World Bank</b:Publisher>
    <b:City>Washington, D.C.</b:City>
    <b:RefOrder>7</b:RefOrder>
  </b:Source>
  <b:Source>
    <b:Tag>Lev96</b:Tag>
    <b:SourceType>Report</b:SourceType>
    <b:Guid>{6CB1932C-E56F-4F65-B470-74843E152E04}</b:Guid>
    <b:Title>Kingdom of Morocco: Impact Evaluation Report, Socioeconomic Influence of Rural Roads</b:Title>
    <b:Year>1996</b:Year>
    <b:Author>
      <b:Author>
        <b:NameList>
          <b:Person>
            <b:Last>Levy</b:Last>
            <b:First>H</b:First>
          </b:Person>
        </b:NameList>
      </b:Author>
    </b:Author>
    <b:Department>Operation Valuation Department</b:Department>
    <b:Institution>World Bank</b:Institution>
    <b:Publisher>World Bank</b:Publisher>
    <b:City>Washington, D.C.</b:City>
    <b:RefOrder>9</b:RefOrder>
  </b:Source>
  <b:Source>
    <b:Tag>Kha091</b:Tag>
    <b:SourceType>Report</b:SourceType>
    <b:Guid>{FD5736B1-45A5-40E7-8177-D818F2D1B014}</b:Guid>
    <b:Title>Welfare Impacts of Rural Electrification: A Case Study from Bangladesh</b:Title>
    <b:Year>2009</b:Year>
    <b:Publisher>World Bank</b:Publisher>
    <b:City>Washington, D.C.</b:City>
    <b:Author>
      <b:Author>
        <b:NameList>
          <b:Person>
            <b:Last>Khandker</b:Last>
            <b:First>Shahidur</b:First>
          </b:Person>
          <b:Person>
            <b:Last>Barnes</b:Last>
            <b:First>Douglas</b:First>
          </b:Person>
          <b:Person>
            <b:Last>Samad</b:Last>
            <b:First>Hussain</b:First>
          </b:Person>
        </b:NameList>
      </b:Author>
    </b:Author>
    <b:Department>Development Research Group</b:Department>
    <b:Institution>World  Bank</b:Institution>
    <b:ThesisType>Policy Research Working Paper</b:ThesisType>
    <b:StandardNumber>4859</b:StandardNumber>
    <b:RefOrder>12</b:RefOrder>
  </b:Source>
  <b:Source>
    <b:Tag>Kha08</b:Tag>
    <b:SourceType>Report</b:SourceType>
    <b:Guid>{E6B09ACA-89E1-4348-83AD-66D9F6412905}</b:Guid>
    <b:Title>Welfare Impacts of Rural Electrification: Evidence from Vietnam</b:Title>
    <b:Year>2008</b:Year>
    <b:Publisher>World Bank</b:Publisher>
    <b:City>Washington, D.C.</b:City>
    <b:Author>
      <b:Author>
        <b:NameList>
          <b:Person>
            <b:Last>Khandker</b:Last>
            <b:First>Shahidur</b:First>
          </b:Person>
          <b:Person>
            <b:Last>Barnes</b:Last>
            <b:First>Douglas</b:First>
          </b:Person>
          <b:Person>
            <b:Last>Samad</b:Last>
            <b:First>Hussain</b:First>
          </b:Person>
          <b:Person>
            <b:Last>Huu Minh</b:Last>
            <b:First>Nguyen</b:First>
          </b:Person>
        </b:NameList>
      </b:Author>
    </b:Author>
    <b:Institution>World Bank</b:Institution>
    <b:RefOrder>13</b:RefOrder>
  </b:Source>
  <b:Source>
    <b:Tag>Din08</b:Tag>
    <b:SourceType>Report</b:SourceType>
    <b:Guid>{1DCCDE2A-140C-4DEA-A18B-E70FF33E6501}</b:Guid>
    <b:Title>The Effects of Rural Electrification on Employment: New Evidence from South Africa</b:Title>
    <b:Year>2008</b:Year>
    <b:ThesisType>Job market paper</b:ThesisType>
    <b:Author>
      <b:Author>
        <b:NameList>
          <b:Person>
            <b:Last>Dinkelman</b:Last>
            <b:First>Taryn</b:First>
          </b:Person>
        </b:NameList>
      </b:Author>
    </b:Author>
    <b:RefOrder>15</b:RefOrder>
  </b:Source>
  <b:Source>
    <b:Tag>Lip10</b:Tag>
    <b:SourceType>Report</b:SourceType>
    <b:Guid>{8291688D-6209-4F68-84EA-2AB42B68D212}</b:Guid>
    <b:Title>Development Effects of Electrification: Evidence from the Geologic Placement of Hydropower Plants in Brazil</b:Title>
    <b:Year>2010</b:Year>
    <b:Author>
      <b:Author>
        <b:NameList>
          <b:Person>
            <b:Last>Lipscomb</b:Last>
            <b:First>Molly</b:First>
          </b:Person>
          <b:Person>
            <b:Last>Mobarak</b:Last>
            <b:First>A.</b:First>
            <b:Middle>Mushfiq</b:Middle>
          </b:Person>
          <b:Person>
            <b:Last>Barham</b:Last>
            <b:First>Tania</b:First>
          </b:Person>
        </b:NameList>
      </b:Author>
    </b:Author>
    <b:ThesisType>Working paper</b:ThesisType>
    <b:RefOrder>16</b:RefOrder>
  </b:Source>
  <b:Source>
    <b:Tag>del11</b:Tag>
    <b:SourceType>JournalArticle</b:SourceType>
    <b:Guid>{E498EB91-3CD9-4060-ACBF-60004643A09A}</b:Guid>
    <b:Author>
      <b:Author>
        <b:NameList>
          <b:Person>
            <b:Last>del Carpio</b:Last>
            <b:First>Ximena</b:First>
          </b:Person>
          <b:Person>
            <b:Last>Loayza</b:Last>
            <b:First>Norman</b:First>
          </b:Person>
          <b:Person>
            <b:Last>Datar</b:Last>
            <b:First>Gayatri</b:First>
          </b:Person>
        </b:NameList>
      </b:Author>
    </b:Author>
    <b:Title>Is Irrigation Rehabilitation Good for Poor Farmers? An Impact Evaluation of a Non-Experimental Irrigation Project in Peru</b:Title>
    <b:Year>2011</b:Year>
    <b:JournalName>Journal of Agricultural Economics</b:JournalName>
    <b:Pages>449-473</b:Pages>
    <b:Volume>62</b:Volume>
    <b:Issue>2</b:Issue>
    <b:RefOrder>17</b:RefOrder>
  </b:Source>
  <b:Source>
    <b:Tag>Dilng</b:Tag>
    <b:SourceType>JournalArticle</b:SourceType>
    <b:Guid>{B7DF5805-F4B8-47E4-A100-5DFC8BF2F3B8}</b:Guid>
    <b:Title>The Effect of Irrigation on Poverty Reduction, Asset Accumulation, and Informal Insurance: Evidence from Northern Mali</b:Title>
    <b:JournalName>World Development</b:JournalName>
    <b:Year>forthcoming</b:Year>
    <b:Author>
      <b:Author>
        <b:NameList>
          <b:Person>
            <b:Last>Dillon</b:Last>
            <b:First>Andrew</b:First>
          </b:Person>
        </b:NameList>
      </b:Author>
    </b:Author>
    <b:RefOrder>18</b:RefOrder>
  </b:Source>
  <b:Source>
    <b:Tag>Dil11</b:Tag>
    <b:SourceType>JournalArticle</b:SourceType>
    <b:Guid>{8B2B07E0-A6DB-4BDC-9F2F-5AAD16739AEE}</b:Guid>
    <b:Title>Estimating the impact of rural investments in Nepal</b:Title>
    <b:JournalName>Food Policy</b:JournalName>
    <b:Year>2011</b:Year>
    <b:Pages>250-258</b:Pages>
    <b:Author>
      <b:Author>
        <b:NameList>
          <b:Person>
            <b:Last>Dillon</b:Last>
            <b:First>Andrew</b:First>
          </b:Person>
        </b:NameList>
      </b:Author>
    </b:Author>
    <b:Volume>36</b:Volume>
    <b:Issue>1</b:Issue>
    <b:RefOrder>19</b:RefOrder>
  </b:Source>
  <b:Source>
    <b:Tag>Geb09</b:Tag>
    <b:SourceType>JournalArticle</b:SourceType>
    <b:Guid>{52B891FA-A8E7-489A-AE62-A51EBFA47352}</b:Guid>
    <b:Title>Poverty reduction with irrigation investment: An empirical case study from Tigray, Ethiopia</b:Title>
    <b:JournalName>Agricultural Water Management</b:JournalName>
    <b:Year>2009</b:Year>
    <b:Pages>1837-1843</b:Pages>
    <b:Author>
      <b:Author>
        <b:NameList>
          <b:Person>
            <b:Last>Gebregziabher</b:Last>
            <b:First>Gebrehaweria</b:First>
          </b:Person>
          <b:Person>
            <b:Last>Namara</b:Last>
            <b:First>Regassa</b:First>
          </b:Person>
          <b:Person>
            <b:Last>Holden</b:Last>
            <b:First>Stein</b:First>
          </b:Person>
        </b:NameList>
      </b:Author>
    </b:Author>
    <b:Volume>96</b:Volume>
    <b:Issue>1</b:Issue>
    <b:RefOrder>20</b:RefOrder>
  </b:Source>
  <b:Source>
    <b:Tag>But09</b:Tag>
    <b:SourceType>JournalArticle</b:SourceType>
    <b:Guid>{9A2CC7FB-DAE8-4D95-B503-C28176A6CAE5}</b:Guid>
    <b:Title>Fighting Fire with Fire: Estimating the Efficacy of Wildfire Mitigation Programs Using Propensity Scores</b:Title>
    <b:JournalName>Environmental Ecology and Statistics</b:JournalName>
    <b:Year>2009</b:Year>
    <b:Pages>291-319</b:Pages>
    <b:Author>
      <b:Author>
        <b:NameList>
          <b:Person>
            <b:Last>Butry</b:Last>
            <b:First>David</b:First>
          </b:Person>
        </b:NameList>
      </b:Author>
    </b:Author>
    <b:Volume>16</b:Volume>
    <b:Issue>1</b:Issue>
    <b:RefOrder>24</b:RefOrder>
  </b:Source>
  <b:Source>
    <b:Tag>Ama05</b:Tag>
    <b:SourceType>JournalArticle</b:SourceType>
    <b:Guid>{4643032A-A82F-4DBA-B0F2-B1B9DF3E8C91}</b:Guid>
    <b:Title>Not Getting Burned: The Importance of Fire Prevention in Forest Management</b:Title>
    <b:JournalName>Land Economics</b:JournalName>
    <b:Year>2005</b:Year>
    <b:Pages>284-302</b:Pages>
    <b:Author>
      <b:Author>
        <b:NameList>
          <b:Person>
            <b:Last>Amacher</b:Last>
            <b:First>Gregory</b:First>
          </b:Person>
          <b:Person>
            <b:Last>Malik</b:Last>
            <b:First>Arun</b:First>
          </b:Person>
          <b:Person>
            <b:Last>Haight</b:Last>
            <b:First>Robert</b:First>
          </b:Person>
        </b:NameList>
      </b:Author>
    </b:Author>
    <b:Volume>81</b:Volume>
    <b:Issue>2</b:Issue>
    <b:RefOrder>23</b:RefOrder>
  </b:Source>
  <b:Source>
    <b:Tag>Yod04</b:Tag>
    <b:SourceType>JournalArticle</b:SourceType>
    <b:Guid>{0B81A298-217D-4A0D-84A0-7D5AF993D8F2}</b:Guid>
    <b:Title>Playing with Fire: Endogenous Risk in Resource Management</b:Title>
    <b:JournalName>American Journal of Agricultural Economics</b:JournalName>
    <b:Year>2004</b:Year>
    <b:Pages>933-948</b:Pages>
    <b:Author>
      <b:Author>
        <b:NameList>
          <b:Person>
            <b:Last>Yoder</b:Last>
            <b:First>Jonathan</b:First>
          </b:Person>
        </b:NameList>
      </b:Author>
    </b:Author>
    <b:Volume>86</b:Volume>
    <b:Issue>4</b:Issue>
    <b:RefOrder>22</b:RefOrder>
  </b:Source>
  <b:Source>
    <b:Tag>Ree87</b:Tag>
    <b:SourceType>JournalArticle</b:SourceType>
    <b:Guid>{CEB6F0ED-73AB-4EA5-B00C-C0D83C72F6A3}</b:Guid>
    <b:Title>Protecting a Forest against Fire: Optimal Protection Patterns and Harvest Policies</b:Title>
    <b:JournalName>Natural Resource Modeling</b:JournalName>
    <b:Year>1987</b:Year>
    <b:Pages>23-53</b:Pages>
    <b:Author>
      <b:Author>
        <b:NameList>
          <b:Person>
            <b:Last>Reed</b:Last>
            <b:First>Willliam</b:First>
          </b:Person>
        </b:NameList>
      </b:Author>
    </b:Author>
    <b:Volume>2</b:Volume>
    <b:Issue>1</b:Issue>
    <b:RefOrder>21</b:RefOrder>
  </b:Source>
  <b:Source>
    <b:Tag>Rur10</b:Tag>
    <b:SourceType>Report</b:SourceType>
    <b:Guid>{7CA1660E-E142-47B5-8921-E6342CAD7109}</b:Guid>
    <b:Title>Rural Electrification and Fertility: Evidence from Côte D’Ivoire</b:Title>
    <b:Year>2010</b:Year>
    <b:Publisher>Ruhr-Universität Bochum</b:Publisher>
    <b:City>Bochum, Germany</b:City>
    <b:ThesisType>RUHR economic papers</b:ThesisType>
    <b:StandardNumber>191</b:StandardNumber>
    <b:Author>
      <b:Author>
        <b:NameList>
          <b:Person>
            <b:Last>Peters</b:Last>
            <b:First>Jorg</b:First>
          </b:Person>
          <b:Person>
            <b:Last>Vance</b:Last>
            <b:First>Colin</b:First>
          </b:Person>
        </b:NameList>
      </b:Author>
    </b:Author>
    <b:RefOrder>14</b:RefOrder>
  </b:Source>
  <b:Source>
    <b:Tag>Gon10</b:Tag>
    <b:SourceType>Book</b:SourceType>
    <b:Guid>{8F202A63-496E-4C6F-8FA0-2142C3B9A937}</b:Guid>
    <b:Author>
      <b:Author>
        <b:NameList>
          <b:Person>
            <b:Last>González</b:Last>
            <b:First>Mario</b:First>
          </b:Person>
          <b:Person>
            <b:Last>Maffioli</b:Last>
            <b:First>Alessandro</b:First>
          </b:Person>
          <b:Person>
            <b:Last>Salazar</b:Last>
            <b:First>Lina</b:First>
          </b:Person>
          <b:Person>
            <b:Last>Winters</b:Last>
            <b:First>Paul</b:First>
          </b:Person>
        </b:NameList>
      </b:Author>
    </b:Author>
    <b:Title>Development Effectiveness Overview: Assessing the Effectiveness of Agricultural Interventions</b:Title>
    <b:Year>2010</b:Year>
    <b:City>Washington, D.C.</b:City>
    <b:Publisher>Inter-American Development Bank</b:Publisher>
    <b:RefOrder>1</b:RefOrder>
  </b:Source>
  <b:Source>
    <b:Tag>Win10</b:Tag>
    <b:SourceType>Report</b:SourceType>
    <b:Guid>{A5A97D0B-2180-4C27-8210-4C8F5348D75A}</b:Guid>
    <b:Author>
      <b:Author>
        <b:NameList>
          <b:Person>
            <b:Last>Winters</b:Last>
            <b:First>Paul</b:First>
          </b:Person>
          <b:Person>
            <b:Last>Salazar</b:Last>
            <b:First>Lina</b:First>
          </b:Person>
          <b:Person>
            <b:Last>Maffioli</b:Last>
            <b:First>Alessandro</b:First>
          </b:Person>
        </b:NameList>
      </b:Author>
    </b:Author>
    <b:Title>Designing Impact Evaluations for Agricultural Projects</b:Title>
    <b:Year>2010</b:Year>
    <b:City>Washington, D.C.</b:City>
    <b:Publisher>Inter-American Development Bank</b:Publisher>
    <b:Department>Office of Strategic Planning and Development Effectiveness</b:Department>
    <b:ThesisType>Technical Notes</b:ThesisType>
    <b:StandardNumber>IDB-TN-198</b:StandardNumber>
    <b:RefOrder>25</b:RefOrder>
  </b:Source>
</b:Sources>
</file>

<file path=customXml/item4.xml><?xml version="1.0" encoding="utf-8"?>
<b:Sources xmlns:b="http://schemas.openxmlformats.org/officeDocument/2006/bibliography" xmlns="http://schemas.openxmlformats.org/officeDocument/2006/bibliography" SelectedStyle="\APA.XSL" StyleName="APA Fifth Edition">
  <b:Source>
    <b:Tag>Ros83</b:Tag>
    <b:SourceType>JournalArticle</b:SourceType>
    <b:Guid>{EB1E7845-5B93-4018-9BBE-34D6333F5F81}</b:Guid>
    <b:Title>The Central Role of the Propensity Score in Observational Studies for Causal Effects.</b:Title>
    <b:Year>1983</b:Year>
    <b:Author>
      <b:Author>
        <b:NameList>
          <b:Person>
            <b:Last>Rosenbaum</b:Last>
            <b:First>Paul</b:First>
            <b:Middle>R.</b:Middle>
          </b:Person>
          <b:Person>
            <b:Last>Rubin</b:Last>
            <b:First>Donald</b:First>
            <b:Middle>R.</b:Middle>
          </b:Person>
        </b:NameList>
      </b:Author>
    </b:Author>
    <b:Volume>70</b:Volume>
    <b:Pages>41-55</b:Pages>
    <b:JournalName>Biometrika</b:JournalName>
    <b:Issue>1</b:Issue>
    <b:RefOrder>26</b:RefOrder>
  </b:Source>
  <b:Source>
    <b:Tag>Imb08</b:Tag>
    <b:SourceType>DocumentFromInternetSite</b:SourceType>
    <b:Guid>{5FE838CF-862D-4E1E-8DB7-836DFD613F37}</b:Guid>
    <b:Title>Recent Developments in the Econometrics of Program Evaluation</b:Title>
    <b:Year>2008</b:Year>
    <b:Author>
      <b:Author>
        <b:NameList>
          <b:Person>
            <b:Last>Imbens</b:Last>
            <b:First>Guido</b:First>
          </b:Person>
          <b:Person>
            <b:Last>Wooldridge</b:Last>
            <b:First>Jeffrey</b:First>
          </b:Person>
        </b:NameList>
      </b:Author>
    </b:Author>
    <b:City>Cambridge</b:City>
    <b:StateProvince>MA</b:StateProvince>
    <b:Month>August</b:Month>
    <b:InternetSiteTitle>National Bureau of Economic Research</b:InternetSiteTitle>
    <b:URL>http://www.nber.org/papers/w14251</b:URL>
    <b:RefOrder>27</b:RefOrder>
  </b:Source>
  <b:Source>
    <b:Tag>Woo07</b:Tag>
    <b:SourceType>JournalArticle</b:SourceType>
    <b:Guid>{69BBEA0D-4B95-4B20-940E-3B9128319C38}</b:Guid>
    <b:Author>
      <b:Author>
        <b:NameList>
          <b:Person>
            <b:Last>Wooldridge</b:Last>
            <b:First>Jeffrey</b:First>
          </b:Person>
        </b:NameList>
      </b:Author>
    </b:Author>
    <b:Title>Inverse Probability Weighted Estimation for General Missing Data Problems</b:Title>
    <b:JournalName>Journal of Econometrics</b:JournalName>
    <b:Year>2007</b:Year>
    <b:Pages>1281-1301</b:Pages>
    <b:Volume>141</b:Volume>
    <b:Issue>2</b:Issue>
    <b:RefOrder>28</b:RefOrder>
  </b:Source>
  <b:Source>
    <b:Tag>van02</b:Tag>
    <b:SourceType>Report</b:SourceType>
    <b:Guid>{02B0F3BE-1B06-4FA4-8B2C-D3FFBF05C989}</b:Guid>
    <b:Title>Impact of a Rural Road Rehabilitation Project</b:Title>
    <b:Year>2002</b:Year>
    <b:Author>
      <b:Author>
        <b:NameList>
          <b:Person>
            <b:Last>van de Walle</b:Last>
            <b:First>Dominique</b:First>
          </b:Person>
          <b:Person>
            <b:Last>Cratty</b:Last>
            <b:First>Dorothyjean</b:First>
          </b:Person>
        </b:NameList>
      </b:Author>
    </b:Author>
    <b:Publisher>World Bank</b:Publisher>
    <b:RefOrder>2</b:RefOrder>
  </b:Source>
  <b:Source>
    <b:Tag>Esc00</b:Tag>
    <b:SourceType>Report</b:SourceType>
    <b:Guid>{4A869B5C-EB38-4EC8-B4DE-919F98D7BC77}</b:Guid>
    <b:Author>
      <b:Author>
        <b:NameList>
          <b:Person>
            <b:Last>Escobal</b:Last>
            <b:First>Javier</b:First>
          </b:Person>
        </b:NameList>
      </b:Author>
    </b:Author>
    <b:Title>Costos de Transacción en la Agricultura Peruana: Una Primera Aproximación a su Medición e Impacto</b:Title>
    <b:Year>2000</b:Year>
    <b:Publisher>GRADE</b:Publisher>
    <b:City>Lima, Perú</b:City>
    <b:Department>Grupo de Análisis</b:Department>
    <b:StandardNumber>GRADE Working Paper 40-I.</b:StandardNumber>
    <b:RefOrder>3</b:RefOrder>
  </b:Source>
  <b:Source>
    <b:Tag>Kha09</b:Tag>
    <b:SourceType>JournalArticle</b:SourceType>
    <b:Guid>{05DD7262-30A2-4287-ACF0-665522317FDC}</b:Guid>
    <b:Title>The Poverty Impact of Rural Roads: Evidence from Bangladesh</b:Title>
    <b:Year>2009</b:Year>
    <b:JournalName>Economic Development and Cultural Change</b:JournalName>
    <b:Pages>685-722</b:Pages>
    <b:Author>
      <b:Author>
        <b:NameList>
          <b:Person>
            <b:Last>Khandker</b:Last>
            <b:First>Shahidur</b:First>
          </b:Person>
          <b:Person>
            <b:Last>Bakht</b:Last>
            <b:First>Zaid</b:First>
          </b:Person>
          <b:Person>
            <b:Last>Koolwal</b:Last>
            <b:First>Gayatri</b:First>
          </b:Person>
        </b:NameList>
      </b:Author>
    </b:Author>
    <b:Volume>57</b:Volume>
    <b:Issue>4</b:Issue>
    <b:RefOrder>4</b:RefOrder>
  </b:Source>
  <b:Source>
    <b:Tag>Esc02</b:Tag>
    <b:SourceType>Report</b:SourceType>
    <b:Guid>{DC4E42E7-9613-40E7-9408-C59292BF9192}</b:Guid>
    <b:Title>The Benefits of Rural Roads: Enhancing Income Opportunities for the Rural Poor</b:Title>
    <b:Year>2002</b:Year>
    <b:Author>
      <b:Author>
        <b:NameList>
          <b:Person>
            <b:Last>Escobal</b:Last>
            <b:First>Javier</b:First>
          </b:Person>
          <b:Person>
            <b:Last>Ponce</b:Last>
            <b:First>Carmen</b:First>
          </b:Person>
        </b:NameList>
      </b:Author>
    </b:Author>
    <b:City>Lima, Perú</b:City>
    <b:StandardNumber>40-I</b:StandardNumber>
    <b:Department>Grupo de Análisis para el Desarrollo</b:Department>
    <b:Institution>GRADE</b:Institution>
    <b:ThesisType>Working paper</b:ThesisType>
    <b:RefOrder>5</b:RefOrder>
  </b:Source>
  <b:Source>
    <b:Tag>Lok05</b:Tag>
    <b:SourceType>JournalArticle</b:SourceType>
    <b:Guid>{1F8B4394-9B34-4C0C-B3F1-674F1A3EA0C9}</b:Guid>
    <b:Title>Has Rural Infrastructure Rehabilitation in Georgia Helped the Poor?</b:Title>
    <b:Year>2005</b:Year>
    <b:Author>
      <b:Author>
        <b:NameList>
          <b:Person>
            <b:Last>Lokshin</b:Last>
            <b:First>Michael</b:First>
          </b:Person>
          <b:Person>
            <b:Last>Yemtsov</b:Last>
            <b:First>Ruslan</b:First>
          </b:Person>
        </b:NameList>
      </b:Author>
    </b:Author>
    <b:Pages>311-333</b:Pages>
    <b:JournalName>World Bank Economic Review</b:JournalName>
    <b:Volume>19</b:Volume>
    <b:Issue>2</b:Issue>
    <b:RefOrder>6</b:RefOrder>
  </b:Source>
  <b:Source>
    <b:Tag>Bin93</b:Tag>
    <b:SourceType>JournalArticle</b:SourceType>
    <b:Guid>{566C9663-0112-4CAE-AD9A-C42F01CDAD89}</b:Guid>
    <b:Title>How Infrastructure and Financial Institutions Affect Agricultural Output and Investment in India</b:Title>
    <b:Year>1993</b:Year>
    <b:Author>
      <b:Author>
        <b:NameList>
          <b:Person>
            <b:Last>Binswanger</b:Last>
            <b:First>Hans</b:First>
          </b:Person>
          <b:Person>
            <b:Last>Khandker</b:Last>
            <b:First>Shadihur</b:First>
          </b:Person>
          <b:Person>
            <b:Last>Rosenzweig</b:Last>
            <b:First>Mark</b:First>
          </b:Person>
        </b:NameList>
      </b:Author>
    </b:Author>
    <b:JournalName>Journal of Development Economics</b:JournalName>
    <b:Pages>337-366</b:Pages>
    <b:Volume>41</b:Volume>
    <b:Issue>2</b:Issue>
    <b:RefOrder>8</b:RefOrder>
  </b:Source>
  <b:Source>
    <b:Tag>Ahm90</b:Tag>
    <b:SourceType>Report</b:SourceType>
    <b:Guid>{C914400C-0FDB-45ED-BCEC-DBB0D9293F5F}</b:Guid>
    <b:Title>Developmental impact of rural infrastructure in Bangladesh</b:Title>
    <b:Year>1990</b:Year>
    <b:Publisher>IFPRI</b:Publisher>
    <b:City>Washington, D.C.</b:City>
    <b:Author>
      <b:Author>
        <b:NameList>
          <b:Person>
            <b:Last>Ahmed</b:Last>
            <b:First>Raisuddin</b:First>
          </b:Person>
          <b:Person>
            <b:Last>Hossain</b:Last>
            <b:First>Mahabub</b:First>
          </b:Person>
        </b:NameList>
      </b:Author>
    </b:Author>
    <b:Institution>International Food Policy Research Center</b:Institution>
    <b:RefOrder>11</b:RefOrder>
  </b:Source>
  <b:Source>
    <b:Tag>Kha06</b:Tag>
    <b:SourceType>Report</b:SourceType>
    <b:Guid>{F68B1AD8-2386-433D-A13D-369926BD9D7E}</b:Guid>
    <b:Title>The Poverty Impact of Rural Roads: Evidence from Bangladesh</b:Title>
    <b:Year>2006</b:Year>
    <b:Author>
      <b:Author>
        <b:NameList>
          <b:Person>
            <b:Last>Khandker</b:Last>
            <b:First>Shahidur</b:First>
          </b:Person>
          <b:Person>
            <b:Last>Bakht</b:Last>
            <b:First>Zaid</b:First>
          </b:Person>
          <b:Person>
            <b:Last>Koolwal</b:Last>
            <b:First>Gayatri</b:First>
          </b:Person>
        </b:NameList>
      </b:Author>
    </b:Author>
    <b:Institution>World Bank</b:Institution>
    <b:ThesisType>World Bank Policy Research Working Paper</b:ThesisType>
    <b:StandardNumber>3875</b:StandardNumber>
    <b:Publisher>World Bank</b:Publisher>
    <b:City>Washington, D.C.</b:City>
    <b:RefOrder>10</b:RefOrder>
  </b:Source>
  <b:Source>
    <b:Tag>MuR08</b:Tag>
    <b:SourceType>Report</b:SourceType>
    <b:Guid>{CB17C9AF-D6E6-4F6A-BD84-7EA746521635}</b:Guid>
    <b:Title>Rural Roads and Local Market Development in Vietnam</b:Title>
    <b:Year>2008</b:Year>
    <b:Author>
      <b:Author>
        <b:NameList>
          <b:Person>
            <b:Last>Mu</b:Last>
            <b:First>Ren</b:First>
          </b:Person>
          <b:Person>
            <b:Last>van de Walle</b:Last>
            <b:First>Dominique</b:First>
          </b:Person>
        </b:NameList>
      </b:Author>
    </b:Author>
    <b:Institution>World Bank</b:Institution>
    <b:Publisher>World Bank</b:Publisher>
    <b:City>Washington, D.C.</b:City>
    <b:RefOrder>7</b:RefOrder>
  </b:Source>
  <b:Source>
    <b:Tag>Lev96</b:Tag>
    <b:SourceType>Report</b:SourceType>
    <b:Guid>{6CB1932C-E56F-4F65-B470-74843E152E04}</b:Guid>
    <b:Title>Kingdom of Morocco: Impact Evaluation Report, Socioeconomic Influence of Rural Roads</b:Title>
    <b:Year>1996</b:Year>
    <b:Author>
      <b:Author>
        <b:NameList>
          <b:Person>
            <b:Last>Levy</b:Last>
            <b:First>H</b:First>
          </b:Person>
        </b:NameList>
      </b:Author>
    </b:Author>
    <b:Department>Operation Valuation Department</b:Department>
    <b:Institution>World Bank</b:Institution>
    <b:Publisher>World Bank</b:Publisher>
    <b:City>Washington, D.C.</b:City>
    <b:RefOrder>9</b:RefOrder>
  </b:Source>
  <b:Source>
    <b:Tag>Kha091</b:Tag>
    <b:SourceType>Report</b:SourceType>
    <b:Guid>{FD5736B1-45A5-40E7-8177-D818F2D1B014}</b:Guid>
    <b:Title>Welfare Impacts of Rural Electrification: A Case Study from Bangladesh</b:Title>
    <b:Year>2009</b:Year>
    <b:Publisher>World Bank</b:Publisher>
    <b:City>Washington, D.C.</b:City>
    <b:Author>
      <b:Author>
        <b:NameList>
          <b:Person>
            <b:Last>Khandker</b:Last>
            <b:First>Shahidur</b:First>
          </b:Person>
          <b:Person>
            <b:Last>Barnes</b:Last>
            <b:First>Douglas</b:First>
          </b:Person>
          <b:Person>
            <b:Last>Samad</b:Last>
            <b:First>Hussain</b:First>
          </b:Person>
        </b:NameList>
      </b:Author>
    </b:Author>
    <b:Department>Development Research Group</b:Department>
    <b:Institution>World  Bank</b:Institution>
    <b:ThesisType>Policy Research Working Paper</b:ThesisType>
    <b:StandardNumber>4859</b:StandardNumber>
    <b:RefOrder>12</b:RefOrder>
  </b:Source>
  <b:Source>
    <b:Tag>Kha08</b:Tag>
    <b:SourceType>Report</b:SourceType>
    <b:Guid>{E6B09ACA-89E1-4348-83AD-66D9F6412905}</b:Guid>
    <b:Title>Welfare Impacts of Rural Electrification: Evidence from Vietnam</b:Title>
    <b:Year>2008</b:Year>
    <b:Publisher>World Bank</b:Publisher>
    <b:City>Washington, D.C.</b:City>
    <b:Author>
      <b:Author>
        <b:NameList>
          <b:Person>
            <b:Last>Khandker</b:Last>
            <b:First>Shahidur</b:First>
          </b:Person>
          <b:Person>
            <b:Last>Barnes</b:Last>
            <b:First>Douglas</b:First>
          </b:Person>
          <b:Person>
            <b:Last>Samad</b:Last>
            <b:First>Hussain</b:First>
          </b:Person>
          <b:Person>
            <b:Last>Huu Minh</b:Last>
            <b:First>Nguyen</b:First>
          </b:Person>
        </b:NameList>
      </b:Author>
    </b:Author>
    <b:Institution>World Bank</b:Institution>
    <b:RefOrder>13</b:RefOrder>
  </b:Source>
  <b:Source>
    <b:Tag>Din08</b:Tag>
    <b:SourceType>Report</b:SourceType>
    <b:Guid>{1DCCDE2A-140C-4DEA-A18B-E70FF33E6501}</b:Guid>
    <b:Title>The Effects of Rural Electrification on Employment: New Evidence from South Africa</b:Title>
    <b:Year>2008</b:Year>
    <b:ThesisType>Job market paper</b:ThesisType>
    <b:Author>
      <b:Author>
        <b:NameList>
          <b:Person>
            <b:Last>Dinkelman</b:Last>
            <b:First>Taryn</b:First>
          </b:Person>
        </b:NameList>
      </b:Author>
    </b:Author>
    <b:RefOrder>15</b:RefOrder>
  </b:Source>
  <b:Source>
    <b:Tag>Lip10</b:Tag>
    <b:SourceType>Report</b:SourceType>
    <b:Guid>{8291688D-6209-4F68-84EA-2AB42B68D212}</b:Guid>
    <b:Title>Development Effects of Electrification: Evidence from the Geologic Placement of Hydropower Plants in Brazil</b:Title>
    <b:Year>2010</b:Year>
    <b:Author>
      <b:Author>
        <b:NameList>
          <b:Person>
            <b:Last>Lipscomb</b:Last>
            <b:First>Molly</b:First>
          </b:Person>
          <b:Person>
            <b:Last>Mobarak</b:Last>
            <b:First>A.</b:First>
            <b:Middle>Mushfiq</b:Middle>
          </b:Person>
          <b:Person>
            <b:Last>Barham</b:Last>
            <b:First>Tania</b:First>
          </b:Person>
        </b:NameList>
      </b:Author>
    </b:Author>
    <b:ThesisType>Working paper</b:ThesisType>
    <b:RefOrder>16</b:RefOrder>
  </b:Source>
  <b:Source>
    <b:Tag>del11</b:Tag>
    <b:SourceType>JournalArticle</b:SourceType>
    <b:Guid>{E498EB91-3CD9-4060-ACBF-60004643A09A}</b:Guid>
    <b:Author>
      <b:Author>
        <b:NameList>
          <b:Person>
            <b:Last>del Carpio</b:Last>
            <b:First>Ximena</b:First>
          </b:Person>
          <b:Person>
            <b:Last>Loayza</b:Last>
            <b:First>Norman</b:First>
          </b:Person>
          <b:Person>
            <b:Last>Datar</b:Last>
            <b:First>Gayatri</b:First>
          </b:Person>
        </b:NameList>
      </b:Author>
    </b:Author>
    <b:Title>Is Irrigation Rehabilitation Good for Poor Farmers? An Impact Evaluation of a Non-Experimental Irrigation Project in Peru</b:Title>
    <b:Year>2011</b:Year>
    <b:JournalName>Journal of Agricultural Economics</b:JournalName>
    <b:Pages>449-473</b:Pages>
    <b:Volume>62</b:Volume>
    <b:Issue>2</b:Issue>
    <b:RefOrder>17</b:RefOrder>
  </b:Source>
  <b:Source>
    <b:Tag>Dilng</b:Tag>
    <b:SourceType>JournalArticle</b:SourceType>
    <b:Guid>{B7DF5805-F4B8-47E4-A100-5DFC8BF2F3B8}</b:Guid>
    <b:Title>The Effect of Irrigation on Poverty Reduction, Asset Accumulation, and Informal Insurance: Evidence from Northern Mali</b:Title>
    <b:JournalName>World Development</b:JournalName>
    <b:Year>forthcoming</b:Year>
    <b:Author>
      <b:Author>
        <b:NameList>
          <b:Person>
            <b:Last>Dillon</b:Last>
            <b:First>Andrew</b:First>
          </b:Person>
        </b:NameList>
      </b:Author>
    </b:Author>
    <b:RefOrder>18</b:RefOrder>
  </b:Source>
  <b:Source>
    <b:Tag>Dil11</b:Tag>
    <b:SourceType>JournalArticle</b:SourceType>
    <b:Guid>{8B2B07E0-A6DB-4BDC-9F2F-5AAD16739AEE}</b:Guid>
    <b:Title>Estimating the impact of rural investments in Nepal</b:Title>
    <b:JournalName>Food Policy</b:JournalName>
    <b:Year>2011</b:Year>
    <b:Pages>250-258</b:Pages>
    <b:Author>
      <b:Author>
        <b:NameList>
          <b:Person>
            <b:Last>Dillon</b:Last>
            <b:First>Andrew</b:First>
          </b:Person>
        </b:NameList>
      </b:Author>
    </b:Author>
    <b:Volume>36</b:Volume>
    <b:Issue>1</b:Issue>
    <b:RefOrder>19</b:RefOrder>
  </b:Source>
  <b:Source>
    <b:Tag>Geb09</b:Tag>
    <b:SourceType>JournalArticle</b:SourceType>
    <b:Guid>{52B891FA-A8E7-489A-AE62-A51EBFA47352}</b:Guid>
    <b:Title>Poverty reduction with irrigation investment: An empirical case study from Tigray, Ethiopia</b:Title>
    <b:JournalName>Agricultural Water Management</b:JournalName>
    <b:Year>2009</b:Year>
    <b:Pages>1837-1843</b:Pages>
    <b:Author>
      <b:Author>
        <b:NameList>
          <b:Person>
            <b:Last>Gebregziabher</b:Last>
            <b:First>Gebrehaweria</b:First>
          </b:Person>
          <b:Person>
            <b:Last>Namara</b:Last>
            <b:First>Regassa</b:First>
          </b:Person>
          <b:Person>
            <b:Last>Holden</b:Last>
            <b:First>Stein</b:First>
          </b:Person>
        </b:NameList>
      </b:Author>
    </b:Author>
    <b:Volume>96</b:Volume>
    <b:Issue>1</b:Issue>
    <b:RefOrder>20</b:RefOrder>
  </b:Source>
  <b:Source>
    <b:Tag>But09</b:Tag>
    <b:SourceType>JournalArticle</b:SourceType>
    <b:Guid>{9A2CC7FB-DAE8-4D95-B503-C28176A6CAE5}</b:Guid>
    <b:Title>Fighting Fire with Fire: Estimating the Efficacy of Wildfire Mitigation Programs Using Propensity Scores</b:Title>
    <b:JournalName>Environmental Ecology and Statistics</b:JournalName>
    <b:Year>2009</b:Year>
    <b:Pages>291-319</b:Pages>
    <b:Author>
      <b:Author>
        <b:NameList>
          <b:Person>
            <b:Last>Butry</b:Last>
            <b:First>David</b:First>
          </b:Person>
        </b:NameList>
      </b:Author>
    </b:Author>
    <b:Volume>16</b:Volume>
    <b:Issue>1</b:Issue>
    <b:RefOrder>24</b:RefOrder>
  </b:Source>
  <b:Source>
    <b:Tag>Ama05</b:Tag>
    <b:SourceType>JournalArticle</b:SourceType>
    <b:Guid>{4643032A-A82F-4DBA-B0F2-B1B9DF3E8C91}</b:Guid>
    <b:Title>Not Getting Burned: The Importance of Fire Prevention in Forest Management</b:Title>
    <b:JournalName>Land Economics</b:JournalName>
    <b:Year>2005</b:Year>
    <b:Pages>284-302</b:Pages>
    <b:Author>
      <b:Author>
        <b:NameList>
          <b:Person>
            <b:Last>Amacher</b:Last>
            <b:First>Gregory</b:First>
          </b:Person>
          <b:Person>
            <b:Last>Malik</b:Last>
            <b:First>Arun</b:First>
          </b:Person>
          <b:Person>
            <b:Last>Haight</b:Last>
            <b:First>Robert</b:First>
          </b:Person>
        </b:NameList>
      </b:Author>
    </b:Author>
    <b:Volume>81</b:Volume>
    <b:Issue>2</b:Issue>
    <b:RefOrder>23</b:RefOrder>
  </b:Source>
  <b:Source>
    <b:Tag>Yod04</b:Tag>
    <b:SourceType>JournalArticle</b:SourceType>
    <b:Guid>{0B81A298-217D-4A0D-84A0-7D5AF993D8F2}</b:Guid>
    <b:Title>Playing with Fire: Endogenous Risk in Resource Management</b:Title>
    <b:JournalName>American Journal of Agricultural Economics</b:JournalName>
    <b:Year>2004</b:Year>
    <b:Pages>933-948</b:Pages>
    <b:Author>
      <b:Author>
        <b:NameList>
          <b:Person>
            <b:Last>Yoder</b:Last>
            <b:First>Jonathan</b:First>
          </b:Person>
        </b:NameList>
      </b:Author>
    </b:Author>
    <b:Volume>86</b:Volume>
    <b:Issue>4</b:Issue>
    <b:RefOrder>22</b:RefOrder>
  </b:Source>
  <b:Source>
    <b:Tag>Ree87</b:Tag>
    <b:SourceType>JournalArticle</b:SourceType>
    <b:Guid>{CEB6F0ED-73AB-4EA5-B00C-C0D83C72F6A3}</b:Guid>
    <b:Title>Protecting a Forest against Fire: Optimal Protection Patterns and Harvest Policies</b:Title>
    <b:JournalName>Natural Resource Modeling</b:JournalName>
    <b:Year>1987</b:Year>
    <b:Pages>23-53</b:Pages>
    <b:Author>
      <b:Author>
        <b:NameList>
          <b:Person>
            <b:Last>Reed</b:Last>
            <b:First>Willliam</b:First>
          </b:Person>
        </b:NameList>
      </b:Author>
    </b:Author>
    <b:Volume>2</b:Volume>
    <b:Issue>1</b:Issue>
    <b:RefOrder>21</b:RefOrder>
  </b:Source>
  <b:Source>
    <b:Tag>Rur10</b:Tag>
    <b:SourceType>Report</b:SourceType>
    <b:Guid>{7CA1660E-E142-47B5-8921-E6342CAD7109}</b:Guid>
    <b:Title>Rural Electrification and Fertility: Evidence from Côte D’Ivoire</b:Title>
    <b:Year>2010</b:Year>
    <b:Publisher>Ruhr-Universität Bochum</b:Publisher>
    <b:City>Bochum, Germany</b:City>
    <b:ThesisType>RUHR economic papers</b:ThesisType>
    <b:StandardNumber>191</b:StandardNumber>
    <b:Author>
      <b:Author>
        <b:NameList>
          <b:Person>
            <b:Last>Peters</b:Last>
            <b:First>Jorg</b:First>
          </b:Person>
          <b:Person>
            <b:Last>Vance</b:Last>
            <b:First>Colin</b:First>
          </b:Person>
        </b:NameList>
      </b:Author>
    </b:Author>
    <b:RefOrder>14</b:RefOrder>
  </b:Source>
  <b:Source>
    <b:Tag>Gon10</b:Tag>
    <b:SourceType>Book</b:SourceType>
    <b:Guid>{8F202A63-496E-4C6F-8FA0-2142C3B9A937}</b:Guid>
    <b:Author>
      <b:Author>
        <b:NameList>
          <b:Person>
            <b:Last>González</b:Last>
            <b:First>Mario</b:First>
          </b:Person>
          <b:Person>
            <b:Last>Maffioli</b:Last>
            <b:First>Alessandro</b:First>
          </b:Person>
          <b:Person>
            <b:Last>Salazar</b:Last>
            <b:First>Lina</b:First>
          </b:Person>
          <b:Person>
            <b:Last>Winters</b:Last>
            <b:First>Paul</b:First>
          </b:Person>
        </b:NameList>
      </b:Author>
    </b:Author>
    <b:Title>Development Effectiveness Overview: Assessing the Effectiveness of Agricultural Interventions</b:Title>
    <b:Year>2010</b:Year>
    <b:City>Washington, D.C.</b:City>
    <b:Publisher>Inter-American Development Bank</b:Publisher>
    <b:RefOrder>1</b:RefOrder>
  </b:Source>
  <b:Source>
    <b:Tag>Win10</b:Tag>
    <b:SourceType>Report</b:SourceType>
    <b:Guid>{A5A97D0B-2180-4C27-8210-4C8F5348D75A}</b:Guid>
    <b:Author>
      <b:Author>
        <b:NameList>
          <b:Person>
            <b:Last>Winters</b:Last>
            <b:First>Paul</b:First>
          </b:Person>
          <b:Person>
            <b:Last>Salazar</b:Last>
            <b:First>Lina</b:First>
          </b:Person>
          <b:Person>
            <b:Last>Maffioli</b:Last>
            <b:First>Alessandro</b:First>
          </b:Person>
        </b:NameList>
      </b:Author>
    </b:Author>
    <b:Title>Designing Impact Evaluations for Agricultural Projects</b:Title>
    <b:Year>2010</b:Year>
    <b:City>Washington, D.C.</b:City>
    <b:Publisher>Inter-American Development Bank</b:Publisher>
    <b:Department>Office of Strategic Planning and Development Effectiveness</b:Department>
    <b:ThesisType>Technical Notes</b:ThesisType>
    <b:StandardNumber>IDB-TN-198</b:StandardNumber>
    <b:RefOrder>25</b:RefOrder>
  </b:Source>
</b:Sourc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IFD/CTI</Division_x0020_or_x0020_Unit>
    <Other_x0020_Author xmlns="9c571b2f-e523-4ab2-ba2e-09e151a03ef4" xsi:nil="true"/>
    <Region xmlns="9c571b2f-e523-4ab2-ba2e-09e151a03ef4" xsi:nil="true"/>
    <IDBDocs_x0020_Number xmlns="9c571b2f-e523-4ab2-ba2e-09e151a03ef4">38040964</IDBDocs_x0020_Number>
    <Document_x0020_Author xmlns="9c571b2f-e523-4ab2-ba2e-09e151a03ef4">Solis Ahumada, Galileo Humberto</Document_x0020_Author>
    <Publication_x0020_Type xmlns="9c571b2f-e523-4ab2-ba2e-09e151a03ef4" xsi:nil="true"/>
    <Operation_x0020_Type xmlns="9c571b2f-e523-4ab2-ba2e-09e151a03ef4" xsi:nil="true"/>
    <TaxCatchAll xmlns="9c571b2f-e523-4ab2-ba2e-09e151a03ef4">
      <Value>2</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ES-L1075</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Proposal&lt;/USER_STAGE&gt;&lt;APPROVAL_CODE&gt;CHF&lt;/APPROVAL_CODE&gt;&lt;APPROVAL_DESC&gt;Chief&lt;/APPROVAL_DESC&gt;&lt;PD_OBJ_TYPE&gt;0&lt;/PD_OBJ_TYPE&gt;&lt;MAKERECORD&gt;N&lt;/MAKERECORD&gt;&lt;PD_FILEPT_NO&gt;PO-ES-L1075-Plan&lt;/PD_FILEPT_NO&gt;&lt;/Data&gt;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CO-CYT</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1A8593A4-C4C0-4FAF-AAF7-AA39259BA784}"/>
</file>

<file path=customXml/itemProps2.xml><?xml version="1.0" encoding="utf-8"?>
<ds:datastoreItem xmlns:ds="http://schemas.openxmlformats.org/officeDocument/2006/customXml" ds:itemID="{C18C99BD-62CA-41CB-BFC0-E52147A86CFE}"/>
</file>

<file path=customXml/itemProps3.xml><?xml version="1.0" encoding="utf-8"?>
<ds:datastoreItem xmlns:ds="http://schemas.openxmlformats.org/officeDocument/2006/customXml" ds:itemID="{1DC40154-1DC9-49F1-8CD4-54E5F535696B}"/>
</file>

<file path=customXml/itemProps4.xml><?xml version="1.0" encoding="utf-8"?>
<ds:datastoreItem xmlns:ds="http://schemas.openxmlformats.org/officeDocument/2006/customXml" ds:itemID="{42C413A9-D713-41BD-BA0D-D15162CC833B}"/>
</file>

<file path=customXml/itemProps5.xml><?xml version="1.0" encoding="utf-8"?>
<ds:datastoreItem xmlns:ds="http://schemas.openxmlformats.org/officeDocument/2006/customXml" ds:itemID="{7FA43F22-5DB2-487D-BC96-CEF2B508F442}"/>
</file>

<file path=customXml/itemProps6.xml><?xml version="1.0" encoding="utf-8"?>
<ds:datastoreItem xmlns:ds="http://schemas.openxmlformats.org/officeDocument/2006/customXml" ds:itemID="{9E574935-BC96-4954-BC9C-4B87508A95C3}"/>
</file>

<file path=customXml/itemProps7.xml><?xml version="1.0" encoding="utf-8"?>
<ds:datastoreItem xmlns:ds="http://schemas.openxmlformats.org/officeDocument/2006/customXml" ds:itemID="{31D86972-169D-4A2B-A6E9-DEB1954EFA3F}"/>
</file>

<file path=docProps/app.xml><?xml version="1.0" encoding="utf-8"?>
<Properties xmlns="http://schemas.openxmlformats.org/officeDocument/2006/extended-properties" xmlns:vt="http://schemas.openxmlformats.org/officeDocument/2006/docPropsVTypes">
  <Template>Normal.dotm</Template>
  <TotalTime>136</TotalTime>
  <Pages>26</Pages>
  <Words>10602</Words>
  <Characters>59037</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DOCUMENTO DEL BANCO INTERAMERICANO DE DESARROLLO</vt:lpstr>
    </vt:vector>
  </TitlesOfParts>
  <Company>MECON</Company>
  <LinksUpToDate>false</LinksUpToDate>
  <CharactersWithSpaces>69501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Link Req_ 3_ Plan de Monitoreo y Evaluación ES-L1075</dc:title>
  <dc:creator>joubina_minprod</dc:creator>
  <cp:lastModifiedBy>Test</cp:lastModifiedBy>
  <cp:revision>16</cp:revision>
  <cp:lastPrinted>2013-07-31T13:31:00Z</cp:lastPrinted>
  <dcterms:created xsi:type="dcterms:W3CDTF">2013-10-09T23:51:00Z</dcterms:created>
  <dcterms:modified xsi:type="dcterms:W3CDTF">2014-07-16T15:51:00Z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0x01010046CF21643EE8D14686A648AA6DAD08920025C8367B4BCE064893CEDA9A0C814C98</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2;#Monitoring and Reporting|df3c2aa1-d63e-41aa-b1f5-bb15dee691ca</vt:lpwstr>
  </property>
</Properties>
</file>