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582" w:rsidRDefault="00186582" w:rsidP="00B007ED">
      <w:pPr>
        <w:tabs>
          <w:tab w:val="num" w:pos="648"/>
          <w:tab w:val="left" w:pos="1440"/>
        </w:tabs>
        <w:spacing w:after="240"/>
        <w:ind w:firstLine="288"/>
        <w:rPr>
          <w:b/>
          <w:smallCaps/>
          <w:sz w:val="28"/>
          <w:szCs w:val="24"/>
          <w:lang w:val="es-ES"/>
        </w:rPr>
      </w:pPr>
    </w:p>
    <w:p w:rsidR="00B007ED" w:rsidRPr="00186582" w:rsidRDefault="00B007ED" w:rsidP="00186582">
      <w:pPr>
        <w:tabs>
          <w:tab w:val="num" w:pos="648"/>
          <w:tab w:val="left" w:pos="1440"/>
        </w:tabs>
        <w:spacing w:after="240"/>
        <w:ind w:firstLine="288"/>
        <w:jc w:val="center"/>
        <w:rPr>
          <w:b/>
          <w:smallCaps/>
          <w:sz w:val="28"/>
          <w:szCs w:val="24"/>
          <w:lang w:val="es-ES"/>
        </w:rPr>
      </w:pPr>
      <w:r w:rsidRPr="00186582">
        <w:rPr>
          <w:b/>
          <w:smallCaps/>
          <w:sz w:val="28"/>
          <w:szCs w:val="24"/>
          <w:lang w:val="es-ES"/>
        </w:rPr>
        <w:t>Presupuesto detallado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6745"/>
        <w:gridCol w:w="1823"/>
      </w:tblGrid>
      <w:tr w:rsidR="00B007ED" w:rsidRPr="00B007ED" w:rsidTr="00186582">
        <w:tc>
          <w:tcPr>
            <w:tcW w:w="6745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007ED" w:rsidRPr="00B007ED" w:rsidRDefault="00B007ED" w:rsidP="00027656">
            <w:pPr>
              <w:jc w:val="center"/>
              <w:rPr>
                <w:b/>
                <w:szCs w:val="24"/>
              </w:rPr>
            </w:pPr>
            <w:r w:rsidRPr="00B007ED">
              <w:rPr>
                <w:b/>
                <w:szCs w:val="24"/>
              </w:rPr>
              <w:t>Categorías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007ED" w:rsidRPr="00B007ED" w:rsidRDefault="00186582" w:rsidP="0002765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Total US</w:t>
            </w:r>
            <w:r w:rsidR="00B007ED" w:rsidRPr="00B007ED">
              <w:rPr>
                <w:b/>
                <w:szCs w:val="24"/>
              </w:rPr>
              <w:t>$</w:t>
            </w:r>
          </w:p>
        </w:tc>
      </w:tr>
      <w:tr w:rsidR="00186582" w:rsidRPr="00B007ED" w:rsidTr="00C2301B">
        <w:tc>
          <w:tcPr>
            <w:tcW w:w="8568" w:type="dxa"/>
            <w:gridSpan w:val="2"/>
            <w:shd w:val="clear" w:color="auto" w:fill="D9D9D9" w:themeFill="background1" w:themeFillShade="D9"/>
          </w:tcPr>
          <w:p w:rsidR="00186582" w:rsidRPr="00B007ED" w:rsidRDefault="00186582" w:rsidP="00027656">
            <w:pPr>
              <w:rPr>
                <w:szCs w:val="24"/>
              </w:rPr>
            </w:pPr>
            <w:r w:rsidRPr="00B007ED">
              <w:rPr>
                <w:b/>
                <w:szCs w:val="24"/>
              </w:rPr>
              <w:t>Diseño de nuevas normativas y ordenanzas</w:t>
            </w: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2 consultores (1 urbanista + 1 legal) x 10 días de trabajo x 550 x día </w:t>
            </w:r>
          </w:p>
        </w:tc>
        <w:tc>
          <w:tcPr>
            <w:tcW w:w="1823" w:type="dxa"/>
          </w:tcPr>
          <w:p w:rsidR="00B007ED" w:rsidRPr="00B007ED" w:rsidRDefault="00186582" w:rsidP="0002765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11.</w:t>
            </w:r>
            <w:r w:rsidR="00B007ED" w:rsidRPr="00B007ED">
              <w:rPr>
                <w:szCs w:val="24"/>
              </w:rPr>
              <w:t>000</w:t>
            </w:r>
          </w:p>
        </w:tc>
      </w:tr>
      <w:tr w:rsidR="00B007ED" w:rsidRPr="00B007ED" w:rsidTr="00186582">
        <w:tc>
          <w:tcPr>
            <w:tcW w:w="6745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rPr>
                <w:szCs w:val="24"/>
              </w:rPr>
            </w:pP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jc w:val="right"/>
              <w:rPr>
                <w:szCs w:val="24"/>
              </w:rPr>
            </w:pPr>
          </w:p>
        </w:tc>
      </w:tr>
      <w:tr w:rsidR="00186582" w:rsidRPr="00B007ED" w:rsidTr="00186582">
        <w:tc>
          <w:tcPr>
            <w:tcW w:w="8568" w:type="dxa"/>
            <w:gridSpan w:val="2"/>
            <w:shd w:val="clear" w:color="auto" w:fill="D9D9D9" w:themeFill="background1" w:themeFillShade="D9"/>
          </w:tcPr>
          <w:p w:rsidR="00186582" w:rsidRPr="00B007ED" w:rsidRDefault="00186582" w:rsidP="00186582">
            <w:pPr>
              <w:rPr>
                <w:szCs w:val="24"/>
              </w:rPr>
            </w:pPr>
            <w:r w:rsidRPr="00B007ED">
              <w:rPr>
                <w:b/>
                <w:szCs w:val="24"/>
              </w:rPr>
              <w:t>Revisión del inventario y catalogación de la edificación de valor patrimonial</w:t>
            </w: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1 consultor </w:t>
            </w:r>
            <w:r w:rsidR="00D43A6C">
              <w:rPr>
                <w:szCs w:val="24"/>
              </w:rPr>
              <w:t>senior x 6 días x 550 x día = 3.</w:t>
            </w:r>
            <w:r w:rsidRPr="00B007ED">
              <w:rPr>
                <w:szCs w:val="24"/>
              </w:rPr>
              <w:t>300</w:t>
            </w:r>
          </w:p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>4 consultores jun</w:t>
            </w:r>
            <w:r w:rsidR="00D43A6C">
              <w:rPr>
                <w:szCs w:val="24"/>
              </w:rPr>
              <w:t>iors x 10 días x 250 x día = 10.</w:t>
            </w:r>
            <w:r w:rsidRPr="00B007ED">
              <w:rPr>
                <w:szCs w:val="24"/>
              </w:rPr>
              <w:t>000</w:t>
            </w:r>
          </w:p>
        </w:tc>
        <w:tc>
          <w:tcPr>
            <w:tcW w:w="1823" w:type="dxa"/>
          </w:tcPr>
          <w:p w:rsidR="00B007ED" w:rsidRPr="00B007ED" w:rsidRDefault="00186582" w:rsidP="0002765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13.</w:t>
            </w:r>
            <w:r w:rsidR="00B007ED" w:rsidRPr="00B007ED">
              <w:rPr>
                <w:szCs w:val="24"/>
              </w:rPr>
              <w:t>300</w:t>
            </w:r>
          </w:p>
        </w:tc>
      </w:tr>
      <w:tr w:rsidR="00B007ED" w:rsidRPr="00B007ED" w:rsidTr="00186582">
        <w:tc>
          <w:tcPr>
            <w:tcW w:w="6745" w:type="dxa"/>
            <w:tcBorders>
              <w:bottom w:val="single" w:sz="4" w:space="0" w:color="auto"/>
            </w:tcBorders>
          </w:tcPr>
          <w:p w:rsidR="00B007ED" w:rsidRPr="00B007ED" w:rsidRDefault="00D43A6C" w:rsidP="00027656">
            <w:pPr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jc w:val="right"/>
              <w:rPr>
                <w:szCs w:val="24"/>
              </w:rPr>
            </w:pPr>
          </w:p>
        </w:tc>
      </w:tr>
      <w:tr w:rsidR="00186582" w:rsidRPr="00B007ED" w:rsidTr="00186582">
        <w:tc>
          <w:tcPr>
            <w:tcW w:w="8568" w:type="dxa"/>
            <w:gridSpan w:val="2"/>
            <w:shd w:val="clear" w:color="auto" w:fill="D9D9D9" w:themeFill="background1" w:themeFillShade="D9"/>
          </w:tcPr>
          <w:p w:rsidR="00186582" w:rsidRPr="00B007ED" w:rsidRDefault="00186582" w:rsidP="00186582">
            <w:pPr>
              <w:rPr>
                <w:szCs w:val="24"/>
              </w:rPr>
            </w:pPr>
            <w:r w:rsidRPr="00B007ED">
              <w:rPr>
                <w:b/>
                <w:szCs w:val="24"/>
              </w:rPr>
              <w:t>Identificación de proyectos pilotos de intervención</w:t>
            </w: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>2 consultores seniors x 20 días x 550x día = 22,000</w:t>
            </w:r>
          </w:p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3 consultores junior x </w:t>
            </w:r>
            <w:r w:rsidR="00D43A6C">
              <w:rPr>
                <w:szCs w:val="24"/>
              </w:rPr>
              <w:t>40 días x 250 x día = 30.</w:t>
            </w:r>
            <w:r w:rsidRPr="00B007ED">
              <w:rPr>
                <w:szCs w:val="24"/>
              </w:rPr>
              <w:t>000</w:t>
            </w:r>
          </w:p>
        </w:tc>
        <w:tc>
          <w:tcPr>
            <w:tcW w:w="1823" w:type="dxa"/>
          </w:tcPr>
          <w:p w:rsidR="00B007ED" w:rsidRPr="00B007ED" w:rsidRDefault="00186582" w:rsidP="0002765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52.</w:t>
            </w:r>
            <w:r w:rsidR="00B007ED" w:rsidRPr="00B007ED">
              <w:rPr>
                <w:szCs w:val="24"/>
              </w:rPr>
              <w:t>000</w:t>
            </w:r>
          </w:p>
        </w:tc>
      </w:tr>
      <w:tr w:rsidR="00B007ED" w:rsidRPr="00B007ED" w:rsidTr="00186582">
        <w:tc>
          <w:tcPr>
            <w:tcW w:w="6745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rPr>
                <w:szCs w:val="24"/>
              </w:rPr>
            </w:pP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jc w:val="right"/>
              <w:rPr>
                <w:szCs w:val="24"/>
              </w:rPr>
            </w:pPr>
          </w:p>
        </w:tc>
      </w:tr>
      <w:tr w:rsidR="00186582" w:rsidRPr="00B007ED" w:rsidTr="00186582">
        <w:tc>
          <w:tcPr>
            <w:tcW w:w="8568" w:type="dxa"/>
            <w:gridSpan w:val="2"/>
            <w:shd w:val="clear" w:color="auto" w:fill="D9D9D9" w:themeFill="background1" w:themeFillShade="D9"/>
          </w:tcPr>
          <w:p w:rsidR="00186582" w:rsidRPr="00B007ED" w:rsidRDefault="00186582" w:rsidP="00186582">
            <w:pPr>
              <w:rPr>
                <w:szCs w:val="24"/>
              </w:rPr>
            </w:pPr>
            <w:r w:rsidRPr="00B007ED">
              <w:rPr>
                <w:b/>
                <w:szCs w:val="24"/>
              </w:rPr>
              <w:t xml:space="preserve">Sostenibilidad social </w:t>
            </w:r>
            <w:r>
              <w:rPr>
                <w:b/>
                <w:szCs w:val="24"/>
              </w:rPr>
              <w:t>y económica de la rehabilitación urbana</w:t>
            </w:r>
            <w:r w:rsidRPr="00B007ED">
              <w:rPr>
                <w:b/>
                <w:szCs w:val="24"/>
              </w:rPr>
              <w:t xml:space="preserve"> </w:t>
            </w:r>
          </w:p>
        </w:tc>
      </w:tr>
      <w:tr w:rsidR="00FE1D65" w:rsidRPr="00B007ED" w:rsidTr="00830C6C">
        <w:trPr>
          <w:trHeight w:val="1656"/>
        </w:trPr>
        <w:tc>
          <w:tcPr>
            <w:tcW w:w="6745" w:type="dxa"/>
          </w:tcPr>
          <w:p w:rsidR="00FE1D65" w:rsidRPr="00B007ED" w:rsidRDefault="00FE1D65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1 consultor senior (coordinador </w:t>
            </w:r>
            <w:r w:rsidR="00D43A6C">
              <w:rPr>
                <w:szCs w:val="24"/>
              </w:rPr>
              <w:t>del trabajo) x 8 días x 550 = 4.</w:t>
            </w:r>
            <w:r w:rsidRPr="00B007ED">
              <w:rPr>
                <w:szCs w:val="24"/>
              </w:rPr>
              <w:t>400</w:t>
            </w:r>
          </w:p>
          <w:p w:rsidR="00FE1D65" w:rsidRPr="00B007ED" w:rsidRDefault="00FE1D65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>2 consultores seniors (esp</w:t>
            </w:r>
            <w:r w:rsidR="00D43A6C">
              <w:rPr>
                <w:szCs w:val="24"/>
              </w:rPr>
              <w:t>ecialistas) x 4 días x 550  = 4.</w:t>
            </w:r>
            <w:r w:rsidRPr="00B007ED">
              <w:rPr>
                <w:szCs w:val="24"/>
              </w:rPr>
              <w:t>400</w:t>
            </w:r>
          </w:p>
          <w:p w:rsidR="00FE1D65" w:rsidRDefault="00FE1D65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2 consultores </w:t>
            </w:r>
            <w:r w:rsidR="00D43A6C">
              <w:rPr>
                <w:szCs w:val="24"/>
              </w:rPr>
              <w:t>junior x 8 días x 250 = 4.</w:t>
            </w:r>
            <w:r w:rsidRPr="00B007ED">
              <w:rPr>
                <w:szCs w:val="24"/>
              </w:rPr>
              <w:t>000</w:t>
            </w:r>
          </w:p>
          <w:p w:rsidR="00FE1D65" w:rsidRPr="00B007ED" w:rsidRDefault="00FE1D65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1 consultor senior (coordinador </w:t>
            </w:r>
            <w:r w:rsidR="00D43A6C">
              <w:rPr>
                <w:szCs w:val="24"/>
              </w:rPr>
              <w:t>del trabajo) x 8 días x 550 = 4.</w:t>
            </w:r>
            <w:r w:rsidRPr="00B007ED">
              <w:rPr>
                <w:szCs w:val="24"/>
              </w:rPr>
              <w:t>400</w:t>
            </w:r>
          </w:p>
          <w:p w:rsidR="00FE1D65" w:rsidRPr="00B007ED" w:rsidRDefault="00FE1D65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>2 consultores seniors (esp</w:t>
            </w:r>
            <w:r w:rsidR="00D43A6C">
              <w:rPr>
                <w:szCs w:val="24"/>
              </w:rPr>
              <w:t>ecialistas) x 4 días x 550  = 4.</w:t>
            </w:r>
            <w:r w:rsidRPr="00B007ED">
              <w:rPr>
                <w:szCs w:val="24"/>
              </w:rPr>
              <w:t>400</w:t>
            </w:r>
          </w:p>
          <w:p w:rsidR="00FE1D65" w:rsidRPr="00B007ED" w:rsidRDefault="00FE1D65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>2 consul</w:t>
            </w:r>
            <w:r w:rsidR="00D43A6C">
              <w:rPr>
                <w:szCs w:val="24"/>
              </w:rPr>
              <w:t>tores junior x 8 días x 250 = 4.</w:t>
            </w:r>
            <w:r w:rsidRPr="00B007ED">
              <w:rPr>
                <w:szCs w:val="24"/>
              </w:rPr>
              <w:t>000</w:t>
            </w:r>
          </w:p>
        </w:tc>
        <w:tc>
          <w:tcPr>
            <w:tcW w:w="1823" w:type="dxa"/>
          </w:tcPr>
          <w:p w:rsidR="00FE1D65" w:rsidRPr="00B007ED" w:rsidRDefault="00186582" w:rsidP="0002765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25.</w:t>
            </w:r>
            <w:r w:rsidR="00FE1D65">
              <w:rPr>
                <w:szCs w:val="24"/>
              </w:rPr>
              <w:t>600</w:t>
            </w:r>
          </w:p>
        </w:tc>
      </w:tr>
      <w:tr w:rsidR="00B007ED" w:rsidRPr="00B007ED" w:rsidTr="00186582">
        <w:tc>
          <w:tcPr>
            <w:tcW w:w="6745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rPr>
                <w:szCs w:val="24"/>
              </w:rPr>
            </w:pP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jc w:val="right"/>
              <w:rPr>
                <w:szCs w:val="24"/>
              </w:rPr>
            </w:pPr>
          </w:p>
        </w:tc>
      </w:tr>
      <w:tr w:rsidR="00186582" w:rsidRPr="00B007ED" w:rsidTr="00186582">
        <w:tc>
          <w:tcPr>
            <w:tcW w:w="8568" w:type="dxa"/>
            <w:gridSpan w:val="2"/>
            <w:shd w:val="clear" w:color="auto" w:fill="D9D9D9" w:themeFill="background1" w:themeFillShade="D9"/>
          </w:tcPr>
          <w:p w:rsidR="00186582" w:rsidRPr="00B007ED" w:rsidRDefault="00186582" w:rsidP="00186582">
            <w:pPr>
              <w:rPr>
                <w:szCs w:val="24"/>
              </w:rPr>
            </w:pPr>
            <w:r w:rsidRPr="00B007ED">
              <w:rPr>
                <w:b/>
                <w:szCs w:val="24"/>
              </w:rPr>
              <w:t>Fortalecimiento institucional</w:t>
            </w: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2 consultores (1 urbanista +1 legal) x 10 días de trabajo x 550 x día </w:t>
            </w:r>
          </w:p>
        </w:tc>
        <w:tc>
          <w:tcPr>
            <w:tcW w:w="1823" w:type="dxa"/>
          </w:tcPr>
          <w:p w:rsidR="00B007ED" w:rsidRPr="00B007ED" w:rsidRDefault="00186582" w:rsidP="0002765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5.</w:t>
            </w:r>
            <w:r w:rsidR="00B007ED" w:rsidRPr="00B007ED">
              <w:rPr>
                <w:szCs w:val="24"/>
              </w:rPr>
              <w:t>500</w:t>
            </w: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Actividades con las instituciones locales (seminarios, cursos, capacitación, etc. </w:t>
            </w:r>
          </w:p>
        </w:tc>
        <w:tc>
          <w:tcPr>
            <w:tcW w:w="1823" w:type="dxa"/>
          </w:tcPr>
          <w:p w:rsidR="00B007ED" w:rsidRPr="00B007ED" w:rsidRDefault="00186582" w:rsidP="0002765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10.</w:t>
            </w:r>
            <w:r w:rsidR="00B007ED" w:rsidRPr="00B007ED">
              <w:rPr>
                <w:szCs w:val="24"/>
              </w:rPr>
              <w:t>000</w:t>
            </w: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</w:p>
        </w:tc>
        <w:tc>
          <w:tcPr>
            <w:tcW w:w="1823" w:type="dxa"/>
          </w:tcPr>
          <w:p w:rsidR="00B007ED" w:rsidRPr="00B007ED" w:rsidRDefault="00B007ED" w:rsidP="00027656">
            <w:pPr>
              <w:jc w:val="right"/>
              <w:rPr>
                <w:szCs w:val="24"/>
              </w:rPr>
            </w:pP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Costos de materiales, comunicaciones </w:t>
            </w:r>
          </w:p>
        </w:tc>
        <w:tc>
          <w:tcPr>
            <w:tcW w:w="1823" w:type="dxa"/>
          </w:tcPr>
          <w:p w:rsidR="00B007ED" w:rsidRPr="00B007ED" w:rsidRDefault="00186582" w:rsidP="0002765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10.</w:t>
            </w:r>
            <w:r w:rsidR="00B007ED" w:rsidRPr="00B007ED">
              <w:rPr>
                <w:szCs w:val="24"/>
              </w:rPr>
              <w:t>000</w:t>
            </w: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</w:p>
        </w:tc>
        <w:tc>
          <w:tcPr>
            <w:tcW w:w="1823" w:type="dxa"/>
          </w:tcPr>
          <w:p w:rsidR="00B007ED" w:rsidRPr="00B007ED" w:rsidRDefault="00B007ED" w:rsidP="00027656">
            <w:pPr>
              <w:jc w:val="right"/>
              <w:rPr>
                <w:szCs w:val="24"/>
              </w:rPr>
            </w:pPr>
          </w:p>
        </w:tc>
      </w:tr>
      <w:tr w:rsidR="00B007ED" w:rsidRPr="00B007ED" w:rsidTr="00027656">
        <w:tc>
          <w:tcPr>
            <w:tcW w:w="6745" w:type="dxa"/>
          </w:tcPr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 xml:space="preserve">Viajes y per diem </w:t>
            </w:r>
          </w:p>
          <w:p w:rsidR="00B007ED" w:rsidRPr="00B007ED" w:rsidRDefault="00B007ED" w:rsidP="00027656">
            <w:pPr>
              <w:rPr>
                <w:szCs w:val="24"/>
              </w:rPr>
            </w:pPr>
            <w:r w:rsidRPr="00B007ED">
              <w:rPr>
                <w:szCs w:val="24"/>
              </w:rPr>
              <w:t>Estimado en:</w:t>
            </w:r>
          </w:p>
          <w:p w:rsidR="00B007ED" w:rsidRPr="00B007ED" w:rsidRDefault="00B007ED" w:rsidP="00B007ED">
            <w:pPr>
              <w:pStyle w:val="ListParagraph"/>
              <w:numPr>
                <w:ilvl w:val="0"/>
                <w:numId w:val="1"/>
              </w:numPr>
              <w:contextualSpacing/>
              <w:rPr>
                <w:lang w:val="en-US"/>
              </w:rPr>
            </w:pPr>
            <w:r w:rsidRPr="00B007ED">
              <w:rPr>
                <w:lang w:val="en-US"/>
              </w:rPr>
              <w:t xml:space="preserve">10 air </w:t>
            </w:r>
            <w:r w:rsidR="00D43A6C">
              <w:rPr>
                <w:lang w:val="en-US"/>
              </w:rPr>
              <w:t>tickets x US$1.500 = 15.</w:t>
            </w:r>
            <w:r w:rsidRPr="00B007ED">
              <w:rPr>
                <w:lang w:val="en-US"/>
              </w:rPr>
              <w:t>000</w:t>
            </w:r>
          </w:p>
          <w:p w:rsidR="00B007ED" w:rsidRPr="00B007ED" w:rsidRDefault="00E954C8" w:rsidP="00E954C8">
            <w:pPr>
              <w:pStyle w:val="ListParagraph"/>
              <w:numPr>
                <w:ilvl w:val="0"/>
                <w:numId w:val="1"/>
              </w:numPr>
              <w:contextualSpacing/>
            </w:pPr>
            <w:r>
              <w:t>90</w:t>
            </w:r>
            <w:r w:rsidR="00B007ED" w:rsidRPr="00B007ED">
              <w:t xml:space="preserve"> días de</w:t>
            </w:r>
            <w:r w:rsidR="00D43A6C">
              <w:t xml:space="preserve"> permanencia en Santa Ana x US$</w:t>
            </w:r>
            <w:r>
              <w:t>84</w:t>
            </w:r>
            <w:r w:rsidR="00D43A6C">
              <w:t xml:space="preserve"> = 7.</w:t>
            </w:r>
            <w:r w:rsidR="00B007ED" w:rsidRPr="00B007ED">
              <w:t xml:space="preserve">600  </w:t>
            </w:r>
          </w:p>
        </w:tc>
        <w:tc>
          <w:tcPr>
            <w:tcW w:w="1823" w:type="dxa"/>
          </w:tcPr>
          <w:p w:rsidR="00B007ED" w:rsidRPr="00B007ED" w:rsidRDefault="00186582" w:rsidP="0002765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22.</w:t>
            </w:r>
            <w:r w:rsidR="00B007ED" w:rsidRPr="00B007ED">
              <w:rPr>
                <w:szCs w:val="24"/>
              </w:rPr>
              <w:t>600</w:t>
            </w:r>
          </w:p>
        </w:tc>
      </w:tr>
      <w:tr w:rsidR="00B007ED" w:rsidRPr="00B007ED" w:rsidTr="00186582">
        <w:tc>
          <w:tcPr>
            <w:tcW w:w="6745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rPr>
                <w:szCs w:val="24"/>
              </w:rPr>
            </w:pP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B007ED" w:rsidRPr="00B007ED" w:rsidRDefault="00B007ED" w:rsidP="00027656">
            <w:pPr>
              <w:jc w:val="right"/>
              <w:rPr>
                <w:szCs w:val="24"/>
              </w:rPr>
            </w:pPr>
          </w:p>
        </w:tc>
      </w:tr>
      <w:tr w:rsidR="00B007ED" w:rsidRPr="00B007ED" w:rsidTr="00186582">
        <w:trPr>
          <w:trHeight w:val="260"/>
        </w:trPr>
        <w:tc>
          <w:tcPr>
            <w:tcW w:w="6745" w:type="dxa"/>
            <w:shd w:val="clear" w:color="auto" w:fill="B6DDE8" w:themeFill="accent5" w:themeFillTint="66"/>
          </w:tcPr>
          <w:p w:rsidR="00B007ED" w:rsidRPr="00B007ED" w:rsidRDefault="00B007ED" w:rsidP="00186582">
            <w:pPr>
              <w:jc w:val="right"/>
              <w:rPr>
                <w:b/>
                <w:szCs w:val="24"/>
              </w:rPr>
            </w:pPr>
            <w:r w:rsidRPr="00B007ED">
              <w:rPr>
                <w:b/>
                <w:szCs w:val="24"/>
              </w:rPr>
              <w:t>TOTAL</w:t>
            </w:r>
          </w:p>
        </w:tc>
        <w:tc>
          <w:tcPr>
            <w:tcW w:w="1823" w:type="dxa"/>
            <w:shd w:val="clear" w:color="auto" w:fill="B6DDE8" w:themeFill="accent5" w:themeFillTint="66"/>
          </w:tcPr>
          <w:p w:rsidR="00B007ED" w:rsidRPr="00B007ED" w:rsidRDefault="00186582" w:rsidP="00027656">
            <w:pPr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150.</w:t>
            </w:r>
            <w:r w:rsidR="00B007ED" w:rsidRPr="00B007ED">
              <w:rPr>
                <w:b/>
                <w:szCs w:val="24"/>
              </w:rPr>
              <w:t>000</w:t>
            </w:r>
          </w:p>
        </w:tc>
      </w:tr>
    </w:tbl>
    <w:p w:rsidR="00B007ED" w:rsidRPr="00B007ED" w:rsidRDefault="00B007ED" w:rsidP="00B007ED">
      <w:pPr>
        <w:rPr>
          <w:szCs w:val="24"/>
        </w:rPr>
      </w:pPr>
    </w:p>
    <w:p w:rsidR="00B007ED" w:rsidRPr="00B007ED" w:rsidRDefault="00B007ED" w:rsidP="00B007ED">
      <w:pPr>
        <w:tabs>
          <w:tab w:val="num" w:pos="648"/>
          <w:tab w:val="left" w:pos="1440"/>
        </w:tabs>
        <w:spacing w:after="240"/>
        <w:ind w:firstLine="288"/>
        <w:jc w:val="center"/>
        <w:rPr>
          <w:b/>
          <w:smallCaps/>
          <w:szCs w:val="24"/>
          <w:lang w:val="es-ES"/>
        </w:rPr>
      </w:pPr>
      <w:bookmarkStart w:id="0" w:name="_GoBack"/>
      <w:bookmarkEnd w:id="0"/>
    </w:p>
    <w:p w:rsidR="003A5E6F" w:rsidRPr="00B007ED" w:rsidRDefault="003A5E6F">
      <w:pPr>
        <w:rPr>
          <w:szCs w:val="24"/>
        </w:rPr>
      </w:pPr>
    </w:p>
    <w:sectPr w:rsidR="003A5E6F" w:rsidRPr="00B007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582" w:rsidRDefault="00186582" w:rsidP="00186582">
      <w:r>
        <w:separator/>
      </w:r>
    </w:p>
  </w:endnote>
  <w:endnote w:type="continuationSeparator" w:id="0">
    <w:p w:rsidR="00186582" w:rsidRDefault="00186582" w:rsidP="0018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582" w:rsidRDefault="00186582" w:rsidP="00186582">
      <w:r>
        <w:separator/>
      </w:r>
    </w:p>
  </w:footnote>
  <w:footnote w:type="continuationSeparator" w:id="0">
    <w:p w:rsidR="00186582" w:rsidRDefault="00186582" w:rsidP="00186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82" w:rsidRPr="00186582" w:rsidRDefault="00186582" w:rsidP="00186582">
    <w:pPr>
      <w:pStyle w:val="Header"/>
      <w:jc w:val="right"/>
      <w:rPr>
        <w:b/>
        <w:lang w:val="en-US"/>
      </w:rPr>
    </w:pPr>
    <w:r w:rsidRPr="00186582">
      <w:rPr>
        <w:b/>
        <w:lang w:val="en-US"/>
      </w:rPr>
      <w:t>Anexo III – ES-T1217</w:t>
    </w:r>
  </w:p>
  <w:p w:rsidR="00186582" w:rsidRPr="00186582" w:rsidRDefault="00186582" w:rsidP="00186582">
    <w:pPr>
      <w:pStyle w:val="Header"/>
      <w:jc w:val="right"/>
      <w:rPr>
        <w:lang w:val="en-US"/>
      </w:rPr>
    </w:pPr>
    <w:r>
      <w:rPr>
        <w:lang w:val="en-US"/>
      </w:rPr>
      <w:t>Página 1 de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A5D"/>
    <w:multiLevelType w:val="hybridMultilevel"/>
    <w:tmpl w:val="CE96D6D4"/>
    <w:lvl w:ilvl="0" w:tplc="51C0C33E">
      <w:start w:val="7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ED"/>
    <w:rsid w:val="00186582"/>
    <w:rsid w:val="003A5E6F"/>
    <w:rsid w:val="007446F6"/>
    <w:rsid w:val="00B007ED"/>
    <w:rsid w:val="00D43A6C"/>
    <w:rsid w:val="00E954C8"/>
    <w:rsid w:val="00FE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7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007ED"/>
    <w:pPr>
      <w:ind w:left="720"/>
    </w:pPr>
    <w:rPr>
      <w:szCs w:val="24"/>
      <w:lang w:val="es-ES" w:eastAsia="es-E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007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eGrid">
    <w:name w:val="Table Grid"/>
    <w:basedOn w:val="TableNormal"/>
    <w:uiPriority w:val="59"/>
    <w:rsid w:val="00B00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65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58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1865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582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7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007ED"/>
    <w:pPr>
      <w:ind w:left="720"/>
    </w:pPr>
    <w:rPr>
      <w:szCs w:val="24"/>
      <w:lang w:val="es-ES" w:eastAsia="es-E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007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eGrid">
    <w:name w:val="Table Grid"/>
    <w:basedOn w:val="TableNormal"/>
    <w:uiPriority w:val="59"/>
    <w:rsid w:val="00B00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65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58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1865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582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6F1BE2804A93D46ADA4A2D8D41C621F" ma:contentTypeVersion="0" ma:contentTypeDescription="A content type to manage public (operations) IDB documents" ma:contentTypeScope="" ma:versionID="7fb2610af8a3021092716a7dbac99e5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83b1f4e36724a21a661debdc470f9e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14653a0-1d14-479a-88c8-c43da9cca7ee}" ma:internalName="TaxCatchAll" ma:showField="CatchAllData" ma:web="3a3f6a5c-543c-4ae7-95c8-49e381e7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14653a0-1d14-479a-88c8-c43da9cca7ee}" ma:internalName="TaxCatchAllLabel" ma:readOnly="true" ma:showField="CatchAllDataLabel" ma:web="3a3f6a5c-543c-4ae7-95c8-49e381e7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Record_x0020_Number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38660138</IDBDocs_x0020_Number>
    <Document_x0020_Author xmlns="9c571b2f-e523-4ab2-ba2e-09e151a03ef4">Ortiz Meyer, Juan Pablo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83</Value>
      <Value>8</Value>
      <Value>1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ES-T1217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WORD&lt;/APPLICATION&gt;&lt;STAGE_CODE&gt;TC-DOCUMENT&lt;/STAGE_CODE&gt;&lt;USER_STAGE&gt;Approved TC document&lt;/USER_STAGE&gt;&lt;PD_OBJ_TYPE&gt;0&lt;/PD_OBJ_TYPE&gt;&lt;MAKERECORD&gt;N&lt;/MAKERECORD&gt;&lt;SPRSEDEBYDOC&gt;&lt;/SPRSEDEBYDOC&gt;&lt;/Data&gt;</Migration_x0020_Info>
    <Approval_x0020_Number xmlns="9c571b2f-e523-4ab2-ba2e-09e151a03ef4">ATN/II-14365-ES</Approval_x0020_Number>
    <Access_x0020_to_x0020_Information_x00a0_Policy xmlns="9c571b2f-e523-4ab2-ba2e-09e151a03ef4">Confidential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Urban Rehabilitation and Heritage Preservation;Neighborhood Upgrading</Webtopic>
    <Identifier xmlns="9c571b2f-e523-4ab2-ba2e-09e151a03ef4"> ANNEX</Identifier>
    <Publishing_x0020_House xmlns="9c571b2f-e523-4ab2-ba2e-09e151a03ef4" xsi:nil="true"/>
    <Disclosed xmlns="9c571b2f-e523-4ab2-ba2e-09e151a03ef4">false</Disclosed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j8b96605ee2f4c4e988849e658583fee>
  </documentManagement>
</p:properties>
</file>

<file path=customXml/itemProps1.xml><?xml version="1.0" encoding="utf-8"?>
<ds:datastoreItem xmlns:ds="http://schemas.openxmlformats.org/officeDocument/2006/customXml" ds:itemID="{BFCE3B3D-DCAB-4C67-9399-1619E21E1569}"/>
</file>

<file path=customXml/itemProps2.xml><?xml version="1.0" encoding="utf-8"?>
<ds:datastoreItem xmlns:ds="http://schemas.openxmlformats.org/officeDocument/2006/customXml" ds:itemID="{D9177F35-885E-481F-910C-4024B9506EFF}"/>
</file>

<file path=customXml/itemProps3.xml><?xml version="1.0" encoding="utf-8"?>
<ds:datastoreItem xmlns:ds="http://schemas.openxmlformats.org/officeDocument/2006/customXml" ds:itemID="{AFCDF9F1-D7BA-4991-9C07-4B4DCE8E2886}"/>
</file>

<file path=customXml/itemProps4.xml><?xml version="1.0" encoding="utf-8"?>
<ds:datastoreItem xmlns:ds="http://schemas.openxmlformats.org/officeDocument/2006/customXml" ds:itemID="{A95A2C3A-20BF-400F-8D0C-ED2F7CE9EE7E}"/>
</file>

<file path=customXml/itemProps5.xml><?xml version="1.0" encoding="utf-8"?>
<ds:datastoreItem xmlns:ds="http://schemas.openxmlformats.org/officeDocument/2006/customXml" ds:itemID="{602FD0D4-1749-4A1B-B6E2-F478DA91AA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Presupuesto Detallado</dc:title>
  <dc:creator>Test</dc:creator>
  <cp:lastModifiedBy>marinam</cp:lastModifiedBy>
  <cp:revision>4</cp:revision>
  <dcterms:created xsi:type="dcterms:W3CDTF">2014-03-19T15:56:00Z</dcterms:created>
  <dcterms:modified xsi:type="dcterms:W3CDTF">2014-03-19T16:22:00Z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0x01010046CF21643EE8D14686A648AA6DAD08920056F1BE2804A93D46ADA4A2D8D41C621F</vt:lpwstr>
  </property>
  <property fmtid="{D5CDD505-2E9C-101B-9397-08002B2CF9AE}" pid="5" name="TaxKeywordTaxHTField">
    <vt:lpwstr/>
  </property>
  <property fmtid="{D5CDD505-2E9C-101B-9397-08002B2CF9AE}" pid="6" name="Series Operations IDB">
    <vt:lpwstr>8;#Loan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>83;#El Salvador|057b77a9-2761-48a1-b9dc-78a115c002df</vt:lpwstr>
  </property>
  <property fmtid="{D5CDD505-2E9C-101B-9397-08002B2CF9AE}" pid="9" name="Fund IDB">
    <vt:lpwstr/>
  </property>
  <property fmtid="{D5CDD505-2E9C-101B-9397-08002B2CF9AE}" pid="10" name="Series_x0020_Operations_x0020_IDB">
    <vt:lpwstr>8;#Loan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</Properties>
</file>