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charts/colors2.xml" ContentType="application/vnd.ms-office.chartcolorstyle+xml"/>
  <Override PartName="/word/charts/colors1.xml" ContentType="application/vnd.ms-office.chartcolorstyle+xml"/>
  <Override PartName="/word/charts/chart3.xml" ContentType="application/vnd.openxmlformats-officedocument.drawingml.chart+xml"/>
  <Override PartName="/word/charts/chart1.xml" ContentType="application/vnd.openxmlformats-officedocument.drawingml.chart+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colors3.xml" ContentType="application/vnd.ms-office.chartcolorstyle+xml"/>
  <Override PartName="/word/charts/chart2.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docProps/core.xml" ContentType="application/vnd.openxmlformats-package.core-properties+xml"/>
  <Override PartName="/customXml/itemProps8.xml" ContentType="application/vnd.openxmlformats-officedocument.customXmlProperties+xml"/>
  <Override PartName="/word/glossary/document.xml" ContentType="application/vnd.openxmlformats-officedocument.wordprocessingml.document.glossary+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c="http://schemas.openxmlformats.org/drawingml/2006/chart" mc:Ignorable="w14 w15 w16se w16cid wp14">
  <w:body>
    <w:p w:rsidRPr="00411DC3" w:rsidR="00552540" w:rsidP="00552540" w:rsidRDefault="00A43A07" w14:paraId="6D5C35DE" w14:textId="77777777">
      <w:pPr>
        <w:pStyle w:val="IntenseQuote"/>
        <w:spacing w:before="0" w:after="0" w:line="0" w:lineRule="atLeast"/>
        <w:ind w:right="0" w:hanging="936"/>
        <w:jc w:val="right"/>
        <w:rPr>
          <w:rFonts w:ascii="Arial" w:hAnsi="Arial" w:cs="Arial"/>
          <w:i w:val="0"/>
          <w:color w:val="002060"/>
          <w:lang w:val="es-ES"/>
        </w:rPr>
      </w:pPr>
      <w:r w:rsidRPr="00411DC3">
        <w:rPr>
          <w:rFonts w:ascii="Arial" w:hAnsi="Arial" w:cs="Arial"/>
          <w:i w:val="0"/>
          <w:color w:val="002060"/>
          <w:lang w:val="es-ES"/>
        </w:rPr>
        <w:t>Programa de Reformas del Sector Transporte y Logística de Carga de Honduras</w:t>
      </w:r>
    </w:p>
    <w:p w:rsidRPr="00411DC3" w:rsidR="00552540" w:rsidP="00541719" w:rsidRDefault="00552540" w14:paraId="058B6BC8" w14:textId="77777777">
      <w:pPr>
        <w:pStyle w:val="IntenseQuote"/>
        <w:spacing w:before="0" w:after="0" w:line="0" w:lineRule="atLeast"/>
        <w:ind w:left="0" w:right="0"/>
        <w:jc w:val="right"/>
        <w:rPr>
          <w:rFonts w:ascii="Arial" w:hAnsi="Arial" w:cs="Arial"/>
          <w:b w:val="0"/>
          <w:color w:val="002060"/>
          <w:lang w:val="es-ES"/>
        </w:rPr>
      </w:pPr>
      <w:r w:rsidRPr="00411DC3">
        <w:rPr>
          <w:rFonts w:ascii="Arial" w:hAnsi="Arial" w:cs="Arial"/>
          <w:b w:val="0"/>
          <w:color w:val="002060"/>
          <w:lang w:val="es-ES"/>
        </w:rPr>
        <w:t xml:space="preserve">Anexo Técnico </w:t>
      </w:r>
      <w:r w:rsidRPr="00411DC3" w:rsidR="00A43A07">
        <w:rPr>
          <w:rFonts w:ascii="Arial" w:hAnsi="Arial" w:cs="Arial"/>
          <w:b w:val="0"/>
          <w:color w:val="002060"/>
          <w:lang w:val="es-ES"/>
        </w:rPr>
        <w:t>HO</w:t>
      </w:r>
      <w:r w:rsidRPr="00411DC3" w:rsidR="00542C8C">
        <w:rPr>
          <w:rFonts w:ascii="Arial" w:hAnsi="Arial" w:cs="Arial"/>
          <w:b w:val="0"/>
          <w:color w:val="002060"/>
          <w:lang w:val="es-ES"/>
        </w:rPr>
        <w:t>-L11</w:t>
      </w:r>
      <w:r w:rsidRPr="00411DC3" w:rsidR="00A43A07">
        <w:rPr>
          <w:rFonts w:ascii="Arial" w:hAnsi="Arial" w:cs="Arial"/>
          <w:b w:val="0"/>
          <w:color w:val="002060"/>
          <w:lang w:val="es-ES"/>
        </w:rPr>
        <w:t>98</w:t>
      </w:r>
      <w:r w:rsidRPr="00411DC3" w:rsidR="00541719">
        <w:rPr>
          <w:rFonts w:ascii="Arial" w:hAnsi="Arial" w:cs="Arial"/>
          <w:b w:val="0"/>
          <w:color w:val="002060"/>
          <w:lang w:val="es-ES"/>
        </w:rPr>
        <w:t xml:space="preserve"> - </w:t>
      </w:r>
      <w:r w:rsidRPr="00411DC3">
        <w:rPr>
          <w:rFonts w:ascii="Arial" w:hAnsi="Arial" w:cs="Arial"/>
          <w:b w:val="0"/>
          <w:color w:val="002060"/>
          <w:lang w:val="es-ES"/>
        </w:rPr>
        <w:t>Integración Económica</w:t>
      </w:r>
    </w:p>
    <w:p w:rsidRPr="00411DC3" w:rsidR="00552540" w:rsidP="00552540" w:rsidRDefault="00552540" w14:paraId="50B27AF2" w14:textId="77777777">
      <w:pPr>
        <w:pStyle w:val="ListParagraph"/>
        <w:keepNext/>
        <w:keepLines/>
        <w:spacing w:after="0" w:line="0" w:lineRule="atLeast"/>
        <w:ind w:left="270"/>
        <w:jc w:val="both"/>
        <w:outlineLvl w:val="1"/>
        <w:rPr>
          <w:rFonts w:ascii="Arial" w:hAnsi="Arial" w:eastAsia="MS Gothic" w:cs="Arial"/>
          <w:b/>
          <w:bCs/>
          <w:smallCaps/>
          <w:color w:val="44546A" w:themeColor="text2"/>
          <w:lang w:val="es-ES"/>
        </w:rPr>
      </w:pPr>
      <w:r w:rsidRPr="00411DC3">
        <w:rPr>
          <w:rFonts w:ascii="Arial" w:hAnsi="Arial" w:cs="Arial"/>
          <w:b/>
          <w:noProof/>
        </w:rPr>
        <mc:AlternateContent>
          <mc:Choice Requires="wps">
            <w:drawing>
              <wp:anchor distT="0" distB="0" distL="114300" distR="114300" simplePos="0" relativeHeight="251659264" behindDoc="0" locked="0" layoutInCell="1" allowOverlap="1" wp14:anchorId="24FC7DF5" wp14:editId="0578EDC9">
                <wp:simplePos x="0" y="0"/>
                <wp:positionH relativeFrom="margin">
                  <wp:align>left</wp:align>
                </wp:positionH>
                <wp:positionV relativeFrom="paragraph">
                  <wp:posOffset>173795</wp:posOffset>
                </wp:positionV>
                <wp:extent cx="5991225" cy="3329940"/>
                <wp:effectExtent l="0" t="0" r="28575" b="22860"/>
                <wp:wrapNone/>
                <wp:docPr id="1" name="Text Box 1"/>
                <wp:cNvGraphicFramePr/>
                <a:graphic xmlns:a="http://schemas.openxmlformats.org/drawingml/2006/main">
                  <a:graphicData uri="http://schemas.microsoft.com/office/word/2010/wordprocessingShape">
                    <wps:wsp>
                      <wps:cNvSpPr txBox="1"/>
                      <wps:spPr>
                        <a:xfrm>
                          <a:off x="0" y="0"/>
                          <a:ext cx="5991225" cy="33299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Pr="00022B77" w:rsidR="00E55246" w:rsidP="00552540" w:rsidRDefault="00E55246" w14:paraId="5E860797" w14:textId="77777777">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rsidRPr="008D7838" w:rsidR="00E55246" w:rsidP="00552540" w:rsidRDefault="00E55246" w14:paraId="56DE21F1" w14:textId="77777777">
                            <w:pPr>
                              <w:keepNext/>
                              <w:keepLines/>
                              <w:spacing w:after="0"/>
                              <w:jc w:val="both"/>
                              <w:outlineLvl w:val="1"/>
                              <w:rPr>
                                <w:rFonts w:ascii="Times New Roman" w:hAnsi="Times New Roman"/>
                                <w:sz w:val="21"/>
                                <w:szCs w:val="21"/>
                                <w:lang w:val="es-ES_tradnl"/>
                              </w:rPr>
                            </w:pPr>
                          </w:p>
                          <w:p w:rsidR="0026534F" w:rsidP="00507DC7" w:rsidRDefault="00E55246" w14:paraId="22C8FE95" w14:textId="77777777">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E</w:t>
                            </w:r>
                            <w:r w:rsidRPr="00D768CA">
                              <w:rPr>
                                <w:rFonts w:ascii="Times New Roman" w:hAnsi="Times New Roman" w:cs="Times New Roman"/>
                                <w:sz w:val="20"/>
                                <w:szCs w:val="20"/>
                                <w:lang w:val="es-ES"/>
                              </w:rPr>
                              <w:t xml:space="preserve">l desempeño logístico de </w:t>
                            </w:r>
                            <w:r w:rsidR="00762E3F">
                              <w:rPr>
                                <w:rFonts w:ascii="Times New Roman" w:hAnsi="Times New Roman" w:cs="Times New Roman"/>
                                <w:sz w:val="20"/>
                                <w:szCs w:val="20"/>
                                <w:lang w:val="es-ES"/>
                              </w:rPr>
                              <w:t>Honduras</w:t>
                            </w:r>
                            <w:r w:rsidRPr="00D768CA">
                              <w:rPr>
                                <w:rFonts w:ascii="Times New Roman" w:hAnsi="Times New Roman" w:cs="Times New Roman"/>
                                <w:sz w:val="20"/>
                                <w:szCs w:val="20"/>
                                <w:lang w:val="es-ES"/>
                              </w:rPr>
                              <w:t xml:space="preserve"> es relevante </w:t>
                            </w:r>
                            <w:r w:rsidR="000E6ACC">
                              <w:rPr>
                                <w:rFonts w:ascii="Times New Roman" w:hAnsi="Times New Roman" w:cs="Times New Roman"/>
                                <w:sz w:val="20"/>
                                <w:szCs w:val="20"/>
                                <w:lang w:val="es-ES"/>
                              </w:rPr>
                              <w:t>a nivel global</w:t>
                            </w:r>
                            <w:r w:rsidRPr="00D768CA">
                              <w:rPr>
                                <w:rFonts w:ascii="Times New Roman" w:hAnsi="Times New Roman" w:cs="Times New Roman"/>
                                <w:sz w:val="20"/>
                                <w:szCs w:val="20"/>
                                <w:lang w:val="es-ES"/>
                              </w:rPr>
                              <w:t xml:space="preserve"> y constituye un marco de oportunidades para los países vecinos.</w:t>
                            </w:r>
                            <w:r w:rsidR="0026534F">
                              <w:rPr>
                                <w:rFonts w:ascii="Times New Roman" w:hAnsi="Times New Roman" w:cs="Times New Roman"/>
                                <w:sz w:val="20"/>
                                <w:szCs w:val="20"/>
                                <w:lang w:val="es-ES"/>
                              </w:rPr>
                              <w:t xml:space="preserve"> L</w:t>
                            </w:r>
                            <w:r w:rsidRPr="0026534F" w:rsidR="0026534F">
                              <w:rPr>
                                <w:rFonts w:ascii="Times New Roman" w:hAnsi="Times New Roman" w:cs="Times New Roman"/>
                                <w:sz w:val="20"/>
                                <w:szCs w:val="20"/>
                                <w:lang w:val="es-ES"/>
                              </w:rPr>
                              <w:t xml:space="preserve">a estrategia de Honduras en el ámbito logístico presenta retos relacionados </w:t>
                            </w:r>
                            <w:r w:rsidR="0026534F">
                              <w:rPr>
                                <w:rFonts w:ascii="Times New Roman" w:hAnsi="Times New Roman" w:cs="Times New Roman"/>
                                <w:sz w:val="20"/>
                                <w:szCs w:val="20"/>
                                <w:lang w:val="es-ES"/>
                              </w:rPr>
                              <w:t>a la</w:t>
                            </w:r>
                            <w:r w:rsidR="00050010">
                              <w:rPr>
                                <w:rFonts w:ascii="Times New Roman" w:hAnsi="Times New Roman" w:cs="Times New Roman"/>
                                <w:sz w:val="20"/>
                                <w:szCs w:val="20"/>
                                <w:lang w:val="es-ES"/>
                              </w:rPr>
                              <w:t xml:space="preserve"> necesidad de una mayor</w:t>
                            </w:r>
                            <w:r w:rsidR="0026534F">
                              <w:rPr>
                                <w:rFonts w:ascii="Times New Roman" w:hAnsi="Times New Roman" w:cs="Times New Roman"/>
                                <w:sz w:val="20"/>
                                <w:szCs w:val="20"/>
                                <w:lang w:val="es-ES"/>
                              </w:rPr>
                              <w:t xml:space="preserve"> coordinación interinstitucional a fin de</w:t>
                            </w:r>
                            <w:r w:rsidRPr="0026534F" w:rsidR="0026534F">
                              <w:rPr>
                                <w:rFonts w:ascii="Times New Roman" w:hAnsi="Times New Roman" w:cs="Times New Roman"/>
                                <w:sz w:val="20"/>
                                <w:szCs w:val="20"/>
                                <w:lang w:val="es-ES"/>
                              </w:rPr>
                              <w:t xml:space="preserve"> seguir desarrollando las principales zonas de relevancia logística como lo es el Conglomerado Logístico del Norte y su conexión con los principales nodos productivos de San Pedro Sula y Tegucigalpa</w:t>
                            </w:r>
                            <w:r w:rsidR="00050010">
                              <w:rPr>
                                <w:rFonts w:ascii="Times New Roman" w:hAnsi="Times New Roman" w:cs="Times New Roman"/>
                                <w:sz w:val="20"/>
                                <w:szCs w:val="20"/>
                                <w:lang w:val="es-ES"/>
                              </w:rPr>
                              <w:t xml:space="preserve"> con una visión integral y de largo plazo</w:t>
                            </w:r>
                            <w:r w:rsidRPr="0026534F" w:rsidR="0026534F">
                              <w:rPr>
                                <w:rFonts w:ascii="Times New Roman" w:hAnsi="Times New Roman" w:cs="Times New Roman"/>
                                <w:sz w:val="20"/>
                                <w:szCs w:val="20"/>
                                <w:lang w:val="es-ES"/>
                              </w:rPr>
                              <w:t>. Adicionalmente existe un enfoque claro en mejorar el funcionamiento de todo el sistema logístico</w:t>
                            </w:r>
                            <w:r w:rsidR="00050010">
                              <w:rPr>
                                <w:rFonts w:ascii="Times New Roman" w:hAnsi="Times New Roman" w:cs="Times New Roman"/>
                                <w:sz w:val="20"/>
                                <w:szCs w:val="20"/>
                                <w:lang w:val="es-ES"/>
                              </w:rPr>
                              <w:t xml:space="preserve"> que incluye la</w:t>
                            </w:r>
                            <w:r w:rsidRPr="0026534F" w:rsidR="0026534F">
                              <w:rPr>
                                <w:rFonts w:ascii="Times New Roman" w:hAnsi="Times New Roman" w:cs="Times New Roman"/>
                                <w:sz w:val="20"/>
                                <w:szCs w:val="20"/>
                                <w:lang w:val="es-ES"/>
                              </w:rPr>
                              <w:t xml:space="preserve"> mejora en la conectividad global, integración de procesos y sistemas, fluidez de transporte, marco jurídico y fiscal adecuado y buen entorno o clima de negocios. Todo lo anterior, enfocado a consolidar </w:t>
                            </w:r>
                            <w:r w:rsidR="00B10FC3">
                              <w:rPr>
                                <w:rFonts w:ascii="Times New Roman" w:hAnsi="Times New Roman" w:cs="Times New Roman"/>
                                <w:sz w:val="20"/>
                                <w:szCs w:val="20"/>
                                <w:lang w:val="es-ES"/>
                              </w:rPr>
                              <w:t xml:space="preserve">a Honduras como </w:t>
                            </w:r>
                            <w:r w:rsidRPr="0026534F" w:rsidR="0026534F">
                              <w:rPr>
                                <w:rFonts w:ascii="Times New Roman" w:hAnsi="Times New Roman" w:cs="Times New Roman"/>
                                <w:sz w:val="20"/>
                                <w:szCs w:val="20"/>
                                <w:lang w:val="es-ES"/>
                              </w:rPr>
                              <w:t xml:space="preserve">un </w:t>
                            </w:r>
                            <w:proofErr w:type="spellStart"/>
                            <w:r w:rsidRPr="00762E3F" w:rsidR="0026534F">
                              <w:rPr>
                                <w:rFonts w:ascii="Times New Roman" w:hAnsi="Times New Roman" w:cs="Times New Roman"/>
                                <w:i/>
                                <w:sz w:val="20"/>
                                <w:szCs w:val="20"/>
                                <w:lang w:val="es-ES"/>
                              </w:rPr>
                              <w:t>hub</w:t>
                            </w:r>
                            <w:proofErr w:type="spellEnd"/>
                            <w:r w:rsidRPr="0026534F" w:rsidR="0026534F">
                              <w:rPr>
                                <w:rFonts w:ascii="Times New Roman" w:hAnsi="Times New Roman" w:cs="Times New Roman"/>
                                <w:sz w:val="20"/>
                                <w:szCs w:val="20"/>
                                <w:lang w:val="es-ES"/>
                              </w:rPr>
                              <w:t xml:space="preserve"> regional de cara al mercado </w:t>
                            </w:r>
                            <w:r w:rsidR="00762E3F">
                              <w:rPr>
                                <w:rFonts w:ascii="Times New Roman" w:hAnsi="Times New Roman" w:cs="Times New Roman"/>
                                <w:sz w:val="20"/>
                                <w:szCs w:val="20"/>
                                <w:lang w:val="es-ES"/>
                              </w:rPr>
                              <w:t xml:space="preserve">regional y </w:t>
                            </w:r>
                            <w:r w:rsidRPr="0026534F" w:rsidR="0026534F">
                              <w:rPr>
                                <w:rFonts w:ascii="Times New Roman" w:hAnsi="Times New Roman" w:cs="Times New Roman"/>
                                <w:sz w:val="20"/>
                                <w:szCs w:val="20"/>
                                <w:lang w:val="es-ES"/>
                              </w:rPr>
                              <w:t>global</w:t>
                            </w:r>
                            <w:r w:rsidR="00B10FC3">
                              <w:rPr>
                                <w:rFonts w:ascii="Times New Roman" w:hAnsi="Times New Roman" w:cs="Times New Roman"/>
                                <w:sz w:val="20"/>
                                <w:szCs w:val="20"/>
                                <w:lang w:val="es-ES"/>
                              </w:rPr>
                              <w:t xml:space="preserve"> con principal </w:t>
                            </w:r>
                            <w:r w:rsidR="00836AAE">
                              <w:rPr>
                                <w:rFonts w:ascii="Times New Roman" w:hAnsi="Times New Roman" w:cs="Times New Roman"/>
                                <w:sz w:val="20"/>
                                <w:szCs w:val="20"/>
                                <w:lang w:val="es-ES"/>
                              </w:rPr>
                              <w:t xml:space="preserve">enfoque y </w:t>
                            </w:r>
                            <w:r w:rsidR="00B10FC3">
                              <w:rPr>
                                <w:rFonts w:ascii="Times New Roman" w:hAnsi="Times New Roman" w:cs="Times New Roman"/>
                                <w:sz w:val="20"/>
                                <w:szCs w:val="20"/>
                                <w:lang w:val="es-ES"/>
                              </w:rPr>
                              <w:t>ventaja comparativa en el litoral del Atlántico por la relevancia comercial que tienen el Puerto Cortés en el tránsito marítimo regional</w:t>
                            </w:r>
                            <w:r w:rsidRPr="0026534F" w:rsidR="0026534F">
                              <w:rPr>
                                <w:rFonts w:ascii="Times New Roman" w:hAnsi="Times New Roman" w:cs="Times New Roman"/>
                                <w:sz w:val="20"/>
                                <w:szCs w:val="20"/>
                                <w:lang w:val="es-ES"/>
                              </w:rPr>
                              <w:t xml:space="preserve">. </w:t>
                            </w:r>
                          </w:p>
                          <w:p w:rsidRPr="00EE04A7" w:rsidR="00EE04A7" w:rsidP="001D2271" w:rsidRDefault="00E55246" w14:paraId="13DB606A" w14:textId="0AFAB156">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La operación objeto de análisis, es </w:t>
                            </w:r>
                            <w:r w:rsidR="00650063">
                              <w:rPr>
                                <w:rFonts w:ascii="Times New Roman" w:hAnsi="Times New Roman" w:cs="Times New Roman"/>
                                <w:sz w:val="20"/>
                                <w:szCs w:val="20"/>
                                <w:lang w:val="es-ES_tradnl"/>
                              </w:rPr>
                              <w:t>p</w:t>
                            </w:r>
                            <w:r w:rsidRPr="00BC3D7C" w:rsidR="00650063">
                              <w:rPr>
                                <w:rFonts w:ascii="Times New Roman" w:hAnsi="Times New Roman" w:cs="Times New Roman"/>
                                <w:sz w:val="20"/>
                                <w:szCs w:val="20"/>
                                <w:lang w:val="es-ES_tradnl"/>
                              </w:rPr>
                              <w:t xml:space="preserve">rimer </w:t>
                            </w:r>
                            <w:r w:rsidR="00650063">
                              <w:rPr>
                                <w:rFonts w:ascii="Times New Roman" w:hAnsi="Times New Roman" w:cs="Times New Roman"/>
                                <w:sz w:val="20"/>
                                <w:szCs w:val="20"/>
                                <w:lang w:val="es-ES_tradnl"/>
                              </w:rPr>
                              <w:t>préstamo</w:t>
                            </w:r>
                            <w:r w:rsidRPr="00BC3D7C" w:rsidR="00650063">
                              <w:rPr>
                                <w:rFonts w:ascii="Times New Roman" w:hAnsi="Times New Roman" w:cs="Times New Roman"/>
                                <w:sz w:val="20"/>
                                <w:szCs w:val="20"/>
                                <w:lang w:val="es-CO"/>
                              </w:rPr>
                              <w:t xml:space="preserve"> </w:t>
                            </w:r>
                            <w:r w:rsidR="00650063">
                              <w:rPr>
                                <w:rFonts w:ascii="Times New Roman" w:hAnsi="Times New Roman" w:cs="Times New Roman"/>
                                <w:sz w:val="20"/>
                                <w:szCs w:val="20"/>
                                <w:lang w:val="es-CO"/>
                              </w:rPr>
                              <w:t>p</w:t>
                            </w:r>
                            <w:r w:rsidRPr="00BC3D7C" w:rsidR="00650063">
                              <w:rPr>
                                <w:rFonts w:ascii="Times New Roman" w:hAnsi="Times New Roman" w:cs="Times New Roman"/>
                                <w:sz w:val="20"/>
                                <w:szCs w:val="20"/>
                                <w:lang w:val="es-CO"/>
                              </w:rPr>
                              <w:t>rogramático de Reformas de</w:t>
                            </w:r>
                            <w:r w:rsidR="00650063">
                              <w:rPr>
                                <w:rFonts w:ascii="Times New Roman" w:hAnsi="Times New Roman" w:cs="Times New Roman"/>
                                <w:sz w:val="20"/>
                                <w:szCs w:val="20"/>
                                <w:lang w:val="es-CO"/>
                              </w:rPr>
                              <w:t xml:space="preserve"> </w:t>
                            </w:r>
                            <w:r w:rsidRPr="00BC3D7C" w:rsidR="00650063">
                              <w:rPr>
                                <w:rFonts w:ascii="Times New Roman" w:hAnsi="Times New Roman" w:cs="Times New Roman"/>
                                <w:sz w:val="20"/>
                                <w:szCs w:val="20"/>
                                <w:lang w:val="es-CO"/>
                              </w:rPr>
                              <w:t>Política (PBP)</w:t>
                            </w:r>
                            <w:r>
                              <w:rPr>
                                <w:rFonts w:ascii="Times New Roman" w:hAnsi="Times New Roman" w:cs="Times New Roman"/>
                                <w:sz w:val="20"/>
                                <w:szCs w:val="20"/>
                                <w:lang w:val="es-ES"/>
                              </w:rPr>
                              <w:t xml:space="preserve"> enfocados en la mejora </w:t>
                            </w:r>
                            <w:r w:rsidRPr="007065D5">
                              <w:rPr>
                                <w:rFonts w:ascii="Times New Roman" w:hAnsi="Times New Roman" w:cs="Times New Roman"/>
                                <w:sz w:val="20"/>
                                <w:szCs w:val="20"/>
                                <w:lang w:val="es-ES"/>
                              </w:rPr>
                              <w:t>de la competitividad</w:t>
                            </w:r>
                            <w:r>
                              <w:rPr>
                                <w:rFonts w:ascii="Times New Roman" w:hAnsi="Times New Roman" w:cs="Times New Roman"/>
                                <w:sz w:val="20"/>
                                <w:szCs w:val="20"/>
                                <w:lang w:val="es-ES"/>
                              </w:rPr>
                              <w:t xml:space="preserve"> sectorial. El </w:t>
                            </w:r>
                            <w:r w:rsidRPr="007065D5">
                              <w:rPr>
                                <w:rFonts w:ascii="Times New Roman" w:hAnsi="Times New Roman" w:cs="Times New Roman"/>
                                <w:sz w:val="20"/>
                                <w:szCs w:val="20"/>
                                <w:lang w:val="es-ES"/>
                              </w:rPr>
                              <w:t xml:space="preserve">Programa de Reformas del Sector Transporte y Logística de </w:t>
                            </w:r>
                            <w:r w:rsidR="00650063">
                              <w:rPr>
                                <w:rFonts w:ascii="Times New Roman" w:hAnsi="Times New Roman" w:cs="Times New Roman"/>
                                <w:sz w:val="20"/>
                                <w:szCs w:val="20"/>
                                <w:lang w:val="es-ES"/>
                              </w:rPr>
                              <w:t>Cargas de Honduras (HO-L1198)</w:t>
                            </w:r>
                            <w:r>
                              <w:rPr>
                                <w:rFonts w:ascii="Times New Roman" w:hAnsi="Times New Roman" w:cs="Times New Roman"/>
                                <w:sz w:val="20"/>
                                <w:szCs w:val="20"/>
                                <w:lang w:val="es-ES"/>
                              </w:rPr>
                              <w:t>, tiene por objetivo</w:t>
                            </w:r>
                            <w:r w:rsidRPr="001D2271">
                              <w:rPr>
                                <w:rFonts w:ascii="Times New Roman" w:hAnsi="Times New Roman" w:cs="Times New Roman"/>
                                <w:sz w:val="20"/>
                                <w:szCs w:val="20"/>
                                <w:lang w:val="es-ES"/>
                              </w:rPr>
                              <w:t xml:space="preserve"> </w:t>
                            </w:r>
                            <w:r w:rsidRPr="0095048D">
                              <w:rPr>
                                <w:rFonts w:ascii="Times New Roman" w:hAnsi="Times New Roman" w:cs="Times New Roman"/>
                                <w:sz w:val="20"/>
                                <w:szCs w:val="20"/>
                                <w:lang w:val="es-ES"/>
                              </w:rPr>
                              <w:t xml:space="preserve">contribuir a la mejora de la </w:t>
                            </w:r>
                            <w:r>
                              <w:rPr>
                                <w:rFonts w:ascii="Times New Roman" w:hAnsi="Times New Roman" w:cs="Times New Roman"/>
                                <w:sz w:val="20"/>
                                <w:szCs w:val="20"/>
                                <w:lang w:val="es-ES"/>
                              </w:rPr>
                              <w:t>competitividad</w:t>
                            </w:r>
                            <w:r w:rsidRPr="0095048D">
                              <w:rPr>
                                <w:rFonts w:ascii="Times New Roman" w:hAnsi="Times New Roman" w:cs="Times New Roman"/>
                                <w:sz w:val="20"/>
                                <w:szCs w:val="20"/>
                                <w:lang w:val="es-ES"/>
                              </w:rPr>
                              <w:t xml:space="preserve"> y la integración </w:t>
                            </w:r>
                            <w:r>
                              <w:rPr>
                                <w:rFonts w:ascii="Times New Roman" w:hAnsi="Times New Roman" w:cs="Times New Roman"/>
                                <w:sz w:val="20"/>
                                <w:szCs w:val="20"/>
                                <w:lang w:val="es-ES"/>
                              </w:rPr>
                              <w:t xml:space="preserve">regional </w:t>
                            </w:r>
                            <w:r w:rsidRPr="0095048D">
                              <w:rPr>
                                <w:rFonts w:ascii="Times New Roman" w:hAnsi="Times New Roman" w:cs="Times New Roman"/>
                                <w:sz w:val="20"/>
                                <w:szCs w:val="20"/>
                                <w:lang w:val="es-ES"/>
                              </w:rPr>
                              <w:t xml:space="preserve">mediante </w:t>
                            </w:r>
                            <w:r>
                              <w:rPr>
                                <w:rFonts w:ascii="Times New Roman" w:hAnsi="Times New Roman" w:cs="Times New Roman"/>
                                <w:sz w:val="20"/>
                                <w:szCs w:val="20"/>
                                <w:lang w:val="es-ES"/>
                              </w:rPr>
                              <w:t>el fortalecimiento institucional, legal y regulatorio</w:t>
                            </w:r>
                            <w:r w:rsidR="00050010">
                              <w:rPr>
                                <w:rFonts w:ascii="Times New Roman" w:hAnsi="Times New Roman" w:cs="Times New Roman"/>
                                <w:sz w:val="20"/>
                                <w:szCs w:val="20"/>
                                <w:lang w:val="es-ES"/>
                              </w:rPr>
                              <w:t xml:space="preserve"> del sector de logística de cargas</w:t>
                            </w:r>
                            <w:r w:rsidR="004F1111">
                              <w:rPr>
                                <w:rFonts w:ascii="Times New Roman" w:hAnsi="Times New Roman" w:cs="Times New Roman"/>
                                <w:sz w:val="20"/>
                                <w:szCs w:val="20"/>
                                <w:lang w:val="es-ES"/>
                              </w:rPr>
                              <w:t xml:space="preserve"> y la facilitación comercial</w:t>
                            </w:r>
                            <w:r>
                              <w:rPr>
                                <w:rFonts w:ascii="Times New Roman" w:hAnsi="Times New Roman" w:cs="Times New Roman"/>
                                <w:sz w:val="20"/>
                                <w:szCs w:val="20"/>
                                <w:lang w:val="es-ES"/>
                              </w:rPr>
                              <w:t>.</w:t>
                            </w:r>
                            <w:r w:rsidRPr="00F67EAF" w:rsidR="00F67EAF">
                              <w:rPr>
                                <w:rFonts w:ascii="Times New Roman" w:hAnsi="Times New Roman" w:cs="Times New Roman"/>
                                <w:sz w:val="20"/>
                                <w:szCs w:val="20"/>
                                <w:lang w:val="es-ES"/>
                              </w:rPr>
                              <w:t xml:space="preserve"> </w:t>
                            </w:r>
                            <w:r w:rsidR="00F67EAF">
                              <w:rPr>
                                <w:rFonts w:ascii="Times New Roman" w:hAnsi="Times New Roman" w:cs="Times New Roman"/>
                                <w:sz w:val="20"/>
                                <w:szCs w:val="20"/>
                                <w:lang w:val="es-ES"/>
                              </w:rPr>
                              <w:t>Se espera que el programa tenga efectos tanto a nivel microeconómico como a nivel macro-global</w:t>
                            </w:r>
                            <w:r w:rsidR="00836AAE">
                              <w:rPr>
                                <w:rFonts w:ascii="Times New Roman" w:hAnsi="Times New Roman" w:cs="Times New Roman"/>
                                <w:sz w:val="20"/>
                                <w:szCs w:val="20"/>
                                <w:lang w:val="es-ES"/>
                              </w:rPr>
                              <w:t>, c</w:t>
                            </w:r>
                            <w:r w:rsidR="00F47DD8">
                              <w:rPr>
                                <w:rFonts w:ascii="Times New Roman" w:hAnsi="Times New Roman" w:cs="Times New Roman"/>
                                <w:sz w:val="20"/>
                                <w:szCs w:val="20"/>
                                <w:lang w:val="es-ES"/>
                              </w:rPr>
                              <w:t xml:space="preserve">oncretamente, </w:t>
                            </w:r>
                            <w:r w:rsidRPr="00F47DD8" w:rsidR="00F47DD8">
                              <w:rPr>
                                <w:rFonts w:ascii="Times New Roman" w:hAnsi="Times New Roman" w:cs="Times New Roman"/>
                                <w:sz w:val="20"/>
                                <w:szCs w:val="20"/>
                                <w:lang w:val="es-ES"/>
                              </w:rPr>
                              <w:t xml:space="preserve">de acuerdo a la Matriz de Resultados de la operación, </w:t>
                            </w:r>
                            <w:r w:rsidR="004F1111">
                              <w:rPr>
                                <w:rFonts w:ascii="Times New Roman" w:hAnsi="Times New Roman" w:cs="Times New Roman"/>
                                <w:sz w:val="20"/>
                                <w:szCs w:val="20"/>
                                <w:lang w:val="es-ES"/>
                              </w:rPr>
                              <w:t xml:space="preserve">las medidas de política promovidas por el PBL, </w:t>
                            </w:r>
                            <w:r w:rsidRPr="00F47DD8" w:rsidR="00F47DD8">
                              <w:rPr>
                                <w:rFonts w:ascii="Times New Roman" w:hAnsi="Times New Roman" w:cs="Times New Roman"/>
                                <w:sz w:val="20"/>
                                <w:szCs w:val="20"/>
                                <w:lang w:val="es-ES"/>
                              </w:rPr>
                              <w:t xml:space="preserve">impactarán positivamente en la integración regional y global a través de la reducción de los tiempos </w:t>
                            </w:r>
                            <w:r w:rsidR="004F1111">
                              <w:rPr>
                                <w:rFonts w:ascii="Times New Roman" w:hAnsi="Times New Roman" w:cs="Times New Roman"/>
                                <w:sz w:val="20"/>
                                <w:szCs w:val="20"/>
                                <w:lang w:val="es-ES"/>
                              </w:rPr>
                              <w:t>de despacho en aduanas</w:t>
                            </w:r>
                            <w:r w:rsidRPr="00F47DD8" w:rsidR="00F47DD8">
                              <w:rPr>
                                <w:rFonts w:ascii="Times New Roman" w:hAnsi="Times New Roman" w:cs="Times New Roman"/>
                                <w:sz w:val="20"/>
                                <w:szCs w:val="20"/>
                                <w:lang w:val="es-ES"/>
                              </w:rPr>
                              <w:t xml:space="preserve"> (</w:t>
                            </w:r>
                            <w:r w:rsidR="00424C20">
                              <w:rPr>
                                <w:rFonts w:ascii="Times New Roman" w:hAnsi="Times New Roman" w:cs="Times New Roman"/>
                                <w:sz w:val="20"/>
                                <w:szCs w:val="20"/>
                                <w:lang w:val="es-ES"/>
                              </w:rPr>
                              <w:t>horas</w:t>
                            </w:r>
                            <w:r w:rsidRPr="00F47DD8" w:rsidR="00F47DD8">
                              <w:rPr>
                                <w:rFonts w:ascii="Times New Roman" w:hAnsi="Times New Roman" w:cs="Times New Roman"/>
                                <w:sz w:val="20"/>
                                <w:szCs w:val="20"/>
                                <w:lang w:val="es-ES"/>
                              </w:rPr>
                              <w:t>)</w:t>
                            </w:r>
                            <w:r w:rsidR="00AE6047">
                              <w:rPr>
                                <w:rFonts w:ascii="Times New Roman" w:hAnsi="Times New Roman" w:cs="Times New Roman"/>
                                <w:sz w:val="20"/>
                                <w:szCs w:val="20"/>
                                <w:lang w:val="es-ES"/>
                              </w:rPr>
                              <w:t xml:space="preserve"> en aproximadamente 60%</w:t>
                            </w:r>
                            <w:r w:rsidRPr="00F47DD8" w:rsidR="00F47DD8">
                              <w:rPr>
                                <w:rFonts w:ascii="Times New Roman" w:hAnsi="Times New Roman" w:cs="Times New Roman"/>
                                <w:sz w:val="20"/>
                                <w:szCs w:val="20"/>
                                <w:lang w:val="es-ES"/>
                              </w:rPr>
                              <w:t xml:space="preserve"> </w:t>
                            </w:r>
                            <w:r w:rsidR="00FC51A3">
                              <w:rPr>
                                <w:rFonts w:ascii="Times New Roman" w:hAnsi="Times New Roman" w:cs="Times New Roman"/>
                                <w:sz w:val="20"/>
                                <w:szCs w:val="20"/>
                                <w:lang w:val="es-ES"/>
                              </w:rPr>
                              <w:t>fundamentada tanto por la mejora de la coordinación interinstitucional en la logística de carga como por la mejora en los procesos de comercio</w:t>
                            </w:r>
                            <w:r w:rsidR="00B10FC3">
                              <w:rPr>
                                <w:rFonts w:ascii="Times New Roman" w:hAnsi="Times New Roman" w:cs="Times New Roman"/>
                                <w:sz w:val="20"/>
                                <w:szCs w:val="20"/>
                                <w:lang w:val="es-ES"/>
                              </w:rPr>
                              <w:t xml:space="preserve"> </w:t>
                            </w:r>
                            <w:r w:rsidR="00FC51A3">
                              <w:rPr>
                                <w:rFonts w:ascii="Times New Roman" w:hAnsi="Times New Roman" w:cs="Times New Roman"/>
                                <w:sz w:val="20"/>
                                <w:szCs w:val="20"/>
                                <w:lang w:val="es-ES"/>
                              </w:rPr>
                              <w:t xml:space="preserve">exterior.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4FC7DF5">
                <v:stroke joinstyle="miter"/>
                <v:path gradientshapeok="t" o:connecttype="rect"/>
              </v:shapetype>
              <v:shape id="Text Box 1" style="position:absolute;left:0;text-align:left;margin-left:0;margin-top:13.7pt;width:471.75pt;height:262.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">
                <v:textbox>
                  <w:txbxContent>
                    <w:p w:rsidRPr="00022B77" w:rsidR="00E55246" w:rsidP="00552540" w:rsidRDefault="00E55246" w14:paraId="5E860797" w14:textId="77777777">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rsidRPr="008D7838" w:rsidR="00E55246" w:rsidP="00552540" w:rsidRDefault="00E55246" w14:paraId="56DE21F1" w14:textId="77777777">
                      <w:pPr>
                        <w:keepNext/>
                        <w:keepLines/>
                        <w:spacing w:after="0"/>
                        <w:jc w:val="both"/>
                        <w:outlineLvl w:val="1"/>
                        <w:rPr>
                          <w:rFonts w:ascii="Times New Roman" w:hAnsi="Times New Roman"/>
                          <w:sz w:val="21"/>
                          <w:szCs w:val="21"/>
                          <w:lang w:val="es-ES_tradnl"/>
                        </w:rPr>
                      </w:pPr>
                    </w:p>
                    <w:p w:rsidR="0026534F" w:rsidP="00507DC7" w:rsidRDefault="00E55246" w14:paraId="22C8FE95" w14:textId="77777777">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E</w:t>
                      </w:r>
                      <w:r w:rsidRPr="00D768CA">
                        <w:rPr>
                          <w:rFonts w:ascii="Times New Roman" w:hAnsi="Times New Roman" w:cs="Times New Roman"/>
                          <w:sz w:val="20"/>
                          <w:szCs w:val="20"/>
                          <w:lang w:val="es-ES"/>
                        </w:rPr>
                        <w:t xml:space="preserve">l desempeño logístico de </w:t>
                      </w:r>
                      <w:r w:rsidR="00762E3F">
                        <w:rPr>
                          <w:rFonts w:ascii="Times New Roman" w:hAnsi="Times New Roman" w:cs="Times New Roman"/>
                          <w:sz w:val="20"/>
                          <w:szCs w:val="20"/>
                          <w:lang w:val="es-ES"/>
                        </w:rPr>
                        <w:t>Honduras</w:t>
                      </w:r>
                      <w:r w:rsidRPr="00D768CA">
                        <w:rPr>
                          <w:rFonts w:ascii="Times New Roman" w:hAnsi="Times New Roman" w:cs="Times New Roman"/>
                          <w:sz w:val="20"/>
                          <w:szCs w:val="20"/>
                          <w:lang w:val="es-ES"/>
                        </w:rPr>
                        <w:t xml:space="preserve"> es relevante </w:t>
                      </w:r>
                      <w:r w:rsidR="000E6ACC">
                        <w:rPr>
                          <w:rFonts w:ascii="Times New Roman" w:hAnsi="Times New Roman" w:cs="Times New Roman"/>
                          <w:sz w:val="20"/>
                          <w:szCs w:val="20"/>
                          <w:lang w:val="es-ES"/>
                        </w:rPr>
                        <w:t>a nivel global</w:t>
                      </w:r>
                      <w:r w:rsidRPr="00D768CA">
                        <w:rPr>
                          <w:rFonts w:ascii="Times New Roman" w:hAnsi="Times New Roman" w:cs="Times New Roman"/>
                          <w:sz w:val="20"/>
                          <w:szCs w:val="20"/>
                          <w:lang w:val="es-ES"/>
                        </w:rPr>
                        <w:t xml:space="preserve"> y constituye un marco de oportunidades para los países vecinos.</w:t>
                      </w:r>
                      <w:r w:rsidR="0026534F">
                        <w:rPr>
                          <w:rFonts w:ascii="Times New Roman" w:hAnsi="Times New Roman" w:cs="Times New Roman"/>
                          <w:sz w:val="20"/>
                          <w:szCs w:val="20"/>
                          <w:lang w:val="es-ES"/>
                        </w:rPr>
                        <w:t xml:space="preserve"> L</w:t>
                      </w:r>
                      <w:r w:rsidRPr="0026534F" w:rsidR="0026534F">
                        <w:rPr>
                          <w:rFonts w:ascii="Times New Roman" w:hAnsi="Times New Roman" w:cs="Times New Roman"/>
                          <w:sz w:val="20"/>
                          <w:szCs w:val="20"/>
                          <w:lang w:val="es-ES"/>
                        </w:rPr>
                        <w:t xml:space="preserve">a estrategia de Honduras en el ámbito logístico presenta retos relacionados </w:t>
                      </w:r>
                      <w:r w:rsidR="0026534F">
                        <w:rPr>
                          <w:rFonts w:ascii="Times New Roman" w:hAnsi="Times New Roman" w:cs="Times New Roman"/>
                          <w:sz w:val="20"/>
                          <w:szCs w:val="20"/>
                          <w:lang w:val="es-ES"/>
                        </w:rPr>
                        <w:t>a la</w:t>
                      </w:r>
                      <w:r w:rsidR="00050010">
                        <w:rPr>
                          <w:rFonts w:ascii="Times New Roman" w:hAnsi="Times New Roman" w:cs="Times New Roman"/>
                          <w:sz w:val="20"/>
                          <w:szCs w:val="20"/>
                          <w:lang w:val="es-ES"/>
                        </w:rPr>
                        <w:t xml:space="preserve"> necesidad de una mayor</w:t>
                      </w:r>
                      <w:r w:rsidR="0026534F">
                        <w:rPr>
                          <w:rFonts w:ascii="Times New Roman" w:hAnsi="Times New Roman" w:cs="Times New Roman"/>
                          <w:sz w:val="20"/>
                          <w:szCs w:val="20"/>
                          <w:lang w:val="es-ES"/>
                        </w:rPr>
                        <w:t xml:space="preserve"> coordinación interinstitucional a fin de</w:t>
                      </w:r>
                      <w:r w:rsidRPr="0026534F" w:rsidR="0026534F">
                        <w:rPr>
                          <w:rFonts w:ascii="Times New Roman" w:hAnsi="Times New Roman" w:cs="Times New Roman"/>
                          <w:sz w:val="20"/>
                          <w:szCs w:val="20"/>
                          <w:lang w:val="es-ES"/>
                        </w:rPr>
                        <w:t xml:space="preserve"> seguir desarrollando las principales zonas de relevancia logística como lo es el Conglomerado Logístico del Norte y su conexión con los principales nodos productivos de San Pedro Sula y Tegucigalpa</w:t>
                      </w:r>
                      <w:r w:rsidR="00050010">
                        <w:rPr>
                          <w:rFonts w:ascii="Times New Roman" w:hAnsi="Times New Roman" w:cs="Times New Roman"/>
                          <w:sz w:val="20"/>
                          <w:szCs w:val="20"/>
                          <w:lang w:val="es-ES"/>
                        </w:rPr>
                        <w:t xml:space="preserve"> con una visión integral y de largo plazo</w:t>
                      </w:r>
                      <w:r w:rsidRPr="0026534F" w:rsidR="0026534F">
                        <w:rPr>
                          <w:rFonts w:ascii="Times New Roman" w:hAnsi="Times New Roman" w:cs="Times New Roman"/>
                          <w:sz w:val="20"/>
                          <w:szCs w:val="20"/>
                          <w:lang w:val="es-ES"/>
                        </w:rPr>
                        <w:t>. Adicionalmente existe un enfoque claro en mejorar el funcionamiento de todo el sistema logístico</w:t>
                      </w:r>
                      <w:r w:rsidR="00050010">
                        <w:rPr>
                          <w:rFonts w:ascii="Times New Roman" w:hAnsi="Times New Roman" w:cs="Times New Roman"/>
                          <w:sz w:val="20"/>
                          <w:szCs w:val="20"/>
                          <w:lang w:val="es-ES"/>
                        </w:rPr>
                        <w:t xml:space="preserve"> que incluye la</w:t>
                      </w:r>
                      <w:r w:rsidRPr="0026534F" w:rsidR="0026534F">
                        <w:rPr>
                          <w:rFonts w:ascii="Times New Roman" w:hAnsi="Times New Roman" w:cs="Times New Roman"/>
                          <w:sz w:val="20"/>
                          <w:szCs w:val="20"/>
                          <w:lang w:val="es-ES"/>
                        </w:rPr>
                        <w:t xml:space="preserve"> mejora en la conectividad global, integración de procesos y sistemas, fluidez de transporte, marco jurídico y fiscal adecuado y buen entorno o clima de negocios. Todo lo anterior, enfocado a consolidar </w:t>
                      </w:r>
                      <w:r w:rsidR="00B10FC3">
                        <w:rPr>
                          <w:rFonts w:ascii="Times New Roman" w:hAnsi="Times New Roman" w:cs="Times New Roman"/>
                          <w:sz w:val="20"/>
                          <w:szCs w:val="20"/>
                          <w:lang w:val="es-ES"/>
                        </w:rPr>
                        <w:t xml:space="preserve">a Honduras como </w:t>
                      </w:r>
                      <w:r w:rsidRPr="0026534F" w:rsidR="0026534F">
                        <w:rPr>
                          <w:rFonts w:ascii="Times New Roman" w:hAnsi="Times New Roman" w:cs="Times New Roman"/>
                          <w:sz w:val="20"/>
                          <w:szCs w:val="20"/>
                          <w:lang w:val="es-ES"/>
                        </w:rPr>
                        <w:t xml:space="preserve">un </w:t>
                      </w:r>
                      <w:proofErr w:type="spellStart"/>
                      <w:r w:rsidRPr="00762E3F" w:rsidR="0026534F">
                        <w:rPr>
                          <w:rFonts w:ascii="Times New Roman" w:hAnsi="Times New Roman" w:cs="Times New Roman"/>
                          <w:i/>
                          <w:sz w:val="20"/>
                          <w:szCs w:val="20"/>
                          <w:lang w:val="es-ES"/>
                        </w:rPr>
                        <w:t>hub</w:t>
                      </w:r>
                      <w:proofErr w:type="spellEnd"/>
                      <w:r w:rsidRPr="0026534F" w:rsidR="0026534F">
                        <w:rPr>
                          <w:rFonts w:ascii="Times New Roman" w:hAnsi="Times New Roman" w:cs="Times New Roman"/>
                          <w:sz w:val="20"/>
                          <w:szCs w:val="20"/>
                          <w:lang w:val="es-ES"/>
                        </w:rPr>
                        <w:t xml:space="preserve"> regional de cara al mercado </w:t>
                      </w:r>
                      <w:r w:rsidR="00762E3F">
                        <w:rPr>
                          <w:rFonts w:ascii="Times New Roman" w:hAnsi="Times New Roman" w:cs="Times New Roman"/>
                          <w:sz w:val="20"/>
                          <w:szCs w:val="20"/>
                          <w:lang w:val="es-ES"/>
                        </w:rPr>
                        <w:t xml:space="preserve">regional y </w:t>
                      </w:r>
                      <w:r w:rsidRPr="0026534F" w:rsidR="0026534F">
                        <w:rPr>
                          <w:rFonts w:ascii="Times New Roman" w:hAnsi="Times New Roman" w:cs="Times New Roman"/>
                          <w:sz w:val="20"/>
                          <w:szCs w:val="20"/>
                          <w:lang w:val="es-ES"/>
                        </w:rPr>
                        <w:t>global</w:t>
                      </w:r>
                      <w:r w:rsidR="00B10FC3">
                        <w:rPr>
                          <w:rFonts w:ascii="Times New Roman" w:hAnsi="Times New Roman" w:cs="Times New Roman"/>
                          <w:sz w:val="20"/>
                          <w:szCs w:val="20"/>
                          <w:lang w:val="es-ES"/>
                        </w:rPr>
                        <w:t xml:space="preserve"> con principal </w:t>
                      </w:r>
                      <w:r w:rsidR="00836AAE">
                        <w:rPr>
                          <w:rFonts w:ascii="Times New Roman" w:hAnsi="Times New Roman" w:cs="Times New Roman"/>
                          <w:sz w:val="20"/>
                          <w:szCs w:val="20"/>
                          <w:lang w:val="es-ES"/>
                        </w:rPr>
                        <w:t xml:space="preserve">enfoque y </w:t>
                      </w:r>
                      <w:r w:rsidR="00B10FC3">
                        <w:rPr>
                          <w:rFonts w:ascii="Times New Roman" w:hAnsi="Times New Roman" w:cs="Times New Roman"/>
                          <w:sz w:val="20"/>
                          <w:szCs w:val="20"/>
                          <w:lang w:val="es-ES"/>
                        </w:rPr>
                        <w:t>ventaja comparativa en el litoral del Atlántico por la relevancia comercial que tienen el Puerto Cortés en el tránsito marítimo regional</w:t>
                      </w:r>
                      <w:r w:rsidRPr="0026534F" w:rsidR="0026534F">
                        <w:rPr>
                          <w:rFonts w:ascii="Times New Roman" w:hAnsi="Times New Roman" w:cs="Times New Roman"/>
                          <w:sz w:val="20"/>
                          <w:szCs w:val="20"/>
                          <w:lang w:val="es-ES"/>
                        </w:rPr>
                        <w:t xml:space="preserve">. </w:t>
                      </w:r>
                    </w:p>
                    <w:p w:rsidRPr="00EE04A7" w:rsidR="00EE04A7" w:rsidP="001D2271" w:rsidRDefault="00E55246" w14:paraId="13DB606A" w14:textId="0AFAB156">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La operación objeto de análisis, es </w:t>
                      </w:r>
                      <w:r w:rsidR="00650063">
                        <w:rPr>
                          <w:rFonts w:ascii="Times New Roman" w:hAnsi="Times New Roman" w:cs="Times New Roman"/>
                          <w:sz w:val="20"/>
                          <w:szCs w:val="20"/>
                          <w:lang w:val="es-ES_tradnl"/>
                        </w:rPr>
                        <w:t>p</w:t>
                      </w:r>
                      <w:r w:rsidRPr="00BC3D7C" w:rsidR="00650063">
                        <w:rPr>
                          <w:rFonts w:ascii="Times New Roman" w:hAnsi="Times New Roman" w:cs="Times New Roman"/>
                          <w:sz w:val="20"/>
                          <w:szCs w:val="20"/>
                          <w:lang w:val="es-ES_tradnl"/>
                        </w:rPr>
                        <w:t xml:space="preserve">rimer </w:t>
                      </w:r>
                      <w:r w:rsidR="00650063">
                        <w:rPr>
                          <w:rFonts w:ascii="Times New Roman" w:hAnsi="Times New Roman" w:cs="Times New Roman"/>
                          <w:sz w:val="20"/>
                          <w:szCs w:val="20"/>
                          <w:lang w:val="es-ES_tradnl"/>
                        </w:rPr>
                        <w:t>préstamo</w:t>
                      </w:r>
                      <w:r w:rsidRPr="00BC3D7C" w:rsidR="00650063">
                        <w:rPr>
                          <w:rFonts w:ascii="Times New Roman" w:hAnsi="Times New Roman" w:cs="Times New Roman"/>
                          <w:sz w:val="20"/>
                          <w:szCs w:val="20"/>
                          <w:lang w:val="es-CO"/>
                        </w:rPr>
                        <w:t xml:space="preserve"> </w:t>
                      </w:r>
                      <w:r w:rsidR="00650063">
                        <w:rPr>
                          <w:rFonts w:ascii="Times New Roman" w:hAnsi="Times New Roman" w:cs="Times New Roman"/>
                          <w:sz w:val="20"/>
                          <w:szCs w:val="20"/>
                          <w:lang w:val="es-CO"/>
                        </w:rPr>
                        <w:t>p</w:t>
                      </w:r>
                      <w:r w:rsidRPr="00BC3D7C" w:rsidR="00650063">
                        <w:rPr>
                          <w:rFonts w:ascii="Times New Roman" w:hAnsi="Times New Roman" w:cs="Times New Roman"/>
                          <w:sz w:val="20"/>
                          <w:szCs w:val="20"/>
                          <w:lang w:val="es-CO"/>
                        </w:rPr>
                        <w:t>rogramático de Reformas de</w:t>
                      </w:r>
                      <w:r w:rsidR="00650063">
                        <w:rPr>
                          <w:rFonts w:ascii="Times New Roman" w:hAnsi="Times New Roman" w:cs="Times New Roman"/>
                          <w:sz w:val="20"/>
                          <w:szCs w:val="20"/>
                          <w:lang w:val="es-CO"/>
                        </w:rPr>
                        <w:t xml:space="preserve"> </w:t>
                      </w:r>
                      <w:r w:rsidRPr="00BC3D7C" w:rsidR="00650063">
                        <w:rPr>
                          <w:rFonts w:ascii="Times New Roman" w:hAnsi="Times New Roman" w:cs="Times New Roman"/>
                          <w:sz w:val="20"/>
                          <w:szCs w:val="20"/>
                          <w:lang w:val="es-CO"/>
                        </w:rPr>
                        <w:t>Política (PBP)</w:t>
                      </w:r>
                      <w:r>
                        <w:rPr>
                          <w:rFonts w:ascii="Times New Roman" w:hAnsi="Times New Roman" w:cs="Times New Roman"/>
                          <w:sz w:val="20"/>
                          <w:szCs w:val="20"/>
                          <w:lang w:val="es-ES"/>
                        </w:rPr>
                        <w:t xml:space="preserve"> enfocados en la mejora </w:t>
                      </w:r>
                      <w:r w:rsidRPr="007065D5">
                        <w:rPr>
                          <w:rFonts w:ascii="Times New Roman" w:hAnsi="Times New Roman" w:cs="Times New Roman"/>
                          <w:sz w:val="20"/>
                          <w:szCs w:val="20"/>
                          <w:lang w:val="es-ES"/>
                        </w:rPr>
                        <w:t>de la competitividad</w:t>
                      </w:r>
                      <w:r>
                        <w:rPr>
                          <w:rFonts w:ascii="Times New Roman" w:hAnsi="Times New Roman" w:cs="Times New Roman"/>
                          <w:sz w:val="20"/>
                          <w:szCs w:val="20"/>
                          <w:lang w:val="es-ES"/>
                        </w:rPr>
                        <w:t xml:space="preserve"> sectorial. El </w:t>
                      </w:r>
                      <w:r w:rsidRPr="007065D5">
                        <w:rPr>
                          <w:rFonts w:ascii="Times New Roman" w:hAnsi="Times New Roman" w:cs="Times New Roman"/>
                          <w:sz w:val="20"/>
                          <w:szCs w:val="20"/>
                          <w:lang w:val="es-ES"/>
                        </w:rPr>
                        <w:t xml:space="preserve">Programa de Reformas del Sector Transporte y Logística de </w:t>
                      </w:r>
                      <w:r w:rsidR="00650063">
                        <w:rPr>
                          <w:rFonts w:ascii="Times New Roman" w:hAnsi="Times New Roman" w:cs="Times New Roman"/>
                          <w:sz w:val="20"/>
                          <w:szCs w:val="20"/>
                          <w:lang w:val="es-ES"/>
                        </w:rPr>
                        <w:t>Cargas de Honduras (HO-L1198)</w:t>
                      </w:r>
                      <w:r>
                        <w:rPr>
                          <w:rFonts w:ascii="Times New Roman" w:hAnsi="Times New Roman" w:cs="Times New Roman"/>
                          <w:sz w:val="20"/>
                          <w:szCs w:val="20"/>
                          <w:lang w:val="es-ES"/>
                        </w:rPr>
                        <w:t>, tiene por objetivo</w:t>
                      </w:r>
                      <w:r w:rsidRPr="001D2271">
                        <w:rPr>
                          <w:rFonts w:ascii="Times New Roman" w:hAnsi="Times New Roman" w:cs="Times New Roman"/>
                          <w:sz w:val="20"/>
                          <w:szCs w:val="20"/>
                          <w:lang w:val="es-ES"/>
                        </w:rPr>
                        <w:t xml:space="preserve"> </w:t>
                      </w:r>
                      <w:r w:rsidRPr="0095048D">
                        <w:rPr>
                          <w:rFonts w:ascii="Times New Roman" w:hAnsi="Times New Roman" w:cs="Times New Roman"/>
                          <w:sz w:val="20"/>
                          <w:szCs w:val="20"/>
                          <w:lang w:val="es-ES"/>
                        </w:rPr>
                        <w:t xml:space="preserve">contribuir a la mejora de la </w:t>
                      </w:r>
                      <w:r>
                        <w:rPr>
                          <w:rFonts w:ascii="Times New Roman" w:hAnsi="Times New Roman" w:cs="Times New Roman"/>
                          <w:sz w:val="20"/>
                          <w:szCs w:val="20"/>
                          <w:lang w:val="es-ES"/>
                        </w:rPr>
                        <w:t>competitividad</w:t>
                      </w:r>
                      <w:r w:rsidRPr="0095048D">
                        <w:rPr>
                          <w:rFonts w:ascii="Times New Roman" w:hAnsi="Times New Roman" w:cs="Times New Roman"/>
                          <w:sz w:val="20"/>
                          <w:szCs w:val="20"/>
                          <w:lang w:val="es-ES"/>
                        </w:rPr>
                        <w:t xml:space="preserve"> y la integración </w:t>
                      </w:r>
                      <w:r>
                        <w:rPr>
                          <w:rFonts w:ascii="Times New Roman" w:hAnsi="Times New Roman" w:cs="Times New Roman"/>
                          <w:sz w:val="20"/>
                          <w:szCs w:val="20"/>
                          <w:lang w:val="es-ES"/>
                        </w:rPr>
                        <w:t xml:space="preserve">regional </w:t>
                      </w:r>
                      <w:r w:rsidRPr="0095048D">
                        <w:rPr>
                          <w:rFonts w:ascii="Times New Roman" w:hAnsi="Times New Roman" w:cs="Times New Roman"/>
                          <w:sz w:val="20"/>
                          <w:szCs w:val="20"/>
                          <w:lang w:val="es-ES"/>
                        </w:rPr>
                        <w:t xml:space="preserve">mediante </w:t>
                      </w:r>
                      <w:r>
                        <w:rPr>
                          <w:rFonts w:ascii="Times New Roman" w:hAnsi="Times New Roman" w:cs="Times New Roman"/>
                          <w:sz w:val="20"/>
                          <w:szCs w:val="20"/>
                          <w:lang w:val="es-ES"/>
                        </w:rPr>
                        <w:t>el fortalecimiento institucional, legal y regulatorio</w:t>
                      </w:r>
                      <w:r w:rsidR="00050010">
                        <w:rPr>
                          <w:rFonts w:ascii="Times New Roman" w:hAnsi="Times New Roman" w:cs="Times New Roman"/>
                          <w:sz w:val="20"/>
                          <w:szCs w:val="20"/>
                          <w:lang w:val="es-ES"/>
                        </w:rPr>
                        <w:t xml:space="preserve"> del sector de logística de cargas</w:t>
                      </w:r>
                      <w:r w:rsidR="004F1111">
                        <w:rPr>
                          <w:rFonts w:ascii="Times New Roman" w:hAnsi="Times New Roman" w:cs="Times New Roman"/>
                          <w:sz w:val="20"/>
                          <w:szCs w:val="20"/>
                          <w:lang w:val="es-ES"/>
                        </w:rPr>
                        <w:t xml:space="preserve"> y la facilitación comercial</w:t>
                      </w:r>
                      <w:r>
                        <w:rPr>
                          <w:rFonts w:ascii="Times New Roman" w:hAnsi="Times New Roman" w:cs="Times New Roman"/>
                          <w:sz w:val="20"/>
                          <w:szCs w:val="20"/>
                          <w:lang w:val="es-ES"/>
                        </w:rPr>
                        <w:t>.</w:t>
                      </w:r>
                      <w:r w:rsidRPr="00F67EAF" w:rsidR="00F67EAF">
                        <w:rPr>
                          <w:rFonts w:ascii="Times New Roman" w:hAnsi="Times New Roman" w:cs="Times New Roman"/>
                          <w:sz w:val="20"/>
                          <w:szCs w:val="20"/>
                          <w:lang w:val="es-ES"/>
                        </w:rPr>
                        <w:t xml:space="preserve"> </w:t>
                      </w:r>
                      <w:r w:rsidR="00F67EAF">
                        <w:rPr>
                          <w:rFonts w:ascii="Times New Roman" w:hAnsi="Times New Roman" w:cs="Times New Roman"/>
                          <w:sz w:val="20"/>
                          <w:szCs w:val="20"/>
                          <w:lang w:val="es-ES"/>
                        </w:rPr>
                        <w:t>Se espera que el programa tenga efectos tanto a nivel microeconómico como a nivel macro-global</w:t>
                      </w:r>
                      <w:r w:rsidR="00836AAE">
                        <w:rPr>
                          <w:rFonts w:ascii="Times New Roman" w:hAnsi="Times New Roman" w:cs="Times New Roman"/>
                          <w:sz w:val="20"/>
                          <w:szCs w:val="20"/>
                          <w:lang w:val="es-ES"/>
                        </w:rPr>
                        <w:t>, c</w:t>
                      </w:r>
                      <w:r w:rsidR="00F47DD8">
                        <w:rPr>
                          <w:rFonts w:ascii="Times New Roman" w:hAnsi="Times New Roman" w:cs="Times New Roman"/>
                          <w:sz w:val="20"/>
                          <w:szCs w:val="20"/>
                          <w:lang w:val="es-ES"/>
                        </w:rPr>
                        <w:t xml:space="preserve">oncretamente, </w:t>
                      </w:r>
                      <w:r w:rsidRPr="00F47DD8" w:rsidR="00F47DD8">
                        <w:rPr>
                          <w:rFonts w:ascii="Times New Roman" w:hAnsi="Times New Roman" w:cs="Times New Roman"/>
                          <w:sz w:val="20"/>
                          <w:szCs w:val="20"/>
                          <w:lang w:val="es-ES"/>
                        </w:rPr>
                        <w:t xml:space="preserve">de acuerdo a la Matriz de Resultados de la operación, </w:t>
                      </w:r>
                      <w:r w:rsidR="004F1111">
                        <w:rPr>
                          <w:rFonts w:ascii="Times New Roman" w:hAnsi="Times New Roman" w:cs="Times New Roman"/>
                          <w:sz w:val="20"/>
                          <w:szCs w:val="20"/>
                          <w:lang w:val="es-ES"/>
                        </w:rPr>
                        <w:t xml:space="preserve">las medidas de política promovidas por el PBL, </w:t>
                      </w:r>
                      <w:r w:rsidRPr="00F47DD8" w:rsidR="00F47DD8">
                        <w:rPr>
                          <w:rFonts w:ascii="Times New Roman" w:hAnsi="Times New Roman" w:cs="Times New Roman"/>
                          <w:sz w:val="20"/>
                          <w:szCs w:val="20"/>
                          <w:lang w:val="es-ES"/>
                        </w:rPr>
                        <w:t xml:space="preserve">impactarán positivamente en la integración regional y global a través de la reducción de los tiempos </w:t>
                      </w:r>
                      <w:r w:rsidR="004F1111">
                        <w:rPr>
                          <w:rFonts w:ascii="Times New Roman" w:hAnsi="Times New Roman" w:cs="Times New Roman"/>
                          <w:sz w:val="20"/>
                          <w:szCs w:val="20"/>
                          <w:lang w:val="es-ES"/>
                        </w:rPr>
                        <w:t>de despacho en aduanas</w:t>
                      </w:r>
                      <w:r w:rsidRPr="00F47DD8" w:rsidR="00F47DD8">
                        <w:rPr>
                          <w:rFonts w:ascii="Times New Roman" w:hAnsi="Times New Roman" w:cs="Times New Roman"/>
                          <w:sz w:val="20"/>
                          <w:szCs w:val="20"/>
                          <w:lang w:val="es-ES"/>
                        </w:rPr>
                        <w:t xml:space="preserve"> (</w:t>
                      </w:r>
                      <w:r w:rsidR="00424C20">
                        <w:rPr>
                          <w:rFonts w:ascii="Times New Roman" w:hAnsi="Times New Roman" w:cs="Times New Roman"/>
                          <w:sz w:val="20"/>
                          <w:szCs w:val="20"/>
                          <w:lang w:val="es-ES"/>
                        </w:rPr>
                        <w:t>horas</w:t>
                      </w:r>
                      <w:r w:rsidRPr="00F47DD8" w:rsidR="00F47DD8">
                        <w:rPr>
                          <w:rFonts w:ascii="Times New Roman" w:hAnsi="Times New Roman" w:cs="Times New Roman"/>
                          <w:sz w:val="20"/>
                          <w:szCs w:val="20"/>
                          <w:lang w:val="es-ES"/>
                        </w:rPr>
                        <w:t>)</w:t>
                      </w:r>
                      <w:r w:rsidR="00AE6047">
                        <w:rPr>
                          <w:rFonts w:ascii="Times New Roman" w:hAnsi="Times New Roman" w:cs="Times New Roman"/>
                          <w:sz w:val="20"/>
                          <w:szCs w:val="20"/>
                          <w:lang w:val="es-ES"/>
                        </w:rPr>
                        <w:t xml:space="preserve"> en aproximadamente 60%</w:t>
                      </w:r>
                      <w:r w:rsidRPr="00F47DD8" w:rsidR="00F47DD8">
                        <w:rPr>
                          <w:rFonts w:ascii="Times New Roman" w:hAnsi="Times New Roman" w:cs="Times New Roman"/>
                          <w:sz w:val="20"/>
                          <w:szCs w:val="20"/>
                          <w:lang w:val="es-ES"/>
                        </w:rPr>
                        <w:t xml:space="preserve"> </w:t>
                      </w:r>
                      <w:r w:rsidR="00FC51A3">
                        <w:rPr>
                          <w:rFonts w:ascii="Times New Roman" w:hAnsi="Times New Roman" w:cs="Times New Roman"/>
                          <w:sz w:val="20"/>
                          <w:szCs w:val="20"/>
                          <w:lang w:val="es-ES"/>
                        </w:rPr>
                        <w:t>fundamentada tanto por la mejora de la coordinación interinstitucional en la logística de carga como por la mejora en los procesos de comercio</w:t>
                      </w:r>
                      <w:r w:rsidR="00B10FC3">
                        <w:rPr>
                          <w:rFonts w:ascii="Times New Roman" w:hAnsi="Times New Roman" w:cs="Times New Roman"/>
                          <w:sz w:val="20"/>
                          <w:szCs w:val="20"/>
                          <w:lang w:val="es-ES"/>
                        </w:rPr>
                        <w:t xml:space="preserve"> </w:t>
                      </w:r>
                      <w:r w:rsidR="00FC51A3">
                        <w:rPr>
                          <w:rFonts w:ascii="Times New Roman" w:hAnsi="Times New Roman" w:cs="Times New Roman"/>
                          <w:sz w:val="20"/>
                          <w:szCs w:val="20"/>
                          <w:lang w:val="es-ES"/>
                        </w:rPr>
                        <w:t xml:space="preserve">exterior. </w:t>
                      </w:r>
                    </w:p>
                  </w:txbxContent>
                </v:textbox>
                <w10:wrap anchorx="margin"/>
              </v:shape>
            </w:pict>
          </mc:Fallback>
        </mc:AlternateContent>
      </w:r>
    </w:p>
    <w:p w:rsidRPr="00411DC3" w:rsidR="00552540" w:rsidP="00552540" w:rsidRDefault="00552540" w14:paraId="6A2384F5" w14:textId="77777777">
      <w:pPr>
        <w:autoSpaceDE w:val="0"/>
        <w:autoSpaceDN w:val="0"/>
        <w:adjustRightInd w:val="0"/>
        <w:spacing w:after="0" w:line="240" w:lineRule="auto"/>
        <w:rPr>
          <w:rFonts w:ascii="Arial" w:hAnsi="Arial" w:cs="Arial"/>
          <w:lang w:val="es-ES_tradnl"/>
        </w:rPr>
      </w:pPr>
    </w:p>
    <w:p w:rsidRPr="00411DC3" w:rsidR="00552540" w:rsidP="00552540" w:rsidRDefault="00552540" w14:paraId="6FB08C2F" w14:textId="77777777">
      <w:pPr>
        <w:autoSpaceDE w:val="0"/>
        <w:autoSpaceDN w:val="0"/>
        <w:adjustRightInd w:val="0"/>
        <w:spacing w:after="0" w:line="240" w:lineRule="auto"/>
        <w:rPr>
          <w:rFonts w:ascii="Arial" w:hAnsi="Arial" w:cs="Arial"/>
          <w:lang w:val="es-ES_tradnl"/>
        </w:rPr>
      </w:pPr>
    </w:p>
    <w:p w:rsidRPr="00411DC3" w:rsidR="00552540" w:rsidP="00552540" w:rsidRDefault="00552540" w14:paraId="62FED777"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659CDBC0"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4DA747B1"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25761D35"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3F4B2DCE"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4229107A"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3C69ED97"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46CC8875"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2F9BB8BC"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040AE209"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308E2FAA"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59C74FAB"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4E4834D4"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431F7D76"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2A1CE68B"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31C531B2"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75105346"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0E57ADED" w14:textId="77777777">
      <w:pPr>
        <w:autoSpaceDE w:val="0"/>
        <w:autoSpaceDN w:val="0"/>
        <w:adjustRightInd w:val="0"/>
        <w:spacing w:after="0" w:line="240" w:lineRule="auto"/>
        <w:rPr>
          <w:rFonts w:ascii="Arial" w:hAnsi="Arial" w:cs="Arial"/>
          <w:lang w:val="es-ES_tradnl"/>
        </w:rPr>
      </w:pPr>
    </w:p>
    <w:p w:rsidRPr="00411DC3" w:rsidR="00FC51A3" w:rsidP="00552540" w:rsidRDefault="00FC51A3" w14:paraId="54B81C90" w14:textId="77777777">
      <w:pPr>
        <w:autoSpaceDE w:val="0"/>
        <w:autoSpaceDN w:val="0"/>
        <w:adjustRightInd w:val="0"/>
        <w:spacing w:after="0" w:line="240" w:lineRule="auto"/>
        <w:rPr>
          <w:rFonts w:ascii="Arial" w:hAnsi="Arial" w:cs="Arial"/>
          <w:lang w:val="es-ES_tradnl"/>
        </w:rPr>
      </w:pPr>
    </w:p>
    <w:p w:rsidRPr="00411DC3" w:rsidR="00FC51A3" w:rsidP="00552540" w:rsidRDefault="00FC51A3" w14:paraId="362C9462" w14:textId="77777777">
      <w:pPr>
        <w:autoSpaceDE w:val="0"/>
        <w:autoSpaceDN w:val="0"/>
        <w:adjustRightInd w:val="0"/>
        <w:spacing w:after="0" w:line="240" w:lineRule="auto"/>
        <w:rPr>
          <w:rFonts w:ascii="Arial" w:hAnsi="Arial" w:cs="Arial"/>
          <w:lang w:val="es-ES_tradnl"/>
        </w:rPr>
      </w:pPr>
    </w:p>
    <w:p w:rsidRPr="00411DC3" w:rsidR="00FC51A3" w:rsidP="00552540" w:rsidRDefault="00FC51A3" w14:paraId="674545CC" w14:textId="77777777">
      <w:pPr>
        <w:autoSpaceDE w:val="0"/>
        <w:autoSpaceDN w:val="0"/>
        <w:adjustRightInd w:val="0"/>
        <w:spacing w:after="0" w:line="240" w:lineRule="auto"/>
        <w:rPr>
          <w:rFonts w:ascii="Arial" w:hAnsi="Arial" w:cs="Arial"/>
          <w:lang w:val="es-ES_tradnl"/>
        </w:rPr>
      </w:pPr>
    </w:p>
    <w:p w:rsidRPr="00411DC3" w:rsidR="00775548" w:rsidP="00552540" w:rsidRDefault="00775548" w14:paraId="679386E9" w14:textId="77777777">
      <w:pPr>
        <w:autoSpaceDE w:val="0"/>
        <w:autoSpaceDN w:val="0"/>
        <w:adjustRightInd w:val="0"/>
        <w:spacing w:after="0" w:line="240" w:lineRule="auto"/>
        <w:rPr>
          <w:rFonts w:ascii="Arial" w:hAnsi="Arial" w:cs="Arial"/>
          <w:lang w:val="es-ES_tradnl"/>
        </w:rPr>
      </w:pPr>
    </w:p>
    <w:p w:rsidRPr="00411DC3" w:rsidR="00775548" w:rsidP="00775548" w:rsidRDefault="00775548" w14:paraId="21AB96C0" w14:textId="77777777">
      <w:pPr>
        <w:pStyle w:val="ListParagraph"/>
        <w:numPr>
          <w:ilvl w:val="0"/>
          <w:numId w:val="1"/>
        </w:numPr>
        <w:tabs>
          <w:tab w:val="left" w:pos="360"/>
          <w:tab w:val="left" w:pos="450"/>
        </w:tabs>
        <w:spacing w:line="240" w:lineRule="auto"/>
        <w:ind w:hanging="630"/>
        <w:jc w:val="both"/>
        <w:rPr>
          <w:rFonts w:ascii="Arial" w:hAnsi="Arial" w:cs="Arial"/>
          <w:b/>
          <w:color w:val="1F497D"/>
          <w:lang w:val="es-ES"/>
        </w:rPr>
      </w:pPr>
      <w:r w:rsidRPr="00411DC3">
        <w:rPr>
          <w:rFonts w:ascii="Arial" w:hAnsi="Arial" w:cs="Arial"/>
          <w:b/>
          <w:color w:val="1F497D"/>
          <w:lang w:val="es-ES"/>
        </w:rPr>
        <w:t>Introducción.</w:t>
      </w:r>
    </w:p>
    <w:p w:rsidRPr="00411DC3" w:rsidR="00775548" w:rsidP="00775548" w:rsidRDefault="00775548" w14:paraId="4EC31220" w14:textId="77777777">
      <w:pPr>
        <w:pStyle w:val="ListParagraph"/>
        <w:tabs>
          <w:tab w:val="left" w:pos="360"/>
          <w:tab w:val="left" w:pos="450"/>
        </w:tabs>
        <w:spacing w:line="240" w:lineRule="auto"/>
        <w:jc w:val="both"/>
        <w:rPr>
          <w:rFonts w:ascii="Arial" w:hAnsi="Arial" w:cs="Arial"/>
          <w:b/>
          <w:color w:val="1F497D"/>
          <w:lang w:val="es-ES"/>
        </w:rPr>
      </w:pPr>
    </w:p>
    <w:p w:rsidRPr="00411DC3" w:rsidR="00490D1A" w:rsidP="00490D1A" w:rsidRDefault="00E0142E" w14:paraId="2C9B2F51" w14:textId="77777777">
      <w:pPr>
        <w:pStyle w:val="ListParagraph"/>
        <w:numPr>
          <w:ilvl w:val="1"/>
          <w:numId w:val="2"/>
        </w:numPr>
        <w:tabs>
          <w:tab w:val="left" w:pos="270"/>
          <w:tab w:val="left" w:pos="2085"/>
        </w:tabs>
        <w:spacing w:after="0" w:line="0" w:lineRule="atLeast"/>
        <w:ind w:left="270" w:hanging="450"/>
        <w:jc w:val="both"/>
        <w:rPr>
          <w:rFonts w:ascii="Arial" w:hAnsi="Arial" w:cs="Arial"/>
          <w:lang w:val="es-ES"/>
        </w:rPr>
      </w:pPr>
      <w:r w:rsidRPr="00411DC3">
        <w:rPr>
          <w:rFonts w:ascii="Arial" w:hAnsi="Arial" w:cs="Arial"/>
          <w:lang w:val="es-ES_tradnl"/>
        </w:rPr>
        <w:t>Honduras cuenta con acceso a ambos océanos y comparte frontera con El Salvador, Guatemala y Nicaragua. Su posición es un eslabón clave en la consolidación de los principales corredores de integración de Mesoamérica</w:t>
      </w:r>
      <w:r w:rsidRPr="00411DC3" w:rsidR="00E134B5">
        <w:rPr>
          <w:rStyle w:val="FootnoteReference"/>
          <w:rFonts w:cs="Arial"/>
          <w:sz w:val="22"/>
          <w:lang w:val="es-ES_tradnl"/>
        </w:rPr>
        <w:footnoteReference w:id="1"/>
      </w:r>
      <w:r w:rsidRPr="00411DC3">
        <w:rPr>
          <w:rFonts w:ascii="Arial" w:hAnsi="Arial" w:cs="Arial"/>
          <w:lang w:val="es-ES_tradnl"/>
        </w:rPr>
        <w:t xml:space="preserve"> ya que en su territorio se encuentran partes importantes del Corredor Atlántico Mesoamericano (CAM), el Corredor Pacífico y los corredores del Triángulo Norte. Además</w:t>
      </w:r>
      <w:r w:rsidRPr="00411DC3" w:rsidR="00D243A3">
        <w:rPr>
          <w:rFonts w:ascii="Arial" w:hAnsi="Arial" w:cs="Arial"/>
          <w:lang w:val="es-ES_tradnl"/>
        </w:rPr>
        <w:t>,</w:t>
      </w:r>
      <w:r w:rsidRPr="00411DC3">
        <w:rPr>
          <w:rFonts w:ascii="Arial" w:hAnsi="Arial" w:cs="Arial"/>
          <w:lang w:val="es-ES_tradnl"/>
        </w:rPr>
        <w:t xml:space="preserve"> cuenta con el principal puerto Mesoamericano en el Mar Caribe (Puerto Cortés) y acceso al Océano Pacífico a través del Puerto San Lorenzo. Por tanto, la calidad de su infraestructura de transporte</w:t>
      </w:r>
      <w:r w:rsidRPr="00411DC3" w:rsidR="00385B33">
        <w:rPr>
          <w:rFonts w:ascii="Arial" w:hAnsi="Arial" w:cs="Arial"/>
          <w:lang w:val="es-ES_tradnl"/>
        </w:rPr>
        <w:t xml:space="preserve">, la logística de carga y los procesos de comercio, </w:t>
      </w:r>
      <w:r w:rsidRPr="00411DC3">
        <w:rPr>
          <w:rFonts w:ascii="Arial" w:hAnsi="Arial" w:cs="Arial"/>
          <w:lang w:val="es-ES_tradnl"/>
        </w:rPr>
        <w:t>tiene un impacto relevante en el desempeño del comercio no sólo de Honduras, donde el 80% de sus exportaciones se movilizan por tierra, sino también para el comercio intrarregional de Mesoamérica</w:t>
      </w:r>
      <w:r w:rsidRPr="00411DC3" w:rsidR="00D243A3">
        <w:rPr>
          <w:rStyle w:val="FootnoteReference"/>
          <w:rFonts w:cs="Arial"/>
          <w:sz w:val="22"/>
          <w:lang w:val="es-ES_tradnl"/>
        </w:rPr>
        <w:footnoteReference w:id="2"/>
      </w:r>
      <w:r w:rsidRPr="00411DC3">
        <w:rPr>
          <w:rFonts w:ascii="Arial" w:hAnsi="Arial" w:cs="Arial"/>
          <w:lang w:val="es-ES_tradnl"/>
        </w:rPr>
        <w:t xml:space="preserve">, en particular para los países del Triángulo Norte, dentro de los cuales Honduras presenta el mayor volumen de comercio </w:t>
      </w:r>
      <w:r w:rsidRPr="00411DC3" w:rsidR="00385B33">
        <w:rPr>
          <w:rFonts w:ascii="Arial" w:hAnsi="Arial" w:cs="Arial"/>
          <w:lang w:val="es-ES_tradnl"/>
        </w:rPr>
        <w:t>externo en relación con el</w:t>
      </w:r>
      <w:r w:rsidRPr="00411DC3">
        <w:rPr>
          <w:rFonts w:ascii="Arial" w:hAnsi="Arial" w:cs="Arial"/>
          <w:lang w:val="es-ES_tradnl"/>
        </w:rPr>
        <w:t xml:space="preserve"> PIB.</w:t>
      </w:r>
    </w:p>
    <w:p w:rsidRPr="00411DC3" w:rsidR="00490D1A" w:rsidP="00490D1A" w:rsidRDefault="00490D1A" w14:paraId="5872FA29" w14:textId="77777777">
      <w:pPr>
        <w:tabs>
          <w:tab w:val="left" w:pos="270"/>
          <w:tab w:val="left" w:pos="2085"/>
        </w:tabs>
        <w:spacing w:after="0" w:line="0" w:lineRule="atLeast"/>
        <w:jc w:val="both"/>
        <w:rPr>
          <w:rFonts w:ascii="Arial" w:hAnsi="Arial" w:cs="Arial"/>
          <w:lang w:val="es-ES"/>
        </w:rPr>
      </w:pPr>
    </w:p>
    <w:p w:rsidRPr="00411DC3" w:rsidR="004417DB" w:rsidP="004417DB" w:rsidRDefault="00A12D0B" w14:paraId="4DF3D887" w14:textId="77777777">
      <w:pPr>
        <w:pStyle w:val="ListParagraph"/>
        <w:numPr>
          <w:ilvl w:val="1"/>
          <w:numId w:val="2"/>
        </w:numPr>
        <w:tabs>
          <w:tab w:val="left" w:pos="270"/>
          <w:tab w:val="left" w:pos="2085"/>
        </w:tabs>
        <w:spacing w:after="0" w:line="0" w:lineRule="atLeast"/>
        <w:ind w:left="270" w:hanging="450"/>
        <w:jc w:val="both"/>
        <w:rPr>
          <w:rFonts w:ascii="Arial" w:hAnsi="Arial" w:cs="Arial"/>
          <w:lang w:val="es-ES"/>
        </w:rPr>
      </w:pPr>
      <w:r w:rsidRPr="00411DC3">
        <w:rPr>
          <w:rFonts w:ascii="Arial" w:hAnsi="Arial" w:cs="Arial"/>
          <w:lang w:val="es-ES"/>
        </w:rPr>
        <w:t xml:space="preserve">Con respecto al </w:t>
      </w:r>
      <w:r w:rsidRPr="00411DC3" w:rsidR="008048B4">
        <w:rPr>
          <w:rFonts w:ascii="Arial" w:hAnsi="Arial" w:cs="Arial"/>
          <w:lang w:val="es-ES"/>
        </w:rPr>
        <w:t>Sistema Logístico Nacional de Honduras, e</w:t>
      </w:r>
      <w:r w:rsidRPr="00411DC3" w:rsidR="002A021B">
        <w:rPr>
          <w:rFonts w:ascii="Arial" w:hAnsi="Arial" w:cs="Arial"/>
          <w:lang w:val="es-ES"/>
        </w:rPr>
        <w:t xml:space="preserve">l </w:t>
      </w:r>
      <w:r w:rsidRPr="00411DC3" w:rsidR="004417DB">
        <w:rPr>
          <w:rFonts w:ascii="Arial" w:hAnsi="Arial" w:cs="Arial"/>
          <w:lang w:val="es-ES"/>
        </w:rPr>
        <w:t>C</w:t>
      </w:r>
      <w:r w:rsidRPr="00411DC3" w:rsidR="002A021B">
        <w:rPr>
          <w:rFonts w:ascii="Arial" w:hAnsi="Arial" w:cs="Arial"/>
          <w:lang w:val="es-ES"/>
        </w:rPr>
        <w:t>onglomerado</w:t>
      </w:r>
      <w:r w:rsidRPr="00411DC3" w:rsidR="004417DB">
        <w:rPr>
          <w:rFonts w:ascii="Arial" w:hAnsi="Arial" w:cs="Arial"/>
          <w:lang w:val="es-ES"/>
        </w:rPr>
        <w:t xml:space="preserve"> Logístico del Norte</w:t>
      </w:r>
      <w:r w:rsidRPr="00411DC3" w:rsidR="00E72FE1">
        <w:rPr>
          <w:rFonts w:ascii="Arial" w:hAnsi="Arial" w:cs="Arial"/>
          <w:lang w:val="es-ES"/>
        </w:rPr>
        <w:t xml:space="preserve"> (CLN)</w:t>
      </w:r>
      <w:r w:rsidRPr="00411DC3" w:rsidR="004417DB">
        <w:rPr>
          <w:rFonts w:ascii="Arial" w:hAnsi="Arial" w:cs="Arial"/>
          <w:lang w:val="es-ES"/>
        </w:rPr>
        <w:t xml:space="preserve">, </w:t>
      </w:r>
      <w:r w:rsidRPr="00411DC3" w:rsidR="002A021B">
        <w:rPr>
          <w:rFonts w:ascii="Arial" w:hAnsi="Arial" w:cs="Arial"/>
          <w:lang w:val="es-ES"/>
        </w:rPr>
        <w:t xml:space="preserve">los puertos y la red vial </w:t>
      </w:r>
      <w:r w:rsidRPr="00411DC3" w:rsidR="004417DB">
        <w:rPr>
          <w:rFonts w:ascii="Arial" w:hAnsi="Arial" w:cs="Arial"/>
          <w:lang w:val="es-ES"/>
        </w:rPr>
        <w:t>del</w:t>
      </w:r>
      <w:r w:rsidRPr="00411DC3" w:rsidR="002A021B">
        <w:rPr>
          <w:rFonts w:ascii="Arial" w:hAnsi="Arial" w:cs="Arial"/>
          <w:lang w:val="es-ES"/>
        </w:rPr>
        <w:t xml:space="preserve"> </w:t>
      </w:r>
      <w:r w:rsidRPr="00411DC3" w:rsidR="004417DB">
        <w:rPr>
          <w:rFonts w:ascii="Arial" w:hAnsi="Arial" w:cs="Arial"/>
          <w:lang w:val="es-ES"/>
        </w:rPr>
        <w:t xml:space="preserve">Corredor Logístico Norte-Sur </w:t>
      </w:r>
      <w:r w:rsidRPr="00411DC3" w:rsidR="002A021B">
        <w:rPr>
          <w:rFonts w:ascii="Arial" w:hAnsi="Arial" w:cs="Arial"/>
          <w:lang w:val="es-ES"/>
        </w:rPr>
        <w:t xml:space="preserve">que los conecta, </w:t>
      </w:r>
      <w:r w:rsidRPr="00411DC3" w:rsidR="00843D73">
        <w:rPr>
          <w:rFonts w:ascii="Arial" w:hAnsi="Arial" w:cs="Arial"/>
          <w:lang w:val="es-ES"/>
        </w:rPr>
        <w:t>son de fundamental relevancia para</w:t>
      </w:r>
      <w:r w:rsidRPr="00411DC3" w:rsidR="002A021B">
        <w:rPr>
          <w:rFonts w:ascii="Arial" w:hAnsi="Arial" w:cs="Arial"/>
          <w:lang w:val="es-ES"/>
        </w:rPr>
        <w:t xml:space="preserve"> los nodos </w:t>
      </w:r>
      <w:r w:rsidRPr="00411DC3" w:rsidR="004417DB">
        <w:rPr>
          <w:rFonts w:ascii="Arial" w:hAnsi="Arial" w:cs="Arial"/>
          <w:lang w:val="es-ES"/>
        </w:rPr>
        <w:t>productivos</w:t>
      </w:r>
      <w:r w:rsidRPr="00411DC3" w:rsidR="002A021B">
        <w:rPr>
          <w:rFonts w:ascii="Arial" w:hAnsi="Arial" w:cs="Arial"/>
          <w:lang w:val="es-ES"/>
        </w:rPr>
        <w:t xml:space="preserve"> principales</w:t>
      </w:r>
      <w:r w:rsidRPr="00411DC3" w:rsidR="004417DB">
        <w:rPr>
          <w:rFonts w:ascii="Arial" w:hAnsi="Arial" w:cs="Arial"/>
          <w:lang w:val="es-ES"/>
        </w:rPr>
        <w:t xml:space="preserve"> de</w:t>
      </w:r>
      <w:r w:rsidRPr="00411DC3" w:rsidR="002A021B">
        <w:rPr>
          <w:rFonts w:ascii="Arial" w:hAnsi="Arial" w:cs="Arial"/>
          <w:lang w:val="es-ES"/>
        </w:rPr>
        <w:t xml:space="preserve"> </w:t>
      </w:r>
      <w:r w:rsidRPr="00411DC3" w:rsidR="004417DB">
        <w:rPr>
          <w:rFonts w:ascii="Arial" w:hAnsi="Arial" w:cs="Arial"/>
          <w:lang w:val="es-ES_tradnl"/>
        </w:rPr>
        <w:t xml:space="preserve">San Pedro Sula, Tegucigalpa, Comayagua y La Ceiba. El CLN, se conforma esencialmente por los siguientes nodos: </w:t>
      </w:r>
      <w:bookmarkStart w:name="_Hlk512516950" w:id="0"/>
      <w:r w:rsidRPr="00411DC3" w:rsidR="004417DB">
        <w:rPr>
          <w:rFonts w:ascii="Arial" w:hAnsi="Arial" w:cs="Arial"/>
          <w:lang w:val="es-ES_tradnl"/>
        </w:rPr>
        <w:t xml:space="preserve">Puerto Cortes-San Pedro Sula- Frontera Entre Ríos, el A.I. de </w:t>
      </w:r>
      <w:proofErr w:type="spellStart"/>
      <w:r w:rsidRPr="00411DC3" w:rsidR="004417DB">
        <w:rPr>
          <w:rFonts w:ascii="Arial" w:hAnsi="Arial" w:cs="Arial"/>
          <w:lang w:val="es-ES_tradnl"/>
        </w:rPr>
        <w:t>Palmerola</w:t>
      </w:r>
      <w:proofErr w:type="spellEnd"/>
      <w:r w:rsidRPr="00411DC3" w:rsidR="004417DB">
        <w:rPr>
          <w:rFonts w:ascii="Arial" w:hAnsi="Arial" w:cs="Arial"/>
          <w:lang w:val="es-ES_tradnl"/>
        </w:rPr>
        <w:t xml:space="preserve"> y el futuro </w:t>
      </w:r>
      <w:r w:rsidRPr="00411DC3" w:rsidR="004417DB">
        <w:rPr>
          <w:rFonts w:ascii="Arial" w:hAnsi="Arial" w:cs="Arial"/>
          <w:lang w:val="es-ES_tradnl"/>
        </w:rPr>
        <w:lastRenderedPageBreak/>
        <w:t>puerto seco o ZAL en la zona de La Barca, y el Puerto San Lorenzo</w:t>
      </w:r>
      <w:bookmarkEnd w:id="0"/>
      <w:r w:rsidRPr="00411DC3" w:rsidR="004417DB">
        <w:rPr>
          <w:rFonts w:ascii="Arial" w:hAnsi="Arial" w:cs="Arial"/>
          <w:lang w:val="es-ES_tradnl"/>
        </w:rPr>
        <w:t xml:space="preserve">. </w:t>
      </w:r>
      <w:r w:rsidRPr="00411DC3" w:rsidR="002A021B">
        <w:rPr>
          <w:rFonts w:ascii="Arial" w:hAnsi="Arial" w:cs="Arial"/>
          <w:lang w:val="es-ES"/>
        </w:rPr>
        <w:t>Este conjunto posiciona al país como actor clave en la distribución física internacional de mercancías</w:t>
      </w:r>
      <w:r w:rsidRPr="00411DC3" w:rsidR="00842391">
        <w:rPr>
          <w:rFonts w:ascii="Arial" w:hAnsi="Arial" w:cs="Arial"/>
          <w:lang w:val="es-ES"/>
        </w:rPr>
        <w:t xml:space="preserve"> y movilizando gran parte de las mercancías con origen y destino </w:t>
      </w:r>
      <w:r w:rsidRPr="00411DC3" w:rsidR="004417DB">
        <w:rPr>
          <w:rFonts w:ascii="Arial" w:hAnsi="Arial" w:cs="Arial"/>
          <w:lang w:val="es-ES"/>
        </w:rPr>
        <w:t>mesoamericano</w:t>
      </w:r>
      <w:r w:rsidRPr="00411DC3" w:rsidR="0013738A">
        <w:rPr>
          <w:rFonts w:ascii="Arial" w:hAnsi="Arial" w:cs="Arial"/>
          <w:lang w:val="es-ES"/>
        </w:rPr>
        <w:t>,</w:t>
      </w:r>
      <w:r w:rsidRPr="00411DC3" w:rsidR="00EE0F32">
        <w:rPr>
          <w:rFonts w:ascii="Arial" w:hAnsi="Arial" w:cs="Arial"/>
          <w:lang w:val="es-ES"/>
        </w:rPr>
        <w:t xml:space="preserve"> sobre todo por </w:t>
      </w:r>
      <w:r w:rsidRPr="00411DC3" w:rsidR="00843D73">
        <w:rPr>
          <w:rFonts w:ascii="Arial" w:hAnsi="Arial" w:cs="Arial"/>
          <w:lang w:val="es-ES"/>
        </w:rPr>
        <w:t>el</w:t>
      </w:r>
      <w:r w:rsidRPr="00411DC3" w:rsidR="00EE0F32">
        <w:rPr>
          <w:rFonts w:ascii="Arial" w:hAnsi="Arial" w:cs="Arial"/>
          <w:lang w:val="es-ES"/>
        </w:rPr>
        <w:t xml:space="preserve"> papel que juega puerto Cortés, el cual es el puerto Centroamericano más importante de la vertiente Atlántica. </w:t>
      </w:r>
    </w:p>
    <w:p w:rsidRPr="00411DC3" w:rsidR="004417DB" w:rsidP="004417DB" w:rsidRDefault="004417DB" w14:paraId="1EC68085" w14:textId="77777777">
      <w:pPr>
        <w:pStyle w:val="ListParagraph"/>
        <w:rPr>
          <w:rFonts w:ascii="Arial" w:hAnsi="Arial" w:cs="Arial"/>
          <w:lang w:val="es-ES"/>
        </w:rPr>
      </w:pPr>
    </w:p>
    <w:p w:rsidRPr="00411DC3" w:rsidR="001A7A6F" w:rsidP="001A7A6F" w:rsidRDefault="00DA49FA" w14:paraId="403D411D" w14:textId="77777777">
      <w:pPr>
        <w:pStyle w:val="ListParagraph"/>
        <w:numPr>
          <w:ilvl w:val="1"/>
          <w:numId w:val="2"/>
        </w:numPr>
        <w:tabs>
          <w:tab w:val="left" w:pos="270"/>
          <w:tab w:val="left" w:pos="2085"/>
        </w:tabs>
        <w:spacing w:after="0" w:line="0" w:lineRule="atLeast"/>
        <w:ind w:left="270" w:hanging="450"/>
        <w:jc w:val="both"/>
        <w:rPr>
          <w:rFonts w:ascii="Arial" w:hAnsi="Arial" w:cs="Arial"/>
          <w:lang w:val="es-ES"/>
        </w:rPr>
      </w:pPr>
      <w:r w:rsidRPr="00411DC3">
        <w:rPr>
          <w:rFonts w:ascii="Arial" w:hAnsi="Arial" w:cs="Arial"/>
          <w:lang w:val="es-ES"/>
        </w:rPr>
        <w:t>L</w:t>
      </w:r>
      <w:r w:rsidRPr="00411DC3">
        <w:rPr>
          <w:rFonts w:ascii="Arial" w:hAnsi="Arial" w:cs="Arial"/>
          <w:lang w:val="es-ES_tradnl"/>
        </w:rPr>
        <w:t xml:space="preserve">a logística de cargas </w:t>
      </w:r>
      <w:r w:rsidRPr="00411DC3" w:rsidR="0051041B">
        <w:rPr>
          <w:rFonts w:ascii="Arial" w:hAnsi="Arial" w:cs="Arial"/>
          <w:lang w:val="es-ES_tradnl"/>
        </w:rPr>
        <w:t>representa un</w:t>
      </w:r>
      <w:r w:rsidRPr="00411DC3">
        <w:rPr>
          <w:rFonts w:ascii="Arial" w:hAnsi="Arial" w:cs="Arial"/>
          <w:lang w:val="es-ES_tradnl"/>
        </w:rPr>
        <w:t xml:space="preserve"> factor crítico para reducir</w:t>
      </w:r>
      <w:r w:rsidRPr="00411DC3" w:rsidR="00335BB8">
        <w:rPr>
          <w:rFonts w:ascii="Arial" w:hAnsi="Arial" w:cs="Arial"/>
          <w:lang w:val="es-ES_tradnl"/>
        </w:rPr>
        <w:t xml:space="preserve"> los costos generalizados al comercio exterior, incluyendo las </w:t>
      </w:r>
      <w:r w:rsidRPr="00411DC3">
        <w:rPr>
          <w:rFonts w:ascii="Arial" w:hAnsi="Arial" w:cs="Arial"/>
          <w:lang w:val="es-ES_tradnl"/>
        </w:rPr>
        <w:t xml:space="preserve">barreras tarifarias </w:t>
      </w:r>
      <w:r w:rsidRPr="00411DC3" w:rsidR="00335BB8">
        <w:rPr>
          <w:rFonts w:ascii="Arial" w:hAnsi="Arial" w:cs="Arial"/>
          <w:lang w:val="es-ES_tradnl"/>
        </w:rPr>
        <w:t>y no tarifarias</w:t>
      </w:r>
      <w:r w:rsidRPr="00411DC3" w:rsidR="00AF26B8">
        <w:rPr>
          <w:rFonts w:ascii="Arial" w:hAnsi="Arial" w:cs="Arial"/>
          <w:lang w:val="es-ES_tradnl"/>
        </w:rPr>
        <w:t>,</w:t>
      </w:r>
      <w:r w:rsidRPr="00411DC3" w:rsidR="00335BB8">
        <w:rPr>
          <w:rFonts w:ascii="Arial" w:hAnsi="Arial" w:cs="Arial"/>
          <w:lang w:val="es-ES_tradnl"/>
        </w:rPr>
        <w:t xml:space="preserve"> </w:t>
      </w:r>
      <w:r w:rsidRPr="00411DC3">
        <w:rPr>
          <w:rFonts w:ascii="Arial" w:hAnsi="Arial" w:cs="Arial"/>
          <w:lang w:val="es-ES_tradnl"/>
        </w:rPr>
        <w:t xml:space="preserve">y contribuir a la competitividad en términos del </w:t>
      </w:r>
      <w:r w:rsidRPr="00411DC3" w:rsidR="0013738A">
        <w:rPr>
          <w:rFonts w:ascii="Arial" w:hAnsi="Arial" w:cs="Arial"/>
          <w:lang w:val="es-ES_tradnl"/>
        </w:rPr>
        <w:t>Í</w:t>
      </w:r>
      <w:r w:rsidRPr="00411DC3">
        <w:rPr>
          <w:rFonts w:ascii="Arial" w:hAnsi="Arial" w:cs="Arial"/>
          <w:lang w:val="es-ES_tradnl"/>
        </w:rPr>
        <w:t xml:space="preserve">ndice de </w:t>
      </w:r>
      <w:r w:rsidRPr="00411DC3" w:rsidR="0013738A">
        <w:rPr>
          <w:rFonts w:ascii="Arial" w:hAnsi="Arial" w:cs="Arial"/>
          <w:lang w:val="es-ES_tradnl"/>
        </w:rPr>
        <w:t>D</w:t>
      </w:r>
      <w:r w:rsidRPr="00411DC3">
        <w:rPr>
          <w:rFonts w:ascii="Arial" w:hAnsi="Arial" w:cs="Arial"/>
          <w:lang w:val="es-ES_tradnl"/>
        </w:rPr>
        <w:t xml:space="preserve">esempeño </w:t>
      </w:r>
      <w:r w:rsidRPr="00411DC3" w:rsidR="0013738A">
        <w:rPr>
          <w:rFonts w:ascii="Arial" w:hAnsi="Arial" w:cs="Arial"/>
          <w:lang w:val="es-ES_tradnl"/>
        </w:rPr>
        <w:t>L</w:t>
      </w:r>
      <w:r w:rsidRPr="00411DC3">
        <w:rPr>
          <w:rFonts w:ascii="Arial" w:hAnsi="Arial" w:cs="Arial"/>
          <w:lang w:val="es-ES_tradnl"/>
        </w:rPr>
        <w:t>ogístico</w:t>
      </w:r>
      <w:r w:rsidRPr="00411DC3" w:rsidR="007A4330">
        <w:rPr>
          <w:rFonts w:ascii="Arial" w:hAnsi="Arial" w:cs="Arial"/>
          <w:lang w:val="es-ES_tradnl"/>
        </w:rPr>
        <w:t>.</w:t>
      </w:r>
      <w:r w:rsidRPr="00411DC3" w:rsidR="00843D73">
        <w:rPr>
          <w:rFonts w:ascii="Arial" w:hAnsi="Arial" w:cs="Arial"/>
          <w:lang w:val="es-ES_tradnl"/>
        </w:rPr>
        <w:t xml:space="preserve"> Al respecto, el LPI de Honduras se encuentra rezagado con respecto al de los países de la región </w:t>
      </w:r>
      <w:r w:rsidRPr="00411DC3" w:rsidR="006D4B0D">
        <w:rPr>
          <w:rFonts w:ascii="Arial" w:hAnsi="Arial" w:cs="Arial"/>
          <w:lang w:val="es-ES_tradnl"/>
        </w:rPr>
        <w:t>siendo que</w:t>
      </w:r>
      <w:r w:rsidRPr="00411DC3" w:rsidR="00843D73">
        <w:rPr>
          <w:rFonts w:ascii="Arial" w:hAnsi="Arial" w:cs="Arial"/>
          <w:lang w:val="es-ES_tradnl"/>
        </w:rPr>
        <w:t xml:space="preserve"> en el año 2016 ocupó el puesto 112 del Índice de Desempeño Logístico (LPI), detrás de El Salvador (83) o Panamá (40).</w:t>
      </w:r>
      <w:r w:rsidRPr="00411DC3" w:rsidR="0051041B">
        <w:rPr>
          <w:rFonts w:ascii="Arial" w:hAnsi="Arial" w:cs="Arial"/>
          <w:lang w:val="es-ES_tradnl"/>
        </w:rPr>
        <w:t xml:space="preserve"> </w:t>
      </w:r>
      <w:r w:rsidRPr="00411DC3" w:rsidR="007A4330">
        <w:rPr>
          <w:rFonts w:ascii="Arial" w:hAnsi="Arial" w:cs="Arial"/>
          <w:lang w:val="es-ES_tradnl"/>
        </w:rPr>
        <w:t xml:space="preserve">En lo que respecta a </w:t>
      </w:r>
      <w:r w:rsidRPr="00411DC3" w:rsidR="0051041B">
        <w:rPr>
          <w:rFonts w:ascii="Arial" w:hAnsi="Arial" w:cs="Arial"/>
          <w:lang w:val="es-ES_tradnl"/>
        </w:rPr>
        <w:t xml:space="preserve">la mejora del entorno para hacer negocios a través de la promulgación de leyes y mejoras institucionales </w:t>
      </w:r>
      <w:r w:rsidRPr="00411DC3" w:rsidR="007A4330">
        <w:rPr>
          <w:rFonts w:ascii="Arial" w:hAnsi="Arial" w:cs="Arial"/>
          <w:lang w:val="es-ES_tradnl"/>
        </w:rPr>
        <w:t xml:space="preserve">que </w:t>
      </w:r>
      <w:r w:rsidRPr="00411DC3" w:rsidR="0051041B">
        <w:rPr>
          <w:rFonts w:ascii="Arial" w:hAnsi="Arial" w:cs="Arial"/>
          <w:lang w:val="es-ES_tradnl"/>
        </w:rPr>
        <w:t>favorecen el crecimiento económico</w:t>
      </w:r>
      <w:r w:rsidRPr="00411DC3" w:rsidR="007A4330">
        <w:rPr>
          <w:rFonts w:ascii="Arial" w:hAnsi="Arial" w:cs="Arial"/>
          <w:lang w:val="es-ES_tradnl"/>
        </w:rPr>
        <w:t>,</w:t>
      </w:r>
      <w:r w:rsidRPr="00411DC3" w:rsidR="0051041B">
        <w:rPr>
          <w:rFonts w:ascii="Arial" w:hAnsi="Arial" w:cs="Arial"/>
          <w:lang w:val="es-ES_tradnl"/>
        </w:rPr>
        <w:t xml:space="preserve"> </w:t>
      </w:r>
      <w:r w:rsidRPr="00411DC3" w:rsidR="007A4330">
        <w:rPr>
          <w:rFonts w:ascii="Arial" w:hAnsi="Arial" w:cs="Arial"/>
          <w:lang w:val="es-ES_tradnl"/>
        </w:rPr>
        <w:t>e</w:t>
      </w:r>
      <w:r w:rsidRPr="00411DC3" w:rsidR="0051041B">
        <w:rPr>
          <w:rFonts w:ascii="Arial" w:hAnsi="Arial" w:cs="Arial"/>
          <w:lang w:val="es-ES_tradnl"/>
        </w:rPr>
        <w:t xml:space="preserve">n el caso de </w:t>
      </w:r>
      <w:r w:rsidRPr="00411DC3" w:rsidR="00EE0F32">
        <w:rPr>
          <w:rFonts w:ascii="Arial" w:hAnsi="Arial" w:cs="Arial"/>
          <w:lang w:val="es-ES_tradnl"/>
        </w:rPr>
        <w:t>Honduras</w:t>
      </w:r>
      <w:r w:rsidRPr="00411DC3" w:rsidR="0051041B">
        <w:rPr>
          <w:rFonts w:ascii="Arial" w:hAnsi="Arial" w:cs="Arial"/>
          <w:lang w:val="es-ES_tradnl"/>
        </w:rPr>
        <w:t xml:space="preserve"> se observa </w:t>
      </w:r>
      <w:r w:rsidRPr="00411DC3" w:rsidR="00280FCC">
        <w:rPr>
          <w:rFonts w:ascii="Arial" w:hAnsi="Arial" w:cs="Arial"/>
          <w:lang w:val="es-ES_tradnl"/>
        </w:rPr>
        <w:t>que</w:t>
      </w:r>
      <w:r w:rsidRPr="00411DC3" w:rsidR="00DB25D3">
        <w:rPr>
          <w:rFonts w:ascii="Arial" w:hAnsi="Arial" w:cs="Arial"/>
          <w:lang w:val="es-ES_tradnl"/>
        </w:rPr>
        <w:t xml:space="preserve"> a</w:t>
      </w:r>
      <w:r w:rsidRPr="00411DC3" w:rsidR="001A7A6F">
        <w:rPr>
          <w:rFonts w:ascii="Arial" w:hAnsi="Arial" w:cs="Arial"/>
          <w:lang w:val="es-ES"/>
        </w:rPr>
        <w:t xml:space="preserve"> pesar de los grandes avances en materia de infraestructura </w:t>
      </w:r>
      <w:r w:rsidRPr="00411DC3" w:rsidR="00EE0F32">
        <w:rPr>
          <w:rFonts w:ascii="Arial" w:hAnsi="Arial" w:cs="Arial"/>
          <w:lang w:val="es-ES"/>
        </w:rPr>
        <w:t>y manejo de</w:t>
      </w:r>
      <w:r w:rsidRPr="00411DC3" w:rsidR="009B367E">
        <w:rPr>
          <w:rFonts w:ascii="Arial" w:hAnsi="Arial" w:cs="Arial"/>
          <w:lang w:val="es-ES"/>
        </w:rPr>
        <w:t>l</w:t>
      </w:r>
      <w:r w:rsidRPr="00411DC3" w:rsidR="00EE0F32">
        <w:rPr>
          <w:rFonts w:ascii="Arial" w:hAnsi="Arial" w:cs="Arial"/>
          <w:lang w:val="es-ES"/>
        </w:rPr>
        <w:t xml:space="preserve"> Puerto Cortés</w:t>
      </w:r>
      <w:r w:rsidRPr="00411DC3" w:rsidR="001A7A6F">
        <w:rPr>
          <w:rFonts w:ascii="Arial" w:hAnsi="Arial" w:cs="Arial"/>
          <w:lang w:val="es-ES"/>
        </w:rPr>
        <w:t xml:space="preserve">, existen espacios de mejora en el fortalecimiento y coordinación </w:t>
      </w:r>
      <w:r w:rsidRPr="00411DC3" w:rsidR="007A4330">
        <w:rPr>
          <w:rFonts w:ascii="Arial" w:hAnsi="Arial" w:cs="Arial"/>
          <w:lang w:val="es-ES"/>
        </w:rPr>
        <w:t>inter</w:t>
      </w:r>
      <w:r w:rsidRPr="00411DC3" w:rsidR="001A7A6F">
        <w:rPr>
          <w:rFonts w:ascii="Arial" w:hAnsi="Arial" w:cs="Arial"/>
          <w:lang w:val="es-ES"/>
        </w:rPr>
        <w:t xml:space="preserve">institucional y en la gestión logística que permitirían mejorar el desempeño </w:t>
      </w:r>
      <w:r w:rsidRPr="00411DC3" w:rsidR="008976AF">
        <w:rPr>
          <w:rFonts w:ascii="Arial" w:hAnsi="Arial" w:cs="Arial"/>
          <w:lang w:val="es-ES"/>
        </w:rPr>
        <w:t>del Sistema Logístico Nacional</w:t>
      </w:r>
      <w:r w:rsidRPr="00411DC3" w:rsidR="00280FCC">
        <w:rPr>
          <w:rStyle w:val="FootnoteReference"/>
          <w:rFonts w:cs="Arial"/>
          <w:sz w:val="22"/>
          <w:lang w:val="es-ES"/>
        </w:rPr>
        <w:footnoteReference w:id="3"/>
      </w:r>
      <w:r w:rsidRPr="00411DC3" w:rsidR="00EE0F32">
        <w:rPr>
          <w:rFonts w:ascii="Arial" w:hAnsi="Arial" w:cs="Arial"/>
          <w:lang w:val="es-ES"/>
        </w:rPr>
        <w:t>.</w:t>
      </w:r>
    </w:p>
    <w:p w:rsidRPr="00411DC3" w:rsidR="00124B0B" w:rsidP="00124B0B" w:rsidRDefault="00124B0B" w14:paraId="08F7C45D" w14:textId="77777777">
      <w:pPr>
        <w:pStyle w:val="ListParagraph"/>
        <w:rPr>
          <w:rFonts w:ascii="Arial" w:hAnsi="Arial" w:cs="Arial"/>
          <w:lang w:val="es-ES"/>
        </w:rPr>
      </w:pPr>
    </w:p>
    <w:p w:rsidRPr="00411DC3" w:rsidR="00124B0B" w:rsidP="00A534A2" w:rsidRDefault="00124B0B" w14:paraId="2434DA8F" w14:textId="77777777">
      <w:pPr>
        <w:pStyle w:val="ListParagraph"/>
        <w:numPr>
          <w:ilvl w:val="1"/>
          <w:numId w:val="2"/>
        </w:numPr>
        <w:tabs>
          <w:tab w:val="left" w:pos="270"/>
          <w:tab w:val="left" w:pos="2085"/>
        </w:tabs>
        <w:autoSpaceDE w:val="0"/>
        <w:autoSpaceDN w:val="0"/>
        <w:adjustRightInd w:val="0"/>
        <w:spacing w:after="0" w:line="0" w:lineRule="atLeast"/>
        <w:ind w:left="270" w:hanging="450"/>
        <w:jc w:val="both"/>
        <w:rPr>
          <w:rFonts w:ascii="Arial" w:hAnsi="Arial" w:cs="Arial"/>
          <w:lang w:val="es-ES"/>
        </w:rPr>
      </w:pPr>
      <w:r w:rsidRPr="00411DC3">
        <w:rPr>
          <w:rFonts w:ascii="Arial" w:hAnsi="Arial" w:cs="Arial"/>
          <w:lang w:val="es-ES"/>
        </w:rPr>
        <w:t xml:space="preserve">El actual modelo de gestión para el crecimiento económico y social de Honduras prioriza las inversiones en infraestructura vial, reconociendo que la existencia de carreteras y caminos en buen estado genera oportunidades para el desarrollo de las actividades </w:t>
      </w:r>
      <w:r w:rsidRPr="00411DC3" w:rsidR="00961DF8">
        <w:rPr>
          <w:rFonts w:ascii="Arial" w:hAnsi="Arial" w:cs="Arial"/>
          <w:lang w:val="es-ES"/>
        </w:rPr>
        <w:t>productivas,</w:t>
      </w:r>
      <w:r w:rsidRPr="00411DC3">
        <w:rPr>
          <w:rFonts w:ascii="Arial" w:hAnsi="Arial" w:cs="Arial"/>
          <w:lang w:val="es-ES"/>
        </w:rPr>
        <w:t xml:space="preserve"> así como para una mayor integración del país en la economía global. Esto se refleja en la Visión de País 2010 - 2038, particularmente en el objetivo orientado a lograr una “Honduras productiva, generadora de oportunidades y empleo digno”, donde se aspira a consolidar el liderazgo de Honduras como el más importante circuito de transporte terrestre interoceánico para el tránsito de mercaderías en Centroamérica. </w:t>
      </w:r>
      <w:r w:rsidRPr="00411DC3" w:rsidR="000E547F">
        <w:rPr>
          <w:rFonts w:ascii="Arial" w:hAnsi="Arial" w:cs="Arial"/>
          <w:lang w:val="es-ES"/>
        </w:rPr>
        <w:t>Cabe mencionar, que en el del Plan de Nación 2010-2022</w:t>
      </w:r>
      <w:r w:rsidRPr="00411DC3" w:rsidR="000E547F">
        <w:rPr>
          <w:rStyle w:val="FootnoteReference"/>
          <w:rFonts w:cs="Arial"/>
          <w:sz w:val="22"/>
          <w:lang w:val="es-ES"/>
        </w:rPr>
        <w:footnoteReference w:id="4"/>
      </w:r>
      <w:r w:rsidRPr="00411DC3" w:rsidR="000E547F">
        <w:rPr>
          <w:rFonts w:ascii="Arial" w:hAnsi="Arial" w:cs="Arial"/>
          <w:lang w:val="es-ES"/>
        </w:rPr>
        <w:t xml:space="preserve"> que acompaña la Visión de País, se incluye también un lineamiento específico para: y la “Imagen de País, Competitividad y Desarrollo de Sectores Productivos”. Honduras apunta a explotar la posición geográfica del país, a fin de convertirlo en un centro de transporte multimodal entre el mercado con mayor capacidad de adquisición (Estados Unidos) y las potencias económicas en Asia, Europa, Centro y Sur América. </w:t>
      </w:r>
    </w:p>
    <w:p w:rsidRPr="00411DC3" w:rsidR="001D27B9" w:rsidP="001D27B9" w:rsidRDefault="001D27B9" w14:paraId="1AB17153" w14:textId="77777777">
      <w:pPr>
        <w:pStyle w:val="ListParagraph"/>
        <w:tabs>
          <w:tab w:val="left" w:pos="270"/>
          <w:tab w:val="left" w:pos="2085"/>
        </w:tabs>
        <w:spacing w:after="0" w:line="0" w:lineRule="atLeast"/>
        <w:ind w:left="270"/>
        <w:jc w:val="both"/>
        <w:rPr>
          <w:rFonts w:ascii="Arial" w:hAnsi="Arial" w:cs="Arial"/>
          <w:lang w:val="es-ES"/>
        </w:rPr>
      </w:pPr>
    </w:p>
    <w:p w:rsidRPr="00411DC3" w:rsidR="00BE67A2" w:rsidP="00007B13" w:rsidRDefault="00F22176" w14:paraId="24553AAC" w14:textId="77777777">
      <w:pPr>
        <w:pStyle w:val="ListParagraph"/>
        <w:numPr>
          <w:ilvl w:val="1"/>
          <w:numId w:val="2"/>
        </w:numPr>
        <w:tabs>
          <w:tab w:val="left" w:pos="270"/>
          <w:tab w:val="left" w:pos="2085"/>
        </w:tabs>
        <w:spacing w:after="0" w:line="0" w:lineRule="atLeast"/>
        <w:ind w:left="270" w:hanging="450"/>
        <w:jc w:val="both"/>
        <w:rPr>
          <w:rFonts w:ascii="Arial" w:hAnsi="Arial" w:cs="Arial"/>
          <w:lang w:val="es-ES"/>
        </w:rPr>
      </w:pPr>
      <w:r w:rsidRPr="00411DC3">
        <w:rPr>
          <w:rFonts w:ascii="Arial" w:hAnsi="Arial" w:cs="Arial"/>
          <w:lang w:val="es-ES"/>
        </w:rPr>
        <w:t xml:space="preserve">En el presente documento </w:t>
      </w:r>
      <w:r w:rsidRPr="00411DC3" w:rsidR="007014A8">
        <w:rPr>
          <w:rFonts w:ascii="Arial" w:hAnsi="Arial" w:cs="Arial"/>
          <w:lang w:val="es-ES"/>
        </w:rPr>
        <w:t>se analiza</w:t>
      </w:r>
      <w:r w:rsidRPr="00411DC3" w:rsidR="00496B79">
        <w:rPr>
          <w:rFonts w:ascii="Arial" w:hAnsi="Arial" w:cs="Arial"/>
          <w:lang w:val="es-ES"/>
        </w:rPr>
        <w:t xml:space="preserve"> el</w:t>
      </w:r>
      <w:r w:rsidRPr="00411DC3" w:rsidR="007014A8">
        <w:rPr>
          <w:rFonts w:ascii="Arial" w:hAnsi="Arial" w:cs="Arial"/>
          <w:lang w:val="es-ES"/>
        </w:rPr>
        <w:t xml:space="preserve"> </w:t>
      </w:r>
      <w:r w:rsidRPr="00411DC3" w:rsidR="00A43A07">
        <w:rPr>
          <w:rFonts w:ascii="Arial" w:hAnsi="Arial" w:cs="Arial"/>
          <w:i/>
          <w:lang w:val="es-ES_tradnl"/>
        </w:rPr>
        <w:t>Programa de Reformas del Sector Transporte y Logística de Carga de Honduras</w:t>
      </w:r>
      <w:r w:rsidRPr="00411DC3" w:rsidR="00256E44">
        <w:rPr>
          <w:rFonts w:ascii="Arial" w:hAnsi="Arial" w:cs="Arial"/>
          <w:i/>
          <w:lang w:val="es-ES"/>
        </w:rPr>
        <w:t xml:space="preserve"> (</w:t>
      </w:r>
      <w:r w:rsidRPr="00411DC3" w:rsidR="00A43A07">
        <w:rPr>
          <w:rFonts w:ascii="Arial" w:hAnsi="Arial" w:cs="Arial"/>
          <w:i/>
          <w:lang w:val="es-ES"/>
        </w:rPr>
        <w:t>HO</w:t>
      </w:r>
      <w:r w:rsidRPr="00411DC3" w:rsidR="00256E44">
        <w:rPr>
          <w:rFonts w:ascii="Arial" w:hAnsi="Arial" w:cs="Arial"/>
          <w:i/>
          <w:lang w:val="es-ES"/>
        </w:rPr>
        <w:t>-L</w:t>
      </w:r>
      <w:r w:rsidRPr="00411DC3" w:rsidR="00A43A07">
        <w:rPr>
          <w:rFonts w:ascii="Arial" w:hAnsi="Arial" w:cs="Arial"/>
          <w:i/>
          <w:lang w:val="es-ES"/>
        </w:rPr>
        <w:t>1198</w:t>
      </w:r>
      <w:r w:rsidRPr="00411DC3" w:rsidR="00256E44">
        <w:rPr>
          <w:rFonts w:ascii="Arial" w:hAnsi="Arial" w:cs="Arial"/>
          <w:i/>
          <w:lang w:val="es-ES"/>
        </w:rPr>
        <w:t>)</w:t>
      </w:r>
      <w:r w:rsidRPr="00411DC3" w:rsidR="00256E44">
        <w:rPr>
          <w:rFonts w:ascii="Arial" w:hAnsi="Arial" w:cs="Arial"/>
          <w:lang w:val="es-ES"/>
        </w:rPr>
        <w:t xml:space="preserve"> </w:t>
      </w:r>
      <w:r w:rsidRPr="00411DC3" w:rsidR="007014A8">
        <w:rPr>
          <w:rFonts w:ascii="Arial" w:hAnsi="Arial" w:cs="Arial"/>
          <w:lang w:val="es-ES"/>
        </w:rPr>
        <w:t xml:space="preserve">exponiendo los argumentos que explican </w:t>
      </w:r>
      <w:r w:rsidRPr="00411DC3" w:rsidR="00D86946">
        <w:rPr>
          <w:rFonts w:ascii="Arial" w:hAnsi="Arial" w:cs="Arial"/>
          <w:lang w:val="es-ES"/>
        </w:rPr>
        <w:t>cómo</w:t>
      </w:r>
      <w:r w:rsidRPr="00411DC3" w:rsidR="007014A8">
        <w:rPr>
          <w:rFonts w:ascii="Arial" w:hAnsi="Arial" w:cs="Arial"/>
          <w:lang w:val="es-ES"/>
        </w:rPr>
        <w:t xml:space="preserve"> </w:t>
      </w:r>
      <w:r w:rsidRPr="00411DC3" w:rsidR="005600A9">
        <w:rPr>
          <w:rFonts w:ascii="Arial" w:hAnsi="Arial" w:cs="Arial"/>
          <w:lang w:val="es-ES"/>
        </w:rPr>
        <w:t>el</w:t>
      </w:r>
      <w:r w:rsidRPr="00411DC3" w:rsidR="007014A8">
        <w:rPr>
          <w:rFonts w:ascii="Arial" w:hAnsi="Arial" w:cs="Arial"/>
          <w:lang w:val="es-ES"/>
        </w:rPr>
        <w:t xml:space="preserve"> proyecto </w:t>
      </w:r>
      <w:r w:rsidRPr="00411DC3" w:rsidR="00D86946">
        <w:rPr>
          <w:rFonts w:ascii="Arial" w:hAnsi="Arial" w:cs="Arial"/>
          <w:lang w:val="es-ES"/>
        </w:rPr>
        <w:t xml:space="preserve">contribuye </w:t>
      </w:r>
      <w:r w:rsidRPr="00411DC3" w:rsidR="007014A8">
        <w:rPr>
          <w:rFonts w:ascii="Arial" w:hAnsi="Arial" w:cs="Arial"/>
          <w:lang w:val="es-ES"/>
        </w:rPr>
        <w:t xml:space="preserve">a la </w:t>
      </w:r>
      <w:r w:rsidRPr="00411DC3" w:rsidR="00D86946">
        <w:rPr>
          <w:rFonts w:ascii="Arial" w:hAnsi="Arial" w:cs="Arial"/>
          <w:lang w:val="es-ES"/>
        </w:rPr>
        <w:t xml:space="preserve">integración de </w:t>
      </w:r>
      <w:r w:rsidRPr="00411DC3" w:rsidR="00C402A3">
        <w:rPr>
          <w:rFonts w:ascii="Arial" w:hAnsi="Arial" w:cs="Arial"/>
          <w:lang w:val="es-ES"/>
        </w:rPr>
        <w:t xml:space="preserve">Honduras </w:t>
      </w:r>
      <w:r w:rsidRPr="00411DC3" w:rsidR="00D86946">
        <w:rPr>
          <w:rFonts w:ascii="Arial" w:hAnsi="Arial" w:cs="Arial"/>
          <w:lang w:val="es-ES"/>
        </w:rPr>
        <w:t>a nivel regional y global</w:t>
      </w:r>
      <w:r w:rsidRPr="00411DC3" w:rsidR="007014A8">
        <w:rPr>
          <w:rFonts w:ascii="Arial" w:hAnsi="Arial" w:cs="Arial"/>
          <w:lang w:val="es-ES"/>
        </w:rPr>
        <w:t>, validando por tanto su alineación con el desafío regional de Integración Económica planteado en la Estrategia Institucional del Banco (EIB) 2010-2020 (GN-2788-5). El documento está organizado de la siguiente manera.</w:t>
      </w:r>
      <w:r w:rsidRPr="00411DC3" w:rsidR="00A87806">
        <w:rPr>
          <w:rFonts w:ascii="Arial" w:hAnsi="Arial" w:cs="Arial"/>
          <w:lang w:val="es-ES"/>
        </w:rPr>
        <w:t xml:space="preserve"> En la sección número II, se describe el contexto regional y el estado</w:t>
      </w:r>
      <w:r w:rsidRPr="00411DC3" w:rsidR="007014A8">
        <w:rPr>
          <w:rFonts w:ascii="Arial" w:hAnsi="Arial" w:cs="Arial"/>
          <w:lang w:val="es-ES"/>
        </w:rPr>
        <w:t xml:space="preserve"> de</w:t>
      </w:r>
      <w:r w:rsidRPr="00411DC3" w:rsidR="00A87806">
        <w:rPr>
          <w:rFonts w:ascii="Arial" w:hAnsi="Arial" w:cs="Arial"/>
          <w:lang w:val="es-ES"/>
        </w:rPr>
        <w:t xml:space="preserve"> la</w:t>
      </w:r>
      <w:r w:rsidRPr="00411DC3" w:rsidR="007014A8">
        <w:rPr>
          <w:rFonts w:ascii="Arial" w:hAnsi="Arial" w:cs="Arial"/>
          <w:lang w:val="es-ES"/>
        </w:rPr>
        <w:t xml:space="preserve"> integración </w:t>
      </w:r>
      <w:r w:rsidRPr="00411DC3" w:rsidR="00837033">
        <w:rPr>
          <w:rFonts w:ascii="Arial" w:hAnsi="Arial" w:cs="Arial"/>
          <w:lang w:val="es-ES"/>
        </w:rPr>
        <w:t>económica</w:t>
      </w:r>
      <w:r w:rsidRPr="00411DC3" w:rsidR="007014A8">
        <w:rPr>
          <w:rFonts w:ascii="Arial" w:hAnsi="Arial" w:cs="Arial"/>
          <w:lang w:val="es-ES"/>
        </w:rPr>
        <w:t xml:space="preserve"> en el marco del proce</w:t>
      </w:r>
      <w:r w:rsidRPr="00411DC3" w:rsidR="00A87806">
        <w:rPr>
          <w:rFonts w:ascii="Arial" w:hAnsi="Arial" w:cs="Arial"/>
          <w:lang w:val="es-ES"/>
        </w:rPr>
        <w:t xml:space="preserve">so de integración </w:t>
      </w:r>
      <w:r w:rsidRPr="00411DC3" w:rsidR="00837033">
        <w:rPr>
          <w:rFonts w:ascii="Arial" w:hAnsi="Arial" w:cs="Arial"/>
          <w:lang w:val="es-ES"/>
        </w:rPr>
        <w:t xml:space="preserve">centroamericana, </w:t>
      </w:r>
      <w:r w:rsidRPr="00411DC3" w:rsidR="00A87806">
        <w:rPr>
          <w:rFonts w:ascii="Arial" w:hAnsi="Arial" w:cs="Arial"/>
          <w:lang w:val="es-ES"/>
        </w:rPr>
        <w:t xml:space="preserve">haciendo énfasis en el caso particular de </w:t>
      </w:r>
      <w:r w:rsidRPr="00411DC3" w:rsidR="008E7F84">
        <w:rPr>
          <w:rFonts w:ascii="Arial" w:hAnsi="Arial" w:cs="Arial"/>
          <w:lang w:val="es-ES"/>
        </w:rPr>
        <w:t>Honduras</w:t>
      </w:r>
      <w:r w:rsidRPr="00411DC3" w:rsidR="00A87806">
        <w:rPr>
          <w:rFonts w:ascii="Arial" w:hAnsi="Arial" w:cs="Arial"/>
          <w:lang w:val="es-ES"/>
        </w:rPr>
        <w:t xml:space="preserve">. En la sección número III </w:t>
      </w:r>
      <w:r w:rsidRPr="00411DC3" w:rsidR="007014A8">
        <w:rPr>
          <w:rFonts w:ascii="Arial" w:hAnsi="Arial" w:cs="Arial"/>
          <w:lang w:val="es-ES"/>
        </w:rPr>
        <w:t>se presentan los argumentos cualitativos y cuantitativos que demuestran que la operación contribuye a mejorar la integración económica</w:t>
      </w:r>
      <w:r w:rsidRPr="00411DC3" w:rsidR="00837033">
        <w:rPr>
          <w:rFonts w:ascii="Arial" w:hAnsi="Arial" w:cs="Arial"/>
          <w:lang w:val="es-ES"/>
        </w:rPr>
        <w:t xml:space="preserve"> regional y global</w:t>
      </w:r>
      <w:r w:rsidRPr="00411DC3" w:rsidR="007014A8">
        <w:rPr>
          <w:rFonts w:ascii="Arial" w:hAnsi="Arial" w:cs="Arial"/>
          <w:lang w:val="es-ES"/>
        </w:rPr>
        <w:t xml:space="preserve">. </w:t>
      </w:r>
      <w:r w:rsidRPr="00411DC3" w:rsidR="00A87806">
        <w:rPr>
          <w:rFonts w:ascii="Arial" w:hAnsi="Arial" w:cs="Arial"/>
          <w:lang w:val="es-ES"/>
        </w:rPr>
        <w:t>Finalmente, en la sección número IV se</w:t>
      </w:r>
      <w:r w:rsidRPr="00411DC3" w:rsidR="007014A8">
        <w:rPr>
          <w:rFonts w:ascii="Arial" w:hAnsi="Arial" w:cs="Arial"/>
          <w:lang w:val="es-ES"/>
        </w:rPr>
        <w:t xml:space="preserve"> valida la alineación de la operación con el Desafío de Integración Económica de acuerdo con la EIB y con la Estrategia Sectorial del Banco de Apoyo a la Integración Competitiva, Regional y Global (GN-2564-4).</w:t>
      </w:r>
    </w:p>
    <w:p w:rsidRPr="00411DC3" w:rsidR="00232BDF" w:rsidP="00BE67A2" w:rsidRDefault="00232BDF" w14:paraId="74B890D4" w14:textId="77777777">
      <w:pPr>
        <w:tabs>
          <w:tab w:val="left" w:pos="270"/>
          <w:tab w:val="left" w:pos="2085"/>
        </w:tabs>
        <w:spacing w:after="0" w:line="0" w:lineRule="atLeast"/>
        <w:jc w:val="both"/>
        <w:rPr>
          <w:rFonts w:ascii="Arial" w:hAnsi="Arial" w:cs="Arial"/>
          <w:lang w:val="es-ES"/>
        </w:rPr>
      </w:pPr>
    </w:p>
    <w:p w:rsidRPr="00411DC3" w:rsidR="00153695" w:rsidP="00153695" w:rsidRDefault="00B6736B" w14:paraId="679905A1" w14:textId="77777777">
      <w:pPr>
        <w:pStyle w:val="ListParagraph"/>
        <w:numPr>
          <w:ilvl w:val="0"/>
          <w:numId w:val="1"/>
        </w:numPr>
        <w:tabs>
          <w:tab w:val="left" w:pos="360"/>
          <w:tab w:val="left" w:pos="450"/>
        </w:tabs>
        <w:spacing w:after="0" w:line="240" w:lineRule="auto"/>
        <w:ind w:hanging="630"/>
        <w:jc w:val="both"/>
        <w:rPr>
          <w:rFonts w:ascii="Arial" w:hAnsi="Arial" w:cs="Arial"/>
          <w:b/>
          <w:color w:val="1F497D"/>
          <w:lang w:val="es-ES"/>
        </w:rPr>
      </w:pPr>
      <w:r w:rsidRPr="00411DC3">
        <w:rPr>
          <w:rFonts w:ascii="Arial" w:hAnsi="Arial" w:cs="Arial"/>
          <w:b/>
          <w:color w:val="1F497D"/>
          <w:lang w:val="es-ES"/>
        </w:rPr>
        <w:lastRenderedPageBreak/>
        <w:t>Infraestructura e Integración Económica</w:t>
      </w:r>
    </w:p>
    <w:p w:rsidRPr="00411DC3" w:rsidR="00153695" w:rsidP="00153695" w:rsidRDefault="00153695" w14:paraId="7479F1FD" w14:textId="77777777">
      <w:pPr>
        <w:pStyle w:val="ListParagraph"/>
        <w:tabs>
          <w:tab w:val="left" w:pos="360"/>
          <w:tab w:val="left" w:pos="450"/>
        </w:tabs>
        <w:spacing w:after="0" w:line="240" w:lineRule="auto"/>
        <w:jc w:val="both"/>
        <w:rPr>
          <w:rFonts w:ascii="Arial" w:hAnsi="Arial" w:cs="Arial"/>
          <w:b/>
          <w:color w:val="1F497D"/>
          <w:lang w:val="es-ES"/>
        </w:rPr>
      </w:pPr>
    </w:p>
    <w:p w:rsidRPr="00411DC3" w:rsidR="00240EF9" w:rsidP="00240EF9" w:rsidRDefault="00240EF9" w14:paraId="05456476" w14:textId="77777777">
      <w:pPr>
        <w:tabs>
          <w:tab w:val="left" w:pos="270"/>
          <w:tab w:val="left" w:pos="360"/>
          <w:tab w:val="left" w:pos="450"/>
          <w:tab w:val="left" w:pos="2085"/>
        </w:tabs>
        <w:spacing w:after="0" w:line="240" w:lineRule="auto"/>
        <w:jc w:val="both"/>
        <w:rPr>
          <w:rFonts w:ascii="Arial" w:hAnsi="Arial" w:cs="Arial"/>
          <w:b/>
          <w:u w:val="single"/>
          <w:lang w:val="es-ES"/>
        </w:rPr>
      </w:pPr>
      <w:r w:rsidRPr="00411DC3">
        <w:rPr>
          <w:rFonts w:ascii="Arial" w:hAnsi="Arial" w:cs="Arial"/>
          <w:b/>
          <w:u w:val="single"/>
          <w:lang w:val="es-ES"/>
        </w:rPr>
        <w:t>Contexto Regional</w:t>
      </w:r>
    </w:p>
    <w:p w:rsidRPr="00411DC3" w:rsidR="00240EF9" w:rsidP="00240EF9" w:rsidRDefault="00240EF9" w14:paraId="522BA58F" w14:textId="77777777">
      <w:pPr>
        <w:pStyle w:val="ListParagraph"/>
        <w:rPr>
          <w:rFonts w:ascii="Arial" w:hAnsi="Arial" w:cs="Arial"/>
          <w:b/>
          <w:u w:val="single"/>
          <w:lang w:val="es-ES"/>
        </w:rPr>
      </w:pPr>
    </w:p>
    <w:p w:rsidRPr="00411DC3" w:rsidR="002C2FD5" w:rsidP="003C3711" w:rsidRDefault="00836AAC" w14:paraId="6F7B3C9B" w14:textId="7E59DFCC">
      <w:pPr>
        <w:pStyle w:val="ListParagraph"/>
        <w:numPr>
          <w:ilvl w:val="1"/>
          <w:numId w:val="20"/>
        </w:numPr>
        <w:tabs>
          <w:tab w:val="left" w:pos="270"/>
          <w:tab w:val="left" w:pos="360"/>
          <w:tab w:val="left" w:pos="450"/>
          <w:tab w:val="left" w:pos="2085"/>
        </w:tabs>
        <w:spacing w:after="0" w:line="240" w:lineRule="auto"/>
        <w:ind w:left="90"/>
        <w:jc w:val="both"/>
        <w:rPr>
          <w:rFonts w:ascii="Arial" w:hAnsi="Arial" w:cs="Arial"/>
          <w:lang w:val="es-ES"/>
        </w:rPr>
      </w:pPr>
      <w:r w:rsidRPr="00411DC3">
        <w:rPr>
          <w:rFonts w:ascii="Arial" w:hAnsi="Arial" w:cs="Arial"/>
          <w:lang w:val="es-ES"/>
        </w:rPr>
        <w:t xml:space="preserve">En el contexto internacional actual de bajo crecimiento económico global, el estado de la integración económica regional de los países de América Latina y el Caribe cobra vital importancia. </w:t>
      </w:r>
      <w:r w:rsidRPr="00411DC3" w:rsidR="002C2FD5">
        <w:rPr>
          <w:rFonts w:ascii="Arial" w:hAnsi="Arial" w:cs="Arial"/>
          <w:lang w:val="es-ES"/>
        </w:rPr>
        <w:t xml:space="preserve">Lo anterior, fue empíricamente demostrado, </w:t>
      </w:r>
      <w:r w:rsidRPr="00411DC3" w:rsidR="001F0F01">
        <w:rPr>
          <w:rFonts w:ascii="Arial" w:hAnsi="Arial" w:cs="Arial"/>
          <w:lang w:val="es-ES"/>
        </w:rPr>
        <w:t>en el Informe macroeconómico del BID del año pasado</w:t>
      </w:r>
      <w:r w:rsidRPr="00411DC3" w:rsidR="00070E4B">
        <w:rPr>
          <w:rStyle w:val="FootnoteReference"/>
          <w:rFonts w:cs="Arial"/>
          <w:sz w:val="22"/>
          <w:lang w:val="es-ES"/>
        </w:rPr>
        <w:footnoteReference w:id="5"/>
      </w:r>
      <w:r w:rsidRPr="00411DC3" w:rsidR="001F0F01">
        <w:rPr>
          <w:rFonts w:ascii="Arial" w:hAnsi="Arial" w:cs="Arial"/>
          <w:lang w:val="es-ES"/>
        </w:rPr>
        <w:t xml:space="preserve">, en el cual, </w:t>
      </w:r>
      <w:r w:rsidRPr="00411DC3" w:rsidR="002C2FD5">
        <w:rPr>
          <w:rFonts w:ascii="Arial" w:hAnsi="Arial" w:cs="Arial"/>
          <w:lang w:val="es-ES"/>
        </w:rPr>
        <w:t xml:space="preserve">basándose en el análisis de los shocks externos relacionados a los fenómenos que afectan el flujo de recursos de las economías (como los precios internacionales de las materias primas, la demanda mundial de bienes y servicios y la tasa de interés de EEUU), la situación interna de los países de América Latina y el avance en el desarrollo de los mercados regionales, </w:t>
      </w:r>
      <w:r w:rsidRPr="00411DC3" w:rsidR="001F0F01">
        <w:rPr>
          <w:rFonts w:ascii="Arial" w:hAnsi="Arial" w:cs="Arial"/>
          <w:lang w:val="es-ES"/>
        </w:rPr>
        <w:t>se concluye que</w:t>
      </w:r>
      <w:r w:rsidRPr="00411DC3" w:rsidR="002C2FD5">
        <w:rPr>
          <w:rFonts w:ascii="Arial" w:hAnsi="Arial" w:cs="Arial"/>
          <w:lang w:val="es-ES"/>
        </w:rPr>
        <w:t xml:space="preserve"> independientemente del escenario comercial predominante, la región sólo puede ganar con un mercado interno más fuerte, más eficiente y plenamente integrado.</w:t>
      </w:r>
    </w:p>
    <w:p w:rsidRPr="00411DC3" w:rsidR="002C2FD5" w:rsidP="002C2FD5" w:rsidRDefault="002C2FD5" w14:paraId="65D10875" w14:textId="77777777">
      <w:pPr>
        <w:pStyle w:val="ListParagraph"/>
        <w:tabs>
          <w:tab w:val="left" w:pos="270"/>
          <w:tab w:val="left" w:pos="360"/>
          <w:tab w:val="left" w:pos="450"/>
          <w:tab w:val="left" w:pos="2085"/>
        </w:tabs>
        <w:spacing w:after="0" w:line="240" w:lineRule="auto"/>
        <w:ind w:left="90"/>
        <w:jc w:val="both"/>
        <w:rPr>
          <w:rFonts w:ascii="Arial" w:hAnsi="Arial" w:cs="Arial"/>
          <w:lang w:val="es-ES"/>
        </w:rPr>
      </w:pPr>
    </w:p>
    <w:p w:rsidRPr="00411DC3" w:rsidR="000900E0" w:rsidP="003C3711" w:rsidRDefault="009E2F30" w14:paraId="1F3E5DFA" w14:textId="77777777">
      <w:pPr>
        <w:pStyle w:val="ListParagraph"/>
        <w:numPr>
          <w:ilvl w:val="1"/>
          <w:numId w:val="20"/>
        </w:numPr>
        <w:tabs>
          <w:tab w:val="left" w:pos="270"/>
          <w:tab w:val="left" w:pos="360"/>
          <w:tab w:val="left" w:pos="450"/>
          <w:tab w:val="left" w:pos="2085"/>
        </w:tabs>
        <w:spacing w:after="0" w:line="240" w:lineRule="auto"/>
        <w:ind w:left="90"/>
        <w:jc w:val="both"/>
        <w:rPr>
          <w:rFonts w:ascii="Arial" w:hAnsi="Arial" w:cs="Arial"/>
          <w:lang w:val="es-ES"/>
        </w:rPr>
      </w:pPr>
      <w:r w:rsidRPr="00411DC3">
        <w:rPr>
          <w:rFonts w:ascii="Arial" w:hAnsi="Arial" w:cs="Arial"/>
          <w:lang w:val="es-ES"/>
        </w:rPr>
        <w:t xml:space="preserve">En el ámbito regional, </w:t>
      </w:r>
      <w:r w:rsidRPr="00411DC3" w:rsidR="008D2028">
        <w:rPr>
          <w:rFonts w:ascii="Arial" w:hAnsi="Arial" w:cs="Arial"/>
          <w:lang w:val="es-ES"/>
        </w:rPr>
        <w:t xml:space="preserve">de acuerdo al Fondo Monetario Internacional (IMF, WEO) </w:t>
      </w:r>
      <w:r w:rsidRPr="00411DC3">
        <w:rPr>
          <w:rFonts w:ascii="Arial" w:hAnsi="Arial" w:cs="Arial"/>
          <w:lang w:val="es-ES"/>
        </w:rPr>
        <w:t>e</w:t>
      </w:r>
      <w:r w:rsidRPr="00411DC3" w:rsidR="00812016">
        <w:rPr>
          <w:rFonts w:ascii="Arial" w:hAnsi="Arial" w:cs="Arial"/>
          <w:lang w:val="es-ES"/>
        </w:rPr>
        <w:t xml:space="preserve">l crecimiento promedio del PIB real de </w:t>
      </w:r>
      <w:r w:rsidRPr="00411DC3" w:rsidR="00763583">
        <w:rPr>
          <w:rFonts w:ascii="Arial" w:hAnsi="Arial" w:cs="Arial"/>
          <w:lang w:val="es-ES"/>
        </w:rPr>
        <w:t>Honduras</w:t>
      </w:r>
      <w:r w:rsidRPr="00411DC3" w:rsidR="00812016">
        <w:rPr>
          <w:rFonts w:ascii="Arial" w:hAnsi="Arial" w:cs="Arial"/>
          <w:lang w:val="es-ES"/>
        </w:rPr>
        <w:t xml:space="preserve"> ha sido de los más altos de Centroamérica, por el orden de </w:t>
      </w:r>
      <w:r w:rsidRPr="00411DC3" w:rsidR="008D2028">
        <w:rPr>
          <w:rFonts w:ascii="Arial" w:hAnsi="Arial" w:cs="Arial"/>
          <w:lang w:val="es-ES"/>
        </w:rPr>
        <w:t>4.2</w:t>
      </w:r>
      <w:r w:rsidRPr="00411DC3" w:rsidR="00F577E9">
        <w:rPr>
          <w:rFonts w:ascii="Arial" w:hAnsi="Arial" w:cs="Arial"/>
          <w:lang w:val="es-ES"/>
        </w:rPr>
        <w:t>%</w:t>
      </w:r>
      <w:r w:rsidRPr="00411DC3" w:rsidR="007638B9">
        <w:rPr>
          <w:rFonts w:ascii="Arial" w:hAnsi="Arial" w:cs="Arial"/>
          <w:lang w:val="es-ES"/>
        </w:rPr>
        <w:t xml:space="preserve"> para los últimos diez años</w:t>
      </w:r>
      <w:r w:rsidRPr="00411DC3" w:rsidR="00B22882">
        <w:rPr>
          <w:rFonts w:ascii="Arial" w:hAnsi="Arial" w:cs="Arial"/>
          <w:lang w:val="es-ES"/>
        </w:rPr>
        <w:t xml:space="preserve"> (Ver figura No. </w:t>
      </w:r>
      <w:r w:rsidRPr="00411DC3" w:rsidR="00F83464">
        <w:rPr>
          <w:rFonts w:ascii="Arial" w:hAnsi="Arial" w:cs="Arial"/>
          <w:lang w:val="es-ES"/>
        </w:rPr>
        <w:t>1</w:t>
      </w:r>
      <w:r w:rsidRPr="00411DC3" w:rsidR="00F444B7">
        <w:rPr>
          <w:rFonts w:ascii="Arial" w:hAnsi="Arial" w:cs="Arial"/>
          <w:lang w:val="es-ES"/>
        </w:rPr>
        <w:t>)</w:t>
      </w:r>
      <w:r w:rsidRPr="00411DC3" w:rsidR="00812016">
        <w:rPr>
          <w:rFonts w:ascii="Arial" w:hAnsi="Arial" w:cs="Arial"/>
          <w:lang w:val="es-ES"/>
        </w:rPr>
        <w:t xml:space="preserve">. </w:t>
      </w:r>
      <w:r w:rsidRPr="00411DC3" w:rsidR="00957815">
        <w:rPr>
          <w:rFonts w:ascii="Arial" w:hAnsi="Arial" w:cs="Arial"/>
          <w:lang w:val="es-ES"/>
        </w:rPr>
        <w:t>Honduras es un país pequeño y abierto</w:t>
      </w:r>
      <w:r w:rsidRPr="00411DC3" w:rsidR="00A92DF0">
        <w:rPr>
          <w:rFonts w:ascii="Arial" w:hAnsi="Arial" w:cs="Arial"/>
          <w:lang w:val="es-ES"/>
        </w:rPr>
        <w:t xml:space="preserve">, el índice de apertura comercial medido por la ratio </w:t>
      </w:r>
      <w:r w:rsidRPr="00411DC3" w:rsidR="00F577E9">
        <w:rPr>
          <w:rFonts w:ascii="Arial" w:hAnsi="Arial" w:cs="Arial"/>
          <w:lang w:val="es-ES"/>
        </w:rPr>
        <w:t>C</w:t>
      </w:r>
      <w:r w:rsidRPr="00411DC3" w:rsidR="00A92DF0">
        <w:rPr>
          <w:rFonts w:ascii="Arial" w:hAnsi="Arial" w:cs="Arial"/>
          <w:lang w:val="es-ES"/>
        </w:rPr>
        <w:t xml:space="preserve">omercio </w:t>
      </w:r>
      <w:r w:rsidRPr="00411DC3" w:rsidR="00F577E9">
        <w:rPr>
          <w:rFonts w:ascii="Arial" w:hAnsi="Arial" w:cs="Arial"/>
          <w:lang w:val="es-ES"/>
        </w:rPr>
        <w:t>T</w:t>
      </w:r>
      <w:r w:rsidRPr="00411DC3" w:rsidR="00A92DF0">
        <w:rPr>
          <w:rFonts w:ascii="Arial" w:hAnsi="Arial" w:cs="Arial"/>
          <w:lang w:val="es-ES"/>
        </w:rPr>
        <w:t>otal/PIB</w:t>
      </w:r>
      <w:r w:rsidRPr="00411DC3" w:rsidR="00A92DF0">
        <w:rPr>
          <w:rStyle w:val="FootnoteReference"/>
          <w:rFonts w:cs="Arial"/>
          <w:sz w:val="22"/>
          <w:lang w:val="es-ES"/>
        </w:rPr>
        <w:footnoteReference w:id="6"/>
      </w:r>
      <w:r w:rsidRPr="00411DC3" w:rsidR="00A92DF0">
        <w:rPr>
          <w:rFonts w:ascii="Arial" w:hAnsi="Arial" w:cs="Arial"/>
          <w:lang w:val="es-ES"/>
        </w:rPr>
        <w:t xml:space="preserve"> fue de </w:t>
      </w:r>
      <w:r w:rsidRPr="00411DC3" w:rsidR="00957815">
        <w:rPr>
          <w:rFonts w:ascii="Arial" w:hAnsi="Arial" w:cs="Arial"/>
          <w:lang w:val="es-ES"/>
        </w:rPr>
        <w:t>57</w:t>
      </w:r>
      <w:r w:rsidRPr="00411DC3" w:rsidR="00770A57">
        <w:rPr>
          <w:rFonts w:ascii="Arial" w:hAnsi="Arial" w:cs="Arial"/>
          <w:lang w:val="es-ES"/>
        </w:rPr>
        <w:t>%</w:t>
      </w:r>
      <w:r w:rsidRPr="00411DC3" w:rsidR="00957815">
        <w:rPr>
          <w:rFonts w:ascii="Arial" w:hAnsi="Arial" w:cs="Arial"/>
          <w:lang w:val="es-ES"/>
        </w:rPr>
        <w:t xml:space="preserve"> en el año</w:t>
      </w:r>
      <w:r w:rsidRPr="00411DC3" w:rsidR="001A3F40">
        <w:rPr>
          <w:rFonts w:ascii="Arial" w:hAnsi="Arial" w:cs="Arial"/>
          <w:lang w:val="es-ES"/>
        </w:rPr>
        <w:t xml:space="preserve"> </w:t>
      </w:r>
      <w:r w:rsidRPr="00411DC3" w:rsidR="00957815">
        <w:rPr>
          <w:rFonts w:ascii="Arial" w:hAnsi="Arial" w:cs="Arial"/>
          <w:lang w:val="es-ES"/>
        </w:rPr>
        <w:t>2016</w:t>
      </w:r>
      <w:r w:rsidRPr="00411DC3" w:rsidR="00CA19B4">
        <w:rPr>
          <w:rFonts w:ascii="Arial" w:hAnsi="Arial" w:cs="Arial"/>
          <w:lang w:val="es-ES"/>
        </w:rPr>
        <w:t>, superado solo por Nicaragua (</w:t>
      </w:r>
      <w:r w:rsidRPr="00411DC3" w:rsidR="00BD0C17">
        <w:rPr>
          <w:rFonts w:ascii="Arial" w:hAnsi="Arial" w:cs="Arial"/>
          <w:lang w:val="es-ES"/>
        </w:rPr>
        <w:t>61%)</w:t>
      </w:r>
      <w:r w:rsidRPr="00411DC3" w:rsidR="00150A66">
        <w:rPr>
          <w:rFonts w:ascii="Arial" w:hAnsi="Arial" w:cs="Arial"/>
          <w:lang w:val="es-ES"/>
        </w:rPr>
        <w:t xml:space="preserve"> (Ver Figura No. 2)</w:t>
      </w:r>
      <w:r w:rsidRPr="00411DC3" w:rsidR="00770A57">
        <w:rPr>
          <w:rFonts w:ascii="Arial" w:hAnsi="Arial" w:cs="Arial"/>
          <w:lang w:val="es-ES"/>
        </w:rPr>
        <w:t xml:space="preserve">, </w:t>
      </w:r>
      <w:r w:rsidRPr="00411DC3">
        <w:rPr>
          <w:rFonts w:ascii="Arial" w:hAnsi="Arial" w:cs="Arial"/>
          <w:lang w:val="es-ES"/>
        </w:rPr>
        <w:t xml:space="preserve">lo cual indica un </w:t>
      </w:r>
      <w:r w:rsidRPr="00411DC3" w:rsidR="001A3F40">
        <w:rPr>
          <w:rFonts w:ascii="Arial" w:hAnsi="Arial" w:cs="Arial"/>
          <w:lang w:val="es-ES"/>
        </w:rPr>
        <w:t xml:space="preserve">alto </w:t>
      </w:r>
      <w:r w:rsidRPr="00411DC3">
        <w:rPr>
          <w:rFonts w:ascii="Arial" w:hAnsi="Arial" w:cs="Arial"/>
          <w:lang w:val="es-ES"/>
        </w:rPr>
        <w:t xml:space="preserve">grado de apertura comercial </w:t>
      </w:r>
      <w:r w:rsidRPr="00411DC3" w:rsidR="00770A57">
        <w:rPr>
          <w:rFonts w:ascii="Arial" w:hAnsi="Arial" w:cs="Arial"/>
          <w:lang w:val="es-ES"/>
        </w:rPr>
        <w:t xml:space="preserve">en comparación con </w:t>
      </w:r>
      <w:r w:rsidRPr="00411DC3">
        <w:rPr>
          <w:rFonts w:ascii="Arial" w:hAnsi="Arial" w:cs="Arial"/>
          <w:lang w:val="es-ES"/>
        </w:rPr>
        <w:t>lo</w:t>
      </w:r>
      <w:r w:rsidRPr="00411DC3" w:rsidR="00770A57">
        <w:rPr>
          <w:rFonts w:ascii="Arial" w:hAnsi="Arial" w:cs="Arial"/>
          <w:lang w:val="es-ES"/>
        </w:rPr>
        <w:t xml:space="preserve"> que se observa </w:t>
      </w:r>
      <w:r w:rsidRPr="00411DC3" w:rsidR="000900E0">
        <w:rPr>
          <w:rFonts w:ascii="Arial" w:hAnsi="Arial" w:cs="Arial"/>
          <w:lang w:val="es-ES"/>
        </w:rPr>
        <w:t>en promedio para</w:t>
      </w:r>
      <w:r w:rsidRPr="00411DC3" w:rsidR="00770A57">
        <w:rPr>
          <w:rFonts w:ascii="Arial" w:hAnsi="Arial" w:cs="Arial"/>
          <w:lang w:val="es-ES"/>
        </w:rPr>
        <w:t xml:space="preserve"> los países de Centroamérica</w:t>
      </w:r>
      <w:r w:rsidRPr="00411DC3" w:rsidR="000900E0">
        <w:rPr>
          <w:rFonts w:ascii="Arial" w:hAnsi="Arial" w:cs="Arial"/>
          <w:lang w:val="es-ES"/>
        </w:rPr>
        <w:t xml:space="preserve"> (38%). </w:t>
      </w:r>
    </w:p>
    <w:p w:rsidRPr="00411DC3" w:rsidR="00C72A13" w:rsidP="00C72A13" w:rsidRDefault="00C72A13" w14:paraId="36A801C2" w14:textId="77777777">
      <w:pPr>
        <w:tabs>
          <w:tab w:val="left" w:pos="270"/>
          <w:tab w:val="left" w:pos="360"/>
          <w:tab w:val="left" w:pos="450"/>
          <w:tab w:val="left" w:pos="2085"/>
        </w:tabs>
        <w:spacing w:after="0" w:line="240" w:lineRule="auto"/>
        <w:jc w:val="center"/>
        <w:rPr>
          <w:rFonts w:ascii="Arial" w:hAnsi="Arial" w:cs="Arial"/>
          <w:b/>
          <w:color w:val="3B3838" w:themeColor="background2" w:themeShade="40"/>
          <w:lang w:val="es-ES_tradnl"/>
        </w:rPr>
      </w:pPr>
      <w:r w:rsidRPr="00411DC3">
        <w:rPr>
          <w:rFonts w:ascii="Arial" w:hAnsi="Arial" w:cs="Arial"/>
          <w:b/>
          <w:color w:val="3B3838" w:themeColor="background2" w:themeShade="40"/>
          <w:lang w:val="es-ES_tradnl"/>
        </w:rPr>
        <w:t xml:space="preserve">Figura No. </w:t>
      </w:r>
      <w:r w:rsidRPr="00411DC3" w:rsidR="00150A66">
        <w:rPr>
          <w:rFonts w:ascii="Arial" w:hAnsi="Arial" w:cs="Arial"/>
          <w:b/>
          <w:color w:val="3B3838" w:themeColor="background2" w:themeShade="40"/>
          <w:lang w:val="es-ES_tradnl"/>
        </w:rPr>
        <w:t>1</w:t>
      </w:r>
      <w:r w:rsidRPr="00411DC3">
        <w:rPr>
          <w:rFonts w:ascii="Arial" w:hAnsi="Arial" w:cs="Arial"/>
          <w:b/>
          <w:color w:val="3B3838" w:themeColor="background2" w:themeShade="40"/>
          <w:lang w:val="es-ES_tradnl"/>
        </w:rPr>
        <w:t xml:space="preserve"> Producto Interno Bruto a precios constantes – </w:t>
      </w:r>
      <w:r w:rsidRPr="00411DC3" w:rsidR="00F5666E">
        <w:rPr>
          <w:rFonts w:ascii="Arial" w:hAnsi="Arial" w:cs="Arial"/>
          <w:b/>
          <w:color w:val="3B3838" w:themeColor="background2" w:themeShade="40"/>
          <w:lang w:val="es-ES_tradnl"/>
        </w:rPr>
        <w:t>Honduras</w:t>
      </w:r>
    </w:p>
    <w:p w:rsidRPr="00411DC3" w:rsidR="00C72A13" w:rsidP="00C72A13" w:rsidRDefault="00C72A13" w14:paraId="66584352" w14:textId="77777777">
      <w:pPr>
        <w:tabs>
          <w:tab w:val="left" w:pos="270"/>
          <w:tab w:val="left" w:pos="360"/>
          <w:tab w:val="left" w:pos="450"/>
          <w:tab w:val="left" w:pos="2085"/>
        </w:tabs>
        <w:spacing w:after="0" w:line="240" w:lineRule="auto"/>
        <w:jc w:val="center"/>
        <w:rPr>
          <w:rFonts w:ascii="Arial" w:hAnsi="Arial" w:cs="Arial"/>
          <w:lang w:val="es-ES"/>
        </w:rPr>
      </w:pPr>
    </w:p>
    <w:p w:rsidRPr="00411DC3" w:rsidR="00A92DF0" w:rsidP="00116B3B" w:rsidRDefault="00EE56C5" w14:paraId="631B8471" w14:textId="77777777">
      <w:pPr>
        <w:tabs>
          <w:tab w:val="left" w:pos="270"/>
          <w:tab w:val="left" w:pos="360"/>
          <w:tab w:val="left" w:pos="450"/>
          <w:tab w:val="left" w:pos="2085"/>
        </w:tabs>
        <w:spacing w:after="0" w:line="240" w:lineRule="auto"/>
        <w:jc w:val="center"/>
        <w:rPr>
          <w:rFonts w:ascii="Arial" w:hAnsi="Arial" w:cs="Arial"/>
          <w:lang w:val="es-ES"/>
        </w:rPr>
      </w:pPr>
      <w:r w:rsidRPr="00411DC3">
        <w:rPr>
          <w:rFonts w:ascii="Arial" w:hAnsi="Arial" w:cs="Arial"/>
          <w:noProof/>
        </w:rPr>
        <w:drawing>
          <wp:inline distT="0" distB="0" distL="0" distR="0" wp14:anchorId="0B46D9F7" wp14:editId="38249712">
            <wp:extent cx="4519247" cy="2367915"/>
            <wp:effectExtent l="0" t="0" r="15240" b="13335"/>
            <wp:docPr id="2" name="Chart 2">
              <a:extLst xmlns:a="http://schemas.openxmlformats.org/drawingml/2006/main">
                <a:ext uri="{FF2B5EF4-FFF2-40B4-BE49-F238E27FC236}">
                  <a16:creationId xmlns:a16="http://schemas.microsoft.com/office/drawing/2014/main" id="{5407EE19-AAC1-4A07-9CA2-B084A108F2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Pr="00411DC3" w:rsidR="00F577E9" w:rsidP="00116B3B" w:rsidRDefault="00F577E9" w14:paraId="31B4D338" w14:textId="77777777">
      <w:pPr>
        <w:tabs>
          <w:tab w:val="left" w:pos="270"/>
          <w:tab w:val="left" w:pos="360"/>
          <w:tab w:val="left" w:pos="450"/>
          <w:tab w:val="left" w:pos="2085"/>
        </w:tabs>
        <w:spacing w:after="0" w:line="240" w:lineRule="auto"/>
        <w:jc w:val="center"/>
        <w:rPr>
          <w:rFonts w:ascii="Arial" w:hAnsi="Arial" w:cs="Arial"/>
          <w:i/>
          <w:lang w:val="es-ES"/>
        </w:rPr>
      </w:pPr>
      <w:r w:rsidRPr="00411DC3">
        <w:rPr>
          <w:rFonts w:ascii="Arial" w:hAnsi="Arial" w:cs="Arial"/>
          <w:i/>
          <w:lang w:val="es-ES"/>
        </w:rPr>
        <w:t>Fuente:</w:t>
      </w:r>
      <w:r w:rsidRPr="00411DC3" w:rsidR="009E21C8">
        <w:rPr>
          <w:rFonts w:ascii="Arial" w:hAnsi="Arial" w:cs="Arial"/>
          <w:lang w:val="es-ES_tradnl"/>
        </w:rPr>
        <w:t xml:space="preserve"> </w:t>
      </w:r>
      <w:r w:rsidRPr="00411DC3" w:rsidR="00957815">
        <w:rPr>
          <w:rFonts w:ascii="Arial" w:hAnsi="Arial" w:cs="Arial"/>
          <w:i/>
          <w:lang w:val="es-ES"/>
        </w:rPr>
        <w:t xml:space="preserve">Fondo Monetario Internacional (IMF) </w:t>
      </w:r>
    </w:p>
    <w:p w:rsidRPr="00411DC3" w:rsidR="00BA25DE" w:rsidP="00116B3B" w:rsidRDefault="00BA25DE" w14:paraId="0117E1F7" w14:textId="77777777">
      <w:pPr>
        <w:tabs>
          <w:tab w:val="left" w:pos="270"/>
          <w:tab w:val="left" w:pos="360"/>
          <w:tab w:val="left" w:pos="450"/>
          <w:tab w:val="left" w:pos="2085"/>
        </w:tabs>
        <w:spacing w:after="0" w:line="240" w:lineRule="auto"/>
        <w:jc w:val="center"/>
        <w:rPr>
          <w:rFonts w:ascii="Arial" w:hAnsi="Arial" w:cs="Arial"/>
          <w:lang w:val="es-ES"/>
        </w:rPr>
      </w:pPr>
    </w:p>
    <w:p w:rsidRPr="00411DC3" w:rsidR="00050010" w:rsidP="00116B3B" w:rsidRDefault="00050010" w14:paraId="0C447350" w14:textId="77777777">
      <w:pPr>
        <w:tabs>
          <w:tab w:val="left" w:pos="270"/>
          <w:tab w:val="left" w:pos="360"/>
          <w:tab w:val="left" w:pos="450"/>
          <w:tab w:val="left" w:pos="2085"/>
        </w:tabs>
        <w:spacing w:after="0" w:line="240" w:lineRule="auto"/>
        <w:jc w:val="center"/>
        <w:rPr>
          <w:rFonts w:ascii="Arial" w:hAnsi="Arial" w:cs="Arial"/>
          <w:b/>
          <w:color w:val="3B3838" w:themeColor="background2" w:themeShade="40"/>
          <w:lang w:val="es-ES_tradnl"/>
        </w:rPr>
      </w:pPr>
    </w:p>
    <w:p w:rsidRPr="00411DC3" w:rsidR="00050010" w:rsidP="00116B3B" w:rsidRDefault="00050010" w14:paraId="3908687B" w14:textId="77777777">
      <w:pPr>
        <w:tabs>
          <w:tab w:val="left" w:pos="270"/>
          <w:tab w:val="left" w:pos="360"/>
          <w:tab w:val="left" w:pos="450"/>
          <w:tab w:val="left" w:pos="2085"/>
        </w:tabs>
        <w:spacing w:after="0" w:line="240" w:lineRule="auto"/>
        <w:jc w:val="center"/>
        <w:rPr>
          <w:rFonts w:ascii="Arial" w:hAnsi="Arial" w:cs="Arial"/>
          <w:b/>
          <w:color w:val="3B3838" w:themeColor="background2" w:themeShade="40"/>
          <w:lang w:val="es-ES_tradnl"/>
        </w:rPr>
      </w:pPr>
    </w:p>
    <w:p w:rsidRPr="00411DC3" w:rsidR="00050010" w:rsidP="00116B3B" w:rsidRDefault="00050010" w14:paraId="129D004E" w14:textId="77777777">
      <w:pPr>
        <w:tabs>
          <w:tab w:val="left" w:pos="270"/>
          <w:tab w:val="left" w:pos="360"/>
          <w:tab w:val="left" w:pos="450"/>
          <w:tab w:val="left" w:pos="2085"/>
        </w:tabs>
        <w:spacing w:after="0" w:line="240" w:lineRule="auto"/>
        <w:jc w:val="center"/>
        <w:rPr>
          <w:rFonts w:ascii="Arial" w:hAnsi="Arial" w:cs="Arial"/>
          <w:b/>
          <w:color w:val="3B3838" w:themeColor="background2" w:themeShade="40"/>
          <w:lang w:val="es-ES_tradnl"/>
        </w:rPr>
      </w:pPr>
    </w:p>
    <w:p w:rsidRPr="00411DC3" w:rsidR="00BA25DE" w:rsidP="00116B3B" w:rsidRDefault="00C72A13" w14:paraId="0E94BAD0" w14:textId="77777777">
      <w:pPr>
        <w:tabs>
          <w:tab w:val="left" w:pos="270"/>
          <w:tab w:val="left" w:pos="360"/>
          <w:tab w:val="left" w:pos="450"/>
          <w:tab w:val="left" w:pos="2085"/>
        </w:tabs>
        <w:spacing w:after="0" w:line="240" w:lineRule="auto"/>
        <w:jc w:val="center"/>
        <w:rPr>
          <w:rFonts w:ascii="Arial" w:hAnsi="Arial" w:cs="Arial"/>
          <w:b/>
          <w:color w:val="3B3838" w:themeColor="background2" w:themeShade="40"/>
          <w:lang w:val="es-ES_tradnl"/>
        </w:rPr>
      </w:pPr>
      <w:r w:rsidRPr="00411DC3">
        <w:rPr>
          <w:rFonts w:ascii="Arial" w:hAnsi="Arial" w:cs="Arial"/>
          <w:b/>
          <w:color w:val="3B3838" w:themeColor="background2" w:themeShade="40"/>
          <w:lang w:val="es-ES_tradnl"/>
        </w:rPr>
        <w:t xml:space="preserve">Figura No. </w:t>
      </w:r>
      <w:r w:rsidRPr="00411DC3" w:rsidR="00150A66">
        <w:rPr>
          <w:rFonts w:ascii="Arial" w:hAnsi="Arial" w:cs="Arial"/>
          <w:b/>
          <w:color w:val="3B3838" w:themeColor="background2" w:themeShade="40"/>
          <w:lang w:val="es-ES_tradnl"/>
        </w:rPr>
        <w:t>2</w:t>
      </w:r>
      <w:r w:rsidRPr="00411DC3">
        <w:rPr>
          <w:rFonts w:ascii="Arial" w:hAnsi="Arial" w:cs="Arial"/>
          <w:b/>
          <w:color w:val="3B3838" w:themeColor="background2" w:themeShade="40"/>
          <w:lang w:val="es-ES_tradnl"/>
        </w:rPr>
        <w:t xml:space="preserve"> </w:t>
      </w:r>
      <w:r w:rsidRPr="00411DC3" w:rsidR="00BA25DE">
        <w:rPr>
          <w:rFonts w:ascii="Arial" w:hAnsi="Arial" w:cs="Arial"/>
          <w:b/>
          <w:color w:val="3B3838" w:themeColor="background2" w:themeShade="40"/>
          <w:lang w:val="es-ES_tradnl"/>
        </w:rPr>
        <w:t xml:space="preserve">Índice de Apertura Comercial de los países de </w:t>
      </w:r>
      <w:r w:rsidRPr="00411DC3" w:rsidR="0091009F">
        <w:rPr>
          <w:rFonts w:ascii="Arial" w:hAnsi="Arial" w:cs="Arial"/>
          <w:b/>
          <w:color w:val="3B3838" w:themeColor="background2" w:themeShade="40"/>
          <w:lang w:val="es-ES_tradnl"/>
        </w:rPr>
        <w:t>Centroamérica</w:t>
      </w:r>
      <w:r w:rsidRPr="00411DC3" w:rsidR="00CC659F">
        <w:rPr>
          <w:rFonts w:ascii="Arial" w:hAnsi="Arial" w:cs="Arial"/>
          <w:b/>
          <w:color w:val="3B3838" w:themeColor="background2" w:themeShade="40"/>
          <w:lang w:val="es-ES_tradnl"/>
        </w:rPr>
        <w:t xml:space="preserve"> </w:t>
      </w:r>
      <w:r w:rsidRPr="00411DC3" w:rsidR="0091009F">
        <w:rPr>
          <w:rFonts w:ascii="Arial" w:hAnsi="Arial" w:cs="Arial"/>
          <w:b/>
          <w:color w:val="3B3838" w:themeColor="background2" w:themeShade="40"/>
          <w:lang w:val="es-ES_tradnl"/>
        </w:rPr>
        <w:t>A</w:t>
      </w:r>
      <w:r w:rsidRPr="00411DC3" w:rsidR="00BA25DE">
        <w:rPr>
          <w:rFonts w:ascii="Arial" w:hAnsi="Arial" w:cs="Arial"/>
          <w:b/>
          <w:color w:val="3B3838" w:themeColor="background2" w:themeShade="40"/>
          <w:lang w:val="es-ES_tradnl"/>
        </w:rPr>
        <w:t>ño 201</w:t>
      </w:r>
      <w:r w:rsidRPr="00411DC3" w:rsidR="0091009F">
        <w:rPr>
          <w:rFonts w:ascii="Arial" w:hAnsi="Arial" w:cs="Arial"/>
          <w:b/>
          <w:color w:val="3B3838" w:themeColor="background2" w:themeShade="40"/>
          <w:lang w:val="es-ES_tradnl"/>
        </w:rPr>
        <w:t>6</w:t>
      </w:r>
      <w:r w:rsidRPr="00411DC3" w:rsidR="00BA25DE">
        <w:rPr>
          <w:rFonts w:ascii="Arial" w:hAnsi="Arial" w:cs="Arial"/>
          <w:b/>
          <w:color w:val="3B3838" w:themeColor="background2" w:themeShade="40"/>
          <w:lang w:val="es-ES_tradnl"/>
        </w:rPr>
        <w:t>.</w:t>
      </w:r>
    </w:p>
    <w:p w:rsidRPr="00411DC3" w:rsidR="00BA25DE" w:rsidP="00116B3B" w:rsidRDefault="00BA25DE" w14:paraId="7ACF7F92" w14:textId="77777777">
      <w:pPr>
        <w:tabs>
          <w:tab w:val="left" w:pos="270"/>
          <w:tab w:val="left" w:pos="360"/>
          <w:tab w:val="left" w:pos="450"/>
          <w:tab w:val="left" w:pos="2085"/>
        </w:tabs>
        <w:spacing w:after="0" w:line="240" w:lineRule="auto"/>
        <w:jc w:val="center"/>
        <w:rPr>
          <w:rFonts w:ascii="Arial" w:hAnsi="Arial" w:cs="Arial"/>
          <w:lang w:val="es-ES"/>
        </w:rPr>
      </w:pPr>
    </w:p>
    <w:p w:rsidRPr="00411DC3" w:rsidR="00BA25DE" w:rsidP="00116B3B" w:rsidRDefault="00DF7448" w14:paraId="055E0538" w14:textId="77777777">
      <w:pPr>
        <w:tabs>
          <w:tab w:val="left" w:pos="270"/>
          <w:tab w:val="left" w:pos="360"/>
          <w:tab w:val="left" w:pos="450"/>
          <w:tab w:val="left" w:pos="2085"/>
        </w:tabs>
        <w:spacing w:after="0" w:line="240" w:lineRule="auto"/>
        <w:jc w:val="center"/>
        <w:rPr>
          <w:rFonts w:ascii="Arial" w:hAnsi="Arial" w:cs="Arial"/>
          <w:lang w:val="es-ES"/>
        </w:rPr>
      </w:pPr>
      <w:r w:rsidRPr="00411DC3">
        <w:rPr>
          <w:rFonts w:ascii="Arial" w:hAnsi="Arial" w:cs="Arial"/>
          <w:noProof/>
          <w:color w:val="0000FF"/>
        </w:rPr>
        <w:lastRenderedPageBreak/>
        <w:drawing>
          <wp:inline distT="0" distB="0" distL="0" distR="0" wp14:anchorId="6EC46C2C" wp14:editId="0076BDA3">
            <wp:extent cx="4589953" cy="2265218"/>
            <wp:effectExtent l="0" t="0" r="1270" b="1905"/>
            <wp:docPr id="9" name="Chart 9">
              <a:extLst xmlns:a="http://schemas.openxmlformats.org/drawingml/2006/main">
                <a:ext uri="{FF2B5EF4-FFF2-40B4-BE49-F238E27FC236}">
                  <a16:creationId xmlns:a16="http://schemas.microsoft.com/office/drawing/2014/main" id="{282EEFD5-377E-42E2-99C9-65772529E2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Pr="00411DC3" w:rsidR="007C2677" w:rsidP="007C2677" w:rsidRDefault="007C2677" w14:paraId="02FAEE85" w14:textId="77777777">
      <w:pPr>
        <w:pStyle w:val="Heading2"/>
        <w:jc w:val="center"/>
        <w:rPr>
          <w:rFonts w:ascii="Arial" w:hAnsi="Arial" w:cs="Arial"/>
          <w:b/>
          <w:i/>
          <w:sz w:val="22"/>
          <w:szCs w:val="22"/>
          <w:lang w:val="es-ES_tradnl"/>
        </w:rPr>
      </w:pPr>
      <w:r w:rsidRPr="00411DC3">
        <w:rPr>
          <w:rFonts w:ascii="Arial" w:hAnsi="Arial" w:cs="Arial"/>
          <w:b/>
          <w:i/>
          <w:sz w:val="22"/>
          <w:szCs w:val="22"/>
          <w:lang w:val="es-ES_tradnl"/>
        </w:rPr>
        <w:t xml:space="preserve">Índice de apertura comercial promedio de los países de Centroamérica es 38% </w:t>
      </w:r>
      <w:r w:rsidRPr="00411DC3" w:rsidR="00163B8C">
        <w:rPr>
          <w:rFonts w:ascii="Arial" w:hAnsi="Arial" w:cs="Arial"/>
          <w:b/>
          <w:i/>
          <w:sz w:val="22"/>
          <w:szCs w:val="22"/>
          <w:lang w:val="es-ES_tradnl"/>
        </w:rPr>
        <w:t>para el a</w:t>
      </w:r>
      <w:r w:rsidRPr="00411DC3">
        <w:rPr>
          <w:rFonts w:ascii="Arial" w:hAnsi="Arial" w:cs="Arial"/>
          <w:b/>
          <w:i/>
          <w:sz w:val="22"/>
          <w:szCs w:val="22"/>
          <w:lang w:val="es-ES_tradnl"/>
        </w:rPr>
        <w:t>ño 2016</w:t>
      </w:r>
    </w:p>
    <w:p w:rsidRPr="00411DC3" w:rsidR="007C2677" w:rsidP="007C2677" w:rsidRDefault="007C2677" w14:paraId="6F9D0821" w14:textId="77777777">
      <w:pPr>
        <w:tabs>
          <w:tab w:val="left" w:pos="270"/>
          <w:tab w:val="left" w:pos="360"/>
          <w:tab w:val="left" w:pos="450"/>
          <w:tab w:val="left" w:pos="2085"/>
        </w:tabs>
        <w:spacing w:after="0" w:line="240" w:lineRule="auto"/>
        <w:jc w:val="center"/>
        <w:rPr>
          <w:rFonts w:ascii="Arial" w:hAnsi="Arial" w:cs="Arial"/>
          <w:i/>
          <w:iCs/>
          <w:color w:val="000000"/>
          <w:lang w:val="es-ES_tradnl"/>
        </w:rPr>
      </w:pPr>
      <w:r w:rsidRPr="00411DC3">
        <w:rPr>
          <w:rFonts w:ascii="Arial" w:hAnsi="Arial" w:cs="Arial"/>
          <w:i/>
          <w:iCs/>
          <w:color w:val="000000"/>
          <w:lang w:val="es-ES_tradnl"/>
        </w:rPr>
        <w:t>Fuente Elaboración Propia en base a Centro de Estudios para la Integración Económica (SIECA).</w:t>
      </w:r>
    </w:p>
    <w:p w:rsidRPr="00411DC3" w:rsidR="00DC2B3B" w:rsidP="007C2677" w:rsidRDefault="00DC2B3B" w14:paraId="764DD372" w14:textId="77777777">
      <w:pPr>
        <w:tabs>
          <w:tab w:val="left" w:pos="270"/>
          <w:tab w:val="left" w:pos="360"/>
          <w:tab w:val="left" w:pos="450"/>
          <w:tab w:val="left" w:pos="2085"/>
        </w:tabs>
        <w:spacing w:after="0" w:line="240" w:lineRule="auto"/>
        <w:jc w:val="center"/>
        <w:rPr>
          <w:rFonts w:ascii="Arial" w:hAnsi="Arial" w:cs="Arial"/>
          <w:lang w:val="es-ES"/>
        </w:rPr>
      </w:pPr>
    </w:p>
    <w:p w:rsidRPr="00411DC3" w:rsidR="0048350A" w:rsidP="003C3711" w:rsidRDefault="0008310A" w14:paraId="22B5BE1E" w14:textId="77777777">
      <w:pPr>
        <w:pStyle w:val="ListParagraph"/>
        <w:numPr>
          <w:ilvl w:val="1"/>
          <w:numId w:val="20"/>
        </w:numPr>
        <w:tabs>
          <w:tab w:val="left" w:pos="270"/>
          <w:tab w:val="left" w:pos="360"/>
          <w:tab w:val="left" w:pos="450"/>
          <w:tab w:val="left" w:pos="2085"/>
        </w:tabs>
        <w:spacing w:after="0" w:line="240" w:lineRule="auto"/>
        <w:ind w:left="90"/>
        <w:jc w:val="both"/>
        <w:rPr>
          <w:rFonts w:ascii="Arial" w:hAnsi="Arial" w:cs="Arial"/>
          <w:lang w:val="es-ES_tradnl"/>
        </w:rPr>
      </w:pPr>
      <w:r w:rsidRPr="00411DC3">
        <w:rPr>
          <w:rFonts w:ascii="Arial" w:hAnsi="Arial" w:cs="Arial"/>
          <w:lang w:val="es-ES"/>
        </w:rPr>
        <w:t xml:space="preserve"> </w:t>
      </w:r>
      <w:r w:rsidRPr="00411DC3" w:rsidR="0048350A">
        <w:rPr>
          <w:rFonts w:ascii="Arial" w:hAnsi="Arial" w:cs="Arial"/>
          <w:lang w:val="es-ES_tradnl"/>
        </w:rPr>
        <w:t>En su estructura económica Honduras</w:t>
      </w:r>
      <w:r w:rsidRPr="00411DC3" w:rsidR="000B5416">
        <w:rPr>
          <w:rFonts w:ascii="Arial" w:hAnsi="Arial" w:cs="Arial"/>
          <w:lang w:val="es-ES_tradnl"/>
        </w:rPr>
        <w:t>,</w:t>
      </w:r>
      <w:r w:rsidRPr="00411DC3" w:rsidR="0048350A">
        <w:rPr>
          <w:rFonts w:ascii="Arial" w:hAnsi="Arial" w:cs="Arial"/>
          <w:lang w:val="es-ES_tradnl"/>
        </w:rPr>
        <w:t xml:space="preserve"> refleja un sector terciario dominante en términos de su aporte al PIB (58% al cierre del 2016). Los sectores secundario y primario contribuyen en 28% y 13% al PIB nacional, respectivamente. Dicha estructura se ha mantenido relativamente estable entre los años 2007 y 2016, período en el que el peso relativo de los sectores agricultura, industria y servicios en la economía hondureña no ha presentado cambios significativos. El sector agropecuario y la producción industrial ligada a esta, destaca por su relevancia en el comercio exterior del país dado que los principales productos de exportación hondureños pertenecen </w:t>
      </w:r>
      <w:r w:rsidRPr="00411DC3" w:rsidR="000900E0">
        <w:rPr>
          <w:rFonts w:ascii="Arial" w:hAnsi="Arial" w:cs="Arial"/>
          <w:lang w:val="es-ES_tradnl"/>
        </w:rPr>
        <w:t>a dicho sector</w:t>
      </w:r>
      <w:r w:rsidRPr="00411DC3" w:rsidR="0048350A">
        <w:rPr>
          <w:rFonts w:ascii="Arial" w:hAnsi="Arial" w:cs="Arial"/>
          <w:lang w:val="es-ES_tradnl"/>
        </w:rPr>
        <w:t>. Otros sectores como la ganadería o la pesca dirigen su producción mayoritariamente al consumo nacional.</w:t>
      </w:r>
    </w:p>
    <w:p w:rsidRPr="00411DC3" w:rsidR="0048350A" w:rsidP="0048350A" w:rsidRDefault="0048350A" w14:paraId="314B488F" w14:textId="77777777">
      <w:pPr>
        <w:pStyle w:val="ListParagraph"/>
        <w:tabs>
          <w:tab w:val="left" w:pos="270"/>
          <w:tab w:val="left" w:pos="360"/>
          <w:tab w:val="left" w:pos="450"/>
          <w:tab w:val="left" w:pos="2085"/>
        </w:tabs>
        <w:spacing w:after="0" w:line="240" w:lineRule="auto"/>
        <w:ind w:left="90"/>
        <w:jc w:val="both"/>
        <w:rPr>
          <w:rFonts w:ascii="Arial" w:hAnsi="Arial" w:cs="Arial"/>
          <w:lang w:val="es-ES_tradnl"/>
        </w:rPr>
      </w:pPr>
    </w:p>
    <w:p w:rsidRPr="00411DC3" w:rsidR="008E33E6" w:rsidP="003C3711" w:rsidRDefault="00C94381" w14:paraId="302B709D" w14:textId="77777777">
      <w:pPr>
        <w:pStyle w:val="ListParagraph"/>
        <w:numPr>
          <w:ilvl w:val="1"/>
          <w:numId w:val="20"/>
        </w:numPr>
        <w:tabs>
          <w:tab w:val="left" w:pos="270"/>
          <w:tab w:val="left" w:pos="360"/>
          <w:tab w:val="left" w:pos="450"/>
          <w:tab w:val="left" w:pos="2085"/>
        </w:tabs>
        <w:spacing w:after="0" w:line="240" w:lineRule="auto"/>
        <w:ind w:left="90"/>
        <w:jc w:val="both"/>
        <w:rPr>
          <w:rFonts w:ascii="Arial" w:hAnsi="Arial" w:cs="Arial"/>
          <w:lang w:val="es-ES_tradnl"/>
        </w:rPr>
      </w:pPr>
      <w:r w:rsidRPr="00411DC3">
        <w:rPr>
          <w:rFonts w:ascii="Arial" w:hAnsi="Arial" w:cs="Arial"/>
          <w:lang w:val="es-ES_tradnl"/>
        </w:rPr>
        <w:t xml:space="preserve">Los principales productos de exportación de </w:t>
      </w:r>
      <w:r w:rsidRPr="00411DC3" w:rsidR="00045EB9">
        <w:rPr>
          <w:rFonts w:ascii="Arial" w:hAnsi="Arial" w:cs="Arial"/>
          <w:lang w:val="es-ES_tradnl"/>
        </w:rPr>
        <w:t>Honduras</w:t>
      </w:r>
      <w:r w:rsidRPr="00411DC3">
        <w:rPr>
          <w:rFonts w:ascii="Arial" w:hAnsi="Arial" w:cs="Arial"/>
          <w:lang w:val="es-ES_tradnl"/>
        </w:rPr>
        <w:t xml:space="preserve"> para el año 2016 fueron el </w:t>
      </w:r>
      <w:r w:rsidRPr="00411DC3" w:rsidR="00B27385">
        <w:rPr>
          <w:rFonts w:ascii="Arial" w:hAnsi="Arial" w:cs="Arial"/>
          <w:lang w:val="es-ES_tradnl"/>
        </w:rPr>
        <w:t>café</w:t>
      </w:r>
      <w:r w:rsidRPr="00411DC3">
        <w:rPr>
          <w:rFonts w:ascii="Arial" w:hAnsi="Arial" w:cs="Arial"/>
          <w:lang w:val="es-ES_tradnl"/>
        </w:rPr>
        <w:t>, representan</w:t>
      </w:r>
      <w:r w:rsidRPr="00411DC3" w:rsidR="00D102CD">
        <w:rPr>
          <w:rFonts w:ascii="Arial" w:hAnsi="Arial" w:cs="Arial"/>
          <w:lang w:val="es-ES_tradnl"/>
        </w:rPr>
        <w:t>do</w:t>
      </w:r>
      <w:r w:rsidRPr="00411DC3">
        <w:rPr>
          <w:rFonts w:ascii="Arial" w:hAnsi="Arial" w:cs="Arial"/>
          <w:lang w:val="es-ES_tradnl"/>
        </w:rPr>
        <w:t xml:space="preserve"> </w:t>
      </w:r>
      <w:r w:rsidRPr="00411DC3" w:rsidR="00B27385">
        <w:rPr>
          <w:rFonts w:ascii="Arial" w:hAnsi="Arial" w:cs="Arial"/>
          <w:lang w:val="es-ES_tradnl"/>
        </w:rPr>
        <w:t>12</w:t>
      </w:r>
      <w:r w:rsidRPr="00411DC3">
        <w:rPr>
          <w:rFonts w:ascii="Arial" w:hAnsi="Arial" w:cs="Arial"/>
          <w:lang w:val="es-ES_tradnl"/>
        </w:rPr>
        <w:t>% del total exportado, seguido de</w:t>
      </w:r>
      <w:r w:rsidRPr="00411DC3" w:rsidR="00B27385">
        <w:rPr>
          <w:rFonts w:ascii="Arial" w:hAnsi="Arial" w:cs="Arial"/>
          <w:lang w:val="es-ES_tradnl"/>
        </w:rPr>
        <w:t>l azúcar</w:t>
      </w:r>
      <w:r w:rsidRPr="00411DC3">
        <w:rPr>
          <w:rFonts w:ascii="Arial" w:hAnsi="Arial" w:cs="Arial"/>
          <w:lang w:val="es-ES_tradnl"/>
        </w:rPr>
        <w:t xml:space="preserve"> (11%) y en tercer lugar se encuentra el </w:t>
      </w:r>
      <w:r w:rsidRPr="00411DC3" w:rsidR="00B27385">
        <w:rPr>
          <w:rFonts w:ascii="Arial" w:hAnsi="Arial" w:cs="Arial"/>
          <w:lang w:val="es-ES_tradnl"/>
        </w:rPr>
        <w:t>banano</w:t>
      </w:r>
      <w:r w:rsidRPr="00411DC3">
        <w:rPr>
          <w:rFonts w:ascii="Arial" w:hAnsi="Arial" w:cs="Arial"/>
          <w:lang w:val="es-ES_tradnl"/>
        </w:rPr>
        <w:t xml:space="preserve"> (</w:t>
      </w:r>
      <w:r w:rsidRPr="00411DC3" w:rsidR="00B27385">
        <w:rPr>
          <w:rFonts w:ascii="Arial" w:hAnsi="Arial" w:cs="Arial"/>
          <w:lang w:val="es-ES_tradnl"/>
        </w:rPr>
        <w:t>6.4</w:t>
      </w:r>
      <w:r w:rsidRPr="00411DC3">
        <w:rPr>
          <w:rFonts w:ascii="Arial" w:hAnsi="Arial" w:cs="Arial"/>
          <w:lang w:val="es-ES_tradnl"/>
        </w:rPr>
        <w:t xml:space="preserve">%). </w:t>
      </w:r>
      <w:r w:rsidRPr="00411DC3" w:rsidR="00B27385">
        <w:rPr>
          <w:rFonts w:ascii="Arial" w:hAnsi="Arial" w:cs="Arial"/>
          <w:lang w:val="es-ES_tradnl"/>
        </w:rPr>
        <w:t xml:space="preserve">Las exportaciones de las maquilas son muy importantes para el comercio de Honduras </w:t>
      </w:r>
      <w:r w:rsidRPr="00411DC3" w:rsidR="007943F1">
        <w:rPr>
          <w:rFonts w:ascii="Arial" w:hAnsi="Arial" w:cs="Arial"/>
          <w:lang w:val="es-ES_tradnl"/>
        </w:rPr>
        <w:t>ya que representan de manera agregada el 50% del total exportado</w:t>
      </w:r>
      <w:r w:rsidRPr="00411DC3" w:rsidR="00B27385">
        <w:rPr>
          <w:rFonts w:ascii="Arial" w:hAnsi="Arial" w:cs="Arial"/>
          <w:lang w:val="es-ES_tradnl"/>
        </w:rPr>
        <w:t xml:space="preserve">. </w:t>
      </w:r>
      <w:r w:rsidRPr="00411DC3">
        <w:rPr>
          <w:rFonts w:ascii="Arial" w:hAnsi="Arial" w:cs="Arial"/>
          <w:lang w:val="es-ES_tradnl"/>
        </w:rPr>
        <w:t xml:space="preserve">Los principales productos de importación de </w:t>
      </w:r>
      <w:r w:rsidRPr="00411DC3" w:rsidR="00B27385">
        <w:rPr>
          <w:rFonts w:ascii="Arial" w:hAnsi="Arial" w:cs="Arial"/>
          <w:lang w:val="es-ES_tradnl"/>
        </w:rPr>
        <w:t>Honduras</w:t>
      </w:r>
      <w:r w:rsidRPr="00411DC3">
        <w:rPr>
          <w:rFonts w:ascii="Arial" w:hAnsi="Arial" w:cs="Arial"/>
          <w:lang w:val="es-ES_tradnl"/>
        </w:rPr>
        <w:t xml:space="preserve"> para el año 2016 fueron las </w:t>
      </w:r>
      <w:r w:rsidRPr="00411DC3" w:rsidR="00B27385">
        <w:rPr>
          <w:rFonts w:ascii="Arial" w:hAnsi="Arial" w:cs="Arial"/>
          <w:lang w:val="es-ES_tradnl"/>
        </w:rPr>
        <w:t xml:space="preserve">máquinas, aparatos y materiales eléctricos </w:t>
      </w:r>
      <w:r w:rsidRPr="00411DC3">
        <w:rPr>
          <w:rFonts w:ascii="Arial" w:hAnsi="Arial" w:cs="Arial"/>
          <w:lang w:val="es-ES_tradnl"/>
        </w:rPr>
        <w:t>(</w:t>
      </w:r>
      <w:r w:rsidRPr="00411DC3" w:rsidR="00B27385">
        <w:rPr>
          <w:rFonts w:ascii="Arial" w:hAnsi="Arial" w:cs="Arial"/>
          <w:lang w:val="es-ES_tradnl"/>
        </w:rPr>
        <w:t>17</w:t>
      </w:r>
      <w:r w:rsidRPr="00411DC3" w:rsidR="00F3747A">
        <w:rPr>
          <w:rFonts w:ascii="Arial" w:hAnsi="Arial" w:cs="Arial"/>
          <w:lang w:val="es-ES_tradnl"/>
        </w:rPr>
        <w:t>%</w:t>
      </w:r>
      <w:r w:rsidRPr="00411DC3">
        <w:rPr>
          <w:rFonts w:ascii="Arial" w:hAnsi="Arial" w:cs="Arial"/>
          <w:lang w:val="es-ES_tradnl"/>
        </w:rPr>
        <w:t xml:space="preserve">) seguido por </w:t>
      </w:r>
      <w:r w:rsidRPr="00411DC3" w:rsidR="00B27385">
        <w:rPr>
          <w:rFonts w:ascii="Arial" w:hAnsi="Arial" w:cs="Arial"/>
          <w:lang w:val="es-ES_tradnl"/>
        </w:rPr>
        <w:t>productos de industrias químicas y conexas</w:t>
      </w:r>
      <w:r w:rsidRPr="00411DC3">
        <w:rPr>
          <w:rFonts w:ascii="Arial" w:hAnsi="Arial" w:cs="Arial"/>
          <w:lang w:val="es-ES_tradnl"/>
        </w:rPr>
        <w:t xml:space="preserve"> </w:t>
      </w:r>
      <w:r w:rsidRPr="00411DC3" w:rsidR="00F3747A">
        <w:rPr>
          <w:rFonts w:ascii="Arial" w:hAnsi="Arial" w:cs="Arial"/>
          <w:lang w:val="es-ES_tradnl"/>
        </w:rPr>
        <w:t>(</w:t>
      </w:r>
      <w:r w:rsidRPr="00411DC3" w:rsidR="00B27385">
        <w:rPr>
          <w:rFonts w:ascii="Arial" w:hAnsi="Arial" w:cs="Arial"/>
          <w:lang w:val="es-ES_tradnl"/>
        </w:rPr>
        <w:t>15</w:t>
      </w:r>
      <w:r w:rsidRPr="00411DC3">
        <w:rPr>
          <w:rFonts w:ascii="Arial" w:hAnsi="Arial" w:cs="Arial"/>
          <w:lang w:val="es-ES_tradnl"/>
        </w:rPr>
        <w:t>%</w:t>
      </w:r>
      <w:r w:rsidRPr="00411DC3" w:rsidR="00F3747A">
        <w:rPr>
          <w:rFonts w:ascii="Arial" w:hAnsi="Arial" w:cs="Arial"/>
          <w:lang w:val="es-ES_tradnl"/>
        </w:rPr>
        <w:t>)</w:t>
      </w:r>
      <w:r w:rsidRPr="00411DC3">
        <w:rPr>
          <w:rFonts w:ascii="Arial" w:hAnsi="Arial" w:cs="Arial"/>
          <w:lang w:val="es-ES_tradnl"/>
        </w:rPr>
        <w:t xml:space="preserve">. </w:t>
      </w:r>
      <w:r w:rsidRPr="00411DC3" w:rsidR="00F3747A">
        <w:rPr>
          <w:rFonts w:ascii="Arial" w:hAnsi="Arial" w:cs="Arial"/>
          <w:lang w:val="es-ES_tradnl"/>
        </w:rPr>
        <w:t xml:space="preserve">De lo anterior se puede concluir que las exportaciones </w:t>
      </w:r>
      <w:r w:rsidRPr="00411DC3" w:rsidR="007943F1">
        <w:rPr>
          <w:rFonts w:ascii="Arial" w:hAnsi="Arial" w:cs="Arial"/>
          <w:lang w:val="es-ES_tradnl"/>
        </w:rPr>
        <w:t>hondureñas</w:t>
      </w:r>
      <w:r w:rsidRPr="00411DC3" w:rsidR="00F3747A">
        <w:rPr>
          <w:rFonts w:ascii="Arial" w:hAnsi="Arial" w:cs="Arial"/>
          <w:lang w:val="es-ES_tradnl"/>
        </w:rPr>
        <w:t xml:space="preserve"> corresponden mayormente a productos primarios de bajo valor agregado y las importaciones se concentran en productos industrializados como vehículos, medicamentos y materiales para la construcción. </w:t>
      </w:r>
      <w:r w:rsidRPr="00411DC3" w:rsidR="008E33E6">
        <w:rPr>
          <w:rFonts w:ascii="Arial" w:hAnsi="Arial" w:cs="Arial"/>
          <w:lang w:val="es-ES"/>
        </w:rPr>
        <w:t xml:space="preserve">Es de destacar que las exportaciones e importaciones de </w:t>
      </w:r>
      <w:r w:rsidRPr="00411DC3" w:rsidR="007943F1">
        <w:rPr>
          <w:rFonts w:ascii="Arial" w:hAnsi="Arial" w:cs="Arial"/>
          <w:lang w:val="es-ES"/>
        </w:rPr>
        <w:t>Honduras</w:t>
      </w:r>
      <w:r w:rsidRPr="00411DC3" w:rsidR="008E33E6">
        <w:rPr>
          <w:rFonts w:ascii="Arial" w:hAnsi="Arial" w:cs="Arial"/>
          <w:lang w:val="es-ES"/>
        </w:rPr>
        <w:t xml:space="preserve"> son mayoritariamente transportadas por vía </w:t>
      </w:r>
      <w:r w:rsidRPr="00411DC3" w:rsidR="008D25B5">
        <w:rPr>
          <w:rFonts w:ascii="Arial" w:hAnsi="Arial" w:cs="Arial"/>
          <w:lang w:val="es-ES"/>
        </w:rPr>
        <w:t>terrestre</w:t>
      </w:r>
      <w:r w:rsidRPr="00411DC3" w:rsidR="00A71E0C">
        <w:rPr>
          <w:rFonts w:ascii="Arial" w:hAnsi="Arial" w:cs="Arial"/>
          <w:lang w:val="es-ES"/>
        </w:rPr>
        <w:t xml:space="preserve"> y los principales socios comerciales son Estados Unidos y los países de la región Centroamericana. </w:t>
      </w:r>
    </w:p>
    <w:p w:rsidRPr="00411DC3" w:rsidR="002F5E5E" w:rsidP="002F5E5E" w:rsidRDefault="002F5E5E" w14:paraId="0D8C08A3" w14:textId="77777777">
      <w:pPr>
        <w:pStyle w:val="ListParagraph"/>
        <w:rPr>
          <w:rFonts w:ascii="Arial" w:hAnsi="Arial" w:cs="Arial"/>
          <w:lang w:val="es-ES_tradnl"/>
        </w:rPr>
      </w:pPr>
    </w:p>
    <w:p w:rsidRPr="00411DC3" w:rsidR="00C60F0B" w:rsidP="003C3711" w:rsidRDefault="006F01B5" w14:paraId="50340146" w14:textId="4874D3CD">
      <w:pPr>
        <w:pStyle w:val="ListParagraph"/>
        <w:numPr>
          <w:ilvl w:val="1"/>
          <w:numId w:val="20"/>
        </w:numPr>
        <w:tabs>
          <w:tab w:val="left" w:pos="270"/>
          <w:tab w:val="left" w:pos="360"/>
          <w:tab w:val="left" w:pos="450"/>
          <w:tab w:val="left" w:pos="2085"/>
        </w:tabs>
        <w:spacing w:after="0" w:line="240" w:lineRule="auto"/>
        <w:ind w:left="90"/>
        <w:jc w:val="both"/>
        <w:rPr>
          <w:rFonts w:ascii="Arial" w:hAnsi="Arial" w:cs="Arial"/>
          <w:lang w:val="es-ES_tradnl"/>
        </w:rPr>
      </w:pPr>
      <w:r w:rsidRPr="00411DC3">
        <w:rPr>
          <w:rFonts w:ascii="Arial" w:hAnsi="Arial" w:cs="Arial"/>
          <w:lang w:val="es-ES_tradnl"/>
        </w:rPr>
        <w:t>Al analizar las relaciones comerciales intrarregionales, se destaca que el comercio intrarregional es muy importante para la región Centroamericana</w:t>
      </w:r>
      <w:r w:rsidRPr="00411DC3" w:rsidR="00145E45">
        <w:rPr>
          <w:rFonts w:ascii="Arial" w:hAnsi="Arial" w:cs="Arial"/>
          <w:lang w:val="es-ES_tradnl"/>
        </w:rPr>
        <w:t xml:space="preserve"> en general</w:t>
      </w:r>
      <w:r w:rsidRPr="00411DC3">
        <w:rPr>
          <w:rFonts w:ascii="Arial" w:hAnsi="Arial" w:cs="Arial"/>
          <w:lang w:val="es-ES_tradnl"/>
        </w:rPr>
        <w:t xml:space="preserve">, siendo que este representa el 32.4% de sus exportaciones totales y el 14.8% de sus importaciones totales. Lo anterior, permite inferir que </w:t>
      </w:r>
      <w:r w:rsidRPr="00411DC3" w:rsidR="00852956">
        <w:rPr>
          <w:rFonts w:ascii="Arial" w:hAnsi="Arial" w:cs="Arial"/>
          <w:lang w:val="es-ES_tradnl"/>
        </w:rPr>
        <w:t>Centroamérica</w:t>
      </w:r>
      <w:r w:rsidRPr="00411DC3">
        <w:rPr>
          <w:rFonts w:ascii="Arial" w:hAnsi="Arial" w:cs="Arial"/>
          <w:lang w:val="es-ES_tradnl"/>
        </w:rPr>
        <w:t xml:space="preserve"> ha avanzado significativamente en la integración comercial, lo cual le ha permitido aprovecha sinergias económicas y estar mejor preparada para choque externos</w:t>
      </w:r>
      <w:r w:rsidRPr="00411DC3" w:rsidR="00145E45">
        <w:rPr>
          <w:rFonts w:ascii="Arial" w:hAnsi="Arial" w:cs="Arial"/>
          <w:lang w:val="es-ES_tradnl"/>
        </w:rPr>
        <w:t xml:space="preserve"> provenientes de otras economías</w:t>
      </w:r>
      <w:r w:rsidRPr="00411DC3">
        <w:rPr>
          <w:rFonts w:ascii="Arial" w:hAnsi="Arial" w:cs="Arial"/>
          <w:lang w:val="es-ES_tradnl"/>
        </w:rPr>
        <w:t xml:space="preserve">. </w:t>
      </w:r>
      <w:r w:rsidRPr="00411DC3" w:rsidR="00AB2E19">
        <w:rPr>
          <w:rFonts w:ascii="Arial" w:hAnsi="Arial" w:cs="Arial"/>
          <w:lang w:val="es-ES_tradnl"/>
        </w:rPr>
        <w:t>Para el caso de Honduras, e</w:t>
      </w:r>
      <w:r w:rsidRPr="00411DC3" w:rsidR="00683582">
        <w:rPr>
          <w:rFonts w:ascii="Arial" w:hAnsi="Arial" w:cs="Arial"/>
          <w:lang w:val="es-ES_tradnl"/>
        </w:rPr>
        <w:t xml:space="preserve">l </w:t>
      </w:r>
      <w:r w:rsidRPr="00411DC3" w:rsidR="00AE089A">
        <w:rPr>
          <w:rFonts w:ascii="Arial" w:hAnsi="Arial" w:cs="Arial"/>
          <w:lang w:val="es-ES_tradnl"/>
        </w:rPr>
        <w:t>21</w:t>
      </w:r>
      <w:r w:rsidRPr="00411DC3" w:rsidR="001F38D8">
        <w:rPr>
          <w:rFonts w:ascii="Arial" w:hAnsi="Arial" w:cs="Arial"/>
          <w:lang w:val="es-ES_tradnl"/>
        </w:rPr>
        <w:t xml:space="preserve">% de comercio total </w:t>
      </w:r>
      <w:r w:rsidRPr="00411DC3" w:rsidR="00AC1EE1">
        <w:rPr>
          <w:rFonts w:ascii="Arial" w:hAnsi="Arial" w:cs="Arial"/>
          <w:lang w:val="es-ES_tradnl"/>
        </w:rPr>
        <w:t xml:space="preserve">fue </w:t>
      </w:r>
      <w:r w:rsidRPr="00411DC3" w:rsidR="001F38D8">
        <w:rPr>
          <w:rFonts w:ascii="Arial" w:hAnsi="Arial" w:cs="Arial"/>
          <w:lang w:val="es-ES_tradnl"/>
        </w:rPr>
        <w:t>de carácter intrarregional</w:t>
      </w:r>
      <w:r w:rsidRPr="00411DC3" w:rsidR="00AC1EE1">
        <w:rPr>
          <w:rFonts w:ascii="Arial" w:hAnsi="Arial" w:cs="Arial"/>
          <w:lang w:val="es-ES_tradnl"/>
        </w:rPr>
        <w:t xml:space="preserve"> para el año 2016</w:t>
      </w:r>
      <w:r w:rsidRPr="00411DC3" w:rsidR="00C80795">
        <w:rPr>
          <w:rFonts w:ascii="Arial" w:hAnsi="Arial" w:cs="Arial"/>
          <w:lang w:val="es-ES_tradnl"/>
        </w:rPr>
        <w:t xml:space="preserve">, siendo el principal socio de Centroamérica de El </w:t>
      </w:r>
      <w:r w:rsidRPr="00411DC3" w:rsidR="00C80795">
        <w:rPr>
          <w:rFonts w:ascii="Arial" w:hAnsi="Arial" w:cs="Arial"/>
          <w:lang w:val="es-ES_tradnl"/>
        </w:rPr>
        <w:lastRenderedPageBreak/>
        <w:t>Salvador</w:t>
      </w:r>
      <w:r w:rsidRPr="00411DC3" w:rsidR="005E1A1B">
        <w:rPr>
          <w:rFonts w:ascii="Arial" w:hAnsi="Arial" w:cs="Arial"/>
          <w:lang w:val="es-ES_tradnl"/>
        </w:rPr>
        <w:t xml:space="preserve">, no obstante están aún lejos de su </w:t>
      </w:r>
      <w:r w:rsidRPr="00411DC3" w:rsidR="00A57034">
        <w:rPr>
          <w:rFonts w:ascii="Arial" w:hAnsi="Arial" w:cs="Arial"/>
          <w:lang w:val="es-ES_tradnl"/>
        </w:rPr>
        <w:t>potencial</w:t>
      </w:r>
      <w:r w:rsidRPr="00411DC3" w:rsidR="00095BC8">
        <w:rPr>
          <w:rFonts w:ascii="Arial" w:hAnsi="Arial" w:cs="Arial"/>
          <w:lang w:val="es-ES_tradnl"/>
        </w:rPr>
        <w:t>. Regiones en desarrollo como Sudeste Asiático presentan valores</w:t>
      </w:r>
      <w:r w:rsidRPr="00411DC3" w:rsidR="00C64CBC">
        <w:rPr>
          <w:rFonts w:ascii="Arial" w:hAnsi="Arial" w:cs="Arial"/>
          <w:lang w:val="es-ES_tradnl"/>
        </w:rPr>
        <w:t xml:space="preserve"> superior al 50% del comercio total</w:t>
      </w:r>
      <w:r w:rsidRPr="00411DC3" w:rsidR="001F38D8">
        <w:rPr>
          <w:rFonts w:ascii="Arial" w:hAnsi="Arial" w:cs="Arial"/>
          <w:lang w:val="es-ES_tradnl"/>
        </w:rPr>
        <w:t xml:space="preserve">. </w:t>
      </w:r>
    </w:p>
    <w:p w:rsidRPr="00411DC3" w:rsidR="00AB2E19" w:rsidP="00AB2E19" w:rsidRDefault="00AB2E19" w14:paraId="7621ACC6" w14:textId="77777777">
      <w:pPr>
        <w:pStyle w:val="ListParagraph"/>
        <w:rPr>
          <w:rFonts w:ascii="Arial" w:hAnsi="Arial" w:cs="Arial"/>
          <w:lang w:val="es-ES_tradnl"/>
        </w:rPr>
      </w:pPr>
    </w:p>
    <w:p w:rsidRPr="00411DC3" w:rsidR="007B2BD9" w:rsidP="003C3711" w:rsidRDefault="007B2BD9" w14:paraId="04EE19AD" w14:textId="77777777">
      <w:pPr>
        <w:pStyle w:val="ListParagraph"/>
        <w:numPr>
          <w:ilvl w:val="1"/>
          <w:numId w:val="20"/>
        </w:numPr>
        <w:tabs>
          <w:tab w:val="left" w:pos="270"/>
          <w:tab w:val="left" w:pos="360"/>
          <w:tab w:val="left" w:pos="450"/>
          <w:tab w:val="left" w:pos="2085"/>
        </w:tabs>
        <w:spacing w:after="0" w:line="240" w:lineRule="auto"/>
        <w:ind w:left="90"/>
        <w:jc w:val="both"/>
        <w:rPr>
          <w:rFonts w:ascii="Arial" w:hAnsi="Arial" w:cs="Arial"/>
          <w:lang w:val="es-ES_tradnl"/>
        </w:rPr>
      </w:pPr>
      <w:r w:rsidRPr="00411DC3">
        <w:rPr>
          <w:rFonts w:ascii="Arial" w:hAnsi="Arial" w:cs="Arial"/>
          <w:lang w:val="es-ES_tradnl"/>
        </w:rPr>
        <w:t xml:space="preserve">Otra medida del grado en que los mercados nacionales están integrados regionalmente y a nivel mundial está dado por la Inversión Extranjera Directa (IED). Esta variable es relevante porque representa la importancia de los flujos de capitales externos en las economías, para los cuales; la complejidad económica relacionada a la expansión del mercado interno y la dinámica exportadora, así como también el clima de negocios, juegan un rol relevante aunado a los factores de la infraestructura interna y los costos logísticos internos los cuales también condicionan fuertemente la IED. En Centroamérica, la IED representa un motor del crecimiento </w:t>
      </w:r>
      <w:r w:rsidRPr="00411DC3" w:rsidR="00367311">
        <w:rPr>
          <w:rFonts w:ascii="Arial" w:hAnsi="Arial" w:cs="Arial"/>
          <w:lang w:val="es-ES_tradnl"/>
        </w:rPr>
        <w:t>para</w:t>
      </w:r>
      <w:r w:rsidRPr="00411DC3">
        <w:rPr>
          <w:rFonts w:ascii="Arial" w:hAnsi="Arial" w:cs="Arial"/>
          <w:lang w:val="es-ES_tradnl"/>
        </w:rPr>
        <w:t xml:space="preserve"> la región, al respecto, con datos de</w:t>
      </w:r>
      <w:r w:rsidRPr="00411DC3" w:rsidR="00367311">
        <w:rPr>
          <w:rFonts w:ascii="Arial" w:hAnsi="Arial" w:cs="Arial"/>
          <w:lang w:val="es-ES_tradnl"/>
        </w:rPr>
        <w:t xml:space="preserve"> la </w:t>
      </w:r>
      <w:r w:rsidRPr="00411DC3" w:rsidR="00367311">
        <w:rPr>
          <w:rFonts w:ascii="Arial" w:hAnsi="Arial" w:cs="Arial"/>
          <w:i/>
          <w:lang w:val="es-ES_tradnl"/>
        </w:rPr>
        <w:t>Secretaría para la Integración Económica de Centroamérica (</w:t>
      </w:r>
      <w:r w:rsidRPr="00411DC3">
        <w:rPr>
          <w:rFonts w:ascii="Arial" w:hAnsi="Arial" w:cs="Arial"/>
          <w:i/>
          <w:lang w:val="es-ES_tradnl"/>
        </w:rPr>
        <w:t>SIECA</w:t>
      </w:r>
      <w:r w:rsidRPr="00411DC3" w:rsidR="00367311">
        <w:rPr>
          <w:rFonts w:ascii="Arial" w:hAnsi="Arial" w:cs="Arial"/>
          <w:i/>
          <w:lang w:val="es-ES_tradnl"/>
        </w:rPr>
        <w:t>)</w:t>
      </w:r>
      <w:r w:rsidRPr="00411DC3">
        <w:rPr>
          <w:rFonts w:ascii="Arial" w:hAnsi="Arial" w:cs="Arial"/>
          <w:lang w:val="es-ES_tradnl"/>
        </w:rPr>
        <w:t xml:space="preserve">, se puede constatar que, de todos los países del bloque, </w:t>
      </w:r>
      <w:r w:rsidRPr="00411DC3" w:rsidR="00B97D01">
        <w:rPr>
          <w:rFonts w:ascii="Arial" w:hAnsi="Arial" w:cs="Arial"/>
          <w:lang w:val="es-ES_tradnl"/>
        </w:rPr>
        <w:t>Honduras junto con El Salvador y Nicaragua,</w:t>
      </w:r>
      <w:r w:rsidRPr="00411DC3">
        <w:rPr>
          <w:rFonts w:ascii="Arial" w:hAnsi="Arial" w:cs="Arial"/>
          <w:lang w:val="es-ES_tradnl"/>
        </w:rPr>
        <w:t xml:space="preserve"> tiene </w:t>
      </w:r>
      <w:r w:rsidRPr="00411DC3" w:rsidR="00B97D01">
        <w:rPr>
          <w:rFonts w:ascii="Arial" w:hAnsi="Arial" w:cs="Arial"/>
          <w:lang w:val="es-ES_tradnl"/>
        </w:rPr>
        <w:t>lo</w:t>
      </w:r>
      <w:r w:rsidRPr="00411DC3">
        <w:rPr>
          <w:rFonts w:ascii="Arial" w:hAnsi="Arial" w:cs="Arial"/>
          <w:lang w:val="es-ES_tradnl"/>
        </w:rPr>
        <w:t xml:space="preserve">s niveles más </w:t>
      </w:r>
      <w:r w:rsidRPr="00411DC3" w:rsidR="00B97D01">
        <w:rPr>
          <w:rFonts w:ascii="Arial" w:hAnsi="Arial" w:cs="Arial"/>
          <w:lang w:val="es-ES_tradnl"/>
        </w:rPr>
        <w:t>bajos</w:t>
      </w:r>
      <w:r w:rsidRPr="00411DC3">
        <w:rPr>
          <w:rFonts w:ascii="Arial" w:hAnsi="Arial" w:cs="Arial"/>
          <w:lang w:val="es-ES_tradnl"/>
        </w:rPr>
        <w:t xml:space="preserve"> de IED de toda la región, capt</w:t>
      </w:r>
      <w:r w:rsidRPr="00411DC3" w:rsidR="006C4AE5">
        <w:rPr>
          <w:rFonts w:ascii="Arial" w:hAnsi="Arial" w:cs="Arial"/>
          <w:lang w:val="es-ES_tradnl"/>
        </w:rPr>
        <w:t>ando</w:t>
      </w:r>
      <w:r w:rsidRPr="00411DC3" w:rsidR="00AC5F10">
        <w:rPr>
          <w:rFonts w:ascii="Arial" w:hAnsi="Arial" w:cs="Arial"/>
          <w:lang w:val="es-ES_tradnl"/>
        </w:rPr>
        <w:t xml:space="preserve"> Honduras</w:t>
      </w:r>
      <w:r w:rsidRPr="00411DC3">
        <w:rPr>
          <w:rFonts w:ascii="Arial" w:hAnsi="Arial" w:cs="Arial"/>
          <w:lang w:val="es-ES_tradnl"/>
        </w:rPr>
        <w:t xml:space="preserve"> </w:t>
      </w:r>
      <w:r w:rsidRPr="00411DC3" w:rsidR="006C4AE5">
        <w:rPr>
          <w:rFonts w:ascii="Arial" w:hAnsi="Arial" w:cs="Arial"/>
          <w:lang w:val="es-ES_tradnl"/>
        </w:rPr>
        <w:t xml:space="preserve">para el año 2016, </w:t>
      </w:r>
      <w:r w:rsidRPr="00411DC3">
        <w:rPr>
          <w:rFonts w:ascii="Arial" w:hAnsi="Arial" w:cs="Arial"/>
          <w:lang w:val="es-ES_tradnl"/>
        </w:rPr>
        <w:t xml:space="preserve">el </w:t>
      </w:r>
      <w:r w:rsidRPr="00411DC3" w:rsidR="00B97D01">
        <w:rPr>
          <w:rFonts w:ascii="Arial" w:hAnsi="Arial" w:cs="Arial"/>
          <w:lang w:val="es-ES_tradnl"/>
        </w:rPr>
        <w:t>9</w:t>
      </w:r>
      <w:r w:rsidRPr="00411DC3">
        <w:rPr>
          <w:rFonts w:ascii="Arial" w:hAnsi="Arial" w:cs="Arial"/>
          <w:lang w:val="es-ES_tradnl"/>
        </w:rPr>
        <w:t>% de la IED de CA fundamentada</w:t>
      </w:r>
      <w:r w:rsidRPr="00411DC3" w:rsidR="006667EF">
        <w:rPr>
          <w:rFonts w:ascii="Arial" w:hAnsi="Arial" w:cs="Arial"/>
          <w:lang w:val="es-ES_tradnl"/>
        </w:rPr>
        <w:t>, entre otras cosas,</w:t>
      </w:r>
      <w:r w:rsidRPr="00411DC3">
        <w:rPr>
          <w:rFonts w:ascii="Arial" w:hAnsi="Arial" w:cs="Arial"/>
          <w:lang w:val="es-ES_tradnl"/>
        </w:rPr>
        <w:t xml:space="preserve"> por el dinamismo de </w:t>
      </w:r>
      <w:r w:rsidRPr="00411DC3" w:rsidR="00B97D01">
        <w:rPr>
          <w:rFonts w:ascii="Arial" w:hAnsi="Arial" w:cs="Arial"/>
          <w:lang w:val="es-ES_tradnl"/>
        </w:rPr>
        <w:t>las maquilas.</w:t>
      </w:r>
    </w:p>
    <w:p w:rsidRPr="00411DC3" w:rsidR="007B2BD9" w:rsidP="007B2BD9" w:rsidRDefault="007B2BD9" w14:paraId="3D5BAB22" w14:textId="77777777">
      <w:pPr>
        <w:tabs>
          <w:tab w:val="left" w:pos="270"/>
          <w:tab w:val="left" w:pos="360"/>
          <w:tab w:val="left" w:pos="450"/>
          <w:tab w:val="left" w:pos="2085"/>
        </w:tabs>
        <w:spacing w:after="0" w:line="240" w:lineRule="auto"/>
        <w:jc w:val="both"/>
        <w:rPr>
          <w:rFonts w:ascii="Arial" w:hAnsi="Arial" w:cs="Arial"/>
          <w:lang w:val="es-ES_tradnl"/>
        </w:rPr>
      </w:pPr>
    </w:p>
    <w:p w:rsidRPr="00411DC3" w:rsidR="003C56CD" w:rsidP="00617150" w:rsidRDefault="003C56CD" w14:paraId="00C1146B" w14:textId="77777777">
      <w:pPr>
        <w:pStyle w:val="ListParagraph"/>
        <w:tabs>
          <w:tab w:val="left" w:pos="270"/>
          <w:tab w:val="left" w:pos="360"/>
          <w:tab w:val="left" w:pos="450"/>
          <w:tab w:val="left" w:pos="2085"/>
        </w:tabs>
        <w:spacing w:after="0" w:line="240" w:lineRule="auto"/>
        <w:ind w:left="90"/>
        <w:jc w:val="center"/>
        <w:rPr>
          <w:rFonts w:ascii="Arial" w:hAnsi="Arial" w:cs="Arial"/>
          <w:b/>
          <w:color w:val="3B3838" w:themeColor="background2" w:themeShade="40"/>
          <w:lang w:val="es-ES_tradnl"/>
        </w:rPr>
      </w:pPr>
      <w:r w:rsidRPr="00411DC3">
        <w:rPr>
          <w:rFonts w:ascii="Arial" w:hAnsi="Arial" w:cs="Arial"/>
          <w:b/>
          <w:color w:val="3B3838" w:themeColor="background2" w:themeShade="40"/>
          <w:lang w:val="es-ES_tradnl"/>
        </w:rPr>
        <w:t>Figura No</w:t>
      </w:r>
      <w:r w:rsidRPr="00411DC3" w:rsidR="00617150">
        <w:rPr>
          <w:rFonts w:ascii="Arial" w:hAnsi="Arial" w:cs="Arial"/>
          <w:b/>
          <w:color w:val="3B3838" w:themeColor="background2" w:themeShade="40"/>
          <w:lang w:val="es-ES_tradnl"/>
        </w:rPr>
        <w:t xml:space="preserve"> </w:t>
      </w:r>
      <w:r w:rsidRPr="00411DC3" w:rsidR="00B92E7B">
        <w:rPr>
          <w:rFonts w:ascii="Arial" w:hAnsi="Arial" w:cs="Arial"/>
          <w:b/>
          <w:color w:val="3B3838" w:themeColor="background2" w:themeShade="40"/>
          <w:lang w:val="es-ES_tradnl"/>
        </w:rPr>
        <w:t>3</w:t>
      </w:r>
      <w:r w:rsidRPr="00411DC3">
        <w:rPr>
          <w:rFonts w:ascii="Arial" w:hAnsi="Arial" w:cs="Arial"/>
          <w:b/>
          <w:color w:val="3B3838" w:themeColor="background2" w:themeShade="40"/>
          <w:lang w:val="es-ES_tradnl"/>
        </w:rPr>
        <w:t xml:space="preserve">. Inversión Extranjera Directa (IED) en </w:t>
      </w:r>
      <w:r w:rsidRPr="00411DC3" w:rsidR="00617150">
        <w:rPr>
          <w:rFonts w:ascii="Arial" w:hAnsi="Arial" w:cs="Arial"/>
          <w:b/>
          <w:color w:val="3B3838" w:themeColor="background2" w:themeShade="40"/>
          <w:lang w:val="es-ES_tradnl"/>
        </w:rPr>
        <w:t xml:space="preserve">Centroamérica </w:t>
      </w:r>
      <w:r w:rsidRPr="00411DC3" w:rsidR="00235C02">
        <w:rPr>
          <w:rFonts w:ascii="Arial" w:hAnsi="Arial" w:cs="Arial"/>
          <w:b/>
          <w:color w:val="3B3838" w:themeColor="background2" w:themeShade="40"/>
          <w:lang w:val="es-ES_tradnl"/>
        </w:rPr>
        <w:t xml:space="preserve">y </w:t>
      </w:r>
      <w:r w:rsidRPr="00411DC3" w:rsidR="003D3EED">
        <w:rPr>
          <w:rFonts w:ascii="Arial" w:hAnsi="Arial" w:cs="Arial"/>
          <w:b/>
          <w:color w:val="3B3838" w:themeColor="background2" w:themeShade="40"/>
          <w:lang w:val="es-ES_tradnl"/>
        </w:rPr>
        <w:t>Honduras</w:t>
      </w:r>
      <w:r w:rsidRPr="00411DC3" w:rsidR="00235C02">
        <w:rPr>
          <w:rFonts w:ascii="Arial" w:hAnsi="Arial" w:cs="Arial"/>
          <w:b/>
          <w:color w:val="3B3838" w:themeColor="background2" w:themeShade="40"/>
          <w:lang w:val="es-ES_tradnl"/>
        </w:rPr>
        <w:t xml:space="preserve"> </w:t>
      </w:r>
      <w:r w:rsidRPr="00411DC3" w:rsidR="00617150">
        <w:rPr>
          <w:rFonts w:ascii="Arial" w:hAnsi="Arial" w:cs="Arial"/>
          <w:b/>
          <w:color w:val="3B3838" w:themeColor="background2" w:themeShade="40"/>
          <w:lang w:val="es-ES_tradnl"/>
        </w:rPr>
        <w:t>año 2016</w:t>
      </w:r>
    </w:p>
    <w:p w:rsidRPr="00411DC3" w:rsidR="00102D08" w:rsidP="007D763F" w:rsidRDefault="00102D08" w14:paraId="0A38F0EA" w14:textId="77777777">
      <w:pPr>
        <w:pStyle w:val="ListParagraph"/>
        <w:tabs>
          <w:tab w:val="left" w:pos="270"/>
          <w:tab w:val="left" w:pos="360"/>
          <w:tab w:val="left" w:pos="450"/>
          <w:tab w:val="left" w:pos="2085"/>
        </w:tabs>
        <w:spacing w:after="0" w:line="240" w:lineRule="auto"/>
        <w:ind w:left="90"/>
        <w:jc w:val="both"/>
        <w:rPr>
          <w:rFonts w:ascii="Arial" w:hAnsi="Arial" w:cs="Arial"/>
          <w:lang w:val="es-ES"/>
        </w:rPr>
      </w:pPr>
    </w:p>
    <w:p w:rsidRPr="00411DC3" w:rsidR="00102D08" w:rsidP="008E33E6" w:rsidRDefault="00235C02" w14:paraId="457F02A5" w14:textId="77777777">
      <w:pPr>
        <w:pStyle w:val="ListParagraph"/>
        <w:tabs>
          <w:tab w:val="left" w:pos="270"/>
          <w:tab w:val="left" w:pos="360"/>
          <w:tab w:val="left" w:pos="450"/>
          <w:tab w:val="left" w:pos="2085"/>
        </w:tabs>
        <w:spacing w:after="0" w:line="240" w:lineRule="auto"/>
        <w:ind w:left="90"/>
        <w:jc w:val="center"/>
        <w:rPr>
          <w:rFonts w:ascii="Arial" w:hAnsi="Arial" w:cs="Arial"/>
          <w:b/>
          <w:lang w:val="es-ES"/>
        </w:rPr>
      </w:pPr>
      <w:r w:rsidRPr="00411DC3">
        <w:rPr>
          <w:rFonts w:ascii="Arial" w:hAnsi="Arial" w:cs="Arial"/>
          <w:noProof/>
        </w:rPr>
        <w:drawing>
          <wp:inline distT="0" distB="0" distL="0" distR="0" wp14:anchorId="6655CE2F" wp14:editId="04D3D538">
            <wp:extent cx="3131820" cy="1816100"/>
            <wp:effectExtent l="0" t="0" r="11430" b="12700"/>
            <wp:docPr id="3" name="Chart 3">
              <a:extLst xmlns:a="http://schemas.openxmlformats.org/drawingml/2006/main">
                <a:ext uri="{FF2B5EF4-FFF2-40B4-BE49-F238E27FC236}">
                  <a16:creationId xmlns:a16="http://schemas.microsoft.com/office/drawing/2014/main" id="{E58CB422-0AFE-426C-A496-4C55677EBB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Pr="00411DC3" w:rsidR="004B1582" w:rsidP="004B1582" w:rsidRDefault="004B1582" w14:paraId="34955DC7" w14:textId="77777777">
      <w:pPr>
        <w:pStyle w:val="ListParagraph"/>
        <w:jc w:val="center"/>
        <w:rPr>
          <w:rFonts w:ascii="Arial" w:hAnsi="Arial" w:cs="Arial"/>
          <w:lang w:val="es-ES_tradnl"/>
        </w:rPr>
      </w:pPr>
      <w:r w:rsidRPr="00411DC3">
        <w:rPr>
          <w:rFonts w:ascii="Arial" w:hAnsi="Arial" w:cs="Arial"/>
          <w:i/>
          <w:lang w:val="es-ES_tradnl"/>
        </w:rPr>
        <w:t>Fuente:</w:t>
      </w:r>
      <w:r w:rsidRPr="00411DC3">
        <w:rPr>
          <w:rFonts w:ascii="Arial" w:hAnsi="Arial" w:cs="Arial"/>
          <w:lang w:val="es-ES_tradnl"/>
        </w:rPr>
        <w:t xml:space="preserve"> Centro de Estudios para la Integración Económica, SIECA.</w:t>
      </w:r>
    </w:p>
    <w:p w:rsidRPr="00411DC3" w:rsidR="00102D08" w:rsidP="007D763F" w:rsidRDefault="00102D08" w14:paraId="613B77C1" w14:textId="77777777">
      <w:pPr>
        <w:pStyle w:val="ListParagraph"/>
        <w:tabs>
          <w:tab w:val="left" w:pos="270"/>
          <w:tab w:val="left" w:pos="360"/>
          <w:tab w:val="left" w:pos="450"/>
          <w:tab w:val="left" w:pos="2085"/>
        </w:tabs>
        <w:spacing w:after="0" w:line="240" w:lineRule="auto"/>
        <w:ind w:left="90"/>
        <w:jc w:val="both"/>
        <w:rPr>
          <w:rFonts w:ascii="Arial" w:hAnsi="Arial" w:cs="Arial"/>
          <w:lang w:val="es-ES_tradnl"/>
        </w:rPr>
      </w:pPr>
    </w:p>
    <w:p w:rsidRPr="00411DC3" w:rsidR="00831543" w:rsidP="003C3711" w:rsidRDefault="00773194" w14:paraId="416E067F" w14:textId="0C5854B7">
      <w:pPr>
        <w:pStyle w:val="ListParagraph"/>
        <w:numPr>
          <w:ilvl w:val="1"/>
          <w:numId w:val="20"/>
        </w:numPr>
        <w:tabs>
          <w:tab w:val="left" w:pos="270"/>
          <w:tab w:val="left" w:pos="360"/>
          <w:tab w:val="left" w:pos="450"/>
          <w:tab w:val="left" w:pos="2085"/>
        </w:tabs>
        <w:spacing w:after="0" w:line="240" w:lineRule="auto"/>
        <w:ind w:left="90"/>
        <w:jc w:val="both"/>
        <w:rPr>
          <w:rFonts w:ascii="Arial" w:hAnsi="Arial" w:cs="Arial"/>
          <w:lang w:val="es-ES_tradnl"/>
        </w:rPr>
      </w:pPr>
      <w:r w:rsidRPr="00411DC3">
        <w:rPr>
          <w:rFonts w:ascii="Arial" w:hAnsi="Arial" w:cs="Arial"/>
          <w:lang w:val="es-ES_tradnl"/>
        </w:rPr>
        <w:t>Con respecto a las iniciativas de integración</w:t>
      </w:r>
      <w:r w:rsidRPr="00411DC3" w:rsidR="00001628">
        <w:rPr>
          <w:rFonts w:ascii="Arial" w:hAnsi="Arial" w:cs="Arial"/>
          <w:lang w:val="es-ES_tradnl"/>
        </w:rPr>
        <w:t xml:space="preserve"> regional</w:t>
      </w:r>
      <w:r w:rsidRPr="00411DC3">
        <w:rPr>
          <w:rFonts w:ascii="Arial" w:hAnsi="Arial" w:cs="Arial"/>
          <w:lang w:val="es-ES_tradnl"/>
        </w:rPr>
        <w:t xml:space="preserve">, </w:t>
      </w:r>
      <w:r w:rsidRPr="00411DC3" w:rsidR="002C500D">
        <w:rPr>
          <w:rFonts w:ascii="Arial" w:hAnsi="Arial" w:cs="Arial"/>
          <w:lang w:val="es-ES_tradnl"/>
        </w:rPr>
        <w:t>Honduras</w:t>
      </w:r>
      <w:r w:rsidRPr="00411DC3" w:rsidR="00EC2640">
        <w:rPr>
          <w:rFonts w:ascii="Arial" w:hAnsi="Arial" w:cs="Arial"/>
          <w:lang w:val="es-ES_tradnl"/>
        </w:rPr>
        <w:t xml:space="preserve"> </w:t>
      </w:r>
      <w:r w:rsidRPr="00411DC3" w:rsidR="0073557E">
        <w:rPr>
          <w:rFonts w:ascii="Arial" w:hAnsi="Arial" w:cs="Arial"/>
          <w:lang w:val="es-ES_tradnl"/>
        </w:rPr>
        <w:t>forma parte del</w:t>
      </w:r>
      <w:r w:rsidRPr="00411DC3" w:rsidR="00EC2640">
        <w:rPr>
          <w:rFonts w:ascii="Arial" w:hAnsi="Arial" w:cs="Arial"/>
          <w:lang w:val="es-ES_tradnl"/>
        </w:rPr>
        <w:t xml:space="preserve"> proceso de integración Centroamericana, siendo miembro del Sistema de Integración Centroamericana (SICA)</w:t>
      </w:r>
      <w:r w:rsidRPr="00411DC3" w:rsidR="00EC2640">
        <w:rPr>
          <w:rStyle w:val="FootnoteReference"/>
          <w:rFonts w:cs="Arial"/>
          <w:sz w:val="22"/>
          <w:lang w:val="es-ES_tradnl"/>
        </w:rPr>
        <w:footnoteReference w:id="7"/>
      </w:r>
      <w:r w:rsidRPr="00411DC3" w:rsidR="00EC2640">
        <w:rPr>
          <w:rFonts w:ascii="Arial" w:hAnsi="Arial" w:cs="Arial"/>
          <w:lang w:val="es-ES_tradnl"/>
        </w:rPr>
        <w:t xml:space="preserve"> y participando de todas las instancias de coordinación regional</w:t>
      </w:r>
      <w:r w:rsidRPr="00411DC3" w:rsidR="0073557E">
        <w:rPr>
          <w:rFonts w:ascii="Arial" w:hAnsi="Arial" w:cs="Arial"/>
          <w:lang w:val="es-ES_tradnl"/>
        </w:rPr>
        <w:t>,</w:t>
      </w:r>
      <w:r w:rsidRPr="00411DC3" w:rsidR="00EC2640">
        <w:rPr>
          <w:rFonts w:ascii="Arial" w:hAnsi="Arial" w:cs="Arial"/>
          <w:lang w:val="es-ES_tradnl"/>
        </w:rPr>
        <w:t xml:space="preserve"> que </w:t>
      </w:r>
      <w:r w:rsidRPr="00411DC3" w:rsidR="0073557E">
        <w:rPr>
          <w:rFonts w:ascii="Arial" w:hAnsi="Arial" w:cs="Arial"/>
          <w:lang w:val="es-ES_tradnl"/>
        </w:rPr>
        <w:t>contribuye a generar economías de escala facilitando su participación</w:t>
      </w:r>
      <w:r w:rsidRPr="00411DC3" w:rsidR="00EC2640">
        <w:rPr>
          <w:rFonts w:ascii="Arial" w:hAnsi="Arial" w:cs="Arial"/>
          <w:lang w:val="es-ES_tradnl"/>
        </w:rPr>
        <w:t xml:space="preserve"> </w:t>
      </w:r>
      <w:r w:rsidRPr="00411DC3" w:rsidR="0073557E">
        <w:rPr>
          <w:rFonts w:ascii="Arial" w:hAnsi="Arial" w:cs="Arial"/>
          <w:lang w:val="es-ES_tradnl"/>
        </w:rPr>
        <w:t>en el</w:t>
      </w:r>
      <w:r w:rsidRPr="00411DC3" w:rsidR="00EC2640">
        <w:rPr>
          <w:rFonts w:ascii="Arial" w:hAnsi="Arial" w:cs="Arial"/>
          <w:lang w:val="es-ES_tradnl"/>
        </w:rPr>
        <w:t xml:space="preserve"> comercio global</w:t>
      </w:r>
      <w:r w:rsidRPr="00411DC3" w:rsidR="00B92E7B">
        <w:rPr>
          <w:rFonts w:ascii="Arial" w:hAnsi="Arial" w:cs="Arial"/>
          <w:lang w:val="es-ES_tradnl"/>
        </w:rPr>
        <w:t xml:space="preserve">.  </w:t>
      </w:r>
      <w:r w:rsidRPr="00411DC3" w:rsidR="00741746">
        <w:rPr>
          <w:rFonts w:ascii="Arial" w:hAnsi="Arial" w:cs="Arial"/>
          <w:lang w:val="es-ES_tradnl"/>
        </w:rPr>
        <w:t xml:space="preserve">El rol de </w:t>
      </w:r>
      <w:r w:rsidRPr="00411DC3" w:rsidR="00B92E7B">
        <w:rPr>
          <w:rFonts w:ascii="Arial" w:hAnsi="Arial" w:cs="Arial"/>
          <w:lang w:val="es-ES_tradnl"/>
        </w:rPr>
        <w:t xml:space="preserve">Honduras </w:t>
      </w:r>
      <w:r w:rsidRPr="00411DC3" w:rsidR="00741746">
        <w:rPr>
          <w:rFonts w:ascii="Arial" w:hAnsi="Arial" w:cs="Arial"/>
          <w:lang w:val="es-ES_tradnl"/>
        </w:rPr>
        <w:t xml:space="preserve">en la integración </w:t>
      </w:r>
      <w:r w:rsidRPr="00411DC3" w:rsidR="00A60E5A">
        <w:rPr>
          <w:rFonts w:ascii="Arial" w:hAnsi="Arial" w:cs="Arial"/>
          <w:lang w:val="es-ES_tradnl"/>
        </w:rPr>
        <w:t xml:space="preserve">regional mesoamericana </w:t>
      </w:r>
      <w:r w:rsidRPr="00411DC3" w:rsidR="00EE7E12">
        <w:rPr>
          <w:rFonts w:ascii="Arial" w:hAnsi="Arial" w:cs="Arial"/>
          <w:lang w:val="es-ES_tradnl"/>
        </w:rPr>
        <w:t>es de gran relevancia</w:t>
      </w:r>
      <w:r w:rsidRPr="00411DC3" w:rsidR="00A60E5A">
        <w:rPr>
          <w:rFonts w:ascii="Arial" w:hAnsi="Arial" w:cs="Arial"/>
          <w:lang w:val="es-ES_tradnl"/>
        </w:rPr>
        <w:t xml:space="preserve"> por poseer infraestructuras de integración relevantes para el comercio intra y extra-regional, teniendo además un efecto estructurador importante de la logística macro-regional de los países americanos.</w:t>
      </w:r>
      <w:r w:rsidRPr="00411DC3" w:rsidR="00FF7237">
        <w:rPr>
          <w:rFonts w:ascii="Arial" w:hAnsi="Arial" w:cs="Arial"/>
          <w:lang w:val="es-ES_tradnl"/>
        </w:rPr>
        <w:t xml:space="preserve"> L</w:t>
      </w:r>
      <w:r w:rsidRPr="00411DC3" w:rsidR="00D54A93">
        <w:rPr>
          <w:rFonts w:ascii="Arial" w:hAnsi="Arial" w:cs="Arial"/>
          <w:lang w:val="es-ES_tradnl"/>
        </w:rPr>
        <w:t xml:space="preserve">as infraestructuras y servicios de </w:t>
      </w:r>
      <w:r w:rsidRPr="00411DC3" w:rsidR="00B92E7B">
        <w:rPr>
          <w:rFonts w:ascii="Arial" w:hAnsi="Arial" w:cs="Arial"/>
          <w:lang w:val="es-ES_tradnl"/>
        </w:rPr>
        <w:t>Honduras</w:t>
      </w:r>
      <w:r w:rsidRPr="00411DC3" w:rsidR="00D54A93">
        <w:rPr>
          <w:rFonts w:ascii="Arial" w:hAnsi="Arial" w:cs="Arial"/>
          <w:lang w:val="es-ES_tradnl"/>
        </w:rPr>
        <w:t xml:space="preserve"> sirven </w:t>
      </w:r>
      <w:r w:rsidRPr="00411DC3" w:rsidR="00FF7237">
        <w:rPr>
          <w:rFonts w:ascii="Arial" w:hAnsi="Arial" w:cs="Arial"/>
          <w:lang w:val="es-ES_tradnl"/>
        </w:rPr>
        <w:t xml:space="preserve">al comercio externo de </w:t>
      </w:r>
      <w:r w:rsidRPr="00411DC3" w:rsidR="00D54A93">
        <w:rPr>
          <w:rFonts w:ascii="Arial" w:hAnsi="Arial" w:cs="Arial"/>
          <w:lang w:val="es-ES_tradnl"/>
        </w:rPr>
        <w:t>los países de la región</w:t>
      </w:r>
      <w:r w:rsidRPr="00411DC3" w:rsidR="00FF7237">
        <w:rPr>
          <w:rFonts w:ascii="Arial" w:hAnsi="Arial" w:cs="Arial"/>
          <w:lang w:val="es-ES_tradnl"/>
        </w:rPr>
        <w:t xml:space="preserve"> y al mismo tiempo significan oportunidades para la mejora del desempeño de las propias exportaciones de la región. Por ejemplo,</w:t>
      </w:r>
      <w:r w:rsidRPr="00411DC3" w:rsidR="00B92E7B">
        <w:rPr>
          <w:rFonts w:ascii="Arial" w:hAnsi="Arial" w:cs="Arial"/>
          <w:lang w:val="es-ES_tradnl"/>
        </w:rPr>
        <w:t xml:space="preserve"> </w:t>
      </w:r>
      <w:r w:rsidRPr="00411DC3" w:rsidR="00B05B73">
        <w:rPr>
          <w:rFonts w:ascii="Arial" w:hAnsi="Arial" w:cs="Arial"/>
          <w:lang w:val="es-ES_tradnl"/>
        </w:rPr>
        <w:t xml:space="preserve">dentro de las infraestructuras de transporte multimodales relevantes destaca Puerto Cortés, ya que </w:t>
      </w:r>
      <w:r w:rsidRPr="00411DC3" w:rsidR="00831543">
        <w:rPr>
          <w:rFonts w:ascii="Arial" w:hAnsi="Arial" w:cs="Arial"/>
          <w:lang w:val="es-ES_tradnl"/>
        </w:rPr>
        <w:t>maneja el</w:t>
      </w:r>
      <w:r w:rsidRPr="00411DC3" w:rsidR="00B05B73">
        <w:rPr>
          <w:rFonts w:ascii="Arial" w:hAnsi="Arial" w:cs="Arial"/>
          <w:lang w:val="es-ES_tradnl"/>
        </w:rPr>
        <w:t xml:space="preserve"> 86% del total de contenedores que acceden a puertos hondureños</w:t>
      </w:r>
      <w:r w:rsidRPr="00411DC3" w:rsidR="00B05B73">
        <w:rPr>
          <w:rFonts w:ascii="Arial" w:hAnsi="Arial" w:cs="Arial"/>
          <w:vertAlign w:val="superscript"/>
        </w:rPr>
        <w:footnoteReference w:id="8"/>
      </w:r>
      <w:r w:rsidRPr="00411DC3" w:rsidR="00B05B73">
        <w:rPr>
          <w:rFonts w:ascii="Arial" w:hAnsi="Arial" w:cs="Arial"/>
          <w:lang w:val="es-ES_tradnl"/>
        </w:rPr>
        <w:t xml:space="preserve"> y es uno de los más importantes de la vertiente atlántica de Centroamérica, ocupando el puesto número 19 en el ranking de puertos </w:t>
      </w:r>
      <w:r w:rsidRPr="00411DC3" w:rsidR="00B05B73">
        <w:rPr>
          <w:rFonts w:ascii="Arial" w:hAnsi="Arial" w:cs="Arial"/>
          <w:lang w:val="es-ES_tradnl"/>
        </w:rPr>
        <w:lastRenderedPageBreak/>
        <w:t>mesoamericanos por movimiento de carga</w:t>
      </w:r>
      <w:r w:rsidRPr="00411DC3" w:rsidR="00B05B73">
        <w:rPr>
          <w:rFonts w:ascii="Arial" w:hAnsi="Arial" w:cs="Arial"/>
          <w:vertAlign w:val="superscript"/>
        </w:rPr>
        <w:footnoteReference w:id="9"/>
      </w:r>
      <w:r w:rsidRPr="00411DC3" w:rsidR="00B05B73">
        <w:rPr>
          <w:rFonts w:ascii="Arial" w:hAnsi="Arial" w:cs="Arial"/>
          <w:lang w:val="es-ES_tradnl"/>
        </w:rPr>
        <w:t xml:space="preserve">. Honduras se localiza en la posición 88 de 162 países considerados en el Índice de Conectividad Marítima, indicativo de una valoración favorecedora en cuanto a conectividad marítima </w:t>
      </w:r>
      <w:r w:rsidRPr="00411DC3" w:rsidR="00831543">
        <w:rPr>
          <w:rFonts w:ascii="Arial" w:hAnsi="Arial" w:cs="Arial"/>
          <w:lang w:val="es-ES_tradnl"/>
        </w:rPr>
        <w:t>en relación con</w:t>
      </w:r>
      <w:r w:rsidRPr="00411DC3" w:rsidR="00B05B73">
        <w:rPr>
          <w:rFonts w:ascii="Arial" w:hAnsi="Arial" w:cs="Arial"/>
          <w:lang w:val="es-ES_tradnl"/>
        </w:rPr>
        <w:t xml:space="preserve"> la valoración del resto de infraestructuras nacionales. </w:t>
      </w:r>
      <w:r w:rsidRPr="00411DC3" w:rsidR="00FF7237">
        <w:rPr>
          <w:rFonts w:ascii="Arial" w:hAnsi="Arial" w:cs="Arial"/>
          <w:lang w:val="es-ES_tradnl"/>
        </w:rPr>
        <w:t xml:space="preserve">En el ámbito vial, </w:t>
      </w:r>
      <w:r w:rsidRPr="00411DC3" w:rsidR="001603C3">
        <w:rPr>
          <w:rFonts w:ascii="Arial" w:hAnsi="Arial" w:cs="Arial"/>
          <w:lang w:val="es-ES_tradnl"/>
        </w:rPr>
        <w:t xml:space="preserve">los </w:t>
      </w:r>
      <w:r w:rsidRPr="00411DC3" w:rsidR="00BA72D3">
        <w:rPr>
          <w:rFonts w:ascii="Arial" w:hAnsi="Arial" w:cs="Arial"/>
          <w:lang w:val="es-ES_tradnl"/>
        </w:rPr>
        <w:t>corredores de integración</w:t>
      </w:r>
      <w:r w:rsidRPr="00411DC3" w:rsidR="001603C3">
        <w:rPr>
          <w:rFonts w:ascii="Arial" w:hAnsi="Arial" w:cs="Arial"/>
          <w:lang w:val="es-ES_tradnl"/>
        </w:rPr>
        <w:t xml:space="preserve"> regionales</w:t>
      </w:r>
      <w:r w:rsidRPr="00411DC3" w:rsidR="00BA72D3">
        <w:rPr>
          <w:rFonts w:ascii="Arial" w:hAnsi="Arial" w:cs="Arial"/>
          <w:lang w:val="es-ES_tradnl"/>
        </w:rPr>
        <w:t xml:space="preserve"> atraviesan </w:t>
      </w:r>
      <w:r w:rsidRPr="00411DC3" w:rsidR="00831543">
        <w:rPr>
          <w:rFonts w:ascii="Arial" w:hAnsi="Arial" w:cs="Arial"/>
          <w:lang w:val="es-ES_tradnl"/>
        </w:rPr>
        <w:t>Honduras</w:t>
      </w:r>
      <w:r w:rsidRPr="00411DC3" w:rsidR="00BA72D3">
        <w:rPr>
          <w:rFonts w:ascii="Arial" w:hAnsi="Arial" w:cs="Arial"/>
          <w:lang w:val="es-ES_tradnl"/>
        </w:rPr>
        <w:t xml:space="preserve"> y </w:t>
      </w:r>
      <w:r w:rsidRPr="00411DC3" w:rsidR="001603C3">
        <w:rPr>
          <w:rFonts w:ascii="Arial" w:hAnsi="Arial" w:cs="Arial"/>
          <w:lang w:val="es-ES_tradnl"/>
        </w:rPr>
        <w:t>completando la conectividad del</w:t>
      </w:r>
      <w:r w:rsidRPr="00411DC3" w:rsidR="00BA72D3">
        <w:rPr>
          <w:rFonts w:ascii="Arial" w:hAnsi="Arial" w:cs="Arial"/>
          <w:lang w:val="es-ES_tradnl"/>
        </w:rPr>
        <w:t xml:space="preserve"> istmo Centroamericano </w:t>
      </w:r>
      <w:r w:rsidRPr="00411DC3" w:rsidR="00953938">
        <w:rPr>
          <w:rFonts w:ascii="Arial" w:hAnsi="Arial" w:cs="Arial"/>
          <w:lang w:val="es-ES_tradnl"/>
        </w:rPr>
        <w:t>t</w:t>
      </w:r>
      <w:r w:rsidRPr="00411DC3" w:rsidR="00BA72D3">
        <w:rPr>
          <w:rFonts w:ascii="Arial" w:hAnsi="Arial" w:cs="Arial"/>
          <w:lang w:val="es-ES_tradnl"/>
        </w:rPr>
        <w:t xml:space="preserve">al es el caso del </w:t>
      </w:r>
      <w:r w:rsidRPr="00411DC3" w:rsidR="00DF5866">
        <w:rPr>
          <w:rFonts w:ascii="Arial" w:hAnsi="Arial" w:cs="Arial"/>
          <w:lang w:val="es-ES_tradnl"/>
        </w:rPr>
        <w:t>C</w:t>
      </w:r>
      <w:r w:rsidRPr="00411DC3" w:rsidR="00BA72D3">
        <w:rPr>
          <w:rFonts w:ascii="Arial" w:hAnsi="Arial" w:cs="Arial"/>
          <w:lang w:val="es-ES_tradnl"/>
        </w:rPr>
        <w:t>orredor Pacífico</w:t>
      </w:r>
      <w:r w:rsidRPr="00411DC3" w:rsidR="00511030">
        <w:rPr>
          <w:rFonts w:ascii="Arial" w:hAnsi="Arial" w:cs="Arial"/>
          <w:lang w:val="es-ES_tradnl"/>
        </w:rPr>
        <w:t>.</w:t>
      </w:r>
      <w:r w:rsidRPr="00411DC3" w:rsidR="00BC2D6A">
        <w:rPr>
          <w:rFonts w:ascii="Arial" w:hAnsi="Arial" w:cs="Arial"/>
          <w:lang w:val="es-ES_tradnl"/>
        </w:rPr>
        <w:t xml:space="preserve"> En materia fronteriza, el desempeño de los procesos de </w:t>
      </w:r>
      <w:r w:rsidRPr="00411DC3" w:rsidR="00561AFB">
        <w:rPr>
          <w:rFonts w:ascii="Arial" w:hAnsi="Arial" w:cs="Arial"/>
          <w:lang w:val="es-ES_tradnl"/>
        </w:rPr>
        <w:t xml:space="preserve">comercio exterior realizados en los puestos Aduaneros de Honduras, son fundamentales para que el SLN evolucione positivamente y en beneficio a la región. Al respecto, Honduras ha realizado esfuerzos para implementar la </w:t>
      </w:r>
      <w:r w:rsidRPr="00411DC3" w:rsidR="00561AFB">
        <w:rPr>
          <w:rFonts w:ascii="Arial" w:hAnsi="Arial" w:cs="Arial"/>
          <w:i/>
          <w:lang w:val="es-ES_tradnl"/>
        </w:rPr>
        <w:t>Estrategia Centroamericana de Facilitación Comercial y Competitividad</w:t>
      </w:r>
      <w:r w:rsidRPr="00411DC3" w:rsidR="00561AFB">
        <w:rPr>
          <w:rFonts w:ascii="Arial" w:hAnsi="Arial" w:cs="Arial"/>
          <w:lang w:val="es-ES_tradnl"/>
        </w:rPr>
        <w:t xml:space="preserve"> </w:t>
      </w:r>
      <w:r w:rsidRPr="00411DC3" w:rsidR="00561AFB">
        <w:rPr>
          <w:rFonts w:ascii="Arial" w:hAnsi="Arial" w:cs="Arial"/>
          <w:i/>
          <w:lang w:val="es-ES_tradnl"/>
        </w:rPr>
        <w:t>con énfasis en gestión coordinada de fronteras</w:t>
      </w:r>
      <w:r w:rsidRPr="00411DC3" w:rsidR="00561AFB">
        <w:rPr>
          <w:rFonts w:ascii="Arial" w:hAnsi="Arial" w:cs="Arial"/>
          <w:lang w:val="es-ES_tradnl"/>
        </w:rPr>
        <w:t xml:space="preserve"> (COMIECO, BID </w:t>
      </w:r>
      <w:r w:rsidRPr="00411DC3" w:rsidR="00B03708">
        <w:rPr>
          <w:rFonts w:ascii="Arial" w:hAnsi="Arial" w:cs="Arial"/>
          <w:lang w:val="es-ES_tradnl"/>
        </w:rPr>
        <w:t>y</w:t>
      </w:r>
      <w:r w:rsidRPr="00411DC3" w:rsidR="00561AFB">
        <w:rPr>
          <w:rFonts w:ascii="Arial" w:hAnsi="Arial" w:cs="Arial"/>
          <w:lang w:val="es-ES_tradnl"/>
        </w:rPr>
        <w:t xml:space="preserve"> USAID 2015). Dicha estrategia promueve un enfoque regional para la modernización de pasos de frontera basado en la implementación de medidas de facilitación comercial y control fronterizo. </w:t>
      </w:r>
      <w:r w:rsidRPr="00411DC3" w:rsidR="00BC2D6A">
        <w:rPr>
          <w:rFonts w:ascii="Arial" w:hAnsi="Arial" w:cs="Arial"/>
          <w:lang w:val="es-ES_tradnl"/>
        </w:rPr>
        <w:t xml:space="preserve"> </w:t>
      </w:r>
    </w:p>
    <w:p w:rsidRPr="00411DC3" w:rsidR="00946142" w:rsidP="00831543" w:rsidRDefault="00BA72D3" w14:paraId="34FC18BE" w14:textId="77777777">
      <w:pPr>
        <w:pStyle w:val="ListParagraph"/>
        <w:tabs>
          <w:tab w:val="left" w:pos="270"/>
          <w:tab w:val="left" w:pos="360"/>
          <w:tab w:val="left" w:pos="450"/>
          <w:tab w:val="left" w:pos="2085"/>
        </w:tabs>
        <w:spacing w:after="0" w:line="240" w:lineRule="auto"/>
        <w:ind w:left="90"/>
        <w:jc w:val="both"/>
        <w:rPr>
          <w:rFonts w:ascii="Arial" w:hAnsi="Arial" w:cs="Arial"/>
          <w:lang w:val="es-ES_tradnl"/>
        </w:rPr>
      </w:pPr>
      <w:r w:rsidRPr="00411DC3">
        <w:rPr>
          <w:rFonts w:ascii="Arial" w:hAnsi="Arial" w:cs="Arial"/>
          <w:lang w:val="es-ES_tradnl"/>
        </w:rPr>
        <w:t xml:space="preserve"> </w:t>
      </w:r>
    </w:p>
    <w:p w:rsidRPr="00411DC3" w:rsidR="00D00ADD" w:rsidP="008F28A6" w:rsidRDefault="00D00ADD" w14:paraId="464E0C5C" w14:textId="77777777">
      <w:pPr>
        <w:pStyle w:val="ListParagraph"/>
        <w:tabs>
          <w:tab w:val="left" w:pos="270"/>
          <w:tab w:val="left" w:pos="360"/>
          <w:tab w:val="left" w:pos="450"/>
          <w:tab w:val="left" w:pos="2085"/>
        </w:tabs>
        <w:spacing w:after="0" w:line="240" w:lineRule="auto"/>
        <w:ind w:left="90"/>
        <w:jc w:val="both"/>
        <w:rPr>
          <w:rFonts w:ascii="Arial" w:hAnsi="Arial" w:cs="Arial"/>
          <w:b/>
          <w:u w:val="single"/>
          <w:lang w:val="es-ES"/>
        </w:rPr>
      </w:pPr>
      <w:r w:rsidRPr="00411DC3">
        <w:rPr>
          <w:rFonts w:ascii="Arial" w:hAnsi="Arial" w:cs="Arial"/>
          <w:b/>
          <w:u w:val="single"/>
          <w:lang w:val="es-ES"/>
        </w:rPr>
        <w:t>Integración y logística</w:t>
      </w:r>
    </w:p>
    <w:p w:rsidRPr="00411DC3" w:rsidR="008F28A6" w:rsidP="008F28A6" w:rsidRDefault="008F28A6" w14:paraId="3B3D0F5F" w14:textId="77777777">
      <w:pPr>
        <w:pStyle w:val="ListParagraph"/>
        <w:tabs>
          <w:tab w:val="left" w:pos="270"/>
          <w:tab w:val="left" w:pos="360"/>
          <w:tab w:val="left" w:pos="450"/>
          <w:tab w:val="left" w:pos="2085"/>
        </w:tabs>
        <w:spacing w:after="0" w:line="240" w:lineRule="auto"/>
        <w:ind w:left="90"/>
        <w:jc w:val="both"/>
        <w:rPr>
          <w:rFonts w:ascii="Arial" w:hAnsi="Arial" w:cs="Arial"/>
          <w:lang w:val="es-ES"/>
        </w:rPr>
      </w:pPr>
    </w:p>
    <w:p w:rsidRPr="00411DC3" w:rsidR="004F528D" w:rsidP="003C3711" w:rsidRDefault="0082323D" w14:paraId="30838335" w14:textId="77777777">
      <w:pPr>
        <w:pStyle w:val="ListParagraph"/>
        <w:numPr>
          <w:ilvl w:val="1"/>
          <w:numId w:val="20"/>
        </w:numPr>
        <w:tabs>
          <w:tab w:val="left" w:pos="270"/>
          <w:tab w:val="left" w:pos="360"/>
          <w:tab w:val="left" w:pos="450"/>
          <w:tab w:val="left" w:pos="2085"/>
        </w:tabs>
        <w:spacing w:after="0" w:line="240" w:lineRule="auto"/>
        <w:ind w:left="90"/>
        <w:jc w:val="both"/>
        <w:rPr>
          <w:rFonts w:ascii="Arial" w:hAnsi="Arial" w:cs="Arial"/>
          <w:lang w:val="es-ES"/>
        </w:rPr>
      </w:pPr>
      <w:r w:rsidRPr="00411DC3">
        <w:rPr>
          <w:rFonts w:ascii="Arial" w:hAnsi="Arial" w:cs="Arial"/>
          <w:lang w:val="es-ES"/>
        </w:rPr>
        <w:t xml:space="preserve">La logística </w:t>
      </w:r>
      <w:r w:rsidRPr="00411DC3" w:rsidR="00254AA3">
        <w:rPr>
          <w:rFonts w:ascii="Arial" w:hAnsi="Arial" w:cs="Arial"/>
          <w:lang w:val="es-ES"/>
        </w:rPr>
        <w:t>es relevante para el comercio regional y global debido a que</w:t>
      </w:r>
      <w:r w:rsidRPr="00411DC3" w:rsidR="00BC2D6A">
        <w:rPr>
          <w:rFonts w:ascii="Arial" w:hAnsi="Arial" w:cs="Arial"/>
          <w:lang w:val="es-ES"/>
        </w:rPr>
        <w:t xml:space="preserve"> </w:t>
      </w:r>
      <w:r w:rsidRPr="00411DC3" w:rsidR="00611A61">
        <w:rPr>
          <w:rFonts w:ascii="Arial" w:hAnsi="Arial" w:cs="Arial"/>
          <w:lang w:val="es-ES"/>
        </w:rPr>
        <w:t xml:space="preserve">su objeto es movilizar los </w:t>
      </w:r>
      <w:r w:rsidRPr="00411DC3" w:rsidR="00254AA3">
        <w:rPr>
          <w:rFonts w:ascii="Arial" w:hAnsi="Arial" w:cs="Arial"/>
          <w:lang w:val="es-ES"/>
        </w:rPr>
        <w:t>bienes en la economía</w:t>
      </w:r>
      <w:r w:rsidRPr="00411DC3" w:rsidR="00611A61">
        <w:rPr>
          <w:rFonts w:ascii="Arial" w:hAnsi="Arial" w:cs="Arial"/>
          <w:lang w:val="es-ES"/>
        </w:rPr>
        <w:t xml:space="preserve"> y sus</w:t>
      </w:r>
      <w:r w:rsidRPr="00411DC3" w:rsidR="004E63C2">
        <w:rPr>
          <w:rFonts w:ascii="Arial" w:hAnsi="Arial" w:cs="Arial"/>
          <w:lang w:val="es-ES"/>
        </w:rPr>
        <w:t xml:space="preserve"> </w:t>
      </w:r>
      <w:r w:rsidRPr="00411DC3" w:rsidR="00254AA3">
        <w:rPr>
          <w:rFonts w:ascii="Arial" w:hAnsi="Arial" w:cs="Arial"/>
          <w:lang w:val="es-ES"/>
        </w:rPr>
        <w:t xml:space="preserve">flujos agregados. </w:t>
      </w:r>
      <w:r w:rsidRPr="00411DC3" w:rsidR="004F528D">
        <w:rPr>
          <w:rFonts w:ascii="Arial" w:hAnsi="Arial" w:cs="Arial"/>
          <w:lang w:val="es-ES"/>
        </w:rPr>
        <w:t xml:space="preserve">La evidencia empírica demuestra que el buen desempeño logístico beneficia la competitividad de las economías, lo cual tiene una incidencia directa en los flujos de comercio tanto regionales como globales. Esto se fundamenta en el hecho de que los costos logísticos impactan en los precios finales de los bienes y servicios, lo cual se traduce en pérdidas o ganancias de competitividad en relación con el resto de los competidores globales, afectando la posición externa del país. En tal sentido, existe una relación inversa entre exportaciones y costos logísticos y de transporte </w:t>
      </w:r>
      <w:r w:rsidRPr="00411DC3" w:rsidR="004F528D">
        <w:rPr>
          <w:rFonts w:ascii="Arial" w:hAnsi="Arial" w:cs="Arial"/>
          <w:b/>
          <w:lang w:val="es-ES"/>
        </w:rPr>
        <w:t>(Krugman y Livas, 1996)</w:t>
      </w:r>
      <w:r w:rsidRPr="00411DC3" w:rsidR="004F528D">
        <w:rPr>
          <w:rFonts w:ascii="Arial" w:hAnsi="Arial" w:cs="Arial"/>
          <w:lang w:val="es-ES"/>
        </w:rPr>
        <w:t xml:space="preserve">. Adicionalmente, el desarrollo logístico tiene un impacto directo en el acceso a mercados y el flujo de bienes y servicios, afectando temas de </w:t>
      </w:r>
      <w:r w:rsidRPr="00411DC3" w:rsidR="004F528D">
        <w:rPr>
          <w:rFonts w:ascii="Arial" w:hAnsi="Arial" w:cs="Arial"/>
          <w:i/>
          <w:lang w:val="es-ES"/>
        </w:rPr>
        <w:t>economía espacial</w:t>
      </w:r>
      <w:r w:rsidRPr="00411DC3" w:rsidR="004F528D">
        <w:rPr>
          <w:rFonts w:ascii="Arial" w:hAnsi="Arial" w:cs="Arial"/>
          <w:lang w:val="es-ES"/>
        </w:rPr>
        <w:t xml:space="preserve"> directamente relacionados con la integración regional </w:t>
      </w:r>
      <w:r w:rsidRPr="00411DC3" w:rsidR="004F528D">
        <w:rPr>
          <w:rFonts w:ascii="Arial" w:hAnsi="Arial" w:cs="Arial"/>
          <w:b/>
          <w:lang w:val="es-ES"/>
        </w:rPr>
        <w:t>(</w:t>
      </w:r>
      <w:r w:rsidRPr="00411DC3" w:rsidR="004F528D">
        <w:rPr>
          <w:rFonts w:ascii="Arial" w:hAnsi="Arial" w:cs="Arial"/>
          <w:b/>
          <w:lang w:val="es-ES_tradnl"/>
        </w:rPr>
        <w:t>Venables, 1996)</w:t>
      </w:r>
      <w:r w:rsidRPr="00411DC3" w:rsidR="004F528D">
        <w:rPr>
          <w:rFonts w:ascii="Arial" w:hAnsi="Arial" w:cs="Arial"/>
          <w:lang w:val="es-ES"/>
        </w:rPr>
        <w:t xml:space="preserve">, específicamente a través del efecto en la geolocalización de empresas provocados por abaratamiento de los costos logísticos y el aprovechamiento de economía de escala y el acceso a nuevos mercados.  </w:t>
      </w:r>
    </w:p>
    <w:p w:rsidRPr="00411DC3" w:rsidR="004F528D" w:rsidP="004F528D" w:rsidRDefault="004F528D" w14:paraId="404D5DF9" w14:textId="77777777">
      <w:pPr>
        <w:pStyle w:val="ListParagraph"/>
        <w:tabs>
          <w:tab w:val="left" w:pos="270"/>
          <w:tab w:val="left" w:pos="360"/>
          <w:tab w:val="left" w:pos="450"/>
          <w:tab w:val="left" w:pos="2085"/>
        </w:tabs>
        <w:spacing w:after="0" w:line="240" w:lineRule="auto"/>
        <w:ind w:left="90"/>
        <w:jc w:val="both"/>
        <w:rPr>
          <w:rFonts w:ascii="Arial" w:hAnsi="Arial" w:cs="Arial"/>
          <w:lang w:val="es-ES"/>
        </w:rPr>
      </w:pPr>
    </w:p>
    <w:p w:rsidRPr="00411DC3" w:rsidR="003F6BF5" w:rsidP="003C3711" w:rsidRDefault="005D4F96" w14:paraId="731AEB80" w14:textId="77777777">
      <w:pPr>
        <w:pStyle w:val="ListParagraph"/>
        <w:numPr>
          <w:ilvl w:val="1"/>
          <w:numId w:val="20"/>
        </w:numPr>
        <w:tabs>
          <w:tab w:val="left" w:pos="270"/>
          <w:tab w:val="left" w:pos="360"/>
          <w:tab w:val="left" w:pos="450"/>
          <w:tab w:val="left" w:pos="2085"/>
        </w:tabs>
        <w:spacing w:after="0" w:line="240" w:lineRule="auto"/>
        <w:ind w:left="90"/>
        <w:jc w:val="both"/>
        <w:rPr>
          <w:rFonts w:ascii="Arial" w:hAnsi="Arial" w:cs="Arial"/>
          <w:lang w:val="es-ES"/>
        </w:rPr>
      </w:pPr>
      <w:r w:rsidRPr="00411DC3">
        <w:rPr>
          <w:rFonts w:ascii="Arial" w:hAnsi="Arial" w:cs="Arial"/>
          <w:lang w:val="es-ES"/>
        </w:rPr>
        <w:t xml:space="preserve">En el ámbito regulatorio, la evidencia empírica demuestra que el marco legal es relevante para </w:t>
      </w:r>
      <w:r w:rsidRPr="00411DC3" w:rsidR="00824268">
        <w:rPr>
          <w:rFonts w:ascii="Arial" w:hAnsi="Arial" w:cs="Arial"/>
          <w:lang w:val="es-ES"/>
        </w:rPr>
        <w:t xml:space="preserve">el desempeño logístico y consecuentemente para </w:t>
      </w:r>
      <w:r w:rsidRPr="00411DC3">
        <w:rPr>
          <w:rFonts w:ascii="Arial" w:hAnsi="Arial" w:cs="Arial"/>
          <w:lang w:val="es-ES"/>
        </w:rPr>
        <w:t xml:space="preserve">el crecimiento </w:t>
      </w:r>
      <w:r w:rsidRPr="00411DC3" w:rsidR="00824268">
        <w:rPr>
          <w:rFonts w:ascii="Arial" w:hAnsi="Arial" w:cs="Arial"/>
          <w:lang w:val="es-ES"/>
        </w:rPr>
        <w:t xml:space="preserve">económico. </w:t>
      </w:r>
      <w:r w:rsidRPr="00411DC3" w:rsidR="00300B64">
        <w:rPr>
          <w:rFonts w:ascii="Arial" w:hAnsi="Arial" w:cs="Arial"/>
          <w:lang w:val="es-ES"/>
        </w:rPr>
        <w:t xml:space="preserve">En </w:t>
      </w:r>
      <w:proofErr w:type="spellStart"/>
      <w:r w:rsidRPr="00411DC3" w:rsidR="00300B64">
        <w:rPr>
          <w:rFonts w:ascii="Arial" w:hAnsi="Arial" w:cs="Arial"/>
          <w:b/>
          <w:lang w:val="es-ES"/>
        </w:rPr>
        <w:t>Haidar</w:t>
      </w:r>
      <w:proofErr w:type="spellEnd"/>
      <w:r w:rsidRPr="00411DC3" w:rsidR="00300B64">
        <w:rPr>
          <w:rFonts w:ascii="Arial" w:hAnsi="Arial" w:cs="Arial"/>
          <w:b/>
          <w:lang w:val="es-ES"/>
        </w:rPr>
        <w:t>, J.I. (2012)</w:t>
      </w:r>
      <w:r w:rsidRPr="00411DC3" w:rsidR="00300B64">
        <w:rPr>
          <w:rFonts w:ascii="Arial" w:hAnsi="Arial" w:cs="Arial"/>
          <w:lang w:val="es-ES"/>
        </w:rPr>
        <w:t xml:space="preserve"> se demuestra </w:t>
      </w:r>
      <w:r w:rsidRPr="00411DC3" w:rsidR="002109CE">
        <w:rPr>
          <w:rFonts w:ascii="Arial" w:hAnsi="Arial" w:cs="Arial"/>
          <w:lang w:val="es-ES"/>
        </w:rPr>
        <w:t xml:space="preserve">empíricamente </w:t>
      </w:r>
      <w:r w:rsidRPr="00411DC3" w:rsidR="00300B64">
        <w:rPr>
          <w:rFonts w:ascii="Arial" w:hAnsi="Arial" w:cs="Arial"/>
          <w:lang w:val="es-ES"/>
        </w:rPr>
        <w:t>que cada reforma positiva en las regulaciones de comercio transfronterizo (es decir, tiempo, costos y procedimientos necesarios para exportar o importar una carga) está asociada con un aumento del 0.15% en la tasa de crecimiento económico promedio.</w:t>
      </w:r>
      <w:r w:rsidRPr="00411DC3" w:rsidR="00824268">
        <w:rPr>
          <w:rFonts w:ascii="Arial" w:hAnsi="Arial" w:cs="Arial"/>
          <w:lang w:val="es-ES"/>
        </w:rPr>
        <w:t xml:space="preserve"> Un efecto relevante </w:t>
      </w:r>
      <w:r w:rsidRPr="00411DC3" w:rsidR="001A5A4E">
        <w:rPr>
          <w:rFonts w:ascii="Arial" w:hAnsi="Arial" w:cs="Arial"/>
          <w:lang w:val="es-ES"/>
        </w:rPr>
        <w:t xml:space="preserve">de las reformas de política del sector transporte y logística es el ocasionado en la dinámica de entrada y salida de firmas. Al respecto, </w:t>
      </w:r>
      <w:r w:rsidRPr="00411DC3" w:rsidR="0044734B">
        <w:rPr>
          <w:rFonts w:ascii="Arial" w:hAnsi="Arial" w:cs="Arial"/>
          <w:lang w:val="es-ES"/>
        </w:rPr>
        <w:t>altas regulaciones</w:t>
      </w:r>
      <w:r w:rsidRPr="00411DC3" w:rsidR="001A5A4E">
        <w:rPr>
          <w:rFonts w:ascii="Arial" w:hAnsi="Arial" w:cs="Arial"/>
          <w:lang w:val="es-ES"/>
        </w:rPr>
        <w:t xml:space="preserve"> sobre la actividad empresarial, así como los altos costos de ajuste de la fuerza laboral, parecen afectar negativamente la entrada de nuevas pequeñas empresas</w:t>
      </w:r>
      <w:r w:rsidRPr="00411DC3" w:rsidR="0044734B">
        <w:rPr>
          <w:rFonts w:ascii="Arial" w:hAnsi="Arial" w:cs="Arial"/>
          <w:lang w:val="es-ES"/>
        </w:rPr>
        <w:t xml:space="preserve">. </w:t>
      </w:r>
      <w:r w:rsidRPr="00411DC3" w:rsidR="0044734B">
        <w:rPr>
          <w:rFonts w:ascii="Arial" w:hAnsi="Arial" w:cs="Arial"/>
          <w:b/>
          <w:lang w:val="es-ES"/>
        </w:rPr>
        <w:t xml:space="preserve">Desai et al. (2003) </w:t>
      </w:r>
      <w:r w:rsidRPr="00411DC3" w:rsidR="002109CE">
        <w:rPr>
          <w:rFonts w:ascii="Arial" w:hAnsi="Arial" w:cs="Arial"/>
          <w:lang w:val="es-ES"/>
        </w:rPr>
        <w:t>se</w:t>
      </w:r>
      <w:r w:rsidRPr="00411DC3" w:rsidR="0044734B">
        <w:rPr>
          <w:rFonts w:ascii="Arial" w:hAnsi="Arial" w:cs="Arial"/>
          <w:lang w:val="es-ES"/>
        </w:rPr>
        <w:t xml:space="preserve"> explora el impacto del entorno institucional en la naturaleza de la actividad empresarial en toda Europa</w:t>
      </w:r>
      <w:r w:rsidRPr="00411DC3" w:rsidR="006A3EE6">
        <w:rPr>
          <w:rFonts w:ascii="Arial" w:hAnsi="Arial" w:cs="Arial"/>
          <w:lang w:val="es-ES"/>
        </w:rPr>
        <w:t>; se demuestra que u</w:t>
      </w:r>
      <w:r w:rsidRPr="00411DC3" w:rsidR="0044734B">
        <w:rPr>
          <w:rFonts w:ascii="Arial" w:hAnsi="Arial" w:cs="Arial"/>
          <w:lang w:val="es-ES"/>
        </w:rPr>
        <w:t>na mayor equidad y una mayor protección de los derechos de propiedad aumentan las tasas de ingreso, reducen las tasas de salida y reducen el tamaño promedio de las empresas.</w:t>
      </w:r>
      <w:r w:rsidRPr="00411DC3" w:rsidR="006A3EE6">
        <w:rPr>
          <w:rFonts w:ascii="Arial" w:hAnsi="Arial" w:cs="Arial"/>
          <w:lang w:val="es-ES"/>
        </w:rPr>
        <w:t xml:space="preserve"> </w:t>
      </w:r>
    </w:p>
    <w:p w:rsidRPr="00411DC3" w:rsidR="001A5A4E" w:rsidP="003C3711" w:rsidRDefault="00E94D28" w14:paraId="6AC989BB" w14:textId="05828351">
      <w:pPr>
        <w:pStyle w:val="ListParagraph"/>
        <w:numPr>
          <w:ilvl w:val="1"/>
          <w:numId w:val="20"/>
        </w:numPr>
        <w:tabs>
          <w:tab w:val="left" w:pos="270"/>
          <w:tab w:val="left" w:pos="360"/>
          <w:tab w:val="left" w:pos="450"/>
          <w:tab w:val="left" w:pos="2085"/>
        </w:tabs>
        <w:spacing w:after="0" w:line="240" w:lineRule="auto"/>
        <w:ind w:left="90"/>
        <w:jc w:val="both"/>
        <w:rPr>
          <w:rFonts w:ascii="Arial" w:hAnsi="Arial" w:cs="Arial"/>
          <w:lang w:val="es-ES"/>
        </w:rPr>
      </w:pPr>
      <w:r w:rsidRPr="00411DC3">
        <w:rPr>
          <w:rFonts w:ascii="Arial" w:hAnsi="Arial" w:cs="Arial"/>
          <w:lang w:val="es-ES"/>
        </w:rPr>
        <w:t xml:space="preserve">En un análisis realizado por el BID </w:t>
      </w:r>
      <w:r w:rsidRPr="00411DC3" w:rsidR="00CF6332">
        <w:rPr>
          <w:rFonts w:ascii="Arial" w:hAnsi="Arial" w:cs="Arial"/>
          <w:lang w:val="es-ES"/>
        </w:rPr>
        <w:t>es donde se estudia</w:t>
      </w:r>
      <w:r w:rsidRPr="00411DC3" w:rsidR="00A56702">
        <w:rPr>
          <w:rFonts w:ascii="Arial" w:hAnsi="Arial" w:cs="Arial"/>
          <w:lang w:val="es-ES"/>
        </w:rPr>
        <w:t xml:space="preserve"> empíricamente los resultados en el crecimiento ec</w:t>
      </w:r>
      <w:r w:rsidRPr="00411DC3" w:rsidR="00BF0D8F">
        <w:rPr>
          <w:rFonts w:ascii="Arial" w:hAnsi="Arial" w:cs="Arial"/>
          <w:lang w:val="es-ES"/>
        </w:rPr>
        <w:t>o</w:t>
      </w:r>
      <w:r w:rsidRPr="00411DC3" w:rsidR="00A56702">
        <w:rPr>
          <w:rFonts w:ascii="Arial" w:hAnsi="Arial" w:cs="Arial"/>
          <w:lang w:val="es-ES"/>
        </w:rPr>
        <w:t xml:space="preserve">nómico de las reformas estructurales legales </w:t>
      </w:r>
      <w:r w:rsidRPr="00411DC3" w:rsidR="00AA5DF4">
        <w:rPr>
          <w:rFonts w:ascii="Arial" w:hAnsi="Arial" w:cs="Arial"/>
          <w:lang w:val="es-ES"/>
        </w:rPr>
        <w:t>que afectan la facilidad para hacer negocios</w:t>
      </w:r>
      <w:r w:rsidRPr="00411DC3" w:rsidR="00BF0D8F">
        <w:rPr>
          <w:rFonts w:ascii="Arial" w:hAnsi="Arial" w:cs="Arial"/>
          <w:lang w:val="es-ES"/>
        </w:rPr>
        <w:t xml:space="preserve"> tanto en el ámbito lógico como de facilitación comercial,</w:t>
      </w:r>
      <w:r w:rsidRPr="00411DC3" w:rsidR="00AA5DF4">
        <w:rPr>
          <w:rFonts w:ascii="Arial" w:hAnsi="Arial" w:cs="Arial"/>
          <w:lang w:val="es-ES"/>
        </w:rPr>
        <w:t xml:space="preserve"> l</w:t>
      </w:r>
      <w:r w:rsidRPr="00411DC3" w:rsidR="00A56702">
        <w:rPr>
          <w:rFonts w:ascii="Arial" w:hAnsi="Arial" w:cs="Arial"/>
          <w:lang w:val="es-ES"/>
        </w:rPr>
        <w:t>levadas a cabo durante el período 2004-2017</w:t>
      </w:r>
      <w:r w:rsidRPr="00411DC3" w:rsidR="00CF6332">
        <w:rPr>
          <w:rFonts w:ascii="Arial" w:hAnsi="Arial" w:cs="Arial"/>
          <w:lang w:val="es-ES"/>
        </w:rPr>
        <w:t xml:space="preserve"> en Panamá</w:t>
      </w:r>
      <w:r w:rsidRPr="00411DC3" w:rsidR="00A56702">
        <w:rPr>
          <w:rFonts w:ascii="Arial" w:hAnsi="Arial" w:cs="Arial"/>
          <w:lang w:val="es-ES"/>
        </w:rPr>
        <w:t xml:space="preserve">. </w:t>
      </w:r>
      <w:r w:rsidRPr="00411DC3" w:rsidR="00A56702">
        <w:rPr>
          <w:rFonts w:ascii="Arial" w:hAnsi="Arial" w:cs="Arial"/>
          <w:lang w:val="es-ES_tradnl"/>
        </w:rPr>
        <w:t xml:space="preserve">El fundamento teórico de este análisis es que el nivel de ingresos es una función del marco regulatorio existente, pero un cambio en el nivel de ingresos es más una función de cómo cambia y mejora el marco regulatorio. </w:t>
      </w:r>
      <w:r w:rsidRPr="00411DC3" w:rsidR="00190868">
        <w:rPr>
          <w:rFonts w:ascii="Arial" w:hAnsi="Arial" w:cs="Arial"/>
          <w:lang w:val="es-ES_tradnl"/>
        </w:rPr>
        <w:t>El análisis utilizó</w:t>
      </w:r>
      <w:r w:rsidRPr="00411DC3" w:rsidR="00A56702">
        <w:rPr>
          <w:rFonts w:ascii="Arial" w:hAnsi="Arial" w:cs="Arial"/>
          <w:lang w:val="es-ES_tradnl"/>
        </w:rPr>
        <w:t xml:space="preserve"> los indicadores del </w:t>
      </w:r>
      <w:proofErr w:type="spellStart"/>
      <w:r w:rsidRPr="00411DC3" w:rsidR="00A56702">
        <w:rPr>
          <w:rFonts w:ascii="Arial" w:hAnsi="Arial" w:cs="Arial"/>
          <w:i/>
          <w:lang w:val="es-ES_tradnl"/>
        </w:rPr>
        <w:t>Doing</w:t>
      </w:r>
      <w:proofErr w:type="spellEnd"/>
      <w:r w:rsidRPr="00411DC3" w:rsidR="00A56702">
        <w:rPr>
          <w:rFonts w:ascii="Arial" w:hAnsi="Arial" w:cs="Arial"/>
          <w:i/>
          <w:lang w:val="es-ES_tradnl"/>
        </w:rPr>
        <w:t xml:space="preserve"> Business</w:t>
      </w:r>
      <w:r w:rsidRPr="00411DC3" w:rsidR="00A56702">
        <w:rPr>
          <w:rFonts w:ascii="Arial" w:hAnsi="Arial" w:cs="Arial"/>
          <w:lang w:val="es-ES_tradnl"/>
        </w:rPr>
        <w:t xml:space="preserve"> (DB) del Banco Mundial </w:t>
      </w:r>
      <w:r w:rsidRPr="00411DC3" w:rsidR="00E6541C">
        <w:rPr>
          <w:rFonts w:ascii="Arial" w:hAnsi="Arial" w:cs="Arial"/>
          <w:lang w:val="es-ES_tradnl"/>
        </w:rPr>
        <w:t xml:space="preserve">de los </w:t>
      </w:r>
      <w:r w:rsidRPr="00411DC3" w:rsidR="00A56702">
        <w:rPr>
          <w:rFonts w:ascii="Arial" w:hAnsi="Arial" w:cs="Arial"/>
          <w:lang w:val="es-ES_tradnl"/>
        </w:rPr>
        <w:t xml:space="preserve">indicadores de las regulaciones </w:t>
      </w:r>
      <w:r w:rsidRPr="00411DC3" w:rsidR="00A56702">
        <w:rPr>
          <w:rFonts w:ascii="Arial" w:hAnsi="Arial" w:cs="Arial"/>
          <w:lang w:val="es-ES_tradnl"/>
        </w:rPr>
        <w:lastRenderedPageBreak/>
        <w:t xml:space="preserve">comerciales, como un determinante importante del crecimiento económico enfocado fundamentalmente en la actividad de las firmas. </w:t>
      </w:r>
      <w:r w:rsidRPr="00411DC3" w:rsidR="00E6541C">
        <w:rPr>
          <w:rFonts w:ascii="Arial" w:hAnsi="Arial" w:cs="Arial"/>
          <w:lang w:val="es-ES_tradnl"/>
        </w:rPr>
        <w:t>Se encontró</w:t>
      </w:r>
      <w:r w:rsidRPr="00411DC3" w:rsidR="00A56702">
        <w:rPr>
          <w:rFonts w:ascii="Arial" w:hAnsi="Arial" w:cs="Arial"/>
          <w:lang w:val="es-ES_tradnl"/>
        </w:rPr>
        <w:t xml:space="preserve"> que existe una relación positiva entre las reformas regulatorias llevadas a cabo en Panamá en el período analizado y los incrementos en el PIB Nominal. El coeficiente estimado en el modelo es positivo e igual a </w:t>
      </w:r>
      <w:r w:rsidRPr="00411DC3" w:rsidR="00A56702">
        <w:rPr>
          <w:rFonts w:ascii="Arial" w:hAnsi="Arial" w:cs="Arial"/>
          <w:b/>
          <w:lang w:val="es-ES_tradnl"/>
        </w:rPr>
        <w:t>0.03</w:t>
      </w:r>
      <w:r w:rsidRPr="00411DC3" w:rsidR="00A56702">
        <w:rPr>
          <w:rFonts w:ascii="Arial" w:hAnsi="Arial" w:cs="Arial"/>
          <w:lang w:val="es-ES_tradnl"/>
        </w:rPr>
        <w:t xml:space="preserve">, significativo al nivel de 5%. </w:t>
      </w:r>
      <w:r w:rsidRPr="00411DC3" w:rsidR="00881ED2">
        <w:rPr>
          <w:rFonts w:ascii="Arial" w:hAnsi="Arial" w:cs="Arial"/>
          <w:b/>
          <w:lang w:val="es-ES_tradnl"/>
        </w:rPr>
        <w:t>esto quiere decir que</w:t>
      </w:r>
      <w:r w:rsidRPr="00411DC3" w:rsidR="00A56702">
        <w:rPr>
          <w:rFonts w:ascii="Arial" w:hAnsi="Arial" w:cs="Arial"/>
          <w:b/>
          <w:lang w:val="es-ES_tradnl"/>
        </w:rPr>
        <w:t xml:space="preserve"> cada reforma regulatoria del clima de negocios está asociada,</w:t>
      </w:r>
      <w:bookmarkStart w:name="_GoBack" w:id="1"/>
      <w:bookmarkEnd w:id="1"/>
      <w:r w:rsidRPr="00411DC3" w:rsidR="00A56702">
        <w:rPr>
          <w:rFonts w:ascii="Arial" w:hAnsi="Arial" w:cs="Arial"/>
          <w:b/>
          <w:lang w:val="es-ES_tradnl"/>
        </w:rPr>
        <w:t xml:space="preserve"> en promedio, con un aumento de 0.03% en el crecimiento económico. </w:t>
      </w:r>
      <w:r w:rsidRPr="00411DC3" w:rsidR="006A3EE6">
        <w:rPr>
          <w:rFonts w:ascii="Arial" w:hAnsi="Arial" w:cs="Arial"/>
          <w:lang w:val="es-ES"/>
        </w:rPr>
        <w:t xml:space="preserve">Las evidencias antes mencionadas, </w:t>
      </w:r>
      <w:r w:rsidRPr="00411DC3" w:rsidR="001A5A4E">
        <w:rPr>
          <w:rFonts w:ascii="Arial" w:hAnsi="Arial" w:cs="Arial"/>
          <w:lang w:val="es-ES"/>
        </w:rPr>
        <w:t>sugieren que los países deberían priorizar la reforma de sus regulaciones comerciales</w:t>
      </w:r>
      <w:r w:rsidRPr="00411DC3" w:rsidR="006A3EE6">
        <w:rPr>
          <w:rFonts w:ascii="Arial" w:hAnsi="Arial" w:cs="Arial"/>
          <w:lang w:val="es-ES"/>
        </w:rPr>
        <w:t>, de transporte y logística</w:t>
      </w:r>
      <w:r w:rsidRPr="00411DC3" w:rsidR="001A5A4E">
        <w:rPr>
          <w:rFonts w:ascii="Arial" w:hAnsi="Arial" w:cs="Arial"/>
          <w:lang w:val="es-ES"/>
        </w:rPr>
        <w:t xml:space="preserve"> al diseñar políticas de crecimiento.</w:t>
      </w:r>
    </w:p>
    <w:p w:rsidRPr="00411DC3" w:rsidR="00AA15B6" w:rsidP="00AA15B6" w:rsidRDefault="00AA15B6" w14:paraId="50B5AB11" w14:textId="77777777">
      <w:pPr>
        <w:tabs>
          <w:tab w:val="left" w:pos="270"/>
          <w:tab w:val="left" w:pos="360"/>
          <w:tab w:val="left" w:pos="450"/>
          <w:tab w:val="left" w:pos="2085"/>
        </w:tabs>
        <w:spacing w:after="0" w:line="240" w:lineRule="auto"/>
        <w:jc w:val="both"/>
        <w:rPr>
          <w:rFonts w:ascii="Arial" w:hAnsi="Arial" w:cs="Arial"/>
          <w:lang w:val="es-ES_tradnl"/>
        </w:rPr>
      </w:pPr>
    </w:p>
    <w:p w:rsidRPr="00411DC3" w:rsidR="007E4218" w:rsidP="00C12391" w:rsidRDefault="007E4218" w14:paraId="647086D0" w14:textId="77777777">
      <w:pPr>
        <w:pStyle w:val="ListParagraph"/>
        <w:numPr>
          <w:ilvl w:val="0"/>
          <w:numId w:val="19"/>
        </w:numPr>
        <w:tabs>
          <w:tab w:val="left" w:pos="360"/>
          <w:tab w:val="left" w:pos="450"/>
        </w:tabs>
        <w:spacing w:line="240" w:lineRule="auto"/>
        <w:jc w:val="both"/>
        <w:rPr>
          <w:rFonts w:ascii="Arial" w:hAnsi="Arial" w:cs="Arial"/>
          <w:b/>
          <w:color w:val="1F497D"/>
          <w:lang w:val="es-ES"/>
        </w:rPr>
      </w:pPr>
      <w:r w:rsidRPr="00411DC3">
        <w:rPr>
          <w:rFonts w:ascii="Arial" w:hAnsi="Arial" w:cs="Arial"/>
          <w:b/>
          <w:color w:val="1F497D"/>
          <w:lang w:val="es-ES"/>
        </w:rPr>
        <w:t>A</w:t>
      </w:r>
      <w:r w:rsidRPr="00411DC3" w:rsidR="00F71376">
        <w:rPr>
          <w:rFonts w:ascii="Arial" w:hAnsi="Arial" w:cs="Arial"/>
          <w:b/>
          <w:color w:val="1F497D"/>
          <w:lang w:val="es-ES"/>
        </w:rPr>
        <w:t>spectos generales de la operación en términos de integración regional</w:t>
      </w:r>
    </w:p>
    <w:p w:rsidRPr="00411DC3" w:rsidR="007E4218" w:rsidP="007E4218" w:rsidRDefault="007E4218" w14:paraId="4BF0B905" w14:textId="77777777">
      <w:pPr>
        <w:pStyle w:val="ListParagraph"/>
        <w:rPr>
          <w:rFonts w:ascii="Arial" w:hAnsi="Arial" w:cs="Arial"/>
          <w:lang w:val="es-ES"/>
        </w:rPr>
      </w:pPr>
    </w:p>
    <w:p w:rsidRPr="00411DC3" w:rsidR="00C34101" w:rsidP="00C12391" w:rsidRDefault="003D5B7B" w14:paraId="6CF6DE63" w14:textId="77777777">
      <w:pPr>
        <w:pStyle w:val="ListParagraph"/>
        <w:numPr>
          <w:ilvl w:val="1"/>
          <w:numId w:val="19"/>
        </w:numPr>
        <w:shd w:val="clear" w:color="auto" w:fill="FFFFFF"/>
        <w:tabs>
          <w:tab w:val="left" w:pos="270"/>
          <w:tab w:val="left" w:pos="360"/>
          <w:tab w:val="left" w:pos="450"/>
          <w:tab w:val="left" w:pos="2085"/>
        </w:tabs>
        <w:spacing w:after="0" w:line="0" w:lineRule="atLeast"/>
        <w:ind w:left="90"/>
        <w:jc w:val="both"/>
        <w:rPr>
          <w:rFonts w:ascii="Arial" w:hAnsi="Arial" w:cs="Arial"/>
          <w:lang w:val="es-ES"/>
        </w:rPr>
      </w:pPr>
      <w:r w:rsidRPr="00411DC3">
        <w:rPr>
          <w:rFonts w:ascii="Arial" w:hAnsi="Arial" w:cs="Arial"/>
          <w:lang w:val="es-ES"/>
        </w:rPr>
        <w:t xml:space="preserve">El </w:t>
      </w:r>
      <w:r w:rsidRPr="00411DC3" w:rsidR="000958C9">
        <w:rPr>
          <w:rFonts w:ascii="Arial" w:hAnsi="Arial" w:cs="Arial"/>
          <w:lang w:val="es-ES_tradnl"/>
        </w:rPr>
        <w:t>Programa de Reformas del Sector Transporte y Logística de Carga de Honduras</w:t>
      </w:r>
      <w:r w:rsidRPr="00411DC3" w:rsidR="00C94824">
        <w:rPr>
          <w:rFonts w:ascii="Arial" w:hAnsi="Arial" w:cs="Arial"/>
          <w:lang w:val="es-ES_tradnl"/>
        </w:rPr>
        <w:t xml:space="preserve"> (HO-L1198)</w:t>
      </w:r>
      <w:r w:rsidRPr="00411DC3" w:rsidR="00675FC0">
        <w:rPr>
          <w:rFonts w:ascii="Arial" w:hAnsi="Arial" w:cs="Arial"/>
          <w:lang w:val="es-ES_tradnl"/>
        </w:rPr>
        <w:t xml:space="preserve">, </w:t>
      </w:r>
      <w:r w:rsidRPr="00411DC3">
        <w:rPr>
          <w:rFonts w:ascii="Arial" w:hAnsi="Arial" w:cs="Arial"/>
          <w:lang w:val="es-ES"/>
        </w:rPr>
        <w:t xml:space="preserve">tiene como objetivo general contribuir a la productividad y a la integración nacional y regional </w:t>
      </w:r>
      <w:r w:rsidRPr="00411DC3" w:rsidR="000958C9">
        <w:rPr>
          <w:rFonts w:ascii="Arial" w:hAnsi="Arial" w:cs="Arial"/>
          <w:lang w:val="es-ES"/>
        </w:rPr>
        <w:t>Honduras</w:t>
      </w:r>
      <w:r w:rsidRPr="00411DC3">
        <w:rPr>
          <w:rFonts w:ascii="Arial" w:hAnsi="Arial" w:cs="Arial"/>
          <w:lang w:val="es-ES"/>
        </w:rPr>
        <w:t xml:space="preserve">. </w:t>
      </w:r>
      <w:r w:rsidRPr="00411DC3" w:rsidR="00CD312B">
        <w:rPr>
          <w:rFonts w:ascii="Arial" w:hAnsi="Arial" w:cs="Arial"/>
          <w:lang w:val="es-ES"/>
        </w:rPr>
        <w:t>E</w:t>
      </w:r>
      <w:r w:rsidRPr="00411DC3">
        <w:rPr>
          <w:rFonts w:ascii="Arial" w:hAnsi="Arial" w:cs="Arial"/>
          <w:lang w:val="es-ES"/>
        </w:rPr>
        <w:t>l programa reforzará las acciones que se han llevado</w:t>
      </w:r>
      <w:r w:rsidRPr="00411DC3" w:rsidR="004E422F">
        <w:rPr>
          <w:rFonts w:ascii="Arial" w:hAnsi="Arial" w:cs="Arial"/>
          <w:lang w:val="es-ES_tradnl"/>
        </w:rPr>
        <w:t xml:space="preserve"> </w:t>
      </w:r>
      <w:r w:rsidRPr="00411DC3" w:rsidR="004E422F">
        <w:rPr>
          <w:rFonts w:ascii="Arial" w:hAnsi="Arial" w:cs="Arial"/>
          <w:lang w:val="es-ES"/>
        </w:rPr>
        <w:t>a cabo</w:t>
      </w:r>
      <w:r w:rsidRPr="00411DC3" w:rsidR="00881ED2">
        <w:rPr>
          <w:rFonts w:ascii="Arial" w:hAnsi="Arial" w:cs="Arial"/>
          <w:lang w:val="es-ES"/>
        </w:rPr>
        <w:t xml:space="preserve"> por parte del BID</w:t>
      </w:r>
      <w:r w:rsidRPr="00411DC3" w:rsidR="004E422F">
        <w:rPr>
          <w:rFonts w:ascii="Arial" w:hAnsi="Arial" w:cs="Arial"/>
          <w:lang w:val="es-ES"/>
        </w:rPr>
        <w:t xml:space="preserve"> de mejoramiento de los</w:t>
      </w:r>
      <w:r w:rsidRPr="00411DC3" w:rsidR="004E422F">
        <w:rPr>
          <w:rFonts w:ascii="Arial" w:hAnsi="Arial" w:cs="Arial"/>
          <w:lang w:val="es-ES_tradnl"/>
        </w:rPr>
        <w:t xml:space="preserve"> Corredores </w:t>
      </w:r>
      <w:r w:rsidRPr="00411DC3" w:rsidR="00C94824">
        <w:rPr>
          <w:rFonts w:ascii="Arial" w:hAnsi="Arial" w:cs="Arial"/>
          <w:lang w:val="es-ES_tradnl"/>
        </w:rPr>
        <w:t>Viales de Integración</w:t>
      </w:r>
      <w:r w:rsidRPr="00411DC3" w:rsidR="004E422F">
        <w:rPr>
          <w:rFonts w:ascii="Arial" w:hAnsi="Arial" w:cs="Arial"/>
          <w:lang w:val="es-ES_tradnl"/>
        </w:rPr>
        <w:t xml:space="preserve"> (HO-L103 y HO-L1121)</w:t>
      </w:r>
      <w:r w:rsidRPr="00411DC3" w:rsidR="00C94824">
        <w:rPr>
          <w:rFonts w:ascii="Arial" w:hAnsi="Arial" w:cs="Arial"/>
          <w:lang w:val="es-ES_tradnl"/>
        </w:rPr>
        <w:t>,</w:t>
      </w:r>
      <w:r w:rsidRPr="00411DC3" w:rsidR="004E422F">
        <w:rPr>
          <w:rFonts w:ascii="Arial" w:hAnsi="Arial" w:cs="Arial"/>
          <w:lang w:val="es-ES_tradnl"/>
        </w:rPr>
        <w:t xml:space="preserve"> </w:t>
      </w:r>
      <w:r w:rsidRPr="00411DC3" w:rsidR="00C94824">
        <w:rPr>
          <w:rFonts w:ascii="Arial" w:hAnsi="Arial" w:cs="Arial"/>
          <w:lang w:val="es-ES_tradnl"/>
        </w:rPr>
        <w:t xml:space="preserve">y </w:t>
      </w:r>
      <w:r w:rsidRPr="00411DC3" w:rsidR="004E422F">
        <w:rPr>
          <w:rFonts w:ascii="Arial" w:hAnsi="Arial" w:cs="Arial"/>
          <w:lang w:val="es-ES_tradnl"/>
        </w:rPr>
        <w:t>el</w:t>
      </w:r>
      <w:r w:rsidRPr="00411DC3" w:rsidR="00C94824">
        <w:rPr>
          <w:rFonts w:ascii="Arial" w:hAnsi="Arial" w:cs="Arial"/>
          <w:lang w:val="es-ES_tradnl"/>
        </w:rPr>
        <w:t xml:space="preserve"> mejoramiento del</w:t>
      </w:r>
      <w:r w:rsidRPr="00411DC3" w:rsidR="004E422F">
        <w:rPr>
          <w:rFonts w:ascii="Arial" w:hAnsi="Arial" w:cs="Arial"/>
          <w:lang w:val="es-ES_tradnl"/>
        </w:rPr>
        <w:t xml:space="preserve"> Sistema de Transporte Urbano de la capital del país (HO-L1061)</w:t>
      </w:r>
      <w:r w:rsidRPr="00411DC3" w:rsidR="00C94824">
        <w:rPr>
          <w:rFonts w:ascii="Arial" w:hAnsi="Arial" w:cs="Arial"/>
          <w:lang w:val="es-ES_tradnl"/>
        </w:rPr>
        <w:t xml:space="preserve"> </w:t>
      </w:r>
      <w:r w:rsidRPr="00411DC3" w:rsidR="004E422F">
        <w:rPr>
          <w:rFonts w:ascii="Arial" w:hAnsi="Arial" w:cs="Arial"/>
          <w:lang w:val="es-ES_tradnl"/>
        </w:rPr>
        <w:t xml:space="preserve">enfocados en mejorar las condiciones de productividad del país y por tanto su competitividad </w:t>
      </w:r>
      <w:r w:rsidRPr="00411DC3" w:rsidR="00C94824">
        <w:rPr>
          <w:rFonts w:ascii="Arial" w:hAnsi="Arial" w:cs="Arial"/>
          <w:lang w:val="es-ES_tradnl"/>
        </w:rPr>
        <w:t>de cara a una</w:t>
      </w:r>
      <w:r w:rsidRPr="00411DC3" w:rsidR="004E422F">
        <w:rPr>
          <w:rFonts w:ascii="Arial" w:hAnsi="Arial" w:cs="Arial"/>
          <w:lang w:val="es-ES_tradnl"/>
        </w:rPr>
        <w:t xml:space="preserve"> mejor inserción en los mercados regionales e internacionales. Asimismo, se han realizado estudios de planificación de transporte multimodal en Mesoamérica financiados con recursos de Cooperación Técnica del BID</w:t>
      </w:r>
      <w:r w:rsidRPr="00411DC3">
        <w:rPr>
          <w:rFonts w:ascii="Arial" w:hAnsi="Arial" w:cs="Arial"/>
          <w:lang w:val="es-ES"/>
        </w:rPr>
        <w:t xml:space="preserve">. </w:t>
      </w:r>
      <w:r w:rsidRPr="00411DC3" w:rsidR="00C94824">
        <w:rPr>
          <w:rFonts w:ascii="Arial" w:hAnsi="Arial" w:cs="Arial"/>
          <w:lang w:val="es-ES"/>
        </w:rPr>
        <w:t>El programa objeto de análisis, es el a primer</w:t>
      </w:r>
      <w:r w:rsidRPr="00411DC3" w:rsidR="00C94824">
        <w:rPr>
          <w:rFonts w:ascii="Arial" w:hAnsi="Arial" w:cs="Arial"/>
          <w:lang w:val="es-ES_tradnl"/>
        </w:rPr>
        <w:t xml:space="preserve"> préstamo</w:t>
      </w:r>
      <w:r w:rsidRPr="00411DC3" w:rsidR="00C94824">
        <w:rPr>
          <w:rFonts w:ascii="Arial" w:hAnsi="Arial" w:cs="Arial"/>
          <w:lang w:val="es-CO"/>
        </w:rPr>
        <w:t xml:space="preserve"> programático de reformas de política (PBP)</w:t>
      </w:r>
      <w:r w:rsidRPr="00411DC3" w:rsidR="00564DFD">
        <w:rPr>
          <w:rFonts w:ascii="Arial" w:hAnsi="Arial" w:cs="Arial"/>
          <w:lang w:val="es-CO"/>
        </w:rPr>
        <w:t xml:space="preserve"> enfocado en </w:t>
      </w:r>
      <w:r w:rsidRPr="00411DC3" w:rsidR="00B962F0">
        <w:rPr>
          <w:rFonts w:ascii="Arial" w:hAnsi="Arial" w:cs="Arial"/>
          <w:lang w:val="es-CO"/>
        </w:rPr>
        <w:t xml:space="preserve">promover </w:t>
      </w:r>
      <w:r w:rsidRPr="00411DC3" w:rsidR="004145DD">
        <w:rPr>
          <w:rFonts w:ascii="Arial" w:hAnsi="Arial" w:cs="Arial"/>
          <w:lang w:val="es-CO"/>
        </w:rPr>
        <w:t xml:space="preserve">las </w:t>
      </w:r>
      <w:r w:rsidRPr="00411DC3" w:rsidR="00CD312B">
        <w:rPr>
          <w:rFonts w:ascii="Arial" w:hAnsi="Arial" w:cs="Arial"/>
          <w:lang w:val="es-ES_tradnl"/>
        </w:rPr>
        <w:t>reforma</w:t>
      </w:r>
      <w:r w:rsidRPr="00411DC3" w:rsidR="004145DD">
        <w:rPr>
          <w:rFonts w:ascii="Arial" w:hAnsi="Arial" w:cs="Arial"/>
          <w:lang w:val="es-ES_tradnl"/>
        </w:rPr>
        <w:t>s</w:t>
      </w:r>
      <w:r w:rsidRPr="00411DC3" w:rsidR="00CD312B">
        <w:rPr>
          <w:rFonts w:ascii="Arial" w:hAnsi="Arial" w:cs="Arial"/>
          <w:lang w:val="es-ES_tradnl"/>
        </w:rPr>
        <w:t xml:space="preserve"> y la institucionalidad necesaria</w:t>
      </w:r>
      <w:r w:rsidRPr="00411DC3" w:rsidR="004145DD">
        <w:rPr>
          <w:rFonts w:ascii="Arial" w:hAnsi="Arial" w:cs="Arial"/>
          <w:lang w:val="es-ES_tradnl"/>
        </w:rPr>
        <w:t xml:space="preserve"> para</w:t>
      </w:r>
      <w:r w:rsidRPr="00411DC3" w:rsidR="00CD312B">
        <w:rPr>
          <w:rFonts w:ascii="Arial" w:hAnsi="Arial" w:cs="Arial"/>
          <w:lang w:val="es-ES_tradnl"/>
        </w:rPr>
        <w:t xml:space="preserve"> </w:t>
      </w:r>
      <w:r w:rsidRPr="00411DC3" w:rsidR="00675566">
        <w:rPr>
          <w:rFonts w:ascii="Arial" w:hAnsi="Arial" w:cs="Arial"/>
          <w:lang w:val="es-ES_tradnl"/>
        </w:rPr>
        <w:t>mejorar el sector logístico</w:t>
      </w:r>
      <w:r w:rsidRPr="00411DC3" w:rsidR="00CD312B">
        <w:rPr>
          <w:rFonts w:ascii="Arial" w:hAnsi="Arial" w:cs="Arial"/>
          <w:lang w:val="es-ES_tradnl"/>
        </w:rPr>
        <w:t xml:space="preserve">. La segunda </w:t>
      </w:r>
      <w:r w:rsidRPr="00411DC3" w:rsidR="00AD372F">
        <w:rPr>
          <w:rFonts w:ascii="Arial" w:hAnsi="Arial" w:cs="Arial"/>
          <w:lang w:val="es-ES_tradnl"/>
        </w:rPr>
        <w:t>fase</w:t>
      </w:r>
      <w:r w:rsidRPr="00411DC3" w:rsidR="00CD312B">
        <w:rPr>
          <w:rFonts w:ascii="Arial" w:hAnsi="Arial" w:cs="Arial"/>
          <w:lang w:val="es-ES_tradnl"/>
        </w:rPr>
        <w:t xml:space="preserve"> se enfo</w:t>
      </w:r>
      <w:r w:rsidRPr="00411DC3" w:rsidR="00AD372F">
        <w:rPr>
          <w:rFonts w:ascii="Arial" w:hAnsi="Arial" w:cs="Arial"/>
          <w:lang w:val="es-ES_tradnl"/>
        </w:rPr>
        <w:t>cará</w:t>
      </w:r>
      <w:r w:rsidRPr="00411DC3" w:rsidR="00CD312B">
        <w:rPr>
          <w:rFonts w:ascii="Arial" w:hAnsi="Arial" w:cs="Arial"/>
          <w:lang w:val="es-ES_tradnl"/>
        </w:rPr>
        <w:t xml:space="preserve"> en la elaboración de los instrumentos legales, de planificación y de mejora de procesos</w:t>
      </w:r>
      <w:r w:rsidRPr="00411DC3" w:rsidR="00AD372F">
        <w:rPr>
          <w:rFonts w:ascii="Arial" w:hAnsi="Arial" w:cs="Arial"/>
          <w:lang w:val="es-ES_tradnl"/>
        </w:rPr>
        <w:t xml:space="preserve"> y l</w:t>
      </w:r>
      <w:r w:rsidRPr="00411DC3" w:rsidR="00CD312B">
        <w:rPr>
          <w:rFonts w:ascii="Arial" w:hAnsi="Arial" w:cs="Arial"/>
          <w:lang w:val="es-ES_tradnl"/>
        </w:rPr>
        <w:t xml:space="preserve">a tercera </w:t>
      </w:r>
      <w:r w:rsidRPr="00411DC3" w:rsidR="00AD372F">
        <w:rPr>
          <w:rFonts w:ascii="Arial" w:hAnsi="Arial" w:cs="Arial"/>
          <w:lang w:val="es-ES_tradnl"/>
        </w:rPr>
        <w:t>fase</w:t>
      </w:r>
      <w:r w:rsidRPr="00411DC3" w:rsidR="00CD312B">
        <w:rPr>
          <w:rFonts w:ascii="Arial" w:hAnsi="Arial" w:cs="Arial"/>
          <w:lang w:val="es-ES_tradnl"/>
        </w:rPr>
        <w:t xml:space="preserve"> se enfocará en </w:t>
      </w:r>
      <w:r w:rsidRPr="00411DC3" w:rsidR="00AD372F">
        <w:rPr>
          <w:rFonts w:ascii="Arial" w:hAnsi="Arial" w:cs="Arial"/>
          <w:lang w:val="es-ES_tradnl"/>
        </w:rPr>
        <w:t>la implementación de</w:t>
      </w:r>
      <w:r w:rsidRPr="00411DC3" w:rsidR="00CD312B">
        <w:rPr>
          <w:rFonts w:ascii="Arial" w:hAnsi="Arial" w:cs="Arial"/>
          <w:lang w:val="es-ES_tradnl"/>
        </w:rPr>
        <w:t xml:space="preserve"> los instrumentos de planificación</w:t>
      </w:r>
      <w:r w:rsidRPr="00411DC3" w:rsidR="00AD372F">
        <w:rPr>
          <w:rFonts w:ascii="Arial" w:hAnsi="Arial" w:cs="Arial"/>
          <w:lang w:val="es-ES_tradnl"/>
        </w:rPr>
        <w:t xml:space="preserve"> y herramientas puestas en lugar. </w:t>
      </w:r>
    </w:p>
    <w:p w:rsidRPr="00411DC3" w:rsidR="00C34101" w:rsidP="00C34101" w:rsidRDefault="00C34101" w14:paraId="55BE798B" w14:textId="77777777">
      <w:pPr>
        <w:pStyle w:val="ListParagraph"/>
        <w:shd w:val="clear" w:color="auto" w:fill="FFFFFF"/>
        <w:tabs>
          <w:tab w:val="left" w:pos="270"/>
          <w:tab w:val="left" w:pos="360"/>
          <w:tab w:val="left" w:pos="450"/>
          <w:tab w:val="left" w:pos="2085"/>
        </w:tabs>
        <w:spacing w:after="0" w:line="0" w:lineRule="atLeast"/>
        <w:ind w:left="90"/>
        <w:jc w:val="both"/>
        <w:rPr>
          <w:rFonts w:ascii="Arial" w:hAnsi="Arial" w:cs="Arial"/>
          <w:lang w:val="es-ES"/>
        </w:rPr>
      </w:pPr>
    </w:p>
    <w:p w:rsidRPr="00411DC3" w:rsidR="003E1C02" w:rsidP="00C12391" w:rsidRDefault="003D5B7B" w14:paraId="0749B3D3" w14:textId="5E6A825B">
      <w:pPr>
        <w:pStyle w:val="ListParagraph"/>
        <w:numPr>
          <w:ilvl w:val="1"/>
          <w:numId w:val="19"/>
        </w:numPr>
        <w:shd w:val="clear" w:color="auto" w:fill="FFFFFF"/>
        <w:tabs>
          <w:tab w:val="left" w:pos="270"/>
          <w:tab w:val="left" w:pos="360"/>
          <w:tab w:val="left" w:pos="450"/>
          <w:tab w:val="left" w:pos="2085"/>
        </w:tabs>
        <w:spacing w:after="0" w:line="0" w:lineRule="atLeast"/>
        <w:ind w:left="90"/>
        <w:jc w:val="both"/>
        <w:rPr>
          <w:rFonts w:ascii="Arial" w:hAnsi="Arial" w:cs="Arial"/>
          <w:lang w:val="es-ES"/>
        </w:rPr>
      </w:pPr>
      <w:r w:rsidRPr="00411DC3">
        <w:rPr>
          <w:rFonts w:ascii="Arial" w:hAnsi="Arial" w:cs="Arial"/>
          <w:lang w:val="es-ES"/>
        </w:rPr>
        <w:t>E</w:t>
      </w:r>
      <w:r w:rsidRPr="00411DC3" w:rsidR="00432BB5">
        <w:rPr>
          <w:rFonts w:ascii="Arial" w:hAnsi="Arial" w:cs="Arial"/>
          <w:lang w:val="es-ES"/>
        </w:rPr>
        <w:t>l programa contribuirá al desempeño logístico del país</w:t>
      </w:r>
      <w:r w:rsidRPr="00411DC3">
        <w:rPr>
          <w:rFonts w:ascii="Arial" w:hAnsi="Arial" w:cs="Arial"/>
          <w:lang w:val="es-ES"/>
        </w:rPr>
        <w:t xml:space="preserve"> </w:t>
      </w:r>
      <w:r w:rsidRPr="00411DC3" w:rsidR="00432BB5">
        <w:rPr>
          <w:rFonts w:ascii="Arial" w:hAnsi="Arial" w:cs="Arial"/>
          <w:lang w:val="es-ES"/>
        </w:rPr>
        <w:t>porque aportará a la</w:t>
      </w:r>
      <w:r w:rsidRPr="00411DC3">
        <w:rPr>
          <w:rFonts w:ascii="Arial" w:hAnsi="Arial" w:cs="Arial"/>
          <w:lang w:val="es-ES"/>
        </w:rPr>
        <w:t xml:space="preserve"> consolidación </w:t>
      </w:r>
      <w:r w:rsidRPr="00411DC3" w:rsidR="00C34101">
        <w:rPr>
          <w:rFonts w:ascii="Arial" w:hAnsi="Arial" w:cs="Arial"/>
          <w:lang w:val="es-ES"/>
        </w:rPr>
        <w:t>del marco normativo e institucional de logística</w:t>
      </w:r>
      <w:r w:rsidRPr="00411DC3" w:rsidR="00C27BD4">
        <w:rPr>
          <w:rFonts w:ascii="Arial" w:hAnsi="Arial" w:cs="Arial"/>
          <w:lang w:val="es-ES"/>
        </w:rPr>
        <w:t xml:space="preserve"> de carga</w:t>
      </w:r>
      <w:r w:rsidRPr="00411DC3" w:rsidR="00C34101">
        <w:rPr>
          <w:rFonts w:ascii="Arial" w:hAnsi="Arial" w:cs="Arial"/>
          <w:lang w:val="es-ES"/>
        </w:rPr>
        <w:t xml:space="preserve"> introduciendo lineamientos de planificación de política de largo plazo, así como también en la adopción del Marco legal </w:t>
      </w:r>
      <w:r w:rsidRPr="00411DC3" w:rsidR="00432BB5">
        <w:rPr>
          <w:rFonts w:ascii="Arial" w:hAnsi="Arial" w:cs="Arial"/>
          <w:lang w:val="es-ES"/>
        </w:rPr>
        <w:t>de logística</w:t>
      </w:r>
      <w:r w:rsidRPr="00411DC3" w:rsidR="00C27BD4">
        <w:rPr>
          <w:rFonts w:ascii="Arial" w:hAnsi="Arial" w:cs="Arial"/>
          <w:lang w:val="es-ES"/>
        </w:rPr>
        <w:t xml:space="preserve"> de carga</w:t>
      </w:r>
      <w:r w:rsidRPr="00411DC3" w:rsidR="001A4E0C">
        <w:rPr>
          <w:rFonts w:ascii="Arial" w:hAnsi="Arial" w:cs="Arial"/>
          <w:lang w:val="es-ES"/>
        </w:rPr>
        <w:t xml:space="preserve">. </w:t>
      </w:r>
      <w:r w:rsidRPr="00411DC3" w:rsidR="00C34101">
        <w:rPr>
          <w:rFonts w:ascii="Arial" w:hAnsi="Arial" w:cs="Arial"/>
          <w:lang w:val="es-ES"/>
        </w:rPr>
        <w:t>En el aspecto organizacional se detecta</w:t>
      </w:r>
      <w:r w:rsidRPr="00411DC3" w:rsidR="00945A61">
        <w:rPr>
          <w:rFonts w:ascii="Arial" w:hAnsi="Arial" w:cs="Arial"/>
          <w:lang w:val="es-ES"/>
        </w:rPr>
        <w:t>n</w:t>
      </w:r>
      <w:r w:rsidRPr="00411DC3" w:rsidR="00C34101">
        <w:rPr>
          <w:rFonts w:ascii="Arial" w:hAnsi="Arial" w:cs="Arial"/>
          <w:lang w:val="es-ES"/>
        </w:rPr>
        <w:t xml:space="preserve"> avances</w:t>
      </w:r>
      <w:r w:rsidRPr="00411DC3" w:rsidR="00CD12C3">
        <w:rPr>
          <w:rFonts w:ascii="Arial" w:hAnsi="Arial" w:cs="Arial"/>
          <w:lang w:val="es-ES"/>
        </w:rPr>
        <w:t xml:space="preserve"> en</w:t>
      </w:r>
      <w:r w:rsidRPr="00411DC3" w:rsidR="00C34101">
        <w:rPr>
          <w:rFonts w:ascii="Arial" w:hAnsi="Arial" w:cs="Arial"/>
          <w:lang w:val="es-ES"/>
        </w:rPr>
        <w:t xml:space="preserve"> el contexto institucional fortalecido, dado a la consolidación de una instancia interinstitucional al más alto nivel de Gobierno que facilit</w:t>
      </w:r>
      <w:r w:rsidRPr="00411DC3" w:rsidR="00675566">
        <w:rPr>
          <w:rFonts w:ascii="Arial" w:hAnsi="Arial" w:cs="Arial"/>
          <w:lang w:val="es-ES"/>
        </w:rPr>
        <w:t>a</w:t>
      </w:r>
      <w:r w:rsidRPr="00411DC3" w:rsidR="00C34101">
        <w:rPr>
          <w:rFonts w:ascii="Arial" w:hAnsi="Arial" w:cs="Arial"/>
          <w:lang w:val="es-ES"/>
        </w:rPr>
        <w:t xml:space="preserve"> la coordinación y la toma de decisiones en materia de logística integrando el sector privado.</w:t>
      </w:r>
      <w:r w:rsidRPr="00411DC3" w:rsidR="0094004A">
        <w:rPr>
          <w:rFonts w:ascii="Arial" w:hAnsi="Arial" w:cs="Arial"/>
          <w:lang w:val="es-ES"/>
        </w:rPr>
        <w:t xml:space="preserve"> En lo que respecta al establecimiento de procesos de planificación integral, </w:t>
      </w:r>
      <w:r w:rsidRPr="00411DC3" w:rsidR="001A4E0C">
        <w:rPr>
          <w:rFonts w:ascii="Arial" w:hAnsi="Arial" w:cs="Arial"/>
          <w:lang w:val="es-ES"/>
        </w:rPr>
        <w:t>el programa apoyará la elaboración de</w:t>
      </w:r>
      <w:r w:rsidRPr="00411DC3" w:rsidR="0094004A">
        <w:rPr>
          <w:rFonts w:ascii="Arial" w:hAnsi="Arial" w:cs="Arial"/>
          <w:lang w:val="es-ES"/>
        </w:rPr>
        <w:t xml:space="preserve"> </w:t>
      </w:r>
      <w:r w:rsidRPr="00411DC3" w:rsidR="00CD12C3">
        <w:rPr>
          <w:rFonts w:ascii="Arial" w:hAnsi="Arial" w:cs="Arial"/>
          <w:lang w:val="es-ES"/>
        </w:rPr>
        <w:t xml:space="preserve">importantes </w:t>
      </w:r>
      <w:r w:rsidRPr="00411DC3" w:rsidR="00945A61">
        <w:rPr>
          <w:rFonts w:ascii="Arial" w:hAnsi="Arial" w:cs="Arial"/>
          <w:lang w:val="es-ES"/>
        </w:rPr>
        <w:t>instrumentos</w:t>
      </w:r>
      <w:r w:rsidRPr="00411DC3" w:rsidR="0094004A">
        <w:rPr>
          <w:rFonts w:ascii="Arial" w:hAnsi="Arial" w:cs="Arial"/>
          <w:lang w:val="es-ES"/>
        </w:rPr>
        <w:t xml:space="preserve"> claves de política económica y sectorial</w:t>
      </w:r>
      <w:r w:rsidRPr="00411DC3" w:rsidR="001A4E0C">
        <w:rPr>
          <w:rFonts w:ascii="Arial" w:hAnsi="Arial" w:cs="Arial"/>
          <w:lang w:val="es-ES"/>
        </w:rPr>
        <w:t xml:space="preserve">, como lo es el </w:t>
      </w:r>
      <w:r w:rsidRPr="00411DC3" w:rsidR="00274B7A">
        <w:rPr>
          <w:rFonts w:ascii="Arial" w:hAnsi="Arial" w:cs="Arial"/>
          <w:lang w:val="es-VE"/>
        </w:rPr>
        <w:t>Plan Maestro de Transporte y Logística del Conglomerado Logístico del Norte (PM</w:t>
      </w:r>
      <w:r w:rsidRPr="00411DC3" w:rsidR="00881ED2">
        <w:rPr>
          <w:rFonts w:ascii="Arial" w:hAnsi="Arial" w:cs="Arial"/>
          <w:lang w:val="es-VE"/>
        </w:rPr>
        <w:t>-</w:t>
      </w:r>
      <w:r w:rsidRPr="00411DC3" w:rsidR="00274B7A">
        <w:rPr>
          <w:rFonts w:ascii="Arial" w:hAnsi="Arial" w:cs="Arial"/>
          <w:lang w:val="es-VE"/>
        </w:rPr>
        <w:t>CLN)</w:t>
      </w:r>
      <w:r w:rsidRPr="00411DC3" w:rsidR="001A4E0C">
        <w:rPr>
          <w:rFonts w:ascii="Arial" w:hAnsi="Arial" w:cs="Arial"/>
          <w:lang w:val="es-ES"/>
        </w:rPr>
        <w:t xml:space="preserve"> </w:t>
      </w:r>
      <w:r w:rsidRPr="00411DC3" w:rsidR="00274B7A">
        <w:rPr>
          <w:rFonts w:ascii="Arial" w:hAnsi="Arial" w:cs="Arial"/>
          <w:lang w:val="es-ES"/>
        </w:rPr>
        <w:t xml:space="preserve">y </w:t>
      </w:r>
      <w:r w:rsidRPr="00411DC3" w:rsidR="00945A61">
        <w:rPr>
          <w:rFonts w:ascii="Arial" w:hAnsi="Arial" w:cs="Arial"/>
          <w:lang w:val="es-ES"/>
        </w:rPr>
        <w:t xml:space="preserve">su vínculo con </w:t>
      </w:r>
      <w:r w:rsidRPr="00411DC3" w:rsidR="001A4E0C">
        <w:rPr>
          <w:rFonts w:ascii="Arial" w:hAnsi="Arial" w:cs="Arial"/>
          <w:lang w:val="es-ES"/>
        </w:rPr>
        <w:t>el Plan de Movilidad de San Pedro Sula.</w:t>
      </w:r>
      <w:r w:rsidRPr="00411DC3" w:rsidR="0094004A">
        <w:rPr>
          <w:rFonts w:ascii="Arial" w:hAnsi="Arial" w:cs="Arial"/>
          <w:lang w:val="es-ES"/>
        </w:rPr>
        <w:t xml:space="preserve"> </w:t>
      </w:r>
    </w:p>
    <w:p w:rsidRPr="00411DC3" w:rsidR="003E1C02" w:rsidP="003E1C02" w:rsidRDefault="003E1C02" w14:paraId="31844F77" w14:textId="77777777">
      <w:pPr>
        <w:pStyle w:val="ListParagraph"/>
        <w:rPr>
          <w:rFonts w:ascii="Arial" w:hAnsi="Arial" w:cs="Arial"/>
          <w:lang w:val="es-ES_tradnl"/>
        </w:rPr>
      </w:pPr>
    </w:p>
    <w:p w:rsidRPr="00411DC3" w:rsidR="004B7B31" w:rsidP="00C12391" w:rsidRDefault="00A07DC7" w14:paraId="3BE94958" w14:textId="77777777">
      <w:pPr>
        <w:pStyle w:val="ListParagraph"/>
        <w:numPr>
          <w:ilvl w:val="1"/>
          <w:numId w:val="19"/>
        </w:numPr>
        <w:shd w:val="clear" w:color="auto" w:fill="FFFFFF"/>
        <w:tabs>
          <w:tab w:val="left" w:pos="270"/>
          <w:tab w:val="left" w:pos="360"/>
          <w:tab w:val="left" w:pos="450"/>
          <w:tab w:val="left" w:pos="2085"/>
        </w:tabs>
        <w:spacing w:after="0" w:line="240" w:lineRule="auto"/>
        <w:ind w:left="90"/>
        <w:jc w:val="both"/>
        <w:rPr>
          <w:rFonts w:ascii="Arial" w:hAnsi="Arial" w:cs="Arial"/>
          <w:lang w:val="es-ES"/>
        </w:rPr>
      </w:pPr>
      <w:r w:rsidRPr="00411DC3">
        <w:rPr>
          <w:rFonts w:ascii="Arial" w:hAnsi="Arial" w:cs="Arial"/>
          <w:lang w:val="es-ES_tradnl"/>
        </w:rPr>
        <w:t xml:space="preserve">Igualmente, el programa contribuirá a desarrollar una industria sólida, integrada y bien regulada de transporte por vía terrestre; esto no solamente mejorará significativamente el transporte </w:t>
      </w:r>
      <w:r w:rsidRPr="00411DC3" w:rsidR="003E1C02">
        <w:rPr>
          <w:rFonts w:ascii="Arial" w:hAnsi="Arial" w:cs="Arial"/>
          <w:lang w:val="es-ES_tradnl"/>
        </w:rPr>
        <w:t>intermodal,</w:t>
      </w:r>
      <w:r w:rsidRPr="00411DC3">
        <w:rPr>
          <w:rFonts w:ascii="Arial" w:hAnsi="Arial" w:cs="Arial"/>
          <w:lang w:val="es-ES_tradnl"/>
        </w:rPr>
        <w:t xml:space="preserve"> sino que además reducirá los costos de logística.</w:t>
      </w:r>
      <w:r w:rsidRPr="00411DC3" w:rsidR="003E1C02">
        <w:rPr>
          <w:rFonts w:ascii="Arial" w:hAnsi="Arial" w:cs="Arial"/>
          <w:lang w:val="es-ES_tradnl"/>
        </w:rPr>
        <w:t xml:space="preserve"> Como ya se ha demostrado, el desempeño logístico de Honduras es de vital relevancia para el comercio intrarregional, con lo cual reformas enfocadas en políticas que permitan avanzar en el desempeño institucional de Honduras evidentemente presentarán externalidades positivas para los países de la región que utilizan los servicios logísticos e infraestructuras del país.</w:t>
      </w:r>
      <w:r w:rsidRPr="00411DC3" w:rsidR="004B7B31">
        <w:rPr>
          <w:rFonts w:ascii="Arial" w:hAnsi="Arial" w:cs="Arial"/>
          <w:lang w:val="es-ES_tradnl"/>
        </w:rPr>
        <w:t xml:space="preserve"> Dentro de las medidas de política relevantes que permitirán fortalecer el marco legal del sector, se encuentra el Reglamento </w:t>
      </w:r>
      <w:r w:rsidRPr="00411DC3" w:rsidR="004B7B31">
        <w:rPr>
          <w:rFonts w:ascii="Arial" w:hAnsi="Arial" w:cs="Arial"/>
          <w:lang w:val="es-VE"/>
        </w:rPr>
        <w:t xml:space="preserve">del seguro de carga al transportista que incluye: responsabilidad civil, cobertura a medios de transporte y cobertura a la carga y el Reglamento de pesos y dimensiones incluyendo en el alcance establecer los límites a los pesos y dimensiones y las penalidades. </w:t>
      </w:r>
    </w:p>
    <w:p w:rsidRPr="00411DC3" w:rsidR="004B7B31" w:rsidP="004B7B31" w:rsidRDefault="004B7B31" w14:paraId="7FAF88E3" w14:textId="77777777">
      <w:pPr>
        <w:pStyle w:val="ListParagraph"/>
        <w:rPr>
          <w:rFonts w:ascii="Arial" w:hAnsi="Arial" w:cs="Arial"/>
          <w:lang w:val="es-ES"/>
        </w:rPr>
      </w:pPr>
    </w:p>
    <w:p w:rsidRPr="00411DC3" w:rsidR="001B4483" w:rsidP="00C12391" w:rsidRDefault="006F2BE6" w14:paraId="0C235717" w14:textId="626C9F46">
      <w:pPr>
        <w:pStyle w:val="ListParagraph"/>
        <w:numPr>
          <w:ilvl w:val="1"/>
          <w:numId w:val="19"/>
        </w:numPr>
        <w:shd w:val="clear" w:color="auto" w:fill="FFFFFF"/>
        <w:tabs>
          <w:tab w:val="left" w:pos="270"/>
          <w:tab w:val="left" w:pos="360"/>
          <w:tab w:val="left" w:pos="450"/>
          <w:tab w:val="left" w:pos="2085"/>
        </w:tabs>
        <w:spacing w:after="0" w:line="0" w:lineRule="atLeast"/>
        <w:ind w:left="90"/>
        <w:jc w:val="both"/>
        <w:rPr>
          <w:rFonts w:ascii="Arial" w:hAnsi="Arial" w:cs="Arial"/>
          <w:lang w:val="es-ES_tradnl"/>
        </w:rPr>
      </w:pPr>
      <w:r w:rsidRPr="00411DC3">
        <w:rPr>
          <w:rFonts w:ascii="Arial" w:hAnsi="Arial" w:cs="Arial"/>
          <w:lang w:val="es-ES"/>
        </w:rPr>
        <w:lastRenderedPageBreak/>
        <w:t>En materia de facilitación comercial, e</w:t>
      </w:r>
      <w:r w:rsidRPr="00411DC3" w:rsidR="00CD12C3">
        <w:rPr>
          <w:rFonts w:ascii="Arial" w:hAnsi="Arial" w:cs="Arial"/>
          <w:lang w:val="es-ES_tradnl"/>
        </w:rPr>
        <w:t xml:space="preserve">l programa </w:t>
      </w:r>
      <w:r w:rsidRPr="00411DC3" w:rsidR="00582265">
        <w:rPr>
          <w:rFonts w:ascii="Arial" w:hAnsi="Arial" w:cs="Arial"/>
          <w:lang w:val="es-ES_tradnl"/>
        </w:rPr>
        <w:t>apoyará la</w:t>
      </w:r>
      <w:r w:rsidRPr="00411DC3" w:rsidR="00CD12C3">
        <w:rPr>
          <w:rFonts w:ascii="Arial" w:hAnsi="Arial" w:cs="Arial"/>
          <w:lang w:val="es-ES_tradnl"/>
        </w:rPr>
        <w:t xml:space="preserve"> materializa</w:t>
      </w:r>
      <w:r w:rsidRPr="00411DC3" w:rsidR="009E6B75">
        <w:rPr>
          <w:rFonts w:ascii="Arial" w:hAnsi="Arial" w:cs="Arial"/>
          <w:lang w:val="es-ES_tradnl"/>
        </w:rPr>
        <w:t>ción</w:t>
      </w:r>
      <w:r w:rsidRPr="00411DC3" w:rsidR="00CD12C3">
        <w:rPr>
          <w:rFonts w:ascii="Arial" w:hAnsi="Arial" w:cs="Arial"/>
          <w:lang w:val="es-ES_tradnl"/>
        </w:rPr>
        <w:t xml:space="preserve"> de</w:t>
      </w:r>
      <w:r w:rsidRPr="00411DC3" w:rsidR="009E6B75">
        <w:rPr>
          <w:rFonts w:ascii="Arial" w:hAnsi="Arial" w:cs="Arial"/>
          <w:lang w:val="es-ES_tradnl"/>
        </w:rPr>
        <w:t xml:space="preserve"> la</w:t>
      </w:r>
      <w:r w:rsidRPr="00411DC3" w:rsidR="00CD12C3">
        <w:rPr>
          <w:rFonts w:ascii="Arial" w:hAnsi="Arial" w:cs="Arial"/>
          <w:lang w:val="es-ES_tradnl"/>
        </w:rPr>
        <w:t xml:space="preserve"> coordinación </w:t>
      </w:r>
      <w:r w:rsidRPr="00411DC3" w:rsidR="00A010F6">
        <w:rPr>
          <w:rFonts w:ascii="Arial" w:hAnsi="Arial" w:cs="Arial"/>
          <w:lang w:val="es-ES_tradnl"/>
        </w:rPr>
        <w:t>regional para la armonización de las políticas arancelarias y procedimientos aduaneros de alto impacto para el desempeño del comercio regional</w:t>
      </w:r>
      <w:r w:rsidRPr="00411DC3" w:rsidR="00CD12C3">
        <w:rPr>
          <w:rFonts w:ascii="Arial" w:hAnsi="Arial" w:cs="Arial"/>
          <w:lang w:val="es-ES_tradnl"/>
        </w:rPr>
        <w:t xml:space="preserve">, </w:t>
      </w:r>
      <w:r w:rsidRPr="00411DC3" w:rsidR="00A010F6">
        <w:rPr>
          <w:rFonts w:ascii="Arial" w:hAnsi="Arial" w:cs="Arial"/>
          <w:lang w:val="es-ES_tradnl"/>
        </w:rPr>
        <w:t xml:space="preserve">además de </w:t>
      </w:r>
      <w:r w:rsidRPr="00411DC3" w:rsidR="00CD12C3">
        <w:rPr>
          <w:rFonts w:ascii="Arial" w:hAnsi="Arial" w:cs="Arial"/>
          <w:lang w:val="es-ES_tradnl"/>
        </w:rPr>
        <w:t xml:space="preserve">temas </w:t>
      </w:r>
      <w:r w:rsidRPr="00411DC3" w:rsidR="00A010F6">
        <w:rPr>
          <w:rFonts w:ascii="Arial" w:hAnsi="Arial" w:cs="Arial"/>
          <w:lang w:val="es-ES_tradnl"/>
        </w:rPr>
        <w:t xml:space="preserve">específicos </w:t>
      </w:r>
      <w:r w:rsidRPr="00411DC3" w:rsidR="00CD12C3">
        <w:rPr>
          <w:rFonts w:ascii="Arial" w:hAnsi="Arial" w:cs="Arial"/>
          <w:lang w:val="es-ES_tradnl"/>
        </w:rPr>
        <w:t xml:space="preserve">de fortalecimiento de las capacidades institucionales </w:t>
      </w:r>
      <w:r w:rsidRPr="00411DC3" w:rsidR="00A010F6">
        <w:rPr>
          <w:rFonts w:ascii="Arial" w:hAnsi="Arial" w:cs="Arial"/>
          <w:lang w:val="es-ES_tradnl"/>
        </w:rPr>
        <w:t>que otorgue una perspectiva integral</w:t>
      </w:r>
      <w:r w:rsidRPr="00411DC3" w:rsidR="0096311D">
        <w:rPr>
          <w:rFonts w:ascii="Arial" w:hAnsi="Arial" w:cs="Arial"/>
          <w:lang w:val="es-ES_tradnl"/>
        </w:rPr>
        <w:t xml:space="preserve"> a los procesos de</w:t>
      </w:r>
      <w:r w:rsidRPr="00411DC3" w:rsidR="001E375F">
        <w:rPr>
          <w:rFonts w:ascii="Arial" w:hAnsi="Arial" w:cs="Arial"/>
          <w:lang w:val="es-ES_tradnl"/>
        </w:rPr>
        <w:t>l comercio internacional</w:t>
      </w:r>
      <w:r w:rsidRPr="00411DC3" w:rsidR="00CF2643">
        <w:rPr>
          <w:rFonts w:ascii="Arial" w:hAnsi="Arial" w:cs="Arial"/>
          <w:lang w:val="es-ES_tradnl"/>
        </w:rPr>
        <w:t xml:space="preserve">. </w:t>
      </w:r>
      <w:r w:rsidRPr="00411DC3" w:rsidR="003E1C02">
        <w:rPr>
          <w:rFonts w:ascii="Arial" w:hAnsi="Arial" w:cs="Arial"/>
          <w:lang w:val="es-ES_tradnl"/>
        </w:rPr>
        <w:t xml:space="preserve">Un aspecto en concreto es que </w:t>
      </w:r>
      <w:r w:rsidRPr="00411DC3" w:rsidR="003E1C02">
        <w:rPr>
          <w:rFonts w:ascii="Arial" w:hAnsi="Arial" w:cs="Arial"/>
          <w:lang w:val="es-ES"/>
        </w:rPr>
        <w:t xml:space="preserve">las reformas de política ligadas a la armonizando procesos y procedimientos, dotará de agilidad a la recién creada </w:t>
      </w:r>
      <w:r w:rsidRPr="00411DC3" w:rsidR="003E1C02">
        <w:rPr>
          <w:rFonts w:ascii="Arial" w:hAnsi="Arial" w:cs="Arial"/>
          <w:i/>
          <w:lang w:val="es-ES"/>
        </w:rPr>
        <w:t>Unión Aduanera Guatemala-Honduras</w:t>
      </w:r>
      <w:r w:rsidRPr="00411DC3" w:rsidR="003E1C02">
        <w:rPr>
          <w:rFonts w:ascii="Arial" w:hAnsi="Arial" w:cs="Arial"/>
          <w:lang w:val="es-ES"/>
        </w:rPr>
        <w:t xml:space="preserve"> y sentará las bases para la futura adhesión de El Salvador en la UA. </w:t>
      </w:r>
      <w:r w:rsidRPr="00411DC3" w:rsidR="000275CE">
        <w:rPr>
          <w:rFonts w:ascii="Arial" w:hAnsi="Arial" w:cs="Arial"/>
          <w:lang w:val="es-ES"/>
        </w:rPr>
        <w:t>Desde</w:t>
      </w:r>
      <w:r w:rsidRPr="00411DC3" w:rsidR="000275CE">
        <w:rPr>
          <w:rFonts w:ascii="Arial" w:hAnsi="Arial" w:cs="Arial"/>
          <w:lang w:val="es-ES_tradnl"/>
        </w:rPr>
        <w:t xml:space="preserve"> el punto de vista de la integración regional de C</w:t>
      </w:r>
      <w:r w:rsidRPr="00411DC3" w:rsidR="00AD0E08">
        <w:rPr>
          <w:rFonts w:ascii="Arial" w:hAnsi="Arial" w:cs="Arial"/>
          <w:lang w:val="es-ES_tradnl"/>
        </w:rPr>
        <w:t>entroamérica</w:t>
      </w:r>
      <w:r w:rsidRPr="00411DC3" w:rsidR="0005586E">
        <w:rPr>
          <w:rFonts w:ascii="Arial" w:hAnsi="Arial" w:cs="Arial"/>
          <w:lang w:val="es-ES_tradnl"/>
        </w:rPr>
        <w:t>,</w:t>
      </w:r>
      <w:r w:rsidRPr="00411DC3" w:rsidR="000275CE">
        <w:rPr>
          <w:rFonts w:ascii="Arial" w:hAnsi="Arial" w:cs="Arial"/>
          <w:lang w:val="es-ES_tradnl"/>
        </w:rPr>
        <w:t xml:space="preserve"> </w:t>
      </w:r>
      <w:r w:rsidRPr="00411DC3" w:rsidR="000F2C95">
        <w:rPr>
          <w:rFonts w:ascii="Arial" w:hAnsi="Arial" w:cs="Arial"/>
          <w:lang w:val="es-ES_tradnl"/>
        </w:rPr>
        <w:t xml:space="preserve">el programa promueve </w:t>
      </w:r>
      <w:r w:rsidRPr="00411DC3" w:rsidR="000275CE">
        <w:rPr>
          <w:rFonts w:ascii="Arial" w:hAnsi="Arial" w:cs="Arial"/>
          <w:lang w:val="es-ES_tradnl"/>
        </w:rPr>
        <w:t xml:space="preserve">la </w:t>
      </w:r>
      <w:r w:rsidRPr="00411DC3" w:rsidR="0005586E">
        <w:rPr>
          <w:rFonts w:ascii="Arial" w:hAnsi="Arial" w:cs="Arial"/>
          <w:lang w:val="es-ES_tradnl"/>
        </w:rPr>
        <w:t xml:space="preserve">implementación de </w:t>
      </w:r>
      <w:r w:rsidRPr="00411DC3" w:rsidR="000F2C95">
        <w:rPr>
          <w:rFonts w:ascii="Arial" w:hAnsi="Arial" w:cs="Arial"/>
          <w:lang w:val="es-ES_tradnl"/>
        </w:rPr>
        <w:t xml:space="preserve">los </w:t>
      </w:r>
      <w:r w:rsidRPr="00411DC3" w:rsidR="0005586E">
        <w:rPr>
          <w:rFonts w:ascii="Arial" w:hAnsi="Arial" w:cs="Arial"/>
          <w:lang w:val="es-ES_tradnl"/>
        </w:rPr>
        <w:t>acuerdos asumidos en el Marco de la Unión Aduanera</w:t>
      </w:r>
      <w:r w:rsidRPr="00411DC3" w:rsidR="000275CE">
        <w:rPr>
          <w:rFonts w:ascii="Arial" w:hAnsi="Arial" w:cs="Arial"/>
          <w:lang w:val="es-ES_tradnl"/>
        </w:rPr>
        <w:t xml:space="preserve"> </w:t>
      </w:r>
      <w:r w:rsidRPr="00411DC3" w:rsidR="0005586E">
        <w:rPr>
          <w:rFonts w:ascii="Arial" w:hAnsi="Arial" w:cs="Arial"/>
          <w:lang w:val="es-ES_tradnl"/>
        </w:rPr>
        <w:t xml:space="preserve">Centroamericana </w:t>
      </w:r>
      <w:r w:rsidRPr="00411DC3" w:rsidR="000F2C95">
        <w:rPr>
          <w:rFonts w:ascii="Arial" w:hAnsi="Arial" w:cs="Arial"/>
          <w:lang w:val="es-ES_tradnl"/>
        </w:rPr>
        <w:t>relacionados a</w:t>
      </w:r>
      <w:r w:rsidRPr="00411DC3" w:rsidR="0005586E">
        <w:rPr>
          <w:rFonts w:ascii="Arial" w:hAnsi="Arial" w:cs="Arial"/>
          <w:lang w:val="es-ES_tradnl"/>
        </w:rPr>
        <w:t xml:space="preserve"> la habilitación de tres puestos fronterizos integrados</w:t>
      </w:r>
      <w:r w:rsidRPr="00411DC3" w:rsidR="000F2C95">
        <w:rPr>
          <w:rFonts w:ascii="Arial" w:hAnsi="Arial" w:cs="Arial"/>
          <w:lang w:val="es-ES_tradnl"/>
        </w:rPr>
        <w:t xml:space="preserve"> con Guatemala,</w:t>
      </w:r>
      <w:r w:rsidRPr="00411DC3" w:rsidR="0005586E">
        <w:rPr>
          <w:rFonts w:ascii="Arial" w:hAnsi="Arial" w:cs="Arial"/>
          <w:lang w:val="es-ES_tradnl"/>
        </w:rPr>
        <w:t xml:space="preserve"> incluyendo la frontera de </w:t>
      </w:r>
      <w:r w:rsidRPr="00411DC3" w:rsidR="0005586E">
        <w:rPr>
          <w:rFonts w:ascii="Arial" w:hAnsi="Arial" w:cs="Arial"/>
          <w:i/>
          <w:lang w:val="es-ES_tradnl"/>
        </w:rPr>
        <w:t>Corinto-Entre ríos, El Florido y Agua Caliente</w:t>
      </w:r>
      <w:r w:rsidRPr="00411DC3" w:rsidR="000F2C95">
        <w:rPr>
          <w:rFonts w:ascii="Arial" w:hAnsi="Arial" w:cs="Arial"/>
          <w:i/>
          <w:lang w:val="es-ES_tradnl"/>
        </w:rPr>
        <w:t>.</w:t>
      </w:r>
      <w:r w:rsidRPr="00411DC3" w:rsidR="0005586E">
        <w:rPr>
          <w:rFonts w:ascii="Arial" w:hAnsi="Arial" w:cs="Arial"/>
          <w:i/>
          <w:lang w:val="es-ES_tradnl"/>
        </w:rPr>
        <w:t xml:space="preserve"> </w:t>
      </w:r>
      <w:r w:rsidRPr="00411DC3" w:rsidR="0005586E">
        <w:rPr>
          <w:rFonts w:ascii="Arial" w:hAnsi="Arial" w:cs="Arial"/>
          <w:lang w:val="es-ES_tradnl"/>
        </w:rPr>
        <w:t xml:space="preserve">Adicionalmente, </w:t>
      </w:r>
      <w:r w:rsidRPr="00411DC3" w:rsidR="000275CE">
        <w:rPr>
          <w:rFonts w:ascii="Arial" w:hAnsi="Arial" w:cs="Arial"/>
          <w:lang w:val="es-ES_tradnl"/>
        </w:rPr>
        <w:t>la simplificación de trámites aduaneros</w:t>
      </w:r>
      <w:r w:rsidRPr="00411DC3" w:rsidR="00CB4431">
        <w:rPr>
          <w:rFonts w:ascii="Arial" w:hAnsi="Arial" w:cs="Arial"/>
          <w:lang w:val="es-ES_tradnl"/>
        </w:rPr>
        <w:t xml:space="preserve"> y</w:t>
      </w:r>
      <w:r w:rsidRPr="00411DC3" w:rsidR="000275CE">
        <w:rPr>
          <w:rFonts w:ascii="Arial" w:hAnsi="Arial" w:cs="Arial"/>
          <w:lang w:val="es-ES_tradnl"/>
        </w:rPr>
        <w:t xml:space="preserve"> la facilitación de procesos</w:t>
      </w:r>
      <w:r w:rsidRPr="00411DC3" w:rsidR="00CB4431">
        <w:rPr>
          <w:rFonts w:ascii="Arial" w:hAnsi="Arial" w:cs="Arial"/>
          <w:lang w:val="es-ES_tradnl"/>
        </w:rPr>
        <w:t xml:space="preserve"> </w:t>
      </w:r>
      <w:r w:rsidRPr="00411DC3" w:rsidR="00AD3FFA">
        <w:rPr>
          <w:rFonts w:ascii="Arial" w:hAnsi="Arial" w:cs="Arial"/>
          <w:lang w:val="es-ES_tradnl"/>
        </w:rPr>
        <w:t>relacionados a la</w:t>
      </w:r>
      <w:r w:rsidRPr="00411DC3" w:rsidR="0005586E">
        <w:rPr>
          <w:rFonts w:ascii="Arial" w:hAnsi="Arial" w:cs="Arial"/>
          <w:lang w:val="es-ES_tradnl"/>
        </w:rPr>
        <w:t xml:space="preserve"> </w:t>
      </w:r>
      <w:r w:rsidRPr="00411DC3" w:rsidR="00CB4431">
        <w:rPr>
          <w:rFonts w:ascii="Arial" w:hAnsi="Arial" w:cs="Arial"/>
          <w:lang w:val="es-ES_tradnl"/>
        </w:rPr>
        <w:t>implementa</w:t>
      </w:r>
      <w:r w:rsidRPr="00411DC3" w:rsidR="00AD3FFA">
        <w:rPr>
          <w:rFonts w:ascii="Arial" w:hAnsi="Arial" w:cs="Arial"/>
          <w:lang w:val="es-ES_tradnl"/>
        </w:rPr>
        <w:t>ción de</w:t>
      </w:r>
      <w:r w:rsidRPr="00411DC3" w:rsidR="00CB4431">
        <w:rPr>
          <w:rFonts w:ascii="Arial" w:hAnsi="Arial" w:cs="Arial"/>
          <w:lang w:val="es-ES_tradnl"/>
        </w:rPr>
        <w:t xml:space="preserve"> la Ventanilla </w:t>
      </w:r>
      <w:r w:rsidRPr="00411DC3" w:rsidR="0005586E">
        <w:rPr>
          <w:rFonts w:ascii="Arial" w:hAnsi="Arial" w:cs="Arial"/>
          <w:lang w:val="es-ES_tradnl"/>
        </w:rPr>
        <w:t>Ú</w:t>
      </w:r>
      <w:r w:rsidRPr="00411DC3" w:rsidR="00CB4431">
        <w:rPr>
          <w:rFonts w:ascii="Arial" w:hAnsi="Arial" w:cs="Arial"/>
          <w:lang w:val="es-ES_tradnl"/>
        </w:rPr>
        <w:t xml:space="preserve">nica de Comercio Exterior (VUCE) </w:t>
      </w:r>
      <w:r w:rsidRPr="00411DC3" w:rsidR="00AD3FFA">
        <w:rPr>
          <w:rFonts w:ascii="Arial" w:hAnsi="Arial" w:cs="Arial"/>
          <w:lang w:val="es-ES_tradnl"/>
        </w:rPr>
        <w:t>y del</w:t>
      </w:r>
      <w:r w:rsidRPr="00411DC3" w:rsidR="00CB4431">
        <w:rPr>
          <w:rFonts w:ascii="Arial" w:hAnsi="Arial" w:cs="Arial"/>
          <w:lang w:val="es-ES_tradnl"/>
        </w:rPr>
        <w:t xml:space="preserve"> sistema de </w:t>
      </w:r>
      <w:r w:rsidRPr="00411DC3" w:rsidR="0005586E">
        <w:rPr>
          <w:rFonts w:ascii="Arial" w:hAnsi="Arial" w:cs="Arial"/>
          <w:lang w:val="es-ES_tradnl"/>
        </w:rPr>
        <w:t xml:space="preserve">análisis integral de riesgo aduanero, </w:t>
      </w:r>
      <w:r w:rsidRPr="00411DC3" w:rsidR="000275CE">
        <w:rPr>
          <w:rFonts w:ascii="Arial" w:hAnsi="Arial" w:cs="Arial"/>
          <w:lang w:val="es-ES_tradnl"/>
        </w:rPr>
        <w:t>representa un avance significativo para el Sistema de Integración Centroamericana. Lo anterior, se reflejará en menores tiempo de despacho para la carga</w:t>
      </w:r>
      <w:r w:rsidRPr="00411DC3" w:rsidR="00AE6047">
        <w:rPr>
          <w:rFonts w:ascii="Arial" w:hAnsi="Arial" w:cs="Arial"/>
          <w:lang w:val="es-ES_tradnl"/>
        </w:rPr>
        <w:t xml:space="preserve"> en aproximadamente 60%</w:t>
      </w:r>
      <w:r w:rsidRPr="00411DC3" w:rsidR="000275CE">
        <w:rPr>
          <w:rFonts w:ascii="Arial" w:hAnsi="Arial" w:cs="Arial"/>
          <w:lang w:val="es-ES_tradnl"/>
        </w:rPr>
        <w:t xml:space="preserve">, siendo especialmente relevante la mejora de procesos en la Aduana </w:t>
      </w:r>
      <w:r w:rsidRPr="00411DC3" w:rsidR="0005586E">
        <w:rPr>
          <w:rFonts w:ascii="Arial" w:hAnsi="Arial" w:cs="Arial"/>
          <w:lang w:val="es-ES_tradnl"/>
        </w:rPr>
        <w:t>El Florido (con Guatemala) y la Aduana de El Amatillo</w:t>
      </w:r>
      <w:r w:rsidRPr="00411DC3" w:rsidR="000275CE">
        <w:rPr>
          <w:rFonts w:ascii="Arial" w:hAnsi="Arial" w:cs="Arial"/>
          <w:lang w:val="es-ES_tradnl"/>
        </w:rPr>
        <w:t xml:space="preserve"> </w:t>
      </w:r>
      <w:r w:rsidRPr="00411DC3" w:rsidR="0005586E">
        <w:rPr>
          <w:rFonts w:ascii="Arial" w:hAnsi="Arial" w:cs="Arial"/>
          <w:lang w:val="es-ES_tradnl"/>
        </w:rPr>
        <w:t xml:space="preserve">(con El Salvador) </w:t>
      </w:r>
      <w:r w:rsidRPr="00411DC3" w:rsidR="000275CE">
        <w:rPr>
          <w:rFonts w:ascii="Arial" w:hAnsi="Arial" w:cs="Arial"/>
          <w:lang w:val="es-ES_tradnl"/>
        </w:rPr>
        <w:t>que es la que sirve al Corredor Pacífico</w:t>
      </w:r>
      <w:r w:rsidRPr="00411DC3" w:rsidR="0062610E">
        <w:rPr>
          <w:rFonts w:ascii="Arial" w:hAnsi="Arial" w:cs="Arial"/>
          <w:lang w:val="es-ES_tradnl"/>
        </w:rPr>
        <w:t xml:space="preserve"> o Mesoamericano</w:t>
      </w:r>
      <w:r w:rsidRPr="00411DC3" w:rsidR="000275CE">
        <w:rPr>
          <w:rFonts w:ascii="Arial" w:hAnsi="Arial" w:cs="Arial"/>
          <w:lang w:val="es-ES_tradnl"/>
        </w:rPr>
        <w:t xml:space="preserve">. </w:t>
      </w:r>
    </w:p>
    <w:p w:rsidRPr="00411DC3" w:rsidR="001B4483" w:rsidP="001B4483" w:rsidRDefault="001B4483" w14:paraId="42D0D31D" w14:textId="77777777">
      <w:pPr>
        <w:pStyle w:val="ListParagraph"/>
        <w:rPr>
          <w:rFonts w:ascii="Arial" w:hAnsi="Arial" w:cs="Arial"/>
          <w:lang w:val="es-ES"/>
        </w:rPr>
      </w:pPr>
    </w:p>
    <w:p w:rsidRPr="00411DC3" w:rsidR="009502FE" w:rsidP="00C12391" w:rsidRDefault="007E1CD5" w14:paraId="603FDD7E" w14:textId="77777777">
      <w:pPr>
        <w:pStyle w:val="ListParagraph"/>
        <w:numPr>
          <w:ilvl w:val="1"/>
          <w:numId w:val="19"/>
        </w:numPr>
        <w:shd w:val="clear" w:color="auto" w:fill="FFFFFF"/>
        <w:tabs>
          <w:tab w:val="left" w:pos="270"/>
          <w:tab w:val="left" w:pos="360"/>
          <w:tab w:val="left" w:pos="450"/>
          <w:tab w:val="left" w:pos="2085"/>
        </w:tabs>
        <w:spacing w:after="0" w:line="0" w:lineRule="atLeast"/>
        <w:ind w:left="90"/>
        <w:jc w:val="both"/>
        <w:rPr>
          <w:rFonts w:ascii="Arial" w:hAnsi="Arial" w:cs="Arial"/>
          <w:lang w:val="es-ES_tradnl"/>
        </w:rPr>
      </w:pPr>
      <w:r w:rsidRPr="00411DC3">
        <w:rPr>
          <w:rFonts w:ascii="Arial" w:hAnsi="Arial" w:cs="Arial"/>
          <w:lang w:val="es-ES"/>
        </w:rPr>
        <w:t>Adicionalmente se contemplan medidas</w:t>
      </w:r>
      <w:r w:rsidRPr="00411DC3" w:rsidR="004E3509">
        <w:rPr>
          <w:rFonts w:ascii="Arial" w:hAnsi="Arial" w:cs="Arial"/>
          <w:lang w:val="es-ES"/>
        </w:rPr>
        <w:t xml:space="preserve"> establecidas en el CAUCA y RECAUCA</w:t>
      </w:r>
      <w:r w:rsidRPr="00411DC3" w:rsidR="00DF1672">
        <w:rPr>
          <w:rStyle w:val="FootnoteReference"/>
          <w:rFonts w:cs="Arial"/>
          <w:sz w:val="22"/>
          <w:lang w:val="es-ES"/>
        </w:rPr>
        <w:footnoteReference w:id="10"/>
      </w:r>
      <w:r w:rsidRPr="00411DC3">
        <w:rPr>
          <w:rFonts w:ascii="Arial" w:hAnsi="Arial" w:cs="Arial"/>
          <w:lang w:val="es-ES"/>
        </w:rPr>
        <w:t xml:space="preserve"> relacionadas a</w:t>
      </w:r>
      <w:r w:rsidRPr="00411DC3" w:rsidR="004E3509">
        <w:rPr>
          <w:rFonts w:ascii="Arial" w:hAnsi="Arial" w:cs="Arial"/>
          <w:lang w:val="es-ES"/>
        </w:rPr>
        <w:t xml:space="preserve"> la incorporación de</w:t>
      </w:r>
      <w:r w:rsidRPr="00411DC3" w:rsidR="004E3509">
        <w:rPr>
          <w:rFonts w:ascii="Arial" w:hAnsi="Arial" w:cs="Arial"/>
          <w:lang w:val="es-ES_tradnl"/>
        </w:rPr>
        <w:t xml:space="preserve"> la figura del </w:t>
      </w:r>
      <w:r w:rsidRPr="00411DC3" w:rsidR="00616009">
        <w:rPr>
          <w:rFonts w:ascii="Arial" w:hAnsi="Arial" w:cs="Arial"/>
          <w:lang w:val="es-ES_tradnl"/>
        </w:rPr>
        <w:t>O</w:t>
      </w:r>
      <w:r w:rsidRPr="00411DC3" w:rsidR="004E3509">
        <w:rPr>
          <w:rFonts w:ascii="Arial" w:hAnsi="Arial" w:cs="Arial"/>
          <w:lang w:val="es-ES_tradnl"/>
        </w:rPr>
        <w:t xml:space="preserve">perador </w:t>
      </w:r>
      <w:r w:rsidRPr="00411DC3" w:rsidR="00616009">
        <w:rPr>
          <w:rFonts w:ascii="Arial" w:hAnsi="Arial" w:cs="Arial"/>
          <w:lang w:val="es-ES_tradnl"/>
        </w:rPr>
        <w:t>E</w:t>
      </w:r>
      <w:r w:rsidRPr="00411DC3" w:rsidR="004E3509">
        <w:rPr>
          <w:rFonts w:ascii="Arial" w:hAnsi="Arial" w:cs="Arial"/>
          <w:lang w:val="es-ES_tradnl"/>
        </w:rPr>
        <w:t xml:space="preserve">conómico </w:t>
      </w:r>
      <w:r w:rsidRPr="00411DC3" w:rsidR="00616009">
        <w:rPr>
          <w:rFonts w:ascii="Arial" w:hAnsi="Arial" w:cs="Arial"/>
          <w:lang w:val="es-ES_tradnl"/>
        </w:rPr>
        <w:t>A</w:t>
      </w:r>
      <w:r w:rsidRPr="00411DC3" w:rsidR="004E3509">
        <w:rPr>
          <w:rFonts w:ascii="Arial" w:hAnsi="Arial" w:cs="Arial"/>
          <w:lang w:val="es-ES_tradnl"/>
        </w:rPr>
        <w:t>utorizado</w:t>
      </w:r>
      <w:r w:rsidRPr="00411DC3" w:rsidR="00616009">
        <w:rPr>
          <w:rFonts w:ascii="Arial" w:hAnsi="Arial" w:cs="Arial"/>
          <w:lang w:val="es-ES_tradnl"/>
        </w:rPr>
        <w:t xml:space="preserve"> </w:t>
      </w:r>
      <w:r w:rsidRPr="00411DC3">
        <w:rPr>
          <w:rFonts w:ascii="Arial" w:hAnsi="Arial" w:cs="Arial"/>
          <w:lang w:val="es-ES_tradnl"/>
        </w:rPr>
        <w:t xml:space="preserve">(OEA) </w:t>
      </w:r>
      <w:r w:rsidRPr="00411DC3" w:rsidR="00616009">
        <w:rPr>
          <w:rFonts w:ascii="Arial" w:hAnsi="Arial" w:cs="Arial"/>
          <w:lang w:val="es-ES_tradnl"/>
        </w:rPr>
        <w:t xml:space="preserve">la cual es una acreditación establecida por protocolos internacionales para probar el cumplimiento de ciertas medidas relacionadas con la seguridad y buenas prácticas en la cadena de suministro internacional de mercancías. Un aspecto clave de la certificación es que permitirá </w:t>
      </w:r>
      <w:r w:rsidRPr="00411DC3" w:rsidR="00616009">
        <w:rPr>
          <w:rFonts w:ascii="Arial" w:hAnsi="Arial" w:cs="Arial"/>
          <w:lang w:val="es-ES"/>
        </w:rPr>
        <w:t xml:space="preserve">prevenir los riesgos que enfrenta la cadena logística internacional, </w:t>
      </w:r>
      <w:r w:rsidRPr="00411DC3" w:rsidR="00876F3F">
        <w:rPr>
          <w:rFonts w:ascii="Arial" w:hAnsi="Arial" w:cs="Arial"/>
          <w:lang w:val="es-ES"/>
        </w:rPr>
        <w:t>e</w:t>
      </w:r>
      <w:r w:rsidRPr="00411DC3" w:rsidR="009502FE">
        <w:rPr>
          <w:rFonts w:ascii="Arial" w:hAnsi="Arial" w:cs="Arial"/>
          <w:lang w:val="es-ES"/>
        </w:rPr>
        <w:t xml:space="preserve">n tal sentido, </w:t>
      </w:r>
      <w:r w:rsidRPr="00411DC3" w:rsidR="00616009">
        <w:rPr>
          <w:rFonts w:ascii="Arial" w:hAnsi="Arial" w:cs="Arial"/>
          <w:lang w:val="es-ES"/>
        </w:rPr>
        <w:t>la</w:t>
      </w:r>
      <w:r w:rsidRPr="00411DC3" w:rsidR="002C1EBA">
        <w:rPr>
          <w:rFonts w:ascii="Arial" w:hAnsi="Arial" w:cs="Arial"/>
          <w:lang w:val="es-ES"/>
        </w:rPr>
        <w:t xml:space="preserve"> futura</w:t>
      </w:r>
      <w:r w:rsidRPr="00411DC3" w:rsidR="00616009">
        <w:rPr>
          <w:rFonts w:ascii="Arial" w:hAnsi="Arial" w:cs="Arial"/>
          <w:lang w:val="es-ES"/>
        </w:rPr>
        <w:t xml:space="preserve"> implementación </w:t>
      </w:r>
      <w:r w:rsidRPr="00411DC3" w:rsidR="009502FE">
        <w:rPr>
          <w:rFonts w:ascii="Arial" w:hAnsi="Arial" w:cs="Arial"/>
          <w:lang w:val="es-ES"/>
        </w:rPr>
        <w:t>tendrá</w:t>
      </w:r>
      <w:r w:rsidRPr="00411DC3" w:rsidR="00616009">
        <w:rPr>
          <w:rFonts w:ascii="Arial" w:hAnsi="Arial" w:cs="Arial"/>
          <w:lang w:val="es-ES"/>
        </w:rPr>
        <w:t xml:space="preserve"> </w:t>
      </w:r>
      <w:r w:rsidRPr="00411DC3" w:rsidR="009502FE">
        <w:rPr>
          <w:rFonts w:ascii="Arial" w:hAnsi="Arial" w:cs="Arial"/>
          <w:lang w:val="es-ES"/>
        </w:rPr>
        <w:t xml:space="preserve">impactos en la integración regional porque </w:t>
      </w:r>
      <w:r w:rsidRPr="00411DC3" w:rsidR="00616009">
        <w:rPr>
          <w:rFonts w:ascii="Arial" w:hAnsi="Arial" w:cs="Arial"/>
          <w:lang w:val="es-ES"/>
        </w:rPr>
        <w:t xml:space="preserve">permitirá reducir el costo y tiempo de paso por la aduana, reducir las inspecciones a la carga, dar prioridad en la aplicación de los controles, asegurar la cadena logística, aligerar el procedimiento durante el despacho de las mercancías, aplicar un sistema de gestión que permita mitigar el riesgo y el reconocimiento mutuo del programa de las empresas </w:t>
      </w:r>
      <w:r w:rsidRPr="00411DC3" w:rsidR="0066333F">
        <w:rPr>
          <w:rFonts w:ascii="Arial" w:hAnsi="Arial" w:cs="Arial"/>
          <w:lang w:val="es-ES"/>
        </w:rPr>
        <w:t>hondureñas</w:t>
      </w:r>
      <w:r w:rsidRPr="00411DC3" w:rsidR="00616009">
        <w:rPr>
          <w:rFonts w:ascii="Arial" w:hAnsi="Arial" w:cs="Arial"/>
          <w:lang w:val="es-ES"/>
        </w:rPr>
        <w:t xml:space="preserve"> certificadas como OEA por otros programas globales</w:t>
      </w:r>
      <w:r w:rsidRPr="00411DC3" w:rsidR="009502FE">
        <w:rPr>
          <w:rFonts w:ascii="Arial" w:hAnsi="Arial" w:cs="Arial"/>
          <w:lang w:val="es-ES"/>
        </w:rPr>
        <w:t>, incluyendo países Centroamericanos que ya cuentan con el programa</w:t>
      </w:r>
      <w:r w:rsidRPr="00411DC3" w:rsidR="00616009">
        <w:rPr>
          <w:rFonts w:ascii="Arial" w:hAnsi="Arial" w:cs="Arial"/>
          <w:lang w:val="es-ES"/>
        </w:rPr>
        <w:t xml:space="preserve">. </w:t>
      </w:r>
    </w:p>
    <w:p w:rsidRPr="00411DC3" w:rsidR="009502FE" w:rsidP="009502FE" w:rsidRDefault="009502FE" w14:paraId="0D212270" w14:textId="77777777">
      <w:pPr>
        <w:pStyle w:val="ListParagraph"/>
        <w:shd w:val="clear" w:color="auto" w:fill="FFFFFF"/>
        <w:tabs>
          <w:tab w:val="left" w:pos="270"/>
          <w:tab w:val="left" w:pos="360"/>
          <w:tab w:val="left" w:pos="450"/>
          <w:tab w:val="left" w:pos="2085"/>
        </w:tabs>
        <w:spacing w:after="0" w:line="0" w:lineRule="atLeast"/>
        <w:ind w:left="90"/>
        <w:jc w:val="both"/>
        <w:rPr>
          <w:rFonts w:ascii="Arial" w:hAnsi="Arial" w:cs="Arial"/>
          <w:lang w:val="es-ES_tradnl"/>
        </w:rPr>
      </w:pPr>
    </w:p>
    <w:p w:rsidRPr="00411DC3" w:rsidR="00DB16A3" w:rsidP="00C12391" w:rsidRDefault="00E00BB3" w14:paraId="4B32D93C" w14:textId="3717B7CC">
      <w:pPr>
        <w:pStyle w:val="ListParagraph"/>
        <w:numPr>
          <w:ilvl w:val="1"/>
          <w:numId w:val="19"/>
        </w:numPr>
        <w:shd w:val="clear" w:color="auto" w:fill="FFFFFF"/>
        <w:tabs>
          <w:tab w:val="left" w:pos="270"/>
          <w:tab w:val="left" w:pos="360"/>
          <w:tab w:val="left" w:pos="450"/>
          <w:tab w:val="left" w:pos="2085"/>
        </w:tabs>
        <w:spacing w:after="0" w:line="0" w:lineRule="atLeast"/>
        <w:ind w:left="90"/>
        <w:jc w:val="both"/>
        <w:rPr>
          <w:rFonts w:ascii="Arial" w:hAnsi="Arial" w:cs="Arial"/>
          <w:lang w:val="es-ES_tradnl"/>
        </w:rPr>
      </w:pPr>
      <w:r w:rsidRPr="00411DC3">
        <w:rPr>
          <w:rFonts w:ascii="Arial" w:hAnsi="Arial" w:cs="Arial"/>
          <w:lang w:val="es-ES_tradnl"/>
        </w:rPr>
        <w:t>Como ya se ha mencionado, l</w:t>
      </w:r>
      <w:r w:rsidRPr="00411DC3" w:rsidR="00785FD4">
        <w:rPr>
          <w:rFonts w:ascii="Arial" w:hAnsi="Arial" w:cs="Arial"/>
          <w:lang w:val="es-ES_tradnl"/>
        </w:rPr>
        <w:t xml:space="preserve">a relevancia regional de </w:t>
      </w:r>
      <w:r w:rsidRPr="00411DC3" w:rsidR="00876F3F">
        <w:rPr>
          <w:rFonts w:ascii="Arial" w:hAnsi="Arial" w:cs="Arial"/>
          <w:lang w:val="es-ES_tradnl"/>
        </w:rPr>
        <w:t>Honduras</w:t>
      </w:r>
      <w:r w:rsidRPr="00411DC3" w:rsidR="00785FD4">
        <w:rPr>
          <w:rFonts w:ascii="Arial" w:hAnsi="Arial" w:cs="Arial"/>
          <w:lang w:val="es-ES_tradnl"/>
        </w:rPr>
        <w:t xml:space="preserve"> </w:t>
      </w:r>
      <w:r w:rsidRPr="00411DC3" w:rsidR="007D237C">
        <w:rPr>
          <w:rFonts w:ascii="Arial" w:hAnsi="Arial" w:cs="Arial"/>
          <w:lang w:val="es-ES_tradnl"/>
        </w:rPr>
        <w:t xml:space="preserve">se evidencia en el </w:t>
      </w:r>
      <w:r w:rsidRPr="00411DC3" w:rsidR="00785FD4">
        <w:rPr>
          <w:rFonts w:ascii="Arial" w:hAnsi="Arial" w:cs="Arial"/>
          <w:lang w:val="es-ES_tradnl"/>
        </w:rPr>
        <w:t xml:space="preserve">uso de los puertos por </w:t>
      </w:r>
      <w:r w:rsidRPr="00411DC3" w:rsidR="007D237C">
        <w:rPr>
          <w:rFonts w:ascii="Arial" w:hAnsi="Arial" w:cs="Arial"/>
          <w:lang w:val="es-ES_tradnl"/>
        </w:rPr>
        <w:t xml:space="preserve">parte de </w:t>
      </w:r>
      <w:r w:rsidRPr="00411DC3" w:rsidR="00785FD4">
        <w:rPr>
          <w:rFonts w:ascii="Arial" w:hAnsi="Arial" w:cs="Arial"/>
          <w:lang w:val="es-ES_tradnl"/>
        </w:rPr>
        <w:t xml:space="preserve">los países de </w:t>
      </w:r>
      <w:r w:rsidRPr="00411DC3" w:rsidR="007000C7">
        <w:rPr>
          <w:rFonts w:ascii="Arial" w:hAnsi="Arial" w:cs="Arial"/>
          <w:lang w:val="es-ES_tradnl"/>
        </w:rPr>
        <w:t>Centroamérica</w:t>
      </w:r>
      <w:r w:rsidRPr="00411DC3" w:rsidR="006952A4">
        <w:rPr>
          <w:rFonts w:ascii="Arial" w:hAnsi="Arial" w:cs="Arial"/>
          <w:lang w:val="es-ES_tradnl"/>
        </w:rPr>
        <w:t xml:space="preserve"> además de los corredores viales utilizadas por el transporte de carga regional</w:t>
      </w:r>
      <w:r w:rsidRPr="00411DC3" w:rsidR="0086138E">
        <w:rPr>
          <w:rFonts w:ascii="Arial" w:hAnsi="Arial" w:cs="Arial"/>
          <w:lang w:val="es-ES_tradnl"/>
        </w:rPr>
        <w:t>. Por lo anterior, existen oportunidades de continuar mejorando las cadenas logísticas e implementando medidas de política y administrativas que permitan continuar el proceso de modernización de</w:t>
      </w:r>
      <w:r w:rsidRPr="00411DC3" w:rsidR="00256EA4">
        <w:rPr>
          <w:rFonts w:ascii="Arial" w:hAnsi="Arial" w:cs="Arial"/>
          <w:lang w:val="es-ES_tradnl"/>
        </w:rPr>
        <w:t>l</w:t>
      </w:r>
      <w:r w:rsidRPr="00411DC3" w:rsidR="0086138E">
        <w:rPr>
          <w:rFonts w:ascii="Arial" w:hAnsi="Arial" w:cs="Arial"/>
          <w:lang w:val="es-ES_tradnl"/>
        </w:rPr>
        <w:t xml:space="preserve"> sistema logístico </w:t>
      </w:r>
      <w:r w:rsidRPr="00411DC3" w:rsidR="00E8426C">
        <w:rPr>
          <w:rFonts w:ascii="Arial" w:hAnsi="Arial" w:cs="Arial"/>
          <w:lang w:val="es-ES_tradnl"/>
        </w:rPr>
        <w:t xml:space="preserve">lo cual continuará impactando positivamente a los países de la región. </w:t>
      </w:r>
      <w:r w:rsidRPr="00411DC3" w:rsidR="00DB5A75">
        <w:rPr>
          <w:rFonts w:ascii="Arial" w:hAnsi="Arial" w:cs="Arial"/>
          <w:lang w:val="es-ES_tradnl"/>
        </w:rPr>
        <w:t xml:space="preserve">El programa </w:t>
      </w:r>
      <w:r w:rsidRPr="00411DC3" w:rsidR="00526106">
        <w:rPr>
          <w:rFonts w:ascii="Arial" w:hAnsi="Arial" w:cs="Arial"/>
          <w:lang w:val="es-ES_tradnl"/>
        </w:rPr>
        <w:t>reforzará los</w:t>
      </w:r>
      <w:r w:rsidRPr="00411DC3" w:rsidR="00DB5A75">
        <w:rPr>
          <w:rFonts w:ascii="Arial" w:hAnsi="Arial" w:cs="Arial"/>
          <w:lang w:val="es-ES_tradnl"/>
        </w:rPr>
        <w:t xml:space="preserve"> resultados obtenidos hasta la fecha en materia de coordinación transfronteriza, sobre todo en temas de fortalecimiento de las capacidades institucionales y de coordinación regional</w:t>
      </w:r>
      <w:r w:rsidRPr="00411DC3" w:rsidR="005070CE">
        <w:rPr>
          <w:rFonts w:ascii="Arial" w:hAnsi="Arial" w:cs="Arial"/>
          <w:lang w:val="es-ES_tradnl"/>
        </w:rPr>
        <w:t xml:space="preserve"> a nivel Centroamericano</w:t>
      </w:r>
      <w:r w:rsidRPr="00411DC3" w:rsidR="00DB5A75">
        <w:rPr>
          <w:rFonts w:ascii="Arial" w:hAnsi="Arial" w:cs="Arial"/>
          <w:lang w:val="es-ES_tradnl"/>
        </w:rPr>
        <w:t xml:space="preserve">. </w:t>
      </w:r>
    </w:p>
    <w:p w:rsidRPr="00411DC3" w:rsidR="00050010" w:rsidP="00050010" w:rsidRDefault="00050010" w14:paraId="78C4B5A0" w14:textId="77777777">
      <w:pPr>
        <w:pStyle w:val="ListParagraph"/>
        <w:rPr>
          <w:rFonts w:ascii="Arial" w:hAnsi="Arial" w:cs="Arial"/>
          <w:lang w:val="es-ES_tradnl"/>
        </w:rPr>
      </w:pPr>
    </w:p>
    <w:p w:rsidRPr="00411DC3" w:rsidR="007E4218" w:rsidP="00CC615E" w:rsidRDefault="007E4218" w14:paraId="2D78AB5E" w14:textId="77777777">
      <w:pPr>
        <w:pStyle w:val="ListParagraph"/>
        <w:numPr>
          <w:ilvl w:val="0"/>
          <w:numId w:val="14"/>
        </w:numPr>
        <w:shd w:val="clear" w:color="auto" w:fill="FFFFFF"/>
        <w:tabs>
          <w:tab w:val="left" w:pos="270"/>
          <w:tab w:val="left" w:pos="360"/>
          <w:tab w:val="left" w:pos="450"/>
          <w:tab w:val="left" w:pos="2085"/>
        </w:tabs>
        <w:spacing w:after="0" w:line="0" w:lineRule="atLeast"/>
        <w:jc w:val="both"/>
        <w:rPr>
          <w:rFonts w:ascii="Arial" w:hAnsi="Arial" w:cs="Arial"/>
          <w:lang w:val="es-ES"/>
        </w:rPr>
      </w:pPr>
      <w:r w:rsidRPr="00411DC3">
        <w:rPr>
          <w:rFonts w:ascii="Arial" w:hAnsi="Arial" w:cs="Arial"/>
          <w:b/>
          <w:color w:val="1F497D"/>
          <w:lang w:val="es-ES"/>
        </w:rPr>
        <w:t>Validación de criterios en el marco de la Estrategia de Integración</w:t>
      </w:r>
    </w:p>
    <w:p w:rsidRPr="00411DC3" w:rsidR="00545B66" w:rsidP="00CC615E" w:rsidRDefault="00545B66" w14:paraId="095312E3" w14:textId="77777777">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hAnsi="Arial" w:cs="Arial"/>
          <w:lang w:val="es-ES"/>
        </w:rPr>
      </w:pPr>
    </w:p>
    <w:p w:rsidRPr="00411DC3" w:rsidR="00671A7D" w:rsidP="00785FD4" w:rsidRDefault="00671A7D" w14:paraId="53084ADB" w14:textId="77777777">
      <w:pPr>
        <w:pStyle w:val="ListParagraph"/>
        <w:numPr>
          <w:ilvl w:val="0"/>
          <w:numId w:val="15"/>
        </w:numPr>
        <w:shd w:val="clear" w:color="auto" w:fill="FFFFFF"/>
        <w:tabs>
          <w:tab w:val="left" w:pos="270"/>
          <w:tab w:val="left" w:pos="360"/>
          <w:tab w:val="left" w:pos="450"/>
          <w:tab w:val="left" w:pos="2085"/>
        </w:tabs>
        <w:autoSpaceDE w:val="0"/>
        <w:autoSpaceDN w:val="0"/>
        <w:adjustRightInd w:val="0"/>
        <w:spacing w:after="0" w:line="240" w:lineRule="auto"/>
        <w:jc w:val="both"/>
        <w:rPr>
          <w:rFonts w:ascii="Arial" w:hAnsi="Arial" w:cs="Arial"/>
          <w:vanish/>
          <w:lang w:val="es-ES"/>
        </w:rPr>
      </w:pPr>
    </w:p>
    <w:p w:rsidRPr="00411DC3" w:rsidR="00D83052" w:rsidP="00D62CDC" w:rsidRDefault="005B25EB" w14:paraId="002C9CD6" w14:textId="663884AE">
      <w:pPr>
        <w:pStyle w:val="ListParagraph"/>
        <w:numPr>
          <w:ilvl w:val="1"/>
          <w:numId w:val="16"/>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hAnsi="Arial" w:cs="Arial"/>
          <w:lang w:val="es-ES_tradnl"/>
        </w:rPr>
      </w:pPr>
      <w:r w:rsidRPr="00411DC3">
        <w:rPr>
          <w:rFonts w:ascii="Arial" w:hAnsi="Arial" w:cs="Arial"/>
          <w:lang w:val="es-ES"/>
        </w:rPr>
        <w:t>El</w:t>
      </w:r>
      <w:r w:rsidRPr="00411DC3" w:rsidR="007910D2">
        <w:rPr>
          <w:rFonts w:ascii="Arial" w:hAnsi="Arial" w:cs="Arial"/>
          <w:lang w:val="es-ES"/>
        </w:rPr>
        <w:t xml:space="preserve"> </w:t>
      </w:r>
      <w:r w:rsidRPr="00411DC3" w:rsidR="00217EE8">
        <w:rPr>
          <w:rFonts w:ascii="Arial" w:hAnsi="Arial" w:cs="Arial"/>
          <w:i/>
          <w:lang w:val="es-ES_tradnl"/>
        </w:rPr>
        <w:t>Programa de Reformas del Sector Transporte y Logística de Carga de Honduras</w:t>
      </w:r>
      <w:r w:rsidRPr="00411DC3" w:rsidR="0086022E">
        <w:rPr>
          <w:rFonts w:ascii="Arial" w:hAnsi="Arial" w:cs="Arial"/>
          <w:i/>
          <w:lang w:val="es-ES_tradnl"/>
        </w:rPr>
        <w:t>,</w:t>
      </w:r>
      <w:r w:rsidRPr="00411DC3" w:rsidR="0002611F">
        <w:rPr>
          <w:rFonts w:ascii="Arial" w:hAnsi="Arial" w:cs="Arial"/>
          <w:i/>
          <w:lang w:val="es-ES_tradnl"/>
        </w:rPr>
        <w:t xml:space="preserve"> </w:t>
      </w:r>
      <w:r w:rsidRPr="00411DC3" w:rsidR="0086022E">
        <w:rPr>
          <w:rFonts w:ascii="Arial" w:hAnsi="Arial" w:cs="Arial"/>
          <w:i/>
          <w:lang w:val="es-ES_tradnl"/>
        </w:rPr>
        <w:t>(</w:t>
      </w:r>
      <w:r w:rsidRPr="00411DC3" w:rsidR="00217EE8">
        <w:rPr>
          <w:rFonts w:ascii="Arial" w:hAnsi="Arial" w:cs="Arial"/>
          <w:i/>
          <w:lang w:val="es-ES_tradnl"/>
        </w:rPr>
        <w:t>HO-L1198</w:t>
      </w:r>
      <w:r w:rsidRPr="00411DC3" w:rsidR="0086022E">
        <w:rPr>
          <w:rFonts w:ascii="Arial" w:hAnsi="Arial" w:cs="Arial"/>
          <w:i/>
          <w:lang w:val="es-ES_tradnl"/>
        </w:rPr>
        <w:t>)</w:t>
      </w:r>
      <w:r w:rsidRPr="00411DC3" w:rsidR="00403C4E">
        <w:rPr>
          <w:rFonts w:ascii="Arial" w:hAnsi="Arial" w:cs="Arial"/>
          <w:i/>
          <w:lang w:val="es-ES_tradnl"/>
        </w:rPr>
        <w:t>,</w:t>
      </w:r>
      <w:r w:rsidRPr="00411DC3" w:rsidR="0086022E">
        <w:rPr>
          <w:rFonts w:ascii="Arial" w:hAnsi="Arial" w:cs="Arial"/>
          <w:i/>
          <w:lang w:val="es-ES_tradnl"/>
        </w:rPr>
        <w:t xml:space="preserve"> </w:t>
      </w:r>
      <w:r w:rsidRPr="00411DC3" w:rsidR="007910D2">
        <w:rPr>
          <w:rFonts w:ascii="Arial" w:hAnsi="Arial" w:cs="Arial"/>
          <w:lang w:val="es-ES"/>
        </w:rPr>
        <w:t xml:space="preserve">está alineada con el desafío de desarrollo de integración económica incluido en la Estrategia Institucional del Banco 2010-2020 (GN-2788-5); puesto que </w:t>
      </w:r>
      <w:r w:rsidRPr="00411DC3" w:rsidR="008D6539">
        <w:rPr>
          <w:rFonts w:ascii="Arial" w:hAnsi="Arial" w:cs="Arial"/>
          <w:lang w:val="es-ES_tradnl"/>
        </w:rPr>
        <w:t xml:space="preserve">contribuir a la mejora del desempeño logístico de </w:t>
      </w:r>
      <w:r w:rsidRPr="00411DC3" w:rsidR="00D66E75">
        <w:rPr>
          <w:rFonts w:ascii="Arial" w:hAnsi="Arial" w:cs="Arial"/>
          <w:lang w:val="es-ES_tradnl"/>
        </w:rPr>
        <w:t>Honduras</w:t>
      </w:r>
      <w:r w:rsidRPr="00411DC3" w:rsidR="008D6539">
        <w:rPr>
          <w:rFonts w:ascii="Arial" w:hAnsi="Arial" w:cs="Arial"/>
          <w:lang w:val="es-ES_tradnl"/>
        </w:rPr>
        <w:t xml:space="preserve"> y a la mejora de su competitividad</w:t>
      </w:r>
      <w:r w:rsidRPr="00411DC3" w:rsidR="00A1434E">
        <w:rPr>
          <w:rFonts w:ascii="Arial" w:hAnsi="Arial" w:cs="Arial"/>
          <w:lang w:val="es-ES_tradnl"/>
        </w:rPr>
        <w:t xml:space="preserve"> especialmente por medio la planificación integral de la infraestructura de transporte, la mejora en los procesos de comercio </w:t>
      </w:r>
      <w:r w:rsidRPr="00411DC3" w:rsidR="00A1434E">
        <w:rPr>
          <w:rFonts w:ascii="Arial" w:hAnsi="Arial" w:cs="Arial"/>
          <w:lang w:val="es-ES_tradnl"/>
        </w:rPr>
        <w:lastRenderedPageBreak/>
        <w:t>exterior y armonización de la normativa arancelaria del país</w:t>
      </w:r>
      <w:r w:rsidRPr="00411DC3" w:rsidR="00403C4E">
        <w:rPr>
          <w:rFonts w:ascii="Arial" w:hAnsi="Arial" w:cs="Arial"/>
          <w:lang w:val="es-ES_tradnl"/>
        </w:rPr>
        <w:t>,</w:t>
      </w:r>
      <w:r w:rsidRPr="00411DC3" w:rsidR="00A1434E">
        <w:rPr>
          <w:rFonts w:ascii="Arial" w:hAnsi="Arial" w:cs="Arial"/>
          <w:lang w:val="es-ES_tradnl"/>
        </w:rPr>
        <w:t xml:space="preserve"> con la adoptada en por el Sistema de Integración Centroamericana. </w:t>
      </w:r>
      <w:r w:rsidRPr="00411DC3" w:rsidR="005070C6">
        <w:rPr>
          <w:rFonts w:ascii="Arial" w:hAnsi="Arial" w:cs="Arial"/>
          <w:lang w:val="es-ES"/>
        </w:rPr>
        <w:t>Dentro de l</w:t>
      </w:r>
      <w:r w:rsidRPr="00411DC3" w:rsidR="004422AB">
        <w:rPr>
          <w:rFonts w:ascii="Arial" w:hAnsi="Arial" w:cs="Arial"/>
          <w:lang w:val="es-ES"/>
        </w:rPr>
        <w:t>os resultados e</w:t>
      </w:r>
      <w:r w:rsidRPr="00411DC3" w:rsidR="00B33CE8">
        <w:rPr>
          <w:rFonts w:ascii="Arial" w:hAnsi="Arial" w:cs="Arial"/>
          <w:lang w:val="es-ES"/>
        </w:rPr>
        <w:t>sperados</w:t>
      </w:r>
      <w:r w:rsidRPr="00411DC3" w:rsidR="005070C6">
        <w:rPr>
          <w:rFonts w:ascii="Arial" w:hAnsi="Arial" w:cs="Arial"/>
          <w:lang w:val="es-ES"/>
        </w:rPr>
        <w:t xml:space="preserve"> del PBL y que atañen a la integración económica se espera mejorar el comercio </w:t>
      </w:r>
      <w:r w:rsidRPr="00411DC3" w:rsidR="00D66E75">
        <w:rPr>
          <w:rFonts w:ascii="Arial" w:hAnsi="Arial" w:cs="Arial"/>
          <w:lang w:val="es-ES"/>
        </w:rPr>
        <w:t>internacional de Honduras y Mesoamericano</w:t>
      </w:r>
      <w:r w:rsidRPr="00411DC3" w:rsidR="005070C6">
        <w:rPr>
          <w:rFonts w:ascii="Arial" w:hAnsi="Arial" w:cs="Arial"/>
          <w:lang w:val="es-ES"/>
        </w:rPr>
        <w:t xml:space="preserve"> reduciendo los tiempos de despacho en aduanas según se presenta en la matriz de resultados de la operación.  </w:t>
      </w:r>
      <w:r w:rsidRPr="00411DC3" w:rsidR="00C82356">
        <w:rPr>
          <w:rFonts w:ascii="Arial" w:hAnsi="Arial" w:cs="Arial"/>
          <w:lang w:val="es-ES"/>
        </w:rPr>
        <w:t xml:space="preserve">El proyecto contribuye con el Marco </w:t>
      </w:r>
      <w:r w:rsidRPr="00411DC3" w:rsidR="00EB3257">
        <w:rPr>
          <w:rFonts w:ascii="Arial" w:hAnsi="Arial" w:cs="Arial"/>
          <w:lang w:val="es-ES"/>
        </w:rPr>
        <w:t>de Resultados Corporativo (CRF)</w:t>
      </w:r>
      <w:r w:rsidRPr="00411DC3" w:rsidR="00C82356">
        <w:rPr>
          <w:rFonts w:ascii="Arial" w:hAnsi="Arial" w:cs="Arial"/>
          <w:lang w:val="es-ES"/>
        </w:rPr>
        <w:t xml:space="preserve"> </w:t>
      </w:r>
      <w:r w:rsidRPr="00411DC3" w:rsidR="007B5862">
        <w:rPr>
          <w:rFonts w:ascii="Arial" w:hAnsi="Arial" w:cs="Arial"/>
          <w:lang w:val="es-ES_tradnl"/>
        </w:rPr>
        <w:t xml:space="preserve">2016-2019 (GN-2727-6) </w:t>
      </w:r>
      <w:r w:rsidRPr="00411DC3" w:rsidR="00C82356">
        <w:rPr>
          <w:rFonts w:ascii="Arial" w:hAnsi="Arial" w:cs="Arial"/>
          <w:lang w:val="es-ES"/>
        </w:rPr>
        <w:t xml:space="preserve">a través </w:t>
      </w:r>
      <w:r w:rsidRPr="00411DC3" w:rsidR="00FF1E69">
        <w:rPr>
          <w:rFonts w:ascii="Arial" w:hAnsi="Arial" w:cs="Arial"/>
          <w:lang w:val="es-ES"/>
        </w:rPr>
        <w:t>del</w:t>
      </w:r>
      <w:r w:rsidRPr="00411DC3" w:rsidR="00C82356">
        <w:rPr>
          <w:rFonts w:ascii="Arial" w:hAnsi="Arial" w:cs="Arial"/>
          <w:lang w:val="es-ES"/>
        </w:rPr>
        <w:t xml:space="preserve"> indicador vinculado con el Desafío Regional de Integración Económica reflejados en la Matriz de Resultados del Programa</w:t>
      </w:r>
      <w:r w:rsidRPr="00411DC3" w:rsidR="00463BC7">
        <w:rPr>
          <w:rFonts w:ascii="Arial" w:hAnsi="Arial" w:cs="Arial"/>
          <w:lang w:val="es-ES"/>
        </w:rPr>
        <w:t xml:space="preserve"> de </w:t>
      </w:r>
      <w:r w:rsidRPr="00411DC3" w:rsidR="00463BC7">
        <w:rPr>
          <w:rFonts w:ascii="Arial" w:hAnsi="Arial" w:cs="Arial"/>
          <w:b/>
          <w:lang w:val="es-ES_tradnl"/>
        </w:rPr>
        <w:t>tiempos de procesamiento de las agencias públicas para el comercio internacional de bienes y servicios y acuerdos regionales, subregionales y extra regionales de integración e iniciativas de cooperación apoyados</w:t>
      </w:r>
      <w:r w:rsidRPr="00411DC3" w:rsidR="00463BC7">
        <w:rPr>
          <w:rFonts w:ascii="Arial" w:hAnsi="Arial" w:cs="Arial"/>
          <w:lang w:val="es-ES_tradnl"/>
        </w:rPr>
        <w:t xml:space="preserve"> adicionalmente, está alineado con el indicador auxiliar de </w:t>
      </w:r>
      <w:r w:rsidRPr="00411DC3" w:rsidR="00463BC7">
        <w:rPr>
          <w:rFonts w:ascii="Arial" w:hAnsi="Arial" w:cs="Arial"/>
          <w:b/>
          <w:lang w:val="es-ES_tradnl"/>
        </w:rPr>
        <w:t>proyectos transnacionales y transfronterizos</w:t>
      </w:r>
      <w:r w:rsidRPr="00411DC3" w:rsidR="00C82356">
        <w:rPr>
          <w:rFonts w:ascii="Arial" w:hAnsi="Arial" w:cs="Arial"/>
          <w:lang w:val="es-ES"/>
        </w:rPr>
        <w:t xml:space="preserve"> </w:t>
      </w:r>
      <w:r w:rsidRPr="00411DC3" w:rsidR="005070C6">
        <w:rPr>
          <w:rFonts w:ascii="Arial" w:hAnsi="Arial" w:cs="Arial"/>
          <w:lang w:val="es-ES_tradnl"/>
        </w:rPr>
        <w:t>debido a impacto que tendrán las reformas al contexto de comercio regional y global</w:t>
      </w:r>
      <w:r w:rsidRPr="00411DC3" w:rsidR="00D83052">
        <w:rPr>
          <w:rFonts w:ascii="Arial" w:hAnsi="Arial" w:cs="Arial"/>
          <w:lang w:val="es-ES_tradnl"/>
        </w:rPr>
        <w:t xml:space="preserve"> y que permitirán a </w:t>
      </w:r>
      <w:r w:rsidRPr="00411DC3" w:rsidR="00217EE8">
        <w:rPr>
          <w:rFonts w:ascii="Arial" w:hAnsi="Arial" w:cs="Arial"/>
          <w:lang w:val="es-ES_tradnl"/>
        </w:rPr>
        <w:t>Honduras</w:t>
      </w:r>
      <w:r w:rsidRPr="00411DC3" w:rsidR="00D83052">
        <w:rPr>
          <w:rFonts w:ascii="Arial" w:hAnsi="Arial" w:cs="Arial"/>
          <w:lang w:val="es-ES_tradnl"/>
        </w:rPr>
        <w:t xml:space="preserve"> posicionan progresivamente como </w:t>
      </w:r>
      <w:proofErr w:type="spellStart"/>
      <w:r w:rsidRPr="00411DC3" w:rsidR="00D83052">
        <w:rPr>
          <w:rFonts w:ascii="Arial" w:hAnsi="Arial" w:cs="Arial"/>
          <w:i/>
          <w:lang w:val="es-ES_tradnl"/>
        </w:rPr>
        <w:t>hub</w:t>
      </w:r>
      <w:proofErr w:type="spellEnd"/>
      <w:r w:rsidRPr="00411DC3" w:rsidR="00D83052">
        <w:rPr>
          <w:rFonts w:ascii="Arial" w:hAnsi="Arial" w:cs="Arial"/>
          <w:lang w:val="es-ES_tradnl"/>
        </w:rPr>
        <w:t xml:space="preserve"> de servicios logísticos</w:t>
      </w:r>
      <w:r w:rsidRPr="00411DC3" w:rsidR="003676E5">
        <w:rPr>
          <w:rFonts w:ascii="Arial" w:hAnsi="Arial" w:cs="Arial"/>
          <w:lang w:val="es-ES_tradnl"/>
        </w:rPr>
        <w:t xml:space="preserve"> favoreciendo en competitividad a la región</w:t>
      </w:r>
      <w:r w:rsidRPr="00411DC3" w:rsidR="00D83052">
        <w:rPr>
          <w:rFonts w:ascii="Arial" w:hAnsi="Arial" w:cs="Arial"/>
          <w:lang w:val="es-ES_tradnl"/>
        </w:rPr>
        <w:t>.</w:t>
      </w:r>
    </w:p>
    <w:p w:rsidRPr="00411DC3" w:rsidR="007910D2" w:rsidP="007910D2" w:rsidRDefault="007910D2" w14:paraId="4A897916" w14:textId="77777777">
      <w:pPr>
        <w:pStyle w:val="ListParagraph"/>
        <w:rPr>
          <w:rFonts w:ascii="Arial" w:hAnsi="Arial" w:cs="Arial"/>
          <w:lang w:val="es-ES"/>
        </w:rPr>
      </w:pPr>
    </w:p>
    <w:p w:rsidRPr="00411DC3" w:rsidR="0008630E" w:rsidP="0008630E" w:rsidRDefault="00C82356" w14:paraId="16F71571" w14:textId="549142E6">
      <w:pPr>
        <w:pStyle w:val="ListParagraph"/>
        <w:numPr>
          <w:ilvl w:val="1"/>
          <w:numId w:val="16"/>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hAnsi="Arial" w:cs="Arial"/>
          <w:lang w:val="es-ES_tradnl"/>
        </w:rPr>
      </w:pPr>
      <w:r w:rsidRPr="00411DC3">
        <w:rPr>
          <w:rFonts w:ascii="Arial" w:hAnsi="Arial" w:cs="Arial"/>
          <w:lang w:val="es-ES"/>
        </w:rPr>
        <w:t xml:space="preserve">Finalmente, de acuerdo </w:t>
      </w:r>
      <w:r w:rsidRPr="00411DC3" w:rsidR="001D49EF">
        <w:rPr>
          <w:rFonts w:ascii="Arial" w:hAnsi="Arial" w:cs="Arial"/>
          <w:lang w:val="es-ES"/>
        </w:rPr>
        <w:t>con</w:t>
      </w:r>
      <w:r w:rsidRPr="00411DC3">
        <w:rPr>
          <w:rFonts w:ascii="Arial" w:hAnsi="Arial" w:cs="Arial"/>
          <w:lang w:val="es-ES"/>
        </w:rPr>
        <w:t xml:space="preserve"> la Estrategia Sectorial de Apoyo a la Integración Competitiva Regional y Global (GN-2565-4), una operación de integración regional se clasifica como tal en la medida en la que atiende a uno de los cuatro criterios siguientes: (i) focalización multinacional, (ii) subsidiariedad nacional, (iii) adicionalidad regional, y (iv) compensación de fallas de coordinación. La presente operación cumple con el criterio de </w:t>
      </w:r>
      <w:r w:rsidRPr="00411DC3">
        <w:rPr>
          <w:rFonts w:ascii="Arial" w:hAnsi="Arial" w:cs="Arial"/>
          <w:b/>
          <w:lang w:val="es-ES"/>
        </w:rPr>
        <w:t>Focalización Multinacional</w:t>
      </w:r>
      <w:r w:rsidRPr="00411DC3">
        <w:rPr>
          <w:rFonts w:ascii="Arial" w:hAnsi="Arial" w:cs="Arial"/>
          <w:lang w:val="es-ES"/>
        </w:rPr>
        <w:t xml:space="preserve"> ya que </w:t>
      </w:r>
      <w:r w:rsidRPr="00411DC3" w:rsidR="003D64F8">
        <w:rPr>
          <w:rFonts w:ascii="Arial" w:hAnsi="Arial" w:cs="Arial"/>
          <w:lang w:val="es-ES"/>
        </w:rPr>
        <w:t>l</w:t>
      </w:r>
      <w:r w:rsidRPr="00411DC3" w:rsidR="0008630E">
        <w:rPr>
          <w:rFonts w:ascii="Arial" w:hAnsi="Arial" w:cs="Arial"/>
          <w:lang w:val="es-ES_tradnl"/>
        </w:rPr>
        <w:t xml:space="preserve">as reformas propuestas, aunque a nivel nacional, atienden a objetivos de mejora de la integración comercial </w:t>
      </w:r>
      <w:r w:rsidRPr="00411DC3" w:rsidR="00947CFF">
        <w:rPr>
          <w:rFonts w:ascii="Arial" w:hAnsi="Arial" w:cs="Arial"/>
          <w:lang w:val="es-ES_tradnl"/>
        </w:rPr>
        <w:t>de</w:t>
      </w:r>
      <w:r w:rsidRPr="00411DC3" w:rsidR="0008630E">
        <w:rPr>
          <w:rFonts w:ascii="Arial" w:hAnsi="Arial" w:cs="Arial"/>
          <w:lang w:val="es-ES_tradnl"/>
        </w:rPr>
        <w:t xml:space="preserve"> otros países. También se apoyarán medidas de planificación y gestión de las infraestructuras del país que están alineadas con la focalización multinacional mediante la preparación y aprobación de planes nacionales orientados a la mejora de las principales infraestructuras de integración (</w:t>
      </w:r>
      <w:r w:rsidRPr="00411DC3" w:rsidR="00947CFF">
        <w:rPr>
          <w:rFonts w:ascii="Arial" w:hAnsi="Arial" w:cs="Arial"/>
          <w:lang w:val="es-ES_tradnl"/>
        </w:rPr>
        <w:t>p</w:t>
      </w:r>
      <w:r w:rsidRPr="00411DC3" w:rsidR="0008630E">
        <w:rPr>
          <w:rFonts w:ascii="Arial" w:hAnsi="Arial" w:cs="Arial"/>
          <w:lang w:val="es-ES_tradnl"/>
        </w:rPr>
        <w:t>uertos</w:t>
      </w:r>
      <w:r w:rsidRPr="00411DC3" w:rsidR="000F5361">
        <w:rPr>
          <w:rFonts w:ascii="Arial" w:hAnsi="Arial" w:cs="Arial"/>
          <w:lang w:val="es-ES_tradnl"/>
        </w:rPr>
        <w:t xml:space="preserve"> y</w:t>
      </w:r>
      <w:r w:rsidRPr="00411DC3" w:rsidR="0008630E">
        <w:rPr>
          <w:rFonts w:ascii="Arial" w:hAnsi="Arial" w:cs="Arial"/>
          <w:lang w:val="es-ES_tradnl"/>
        </w:rPr>
        <w:t xml:space="preserve"> </w:t>
      </w:r>
      <w:r w:rsidRPr="00411DC3" w:rsidR="00947CFF">
        <w:rPr>
          <w:rFonts w:ascii="Arial" w:hAnsi="Arial" w:cs="Arial"/>
          <w:lang w:val="es-ES_tradnl"/>
        </w:rPr>
        <w:t>a</w:t>
      </w:r>
      <w:r w:rsidRPr="00411DC3" w:rsidR="0008630E">
        <w:rPr>
          <w:rFonts w:ascii="Arial" w:hAnsi="Arial" w:cs="Arial"/>
          <w:lang w:val="es-ES_tradnl"/>
        </w:rPr>
        <w:t>eropuertos).</w:t>
      </w:r>
    </w:p>
    <w:p w:rsidRPr="00411DC3" w:rsidR="0008630E" w:rsidP="0008630E" w:rsidRDefault="0008630E" w14:paraId="1FFE46C0" w14:textId="77777777">
      <w:pPr>
        <w:pStyle w:val="ListParagraph"/>
        <w:rPr>
          <w:rFonts w:ascii="Arial" w:hAnsi="Arial" w:cs="Arial"/>
          <w:lang w:val="es-ES_tradnl"/>
        </w:rPr>
      </w:pPr>
    </w:p>
    <w:p w:rsidRPr="00411DC3" w:rsidR="000117DB" w:rsidP="000117DB" w:rsidRDefault="000117DB" w14:paraId="78ECFE27" w14:textId="77777777">
      <w:pPr>
        <w:pStyle w:val="ListParagraph"/>
        <w:numPr>
          <w:ilvl w:val="1"/>
          <w:numId w:val="16"/>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hAnsi="Arial" w:cs="Arial"/>
          <w:lang w:val="es-ES_tradnl"/>
        </w:rPr>
      </w:pPr>
      <w:r w:rsidRPr="00411DC3">
        <w:rPr>
          <w:rFonts w:ascii="Arial" w:hAnsi="Arial" w:cs="Arial"/>
          <w:lang w:val="es-ES_tradnl"/>
        </w:rPr>
        <w:t xml:space="preserve">La presente operación también cumple con el criterio de </w:t>
      </w:r>
      <w:r w:rsidRPr="00411DC3">
        <w:rPr>
          <w:rFonts w:ascii="Arial" w:hAnsi="Arial" w:cs="Arial"/>
          <w:b/>
          <w:lang w:val="es-ES_tradnl"/>
        </w:rPr>
        <w:t xml:space="preserve">Subsidiaridad Nacional, </w:t>
      </w:r>
      <w:r w:rsidRPr="00411DC3">
        <w:rPr>
          <w:rFonts w:ascii="Arial" w:hAnsi="Arial" w:cs="Arial"/>
          <w:lang w:val="es-ES_tradnl"/>
        </w:rPr>
        <w:t xml:space="preserve">ya que contribuye a la armonización de normas ligadas a una iniciativa supranacional y con normativas de carácter internacional. Concretamente </w:t>
      </w:r>
      <w:r w:rsidRPr="00411DC3" w:rsidR="00082A9F">
        <w:rPr>
          <w:rFonts w:ascii="Arial" w:hAnsi="Arial" w:cs="Arial"/>
          <w:lang w:val="es-ES_tradnl"/>
        </w:rPr>
        <w:t>las medidas establecidas para el cumplimiento del</w:t>
      </w:r>
      <w:r w:rsidRPr="00411DC3">
        <w:rPr>
          <w:rFonts w:ascii="Arial" w:hAnsi="Arial" w:cs="Arial"/>
          <w:lang w:val="es-ES_tradnl"/>
        </w:rPr>
        <w:t xml:space="preserve"> CAUCA y RECAUCA, así como la Implementación del Convenio de Facilitación del Tráfico Marítimo Internacional (FAL65) de la Organización Marítima Internacional</w:t>
      </w:r>
      <w:r w:rsidRPr="00411DC3" w:rsidR="00082A9F">
        <w:rPr>
          <w:rFonts w:ascii="Arial" w:hAnsi="Arial" w:cs="Arial"/>
          <w:lang w:val="es-ES_tradnl"/>
        </w:rPr>
        <w:t xml:space="preserve"> </w:t>
      </w:r>
      <w:r w:rsidRPr="00411DC3">
        <w:rPr>
          <w:rFonts w:ascii="Arial" w:hAnsi="Arial" w:cs="Arial"/>
          <w:lang w:val="es-ES_tradnl"/>
        </w:rPr>
        <w:t xml:space="preserve">y la implementación de medidas </w:t>
      </w:r>
      <w:r w:rsidRPr="00411DC3" w:rsidR="00082A9F">
        <w:rPr>
          <w:rFonts w:ascii="Arial" w:hAnsi="Arial" w:cs="Arial"/>
          <w:lang w:val="es-ES_tradnl"/>
        </w:rPr>
        <w:t>legales, regulatorias y administrativas para la</w:t>
      </w:r>
      <w:r w:rsidRPr="00411DC3">
        <w:rPr>
          <w:rFonts w:ascii="Arial" w:hAnsi="Arial" w:cs="Arial"/>
          <w:lang w:val="es-ES_tradnl"/>
        </w:rPr>
        <w:t xml:space="preserve"> facilitación</w:t>
      </w:r>
      <w:r w:rsidRPr="00411DC3" w:rsidR="00082A9F">
        <w:rPr>
          <w:rFonts w:ascii="Arial" w:hAnsi="Arial" w:cs="Arial"/>
          <w:lang w:val="es-ES_tradnl"/>
        </w:rPr>
        <w:t xml:space="preserve"> comercial</w:t>
      </w:r>
      <w:r w:rsidRPr="00411DC3">
        <w:rPr>
          <w:rFonts w:ascii="Arial" w:hAnsi="Arial" w:cs="Arial"/>
          <w:lang w:val="es-ES_tradnl"/>
        </w:rPr>
        <w:t xml:space="preserve"> acordadas por el Consejo de Ministros de Integración </w:t>
      </w:r>
      <w:r w:rsidRPr="00411DC3" w:rsidR="00082A9F">
        <w:rPr>
          <w:rFonts w:ascii="Arial" w:hAnsi="Arial" w:cs="Arial"/>
          <w:lang w:val="es-ES_tradnl"/>
        </w:rPr>
        <w:t>Económica</w:t>
      </w:r>
      <w:r w:rsidRPr="00411DC3">
        <w:rPr>
          <w:rFonts w:ascii="Arial" w:hAnsi="Arial" w:cs="Arial"/>
          <w:lang w:val="es-ES_tradnl"/>
        </w:rPr>
        <w:t xml:space="preserve"> de Centroamérica</w:t>
      </w:r>
      <w:r w:rsidRPr="00411DC3" w:rsidR="00082A9F">
        <w:rPr>
          <w:rFonts w:ascii="Arial" w:hAnsi="Arial" w:cs="Arial"/>
          <w:lang w:val="es-ES_tradnl"/>
        </w:rPr>
        <w:t xml:space="preserve"> (COMIECO)</w:t>
      </w:r>
      <w:r w:rsidRPr="00411DC3">
        <w:rPr>
          <w:rFonts w:ascii="Arial" w:hAnsi="Arial" w:cs="Arial"/>
          <w:lang w:val="es-ES_tradnl"/>
        </w:rPr>
        <w:t>.</w:t>
      </w:r>
    </w:p>
    <w:p w:rsidRPr="00411DC3" w:rsidR="005527BC" w:rsidP="0054280B" w:rsidRDefault="005527BC" w14:paraId="36DF062B" w14:textId="77777777">
      <w:pPr>
        <w:shd w:val="clear" w:color="auto" w:fill="FFFFFF"/>
        <w:tabs>
          <w:tab w:val="left" w:pos="270"/>
          <w:tab w:val="left" w:pos="360"/>
          <w:tab w:val="left" w:pos="450"/>
          <w:tab w:val="left" w:pos="2085"/>
        </w:tabs>
        <w:autoSpaceDE w:val="0"/>
        <w:autoSpaceDN w:val="0"/>
        <w:adjustRightInd w:val="0"/>
        <w:spacing w:after="0" w:line="240" w:lineRule="auto"/>
        <w:jc w:val="both"/>
        <w:rPr>
          <w:rFonts w:ascii="Arial" w:hAnsi="Arial" w:cs="Arial"/>
          <w:lang w:val="es-ES_tradnl"/>
        </w:rPr>
      </w:pPr>
    </w:p>
    <w:sectPr w:rsidRPr="00411DC3" w:rsidR="005527BC">
      <w:headerReference w:type="default" r:id="rId17"/>
      <w:footerReference w:type="default" r:id="rId1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10CA" w:rsidP="001D27B9" w:rsidRDefault="00DD10CA" w14:paraId="3847B9E3" w14:textId="77777777">
      <w:pPr>
        <w:spacing w:after="0" w:line="240" w:lineRule="auto"/>
      </w:pPr>
      <w:r>
        <w:separator/>
      </w:r>
    </w:p>
  </w:endnote>
  <w:endnote w:type="continuationSeparator" w:id="0">
    <w:p w:rsidR="00DD10CA" w:rsidP="001D27B9" w:rsidRDefault="00DD10CA" w14:paraId="194C1C4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4814144"/>
      <w:docPartObj>
        <w:docPartGallery w:val="Page Numbers (Bottom of Page)"/>
        <w:docPartUnique/>
      </w:docPartObj>
    </w:sdtPr>
    <w:sdtEndPr/>
    <w:sdtContent>
      <w:p w:rsidR="00E55246" w:rsidRDefault="00E55246" w14:paraId="5DE98029" w14:textId="77777777">
        <w:pPr>
          <w:pStyle w:val="Footer"/>
          <w:jc w:val="right"/>
        </w:pPr>
        <w:r>
          <w:t xml:space="preserve">Page | </w:t>
        </w:r>
        <w:r>
          <w:fldChar w:fldCharType="begin"/>
        </w:r>
        <w:r>
          <w:instrText xml:space="preserve"> PAGE   \* MERGEFORMAT </w:instrText>
        </w:r>
        <w:r>
          <w:fldChar w:fldCharType="separate"/>
        </w:r>
        <w:r>
          <w:rPr>
            <w:noProof/>
          </w:rPr>
          <w:t>5</w:t>
        </w:r>
        <w:r>
          <w:rPr>
            <w:noProof/>
          </w:rPr>
          <w:fldChar w:fldCharType="end"/>
        </w:r>
        <w:r>
          <w:t xml:space="preserve"> </w:t>
        </w:r>
      </w:p>
    </w:sdtContent>
  </w:sdt>
  <w:p w:rsidR="00E55246" w:rsidRDefault="00E55246" w14:paraId="61E6961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10CA" w:rsidP="001D27B9" w:rsidRDefault="00DD10CA" w14:paraId="4E23EFE5" w14:textId="77777777">
      <w:pPr>
        <w:spacing w:after="0" w:line="240" w:lineRule="auto"/>
      </w:pPr>
      <w:r>
        <w:separator/>
      </w:r>
    </w:p>
  </w:footnote>
  <w:footnote w:type="continuationSeparator" w:id="0">
    <w:p w:rsidR="00DD10CA" w:rsidP="001D27B9" w:rsidRDefault="00DD10CA" w14:paraId="2F925B31" w14:textId="77777777">
      <w:pPr>
        <w:spacing w:after="0" w:line="240" w:lineRule="auto"/>
      </w:pPr>
      <w:r>
        <w:continuationSeparator/>
      </w:r>
    </w:p>
  </w:footnote>
  <w:footnote w:id="1">
    <w:p w:rsidRPr="00A52BE2" w:rsidR="00E134B5" w:rsidP="00D243A3" w:rsidRDefault="00E134B5" w14:paraId="1CA6548A" w14:textId="77777777">
      <w:pPr>
        <w:pStyle w:val="FootnoteText"/>
        <w:jc w:val="both"/>
        <w:rPr>
          <w:rFonts w:ascii="Times New Roman" w:hAnsi="Times New Roman"/>
          <w:sz w:val="16"/>
          <w:szCs w:val="18"/>
          <w:lang w:val="es-ES_tradnl"/>
        </w:rPr>
      </w:pPr>
      <w:r w:rsidRPr="00A52BE2">
        <w:rPr>
          <w:rStyle w:val="FootnoteReference"/>
          <w:rFonts w:ascii="Times New Roman" w:hAnsi="Times New Roman"/>
          <w:sz w:val="16"/>
          <w:szCs w:val="18"/>
        </w:rPr>
        <w:footnoteRef/>
      </w:r>
      <w:r w:rsidRPr="00A52BE2">
        <w:rPr>
          <w:rFonts w:ascii="Times New Roman" w:hAnsi="Times New Roman"/>
          <w:sz w:val="16"/>
          <w:szCs w:val="18"/>
          <w:lang w:val="es-ES_tradnl"/>
        </w:rPr>
        <w:t xml:space="preserve"> Incluye el territorio de los países del istmo centroamericanos y los estados del sur y este de México.</w:t>
      </w:r>
    </w:p>
  </w:footnote>
  <w:footnote w:id="2">
    <w:p w:rsidRPr="00D243A3" w:rsidR="00D243A3" w:rsidP="00D243A3" w:rsidRDefault="00D243A3" w14:paraId="3405E54F" w14:textId="77777777">
      <w:pPr>
        <w:pStyle w:val="FootnoteText"/>
        <w:jc w:val="both"/>
        <w:rPr>
          <w:lang w:val="es-ES_tradnl"/>
        </w:rPr>
      </w:pPr>
      <w:r w:rsidRPr="00A52BE2">
        <w:rPr>
          <w:rStyle w:val="FootnoteReference"/>
          <w:rFonts w:ascii="Times New Roman" w:hAnsi="Times New Roman"/>
          <w:sz w:val="16"/>
          <w:szCs w:val="18"/>
        </w:rPr>
        <w:footnoteRef/>
      </w:r>
      <w:r w:rsidRPr="00A52BE2">
        <w:rPr>
          <w:rFonts w:ascii="Times New Roman" w:hAnsi="Times New Roman"/>
          <w:sz w:val="16"/>
          <w:szCs w:val="18"/>
          <w:lang w:val="es-ES_tradnl"/>
        </w:rPr>
        <w:t xml:space="preserve"> El Corredor Logístico es catalogado como una de las vías importantes para la integración centroamericana, ya que permite la interconexión de puertos del Atlántico (Puerto Cortés) con los del Pacífico (La Unión en El Salvador) y con las Aduanas de El Amatillo y </w:t>
      </w:r>
      <w:proofErr w:type="spellStart"/>
      <w:r w:rsidRPr="00A52BE2">
        <w:rPr>
          <w:rFonts w:ascii="Times New Roman" w:hAnsi="Times New Roman"/>
          <w:sz w:val="16"/>
          <w:szCs w:val="18"/>
          <w:lang w:val="es-ES_tradnl"/>
        </w:rPr>
        <w:t>Guasaule</w:t>
      </w:r>
      <w:proofErr w:type="spellEnd"/>
      <w:r w:rsidRPr="00A52BE2">
        <w:rPr>
          <w:rFonts w:ascii="Times New Roman" w:hAnsi="Times New Roman"/>
          <w:sz w:val="16"/>
          <w:szCs w:val="18"/>
          <w:lang w:val="es-ES_tradnl"/>
        </w:rPr>
        <w:t>, configurándose como ruta interoceánica para el transporte y el comercio internacional. En este corredor se moviliza una importante carga de productos (</w:t>
      </w:r>
      <w:r w:rsidRPr="00A52BE2" w:rsidR="00B353A7">
        <w:rPr>
          <w:rFonts w:ascii="Times New Roman" w:hAnsi="Times New Roman"/>
          <w:sz w:val="16"/>
          <w:szCs w:val="18"/>
          <w:lang w:val="es-ES_tradnl"/>
        </w:rPr>
        <w:t xml:space="preserve">aproximadamente </w:t>
      </w:r>
      <w:r w:rsidRPr="00A52BE2">
        <w:rPr>
          <w:rFonts w:ascii="Times New Roman" w:hAnsi="Times New Roman"/>
          <w:sz w:val="16"/>
          <w:szCs w:val="18"/>
          <w:lang w:val="es-ES_tradnl"/>
        </w:rPr>
        <w:t>1.963.308 kg al año) como banano, café, metálicos y plásticos, la mayoría derivados de la importación o exportación.</w:t>
      </w:r>
      <w:r w:rsidRPr="00A52BE2">
        <w:rPr>
          <w:sz w:val="16"/>
          <w:szCs w:val="18"/>
          <w:lang w:val="es-ES_tradnl"/>
        </w:rPr>
        <w:t xml:space="preserve"> </w:t>
      </w:r>
      <w:r w:rsidRPr="00A52BE2">
        <w:rPr>
          <w:sz w:val="16"/>
          <w:lang w:val="es-ES_tradnl"/>
        </w:rPr>
        <w:t xml:space="preserve"> </w:t>
      </w:r>
    </w:p>
  </w:footnote>
  <w:footnote w:id="3">
    <w:p w:rsidRPr="006D4B0D" w:rsidR="00E55246" w:rsidP="006D4B0D" w:rsidRDefault="00E55246" w14:paraId="613AE3DC" w14:textId="77777777">
      <w:pPr>
        <w:pStyle w:val="FootnoteText"/>
        <w:jc w:val="both"/>
        <w:rPr>
          <w:rFonts w:ascii="Times New Roman" w:hAnsi="Times New Roman"/>
          <w:sz w:val="16"/>
          <w:szCs w:val="16"/>
          <w:lang w:val="es-ES_tradnl"/>
        </w:rPr>
      </w:pPr>
      <w:r w:rsidRPr="006D4B0D">
        <w:rPr>
          <w:rStyle w:val="FootnoteReference"/>
          <w:rFonts w:ascii="Times New Roman" w:hAnsi="Times New Roman"/>
          <w:sz w:val="16"/>
          <w:szCs w:val="16"/>
        </w:rPr>
        <w:footnoteRef/>
      </w:r>
      <w:r w:rsidRPr="006D4B0D">
        <w:rPr>
          <w:rFonts w:ascii="Times New Roman" w:hAnsi="Times New Roman"/>
          <w:sz w:val="16"/>
          <w:szCs w:val="16"/>
          <w:lang w:val="es-ES_tradnl"/>
        </w:rPr>
        <w:t xml:space="preserve">En el </w:t>
      </w:r>
      <w:proofErr w:type="spellStart"/>
      <w:r w:rsidRPr="006D4B0D">
        <w:rPr>
          <w:rFonts w:ascii="Times New Roman" w:hAnsi="Times New Roman"/>
          <w:i/>
          <w:sz w:val="16"/>
          <w:szCs w:val="16"/>
          <w:lang w:val="es-ES_tradnl"/>
        </w:rPr>
        <w:t>Doing</w:t>
      </w:r>
      <w:proofErr w:type="spellEnd"/>
      <w:r w:rsidRPr="006D4B0D">
        <w:rPr>
          <w:rFonts w:ascii="Times New Roman" w:hAnsi="Times New Roman"/>
          <w:i/>
          <w:sz w:val="16"/>
          <w:szCs w:val="16"/>
          <w:lang w:val="es-ES_tradnl"/>
        </w:rPr>
        <w:t xml:space="preserve"> Business </w:t>
      </w:r>
      <w:r w:rsidRPr="006D4B0D">
        <w:rPr>
          <w:rFonts w:ascii="Times New Roman" w:hAnsi="Times New Roman"/>
          <w:sz w:val="16"/>
          <w:szCs w:val="16"/>
          <w:lang w:val="es-ES_tradnl"/>
        </w:rPr>
        <w:t xml:space="preserve">el cual mide el desempeño del entorno legal, regulatorio e institucional, </w:t>
      </w:r>
      <w:r w:rsidRPr="006D4B0D" w:rsidR="005000F5">
        <w:rPr>
          <w:rFonts w:ascii="Times New Roman" w:hAnsi="Times New Roman"/>
          <w:sz w:val="16"/>
          <w:szCs w:val="16"/>
          <w:lang w:val="es-ES_tradnl"/>
        </w:rPr>
        <w:t>Honduras</w:t>
      </w:r>
      <w:r w:rsidRPr="006D4B0D">
        <w:rPr>
          <w:rFonts w:ascii="Times New Roman" w:hAnsi="Times New Roman"/>
          <w:sz w:val="16"/>
          <w:szCs w:val="16"/>
          <w:lang w:val="es-ES_tradnl"/>
        </w:rPr>
        <w:t xml:space="preserve"> se situó en 2017 en el lugar </w:t>
      </w:r>
      <w:r w:rsidRPr="006D4B0D" w:rsidR="005000F5">
        <w:rPr>
          <w:rFonts w:ascii="Times New Roman" w:hAnsi="Times New Roman"/>
          <w:sz w:val="16"/>
          <w:szCs w:val="16"/>
          <w:lang w:val="es-ES_tradnl"/>
        </w:rPr>
        <w:t>105</w:t>
      </w:r>
      <w:r w:rsidRPr="006D4B0D">
        <w:rPr>
          <w:rFonts w:ascii="Times New Roman" w:hAnsi="Times New Roman"/>
          <w:sz w:val="16"/>
          <w:szCs w:val="16"/>
          <w:lang w:val="es-ES_tradnl"/>
        </w:rPr>
        <w:t xml:space="preserve"> del ranking global para 190 países.</w:t>
      </w:r>
    </w:p>
  </w:footnote>
  <w:footnote w:id="4">
    <w:p w:rsidRPr="00C82988" w:rsidR="000E547F" w:rsidP="006D4B0D" w:rsidRDefault="000E547F" w14:paraId="2B4458CC" w14:textId="77777777">
      <w:pPr>
        <w:pStyle w:val="FootnoteText"/>
        <w:ind w:left="180" w:hanging="180"/>
        <w:jc w:val="both"/>
        <w:rPr>
          <w:rFonts w:ascii="Times New Roman" w:hAnsi="Times New Roman"/>
          <w:lang w:val="es-ES_tradnl"/>
        </w:rPr>
      </w:pPr>
      <w:r w:rsidRPr="006D4B0D">
        <w:rPr>
          <w:rStyle w:val="FootnoteReference"/>
          <w:rFonts w:ascii="Times New Roman" w:hAnsi="Times New Roman"/>
          <w:sz w:val="16"/>
          <w:szCs w:val="16"/>
        </w:rPr>
        <w:footnoteRef/>
      </w:r>
      <w:r w:rsidRPr="006D4B0D">
        <w:rPr>
          <w:rFonts w:ascii="Times New Roman" w:hAnsi="Times New Roman"/>
          <w:sz w:val="16"/>
          <w:szCs w:val="16"/>
          <w:lang w:val="es-ES_tradnl"/>
        </w:rPr>
        <w:t xml:space="preserve">  Documento que recoge los ejes estratégicos que atienden los desafíos que enfrenta la Nación y alrededor de los cuales debe ejecutarse la acción pública y privada que se encamina al cumplimiento de los objetivos intermedios de la Visión de País.</w:t>
      </w:r>
    </w:p>
  </w:footnote>
  <w:footnote w:id="5">
    <w:p w:rsidRPr="00AE6047" w:rsidR="00070E4B" w:rsidP="00AE6047" w:rsidRDefault="00070E4B" w14:paraId="58EB9D41" w14:textId="132F95D4">
      <w:pPr>
        <w:pStyle w:val="FootnoteText"/>
        <w:jc w:val="both"/>
        <w:rPr>
          <w:lang w:val="es-ES_tradnl"/>
        </w:rPr>
      </w:pPr>
      <w:r>
        <w:rPr>
          <w:rStyle w:val="FootnoteReference"/>
        </w:rPr>
        <w:footnoteRef/>
      </w:r>
      <w:r w:rsidRPr="00AE6047">
        <w:rPr>
          <w:color w:val="0000FF"/>
          <w:lang w:val="es-ES_tradnl"/>
        </w:rPr>
        <w:t xml:space="preserve"> </w:t>
      </w:r>
      <w:hyperlink w:history="1" r:id="rId1">
        <w:r w:rsidRPr="00AE6047">
          <w:rPr>
            <w:rStyle w:val="Hyperlink"/>
            <w:rFonts w:ascii="Times New Roman" w:hAnsi="Times New Roman"/>
            <w:i/>
            <w:color w:val="0000FF"/>
            <w:lang w:val="es-ES_tradnl"/>
          </w:rPr>
          <w:t>Informe Macroeconómico de América Latina y el Caribe 2017. Caminos para crecer en un nuevo mundo comercial (2017) Banco Interamericano de Desarrollo.</w:t>
        </w:r>
      </w:hyperlink>
      <w:r>
        <w:rPr>
          <w:lang w:val="es-ES_tradnl"/>
        </w:rPr>
        <w:t xml:space="preserve"> </w:t>
      </w:r>
    </w:p>
  </w:footnote>
  <w:footnote w:id="6">
    <w:p w:rsidRPr="00A52BE2" w:rsidR="00E55246" w:rsidP="00070E4B" w:rsidRDefault="00E55246" w14:paraId="780F56D5" w14:textId="77777777">
      <w:pPr>
        <w:pStyle w:val="FootnoteText"/>
        <w:jc w:val="both"/>
        <w:rPr>
          <w:rFonts w:ascii="Times New Roman" w:hAnsi="Times New Roman"/>
          <w:lang w:val="es-ES_tradnl"/>
        </w:rPr>
      </w:pPr>
      <w:r w:rsidRPr="00A52BE2">
        <w:rPr>
          <w:rStyle w:val="FootnoteReference"/>
          <w:rFonts w:ascii="Times New Roman" w:hAnsi="Times New Roman"/>
          <w:sz w:val="16"/>
        </w:rPr>
        <w:footnoteRef/>
      </w:r>
      <w:r w:rsidRPr="00A52BE2">
        <w:rPr>
          <w:rFonts w:ascii="Times New Roman" w:hAnsi="Times New Roman"/>
          <w:sz w:val="16"/>
          <w:lang w:val="es-ES_tradnl"/>
        </w:rPr>
        <w:t xml:space="preserve"> Este indicador, nos permite determinar la importancia relativa del comercio internacional en la economía de un país, y al mismo tiempo nos da una noción de que tan vulnerable es el país a los choques externos provenientes de otras economías o a contagio por crisis sistémica.</w:t>
      </w:r>
    </w:p>
  </w:footnote>
  <w:footnote w:id="7">
    <w:p w:rsidRPr="00A82F52" w:rsidR="00E55246" w:rsidP="00030038" w:rsidRDefault="00E55246" w14:paraId="7F832994" w14:textId="77777777">
      <w:pPr>
        <w:spacing w:after="0"/>
        <w:jc w:val="both"/>
        <w:rPr>
          <w:rFonts w:ascii="Times New Roman" w:hAnsi="Times New Roman" w:cs="Times New Roman"/>
          <w:sz w:val="18"/>
          <w:szCs w:val="18"/>
          <w:lang w:val="es-ES_tradnl"/>
        </w:rPr>
      </w:pPr>
      <w:r w:rsidRPr="00A82F52">
        <w:rPr>
          <w:rStyle w:val="FootnoteReference"/>
          <w:rFonts w:ascii="Times New Roman" w:hAnsi="Times New Roman" w:cs="Times New Roman"/>
          <w:szCs w:val="18"/>
        </w:rPr>
        <w:footnoteRef/>
      </w:r>
      <w:r w:rsidRPr="00A82F52">
        <w:rPr>
          <w:rFonts w:ascii="Times New Roman" w:hAnsi="Times New Roman" w:cs="Times New Roman"/>
          <w:sz w:val="18"/>
          <w:szCs w:val="18"/>
          <w:lang w:val="es-ES_tradnl"/>
        </w:rPr>
        <w:t xml:space="preserve"> </w:t>
      </w:r>
      <w:r w:rsidRPr="00A82F52" w:rsidR="00A82F52">
        <w:rPr>
          <w:rFonts w:ascii="Times New Roman" w:hAnsi="Times New Roman" w:cs="Times New Roman"/>
          <w:sz w:val="18"/>
          <w:szCs w:val="18"/>
          <w:lang w:val="es-ES_tradnl"/>
        </w:rPr>
        <w:t>Honduras, s</w:t>
      </w:r>
      <w:r w:rsidRPr="00A82F52">
        <w:rPr>
          <w:rFonts w:ascii="Times New Roman" w:hAnsi="Times New Roman" w:cs="Times New Roman"/>
          <w:sz w:val="18"/>
          <w:szCs w:val="18"/>
          <w:lang w:val="es-ES_tradnl"/>
        </w:rPr>
        <w:t xml:space="preserve">uscribió el Protocolo de Tegucigalpa a la Carta de la Organización de Estados Centroamericanos (ODECA) el 13 de diciembre de 1991. </w:t>
      </w:r>
    </w:p>
  </w:footnote>
  <w:footnote w:id="8">
    <w:p w:rsidRPr="00831543" w:rsidR="00B05B73" w:rsidP="00B05B73" w:rsidRDefault="00B05B73" w14:paraId="65DF0AE0" w14:textId="77777777">
      <w:pPr>
        <w:pStyle w:val="FootnoteText"/>
        <w:jc w:val="both"/>
        <w:rPr>
          <w:rFonts w:ascii="Times New Roman" w:hAnsi="Times New Roman"/>
          <w:sz w:val="16"/>
          <w:szCs w:val="16"/>
          <w:lang w:val="es-ES_tradnl"/>
        </w:rPr>
      </w:pPr>
      <w:r w:rsidRPr="00831543">
        <w:rPr>
          <w:rStyle w:val="FootnoteReference"/>
          <w:rFonts w:ascii="Times New Roman" w:hAnsi="Times New Roman"/>
          <w:sz w:val="16"/>
          <w:szCs w:val="16"/>
        </w:rPr>
        <w:footnoteRef/>
      </w:r>
      <w:r w:rsidRPr="00831543">
        <w:rPr>
          <w:rFonts w:ascii="Times New Roman" w:hAnsi="Times New Roman"/>
          <w:sz w:val="16"/>
          <w:szCs w:val="16"/>
          <w:lang w:val="es-ES_tradnl"/>
        </w:rPr>
        <w:t xml:space="preserve"> Puerto Cortés movilizó 11.2 millones de toneladas en el año 2016, en tanto que los puertos del Norte de Guatemala (Puerto Barrios y Santo Tomás de Castilla) movilizaron entre los dos 4.3 millones de toneladas para el mismo período. Datos tomados de Comisión Centroamericana de Transporte Marítimo COCATRAM, 2016. </w:t>
      </w:r>
    </w:p>
  </w:footnote>
  <w:footnote w:id="9">
    <w:p w:rsidRPr="008B1FDA" w:rsidR="00B05B73" w:rsidP="00B05B73" w:rsidRDefault="00B05B73" w14:paraId="38B113CF" w14:textId="77777777">
      <w:pPr>
        <w:pStyle w:val="FootnoteText"/>
        <w:rPr>
          <w:rFonts w:ascii="Times New Roman" w:hAnsi="Times New Roman"/>
          <w:lang w:val="es-ES_tradnl"/>
        </w:rPr>
      </w:pPr>
      <w:r w:rsidRPr="008B1FDA">
        <w:rPr>
          <w:rStyle w:val="FootnoteReference"/>
          <w:rFonts w:ascii="Times New Roman" w:hAnsi="Times New Roman"/>
          <w:sz w:val="16"/>
          <w:szCs w:val="16"/>
        </w:rPr>
        <w:footnoteRef/>
      </w:r>
      <w:r w:rsidRPr="008B1FDA">
        <w:rPr>
          <w:rFonts w:ascii="Times New Roman" w:hAnsi="Times New Roman"/>
          <w:sz w:val="16"/>
          <w:szCs w:val="16"/>
          <w:lang w:val="es-ES_tradnl"/>
        </w:rPr>
        <w:t xml:space="preserve"> ALG</w:t>
      </w:r>
    </w:p>
  </w:footnote>
  <w:footnote w:id="10">
    <w:p w:rsidRPr="00CF739D" w:rsidR="00DF1672" w:rsidRDefault="00DF1672" w14:paraId="7C51BD45" w14:textId="77777777">
      <w:pPr>
        <w:pStyle w:val="FootnoteText"/>
        <w:rPr>
          <w:rFonts w:ascii="Times New Roman" w:hAnsi="Times New Roman"/>
          <w:lang w:val="es-ES_tradnl"/>
        </w:rPr>
      </w:pPr>
      <w:r w:rsidRPr="00CF739D">
        <w:rPr>
          <w:rStyle w:val="FootnoteReference"/>
          <w:rFonts w:ascii="Times New Roman" w:hAnsi="Times New Roman"/>
          <w:sz w:val="16"/>
        </w:rPr>
        <w:footnoteRef/>
      </w:r>
      <w:r w:rsidRPr="00CF739D">
        <w:rPr>
          <w:rFonts w:ascii="Times New Roman" w:hAnsi="Times New Roman"/>
          <w:sz w:val="16"/>
          <w:lang w:val="es-ES_tradnl"/>
        </w:rPr>
        <w:t xml:space="preserve"> Código Aduanero Centroamericano </w:t>
      </w:r>
      <w:r w:rsidRPr="00CF739D" w:rsidR="00CF739D">
        <w:rPr>
          <w:rFonts w:ascii="Times New Roman" w:hAnsi="Times New Roman"/>
          <w:sz w:val="16"/>
          <w:lang w:val="es-ES_tradnl"/>
        </w:rPr>
        <w:t xml:space="preserve">y Reglamento del Código Aduanero Centroamericano.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56458E" w:rsidR="009651B5" w:rsidP="0A504CDE" w:rsidRDefault="009651B5" w14:paraId="18914EE2" w14:noSpellErr="1" w14:textId="546B4B3A">
    <w:pPr>
      <w:pStyle w:val="Header"/>
      <w:jc w:val="right"/>
      <w:rPr>
        <w:rFonts w:ascii="Arial" w:hAnsi="Arial" w:eastAsia="Arial" w:cs="Arial"/>
        <w:sz w:val="20"/>
        <w:szCs w:val="20"/>
      </w:rPr>
    </w:pPr>
    <w:r w:rsidRPr="0A504CDE" w:rsidR="0A504CDE">
      <w:rPr>
        <w:rFonts w:ascii="Arial" w:hAnsi="Arial" w:eastAsia="Arial" w:cs="Arial"/>
        <w:sz w:val="20"/>
        <w:szCs w:val="20"/>
      </w:rPr>
      <w:t>EEO#</w:t>
    </w:r>
    <w:r w:rsidRPr="0A504CDE" w:rsidR="0A504CDE">
      <w:rPr>
        <w:rFonts w:ascii="Arial" w:hAnsi="Arial" w:eastAsia="Arial" w:cs="Arial"/>
        <w:sz w:val="20"/>
        <w:szCs w:val="20"/>
      </w:rPr>
      <w:t>3</w:t>
    </w:r>
    <w:r w:rsidRPr="0A504CDE" w:rsidR="0A504CDE">
      <w:rPr>
        <w:rFonts w:ascii="Arial" w:hAnsi="Arial" w:eastAsia="Arial" w:cs="Arial"/>
        <w:sz w:val="20"/>
        <w:szCs w:val="20"/>
      </w:rPr>
      <w:t xml:space="preserve"> – HO-L1198</w:t>
    </w:r>
  </w:p>
  <w:sdt>
    <w:sdtPr>
      <w:rPr>
        <w:rFonts w:ascii="Arial" w:hAnsi="Arial" w:cs="Arial"/>
        <w:sz w:val="20"/>
        <w:szCs w:val="20"/>
      </w:rPr>
      <w:id w:val="-1318336367"/>
      <w:docPartObj>
        <w:docPartGallery w:val="Page Numbers (Top of Page)"/>
        <w:docPartUnique/>
      </w:docPartObj>
    </w:sdtPr>
    <w:sdtContent>
      <w:p w:rsidRPr="0056458E" w:rsidR="009651B5" w:rsidRDefault="009651B5" w14:paraId="5454873F" w14:textId="5C24BF7C">
        <w:pPr>
          <w:pStyle w:val="Header"/>
          <w:jc w:val="right"/>
          <w:rPr>
            <w:rFonts w:ascii="Arial" w:hAnsi="Arial" w:cs="Arial"/>
            <w:sz w:val="20"/>
            <w:szCs w:val="20"/>
          </w:rPr>
        </w:pPr>
        <w:proofErr w:type="spellStart"/>
        <w:r w:rsidRPr="0056458E">
          <w:rPr>
            <w:rFonts w:ascii="Arial" w:hAnsi="Arial" w:cs="Arial"/>
            <w:sz w:val="20"/>
            <w:szCs w:val="20"/>
          </w:rPr>
          <w:t>Página</w:t>
        </w:r>
        <w:proofErr w:type="spellEnd"/>
        <w:r w:rsidRPr="0056458E">
          <w:rPr>
            <w:rFonts w:ascii="Arial" w:hAnsi="Arial" w:cs="Arial"/>
            <w:sz w:val="20"/>
            <w:szCs w:val="20"/>
          </w:rPr>
          <w:t xml:space="preserve"> </w:t>
        </w:r>
        <w:r w:rsidRPr="0056458E">
          <w:rPr>
            <w:rFonts w:ascii="Arial" w:hAnsi="Arial" w:cs="Arial"/>
            <w:bCs/>
            <w:sz w:val="20"/>
            <w:szCs w:val="20"/>
          </w:rPr>
          <w:fldChar w:fldCharType="begin"/>
        </w:r>
        <w:r w:rsidRPr="0056458E">
          <w:rPr>
            <w:rFonts w:ascii="Arial" w:hAnsi="Arial" w:cs="Arial"/>
            <w:bCs/>
            <w:sz w:val="20"/>
            <w:szCs w:val="20"/>
          </w:rPr>
          <w:instrText xml:space="preserve"> PAGE </w:instrText>
        </w:r>
        <w:r w:rsidRPr="0056458E">
          <w:rPr>
            <w:rFonts w:ascii="Arial" w:hAnsi="Arial" w:cs="Arial"/>
            <w:bCs/>
            <w:sz w:val="20"/>
            <w:szCs w:val="20"/>
          </w:rPr>
          <w:fldChar w:fldCharType="separate"/>
        </w:r>
        <w:r w:rsidRPr="0056458E">
          <w:rPr>
            <w:rFonts w:ascii="Arial" w:hAnsi="Arial" w:cs="Arial"/>
            <w:bCs/>
            <w:noProof/>
            <w:sz w:val="20"/>
            <w:szCs w:val="20"/>
          </w:rPr>
          <w:t>2</w:t>
        </w:r>
        <w:r w:rsidRPr="0056458E">
          <w:rPr>
            <w:rFonts w:ascii="Arial" w:hAnsi="Arial" w:cs="Arial"/>
            <w:bCs/>
            <w:sz w:val="20"/>
            <w:szCs w:val="20"/>
          </w:rPr>
          <w:fldChar w:fldCharType="end"/>
        </w:r>
        <w:r w:rsidRPr="0056458E">
          <w:rPr>
            <w:rFonts w:ascii="Arial" w:hAnsi="Arial" w:cs="Arial"/>
            <w:sz w:val="20"/>
            <w:szCs w:val="20"/>
          </w:rPr>
          <w:t xml:space="preserve"> de </w:t>
        </w:r>
        <w:r w:rsidRPr="0056458E">
          <w:rPr>
            <w:rFonts w:ascii="Arial" w:hAnsi="Arial" w:cs="Arial"/>
            <w:bCs/>
            <w:sz w:val="20"/>
            <w:szCs w:val="20"/>
          </w:rPr>
          <w:fldChar w:fldCharType="begin"/>
        </w:r>
        <w:r w:rsidRPr="0056458E">
          <w:rPr>
            <w:rFonts w:ascii="Arial" w:hAnsi="Arial" w:cs="Arial"/>
            <w:bCs/>
            <w:sz w:val="20"/>
            <w:szCs w:val="20"/>
          </w:rPr>
          <w:instrText xml:space="preserve"> NUMPAGES  </w:instrText>
        </w:r>
        <w:r w:rsidRPr="0056458E">
          <w:rPr>
            <w:rFonts w:ascii="Arial" w:hAnsi="Arial" w:cs="Arial"/>
            <w:bCs/>
            <w:sz w:val="20"/>
            <w:szCs w:val="20"/>
          </w:rPr>
          <w:fldChar w:fldCharType="separate"/>
        </w:r>
        <w:r w:rsidRPr="0056458E">
          <w:rPr>
            <w:rFonts w:ascii="Arial" w:hAnsi="Arial" w:cs="Arial"/>
            <w:bCs/>
            <w:noProof/>
            <w:sz w:val="20"/>
            <w:szCs w:val="20"/>
          </w:rPr>
          <w:t>2</w:t>
        </w:r>
        <w:r w:rsidRPr="0056458E">
          <w:rPr>
            <w:rFonts w:ascii="Arial" w:hAnsi="Arial" w:cs="Arial"/>
            <w:bCs/>
            <w:sz w:val="20"/>
            <w:szCs w:val="20"/>
          </w:rPr>
          <w:fldChar w:fldCharType="end"/>
        </w:r>
      </w:p>
    </w:sdtContent>
  </w:sdt>
  <w:p w:rsidRPr="0056458E" w:rsidR="009651B5" w:rsidP="009651B5" w:rsidRDefault="009651B5" w14:paraId="07486567" w14:textId="5DD1CA8E">
    <w:pPr>
      <w:pStyle w:val="Header"/>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6EDE"/>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 w15:restartNumberingAfterBreak="0">
    <w:nsid w:val="0ECE20D7"/>
    <w:multiLevelType w:val="hybridMultilevel"/>
    <w:tmpl w:val="BB229F6C"/>
    <w:lvl w:ilvl="0" w:tplc="E6A28C82">
      <w:numFmt w:val="bullet"/>
      <w:lvlText w:val="-"/>
      <w:lvlJc w:val="left"/>
      <w:pPr>
        <w:ind w:left="720" w:hanging="360"/>
      </w:pPr>
      <w:rPr>
        <w:rFonts w:hint="default" w:ascii="Times New Roman" w:hAnsi="Times New Roman" w:cs="Times New Roman"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270728"/>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BF7B99"/>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B1947D7"/>
    <w:multiLevelType w:val="hybridMultilevel"/>
    <w:tmpl w:val="43D0DD9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CE771B0"/>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7520D8"/>
    <w:multiLevelType w:val="hybridMultilevel"/>
    <w:tmpl w:val="63309D12"/>
    <w:lvl w:ilvl="0" w:tplc="F84C4430">
      <w:start w:val="6"/>
      <w:numFmt w:val="upperRoman"/>
      <w:lvlText w:val="%1."/>
      <w:lvlJc w:val="left"/>
      <w:pPr>
        <w:ind w:left="450" w:hanging="720"/>
      </w:pPr>
      <w:rPr>
        <w:rFonts w:hint="default"/>
        <w:b/>
        <w:color w:val="1F497D"/>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15:restartNumberingAfterBreak="0">
    <w:nsid w:val="4B971831"/>
    <w:multiLevelType w:val="multilevel"/>
    <w:tmpl w:val="FE7460BC"/>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52C9217D"/>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308271C"/>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69905A8"/>
    <w:multiLevelType w:val="multilevel"/>
    <w:tmpl w:val="1EB43846"/>
    <w:lvl w:ilvl="0">
      <w:start w:val="1"/>
      <w:numFmt w:val="upperRoman"/>
      <w:lvlRestart w:val="0"/>
      <w:lvlText w:val="%1."/>
      <w:lvlJc w:val="center"/>
      <w:pPr>
        <w:tabs>
          <w:tab w:val="num" w:pos="630"/>
        </w:tabs>
        <w:ind w:left="-18" w:firstLine="288"/>
      </w:pPr>
      <w:rPr>
        <w:b/>
        <w:i w:val="0"/>
      </w:rPr>
    </w:lvl>
    <w:lvl w:ilvl="1">
      <w:start w:val="1"/>
      <w:numFmt w:val="decimal"/>
      <w:isLgl/>
      <w:lvlText w:val="%1.%2"/>
      <w:lvlJc w:val="left"/>
      <w:pPr>
        <w:tabs>
          <w:tab w:val="num" w:pos="2448"/>
        </w:tabs>
        <w:ind w:left="2448" w:hanging="1296"/>
      </w:pPr>
      <w:rPr>
        <w:rFonts w:hint="default" w:ascii="Arial" w:hAnsi="Arial" w:cs="Arial"/>
        <w:b w:val="0"/>
        <w:i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1" w15:restartNumberingAfterBreak="0">
    <w:nsid w:val="58FC7E01"/>
    <w:multiLevelType w:val="multilevel"/>
    <w:tmpl w:val="F02C7DEC"/>
    <w:lvl w:ilvl="0">
      <w:start w:val="1"/>
      <w:numFmt w:val="upperRoman"/>
      <w:lvlText w:val="%1."/>
      <w:lvlJc w:val="right"/>
      <w:pPr>
        <w:ind w:left="1260" w:hanging="720"/>
      </w:pPr>
      <w:rPr>
        <w:rFonts w:hint="default"/>
        <w:color w:val="44546A" w:themeColor="text2"/>
      </w:rPr>
    </w:lvl>
    <w:lvl w:ilvl="1">
      <w:start w:val="1"/>
      <w:numFmt w:val="decimal"/>
      <w:lvlText w:val="2.%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907360F"/>
    <w:multiLevelType w:val="hybridMultilevel"/>
    <w:tmpl w:val="48C8AEB8"/>
    <w:lvl w:ilvl="0" w:tplc="04090005">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60E31D8E"/>
    <w:multiLevelType w:val="multilevel"/>
    <w:tmpl w:val="C95C4238"/>
    <w:lvl w:ilvl="0">
      <w:start w:val="3"/>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12B7ECA"/>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2EE22AE"/>
    <w:multiLevelType w:val="hybridMultilevel"/>
    <w:tmpl w:val="4FE8E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2A0016"/>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39C01AB"/>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8" w15:restartNumberingAfterBreak="0">
    <w:nsid w:val="742B5738"/>
    <w:multiLevelType w:val="multilevel"/>
    <w:tmpl w:val="48E4DE06"/>
    <w:lvl w:ilvl="0">
      <w:start w:val="1"/>
      <w:numFmt w:val="upperRoman"/>
      <w:lvlText w:val="%1."/>
      <w:lvlJc w:val="right"/>
      <w:pPr>
        <w:ind w:left="1260" w:hanging="720"/>
      </w:pPr>
      <w:rPr>
        <w:rFonts w:hint="default"/>
        <w:color w:val="44546A" w:themeColor="text2"/>
      </w:rPr>
    </w:lvl>
    <w:lvl w:ilvl="1">
      <w:start w:val="1"/>
      <w:numFmt w:val="decimal"/>
      <w:lvlText w:val="4.%2"/>
      <w:lvlJc w:val="left"/>
      <w:pPr>
        <w:ind w:left="720" w:hanging="360"/>
      </w:pPr>
      <w:rPr>
        <w:rFonts w:hint="default"/>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61B4E97"/>
    <w:multiLevelType w:val="multilevel"/>
    <w:tmpl w:val="F23EE2A8"/>
    <w:lvl w:ilvl="0">
      <w:start w:val="1"/>
      <w:numFmt w:val="upperRoman"/>
      <w:lvlText w:val="%1."/>
      <w:lvlJc w:val="right"/>
      <w:pPr>
        <w:ind w:left="1260" w:hanging="720"/>
      </w:pPr>
      <w:rPr>
        <w:rFonts w:hint="default"/>
        <w:color w:val="44546A" w:themeColor="text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16"/>
  </w:num>
  <w:num w:numId="3">
    <w:abstractNumId w:val="1"/>
  </w:num>
  <w:num w:numId="4">
    <w:abstractNumId w:val="12"/>
  </w:num>
  <w:num w:numId="5">
    <w:abstractNumId w:val="4"/>
  </w:num>
  <w:num w:numId="6">
    <w:abstractNumId w:val="9"/>
  </w:num>
  <w:num w:numId="7">
    <w:abstractNumId w:val="19"/>
  </w:num>
  <w:num w:numId="8">
    <w:abstractNumId w:val="15"/>
  </w:num>
  <w:num w:numId="9">
    <w:abstractNumId w:val="8"/>
  </w:num>
  <w:num w:numId="10">
    <w:abstractNumId w:val="0"/>
  </w:num>
  <w:num w:numId="11">
    <w:abstractNumId w:val="2"/>
  </w:num>
  <w:num w:numId="12">
    <w:abstractNumId w:val="14"/>
  </w:num>
  <w:num w:numId="13">
    <w:abstractNumId w:val="3"/>
  </w:num>
  <w:num w:numId="14">
    <w:abstractNumId w:val="6"/>
  </w:num>
  <w:num w:numId="15">
    <w:abstractNumId w:val="5"/>
  </w:num>
  <w:num w:numId="16">
    <w:abstractNumId w:val="18"/>
  </w:num>
  <w:num w:numId="17">
    <w:abstractNumId w:val="7"/>
  </w:num>
  <w:num w:numId="18">
    <w:abstractNumId w:val="10"/>
  </w:num>
  <w:num w:numId="19">
    <w:abstractNumId w:val="1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540"/>
    <w:rsid w:val="00000ABE"/>
    <w:rsid w:val="000015AE"/>
    <w:rsid w:val="00001628"/>
    <w:rsid w:val="00002817"/>
    <w:rsid w:val="00003193"/>
    <w:rsid w:val="00003CEB"/>
    <w:rsid w:val="000040D4"/>
    <w:rsid w:val="00005A55"/>
    <w:rsid w:val="00005E7F"/>
    <w:rsid w:val="0000726D"/>
    <w:rsid w:val="00007B13"/>
    <w:rsid w:val="000117DB"/>
    <w:rsid w:val="00013100"/>
    <w:rsid w:val="00013EB3"/>
    <w:rsid w:val="000156BA"/>
    <w:rsid w:val="0001573E"/>
    <w:rsid w:val="000170D7"/>
    <w:rsid w:val="00022C32"/>
    <w:rsid w:val="0002328B"/>
    <w:rsid w:val="00023B35"/>
    <w:rsid w:val="0002502D"/>
    <w:rsid w:val="000259FE"/>
    <w:rsid w:val="0002611F"/>
    <w:rsid w:val="00026933"/>
    <w:rsid w:val="000275CE"/>
    <w:rsid w:val="000277B3"/>
    <w:rsid w:val="00030038"/>
    <w:rsid w:val="00033022"/>
    <w:rsid w:val="000348C0"/>
    <w:rsid w:val="00036B8D"/>
    <w:rsid w:val="000374C0"/>
    <w:rsid w:val="000403F3"/>
    <w:rsid w:val="00043CFD"/>
    <w:rsid w:val="00043FC1"/>
    <w:rsid w:val="00045EB9"/>
    <w:rsid w:val="00045F84"/>
    <w:rsid w:val="000478DD"/>
    <w:rsid w:val="00047DE7"/>
    <w:rsid w:val="00050010"/>
    <w:rsid w:val="0005014A"/>
    <w:rsid w:val="00050378"/>
    <w:rsid w:val="000516FC"/>
    <w:rsid w:val="00052C4C"/>
    <w:rsid w:val="00053CA0"/>
    <w:rsid w:val="00054D5C"/>
    <w:rsid w:val="00054F51"/>
    <w:rsid w:val="000555E8"/>
    <w:rsid w:val="0005586E"/>
    <w:rsid w:val="000602E6"/>
    <w:rsid w:val="00060A9E"/>
    <w:rsid w:val="000618D6"/>
    <w:rsid w:val="00061E31"/>
    <w:rsid w:val="000621C6"/>
    <w:rsid w:val="00062566"/>
    <w:rsid w:val="00063446"/>
    <w:rsid w:val="00063EB4"/>
    <w:rsid w:val="00065B59"/>
    <w:rsid w:val="0006626E"/>
    <w:rsid w:val="000663C6"/>
    <w:rsid w:val="00066580"/>
    <w:rsid w:val="00066602"/>
    <w:rsid w:val="0006786A"/>
    <w:rsid w:val="00067B31"/>
    <w:rsid w:val="000702B4"/>
    <w:rsid w:val="00070599"/>
    <w:rsid w:val="00070A4B"/>
    <w:rsid w:val="00070B15"/>
    <w:rsid w:val="00070E4B"/>
    <w:rsid w:val="00071BDC"/>
    <w:rsid w:val="000726E6"/>
    <w:rsid w:val="00073E9D"/>
    <w:rsid w:val="0007401E"/>
    <w:rsid w:val="00074AF4"/>
    <w:rsid w:val="00080264"/>
    <w:rsid w:val="000818E2"/>
    <w:rsid w:val="00081F11"/>
    <w:rsid w:val="00082A9F"/>
    <w:rsid w:val="00082BEB"/>
    <w:rsid w:val="0008310A"/>
    <w:rsid w:val="00083B2E"/>
    <w:rsid w:val="00084397"/>
    <w:rsid w:val="00085A3B"/>
    <w:rsid w:val="0008630E"/>
    <w:rsid w:val="000878CE"/>
    <w:rsid w:val="000900E0"/>
    <w:rsid w:val="00090DC3"/>
    <w:rsid w:val="00091AA9"/>
    <w:rsid w:val="0009245F"/>
    <w:rsid w:val="000958C9"/>
    <w:rsid w:val="00095BC8"/>
    <w:rsid w:val="00095DEC"/>
    <w:rsid w:val="00095E6E"/>
    <w:rsid w:val="000A13FE"/>
    <w:rsid w:val="000A1698"/>
    <w:rsid w:val="000A2292"/>
    <w:rsid w:val="000A25C5"/>
    <w:rsid w:val="000A32CC"/>
    <w:rsid w:val="000A4355"/>
    <w:rsid w:val="000A5664"/>
    <w:rsid w:val="000A7A25"/>
    <w:rsid w:val="000A7D8F"/>
    <w:rsid w:val="000B223C"/>
    <w:rsid w:val="000B32BF"/>
    <w:rsid w:val="000B5416"/>
    <w:rsid w:val="000B541B"/>
    <w:rsid w:val="000B5CBA"/>
    <w:rsid w:val="000C0E84"/>
    <w:rsid w:val="000C1139"/>
    <w:rsid w:val="000C1477"/>
    <w:rsid w:val="000C15DF"/>
    <w:rsid w:val="000C1DBB"/>
    <w:rsid w:val="000C2151"/>
    <w:rsid w:val="000C6806"/>
    <w:rsid w:val="000C6A74"/>
    <w:rsid w:val="000C7AF8"/>
    <w:rsid w:val="000C7BB6"/>
    <w:rsid w:val="000D2718"/>
    <w:rsid w:val="000D272F"/>
    <w:rsid w:val="000D442D"/>
    <w:rsid w:val="000D505A"/>
    <w:rsid w:val="000D5C7D"/>
    <w:rsid w:val="000D67E5"/>
    <w:rsid w:val="000D6F7E"/>
    <w:rsid w:val="000E1DB8"/>
    <w:rsid w:val="000E23DC"/>
    <w:rsid w:val="000E2513"/>
    <w:rsid w:val="000E48F0"/>
    <w:rsid w:val="000E4A51"/>
    <w:rsid w:val="000E4D77"/>
    <w:rsid w:val="000E5157"/>
    <w:rsid w:val="000E547F"/>
    <w:rsid w:val="000E5691"/>
    <w:rsid w:val="000E654E"/>
    <w:rsid w:val="000E6ACC"/>
    <w:rsid w:val="000E6B95"/>
    <w:rsid w:val="000E6C24"/>
    <w:rsid w:val="000F04A7"/>
    <w:rsid w:val="000F0A57"/>
    <w:rsid w:val="000F1B0A"/>
    <w:rsid w:val="000F2706"/>
    <w:rsid w:val="000F298E"/>
    <w:rsid w:val="000F2C95"/>
    <w:rsid w:val="000F352D"/>
    <w:rsid w:val="000F4231"/>
    <w:rsid w:val="000F4BA7"/>
    <w:rsid w:val="000F5361"/>
    <w:rsid w:val="000F5C57"/>
    <w:rsid w:val="000F5EBE"/>
    <w:rsid w:val="000F6C9B"/>
    <w:rsid w:val="00100FA6"/>
    <w:rsid w:val="001012B3"/>
    <w:rsid w:val="00102D08"/>
    <w:rsid w:val="00103469"/>
    <w:rsid w:val="00103976"/>
    <w:rsid w:val="00103A82"/>
    <w:rsid w:val="001042A8"/>
    <w:rsid w:val="00105393"/>
    <w:rsid w:val="001075A1"/>
    <w:rsid w:val="00112852"/>
    <w:rsid w:val="00112F96"/>
    <w:rsid w:val="00113761"/>
    <w:rsid w:val="001140FB"/>
    <w:rsid w:val="001144B3"/>
    <w:rsid w:val="00114ED5"/>
    <w:rsid w:val="00115129"/>
    <w:rsid w:val="001154FB"/>
    <w:rsid w:val="00116B3B"/>
    <w:rsid w:val="001210EE"/>
    <w:rsid w:val="00123200"/>
    <w:rsid w:val="00124B0B"/>
    <w:rsid w:val="00124BDF"/>
    <w:rsid w:val="00125090"/>
    <w:rsid w:val="00125EB1"/>
    <w:rsid w:val="00127E06"/>
    <w:rsid w:val="00131C1B"/>
    <w:rsid w:val="00134CD8"/>
    <w:rsid w:val="001353CF"/>
    <w:rsid w:val="001362D9"/>
    <w:rsid w:val="001367C2"/>
    <w:rsid w:val="0013738A"/>
    <w:rsid w:val="0014006C"/>
    <w:rsid w:val="001402C2"/>
    <w:rsid w:val="001406B3"/>
    <w:rsid w:val="00140EE0"/>
    <w:rsid w:val="00143038"/>
    <w:rsid w:val="0014442D"/>
    <w:rsid w:val="00145A96"/>
    <w:rsid w:val="00145E45"/>
    <w:rsid w:val="0014694E"/>
    <w:rsid w:val="00150A66"/>
    <w:rsid w:val="001510AB"/>
    <w:rsid w:val="001534CB"/>
    <w:rsid w:val="00153695"/>
    <w:rsid w:val="00153836"/>
    <w:rsid w:val="001545B0"/>
    <w:rsid w:val="0015480E"/>
    <w:rsid w:val="001559CA"/>
    <w:rsid w:val="00156652"/>
    <w:rsid w:val="001569CC"/>
    <w:rsid w:val="0015792D"/>
    <w:rsid w:val="00157989"/>
    <w:rsid w:val="00157F1F"/>
    <w:rsid w:val="00157FAE"/>
    <w:rsid w:val="001603C3"/>
    <w:rsid w:val="00163B8C"/>
    <w:rsid w:val="00163D56"/>
    <w:rsid w:val="00164358"/>
    <w:rsid w:val="001649A6"/>
    <w:rsid w:val="00164F62"/>
    <w:rsid w:val="001716E5"/>
    <w:rsid w:val="00172C51"/>
    <w:rsid w:val="0017323E"/>
    <w:rsid w:val="00173728"/>
    <w:rsid w:val="001749E8"/>
    <w:rsid w:val="00174ADD"/>
    <w:rsid w:val="00175EE2"/>
    <w:rsid w:val="0017655D"/>
    <w:rsid w:val="00176E84"/>
    <w:rsid w:val="00180184"/>
    <w:rsid w:val="00181667"/>
    <w:rsid w:val="00182B63"/>
    <w:rsid w:val="00190868"/>
    <w:rsid w:val="00191FAB"/>
    <w:rsid w:val="00193373"/>
    <w:rsid w:val="001933DD"/>
    <w:rsid w:val="00193A49"/>
    <w:rsid w:val="00193B28"/>
    <w:rsid w:val="001963B4"/>
    <w:rsid w:val="00196E07"/>
    <w:rsid w:val="00197B9D"/>
    <w:rsid w:val="001A0143"/>
    <w:rsid w:val="001A02D9"/>
    <w:rsid w:val="001A037F"/>
    <w:rsid w:val="001A1001"/>
    <w:rsid w:val="001A123A"/>
    <w:rsid w:val="001A20AE"/>
    <w:rsid w:val="001A3D15"/>
    <w:rsid w:val="001A3F40"/>
    <w:rsid w:val="001A42D6"/>
    <w:rsid w:val="001A4E0C"/>
    <w:rsid w:val="001A55C7"/>
    <w:rsid w:val="001A5A4E"/>
    <w:rsid w:val="001A7919"/>
    <w:rsid w:val="001A7A6F"/>
    <w:rsid w:val="001A7B72"/>
    <w:rsid w:val="001B0F84"/>
    <w:rsid w:val="001B1CA4"/>
    <w:rsid w:val="001B2453"/>
    <w:rsid w:val="001B3F84"/>
    <w:rsid w:val="001B4483"/>
    <w:rsid w:val="001B4C8C"/>
    <w:rsid w:val="001B4EBE"/>
    <w:rsid w:val="001B6C1B"/>
    <w:rsid w:val="001B6C5E"/>
    <w:rsid w:val="001B71A9"/>
    <w:rsid w:val="001B73A2"/>
    <w:rsid w:val="001B7D5B"/>
    <w:rsid w:val="001C00FF"/>
    <w:rsid w:val="001C067E"/>
    <w:rsid w:val="001C2258"/>
    <w:rsid w:val="001C2788"/>
    <w:rsid w:val="001C4513"/>
    <w:rsid w:val="001C6811"/>
    <w:rsid w:val="001C6AB6"/>
    <w:rsid w:val="001D05B1"/>
    <w:rsid w:val="001D08C6"/>
    <w:rsid w:val="001D169A"/>
    <w:rsid w:val="001D1F70"/>
    <w:rsid w:val="001D2271"/>
    <w:rsid w:val="001D27B9"/>
    <w:rsid w:val="001D3094"/>
    <w:rsid w:val="001D49EF"/>
    <w:rsid w:val="001D5AF6"/>
    <w:rsid w:val="001E10DC"/>
    <w:rsid w:val="001E239D"/>
    <w:rsid w:val="001E375F"/>
    <w:rsid w:val="001E3E74"/>
    <w:rsid w:val="001E41BB"/>
    <w:rsid w:val="001E41FB"/>
    <w:rsid w:val="001E4508"/>
    <w:rsid w:val="001E4514"/>
    <w:rsid w:val="001E4553"/>
    <w:rsid w:val="001E4F72"/>
    <w:rsid w:val="001E575F"/>
    <w:rsid w:val="001E5848"/>
    <w:rsid w:val="001E5A51"/>
    <w:rsid w:val="001E68B3"/>
    <w:rsid w:val="001F0F01"/>
    <w:rsid w:val="001F1E45"/>
    <w:rsid w:val="001F293D"/>
    <w:rsid w:val="001F3353"/>
    <w:rsid w:val="001F38D8"/>
    <w:rsid w:val="001F3C3F"/>
    <w:rsid w:val="001F3D23"/>
    <w:rsid w:val="00200B25"/>
    <w:rsid w:val="002016C5"/>
    <w:rsid w:val="00202ADB"/>
    <w:rsid w:val="00203C7B"/>
    <w:rsid w:val="00204198"/>
    <w:rsid w:val="002042CD"/>
    <w:rsid w:val="0020461C"/>
    <w:rsid w:val="00204AF9"/>
    <w:rsid w:val="00206540"/>
    <w:rsid w:val="00206854"/>
    <w:rsid w:val="00207DAE"/>
    <w:rsid w:val="00207E6D"/>
    <w:rsid w:val="00207EC0"/>
    <w:rsid w:val="0021090C"/>
    <w:rsid w:val="002109CE"/>
    <w:rsid w:val="00210E3F"/>
    <w:rsid w:val="00211161"/>
    <w:rsid w:val="002123EC"/>
    <w:rsid w:val="002137C2"/>
    <w:rsid w:val="00213CCB"/>
    <w:rsid w:val="00215616"/>
    <w:rsid w:val="0021676B"/>
    <w:rsid w:val="00216A24"/>
    <w:rsid w:val="00216A39"/>
    <w:rsid w:val="00217085"/>
    <w:rsid w:val="00217EE8"/>
    <w:rsid w:val="00220A32"/>
    <w:rsid w:val="00223214"/>
    <w:rsid w:val="0022497B"/>
    <w:rsid w:val="00225D21"/>
    <w:rsid w:val="002261B4"/>
    <w:rsid w:val="0022645C"/>
    <w:rsid w:val="00232BDF"/>
    <w:rsid w:val="0023344F"/>
    <w:rsid w:val="00234275"/>
    <w:rsid w:val="00234B0A"/>
    <w:rsid w:val="00235C02"/>
    <w:rsid w:val="0023659E"/>
    <w:rsid w:val="002401BC"/>
    <w:rsid w:val="00240EF9"/>
    <w:rsid w:val="00241D54"/>
    <w:rsid w:val="00241E09"/>
    <w:rsid w:val="00241FD4"/>
    <w:rsid w:val="002427C5"/>
    <w:rsid w:val="0024527D"/>
    <w:rsid w:val="00246D06"/>
    <w:rsid w:val="00246D4E"/>
    <w:rsid w:val="00250BC5"/>
    <w:rsid w:val="00251568"/>
    <w:rsid w:val="00253764"/>
    <w:rsid w:val="002548AB"/>
    <w:rsid w:val="00254AA3"/>
    <w:rsid w:val="00256E44"/>
    <w:rsid w:val="00256EA4"/>
    <w:rsid w:val="00260283"/>
    <w:rsid w:val="00260333"/>
    <w:rsid w:val="00260666"/>
    <w:rsid w:val="00261F6C"/>
    <w:rsid w:val="00262A2A"/>
    <w:rsid w:val="00262CFC"/>
    <w:rsid w:val="0026368E"/>
    <w:rsid w:val="002648C4"/>
    <w:rsid w:val="00264EA2"/>
    <w:rsid w:val="00264F9E"/>
    <w:rsid w:val="0026534F"/>
    <w:rsid w:val="0026740C"/>
    <w:rsid w:val="00270578"/>
    <w:rsid w:val="00271916"/>
    <w:rsid w:val="00271953"/>
    <w:rsid w:val="002736A6"/>
    <w:rsid w:val="00273A07"/>
    <w:rsid w:val="00273FD3"/>
    <w:rsid w:val="00274B7A"/>
    <w:rsid w:val="00276C61"/>
    <w:rsid w:val="0028050A"/>
    <w:rsid w:val="00280FCC"/>
    <w:rsid w:val="00283344"/>
    <w:rsid w:val="00286091"/>
    <w:rsid w:val="0028674B"/>
    <w:rsid w:val="00294C3A"/>
    <w:rsid w:val="00294FD1"/>
    <w:rsid w:val="00295D5B"/>
    <w:rsid w:val="002961D7"/>
    <w:rsid w:val="002963B6"/>
    <w:rsid w:val="00296BA6"/>
    <w:rsid w:val="00296C4F"/>
    <w:rsid w:val="0029762B"/>
    <w:rsid w:val="00297A91"/>
    <w:rsid w:val="002A008F"/>
    <w:rsid w:val="002A021B"/>
    <w:rsid w:val="002A0EC6"/>
    <w:rsid w:val="002A24EF"/>
    <w:rsid w:val="002A356B"/>
    <w:rsid w:val="002A43D2"/>
    <w:rsid w:val="002A5E9A"/>
    <w:rsid w:val="002A7B5C"/>
    <w:rsid w:val="002B1025"/>
    <w:rsid w:val="002B1ACD"/>
    <w:rsid w:val="002B1C71"/>
    <w:rsid w:val="002B1F0C"/>
    <w:rsid w:val="002B2A2B"/>
    <w:rsid w:val="002B34D2"/>
    <w:rsid w:val="002B4AAD"/>
    <w:rsid w:val="002B6DAE"/>
    <w:rsid w:val="002B704A"/>
    <w:rsid w:val="002B78EA"/>
    <w:rsid w:val="002C1EBA"/>
    <w:rsid w:val="002C2064"/>
    <w:rsid w:val="002C2780"/>
    <w:rsid w:val="002C2FD5"/>
    <w:rsid w:val="002C3A7F"/>
    <w:rsid w:val="002C500D"/>
    <w:rsid w:val="002C55A8"/>
    <w:rsid w:val="002C6697"/>
    <w:rsid w:val="002C7217"/>
    <w:rsid w:val="002C7A95"/>
    <w:rsid w:val="002D0B49"/>
    <w:rsid w:val="002D0B70"/>
    <w:rsid w:val="002D22A0"/>
    <w:rsid w:val="002D2640"/>
    <w:rsid w:val="002D28C6"/>
    <w:rsid w:val="002D372A"/>
    <w:rsid w:val="002D4E90"/>
    <w:rsid w:val="002D587E"/>
    <w:rsid w:val="002D602F"/>
    <w:rsid w:val="002D6382"/>
    <w:rsid w:val="002D6576"/>
    <w:rsid w:val="002D7335"/>
    <w:rsid w:val="002E0B68"/>
    <w:rsid w:val="002E149E"/>
    <w:rsid w:val="002E22CE"/>
    <w:rsid w:val="002E28FF"/>
    <w:rsid w:val="002E2F81"/>
    <w:rsid w:val="002E313F"/>
    <w:rsid w:val="002E34BF"/>
    <w:rsid w:val="002E47D5"/>
    <w:rsid w:val="002E58C1"/>
    <w:rsid w:val="002E77CC"/>
    <w:rsid w:val="002E7AEE"/>
    <w:rsid w:val="002F08E2"/>
    <w:rsid w:val="002F0C97"/>
    <w:rsid w:val="002F46C1"/>
    <w:rsid w:val="002F5E5E"/>
    <w:rsid w:val="002F63FC"/>
    <w:rsid w:val="002F7834"/>
    <w:rsid w:val="00300506"/>
    <w:rsid w:val="00300B64"/>
    <w:rsid w:val="003028B8"/>
    <w:rsid w:val="00305102"/>
    <w:rsid w:val="00305A71"/>
    <w:rsid w:val="00305C31"/>
    <w:rsid w:val="00305E8F"/>
    <w:rsid w:val="0030615E"/>
    <w:rsid w:val="003116CA"/>
    <w:rsid w:val="0031262A"/>
    <w:rsid w:val="003129C2"/>
    <w:rsid w:val="00316744"/>
    <w:rsid w:val="00316BE0"/>
    <w:rsid w:val="003177C4"/>
    <w:rsid w:val="00317838"/>
    <w:rsid w:val="003211A5"/>
    <w:rsid w:val="003216E1"/>
    <w:rsid w:val="00321D09"/>
    <w:rsid w:val="00324364"/>
    <w:rsid w:val="00324E51"/>
    <w:rsid w:val="003266AD"/>
    <w:rsid w:val="00326964"/>
    <w:rsid w:val="00330A43"/>
    <w:rsid w:val="00332260"/>
    <w:rsid w:val="00333D46"/>
    <w:rsid w:val="00335BB8"/>
    <w:rsid w:val="00335BE7"/>
    <w:rsid w:val="00336C1F"/>
    <w:rsid w:val="00341995"/>
    <w:rsid w:val="0034200E"/>
    <w:rsid w:val="003449E6"/>
    <w:rsid w:val="00345226"/>
    <w:rsid w:val="0034645A"/>
    <w:rsid w:val="00347FA3"/>
    <w:rsid w:val="00350DFA"/>
    <w:rsid w:val="003520E9"/>
    <w:rsid w:val="00353183"/>
    <w:rsid w:val="00353A0B"/>
    <w:rsid w:val="0035403C"/>
    <w:rsid w:val="00354F4F"/>
    <w:rsid w:val="003566F9"/>
    <w:rsid w:val="003622AB"/>
    <w:rsid w:val="00362ABC"/>
    <w:rsid w:val="00362D52"/>
    <w:rsid w:val="003640CE"/>
    <w:rsid w:val="00365C40"/>
    <w:rsid w:val="00367311"/>
    <w:rsid w:val="003676E5"/>
    <w:rsid w:val="00367976"/>
    <w:rsid w:val="00367C6A"/>
    <w:rsid w:val="00370370"/>
    <w:rsid w:val="00371BF9"/>
    <w:rsid w:val="003733BF"/>
    <w:rsid w:val="00374144"/>
    <w:rsid w:val="0037456B"/>
    <w:rsid w:val="00374B9D"/>
    <w:rsid w:val="00374FC6"/>
    <w:rsid w:val="003753CF"/>
    <w:rsid w:val="003769D0"/>
    <w:rsid w:val="003807C8"/>
    <w:rsid w:val="00382B47"/>
    <w:rsid w:val="00382CC2"/>
    <w:rsid w:val="00385B33"/>
    <w:rsid w:val="00385CE2"/>
    <w:rsid w:val="00386935"/>
    <w:rsid w:val="003876CA"/>
    <w:rsid w:val="003903A6"/>
    <w:rsid w:val="00390460"/>
    <w:rsid w:val="00391A3A"/>
    <w:rsid w:val="003921F1"/>
    <w:rsid w:val="003923E5"/>
    <w:rsid w:val="0039310A"/>
    <w:rsid w:val="00393F19"/>
    <w:rsid w:val="003951F3"/>
    <w:rsid w:val="003953FA"/>
    <w:rsid w:val="00396629"/>
    <w:rsid w:val="00396A8C"/>
    <w:rsid w:val="003971F6"/>
    <w:rsid w:val="00397C06"/>
    <w:rsid w:val="003A0D77"/>
    <w:rsid w:val="003A0F52"/>
    <w:rsid w:val="003A1A9E"/>
    <w:rsid w:val="003A1BA8"/>
    <w:rsid w:val="003A1BCB"/>
    <w:rsid w:val="003A1DE8"/>
    <w:rsid w:val="003A2545"/>
    <w:rsid w:val="003A3713"/>
    <w:rsid w:val="003A3D1B"/>
    <w:rsid w:val="003A4764"/>
    <w:rsid w:val="003A5916"/>
    <w:rsid w:val="003A7686"/>
    <w:rsid w:val="003A7B80"/>
    <w:rsid w:val="003B0411"/>
    <w:rsid w:val="003B1683"/>
    <w:rsid w:val="003B360A"/>
    <w:rsid w:val="003B3911"/>
    <w:rsid w:val="003B3BF3"/>
    <w:rsid w:val="003B5062"/>
    <w:rsid w:val="003B70D9"/>
    <w:rsid w:val="003B7B47"/>
    <w:rsid w:val="003B7FBA"/>
    <w:rsid w:val="003C0693"/>
    <w:rsid w:val="003C22A9"/>
    <w:rsid w:val="003C26DF"/>
    <w:rsid w:val="003C2E9F"/>
    <w:rsid w:val="003C2F6F"/>
    <w:rsid w:val="003C3711"/>
    <w:rsid w:val="003C42AD"/>
    <w:rsid w:val="003C476A"/>
    <w:rsid w:val="003C56CD"/>
    <w:rsid w:val="003C7698"/>
    <w:rsid w:val="003D0810"/>
    <w:rsid w:val="003D1773"/>
    <w:rsid w:val="003D2EDA"/>
    <w:rsid w:val="003D38A5"/>
    <w:rsid w:val="003D3E2E"/>
    <w:rsid w:val="003D3EED"/>
    <w:rsid w:val="003D3F4C"/>
    <w:rsid w:val="003D5A99"/>
    <w:rsid w:val="003D5B7B"/>
    <w:rsid w:val="003D64F8"/>
    <w:rsid w:val="003D66A1"/>
    <w:rsid w:val="003E1C02"/>
    <w:rsid w:val="003E2031"/>
    <w:rsid w:val="003E2925"/>
    <w:rsid w:val="003E317D"/>
    <w:rsid w:val="003E4473"/>
    <w:rsid w:val="003E501F"/>
    <w:rsid w:val="003E564A"/>
    <w:rsid w:val="003E7157"/>
    <w:rsid w:val="003E7EAA"/>
    <w:rsid w:val="003F1259"/>
    <w:rsid w:val="003F1F1C"/>
    <w:rsid w:val="003F2F4F"/>
    <w:rsid w:val="003F3A9F"/>
    <w:rsid w:val="003F5CC0"/>
    <w:rsid w:val="003F63EB"/>
    <w:rsid w:val="003F6460"/>
    <w:rsid w:val="003F67BC"/>
    <w:rsid w:val="003F6BF5"/>
    <w:rsid w:val="0040072B"/>
    <w:rsid w:val="00400D27"/>
    <w:rsid w:val="00401FE3"/>
    <w:rsid w:val="004020B9"/>
    <w:rsid w:val="00403C4E"/>
    <w:rsid w:val="00404645"/>
    <w:rsid w:val="00404B15"/>
    <w:rsid w:val="0040500D"/>
    <w:rsid w:val="004064CF"/>
    <w:rsid w:val="004065C5"/>
    <w:rsid w:val="00407E3A"/>
    <w:rsid w:val="00411DC3"/>
    <w:rsid w:val="00412CC0"/>
    <w:rsid w:val="0041386F"/>
    <w:rsid w:val="004145DD"/>
    <w:rsid w:val="004148D5"/>
    <w:rsid w:val="004158C1"/>
    <w:rsid w:val="00415DB4"/>
    <w:rsid w:val="0041680F"/>
    <w:rsid w:val="00417089"/>
    <w:rsid w:val="004235CC"/>
    <w:rsid w:val="00424C20"/>
    <w:rsid w:val="0042525B"/>
    <w:rsid w:val="004253E8"/>
    <w:rsid w:val="0043027D"/>
    <w:rsid w:val="00430941"/>
    <w:rsid w:val="004311F9"/>
    <w:rsid w:val="0043281A"/>
    <w:rsid w:val="00432976"/>
    <w:rsid w:val="00432BA1"/>
    <w:rsid w:val="00432BB5"/>
    <w:rsid w:val="0043301A"/>
    <w:rsid w:val="00433132"/>
    <w:rsid w:val="00436C7D"/>
    <w:rsid w:val="00436CC1"/>
    <w:rsid w:val="00436D20"/>
    <w:rsid w:val="00436DCC"/>
    <w:rsid w:val="00436F13"/>
    <w:rsid w:val="00441478"/>
    <w:rsid w:val="00441538"/>
    <w:rsid w:val="004417DB"/>
    <w:rsid w:val="004422AB"/>
    <w:rsid w:val="0044346B"/>
    <w:rsid w:val="00443575"/>
    <w:rsid w:val="0044460C"/>
    <w:rsid w:val="0044490F"/>
    <w:rsid w:val="00445508"/>
    <w:rsid w:val="004466AE"/>
    <w:rsid w:val="004468CD"/>
    <w:rsid w:val="0044734B"/>
    <w:rsid w:val="00454613"/>
    <w:rsid w:val="0045475F"/>
    <w:rsid w:val="00454775"/>
    <w:rsid w:val="00454BC0"/>
    <w:rsid w:val="00455298"/>
    <w:rsid w:val="00455FA6"/>
    <w:rsid w:val="00456A2A"/>
    <w:rsid w:val="00456E73"/>
    <w:rsid w:val="00460A93"/>
    <w:rsid w:val="00461232"/>
    <w:rsid w:val="00462918"/>
    <w:rsid w:val="0046316B"/>
    <w:rsid w:val="00463BC7"/>
    <w:rsid w:val="0046651C"/>
    <w:rsid w:val="00466AEB"/>
    <w:rsid w:val="00470EC5"/>
    <w:rsid w:val="00471BBB"/>
    <w:rsid w:val="00472A81"/>
    <w:rsid w:val="00473D72"/>
    <w:rsid w:val="00475948"/>
    <w:rsid w:val="00475C8C"/>
    <w:rsid w:val="004761FB"/>
    <w:rsid w:val="0047667F"/>
    <w:rsid w:val="00480D92"/>
    <w:rsid w:val="00481079"/>
    <w:rsid w:val="0048350A"/>
    <w:rsid w:val="00483924"/>
    <w:rsid w:val="00485271"/>
    <w:rsid w:val="00486B2F"/>
    <w:rsid w:val="00487321"/>
    <w:rsid w:val="004904E9"/>
    <w:rsid w:val="00490D1A"/>
    <w:rsid w:val="00491D47"/>
    <w:rsid w:val="00491D70"/>
    <w:rsid w:val="00492A04"/>
    <w:rsid w:val="00492C04"/>
    <w:rsid w:val="00495A25"/>
    <w:rsid w:val="00496B79"/>
    <w:rsid w:val="004A0489"/>
    <w:rsid w:val="004A358F"/>
    <w:rsid w:val="004A4214"/>
    <w:rsid w:val="004A4707"/>
    <w:rsid w:val="004A4DB5"/>
    <w:rsid w:val="004A56C6"/>
    <w:rsid w:val="004A68A9"/>
    <w:rsid w:val="004A7318"/>
    <w:rsid w:val="004A7C55"/>
    <w:rsid w:val="004B1582"/>
    <w:rsid w:val="004B2394"/>
    <w:rsid w:val="004B4214"/>
    <w:rsid w:val="004B4EDB"/>
    <w:rsid w:val="004B71B4"/>
    <w:rsid w:val="004B7B31"/>
    <w:rsid w:val="004B7CA1"/>
    <w:rsid w:val="004C0613"/>
    <w:rsid w:val="004C215A"/>
    <w:rsid w:val="004C3336"/>
    <w:rsid w:val="004C4954"/>
    <w:rsid w:val="004C567F"/>
    <w:rsid w:val="004C5D59"/>
    <w:rsid w:val="004C6602"/>
    <w:rsid w:val="004D0BC4"/>
    <w:rsid w:val="004D1C40"/>
    <w:rsid w:val="004D45AB"/>
    <w:rsid w:val="004D51EE"/>
    <w:rsid w:val="004D52F2"/>
    <w:rsid w:val="004D66BC"/>
    <w:rsid w:val="004E068B"/>
    <w:rsid w:val="004E08B4"/>
    <w:rsid w:val="004E17D4"/>
    <w:rsid w:val="004E217C"/>
    <w:rsid w:val="004E21F8"/>
    <w:rsid w:val="004E2EFF"/>
    <w:rsid w:val="004E3088"/>
    <w:rsid w:val="004E3509"/>
    <w:rsid w:val="004E422F"/>
    <w:rsid w:val="004E63C2"/>
    <w:rsid w:val="004E7BC8"/>
    <w:rsid w:val="004F02D0"/>
    <w:rsid w:val="004F1111"/>
    <w:rsid w:val="004F12F2"/>
    <w:rsid w:val="004F2F36"/>
    <w:rsid w:val="004F4A41"/>
    <w:rsid w:val="004F528D"/>
    <w:rsid w:val="004F547F"/>
    <w:rsid w:val="004F58C6"/>
    <w:rsid w:val="004F5A57"/>
    <w:rsid w:val="004F669B"/>
    <w:rsid w:val="004F78F2"/>
    <w:rsid w:val="005000F5"/>
    <w:rsid w:val="00503523"/>
    <w:rsid w:val="005054D9"/>
    <w:rsid w:val="0050705D"/>
    <w:rsid w:val="005070C6"/>
    <w:rsid w:val="005070CE"/>
    <w:rsid w:val="00507DC7"/>
    <w:rsid w:val="005100AD"/>
    <w:rsid w:val="0051041B"/>
    <w:rsid w:val="00511030"/>
    <w:rsid w:val="0051278A"/>
    <w:rsid w:val="00512D41"/>
    <w:rsid w:val="00513861"/>
    <w:rsid w:val="00514849"/>
    <w:rsid w:val="00514A29"/>
    <w:rsid w:val="00515AE1"/>
    <w:rsid w:val="005163CB"/>
    <w:rsid w:val="005166C5"/>
    <w:rsid w:val="00516C61"/>
    <w:rsid w:val="00516DBB"/>
    <w:rsid w:val="005175ED"/>
    <w:rsid w:val="00520E16"/>
    <w:rsid w:val="005212FF"/>
    <w:rsid w:val="00522898"/>
    <w:rsid w:val="00522B48"/>
    <w:rsid w:val="00526106"/>
    <w:rsid w:val="005262E3"/>
    <w:rsid w:val="0053175B"/>
    <w:rsid w:val="00531DBF"/>
    <w:rsid w:val="00531FB0"/>
    <w:rsid w:val="0053386C"/>
    <w:rsid w:val="00533C56"/>
    <w:rsid w:val="00534119"/>
    <w:rsid w:val="005341E8"/>
    <w:rsid w:val="00534495"/>
    <w:rsid w:val="00534AC2"/>
    <w:rsid w:val="00534D8F"/>
    <w:rsid w:val="00535413"/>
    <w:rsid w:val="00535BA2"/>
    <w:rsid w:val="00537675"/>
    <w:rsid w:val="00537E0F"/>
    <w:rsid w:val="005403C9"/>
    <w:rsid w:val="0054047F"/>
    <w:rsid w:val="00540F71"/>
    <w:rsid w:val="00541719"/>
    <w:rsid w:val="0054280B"/>
    <w:rsid w:val="00542C8C"/>
    <w:rsid w:val="005434FF"/>
    <w:rsid w:val="00543D76"/>
    <w:rsid w:val="00544F1E"/>
    <w:rsid w:val="0054503B"/>
    <w:rsid w:val="00545B66"/>
    <w:rsid w:val="00545DB8"/>
    <w:rsid w:val="00546D15"/>
    <w:rsid w:val="005474A6"/>
    <w:rsid w:val="00550FC8"/>
    <w:rsid w:val="005518C9"/>
    <w:rsid w:val="00552540"/>
    <w:rsid w:val="005525D5"/>
    <w:rsid w:val="005527BC"/>
    <w:rsid w:val="00554861"/>
    <w:rsid w:val="00556A3A"/>
    <w:rsid w:val="005600A9"/>
    <w:rsid w:val="00560968"/>
    <w:rsid w:val="00560B76"/>
    <w:rsid w:val="00560D49"/>
    <w:rsid w:val="00561422"/>
    <w:rsid w:val="00561AFB"/>
    <w:rsid w:val="00562807"/>
    <w:rsid w:val="005632E9"/>
    <w:rsid w:val="0056458E"/>
    <w:rsid w:val="00564DFD"/>
    <w:rsid w:val="00566AEA"/>
    <w:rsid w:val="00566C07"/>
    <w:rsid w:val="00567FEA"/>
    <w:rsid w:val="00571743"/>
    <w:rsid w:val="00573A9F"/>
    <w:rsid w:val="00576017"/>
    <w:rsid w:val="0057684D"/>
    <w:rsid w:val="00576E4D"/>
    <w:rsid w:val="005820A2"/>
    <w:rsid w:val="00582210"/>
    <w:rsid w:val="00582265"/>
    <w:rsid w:val="00583BC1"/>
    <w:rsid w:val="005846F8"/>
    <w:rsid w:val="00585ABE"/>
    <w:rsid w:val="00585B64"/>
    <w:rsid w:val="00585D07"/>
    <w:rsid w:val="0058685D"/>
    <w:rsid w:val="00586C4A"/>
    <w:rsid w:val="005900F2"/>
    <w:rsid w:val="00592E2C"/>
    <w:rsid w:val="00595921"/>
    <w:rsid w:val="00597915"/>
    <w:rsid w:val="00597B6C"/>
    <w:rsid w:val="005A0570"/>
    <w:rsid w:val="005A1115"/>
    <w:rsid w:val="005A3494"/>
    <w:rsid w:val="005A3E2C"/>
    <w:rsid w:val="005A7B4D"/>
    <w:rsid w:val="005B080E"/>
    <w:rsid w:val="005B0D3C"/>
    <w:rsid w:val="005B25EB"/>
    <w:rsid w:val="005B2A64"/>
    <w:rsid w:val="005B4767"/>
    <w:rsid w:val="005B6E5E"/>
    <w:rsid w:val="005B7746"/>
    <w:rsid w:val="005C0439"/>
    <w:rsid w:val="005C065E"/>
    <w:rsid w:val="005C1670"/>
    <w:rsid w:val="005C19C3"/>
    <w:rsid w:val="005C229F"/>
    <w:rsid w:val="005C35C1"/>
    <w:rsid w:val="005C6001"/>
    <w:rsid w:val="005D01FB"/>
    <w:rsid w:val="005D0DCC"/>
    <w:rsid w:val="005D1F31"/>
    <w:rsid w:val="005D4848"/>
    <w:rsid w:val="005D4BB1"/>
    <w:rsid w:val="005D4F96"/>
    <w:rsid w:val="005D74E4"/>
    <w:rsid w:val="005D79C5"/>
    <w:rsid w:val="005E0E28"/>
    <w:rsid w:val="005E1A1B"/>
    <w:rsid w:val="005E5819"/>
    <w:rsid w:val="005E6B77"/>
    <w:rsid w:val="005E6BB9"/>
    <w:rsid w:val="005E7522"/>
    <w:rsid w:val="005E7ACC"/>
    <w:rsid w:val="005F0253"/>
    <w:rsid w:val="005F09C4"/>
    <w:rsid w:val="005F1230"/>
    <w:rsid w:val="005F218F"/>
    <w:rsid w:val="005F21B7"/>
    <w:rsid w:val="005F4A88"/>
    <w:rsid w:val="005F4E0C"/>
    <w:rsid w:val="00602062"/>
    <w:rsid w:val="00604E5C"/>
    <w:rsid w:val="00605F57"/>
    <w:rsid w:val="00606BB2"/>
    <w:rsid w:val="0060734E"/>
    <w:rsid w:val="006079A4"/>
    <w:rsid w:val="00607D5B"/>
    <w:rsid w:val="00610BB4"/>
    <w:rsid w:val="00610E3A"/>
    <w:rsid w:val="00611A61"/>
    <w:rsid w:val="006137F7"/>
    <w:rsid w:val="0061396D"/>
    <w:rsid w:val="00613A5E"/>
    <w:rsid w:val="0061421D"/>
    <w:rsid w:val="00616009"/>
    <w:rsid w:val="0061678A"/>
    <w:rsid w:val="00617150"/>
    <w:rsid w:val="0061722C"/>
    <w:rsid w:val="00620FBE"/>
    <w:rsid w:val="0062110F"/>
    <w:rsid w:val="00624FCD"/>
    <w:rsid w:val="00625043"/>
    <w:rsid w:val="0062610E"/>
    <w:rsid w:val="0062761E"/>
    <w:rsid w:val="00633516"/>
    <w:rsid w:val="00633E9E"/>
    <w:rsid w:val="00636652"/>
    <w:rsid w:val="00637608"/>
    <w:rsid w:val="006404E9"/>
    <w:rsid w:val="00642E61"/>
    <w:rsid w:val="006442B5"/>
    <w:rsid w:val="00644F89"/>
    <w:rsid w:val="00647B92"/>
    <w:rsid w:val="00647DFC"/>
    <w:rsid w:val="00647E22"/>
    <w:rsid w:val="00650063"/>
    <w:rsid w:val="006509EF"/>
    <w:rsid w:val="006517DC"/>
    <w:rsid w:val="00652326"/>
    <w:rsid w:val="006538A6"/>
    <w:rsid w:val="006538C1"/>
    <w:rsid w:val="00654503"/>
    <w:rsid w:val="006605F7"/>
    <w:rsid w:val="00660BC6"/>
    <w:rsid w:val="00660DD3"/>
    <w:rsid w:val="006631D7"/>
    <w:rsid w:val="0066333F"/>
    <w:rsid w:val="00665475"/>
    <w:rsid w:val="006667EF"/>
    <w:rsid w:val="006672D4"/>
    <w:rsid w:val="00670D2F"/>
    <w:rsid w:val="00671A7D"/>
    <w:rsid w:val="006726F0"/>
    <w:rsid w:val="00674152"/>
    <w:rsid w:val="00675566"/>
    <w:rsid w:val="00675FC0"/>
    <w:rsid w:val="00680480"/>
    <w:rsid w:val="00680EFC"/>
    <w:rsid w:val="00682AEF"/>
    <w:rsid w:val="00683582"/>
    <w:rsid w:val="00683B96"/>
    <w:rsid w:val="00684376"/>
    <w:rsid w:val="0068443E"/>
    <w:rsid w:val="0069082F"/>
    <w:rsid w:val="00691363"/>
    <w:rsid w:val="006938BA"/>
    <w:rsid w:val="00693DAC"/>
    <w:rsid w:val="006942F4"/>
    <w:rsid w:val="00695088"/>
    <w:rsid w:val="006952A4"/>
    <w:rsid w:val="00695CE1"/>
    <w:rsid w:val="00696B5C"/>
    <w:rsid w:val="00696E5F"/>
    <w:rsid w:val="00697883"/>
    <w:rsid w:val="006A0E86"/>
    <w:rsid w:val="006A1577"/>
    <w:rsid w:val="006A2837"/>
    <w:rsid w:val="006A3EE6"/>
    <w:rsid w:val="006A46F5"/>
    <w:rsid w:val="006A5CF7"/>
    <w:rsid w:val="006A6A5C"/>
    <w:rsid w:val="006A6D0B"/>
    <w:rsid w:val="006B1E91"/>
    <w:rsid w:val="006B4D08"/>
    <w:rsid w:val="006C0335"/>
    <w:rsid w:val="006C2301"/>
    <w:rsid w:val="006C2DA6"/>
    <w:rsid w:val="006C4AE5"/>
    <w:rsid w:val="006C54EF"/>
    <w:rsid w:val="006C5B52"/>
    <w:rsid w:val="006C631E"/>
    <w:rsid w:val="006D0737"/>
    <w:rsid w:val="006D4759"/>
    <w:rsid w:val="006D4B0D"/>
    <w:rsid w:val="006D4D97"/>
    <w:rsid w:val="006D5256"/>
    <w:rsid w:val="006D6E1C"/>
    <w:rsid w:val="006D6F86"/>
    <w:rsid w:val="006D7D92"/>
    <w:rsid w:val="006D7E54"/>
    <w:rsid w:val="006E08F9"/>
    <w:rsid w:val="006E1B1E"/>
    <w:rsid w:val="006E1C47"/>
    <w:rsid w:val="006E3263"/>
    <w:rsid w:val="006E4372"/>
    <w:rsid w:val="006E43AD"/>
    <w:rsid w:val="006E4C7F"/>
    <w:rsid w:val="006E4FEA"/>
    <w:rsid w:val="006E5A0D"/>
    <w:rsid w:val="006E6272"/>
    <w:rsid w:val="006E69A3"/>
    <w:rsid w:val="006F01B5"/>
    <w:rsid w:val="006F0739"/>
    <w:rsid w:val="006F08D5"/>
    <w:rsid w:val="006F1B82"/>
    <w:rsid w:val="006F2288"/>
    <w:rsid w:val="006F2AE8"/>
    <w:rsid w:val="006F2BE6"/>
    <w:rsid w:val="006F5CDA"/>
    <w:rsid w:val="006F6FFF"/>
    <w:rsid w:val="007000C7"/>
    <w:rsid w:val="007013C6"/>
    <w:rsid w:val="007014A8"/>
    <w:rsid w:val="00701654"/>
    <w:rsid w:val="00701E2C"/>
    <w:rsid w:val="00701FA9"/>
    <w:rsid w:val="00702185"/>
    <w:rsid w:val="00702840"/>
    <w:rsid w:val="0070286C"/>
    <w:rsid w:val="007039A7"/>
    <w:rsid w:val="007065D5"/>
    <w:rsid w:val="00706AF3"/>
    <w:rsid w:val="00710171"/>
    <w:rsid w:val="007101C0"/>
    <w:rsid w:val="00710866"/>
    <w:rsid w:val="00714A01"/>
    <w:rsid w:val="00714E88"/>
    <w:rsid w:val="00715812"/>
    <w:rsid w:val="00721372"/>
    <w:rsid w:val="00724745"/>
    <w:rsid w:val="00726FE6"/>
    <w:rsid w:val="007273E7"/>
    <w:rsid w:val="00727FEE"/>
    <w:rsid w:val="0073084C"/>
    <w:rsid w:val="00731365"/>
    <w:rsid w:val="00732518"/>
    <w:rsid w:val="007332EC"/>
    <w:rsid w:val="00734841"/>
    <w:rsid w:val="00734F49"/>
    <w:rsid w:val="0073557E"/>
    <w:rsid w:val="00736985"/>
    <w:rsid w:val="00737C40"/>
    <w:rsid w:val="00740811"/>
    <w:rsid w:val="00741746"/>
    <w:rsid w:val="0074459D"/>
    <w:rsid w:val="007464FB"/>
    <w:rsid w:val="0074768F"/>
    <w:rsid w:val="00750F81"/>
    <w:rsid w:val="0075106C"/>
    <w:rsid w:val="0075279A"/>
    <w:rsid w:val="00752B42"/>
    <w:rsid w:val="007534E2"/>
    <w:rsid w:val="00753F31"/>
    <w:rsid w:val="00753F86"/>
    <w:rsid w:val="00754075"/>
    <w:rsid w:val="00754956"/>
    <w:rsid w:val="00754A72"/>
    <w:rsid w:val="00754C49"/>
    <w:rsid w:val="00756792"/>
    <w:rsid w:val="00760B2E"/>
    <w:rsid w:val="00760D84"/>
    <w:rsid w:val="00762E3F"/>
    <w:rsid w:val="0076332A"/>
    <w:rsid w:val="00763583"/>
    <w:rsid w:val="007638B9"/>
    <w:rsid w:val="00763A4D"/>
    <w:rsid w:val="00765730"/>
    <w:rsid w:val="0076578E"/>
    <w:rsid w:val="0076793C"/>
    <w:rsid w:val="00767AEA"/>
    <w:rsid w:val="0077051A"/>
    <w:rsid w:val="00770A57"/>
    <w:rsid w:val="00771D8F"/>
    <w:rsid w:val="00772B1E"/>
    <w:rsid w:val="00772D26"/>
    <w:rsid w:val="00773194"/>
    <w:rsid w:val="007749AE"/>
    <w:rsid w:val="00775106"/>
    <w:rsid w:val="00775548"/>
    <w:rsid w:val="00775DA8"/>
    <w:rsid w:val="00776958"/>
    <w:rsid w:val="00776DE6"/>
    <w:rsid w:val="007770D6"/>
    <w:rsid w:val="00777DEA"/>
    <w:rsid w:val="0078011F"/>
    <w:rsid w:val="007814F0"/>
    <w:rsid w:val="00784CDF"/>
    <w:rsid w:val="00785763"/>
    <w:rsid w:val="00785FD4"/>
    <w:rsid w:val="00790AA0"/>
    <w:rsid w:val="00791053"/>
    <w:rsid w:val="007910D2"/>
    <w:rsid w:val="0079217F"/>
    <w:rsid w:val="00793AA4"/>
    <w:rsid w:val="007940FC"/>
    <w:rsid w:val="007943F1"/>
    <w:rsid w:val="007953B0"/>
    <w:rsid w:val="00795832"/>
    <w:rsid w:val="00795CED"/>
    <w:rsid w:val="00796250"/>
    <w:rsid w:val="0079638B"/>
    <w:rsid w:val="00797A9F"/>
    <w:rsid w:val="00797CD9"/>
    <w:rsid w:val="007A0538"/>
    <w:rsid w:val="007A06F4"/>
    <w:rsid w:val="007A304A"/>
    <w:rsid w:val="007A41C1"/>
    <w:rsid w:val="007A4330"/>
    <w:rsid w:val="007A565D"/>
    <w:rsid w:val="007A5CE4"/>
    <w:rsid w:val="007A5E80"/>
    <w:rsid w:val="007A7C7F"/>
    <w:rsid w:val="007B0195"/>
    <w:rsid w:val="007B0335"/>
    <w:rsid w:val="007B1C68"/>
    <w:rsid w:val="007B1C96"/>
    <w:rsid w:val="007B2550"/>
    <w:rsid w:val="007B2BD9"/>
    <w:rsid w:val="007B386F"/>
    <w:rsid w:val="007B4CE6"/>
    <w:rsid w:val="007B5498"/>
    <w:rsid w:val="007B5862"/>
    <w:rsid w:val="007B746B"/>
    <w:rsid w:val="007B7566"/>
    <w:rsid w:val="007C14DB"/>
    <w:rsid w:val="007C15BB"/>
    <w:rsid w:val="007C2677"/>
    <w:rsid w:val="007C26FC"/>
    <w:rsid w:val="007C44D0"/>
    <w:rsid w:val="007C5155"/>
    <w:rsid w:val="007C5CEB"/>
    <w:rsid w:val="007C6D8A"/>
    <w:rsid w:val="007C704C"/>
    <w:rsid w:val="007C7968"/>
    <w:rsid w:val="007D0D13"/>
    <w:rsid w:val="007D237C"/>
    <w:rsid w:val="007D34F6"/>
    <w:rsid w:val="007D418B"/>
    <w:rsid w:val="007D51D7"/>
    <w:rsid w:val="007D7522"/>
    <w:rsid w:val="007D756C"/>
    <w:rsid w:val="007D763F"/>
    <w:rsid w:val="007D7DBF"/>
    <w:rsid w:val="007E11FF"/>
    <w:rsid w:val="007E1CD5"/>
    <w:rsid w:val="007E4218"/>
    <w:rsid w:val="007E439E"/>
    <w:rsid w:val="007E5266"/>
    <w:rsid w:val="007E5278"/>
    <w:rsid w:val="007F2784"/>
    <w:rsid w:val="007F2CF4"/>
    <w:rsid w:val="007F3195"/>
    <w:rsid w:val="007F3A24"/>
    <w:rsid w:val="007F3CA5"/>
    <w:rsid w:val="007F3D2D"/>
    <w:rsid w:val="007F403C"/>
    <w:rsid w:val="007F5DF1"/>
    <w:rsid w:val="007F60E3"/>
    <w:rsid w:val="007F6CFE"/>
    <w:rsid w:val="007F7D92"/>
    <w:rsid w:val="00802FAD"/>
    <w:rsid w:val="008048B4"/>
    <w:rsid w:val="00805B1E"/>
    <w:rsid w:val="00805D6C"/>
    <w:rsid w:val="008064E8"/>
    <w:rsid w:val="008073BD"/>
    <w:rsid w:val="008078C5"/>
    <w:rsid w:val="00807DCE"/>
    <w:rsid w:val="00807E25"/>
    <w:rsid w:val="00811912"/>
    <w:rsid w:val="00812016"/>
    <w:rsid w:val="00814337"/>
    <w:rsid w:val="0081504D"/>
    <w:rsid w:val="008168D3"/>
    <w:rsid w:val="0081717C"/>
    <w:rsid w:val="008171A1"/>
    <w:rsid w:val="00817202"/>
    <w:rsid w:val="008179D5"/>
    <w:rsid w:val="0082033A"/>
    <w:rsid w:val="0082323D"/>
    <w:rsid w:val="00823D99"/>
    <w:rsid w:val="00823E10"/>
    <w:rsid w:val="00824268"/>
    <w:rsid w:val="00824B71"/>
    <w:rsid w:val="008256FC"/>
    <w:rsid w:val="00826C76"/>
    <w:rsid w:val="00827A53"/>
    <w:rsid w:val="008300E7"/>
    <w:rsid w:val="00830204"/>
    <w:rsid w:val="00830F96"/>
    <w:rsid w:val="00831543"/>
    <w:rsid w:val="008319F1"/>
    <w:rsid w:val="00832506"/>
    <w:rsid w:val="00832B00"/>
    <w:rsid w:val="0083415B"/>
    <w:rsid w:val="00834726"/>
    <w:rsid w:val="00834F14"/>
    <w:rsid w:val="008364D5"/>
    <w:rsid w:val="00836AAC"/>
    <w:rsid w:val="00836AAE"/>
    <w:rsid w:val="00837033"/>
    <w:rsid w:val="008403EC"/>
    <w:rsid w:val="00842391"/>
    <w:rsid w:val="00843D73"/>
    <w:rsid w:val="00844530"/>
    <w:rsid w:val="00845C79"/>
    <w:rsid w:val="00846CCC"/>
    <w:rsid w:val="00850A96"/>
    <w:rsid w:val="00851529"/>
    <w:rsid w:val="00852956"/>
    <w:rsid w:val="0085609B"/>
    <w:rsid w:val="008579C5"/>
    <w:rsid w:val="00857CCA"/>
    <w:rsid w:val="0086022E"/>
    <w:rsid w:val="0086138E"/>
    <w:rsid w:val="0086345E"/>
    <w:rsid w:val="00865529"/>
    <w:rsid w:val="00865FF1"/>
    <w:rsid w:val="00866481"/>
    <w:rsid w:val="00867FE0"/>
    <w:rsid w:val="00871618"/>
    <w:rsid w:val="00871DA1"/>
    <w:rsid w:val="008723F6"/>
    <w:rsid w:val="008759F2"/>
    <w:rsid w:val="00875CA9"/>
    <w:rsid w:val="00875DE8"/>
    <w:rsid w:val="00876F3F"/>
    <w:rsid w:val="00880836"/>
    <w:rsid w:val="00881ED2"/>
    <w:rsid w:val="00882BF0"/>
    <w:rsid w:val="00883926"/>
    <w:rsid w:val="008842CF"/>
    <w:rsid w:val="00884660"/>
    <w:rsid w:val="00885319"/>
    <w:rsid w:val="00886ECB"/>
    <w:rsid w:val="00887C17"/>
    <w:rsid w:val="008921D0"/>
    <w:rsid w:val="008932AB"/>
    <w:rsid w:val="008955F6"/>
    <w:rsid w:val="00895898"/>
    <w:rsid w:val="008959D8"/>
    <w:rsid w:val="0089656A"/>
    <w:rsid w:val="008972F4"/>
    <w:rsid w:val="008976AF"/>
    <w:rsid w:val="00897B5B"/>
    <w:rsid w:val="008A0870"/>
    <w:rsid w:val="008A1763"/>
    <w:rsid w:val="008A240A"/>
    <w:rsid w:val="008A429A"/>
    <w:rsid w:val="008A7462"/>
    <w:rsid w:val="008B1FDA"/>
    <w:rsid w:val="008B24CB"/>
    <w:rsid w:val="008B2FDC"/>
    <w:rsid w:val="008B372F"/>
    <w:rsid w:val="008B3F0C"/>
    <w:rsid w:val="008B5224"/>
    <w:rsid w:val="008B5715"/>
    <w:rsid w:val="008B696F"/>
    <w:rsid w:val="008B7170"/>
    <w:rsid w:val="008B7521"/>
    <w:rsid w:val="008B7600"/>
    <w:rsid w:val="008C07B5"/>
    <w:rsid w:val="008C699E"/>
    <w:rsid w:val="008C6A84"/>
    <w:rsid w:val="008C7EB9"/>
    <w:rsid w:val="008D158A"/>
    <w:rsid w:val="008D1FD6"/>
    <w:rsid w:val="008D2028"/>
    <w:rsid w:val="008D20AB"/>
    <w:rsid w:val="008D25B5"/>
    <w:rsid w:val="008D2823"/>
    <w:rsid w:val="008D29DD"/>
    <w:rsid w:val="008D4DED"/>
    <w:rsid w:val="008D6539"/>
    <w:rsid w:val="008D6EAF"/>
    <w:rsid w:val="008D7384"/>
    <w:rsid w:val="008D7450"/>
    <w:rsid w:val="008E0757"/>
    <w:rsid w:val="008E1319"/>
    <w:rsid w:val="008E20FE"/>
    <w:rsid w:val="008E2209"/>
    <w:rsid w:val="008E29C6"/>
    <w:rsid w:val="008E33E6"/>
    <w:rsid w:val="008E483A"/>
    <w:rsid w:val="008E5414"/>
    <w:rsid w:val="008E6313"/>
    <w:rsid w:val="008E7CAC"/>
    <w:rsid w:val="008E7F32"/>
    <w:rsid w:val="008E7F84"/>
    <w:rsid w:val="008F28A6"/>
    <w:rsid w:val="008F3ADA"/>
    <w:rsid w:val="008F465D"/>
    <w:rsid w:val="008F4BA5"/>
    <w:rsid w:val="008F6304"/>
    <w:rsid w:val="009006B2"/>
    <w:rsid w:val="009006BA"/>
    <w:rsid w:val="009008B9"/>
    <w:rsid w:val="00900D0A"/>
    <w:rsid w:val="009010F0"/>
    <w:rsid w:val="00902944"/>
    <w:rsid w:val="00902DFD"/>
    <w:rsid w:val="00903673"/>
    <w:rsid w:val="0091009F"/>
    <w:rsid w:val="00910FCA"/>
    <w:rsid w:val="009126F2"/>
    <w:rsid w:val="009134F4"/>
    <w:rsid w:val="00914486"/>
    <w:rsid w:val="00921D13"/>
    <w:rsid w:val="00923486"/>
    <w:rsid w:val="00925D65"/>
    <w:rsid w:val="00925E01"/>
    <w:rsid w:val="00926F75"/>
    <w:rsid w:val="0092705B"/>
    <w:rsid w:val="00927C3C"/>
    <w:rsid w:val="00933C39"/>
    <w:rsid w:val="00933D32"/>
    <w:rsid w:val="00933DCC"/>
    <w:rsid w:val="00934FEE"/>
    <w:rsid w:val="00940035"/>
    <w:rsid w:val="0094004A"/>
    <w:rsid w:val="00942273"/>
    <w:rsid w:val="00942AB1"/>
    <w:rsid w:val="009433F0"/>
    <w:rsid w:val="009439BB"/>
    <w:rsid w:val="00943C32"/>
    <w:rsid w:val="00945A61"/>
    <w:rsid w:val="00946142"/>
    <w:rsid w:val="0094694B"/>
    <w:rsid w:val="009478A9"/>
    <w:rsid w:val="00947CFF"/>
    <w:rsid w:val="009502FE"/>
    <w:rsid w:val="0095048D"/>
    <w:rsid w:val="00951438"/>
    <w:rsid w:val="009515CC"/>
    <w:rsid w:val="009531CE"/>
    <w:rsid w:val="00953938"/>
    <w:rsid w:val="00954822"/>
    <w:rsid w:val="00954CB9"/>
    <w:rsid w:val="00954D4F"/>
    <w:rsid w:val="009550A8"/>
    <w:rsid w:val="00955421"/>
    <w:rsid w:val="00956D0C"/>
    <w:rsid w:val="009574D7"/>
    <w:rsid w:val="00957815"/>
    <w:rsid w:val="0096077B"/>
    <w:rsid w:val="0096133B"/>
    <w:rsid w:val="00961DF8"/>
    <w:rsid w:val="00962ED0"/>
    <w:rsid w:val="00962F3E"/>
    <w:rsid w:val="00962FF1"/>
    <w:rsid w:val="0096311D"/>
    <w:rsid w:val="00963CB4"/>
    <w:rsid w:val="00963D84"/>
    <w:rsid w:val="009651B5"/>
    <w:rsid w:val="00967E46"/>
    <w:rsid w:val="00970C05"/>
    <w:rsid w:val="009715B5"/>
    <w:rsid w:val="009719AE"/>
    <w:rsid w:val="00971CFA"/>
    <w:rsid w:val="00971D81"/>
    <w:rsid w:val="00971E9F"/>
    <w:rsid w:val="00972623"/>
    <w:rsid w:val="009739A8"/>
    <w:rsid w:val="00976E87"/>
    <w:rsid w:val="00977050"/>
    <w:rsid w:val="0098095A"/>
    <w:rsid w:val="00980C71"/>
    <w:rsid w:val="009831FB"/>
    <w:rsid w:val="00983FD0"/>
    <w:rsid w:val="00985197"/>
    <w:rsid w:val="00986A9C"/>
    <w:rsid w:val="00994A3D"/>
    <w:rsid w:val="00994CA1"/>
    <w:rsid w:val="00995652"/>
    <w:rsid w:val="00997E80"/>
    <w:rsid w:val="009A11DC"/>
    <w:rsid w:val="009A3723"/>
    <w:rsid w:val="009A550D"/>
    <w:rsid w:val="009A5855"/>
    <w:rsid w:val="009A6B22"/>
    <w:rsid w:val="009A6B70"/>
    <w:rsid w:val="009B0152"/>
    <w:rsid w:val="009B045F"/>
    <w:rsid w:val="009B06D3"/>
    <w:rsid w:val="009B095E"/>
    <w:rsid w:val="009B352E"/>
    <w:rsid w:val="009B367E"/>
    <w:rsid w:val="009B5BA1"/>
    <w:rsid w:val="009B61EF"/>
    <w:rsid w:val="009B6B49"/>
    <w:rsid w:val="009B715C"/>
    <w:rsid w:val="009C15C5"/>
    <w:rsid w:val="009C195B"/>
    <w:rsid w:val="009C59E3"/>
    <w:rsid w:val="009C6D7D"/>
    <w:rsid w:val="009D0061"/>
    <w:rsid w:val="009D11B7"/>
    <w:rsid w:val="009D1827"/>
    <w:rsid w:val="009D3132"/>
    <w:rsid w:val="009D4580"/>
    <w:rsid w:val="009D5A6E"/>
    <w:rsid w:val="009D72DD"/>
    <w:rsid w:val="009D7D3D"/>
    <w:rsid w:val="009D7F21"/>
    <w:rsid w:val="009E0A3D"/>
    <w:rsid w:val="009E21C8"/>
    <w:rsid w:val="009E2BC2"/>
    <w:rsid w:val="009E2F30"/>
    <w:rsid w:val="009E380B"/>
    <w:rsid w:val="009E42AC"/>
    <w:rsid w:val="009E48D3"/>
    <w:rsid w:val="009E4A3B"/>
    <w:rsid w:val="009E5B56"/>
    <w:rsid w:val="009E5FBD"/>
    <w:rsid w:val="009E6B75"/>
    <w:rsid w:val="009F1018"/>
    <w:rsid w:val="009F1621"/>
    <w:rsid w:val="009F3E60"/>
    <w:rsid w:val="009F64D6"/>
    <w:rsid w:val="009F6548"/>
    <w:rsid w:val="009F77DF"/>
    <w:rsid w:val="009F784A"/>
    <w:rsid w:val="00A010F6"/>
    <w:rsid w:val="00A043DD"/>
    <w:rsid w:val="00A04DFA"/>
    <w:rsid w:val="00A04E7C"/>
    <w:rsid w:val="00A05873"/>
    <w:rsid w:val="00A05EC9"/>
    <w:rsid w:val="00A06BF7"/>
    <w:rsid w:val="00A076EB"/>
    <w:rsid w:val="00A07DC7"/>
    <w:rsid w:val="00A102C5"/>
    <w:rsid w:val="00A1095E"/>
    <w:rsid w:val="00A11486"/>
    <w:rsid w:val="00A12D0B"/>
    <w:rsid w:val="00A13432"/>
    <w:rsid w:val="00A13709"/>
    <w:rsid w:val="00A13832"/>
    <w:rsid w:val="00A1434E"/>
    <w:rsid w:val="00A146FE"/>
    <w:rsid w:val="00A1614D"/>
    <w:rsid w:val="00A17360"/>
    <w:rsid w:val="00A17841"/>
    <w:rsid w:val="00A20A16"/>
    <w:rsid w:val="00A21E3F"/>
    <w:rsid w:val="00A233DB"/>
    <w:rsid w:val="00A25688"/>
    <w:rsid w:val="00A25E66"/>
    <w:rsid w:val="00A2700F"/>
    <w:rsid w:val="00A27787"/>
    <w:rsid w:val="00A27896"/>
    <w:rsid w:val="00A3053B"/>
    <w:rsid w:val="00A31BCB"/>
    <w:rsid w:val="00A329E1"/>
    <w:rsid w:val="00A35C32"/>
    <w:rsid w:val="00A408A4"/>
    <w:rsid w:val="00A40BA8"/>
    <w:rsid w:val="00A4139E"/>
    <w:rsid w:val="00A4333B"/>
    <w:rsid w:val="00A43A07"/>
    <w:rsid w:val="00A44A58"/>
    <w:rsid w:val="00A470D7"/>
    <w:rsid w:val="00A472F8"/>
    <w:rsid w:val="00A50A35"/>
    <w:rsid w:val="00A51673"/>
    <w:rsid w:val="00A52BE2"/>
    <w:rsid w:val="00A536B5"/>
    <w:rsid w:val="00A56702"/>
    <w:rsid w:val="00A57034"/>
    <w:rsid w:val="00A570AA"/>
    <w:rsid w:val="00A57D26"/>
    <w:rsid w:val="00A60E5A"/>
    <w:rsid w:val="00A6143E"/>
    <w:rsid w:val="00A616F0"/>
    <w:rsid w:val="00A63274"/>
    <w:rsid w:val="00A637B9"/>
    <w:rsid w:val="00A63C23"/>
    <w:rsid w:val="00A64185"/>
    <w:rsid w:val="00A64322"/>
    <w:rsid w:val="00A662D1"/>
    <w:rsid w:val="00A669CA"/>
    <w:rsid w:val="00A67728"/>
    <w:rsid w:val="00A67A11"/>
    <w:rsid w:val="00A70713"/>
    <w:rsid w:val="00A71821"/>
    <w:rsid w:val="00A71E0C"/>
    <w:rsid w:val="00A71FC4"/>
    <w:rsid w:val="00A723A4"/>
    <w:rsid w:val="00A72BD8"/>
    <w:rsid w:val="00A72C81"/>
    <w:rsid w:val="00A73F0C"/>
    <w:rsid w:val="00A767DB"/>
    <w:rsid w:val="00A77562"/>
    <w:rsid w:val="00A810C0"/>
    <w:rsid w:val="00A81D5D"/>
    <w:rsid w:val="00A81F64"/>
    <w:rsid w:val="00A82F52"/>
    <w:rsid w:val="00A83759"/>
    <w:rsid w:val="00A850E7"/>
    <w:rsid w:val="00A8538C"/>
    <w:rsid w:val="00A85869"/>
    <w:rsid w:val="00A8690A"/>
    <w:rsid w:val="00A87494"/>
    <w:rsid w:val="00A87806"/>
    <w:rsid w:val="00A9188C"/>
    <w:rsid w:val="00A92B09"/>
    <w:rsid w:val="00A92DF0"/>
    <w:rsid w:val="00A93767"/>
    <w:rsid w:val="00A93BA5"/>
    <w:rsid w:val="00A96BDC"/>
    <w:rsid w:val="00A97966"/>
    <w:rsid w:val="00A97984"/>
    <w:rsid w:val="00AA05DA"/>
    <w:rsid w:val="00AA121F"/>
    <w:rsid w:val="00AA15B6"/>
    <w:rsid w:val="00AA1DB1"/>
    <w:rsid w:val="00AA1EEA"/>
    <w:rsid w:val="00AA20E8"/>
    <w:rsid w:val="00AA435B"/>
    <w:rsid w:val="00AA49D2"/>
    <w:rsid w:val="00AA5D8F"/>
    <w:rsid w:val="00AA5DF4"/>
    <w:rsid w:val="00AA5E17"/>
    <w:rsid w:val="00AA7518"/>
    <w:rsid w:val="00AB2E19"/>
    <w:rsid w:val="00AB33A3"/>
    <w:rsid w:val="00AB3EE0"/>
    <w:rsid w:val="00AB4BCB"/>
    <w:rsid w:val="00AB4D7F"/>
    <w:rsid w:val="00AB4DC3"/>
    <w:rsid w:val="00AB547E"/>
    <w:rsid w:val="00AB5511"/>
    <w:rsid w:val="00AB6C78"/>
    <w:rsid w:val="00AB740F"/>
    <w:rsid w:val="00AB7CE8"/>
    <w:rsid w:val="00AC0499"/>
    <w:rsid w:val="00AC1EE1"/>
    <w:rsid w:val="00AC1EEA"/>
    <w:rsid w:val="00AC3AF8"/>
    <w:rsid w:val="00AC4039"/>
    <w:rsid w:val="00AC5F10"/>
    <w:rsid w:val="00AC784E"/>
    <w:rsid w:val="00AD0331"/>
    <w:rsid w:val="00AD0512"/>
    <w:rsid w:val="00AD0E08"/>
    <w:rsid w:val="00AD12F1"/>
    <w:rsid w:val="00AD2106"/>
    <w:rsid w:val="00AD2E66"/>
    <w:rsid w:val="00AD372F"/>
    <w:rsid w:val="00AD3D3C"/>
    <w:rsid w:val="00AD3FFA"/>
    <w:rsid w:val="00AD4AA0"/>
    <w:rsid w:val="00AD59E6"/>
    <w:rsid w:val="00AE05B1"/>
    <w:rsid w:val="00AE089A"/>
    <w:rsid w:val="00AE0978"/>
    <w:rsid w:val="00AE2468"/>
    <w:rsid w:val="00AE3920"/>
    <w:rsid w:val="00AE4D82"/>
    <w:rsid w:val="00AE5572"/>
    <w:rsid w:val="00AE55F6"/>
    <w:rsid w:val="00AE5DF6"/>
    <w:rsid w:val="00AE6047"/>
    <w:rsid w:val="00AE6431"/>
    <w:rsid w:val="00AF0AE7"/>
    <w:rsid w:val="00AF0BC2"/>
    <w:rsid w:val="00AF2104"/>
    <w:rsid w:val="00AF26B8"/>
    <w:rsid w:val="00AF2C17"/>
    <w:rsid w:val="00AF3423"/>
    <w:rsid w:val="00AF39BC"/>
    <w:rsid w:val="00AF4409"/>
    <w:rsid w:val="00AF5763"/>
    <w:rsid w:val="00AF65B0"/>
    <w:rsid w:val="00AF77C6"/>
    <w:rsid w:val="00AF79B0"/>
    <w:rsid w:val="00B0006D"/>
    <w:rsid w:val="00B0030E"/>
    <w:rsid w:val="00B020B6"/>
    <w:rsid w:val="00B02300"/>
    <w:rsid w:val="00B03708"/>
    <w:rsid w:val="00B039CE"/>
    <w:rsid w:val="00B0464A"/>
    <w:rsid w:val="00B050BB"/>
    <w:rsid w:val="00B05319"/>
    <w:rsid w:val="00B05B73"/>
    <w:rsid w:val="00B05D73"/>
    <w:rsid w:val="00B05F8F"/>
    <w:rsid w:val="00B064DD"/>
    <w:rsid w:val="00B06B20"/>
    <w:rsid w:val="00B10669"/>
    <w:rsid w:val="00B10FC3"/>
    <w:rsid w:val="00B11272"/>
    <w:rsid w:val="00B146B5"/>
    <w:rsid w:val="00B17899"/>
    <w:rsid w:val="00B17D6F"/>
    <w:rsid w:val="00B22882"/>
    <w:rsid w:val="00B23C11"/>
    <w:rsid w:val="00B25264"/>
    <w:rsid w:val="00B25762"/>
    <w:rsid w:val="00B25CD9"/>
    <w:rsid w:val="00B269C0"/>
    <w:rsid w:val="00B27385"/>
    <w:rsid w:val="00B32C7A"/>
    <w:rsid w:val="00B3350B"/>
    <w:rsid w:val="00B337A8"/>
    <w:rsid w:val="00B33CE8"/>
    <w:rsid w:val="00B353A7"/>
    <w:rsid w:val="00B367D3"/>
    <w:rsid w:val="00B41322"/>
    <w:rsid w:val="00B41EC6"/>
    <w:rsid w:val="00B41F40"/>
    <w:rsid w:val="00B42887"/>
    <w:rsid w:val="00B444B6"/>
    <w:rsid w:val="00B454DC"/>
    <w:rsid w:val="00B45B40"/>
    <w:rsid w:val="00B47319"/>
    <w:rsid w:val="00B4749F"/>
    <w:rsid w:val="00B47619"/>
    <w:rsid w:val="00B47F90"/>
    <w:rsid w:val="00B5148B"/>
    <w:rsid w:val="00B52385"/>
    <w:rsid w:val="00B52572"/>
    <w:rsid w:val="00B52F4C"/>
    <w:rsid w:val="00B558DF"/>
    <w:rsid w:val="00B60544"/>
    <w:rsid w:val="00B60860"/>
    <w:rsid w:val="00B61ED5"/>
    <w:rsid w:val="00B62CFA"/>
    <w:rsid w:val="00B667F6"/>
    <w:rsid w:val="00B6736B"/>
    <w:rsid w:val="00B67A0A"/>
    <w:rsid w:val="00B704B7"/>
    <w:rsid w:val="00B70E10"/>
    <w:rsid w:val="00B7215B"/>
    <w:rsid w:val="00B726A5"/>
    <w:rsid w:val="00B73C29"/>
    <w:rsid w:val="00B7482C"/>
    <w:rsid w:val="00B74DCD"/>
    <w:rsid w:val="00B751D4"/>
    <w:rsid w:val="00B7618D"/>
    <w:rsid w:val="00B7663D"/>
    <w:rsid w:val="00B76ECE"/>
    <w:rsid w:val="00B80CDC"/>
    <w:rsid w:val="00B8133F"/>
    <w:rsid w:val="00B816CF"/>
    <w:rsid w:val="00B832E2"/>
    <w:rsid w:val="00B83AB7"/>
    <w:rsid w:val="00B87BF1"/>
    <w:rsid w:val="00B87E3C"/>
    <w:rsid w:val="00B90721"/>
    <w:rsid w:val="00B90D0E"/>
    <w:rsid w:val="00B926C4"/>
    <w:rsid w:val="00B92E7B"/>
    <w:rsid w:val="00B956B9"/>
    <w:rsid w:val="00B956DA"/>
    <w:rsid w:val="00B962F0"/>
    <w:rsid w:val="00B9631B"/>
    <w:rsid w:val="00B97588"/>
    <w:rsid w:val="00B97D01"/>
    <w:rsid w:val="00BA0203"/>
    <w:rsid w:val="00BA0925"/>
    <w:rsid w:val="00BA0AD2"/>
    <w:rsid w:val="00BA25DE"/>
    <w:rsid w:val="00BA3914"/>
    <w:rsid w:val="00BA490F"/>
    <w:rsid w:val="00BA591A"/>
    <w:rsid w:val="00BA5D80"/>
    <w:rsid w:val="00BA6302"/>
    <w:rsid w:val="00BA680E"/>
    <w:rsid w:val="00BA6D28"/>
    <w:rsid w:val="00BA72D3"/>
    <w:rsid w:val="00BB0A64"/>
    <w:rsid w:val="00BB1BDD"/>
    <w:rsid w:val="00BB2F24"/>
    <w:rsid w:val="00BB3466"/>
    <w:rsid w:val="00BB40B9"/>
    <w:rsid w:val="00BB4DAF"/>
    <w:rsid w:val="00BB64D3"/>
    <w:rsid w:val="00BB6905"/>
    <w:rsid w:val="00BB7858"/>
    <w:rsid w:val="00BC0955"/>
    <w:rsid w:val="00BC1265"/>
    <w:rsid w:val="00BC18DC"/>
    <w:rsid w:val="00BC19DF"/>
    <w:rsid w:val="00BC247F"/>
    <w:rsid w:val="00BC28F1"/>
    <w:rsid w:val="00BC2D6A"/>
    <w:rsid w:val="00BC3D7C"/>
    <w:rsid w:val="00BC4A3E"/>
    <w:rsid w:val="00BC4D03"/>
    <w:rsid w:val="00BC5DDE"/>
    <w:rsid w:val="00BC7571"/>
    <w:rsid w:val="00BD0B3E"/>
    <w:rsid w:val="00BD0C17"/>
    <w:rsid w:val="00BD192B"/>
    <w:rsid w:val="00BD1F8E"/>
    <w:rsid w:val="00BD5298"/>
    <w:rsid w:val="00BD7969"/>
    <w:rsid w:val="00BD7A98"/>
    <w:rsid w:val="00BE00BA"/>
    <w:rsid w:val="00BE032F"/>
    <w:rsid w:val="00BE06F5"/>
    <w:rsid w:val="00BE1A48"/>
    <w:rsid w:val="00BE2682"/>
    <w:rsid w:val="00BE58C5"/>
    <w:rsid w:val="00BE5B41"/>
    <w:rsid w:val="00BE6386"/>
    <w:rsid w:val="00BE67A2"/>
    <w:rsid w:val="00BF0D8F"/>
    <w:rsid w:val="00BF17E7"/>
    <w:rsid w:val="00BF197B"/>
    <w:rsid w:val="00BF27F9"/>
    <w:rsid w:val="00BF388A"/>
    <w:rsid w:val="00BF5442"/>
    <w:rsid w:val="00BF563C"/>
    <w:rsid w:val="00BF64DD"/>
    <w:rsid w:val="00C00665"/>
    <w:rsid w:val="00C00D4F"/>
    <w:rsid w:val="00C016AB"/>
    <w:rsid w:val="00C02143"/>
    <w:rsid w:val="00C024CA"/>
    <w:rsid w:val="00C03FDF"/>
    <w:rsid w:val="00C04A66"/>
    <w:rsid w:val="00C061C3"/>
    <w:rsid w:val="00C062C0"/>
    <w:rsid w:val="00C0696E"/>
    <w:rsid w:val="00C10B47"/>
    <w:rsid w:val="00C119B1"/>
    <w:rsid w:val="00C12391"/>
    <w:rsid w:val="00C1252D"/>
    <w:rsid w:val="00C16F45"/>
    <w:rsid w:val="00C203B5"/>
    <w:rsid w:val="00C209E1"/>
    <w:rsid w:val="00C20F8C"/>
    <w:rsid w:val="00C217AA"/>
    <w:rsid w:val="00C227AD"/>
    <w:rsid w:val="00C235D3"/>
    <w:rsid w:val="00C23904"/>
    <w:rsid w:val="00C239DF"/>
    <w:rsid w:val="00C23DA9"/>
    <w:rsid w:val="00C24A9D"/>
    <w:rsid w:val="00C261BD"/>
    <w:rsid w:val="00C27BD4"/>
    <w:rsid w:val="00C34101"/>
    <w:rsid w:val="00C34A1A"/>
    <w:rsid w:val="00C350BA"/>
    <w:rsid w:val="00C35CC7"/>
    <w:rsid w:val="00C35DD5"/>
    <w:rsid w:val="00C37C6F"/>
    <w:rsid w:val="00C37E5B"/>
    <w:rsid w:val="00C37F4C"/>
    <w:rsid w:val="00C402A3"/>
    <w:rsid w:val="00C41B68"/>
    <w:rsid w:val="00C41F7D"/>
    <w:rsid w:val="00C42640"/>
    <w:rsid w:val="00C43F0A"/>
    <w:rsid w:val="00C44532"/>
    <w:rsid w:val="00C44D65"/>
    <w:rsid w:val="00C4598E"/>
    <w:rsid w:val="00C509B2"/>
    <w:rsid w:val="00C51C94"/>
    <w:rsid w:val="00C52A32"/>
    <w:rsid w:val="00C547CD"/>
    <w:rsid w:val="00C56A81"/>
    <w:rsid w:val="00C57C89"/>
    <w:rsid w:val="00C6062D"/>
    <w:rsid w:val="00C60F0B"/>
    <w:rsid w:val="00C6147C"/>
    <w:rsid w:val="00C6196B"/>
    <w:rsid w:val="00C6210E"/>
    <w:rsid w:val="00C6331F"/>
    <w:rsid w:val="00C63DDA"/>
    <w:rsid w:val="00C64CBC"/>
    <w:rsid w:val="00C64E26"/>
    <w:rsid w:val="00C70F20"/>
    <w:rsid w:val="00C72407"/>
    <w:rsid w:val="00C72A13"/>
    <w:rsid w:val="00C76410"/>
    <w:rsid w:val="00C769F8"/>
    <w:rsid w:val="00C76DFC"/>
    <w:rsid w:val="00C80795"/>
    <w:rsid w:val="00C80C5B"/>
    <w:rsid w:val="00C80D08"/>
    <w:rsid w:val="00C813CC"/>
    <w:rsid w:val="00C82356"/>
    <w:rsid w:val="00C838B0"/>
    <w:rsid w:val="00C83ED7"/>
    <w:rsid w:val="00C85A66"/>
    <w:rsid w:val="00C86BA8"/>
    <w:rsid w:val="00C872CC"/>
    <w:rsid w:val="00C874F3"/>
    <w:rsid w:val="00C90144"/>
    <w:rsid w:val="00C927A7"/>
    <w:rsid w:val="00C94381"/>
    <w:rsid w:val="00C94824"/>
    <w:rsid w:val="00C97883"/>
    <w:rsid w:val="00C97995"/>
    <w:rsid w:val="00CA0A8D"/>
    <w:rsid w:val="00CA1933"/>
    <w:rsid w:val="00CA19B4"/>
    <w:rsid w:val="00CA1F4C"/>
    <w:rsid w:val="00CA2EAA"/>
    <w:rsid w:val="00CA3FE7"/>
    <w:rsid w:val="00CA4493"/>
    <w:rsid w:val="00CA4B93"/>
    <w:rsid w:val="00CA60E6"/>
    <w:rsid w:val="00CA7009"/>
    <w:rsid w:val="00CA75FB"/>
    <w:rsid w:val="00CB0390"/>
    <w:rsid w:val="00CB0A3F"/>
    <w:rsid w:val="00CB0BF5"/>
    <w:rsid w:val="00CB2532"/>
    <w:rsid w:val="00CB29B5"/>
    <w:rsid w:val="00CB2D07"/>
    <w:rsid w:val="00CB4431"/>
    <w:rsid w:val="00CB506D"/>
    <w:rsid w:val="00CB528A"/>
    <w:rsid w:val="00CB5505"/>
    <w:rsid w:val="00CB6559"/>
    <w:rsid w:val="00CC0A8D"/>
    <w:rsid w:val="00CC0C09"/>
    <w:rsid w:val="00CC1D28"/>
    <w:rsid w:val="00CC1D53"/>
    <w:rsid w:val="00CC25B1"/>
    <w:rsid w:val="00CC2984"/>
    <w:rsid w:val="00CC3144"/>
    <w:rsid w:val="00CC36F8"/>
    <w:rsid w:val="00CC615E"/>
    <w:rsid w:val="00CC61DC"/>
    <w:rsid w:val="00CC659F"/>
    <w:rsid w:val="00CC7745"/>
    <w:rsid w:val="00CC7F77"/>
    <w:rsid w:val="00CD12C3"/>
    <w:rsid w:val="00CD1F3F"/>
    <w:rsid w:val="00CD2F5C"/>
    <w:rsid w:val="00CD312B"/>
    <w:rsid w:val="00CD327F"/>
    <w:rsid w:val="00CD39B4"/>
    <w:rsid w:val="00CD5A49"/>
    <w:rsid w:val="00CD6724"/>
    <w:rsid w:val="00CE0AD8"/>
    <w:rsid w:val="00CE261C"/>
    <w:rsid w:val="00CE2D24"/>
    <w:rsid w:val="00CE2ED1"/>
    <w:rsid w:val="00CE3C10"/>
    <w:rsid w:val="00CE4046"/>
    <w:rsid w:val="00CE478B"/>
    <w:rsid w:val="00CE70AD"/>
    <w:rsid w:val="00CF012D"/>
    <w:rsid w:val="00CF179C"/>
    <w:rsid w:val="00CF2643"/>
    <w:rsid w:val="00CF3A30"/>
    <w:rsid w:val="00CF3BA8"/>
    <w:rsid w:val="00CF6332"/>
    <w:rsid w:val="00CF6CD4"/>
    <w:rsid w:val="00CF6D35"/>
    <w:rsid w:val="00CF739D"/>
    <w:rsid w:val="00D0060A"/>
    <w:rsid w:val="00D00ADD"/>
    <w:rsid w:val="00D030B4"/>
    <w:rsid w:val="00D03AC0"/>
    <w:rsid w:val="00D04242"/>
    <w:rsid w:val="00D04AF6"/>
    <w:rsid w:val="00D04C31"/>
    <w:rsid w:val="00D04FC9"/>
    <w:rsid w:val="00D07E35"/>
    <w:rsid w:val="00D102CD"/>
    <w:rsid w:val="00D1033F"/>
    <w:rsid w:val="00D10750"/>
    <w:rsid w:val="00D129EC"/>
    <w:rsid w:val="00D12B20"/>
    <w:rsid w:val="00D12E80"/>
    <w:rsid w:val="00D1531F"/>
    <w:rsid w:val="00D17C93"/>
    <w:rsid w:val="00D200ED"/>
    <w:rsid w:val="00D22A3A"/>
    <w:rsid w:val="00D23208"/>
    <w:rsid w:val="00D23432"/>
    <w:rsid w:val="00D237F4"/>
    <w:rsid w:val="00D243A3"/>
    <w:rsid w:val="00D249CB"/>
    <w:rsid w:val="00D25BB2"/>
    <w:rsid w:val="00D26CA7"/>
    <w:rsid w:val="00D275D1"/>
    <w:rsid w:val="00D301CB"/>
    <w:rsid w:val="00D3079C"/>
    <w:rsid w:val="00D311DB"/>
    <w:rsid w:val="00D331D8"/>
    <w:rsid w:val="00D34346"/>
    <w:rsid w:val="00D36A3B"/>
    <w:rsid w:val="00D37398"/>
    <w:rsid w:val="00D373AB"/>
    <w:rsid w:val="00D3796B"/>
    <w:rsid w:val="00D37A63"/>
    <w:rsid w:val="00D405E9"/>
    <w:rsid w:val="00D41AF9"/>
    <w:rsid w:val="00D41E22"/>
    <w:rsid w:val="00D42EE6"/>
    <w:rsid w:val="00D433B9"/>
    <w:rsid w:val="00D4364F"/>
    <w:rsid w:val="00D438F0"/>
    <w:rsid w:val="00D45A5D"/>
    <w:rsid w:val="00D464E4"/>
    <w:rsid w:val="00D50119"/>
    <w:rsid w:val="00D51281"/>
    <w:rsid w:val="00D5179B"/>
    <w:rsid w:val="00D52125"/>
    <w:rsid w:val="00D531BD"/>
    <w:rsid w:val="00D5463E"/>
    <w:rsid w:val="00D54720"/>
    <w:rsid w:val="00D547FB"/>
    <w:rsid w:val="00D54A93"/>
    <w:rsid w:val="00D54CCB"/>
    <w:rsid w:val="00D54DA7"/>
    <w:rsid w:val="00D551BB"/>
    <w:rsid w:val="00D55E0B"/>
    <w:rsid w:val="00D56343"/>
    <w:rsid w:val="00D57607"/>
    <w:rsid w:val="00D57A5C"/>
    <w:rsid w:val="00D610BC"/>
    <w:rsid w:val="00D633FA"/>
    <w:rsid w:val="00D635EA"/>
    <w:rsid w:val="00D63B58"/>
    <w:rsid w:val="00D63C6B"/>
    <w:rsid w:val="00D63E33"/>
    <w:rsid w:val="00D64745"/>
    <w:rsid w:val="00D647D4"/>
    <w:rsid w:val="00D66E75"/>
    <w:rsid w:val="00D70F89"/>
    <w:rsid w:val="00D740F5"/>
    <w:rsid w:val="00D741A1"/>
    <w:rsid w:val="00D747BB"/>
    <w:rsid w:val="00D768CA"/>
    <w:rsid w:val="00D82389"/>
    <w:rsid w:val="00D83052"/>
    <w:rsid w:val="00D8401B"/>
    <w:rsid w:val="00D85C78"/>
    <w:rsid w:val="00D86946"/>
    <w:rsid w:val="00D872C4"/>
    <w:rsid w:val="00D90EC5"/>
    <w:rsid w:val="00D91403"/>
    <w:rsid w:val="00D95769"/>
    <w:rsid w:val="00D9641A"/>
    <w:rsid w:val="00DA0225"/>
    <w:rsid w:val="00DA0A3A"/>
    <w:rsid w:val="00DA3DA1"/>
    <w:rsid w:val="00DA49FA"/>
    <w:rsid w:val="00DA4E70"/>
    <w:rsid w:val="00DA5F0D"/>
    <w:rsid w:val="00DB168D"/>
    <w:rsid w:val="00DB16A3"/>
    <w:rsid w:val="00DB1D39"/>
    <w:rsid w:val="00DB25D3"/>
    <w:rsid w:val="00DB2D00"/>
    <w:rsid w:val="00DB5A75"/>
    <w:rsid w:val="00DB65CE"/>
    <w:rsid w:val="00DB65DD"/>
    <w:rsid w:val="00DB703D"/>
    <w:rsid w:val="00DB7F64"/>
    <w:rsid w:val="00DC11F2"/>
    <w:rsid w:val="00DC225E"/>
    <w:rsid w:val="00DC2A08"/>
    <w:rsid w:val="00DC2B3B"/>
    <w:rsid w:val="00DC3140"/>
    <w:rsid w:val="00DD10CA"/>
    <w:rsid w:val="00DD18FE"/>
    <w:rsid w:val="00DD1BE6"/>
    <w:rsid w:val="00DD2147"/>
    <w:rsid w:val="00DD2190"/>
    <w:rsid w:val="00DD4080"/>
    <w:rsid w:val="00DD4B84"/>
    <w:rsid w:val="00DD5244"/>
    <w:rsid w:val="00DD549F"/>
    <w:rsid w:val="00DD73DA"/>
    <w:rsid w:val="00DD7DEF"/>
    <w:rsid w:val="00DE03B2"/>
    <w:rsid w:val="00DE10CD"/>
    <w:rsid w:val="00DE158F"/>
    <w:rsid w:val="00DE163B"/>
    <w:rsid w:val="00DE7551"/>
    <w:rsid w:val="00DE7949"/>
    <w:rsid w:val="00DF006A"/>
    <w:rsid w:val="00DF0491"/>
    <w:rsid w:val="00DF1672"/>
    <w:rsid w:val="00DF1843"/>
    <w:rsid w:val="00DF2C98"/>
    <w:rsid w:val="00DF41E2"/>
    <w:rsid w:val="00DF51FB"/>
    <w:rsid w:val="00DF52B9"/>
    <w:rsid w:val="00DF5431"/>
    <w:rsid w:val="00DF5866"/>
    <w:rsid w:val="00DF6822"/>
    <w:rsid w:val="00DF7448"/>
    <w:rsid w:val="00E002D2"/>
    <w:rsid w:val="00E005C6"/>
    <w:rsid w:val="00E00BB3"/>
    <w:rsid w:val="00E0142E"/>
    <w:rsid w:val="00E04EA0"/>
    <w:rsid w:val="00E0732A"/>
    <w:rsid w:val="00E1115F"/>
    <w:rsid w:val="00E11BFA"/>
    <w:rsid w:val="00E122E3"/>
    <w:rsid w:val="00E134B5"/>
    <w:rsid w:val="00E13C36"/>
    <w:rsid w:val="00E13DD5"/>
    <w:rsid w:val="00E14630"/>
    <w:rsid w:val="00E165F6"/>
    <w:rsid w:val="00E1703C"/>
    <w:rsid w:val="00E1713F"/>
    <w:rsid w:val="00E17655"/>
    <w:rsid w:val="00E21ADA"/>
    <w:rsid w:val="00E21B98"/>
    <w:rsid w:val="00E22E0F"/>
    <w:rsid w:val="00E2407E"/>
    <w:rsid w:val="00E24F1D"/>
    <w:rsid w:val="00E25A71"/>
    <w:rsid w:val="00E260F6"/>
    <w:rsid w:val="00E27162"/>
    <w:rsid w:val="00E27861"/>
    <w:rsid w:val="00E3006A"/>
    <w:rsid w:val="00E31A33"/>
    <w:rsid w:val="00E31C18"/>
    <w:rsid w:val="00E34265"/>
    <w:rsid w:val="00E3595E"/>
    <w:rsid w:val="00E3598F"/>
    <w:rsid w:val="00E35EFD"/>
    <w:rsid w:val="00E3644F"/>
    <w:rsid w:val="00E36E39"/>
    <w:rsid w:val="00E403DA"/>
    <w:rsid w:val="00E40972"/>
    <w:rsid w:val="00E426E9"/>
    <w:rsid w:val="00E44186"/>
    <w:rsid w:val="00E4425A"/>
    <w:rsid w:val="00E44744"/>
    <w:rsid w:val="00E45717"/>
    <w:rsid w:val="00E45DF3"/>
    <w:rsid w:val="00E46477"/>
    <w:rsid w:val="00E46FD5"/>
    <w:rsid w:val="00E470E6"/>
    <w:rsid w:val="00E50DC5"/>
    <w:rsid w:val="00E5189E"/>
    <w:rsid w:val="00E54BAB"/>
    <w:rsid w:val="00E55246"/>
    <w:rsid w:val="00E55B81"/>
    <w:rsid w:val="00E5706B"/>
    <w:rsid w:val="00E57101"/>
    <w:rsid w:val="00E57764"/>
    <w:rsid w:val="00E577C6"/>
    <w:rsid w:val="00E6274B"/>
    <w:rsid w:val="00E631F0"/>
    <w:rsid w:val="00E63565"/>
    <w:rsid w:val="00E6438F"/>
    <w:rsid w:val="00E647B3"/>
    <w:rsid w:val="00E6541C"/>
    <w:rsid w:val="00E65EA5"/>
    <w:rsid w:val="00E67058"/>
    <w:rsid w:val="00E71B31"/>
    <w:rsid w:val="00E72FE1"/>
    <w:rsid w:val="00E74685"/>
    <w:rsid w:val="00E75606"/>
    <w:rsid w:val="00E75DBE"/>
    <w:rsid w:val="00E77D57"/>
    <w:rsid w:val="00E77E0A"/>
    <w:rsid w:val="00E80317"/>
    <w:rsid w:val="00E80850"/>
    <w:rsid w:val="00E835C4"/>
    <w:rsid w:val="00E83F37"/>
    <w:rsid w:val="00E8426C"/>
    <w:rsid w:val="00E84805"/>
    <w:rsid w:val="00E84E98"/>
    <w:rsid w:val="00E851D2"/>
    <w:rsid w:val="00E85F34"/>
    <w:rsid w:val="00E904B7"/>
    <w:rsid w:val="00E9089C"/>
    <w:rsid w:val="00E919D1"/>
    <w:rsid w:val="00E91E95"/>
    <w:rsid w:val="00E9293D"/>
    <w:rsid w:val="00E92F11"/>
    <w:rsid w:val="00E942B0"/>
    <w:rsid w:val="00E94D28"/>
    <w:rsid w:val="00E94D6F"/>
    <w:rsid w:val="00EA0279"/>
    <w:rsid w:val="00EA1EBF"/>
    <w:rsid w:val="00EA2A53"/>
    <w:rsid w:val="00EA3AF1"/>
    <w:rsid w:val="00EA466F"/>
    <w:rsid w:val="00EA4ADD"/>
    <w:rsid w:val="00EA5C03"/>
    <w:rsid w:val="00EB0642"/>
    <w:rsid w:val="00EB3257"/>
    <w:rsid w:val="00EB45C6"/>
    <w:rsid w:val="00EB6424"/>
    <w:rsid w:val="00EC0E6A"/>
    <w:rsid w:val="00EC1F42"/>
    <w:rsid w:val="00EC20D9"/>
    <w:rsid w:val="00EC2640"/>
    <w:rsid w:val="00EC4903"/>
    <w:rsid w:val="00EC580B"/>
    <w:rsid w:val="00EC74BF"/>
    <w:rsid w:val="00EC78F4"/>
    <w:rsid w:val="00ED1040"/>
    <w:rsid w:val="00ED4689"/>
    <w:rsid w:val="00EE04A7"/>
    <w:rsid w:val="00EE0F32"/>
    <w:rsid w:val="00EE1117"/>
    <w:rsid w:val="00EE203A"/>
    <w:rsid w:val="00EE30CD"/>
    <w:rsid w:val="00EE3C1D"/>
    <w:rsid w:val="00EE3D8E"/>
    <w:rsid w:val="00EE48E9"/>
    <w:rsid w:val="00EE56C5"/>
    <w:rsid w:val="00EE6419"/>
    <w:rsid w:val="00EE7E12"/>
    <w:rsid w:val="00EF0763"/>
    <w:rsid w:val="00EF3E1A"/>
    <w:rsid w:val="00EF5BAD"/>
    <w:rsid w:val="00EF702D"/>
    <w:rsid w:val="00EF7664"/>
    <w:rsid w:val="00F006B6"/>
    <w:rsid w:val="00F01F4C"/>
    <w:rsid w:val="00F03FD4"/>
    <w:rsid w:val="00F07571"/>
    <w:rsid w:val="00F10554"/>
    <w:rsid w:val="00F1285B"/>
    <w:rsid w:val="00F12D3E"/>
    <w:rsid w:val="00F12DA4"/>
    <w:rsid w:val="00F132C2"/>
    <w:rsid w:val="00F139B0"/>
    <w:rsid w:val="00F16429"/>
    <w:rsid w:val="00F179BB"/>
    <w:rsid w:val="00F17CA4"/>
    <w:rsid w:val="00F2152C"/>
    <w:rsid w:val="00F21ACF"/>
    <w:rsid w:val="00F22176"/>
    <w:rsid w:val="00F221D2"/>
    <w:rsid w:val="00F23CA5"/>
    <w:rsid w:val="00F24419"/>
    <w:rsid w:val="00F24FB4"/>
    <w:rsid w:val="00F302E5"/>
    <w:rsid w:val="00F365F8"/>
    <w:rsid w:val="00F3747A"/>
    <w:rsid w:val="00F412E8"/>
    <w:rsid w:val="00F4332E"/>
    <w:rsid w:val="00F444B7"/>
    <w:rsid w:val="00F44B40"/>
    <w:rsid w:val="00F47DD8"/>
    <w:rsid w:val="00F52DED"/>
    <w:rsid w:val="00F52EA4"/>
    <w:rsid w:val="00F54D8C"/>
    <w:rsid w:val="00F54FB6"/>
    <w:rsid w:val="00F54FC2"/>
    <w:rsid w:val="00F5666E"/>
    <w:rsid w:val="00F566E6"/>
    <w:rsid w:val="00F577E9"/>
    <w:rsid w:val="00F60B5E"/>
    <w:rsid w:val="00F61D25"/>
    <w:rsid w:val="00F628D0"/>
    <w:rsid w:val="00F63D1F"/>
    <w:rsid w:val="00F640CD"/>
    <w:rsid w:val="00F661AF"/>
    <w:rsid w:val="00F66933"/>
    <w:rsid w:val="00F67A16"/>
    <w:rsid w:val="00F67E87"/>
    <w:rsid w:val="00F67EAF"/>
    <w:rsid w:val="00F71376"/>
    <w:rsid w:val="00F71D14"/>
    <w:rsid w:val="00F7210B"/>
    <w:rsid w:val="00F7372B"/>
    <w:rsid w:val="00F7494A"/>
    <w:rsid w:val="00F74B96"/>
    <w:rsid w:val="00F74BF6"/>
    <w:rsid w:val="00F75558"/>
    <w:rsid w:val="00F75BB2"/>
    <w:rsid w:val="00F75BEC"/>
    <w:rsid w:val="00F762F2"/>
    <w:rsid w:val="00F77787"/>
    <w:rsid w:val="00F801EE"/>
    <w:rsid w:val="00F81750"/>
    <w:rsid w:val="00F83464"/>
    <w:rsid w:val="00F84B9D"/>
    <w:rsid w:val="00F86E87"/>
    <w:rsid w:val="00F90376"/>
    <w:rsid w:val="00F903D8"/>
    <w:rsid w:val="00F91CEA"/>
    <w:rsid w:val="00F92174"/>
    <w:rsid w:val="00F92729"/>
    <w:rsid w:val="00F92CBE"/>
    <w:rsid w:val="00F92CEA"/>
    <w:rsid w:val="00F94131"/>
    <w:rsid w:val="00F9430D"/>
    <w:rsid w:val="00F9660E"/>
    <w:rsid w:val="00F9694F"/>
    <w:rsid w:val="00F969E8"/>
    <w:rsid w:val="00F96CA4"/>
    <w:rsid w:val="00F97037"/>
    <w:rsid w:val="00FA21A0"/>
    <w:rsid w:val="00FA29DF"/>
    <w:rsid w:val="00FA2FF6"/>
    <w:rsid w:val="00FA4DF2"/>
    <w:rsid w:val="00FA597B"/>
    <w:rsid w:val="00FA63CA"/>
    <w:rsid w:val="00FA6707"/>
    <w:rsid w:val="00FA6C56"/>
    <w:rsid w:val="00FA6CAC"/>
    <w:rsid w:val="00FB068F"/>
    <w:rsid w:val="00FB128E"/>
    <w:rsid w:val="00FB230D"/>
    <w:rsid w:val="00FB6350"/>
    <w:rsid w:val="00FB6D97"/>
    <w:rsid w:val="00FC141B"/>
    <w:rsid w:val="00FC1C84"/>
    <w:rsid w:val="00FC44C7"/>
    <w:rsid w:val="00FC51A3"/>
    <w:rsid w:val="00FC6DAE"/>
    <w:rsid w:val="00FC73FE"/>
    <w:rsid w:val="00FC7700"/>
    <w:rsid w:val="00FD15D6"/>
    <w:rsid w:val="00FD39E2"/>
    <w:rsid w:val="00FD4BA1"/>
    <w:rsid w:val="00FD58A0"/>
    <w:rsid w:val="00FD718E"/>
    <w:rsid w:val="00FE03A9"/>
    <w:rsid w:val="00FE06E3"/>
    <w:rsid w:val="00FE0A43"/>
    <w:rsid w:val="00FE115C"/>
    <w:rsid w:val="00FE1A8C"/>
    <w:rsid w:val="00FE2937"/>
    <w:rsid w:val="00FE32E0"/>
    <w:rsid w:val="00FE3BC2"/>
    <w:rsid w:val="00FE3F93"/>
    <w:rsid w:val="00FE4123"/>
    <w:rsid w:val="00FE4CC8"/>
    <w:rsid w:val="00FE51C2"/>
    <w:rsid w:val="00FE5AD9"/>
    <w:rsid w:val="00FF1E69"/>
    <w:rsid w:val="00FF31A7"/>
    <w:rsid w:val="00FF362B"/>
    <w:rsid w:val="00FF722A"/>
    <w:rsid w:val="00FF7237"/>
    <w:rsid w:val="0A504C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83121"/>
  <w15:chartTrackingRefBased/>
  <w15:docId w15:val="{1A4AA8FF-A7DE-49A7-A9A1-E3819961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70E4B"/>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C2677"/>
    <w:pPr>
      <w:keepNext/>
      <w:keepLines/>
      <w:spacing w:before="40" w:after="0"/>
      <w:outlineLvl w:val="1"/>
    </w:pPr>
    <w:rPr>
      <w:rFonts w:asciiTheme="majorHAnsi" w:hAnsiTheme="majorHAnsi" w:eastAsiaTheme="majorEastAsia" w:cstheme="majorBidi"/>
      <w:color w:val="2E74B5"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552540"/>
    <w:pPr>
      <w:spacing w:after="200" w:line="276" w:lineRule="auto"/>
      <w:ind w:left="720"/>
      <w:contextualSpacing/>
    </w:pPr>
  </w:style>
  <w:style w:type="character" w:styleId="ListParagraphChar" w:customStyle="1">
    <w:name w:val="List Paragraph Char"/>
    <w:link w:val="ListParagraph"/>
    <w:uiPriority w:val="34"/>
    <w:rsid w:val="00552540"/>
  </w:style>
  <w:style w:type="paragraph" w:styleId="IntenseQuote">
    <w:name w:val="Intense Quote"/>
    <w:basedOn w:val="Normal"/>
    <w:next w:val="Normal"/>
    <w:link w:val="IntenseQuoteChar"/>
    <w:uiPriority w:val="30"/>
    <w:qFormat/>
    <w:rsid w:val="00552540"/>
    <w:pPr>
      <w:pBdr>
        <w:bottom w:val="single" w:color="5B9BD5" w:themeColor="accent1" w:sz="4" w:space="4"/>
      </w:pBdr>
      <w:spacing w:before="200" w:after="280" w:line="276" w:lineRule="auto"/>
      <w:ind w:left="936" w:right="936"/>
    </w:pPr>
    <w:rPr>
      <w:b/>
      <w:bCs/>
      <w:i/>
      <w:iCs/>
      <w:color w:val="5B9BD5" w:themeColor="accent1"/>
    </w:rPr>
  </w:style>
  <w:style w:type="character" w:styleId="IntenseQuoteChar" w:customStyle="1">
    <w:name w:val="Intense Quote Char"/>
    <w:basedOn w:val="DefaultParagraphFont"/>
    <w:link w:val="IntenseQuote"/>
    <w:uiPriority w:val="30"/>
    <w:rsid w:val="00552540"/>
    <w:rPr>
      <w:b/>
      <w:bCs/>
      <w:i/>
      <w:iCs/>
      <w:color w:val="5B9BD5" w:themeColor="accent1"/>
    </w:rPr>
  </w:style>
  <w:style w:type="paragraph" w:styleId="CommentText">
    <w:name w:val="annotation text"/>
    <w:basedOn w:val="Normal"/>
    <w:link w:val="CommentTextChar"/>
    <w:uiPriority w:val="99"/>
    <w:semiHidden/>
    <w:unhideWhenUsed/>
    <w:rsid w:val="001D27B9"/>
    <w:pPr>
      <w:spacing w:after="200" w:line="240" w:lineRule="auto"/>
    </w:pPr>
    <w:rPr>
      <w:rFonts w:ascii="Calibri" w:hAnsi="Calibri" w:eastAsia="Calibri" w:cs="Times New Roman"/>
      <w:sz w:val="20"/>
      <w:szCs w:val="20"/>
    </w:rPr>
  </w:style>
  <w:style w:type="character" w:styleId="CommentTextChar" w:customStyle="1">
    <w:name w:val="Comment Text Char"/>
    <w:basedOn w:val="DefaultParagraphFont"/>
    <w:link w:val="CommentText"/>
    <w:uiPriority w:val="99"/>
    <w:semiHidden/>
    <w:rsid w:val="001D27B9"/>
    <w:rPr>
      <w:rFonts w:ascii="Calibri" w:hAnsi="Calibri" w:eastAsia="Calibri" w:cs="Times New Roman"/>
      <w:sz w:val="20"/>
      <w:szCs w:val="20"/>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qFormat/>
    <w:rsid w:val="001D27B9"/>
    <w:pPr>
      <w:spacing w:after="0" w:line="240" w:lineRule="auto"/>
    </w:pPr>
    <w:rPr>
      <w:rFonts w:ascii="Arial" w:hAnsi="Arial" w:eastAsia="Times New Roman" w:cs="Times New Roman"/>
      <w:sz w:val="18"/>
      <w:szCs w:val="20"/>
    </w:rPr>
  </w:style>
  <w:style w:type="character" w:styleId="FootnoteTextChar" w:customStyle="1">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1D27B9"/>
    <w:rPr>
      <w:rFonts w:ascii="Arial" w:hAnsi="Arial" w:eastAsia="Times New Roman"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1D27B9"/>
    <w:rPr>
      <w:rFonts w:ascii="Arial" w:hAnsi="Arial"/>
      <w:sz w:val="18"/>
      <w:vertAlign w:val="superscript"/>
    </w:rPr>
  </w:style>
  <w:style w:type="paragraph" w:styleId="Header">
    <w:name w:val="header"/>
    <w:basedOn w:val="Normal"/>
    <w:link w:val="HeaderChar"/>
    <w:uiPriority w:val="99"/>
    <w:unhideWhenUsed/>
    <w:rsid w:val="001D27B9"/>
    <w:pPr>
      <w:tabs>
        <w:tab w:val="center" w:pos="4680"/>
        <w:tab w:val="right" w:pos="9360"/>
      </w:tabs>
      <w:spacing w:after="0" w:line="240" w:lineRule="auto"/>
    </w:pPr>
  </w:style>
  <w:style w:type="character" w:styleId="HeaderChar" w:customStyle="1">
    <w:name w:val="Header Char"/>
    <w:basedOn w:val="DefaultParagraphFont"/>
    <w:link w:val="Header"/>
    <w:uiPriority w:val="99"/>
    <w:rsid w:val="001D27B9"/>
  </w:style>
  <w:style w:type="paragraph" w:styleId="Footer">
    <w:name w:val="footer"/>
    <w:basedOn w:val="Normal"/>
    <w:link w:val="FooterChar"/>
    <w:uiPriority w:val="99"/>
    <w:unhideWhenUsed/>
    <w:rsid w:val="001D27B9"/>
    <w:pPr>
      <w:tabs>
        <w:tab w:val="center" w:pos="4680"/>
        <w:tab w:val="right" w:pos="9360"/>
      </w:tabs>
      <w:spacing w:after="0" w:line="240" w:lineRule="auto"/>
    </w:pPr>
  </w:style>
  <w:style w:type="character" w:styleId="FooterChar" w:customStyle="1">
    <w:name w:val="Footer Char"/>
    <w:basedOn w:val="DefaultParagraphFont"/>
    <w:link w:val="Footer"/>
    <w:uiPriority w:val="99"/>
    <w:rsid w:val="001D27B9"/>
  </w:style>
  <w:style w:type="character" w:styleId="Hyperlink">
    <w:name w:val="Hyperlink"/>
    <w:basedOn w:val="DefaultParagraphFont"/>
    <w:uiPriority w:val="99"/>
    <w:unhideWhenUsed/>
    <w:rsid w:val="00B62CFA"/>
    <w:rPr>
      <w:color w:val="0563C1" w:themeColor="hyperlink"/>
      <w:u w:val="single"/>
    </w:rPr>
  </w:style>
  <w:style w:type="character" w:styleId="CommentReference">
    <w:name w:val="annotation reference"/>
    <w:basedOn w:val="DefaultParagraphFont"/>
    <w:uiPriority w:val="99"/>
    <w:semiHidden/>
    <w:unhideWhenUsed/>
    <w:rsid w:val="00F86E87"/>
    <w:rPr>
      <w:sz w:val="16"/>
      <w:szCs w:val="16"/>
    </w:rPr>
  </w:style>
  <w:style w:type="paragraph" w:styleId="CommentSubject">
    <w:name w:val="annotation subject"/>
    <w:basedOn w:val="CommentText"/>
    <w:next w:val="CommentText"/>
    <w:link w:val="CommentSubjectChar"/>
    <w:uiPriority w:val="99"/>
    <w:semiHidden/>
    <w:unhideWhenUsed/>
    <w:rsid w:val="00F86E87"/>
    <w:pPr>
      <w:spacing w:after="160"/>
    </w:pPr>
    <w:rPr>
      <w:rFonts w:asciiTheme="minorHAnsi" w:hAnsiTheme="minorHAnsi" w:eastAsiaTheme="minorHAnsi" w:cstheme="minorBidi"/>
      <w:b/>
      <w:bCs/>
    </w:rPr>
  </w:style>
  <w:style w:type="character" w:styleId="CommentSubjectChar" w:customStyle="1">
    <w:name w:val="Comment Subject Char"/>
    <w:basedOn w:val="CommentTextChar"/>
    <w:link w:val="CommentSubject"/>
    <w:uiPriority w:val="99"/>
    <w:semiHidden/>
    <w:rsid w:val="00F86E87"/>
    <w:rPr>
      <w:rFonts w:ascii="Calibri" w:hAnsi="Calibri" w:eastAsia="Calibri" w:cs="Times New Roman"/>
      <w:b/>
      <w:bCs/>
      <w:sz w:val="20"/>
      <w:szCs w:val="20"/>
    </w:rPr>
  </w:style>
  <w:style w:type="paragraph" w:styleId="BalloonText">
    <w:name w:val="Balloon Text"/>
    <w:basedOn w:val="Normal"/>
    <w:link w:val="BalloonTextChar"/>
    <w:uiPriority w:val="99"/>
    <w:semiHidden/>
    <w:unhideWhenUsed/>
    <w:rsid w:val="00F86E87"/>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86E87"/>
    <w:rPr>
      <w:rFonts w:ascii="Segoe UI" w:hAnsi="Segoe UI" w:cs="Segoe UI"/>
      <w:sz w:val="18"/>
      <w:szCs w:val="18"/>
    </w:rPr>
  </w:style>
  <w:style w:type="paragraph" w:styleId="Caption">
    <w:name w:val="caption"/>
    <w:aliases w:val="GRÁFICOS,CUADROS"/>
    <w:basedOn w:val="Normal"/>
    <w:next w:val="Normal"/>
    <w:link w:val="CaptionChar"/>
    <w:unhideWhenUsed/>
    <w:qFormat/>
    <w:rsid w:val="00E1703C"/>
    <w:pPr>
      <w:spacing w:after="200" w:line="240" w:lineRule="auto"/>
    </w:pPr>
    <w:rPr>
      <w:b/>
      <w:bCs/>
      <w:color w:val="5B9BD5" w:themeColor="accent1"/>
      <w:sz w:val="18"/>
      <w:szCs w:val="18"/>
    </w:rPr>
  </w:style>
  <w:style w:type="character" w:styleId="CaptionChar" w:customStyle="1">
    <w:name w:val="Caption Char"/>
    <w:aliases w:val="GRÁFICOS Char,CUADROS Char"/>
    <w:link w:val="Caption"/>
    <w:locked/>
    <w:rsid w:val="00E1703C"/>
    <w:rPr>
      <w:b/>
      <w:bCs/>
      <w:color w:val="5B9BD5" w:themeColor="accent1"/>
      <w:sz w:val="18"/>
      <w:szCs w:val="18"/>
    </w:rPr>
  </w:style>
  <w:style w:type="paragraph" w:styleId="Default" w:customStyle="1">
    <w:name w:val="Default"/>
    <w:rsid w:val="00DD18FE"/>
    <w:pPr>
      <w:autoSpaceDE w:val="0"/>
      <w:autoSpaceDN w:val="0"/>
      <w:adjustRightInd w:val="0"/>
      <w:spacing w:after="0" w:line="240" w:lineRule="auto"/>
    </w:pPr>
    <w:rPr>
      <w:rFonts w:ascii="Arial" w:hAnsi="Arial" w:cs="Arial"/>
      <w:color w:val="000000"/>
      <w:sz w:val="24"/>
      <w:szCs w:val="24"/>
    </w:rPr>
  </w:style>
  <w:style w:type="character" w:styleId="Mention">
    <w:name w:val="Mention"/>
    <w:basedOn w:val="DefaultParagraphFont"/>
    <w:uiPriority w:val="99"/>
    <w:semiHidden/>
    <w:unhideWhenUsed/>
    <w:rsid w:val="000D505A"/>
    <w:rPr>
      <w:color w:val="2B579A"/>
      <w:shd w:val="clear" w:color="auto" w:fill="E6E6E6"/>
    </w:rPr>
  </w:style>
  <w:style w:type="character" w:styleId="Heading2Char" w:customStyle="1">
    <w:name w:val="Heading 2 Char"/>
    <w:basedOn w:val="DefaultParagraphFont"/>
    <w:link w:val="Heading2"/>
    <w:uiPriority w:val="9"/>
    <w:rsid w:val="007C2677"/>
    <w:rPr>
      <w:rFonts w:asciiTheme="majorHAnsi" w:hAnsiTheme="majorHAnsi" w:eastAsiaTheme="majorEastAsia" w:cstheme="majorBidi"/>
      <w:color w:val="2E74B5" w:themeColor="accent1" w:themeShade="BF"/>
      <w:sz w:val="26"/>
      <w:szCs w:val="26"/>
    </w:rPr>
  </w:style>
  <w:style w:type="table" w:styleId="TableGrid">
    <w:name w:val="Table Grid"/>
    <w:basedOn w:val="TableNormal"/>
    <w:uiPriority w:val="39"/>
    <w:rsid w:val="00F44B4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1">
    <w:name w:val="Plain Table 1"/>
    <w:basedOn w:val="TableNormal"/>
    <w:uiPriority w:val="41"/>
    <w:rsid w:val="00F44B40"/>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F44B40"/>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GridTable1Light-Accent5">
    <w:name w:val="Grid Table 1 Light Accent 5"/>
    <w:basedOn w:val="TableNormal"/>
    <w:uiPriority w:val="46"/>
    <w:rsid w:val="00F44B40"/>
    <w:pPr>
      <w:spacing w:after="0" w:line="240" w:lineRule="auto"/>
    </w:pPr>
    <w:tblPr>
      <w:tblStyleRowBandSize w:val="1"/>
      <w:tblStyleColBandSize w:val="1"/>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blPr/>
      <w:tcPr>
        <w:tcBorders>
          <w:bottom w:val="single" w:color="8EAADB" w:themeColor="accent5" w:themeTint="99" w:sz="12" w:space="0"/>
        </w:tcBorders>
      </w:tcPr>
    </w:tblStylePr>
    <w:tblStylePr w:type="lastRow">
      <w:rPr>
        <w:b/>
        <w:bCs/>
      </w:rPr>
      <w:tblPr/>
      <w:tcPr>
        <w:tcBorders>
          <w:top w:val="double" w:color="8EAADB" w:themeColor="accent5" w:themeTint="99" w:sz="2" w:space="0"/>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44B40"/>
    <w:pPr>
      <w:spacing w:after="0" w:line="240" w:lineRule="auto"/>
    </w:pPr>
    <w:tblPr>
      <w:tblStyleRowBandSize w:val="1"/>
      <w:tblStyleColBandSize w:val="1"/>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blPr/>
      <w:tcPr>
        <w:tcBorders>
          <w:bottom w:val="single" w:color="9CC2E5" w:themeColor="accent1" w:themeTint="99" w:sz="12" w:space="0"/>
        </w:tcBorders>
      </w:tcPr>
    </w:tblStylePr>
    <w:tblStylePr w:type="lastRow">
      <w:rPr>
        <w:b/>
        <w:bCs/>
      </w:rPr>
      <w:tblPr/>
      <w:tcPr>
        <w:tcBorders>
          <w:top w:val="double" w:color="9CC2E5" w:themeColor="accent1" w:themeTint="99" w:sz="2" w:space="0"/>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44B40"/>
    <w:pPr>
      <w:spacing w:after="0" w:line="240" w:lineRule="auto"/>
    </w:pPr>
    <w:tblPr>
      <w:tblStyleRowBandSize w:val="1"/>
      <w:tblStyleColBandSize w:val="1"/>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GridTable1Light">
    <w:name w:val="Grid Table 1 Light"/>
    <w:basedOn w:val="TableNormal"/>
    <w:uiPriority w:val="46"/>
    <w:rsid w:val="00F44B40"/>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0818E2"/>
    <w:rPr>
      <w:color w:val="808080"/>
      <w:shd w:val="clear" w:color="auto" w:fill="E6E6E6"/>
    </w:rPr>
  </w:style>
  <w:style w:type="paragraph" w:styleId="Paragraph" w:customStyle="1">
    <w:name w:val="Paragraph"/>
    <w:aliases w:val="paragraph,p,PARAGRAPH,PG,pa,at"/>
    <w:basedOn w:val="BodyTextIndent"/>
    <w:link w:val="ParagraphChar"/>
    <w:qFormat/>
    <w:rsid w:val="005070C6"/>
    <w:pPr>
      <w:tabs>
        <w:tab w:val="num" w:pos="720"/>
      </w:tabs>
      <w:spacing w:before="120" w:line="240" w:lineRule="auto"/>
      <w:ind w:left="720" w:hanging="720"/>
      <w:jc w:val="both"/>
      <w:outlineLvl w:val="1"/>
    </w:pPr>
    <w:rPr>
      <w:rFonts w:ascii="Times New Roman" w:hAnsi="Times New Roman" w:eastAsia="Times New Roman" w:cs="Times New Roman"/>
      <w:sz w:val="24"/>
      <w:szCs w:val="24"/>
      <w:lang w:val="es-ES_tradnl"/>
    </w:rPr>
  </w:style>
  <w:style w:type="character" w:styleId="ParagraphChar" w:customStyle="1">
    <w:name w:val="Paragraph Char"/>
    <w:link w:val="Paragraph"/>
    <w:rsid w:val="005070C6"/>
    <w:rPr>
      <w:rFonts w:ascii="Times New Roman" w:hAnsi="Times New Roman" w:eastAsia="Times New Roman" w:cs="Times New Roman"/>
      <w:sz w:val="24"/>
      <w:szCs w:val="24"/>
      <w:lang w:val="es-ES_tradnl"/>
    </w:rPr>
  </w:style>
  <w:style w:type="paragraph" w:styleId="BodyTextIndent">
    <w:name w:val="Body Text Indent"/>
    <w:basedOn w:val="Normal"/>
    <w:link w:val="BodyTextIndentChar"/>
    <w:uiPriority w:val="99"/>
    <w:semiHidden/>
    <w:unhideWhenUsed/>
    <w:rsid w:val="005070C6"/>
    <w:pPr>
      <w:spacing w:after="120"/>
      <w:ind w:left="360"/>
    </w:pPr>
  </w:style>
  <w:style w:type="character" w:styleId="BodyTextIndentChar" w:customStyle="1">
    <w:name w:val="Body Text Indent Char"/>
    <w:basedOn w:val="DefaultParagraphFont"/>
    <w:link w:val="BodyTextIndent"/>
    <w:uiPriority w:val="99"/>
    <w:semiHidden/>
    <w:rsid w:val="005070C6"/>
  </w:style>
  <w:style w:type="paragraph" w:styleId="Revision">
    <w:name w:val="Revision"/>
    <w:hidden/>
    <w:uiPriority w:val="99"/>
    <w:semiHidden/>
    <w:rsid w:val="00E3595E"/>
    <w:pPr>
      <w:spacing w:after="0" w:line="240" w:lineRule="auto"/>
    </w:pPr>
  </w:style>
  <w:style w:type="character" w:styleId="Heading1Char" w:customStyle="1">
    <w:name w:val="Heading 1 Char"/>
    <w:basedOn w:val="DefaultParagraphFont"/>
    <w:link w:val="Heading1"/>
    <w:uiPriority w:val="9"/>
    <w:rsid w:val="00070E4B"/>
    <w:rPr>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82399">
      <w:bodyDiv w:val="1"/>
      <w:marLeft w:val="0"/>
      <w:marRight w:val="0"/>
      <w:marTop w:val="0"/>
      <w:marBottom w:val="0"/>
      <w:divBdr>
        <w:top w:val="none" w:sz="0" w:space="0" w:color="auto"/>
        <w:left w:val="none" w:sz="0" w:space="0" w:color="auto"/>
        <w:bottom w:val="none" w:sz="0" w:space="0" w:color="auto"/>
        <w:right w:val="none" w:sz="0" w:space="0" w:color="auto"/>
      </w:divBdr>
    </w:div>
    <w:div w:id="282805888">
      <w:bodyDiv w:val="1"/>
      <w:marLeft w:val="0"/>
      <w:marRight w:val="0"/>
      <w:marTop w:val="0"/>
      <w:marBottom w:val="0"/>
      <w:divBdr>
        <w:top w:val="none" w:sz="0" w:space="0" w:color="auto"/>
        <w:left w:val="none" w:sz="0" w:space="0" w:color="auto"/>
        <w:bottom w:val="none" w:sz="0" w:space="0" w:color="auto"/>
        <w:right w:val="none" w:sz="0" w:space="0" w:color="auto"/>
      </w:divBdr>
    </w:div>
    <w:div w:id="299649682">
      <w:bodyDiv w:val="1"/>
      <w:marLeft w:val="0"/>
      <w:marRight w:val="0"/>
      <w:marTop w:val="0"/>
      <w:marBottom w:val="0"/>
      <w:divBdr>
        <w:top w:val="none" w:sz="0" w:space="0" w:color="auto"/>
        <w:left w:val="none" w:sz="0" w:space="0" w:color="auto"/>
        <w:bottom w:val="none" w:sz="0" w:space="0" w:color="auto"/>
        <w:right w:val="none" w:sz="0" w:space="0" w:color="auto"/>
      </w:divBdr>
    </w:div>
    <w:div w:id="836773492">
      <w:bodyDiv w:val="1"/>
      <w:marLeft w:val="0"/>
      <w:marRight w:val="0"/>
      <w:marTop w:val="0"/>
      <w:marBottom w:val="0"/>
      <w:divBdr>
        <w:top w:val="none" w:sz="0" w:space="0" w:color="auto"/>
        <w:left w:val="none" w:sz="0" w:space="0" w:color="auto"/>
        <w:bottom w:val="none" w:sz="0" w:space="0" w:color="auto"/>
        <w:right w:val="none" w:sz="0" w:space="0" w:color="auto"/>
      </w:divBdr>
    </w:div>
    <w:div w:id="837574167">
      <w:bodyDiv w:val="1"/>
      <w:marLeft w:val="0"/>
      <w:marRight w:val="0"/>
      <w:marTop w:val="0"/>
      <w:marBottom w:val="0"/>
      <w:divBdr>
        <w:top w:val="none" w:sz="0" w:space="0" w:color="auto"/>
        <w:left w:val="none" w:sz="0" w:space="0" w:color="auto"/>
        <w:bottom w:val="none" w:sz="0" w:space="0" w:color="auto"/>
        <w:right w:val="none" w:sz="0" w:space="0" w:color="auto"/>
      </w:divBdr>
    </w:div>
    <w:div w:id="898785132">
      <w:bodyDiv w:val="1"/>
      <w:marLeft w:val="0"/>
      <w:marRight w:val="0"/>
      <w:marTop w:val="0"/>
      <w:marBottom w:val="0"/>
      <w:divBdr>
        <w:top w:val="none" w:sz="0" w:space="0" w:color="auto"/>
        <w:left w:val="none" w:sz="0" w:space="0" w:color="auto"/>
        <w:bottom w:val="none" w:sz="0" w:space="0" w:color="auto"/>
        <w:right w:val="none" w:sz="0" w:space="0" w:color="auto"/>
      </w:divBdr>
    </w:div>
    <w:div w:id="1187795873">
      <w:bodyDiv w:val="1"/>
      <w:marLeft w:val="0"/>
      <w:marRight w:val="0"/>
      <w:marTop w:val="0"/>
      <w:marBottom w:val="0"/>
      <w:divBdr>
        <w:top w:val="none" w:sz="0" w:space="0" w:color="auto"/>
        <w:left w:val="none" w:sz="0" w:space="0" w:color="auto"/>
        <w:bottom w:val="none" w:sz="0" w:space="0" w:color="auto"/>
        <w:right w:val="none" w:sz="0" w:space="0" w:color="auto"/>
      </w:divBdr>
      <w:divsChild>
        <w:div w:id="67383304">
          <w:marLeft w:val="0"/>
          <w:marRight w:val="0"/>
          <w:marTop w:val="0"/>
          <w:marBottom w:val="0"/>
          <w:divBdr>
            <w:top w:val="none" w:sz="0" w:space="0" w:color="auto"/>
            <w:left w:val="none" w:sz="0" w:space="0" w:color="auto"/>
            <w:bottom w:val="none" w:sz="0" w:space="0" w:color="auto"/>
            <w:right w:val="none" w:sz="0" w:space="0" w:color="auto"/>
          </w:divBdr>
          <w:divsChild>
            <w:div w:id="907114748">
              <w:marLeft w:val="0"/>
              <w:marRight w:val="0"/>
              <w:marTop w:val="0"/>
              <w:marBottom w:val="0"/>
              <w:divBdr>
                <w:top w:val="none" w:sz="0" w:space="0" w:color="auto"/>
                <w:left w:val="none" w:sz="0" w:space="0" w:color="auto"/>
                <w:bottom w:val="none" w:sz="0" w:space="0" w:color="auto"/>
                <w:right w:val="none" w:sz="0" w:space="0" w:color="auto"/>
              </w:divBdr>
              <w:divsChild>
                <w:div w:id="10840193">
                  <w:marLeft w:val="0"/>
                  <w:marRight w:val="0"/>
                  <w:marTop w:val="0"/>
                  <w:marBottom w:val="0"/>
                  <w:divBdr>
                    <w:top w:val="none" w:sz="0" w:space="0" w:color="auto"/>
                    <w:left w:val="none" w:sz="0" w:space="0" w:color="auto"/>
                    <w:bottom w:val="none" w:sz="0" w:space="0" w:color="auto"/>
                    <w:right w:val="none" w:sz="0" w:space="0" w:color="auto"/>
                  </w:divBdr>
                  <w:divsChild>
                    <w:div w:id="111023082">
                      <w:marLeft w:val="0"/>
                      <w:marRight w:val="0"/>
                      <w:marTop w:val="0"/>
                      <w:marBottom w:val="0"/>
                      <w:divBdr>
                        <w:top w:val="none" w:sz="0" w:space="0" w:color="auto"/>
                        <w:left w:val="none" w:sz="0" w:space="0" w:color="auto"/>
                        <w:bottom w:val="none" w:sz="0" w:space="0" w:color="auto"/>
                        <w:right w:val="none" w:sz="0" w:space="0" w:color="auto"/>
                      </w:divBdr>
                      <w:divsChild>
                        <w:div w:id="1371804877">
                          <w:marLeft w:val="0"/>
                          <w:marRight w:val="0"/>
                          <w:marTop w:val="0"/>
                          <w:marBottom w:val="0"/>
                          <w:divBdr>
                            <w:top w:val="none" w:sz="0" w:space="0" w:color="auto"/>
                            <w:left w:val="none" w:sz="0" w:space="0" w:color="auto"/>
                            <w:bottom w:val="none" w:sz="0" w:space="0" w:color="auto"/>
                            <w:right w:val="none" w:sz="0" w:space="0" w:color="auto"/>
                          </w:divBdr>
                          <w:divsChild>
                            <w:div w:id="637107401">
                              <w:marLeft w:val="0"/>
                              <w:marRight w:val="0"/>
                              <w:marTop w:val="0"/>
                              <w:marBottom w:val="0"/>
                              <w:divBdr>
                                <w:top w:val="none" w:sz="0" w:space="0" w:color="auto"/>
                                <w:left w:val="none" w:sz="0" w:space="0" w:color="auto"/>
                                <w:bottom w:val="none" w:sz="0" w:space="0" w:color="auto"/>
                                <w:right w:val="none" w:sz="0" w:space="0" w:color="auto"/>
                              </w:divBdr>
                              <w:divsChild>
                                <w:div w:id="1446340513">
                                  <w:marLeft w:val="0"/>
                                  <w:marRight w:val="0"/>
                                  <w:marTop w:val="0"/>
                                  <w:marBottom w:val="0"/>
                                  <w:divBdr>
                                    <w:top w:val="none" w:sz="0" w:space="0" w:color="auto"/>
                                    <w:left w:val="none" w:sz="0" w:space="0" w:color="auto"/>
                                    <w:bottom w:val="none" w:sz="0" w:space="0" w:color="auto"/>
                                    <w:right w:val="none" w:sz="0" w:space="0" w:color="auto"/>
                                  </w:divBdr>
                                  <w:divsChild>
                                    <w:div w:id="928196793">
                                      <w:marLeft w:val="60"/>
                                      <w:marRight w:val="0"/>
                                      <w:marTop w:val="0"/>
                                      <w:marBottom w:val="0"/>
                                      <w:divBdr>
                                        <w:top w:val="none" w:sz="0" w:space="0" w:color="auto"/>
                                        <w:left w:val="none" w:sz="0" w:space="0" w:color="auto"/>
                                        <w:bottom w:val="none" w:sz="0" w:space="0" w:color="auto"/>
                                        <w:right w:val="none" w:sz="0" w:space="0" w:color="auto"/>
                                      </w:divBdr>
                                      <w:divsChild>
                                        <w:div w:id="1232352925">
                                          <w:marLeft w:val="0"/>
                                          <w:marRight w:val="0"/>
                                          <w:marTop w:val="0"/>
                                          <w:marBottom w:val="0"/>
                                          <w:divBdr>
                                            <w:top w:val="none" w:sz="0" w:space="0" w:color="auto"/>
                                            <w:left w:val="none" w:sz="0" w:space="0" w:color="auto"/>
                                            <w:bottom w:val="none" w:sz="0" w:space="0" w:color="auto"/>
                                            <w:right w:val="none" w:sz="0" w:space="0" w:color="auto"/>
                                          </w:divBdr>
                                          <w:divsChild>
                                            <w:div w:id="912466004">
                                              <w:marLeft w:val="0"/>
                                              <w:marRight w:val="0"/>
                                              <w:marTop w:val="0"/>
                                              <w:marBottom w:val="120"/>
                                              <w:divBdr>
                                                <w:top w:val="single" w:sz="6" w:space="0" w:color="F5F5F5"/>
                                                <w:left w:val="single" w:sz="6" w:space="0" w:color="F5F5F5"/>
                                                <w:bottom w:val="single" w:sz="6" w:space="0" w:color="F5F5F5"/>
                                                <w:right w:val="single" w:sz="6" w:space="0" w:color="F5F5F5"/>
                                              </w:divBdr>
                                              <w:divsChild>
                                                <w:div w:id="85201352">
                                                  <w:marLeft w:val="0"/>
                                                  <w:marRight w:val="0"/>
                                                  <w:marTop w:val="0"/>
                                                  <w:marBottom w:val="0"/>
                                                  <w:divBdr>
                                                    <w:top w:val="none" w:sz="0" w:space="0" w:color="auto"/>
                                                    <w:left w:val="none" w:sz="0" w:space="0" w:color="auto"/>
                                                    <w:bottom w:val="none" w:sz="0" w:space="0" w:color="auto"/>
                                                    <w:right w:val="none" w:sz="0" w:space="0" w:color="auto"/>
                                                  </w:divBdr>
                                                  <w:divsChild>
                                                    <w:div w:id="136035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3510386">
      <w:bodyDiv w:val="1"/>
      <w:marLeft w:val="0"/>
      <w:marRight w:val="0"/>
      <w:marTop w:val="0"/>
      <w:marBottom w:val="0"/>
      <w:divBdr>
        <w:top w:val="none" w:sz="0" w:space="0" w:color="auto"/>
        <w:left w:val="none" w:sz="0" w:space="0" w:color="auto"/>
        <w:bottom w:val="none" w:sz="0" w:space="0" w:color="auto"/>
        <w:right w:val="none" w:sz="0" w:space="0" w:color="auto"/>
      </w:divBdr>
    </w:div>
    <w:div w:id="1427654128">
      <w:bodyDiv w:val="1"/>
      <w:marLeft w:val="0"/>
      <w:marRight w:val="0"/>
      <w:marTop w:val="0"/>
      <w:marBottom w:val="0"/>
      <w:divBdr>
        <w:top w:val="none" w:sz="0" w:space="0" w:color="auto"/>
        <w:left w:val="none" w:sz="0" w:space="0" w:color="auto"/>
        <w:bottom w:val="none" w:sz="0" w:space="0" w:color="auto"/>
        <w:right w:val="none" w:sz="0" w:space="0" w:color="auto"/>
      </w:divBdr>
    </w:div>
    <w:div w:id="1649893293">
      <w:bodyDiv w:val="1"/>
      <w:marLeft w:val="0"/>
      <w:marRight w:val="0"/>
      <w:marTop w:val="0"/>
      <w:marBottom w:val="0"/>
      <w:divBdr>
        <w:top w:val="none" w:sz="0" w:space="0" w:color="auto"/>
        <w:left w:val="none" w:sz="0" w:space="0" w:color="auto"/>
        <w:bottom w:val="none" w:sz="0" w:space="0" w:color="auto"/>
        <w:right w:val="none" w:sz="0" w:space="0" w:color="auto"/>
      </w:divBdr>
      <w:divsChild>
        <w:div w:id="612321861">
          <w:marLeft w:val="0"/>
          <w:marRight w:val="0"/>
          <w:marTop w:val="0"/>
          <w:marBottom w:val="0"/>
          <w:divBdr>
            <w:top w:val="none" w:sz="0" w:space="0" w:color="auto"/>
            <w:left w:val="none" w:sz="0" w:space="0" w:color="auto"/>
            <w:bottom w:val="none" w:sz="0" w:space="0" w:color="auto"/>
            <w:right w:val="none" w:sz="0" w:space="0" w:color="auto"/>
          </w:divBdr>
          <w:divsChild>
            <w:div w:id="787622512">
              <w:marLeft w:val="0"/>
              <w:marRight w:val="0"/>
              <w:marTop w:val="0"/>
              <w:marBottom w:val="0"/>
              <w:divBdr>
                <w:top w:val="none" w:sz="0" w:space="0" w:color="auto"/>
                <w:left w:val="none" w:sz="0" w:space="0" w:color="auto"/>
                <w:bottom w:val="none" w:sz="0" w:space="0" w:color="auto"/>
                <w:right w:val="none" w:sz="0" w:space="0" w:color="auto"/>
              </w:divBdr>
              <w:divsChild>
                <w:div w:id="2132623656">
                  <w:marLeft w:val="0"/>
                  <w:marRight w:val="0"/>
                  <w:marTop w:val="0"/>
                  <w:marBottom w:val="0"/>
                  <w:divBdr>
                    <w:top w:val="none" w:sz="0" w:space="0" w:color="auto"/>
                    <w:left w:val="none" w:sz="0" w:space="0" w:color="auto"/>
                    <w:bottom w:val="none" w:sz="0" w:space="0" w:color="auto"/>
                    <w:right w:val="none" w:sz="0" w:space="0" w:color="auto"/>
                  </w:divBdr>
                  <w:divsChild>
                    <w:div w:id="1282761631">
                      <w:marLeft w:val="0"/>
                      <w:marRight w:val="0"/>
                      <w:marTop w:val="0"/>
                      <w:marBottom w:val="0"/>
                      <w:divBdr>
                        <w:top w:val="none" w:sz="0" w:space="0" w:color="auto"/>
                        <w:left w:val="none" w:sz="0" w:space="0" w:color="auto"/>
                        <w:bottom w:val="none" w:sz="0" w:space="0" w:color="auto"/>
                        <w:right w:val="none" w:sz="0" w:space="0" w:color="auto"/>
                      </w:divBdr>
                      <w:divsChild>
                        <w:div w:id="690033364">
                          <w:marLeft w:val="0"/>
                          <w:marRight w:val="0"/>
                          <w:marTop w:val="0"/>
                          <w:marBottom w:val="0"/>
                          <w:divBdr>
                            <w:top w:val="none" w:sz="0" w:space="0" w:color="auto"/>
                            <w:left w:val="none" w:sz="0" w:space="0" w:color="auto"/>
                            <w:bottom w:val="none" w:sz="0" w:space="0" w:color="auto"/>
                            <w:right w:val="none" w:sz="0" w:space="0" w:color="auto"/>
                          </w:divBdr>
                          <w:divsChild>
                            <w:div w:id="1093628300">
                              <w:marLeft w:val="0"/>
                              <w:marRight w:val="0"/>
                              <w:marTop w:val="0"/>
                              <w:marBottom w:val="0"/>
                              <w:divBdr>
                                <w:top w:val="none" w:sz="0" w:space="0" w:color="auto"/>
                                <w:left w:val="none" w:sz="0" w:space="0" w:color="auto"/>
                                <w:bottom w:val="none" w:sz="0" w:space="0" w:color="auto"/>
                                <w:right w:val="none" w:sz="0" w:space="0" w:color="auto"/>
                              </w:divBdr>
                              <w:divsChild>
                                <w:div w:id="70472461">
                                  <w:marLeft w:val="0"/>
                                  <w:marRight w:val="0"/>
                                  <w:marTop w:val="0"/>
                                  <w:marBottom w:val="0"/>
                                  <w:divBdr>
                                    <w:top w:val="none" w:sz="0" w:space="0" w:color="auto"/>
                                    <w:left w:val="none" w:sz="0" w:space="0" w:color="auto"/>
                                    <w:bottom w:val="none" w:sz="0" w:space="0" w:color="auto"/>
                                    <w:right w:val="none" w:sz="0" w:space="0" w:color="auto"/>
                                  </w:divBdr>
                                  <w:divsChild>
                                    <w:div w:id="17004986">
                                      <w:marLeft w:val="60"/>
                                      <w:marRight w:val="0"/>
                                      <w:marTop w:val="0"/>
                                      <w:marBottom w:val="0"/>
                                      <w:divBdr>
                                        <w:top w:val="none" w:sz="0" w:space="0" w:color="auto"/>
                                        <w:left w:val="none" w:sz="0" w:space="0" w:color="auto"/>
                                        <w:bottom w:val="none" w:sz="0" w:space="0" w:color="auto"/>
                                        <w:right w:val="none" w:sz="0" w:space="0" w:color="auto"/>
                                      </w:divBdr>
                                      <w:divsChild>
                                        <w:div w:id="503545678">
                                          <w:marLeft w:val="0"/>
                                          <w:marRight w:val="0"/>
                                          <w:marTop w:val="0"/>
                                          <w:marBottom w:val="0"/>
                                          <w:divBdr>
                                            <w:top w:val="none" w:sz="0" w:space="0" w:color="auto"/>
                                            <w:left w:val="none" w:sz="0" w:space="0" w:color="auto"/>
                                            <w:bottom w:val="none" w:sz="0" w:space="0" w:color="auto"/>
                                            <w:right w:val="none" w:sz="0" w:space="0" w:color="auto"/>
                                          </w:divBdr>
                                          <w:divsChild>
                                            <w:div w:id="821391525">
                                              <w:marLeft w:val="0"/>
                                              <w:marRight w:val="0"/>
                                              <w:marTop w:val="0"/>
                                              <w:marBottom w:val="120"/>
                                              <w:divBdr>
                                                <w:top w:val="single" w:sz="6" w:space="0" w:color="F5F5F5"/>
                                                <w:left w:val="single" w:sz="6" w:space="0" w:color="F5F5F5"/>
                                                <w:bottom w:val="single" w:sz="6" w:space="0" w:color="F5F5F5"/>
                                                <w:right w:val="single" w:sz="6" w:space="0" w:color="F5F5F5"/>
                                              </w:divBdr>
                                              <w:divsChild>
                                                <w:div w:id="927470875">
                                                  <w:marLeft w:val="0"/>
                                                  <w:marRight w:val="0"/>
                                                  <w:marTop w:val="0"/>
                                                  <w:marBottom w:val="0"/>
                                                  <w:divBdr>
                                                    <w:top w:val="none" w:sz="0" w:space="0" w:color="auto"/>
                                                    <w:left w:val="none" w:sz="0" w:space="0" w:color="auto"/>
                                                    <w:bottom w:val="none" w:sz="0" w:space="0" w:color="auto"/>
                                                    <w:right w:val="none" w:sz="0" w:space="0" w:color="auto"/>
                                                  </w:divBdr>
                                                  <w:divsChild>
                                                    <w:div w:id="60007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7251315">
      <w:bodyDiv w:val="1"/>
      <w:marLeft w:val="0"/>
      <w:marRight w:val="0"/>
      <w:marTop w:val="0"/>
      <w:marBottom w:val="0"/>
      <w:divBdr>
        <w:top w:val="none" w:sz="0" w:space="0" w:color="auto"/>
        <w:left w:val="none" w:sz="0" w:space="0" w:color="auto"/>
        <w:bottom w:val="none" w:sz="0" w:space="0" w:color="auto"/>
        <w:right w:val="none" w:sz="0" w:space="0" w:color="auto"/>
      </w:divBdr>
      <w:divsChild>
        <w:div w:id="35276254">
          <w:marLeft w:val="0"/>
          <w:marRight w:val="0"/>
          <w:marTop w:val="0"/>
          <w:marBottom w:val="0"/>
          <w:divBdr>
            <w:top w:val="none" w:sz="0" w:space="0" w:color="auto"/>
            <w:left w:val="none" w:sz="0" w:space="0" w:color="auto"/>
            <w:bottom w:val="none" w:sz="0" w:space="0" w:color="auto"/>
            <w:right w:val="none" w:sz="0" w:space="0" w:color="auto"/>
          </w:divBdr>
          <w:divsChild>
            <w:div w:id="18432682">
              <w:marLeft w:val="0"/>
              <w:marRight w:val="0"/>
              <w:marTop w:val="0"/>
              <w:marBottom w:val="0"/>
              <w:divBdr>
                <w:top w:val="none" w:sz="0" w:space="0" w:color="auto"/>
                <w:left w:val="none" w:sz="0" w:space="0" w:color="auto"/>
                <w:bottom w:val="none" w:sz="0" w:space="0" w:color="auto"/>
                <w:right w:val="none" w:sz="0" w:space="0" w:color="auto"/>
              </w:divBdr>
              <w:divsChild>
                <w:div w:id="490219543">
                  <w:marLeft w:val="0"/>
                  <w:marRight w:val="0"/>
                  <w:marTop w:val="0"/>
                  <w:marBottom w:val="0"/>
                  <w:divBdr>
                    <w:top w:val="none" w:sz="0" w:space="0" w:color="auto"/>
                    <w:left w:val="none" w:sz="0" w:space="0" w:color="auto"/>
                    <w:bottom w:val="none" w:sz="0" w:space="0" w:color="auto"/>
                    <w:right w:val="none" w:sz="0" w:space="0" w:color="auto"/>
                  </w:divBdr>
                  <w:divsChild>
                    <w:div w:id="1130246165">
                      <w:marLeft w:val="0"/>
                      <w:marRight w:val="0"/>
                      <w:marTop w:val="0"/>
                      <w:marBottom w:val="0"/>
                      <w:divBdr>
                        <w:top w:val="none" w:sz="0" w:space="0" w:color="auto"/>
                        <w:left w:val="none" w:sz="0" w:space="0" w:color="auto"/>
                        <w:bottom w:val="none" w:sz="0" w:space="0" w:color="auto"/>
                        <w:right w:val="none" w:sz="0" w:space="0" w:color="auto"/>
                      </w:divBdr>
                      <w:divsChild>
                        <w:div w:id="982737909">
                          <w:marLeft w:val="0"/>
                          <w:marRight w:val="0"/>
                          <w:marTop w:val="0"/>
                          <w:marBottom w:val="0"/>
                          <w:divBdr>
                            <w:top w:val="none" w:sz="0" w:space="0" w:color="auto"/>
                            <w:left w:val="none" w:sz="0" w:space="0" w:color="auto"/>
                            <w:bottom w:val="none" w:sz="0" w:space="0" w:color="auto"/>
                            <w:right w:val="none" w:sz="0" w:space="0" w:color="auto"/>
                          </w:divBdr>
                          <w:divsChild>
                            <w:div w:id="150028017">
                              <w:marLeft w:val="0"/>
                              <w:marRight w:val="0"/>
                              <w:marTop w:val="0"/>
                              <w:marBottom w:val="0"/>
                              <w:divBdr>
                                <w:top w:val="none" w:sz="0" w:space="0" w:color="auto"/>
                                <w:left w:val="none" w:sz="0" w:space="0" w:color="auto"/>
                                <w:bottom w:val="none" w:sz="0" w:space="0" w:color="auto"/>
                                <w:right w:val="none" w:sz="0" w:space="0" w:color="auto"/>
                              </w:divBdr>
                              <w:divsChild>
                                <w:div w:id="810755919">
                                  <w:marLeft w:val="0"/>
                                  <w:marRight w:val="0"/>
                                  <w:marTop w:val="0"/>
                                  <w:marBottom w:val="0"/>
                                  <w:divBdr>
                                    <w:top w:val="none" w:sz="0" w:space="0" w:color="auto"/>
                                    <w:left w:val="none" w:sz="0" w:space="0" w:color="auto"/>
                                    <w:bottom w:val="none" w:sz="0" w:space="0" w:color="auto"/>
                                    <w:right w:val="none" w:sz="0" w:space="0" w:color="auto"/>
                                  </w:divBdr>
                                  <w:divsChild>
                                    <w:div w:id="474877614">
                                      <w:marLeft w:val="60"/>
                                      <w:marRight w:val="0"/>
                                      <w:marTop w:val="0"/>
                                      <w:marBottom w:val="0"/>
                                      <w:divBdr>
                                        <w:top w:val="none" w:sz="0" w:space="0" w:color="auto"/>
                                        <w:left w:val="none" w:sz="0" w:space="0" w:color="auto"/>
                                        <w:bottom w:val="none" w:sz="0" w:space="0" w:color="auto"/>
                                        <w:right w:val="none" w:sz="0" w:space="0" w:color="auto"/>
                                      </w:divBdr>
                                      <w:divsChild>
                                        <w:div w:id="1288660533">
                                          <w:marLeft w:val="0"/>
                                          <w:marRight w:val="0"/>
                                          <w:marTop w:val="0"/>
                                          <w:marBottom w:val="0"/>
                                          <w:divBdr>
                                            <w:top w:val="none" w:sz="0" w:space="0" w:color="auto"/>
                                            <w:left w:val="none" w:sz="0" w:space="0" w:color="auto"/>
                                            <w:bottom w:val="none" w:sz="0" w:space="0" w:color="auto"/>
                                            <w:right w:val="none" w:sz="0" w:space="0" w:color="auto"/>
                                          </w:divBdr>
                                          <w:divsChild>
                                            <w:div w:id="1180463724">
                                              <w:marLeft w:val="0"/>
                                              <w:marRight w:val="0"/>
                                              <w:marTop w:val="0"/>
                                              <w:marBottom w:val="120"/>
                                              <w:divBdr>
                                                <w:top w:val="single" w:sz="6" w:space="0" w:color="F5F5F5"/>
                                                <w:left w:val="single" w:sz="6" w:space="0" w:color="F5F5F5"/>
                                                <w:bottom w:val="single" w:sz="6" w:space="0" w:color="F5F5F5"/>
                                                <w:right w:val="single" w:sz="6" w:space="0" w:color="F5F5F5"/>
                                              </w:divBdr>
                                              <w:divsChild>
                                                <w:div w:id="262609280">
                                                  <w:marLeft w:val="0"/>
                                                  <w:marRight w:val="0"/>
                                                  <w:marTop w:val="0"/>
                                                  <w:marBottom w:val="0"/>
                                                  <w:divBdr>
                                                    <w:top w:val="none" w:sz="0" w:space="0" w:color="auto"/>
                                                    <w:left w:val="none" w:sz="0" w:space="0" w:color="auto"/>
                                                    <w:bottom w:val="none" w:sz="0" w:space="0" w:color="auto"/>
                                                    <w:right w:val="none" w:sz="0" w:space="0" w:color="auto"/>
                                                  </w:divBdr>
                                                  <w:divsChild>
                                                    <w:div w:id="17739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5441541">
      <w:bodyDiv w:val="1"/>
      <w:marLeft w:val="0"/>
      <w:marRight w:val="0"/>
      <w:marTop w:val="0"/>
      <w:marBottom w:val="0"/>
      <w:divBdr>
        <w:top w:val="none" w:sz="0" w:space="0" w:color="auto"/>
        <w:left w:val="none" w:sz="0" w:space="0" w:color="auto"/>
        <w:bottom w:val="none" w:sz="0" w:space="0" w:color="auto"/>
        <w:right w:val="none" w:sz="0" w:space="0" w:color="auto"/>
      </w:divBdr>
    </w:div>
    <w:div w:id="1907840616">
      <w:bodyDiv w:val="1"/>
      <w:marLeft w:val="0"/>
      <w:marRight w:val="0"/>
      <w:marTop w:val="0"/>
      <w:marBottom w:val="0"/>
      <w:divBdr>
        <w:top w:val="none" w:sz="0" w:space="0" w:color="auto"/>
        <w:left w:val="none" w:sz="0" w:space="0" w:color="auto"/>
        <w:bottom w:val="none" w:sz="0" w:space="0" w:color="auto"/>
        <w:right w:val="none" w:sz="0" w:space="0" w:color="auto"/>
      </w:divBdr>
    </w:div>
    <w:div w:id="212148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ustomXml" Target="../customXml/item1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chart" Target="charts/chart2.xml"/><Relationship Id="rId10" Type="http://schemas.openxmlformats.org/officeDocument/2006/relationships/settings" Target="settings.xml"/><Relationship Id="rId19" Type="http://schemas.openxmlformats.org/officeDocument/2006/relationships/fontTable" Target="fontTable.xml"/><Relationship Id="R43cb510e968348c6" Type="http://schemas.openxmlformats.org/officeDocument/2006/relationships/glossaryDocument" Target="/word/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hart" Target="charts/chart1.xml"/></Relationships>
</file>

<file path=word/_rels/footnotes.xml.rels><?xml version="1.0" encoding="UTF-8" standalone="yes"?>
<Relationships xmlns="http://schemas.openxmlformats.org/package/2006/relationships"><Relationship Id="rId1" Type="http://schemas.openxmlformats.org/officeDocument/2006/relationships/hyperlink" Target="https://idblegacy.iadb.org/es/investigacion-y-datos/informe-macroeconomico-de-america-latina-y-el-caribe-2017,20812.html"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GABRIELAAR\Downloads\WEOApr2018all.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gabrielaar\AppData\Roaming\Microsoft\Excel\&#205;ndice%20de%20apertura%20comercial%20%20Porcentaje%20%20(1)%20(version%201).xlsb"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gabrielaar\Documents\GII\Pipeline\Pipeline%20INE%202018\PBL%20Panam&#225;\estad&#237;sticas\Inversi&#243;n%20Extranjera%20Directa%20en%20el%20pa&#237;s%20%20Millones%20de%20US%20d&#243;lares%20(1).csv"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lineChart>
        <c:grouping val="standard"/>
        <c:varyColors val="0"/>
        <c:ser>
          <c:idx val="0"/>
          <c:order val="0"/>
          <c:spPr>
            <a:ln w="19050" cap="rnd" cmpd="sng" algn="ctr">
              <a:solidFill>
                <a:schemeClr val="accent5">
                  <a:shade val="95000"/>
                  <a:satMod val="105000"/>
                </a:schemeClr>
              </a:solidFill>
              <a:round/>
            </a:ln>
            <a:effectLst/>
          </c:spPr>
          <c:marker>
            <c:symbol val="circle"/>
            <c:size val="17"/>
            <c:spPr>
              <a:solidFill>
                <a:schemeClr val="l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es-CO"/>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WEOApr2018all!$AD$1:$AU$1</c:f>
              <c:numCache>
                <c:formatCode>General</c:formatCod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numCache>
            </c:numRef>
          </c:cat>
          <c:val>
            <c:numRef>
              <c:f>WEOApr2018all!$AD$3153:$AU$3153</c:f>
              <c:numCache>
                <c:formatCode>0.0</c:formatCode>
                <c:ptCount val="18"/>
                <c:pt idx="0">
                  <c:v>7.2910000000000004</c:v>
                </c:pt>
                <c:pt idx="1">
                  <c:v>2.7229999999999999</c:v>
                </c:pt>
                <c:pt idx="2">
                  <c:v>3.754</c:v>
                </c:pt>
                <c:pt idx="3">
                  <c:v>4.5469999999999997</c:v>
                </c:pt>
                <c:pt idx="4">
                  <c:v>6.2320000000000002</c:v>
                </c:pt>
                <c:pt idx="5">
                  <c:v>6.0510000000000002</c:v>
                </c:pt>
                <c:pt idx="6">
                  <c:v>6.5670000000000002</c:v>
                </c:pt>
                <c:pt idx="7">
                  <c:v>6.1879999999999997</c:v>
                </c:pt>
                <c:pt idx="8">
                  <c:v>4.2320000000000002</c:v>
                </c:pt>
                <c:pt idx="9">
                  <c:v>-2.4319999999999999</c:v>
                </c:pt>
                <c:pt idx="10">
                  <c:v>3.7309999999999999</c:v>
                </c:pt>
                <c:pt idx="11">
                  <c:v>3.8359999999999999</c:v>
                </c:pt>
                <c:pt idx="12">
                  <c:v>4.1289999999999996</c:v>
                </c:pt>
                <c:pt idx="13">
                  <c:v>2.7919999999999998</c:v>
                </c:pt>
                <c:pt idx="14">
                  <c:v>3.0579999999999998</c:v>
                </c:pt>
                <c:pt idx="15">
                  <c:v>3.84</c:v>
                </c:pt>
                <c:pt idx="16">
                  <c:v>3.7519999999999998</c:v>
                </c:pt>
                <c:pt idx="17">
                  <c:v>4.7850000000000001</c:v>
                </c:pt>
              </c:numCache>
            </c:numRef>
          </c:val>
          <c:smooth val="0"/>
          <c:extLst>
            <c:ext xmlns:c16="http://schemas.microsoft.com/office/drawing/2014/chart" uri="{C3380CC4-5D6E-409C-BE32-E72D297353CC}">
              <c16:uniqueId val="{00000000-B178-45E9-A0A3-6D253F489C90}"/>
            </c:ext>
          </c:extLst>
        </c:ser>
        <c:dLbls>
          <c:dLblPos val="ctr"/>
          <c:showLegendKey val="0"/>
          <c:showVal val="1"/>
          <c:showCatName val="0"/>
          <c:showSerName val="0"/>
          <c:showPercent val="0"/>
          <c:showBubbleSize val="0"/>
        </c:dLbls>
        <c:marker val="1"/>
        <c:smooth val="0"/>
        <c:axId val="628691832"/>
        <c:axId val="628691504"/>
      </c:lineChart>
      <c:catAx>
        <c:axId val="628691832"/>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dk1">
                    <a:lumMod val="65000"/>
                    <a:lumOff val="35000"/>
                  </a:schemeClr>
                </a:solidFill>
                <a:latin typeface="+mn-lt"/>
                <a:ea typeface="+mn-ea"/>
                <a:cs typeface="+mn-cs"/>
              </a:defRPr>
            </a:pPr>
            <a:endParaRPr lang="es-CO"/>
          </a:p>
        </c:txPr>
        <c:crossAx val="628691504"/>
        <c:crosses val="autoZero"/>
        <c:auto val="1"/>
        <c:lblAlgn val="ctr"/>
        <c:lblOffset val="100"/>
        <c:noMultiLvlLbl val="0"/>
      </c:catAx>
      <c:valAx>
        <c:axId val="628691504"/>
        <c:scaling>
          <c:orientation val="minMax"/>
        </c:scaling>
        <c:delete val="1"/>
        <c:axPos val="l"/>
        <c:title>
          <c:tx>
            <c:rich>
              <a:bodyPr rot="-54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r>
                  <a:rPr lang="en-US"/>
                  <a:t>Tasa de</a:t>
                </a:r>
                <a:r>
                  <a:rPr lang="en-US" baseline="0"/>
                  <a:t> Variación %</a:t>
                </a:r>
                <a:endParaRPr lang="en-US"/>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s-CO"/>
            </a:p>
          </c:txPr>
        </c:title>
        <c:numFmt formatCode="0.0" sourceLinked="1"/>
        <c:majorTickMark val="none"/>
        <c:minorTickMark val="none"/>
        <c:tickLblPos val="nextTo"/>
        <c:crossAx val="6286918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dLbl>
              <c:idx val="3"/>
              <c:spPr>
                <a:noFill/>
                <a:ln>
                  <a:noFill/>
                </a:ln>
                <a:effectLst/>
              </c:spPr>
              <c:txPr>
                <a:bodyPr rot="-5400000" spcFirstLastPara="1" vertOverflow="clip" horzOverflow="clip" vert="horz" wrap="square" lIns="38100" tIns="19050" rIns="38100" bIns="19050" anchor="ctr" anchorCtr="1">
                  <a:spAutoFit/>
                </a:bodyPr>
                <a:lstStyle/>
                <a:p>
                  <a:pPr>
                    <a:defRPr sz="800" b="1" i="0" u="none" strike="noStrike" kern="1200" baseline="0">
                      <a:solidFill>
                        <a:srgbClr val="0000FF"/>
                      </a:solidFill>
                      <a:latin typeface="+mn-lt"/>
                      <a:ea typeface="+mn-ea"/>
                      <a:cs typeface="+mn-cs"/>
                    </a:defRPr>
                  </a:pPr>
                  <a:endParaRPr lang="es-CO"/>
                </a:p>
              </c:txPr>
              <c:dLblPos val="outEnd"/>
              <c:showLegendKey val="0"/>
              <c:showVal val="1"/>
              <c:showCatName val="0"/>
              <c:showSerName val="0"/>
              <c:showPercent val="0"/>
              <c:showBubbleSize val="0"/>
              <c:extLst>
                <c:ext xmlns:c16="http://schemas.microsoft.com/office/drawing/2014/chart" uri="{C3380CC4-5D6E-409C-BE32-E72D297353CC}">
                  <c16:uniqueId val="{00000000-FCEC-4E52-B843-9394B69B5D4B}"/>
                </c:ext>
              </c:extLst>
            </c:dLbl>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'Índice de apertura comercial  P'!$B$5:$G$5</c:f>
              <c:strCache>
                <c:ptCount val="6"/>
                <c:pt idx="0">
                  <c:v>Costa Rica</c:v>
                </c:pt>
                <c:pt idx="1">
                  <c:v>El Salvador</c:v>
                </c:pt>
                <c:pt idx="2">
                  <c:v>Guatemala</c:v>
                </c:pt>
                <c:pt idx="3">
                  <c:v>Honduras</c:v>
                </c:pt>
                <c:pt idx="4">
                  <c:v>Nicaragua</c:v>
                </c:pt>
                <c:pt idx="5">
                  <c:v>Panamá</c:v>
                </c:pt>
              </c:strCache>
            </c:strRef>
          </c:cat>
          <c:val>
            <c:numRef>
              <c:f>'Índice de apertura comercial  P'!$B$17:$G$17</c:f>
              <c:numCache>
                <c:formatCode>0%</c:formatCode>
                <c:ptCount val="6"/>
                <c:pt idx="0">
                  <c:v>0.433</c:v>
                </c:pt>
                <c:pt idx="1">
                  <c:v>0.502</c:v>
                </c:pt>
                <c:pt idx="2">
                  <c:v>0.32200000000000001</c:v>
                </c:pt>
                <c:pt idx="3">
                  <c:v>0.57100000000000006</c:v>
                </c:pt>
                <c:pt idx="4">
                  <c:v>0.60699999999999998</c:v>
                </c:pt>
                <c:pt idx="5">
                  <c:v>0.23</c:v>
                </c:pt>
              </c:numCache>
            </c:numRef>
          </c:val>
          <c:extLst>
            <c:ext xmlns:c16="http://schemas.microsoft.com/office/drawing/2014/chart" uri="{C3380CC4-5D6E-409C-BE32-E72D297353CC}">
              <c16:uniqueId val="{00000000-3968-49E0-A23F-2919854A5E91}"/>
            </c:ext>
          </c:extLst>
        </c:ser>
        <c:dLbls>
          <c:dLblPos val="outEnd"/>
          <c:showLegendKey val="0"/>
          <c:showVal val="1"/>
          <c:showCatName val="0"/>
          <c:showSerName val="0"/>
          <c:showPercent val="0"/>
          <c:showBubbleSize val="0"/>
        </c:dLbls>
        <c:gapWidth val="444"/>
        <c:overlap val="-90"/>
        <c:axId val="968482792"/>
        <c:axId val="968483120"/>
      </c:barChart>
      <c:catAx>
        <c:axId val="9684827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s-CO"/>
          </a:p>
        </c:txPr>
        <c:crossAx val="968483120"/>
        <c:crosses val="autoZero"/>
        <c:auto val="1"/>
        <c:lblAlgn val="ctr"/>
        <c:lblOffset val="100"/>
        <c:noMultiLvlLbl val="0"/>
      </c:catAx>
      <c:valAx>
        <c:axId val="968483120"/>
        <c:scaling>
          <c:orientation val="minMax"/>
        </c:scaling>
        <c:delete val="1"/>
        <c:axPos val="l"/>
        <c:numFmt formatCode="0%" sourceLinked="1"/>
        <c:majorTickMark val="none"/>
        <c:minorTickMark val="none"/>
        <c:tickLblPos val="nextTo"/>
        <c:crossAx val="96848279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CFED-4086-B5A8-56FBDC2CC58D}"/>
              </c:ext>
            </c:extLst>
          </c:dPt>
          <c:dPt>
            <c:idx val="1"/>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CFED-4086-B5A8-56FBDC2CC58D}"/>
              </c:ext>
            </c:extLst>
          </c:dPt>
          <c:dPt>
            <c:idx val="2"/>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CFED-4086-B5A8-56FBDC2CC58D}"/>
              </c:ext>
            </c:extLst>
          </c:dPt>
          <c:dPt>
            <c:idx val="3"/>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CFED-4086-B5A8-56FBDC2CC58D}"/>
              </c:ext>
            </c:extLst>
          </c:dPt>
          <c:dPt>
            <c:idx val="4"/>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CFED-4086-B5A8-56FBDC2CC58D}"/>
              </c:ext>
            </c:extLst>
          </c:dPt>
          <c:dPt>
            <c:idx val="5"/>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CFED-4086-B5A8-56FBDC2CC58D}"/>
              </c:ext>
            </c:extLst>
          </c:dPt>
          <c:dLbls>
            <c:dLbl>
              <c:idx val="0"/>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s-CO"/>
                </a:p>
              </c:txPr>
              <c:dLblPos val="outEnd"/>
              <c:showLegendKey val="0"/>
              <c:showVal val="1"/>
              <c:showCatName val="1"/>
              <c:showSerName val="0"/>
              <c:showPercent val="0"/>
              <c:showBubbleSize val="0"/>
              <c:extLst>
                <c:ext xmlns:c16="http://schemas.microsoft.com/office/drawing/2014/chart" uri="{C3380CC4-5D6E-409C-BE32-E72D297353CC}">
                  <c16:uniqueId val="{00000001-CFED-4086-B5A8-56FBDC2CC58D}"/>
                </c:ext>
              </c:extLst>
            </c:dLbl>
            <c:dLbl>
              <c:idx val="1"/>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3"/>
                      </a:solidFill>
                      <a:latin typeface="+mn-lt"/>
                      <a:ea typeface="+mn-ea"/>
                      <a:cs typeface="+mn-cs"/>
                    </a:defRPr>
                  </a:pPr>
                  <a:endParaRPr lang="es-CO"/>
                </a:p>
              </c:txPr>
              <c:dLblPos val="outEnd"/>
              <c:showLegendKey val="0"/>
              <c:showVal val="1"/>
              <c:showCatName val="1"/>
              <c:showSerName val="0"/>
              <c:showPercent val="0"/>
              <c:showBubbleSize val="0"/>
              <c:extLst>
                <c:ext xmlns:c16="http://schemas.microsoft.com/office/drawing/2014/chart" uri="{C3380CC4-5D6E-409C-BE32-E72D297353CC}">
                  <c16:uniqueId val="{00000003-CFED-4086-B5A8-56FBDC2CC58D}"/>
                </c:ext>
              </c:extLst>
            </c:dLbl>
            <c:dLbl>
              <c:idx val="2"/>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5"/>
                      </a:solidFill>
                      <a:latin typeface="+mn-lt"/>
                      <a:ea typeface="+mn-ea"/>
                      <a:cs typeface="+mn-cs"/>
                    </a:defRPr>
                  </a:pPr>
                  <a:endParaRPr lang="es-CO"/>
                </a:p>
              </c:txPr>
              <c:dLblPos val="outEnd"/>
              <c:showLegendKey val="0"/>
              <c:showVal val="1"/>
              <c:showCatName val="1"/>
              <c:showSerName val="0"/>
              <c:showPercent val="0"/>
              <c:showBubbleSize val="0"/>
              <c:extLst>
                <c:ext xmlns:c16="http://schemas.microsoft.com/office/drawing/2014/chart" uri="{C3380CC4-5D6E-409C-BE32-E72D297353CC}">
                  <c16:uniqueId val="{00000005-CFED-4086-B5A8-56FBDC2CC58D}"/>
                </c:ext>
              </c:extLst>
            </c:dLbl>
            <c:dLbl>
              <c:idx val="3"/>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lumMod val="60000"/>
                        </a:schemeClr>
                      </a:solidFill>
                      <a:latin typeface="+mn-lt"/>
                      <a:ea typeface="+mn-ea"/>
                      <a:cs typeface="+mn-cs"/>
                    </a:defRPr>
                  </a:pPr>
                  <a:endParaRPr lang="es-CO"/>
                </a:p>
              </c:txPr>
              <c:dLblPos val="outEnd"/>
              <c:showLegendKey val="0"/>
              <c:showVal val="1"/>
              <c:showCatName val="1"/>
              <c:showSerName val="0"/>
              <c:showPercent val="0"/>
              <c:showBubbleSize val="0"/>
              <c:extLst>
                <c:ext xmlns:c16="http://schemas.microsoft.com/office/drawing/2014/chart" uri="{C3380CC4-5D6E-409C-BE32-E72D297353CC}">
                  <c16:uniqueId val="{00000007-CFED-4086-B5A8-56FBDC2CC58D}"/>
                </c:ext>
              </c:extLst>
            </c:dLbl>
            <c:dLbl>
              <c:idx val="4"/>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3">
                          <a:lumMod val="60000"/>
                        </a:schemeClr>
                      </a:solidFill>
                      <a:latin typeface="+mn-lt"/>
                      <a:ea typeface="+mn-ea"/>
                      <a:cs typeface="+mn-cs"/>
                    </a:defRPr>
                  </a:pPr>
                  <a:endParaRPr lang="es-CO"/>
                </a:p>
              </c:txPr>
              <c:dLblPos val="outEnd"/>
              <c:showLegendKey val="0"/>
              <c:showVal val="1"/>
              <c:showCatName val="1"/>
              <c:showSerName val="0"/>
              <c:showPercent val="0"/>
              <c:showBubbleSize val="0"/>
              <c:extLst>
                <c:ext xmlns:c16="http://schemas.microsoft.com/office/drawing/2014/chart" uri="{C3380CC4-5D6E-409C-BE32-E72D297353CC}">
                  <c16:uniqueId val="{00000009-CFED-4086-B5A8-56FBDC2CC58D}"/>
                </c:ext>
              </c:extLst>
            </c:dLbl>
            <c:dLbl>
              <c:idx val="5"/>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5">
                          <a:lumMod val="60000"/>
                        </a:schemeClr>
                      </a:solidFill>
                      <a:latin typeface="+mn-lt"/>
                      <a:ea typeface="+mn-ea"/>
                      <a:cs typeface="+mn-cs"/>
                    </a:defRPr>
                  </a:pPr>
                  <a:endParaRPr lang="es-CO"/>
                </a:p>
              </c:txPr>
              <c:dLblPos val="outEnd"/>
              <c:showLegendKey val="0"/>
              <c:showVal val="1"/>
              <c:showCatName val="1"/>
              <c:showSerName val="0"/>
              <c:showPercent val="0"/>
              <c:showBubbleSize val="0"/>
              <c:extLst>
                <c:ext xmlns:c16="http://schemas.microsoft.com/office/drawing/2014/chart" uri="{C3380CC4-5D6E-409C-BE32-E72D297353CC}">
                  <c16:uniqueId val="{0000000B-CFED-4086-B5A8-56FBDC2CC58D}"/>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s-CO"/>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'Inversión Extranjera Directa en'!$B$4:$G$4</c:f>
              <c:strCache>
                <c:ptCount val="6"/>
                <c:pt idx="0">
                  <c:v>Costa Rica</c:v>
                </c:pt>
                <c:pt idx="1">
                  <c:v>El Salvador</c:v>
                </c:pt>
                <c:pt idx="2">
                  <c:v>Guatemala</c:v>
                </c:pt>
                <c:pt idx="3">
                  <c:v>Honduras</c:v>
                </c:pt>
                <c:pt idx="4">
                  <c:v>Nicaragua</c:v>
                </c:pt>
                <c:pt idx="5">
                  <c:v>Panamá</c:v>
                </c:pt>
              </c:strCache>
            </c:strRef>
          </c:cat>
          <c:val>
            <c:numRef>
              <c:f>'Inversión Extranjera Directa en'!$K$31:$P$31</c:f>
              <c:numCache>
                <c:formatCode>0%</c:formatCode>
                <c:ptCount val="6"/>
                <c:pt idx="0">
                  <c:v>0.24200925244453789</c:v>
                </c:pt>
                <c:pt idx="1">
                  <c:v>3.2514982651666489E-2</c:v>
                </c:pt>
                <c:pt idx="2">
                  <c:v>0.10345915256019345</c:v>
                </c:pt>
                <c:pt idx="3">
                  <c:v>8.7801843479479891E-2</c:v>
                </c:pt>
                <c:pt idx="4">
                  <c:v>7.7787123681351406E-2</c:v>
                </c:pt>
                <c:pt idx="5">
                  <c:v>0.45642764518277079</c:v>
                </c:pt>
              </c:numCache>
            </c:numRef>
          </c:val>
          <c:extLst>
            <c:ext xmlns:c16="http://schemas.microsoft.com/office/drawing/2014/chart" uri="{C3380CC4-5D6E-409C-BE32-E72D297353CC}">
              <c16:uniqueId val="{0000000C-CFED-4086-B5A8-56FBDC2CC58D}"/>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withinLinear" id="18">
  <a:schemeClr val="accent5"/>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4">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1000" kern="120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cs:styleClr val="auto"/>
    </cs:fontRef>
    <cs:spPr/>
    <cs:defRPr sz="900" b="1" i="0" u="none" strike="noStrike" kern="1200" baseline="0"/>
  </cs:dataLabel>
  <cs:dataLabelCallout>
    <cs:lnRef idx="0"/>
    <cs:fillRef idx="0"/>
    <cs:effectRef idx="0"/>
    <cs:fontRef idx="minor">
      <a:schemeClr val="dk1">
        <a:lumMod val="65000"/>
        <a:lumOff val="35000"/>
      </a:schemeClr>
    </cs:fontRef>
    <cs:spPr>
      <a:solidFill>
        <a:schemeClr val="lt1"/>
      </a:solidFill>
      <a:ln w="9575">
        <a:solidFill>
          <a:schemeClr val="lt1">
            <a:lumMod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19050" cap="rnd" cmpd="sng" algn="ctr">
        <a:solidFill>
          <a:schemeClr val="phClr">
            <a:shade val="95000"/>
            <a:satMod val="105000"/>
          </a:schemeClr>
        </a:solidFill>
        <a:round/>
      </a:ln>
    </cs:spPr>
  </cs:dataPointLine>
  <cs:dataPointMarker>
    <cs:lnRef idx="0"/>
    <cs:fillRef idx="0"/>
    <cs:effectRef idx="0"/>
    <cs:fontRef idx="minor">
      <a:schemeClr val="dk1"/>
    </cs:fontRef>
    <cs:spPr>
      <a:solidFill>
        <a:schemeClr val="lt1"/>
      </a:solidFill>
    </cs:spPr>
  </cs:dataPointMarker>
  <cs:dataPointMarkerLayout symbol="circle" size="17"/>
  <cs:dataPointWireframe>
    <cs:lnRef idx="0">
      <cs:styleClr val="auto"/>
    </cs:lnRef>
    <cs:fillRef idx="1"/>
    <cs:effectRef idx="0"/>
    <cs:fontRef idx="minor">
      <a:schemeClr val="dk1"/>
    </cs:fontRef>
    <cs:spPr>
      <a:ln w="9525">
        <a:solidFill>
          <a:schemeClr val="phClr"/>
        </a:solidFill>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35000"/>
            <a:lumOff val="65000"/>
          </a:schemeClr>
        </a:solidFill>
      </a:ln>
    </cs:spPr>
  </cs:dropLine>
  <cs:errorBar>
    <cs:lnRef idx="0"/>
    <cs:fillRef idx="0"/>
    <cs:effectRef idx="0"/>
    <cs:fontRef idx="minor">
      <a:schemeClr val="dk1"/>
    </cs:fontRef>
    <cs:spPr>
      <a:ln w="9525">
        <a:solidFill>
          <a:schemeClr val="dk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ln>
    </cs:spPr>
  </cs:seriesLine>
  <cs:title>
    <cs:lnRef idx="0"/>
    <cs:fillRef idx="0"/>
    <cs:effectRef idx="0"/>
    <cs:fontRef idx="minor">
      <a:schemeClr val="dk1"/>
    </cs:fontRef>
    <cs:defRPr sz="1440" b="0" kern="1200" cap="all" spc="0" baseline="0">
      <a:gradFill>
        <a:gsLst>
          <a:gs pos="0">
            <a:schemeClr val="dk1">
              <a:lumMod val="50000"/>
              <a:lumOff val="50000"/>
            </a:schemeClr>
          </a:gs>
          <a:gs pos="100000">
            <a:schemeClr val="dk1">
              <a:lumMod val="85000"/>
              <a:lumOff val="15000"/>
            </a:schemeClr>
          </a:gs>
        </a:gsLst>
        <a:lin ang="5400000" scaled="0"/>
      </a:gradFill>
    </cs:defRPr>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50000"/>
            <a:lumOff val="50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36e1f87a-1071-4911-8a08-5bd8f5b12651}"/>
      </w:docPartPr>
      <w:docPartBody>
        <w:p w14:paraId="5C62FA2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Baladi Rodriguez,Aziz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0f151751-6416-4989-96c6-78ae1be43d3a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33</Value>
      <Value>25</Value>
      <Value>26</Value>
      <Value>32</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HO-L1198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R0002434047</Record_x0020_Number>
    <_dlc_DocId xmlns="cdc7663a-08f0-4737-9e8c-148ce897a09c">EZSHARE-1644203697-43</_dlc_DocId>
    <_dlc_DocIdUrl xmlns="cdc7663a-08f0-4737-9e8c-148ce897a09c">
      <Url>https://idbg.sharepoint.com/teams/EZ-HO-LON/HO-L1198/_layouts/15/DocIdRedir.aspx?ID=EZSHARE-1644203697-43</Url>
      <Description>EZSHARE-1644203697-43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A9D38138A405E49B8796F005EC87222" ma:contentTypeVersion="348" ma:contentTypeDescription="A content type to manage public (operations) IDB documents" ma:contentTypeScope="" ma:versionID="92deeef17ed5398a873b0fd5adbd11fc">
  <xsd:schema xmlns:xsd="http://www.w3.org/2001/XMLSchema" xmlns:xs="http://www.w3.org/2001/XMLSchema" xmlns:p="http://schemas.microsoft.com/office/2006/metadata/properties" xmlns:ns2="cdc7663a-08f0-4737-9e8c-148ce897a09c" targetNamespace="http://schemas.microsoft.com/office/2006/metadata/properties" ma:root="true" ma:fieldsID="07d0529ea2467e5778bf39222681e4f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7B26B06-0232-49F5-BEF0-93D3CDD3162B}"/>
</file>

<file path=customXml/itemProps10.xml><?xml version="1.0" encoding="utf-8"?>
<ds:datastoreItem xmlns:ds="http://schemas.openxmlformats.org/officeDocument/2006/customXml" ds:itemID="{5B62DF00-EC86-476D-8B85-1C097AEDFA8E}"/>
</file>

<file path=customXml/itemProps11.xml><?xml version="1.0" encoding="utf-8"?>
<ds:datastoreItem xmlns:ds="http://schemas.openxmlformats.org/officeDocument/2006/customXml" ds:itemID="{49A93B1C-F835-437C-98FB-C7DDACBB1BB0}"/>
</file>

<file path=customXml/itemProps12.xml><?xml version="1.0" encoding="utf-8"?>
<ds:datastoreItem xmlns:ds="http://schemas.openxmlformats.org/officeDocument/2006/customXml" ds:itemID="{8EF389B2-A67C-44B9-B85E-750ED44FB6C9}"/>
</file>

<file path=customXml/itemProps2.xml><?xml version="1.0" encoding="utf-8"?>
<ds:datastoreItem xmlns:ds="http://schemas.openxmlformats.org/officeDocument/2006/customXml" ds:itemID="{EC20726C-80B5-47DD-96A1-398D88669F14}">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897CD5B1-0F8F-42B6-8D4E-6C456A7A48A7}"/>
</file>

<file path=customXml/itemProps4.xml><?xml version="1.0" encoding="utf-8"?>
<ds:datastoreItem xmlns:ds="http://schemas.openxmlformats.org/officeDocument/2006/customXml" ds:itemID="{0F840736-6340-4B71-B7C7-8016430619CD}">
  <ds:schemaRefs>
    <ds:schemaRef ds:uri="http://schemas.microsoft.com/sharepoint/v3/contenttype/forms"/>
  </ds:schemaRefs>
</ds:datastoreItem>
</file>

<file path=customXml/itemProps5.xml><?xml version="1.0" encoding="utf-8"?>
<ds:datastoreItem xmlns:ds="http://schemas.openxmlformats.org/officeDocument/2006/customXml" ds:itemID="{1137243F-809D-4DBC-870F-520EC45636CE}">
  <ds:schemaRefs>
    <ds:schemaRef ds:uri="http://schemas.microsoft.com/sharepoint/events"/>
  </ds:schemaRefs>
</ds:datastoreItem>
</file>

<file path=customXml/itemProps6.xml><?xml version="1.0" encoding="utf-8"?>
<ds:datastoreItem xmlns:ds="http://schemas.openxmlformats.org/officeDocument/2006/customXml" ds:itemID="{D9DF235E-AA3C-4723-AFA6-DCE06A0E77E4}">
  <ds:schemaRefs>
    <ds:schemaRef ds:uri="http://schemas.microsoft.com/sharepoint/v3/contenttype/forms/url"/>
  </ds:schemaRefs>
</ds:datastoreItem>
</file>

<file path=customXml/itemProps7.xml><?xml version="1.0" encoding="utf-8"?>
<ds:datastoreItem xmlns:ds="http://schemas.openxmlformats.org/officeDocument/2006/customXml" ds:itemID="{F03C1A65-78C8-47FF-906D-E292A975A243}">
  <ds:schemaRefs>
    <ds:schemaRef ds:uri="http://schemas.openxmlformats.org/officeDocument/2006/bibliography"/>
  </ds:schemaRefs>
</ds:datastoreItem>
</file>

<file path=customXml/itemProps8.xml><?xml version="1.0" encoding="utf-8"?>
<ds:datastoreItem xmlns:ds="http://schemas.openxmlformats.org/officeDocument/2006/customXml" ds:itemID="{E47C5BB2-639D-47C1-90E0-5BAD1C8BECBF}"/>
</file>

<file path=customXml/itemProps9.xml><?xml version="1.0" encoding="utf-8"?>
<ds:datastoreItem xmlns:ds="http://schemas.openxmlformats.org/officeDocument/2006/customXml" ds:itemID="{3AC6CB11-0C67-4CE0-8D9A-66784C9EB39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Arteaga Velazquez, Gabriela Maria</dc:creator>
  <cp:keywords/>
  <dc:description/>
  <cp:lastModifiedBy>Rodriguez Molina, Raul</cp:lastModifiedBy>
  <cp:revision>10</cp:revision>
  <cp:lastPrinted>2018-03-27T21:59:00Z</cp:lastPrinted>
  <dcterms:created xsi:type="dcterms:W3CDTF">2018-07-18T13:40:00Z</dcterms:created>
  <dcterms:modified xsi:type="dcterms:W3CDTF">2018-08-13T14:44:43Z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32;#TRANSPORT|0f151751-6416-4989-96c6-78ae1be43d3a</vt:lpwstr>
  </property>
  <property fmtid="{D5CDD505-2E9C-101B-9397-08002B2CF9AE}" pid="7" name="Fund IDB">
    <vt:lpwstr>25;#BLD|60acb4c1-0ef3-40ba-9d70-f741cd9e6c23</vt:lpwstr>
  </property>
  <property fmtid="{D5CDD505-2E9C-101B-9397-08002B2CF9AE}" pid="8" name="Country">
    <vt:lpwstr>26;#Honduras|0dd9f989-602d-4742-8212-5c1b8b0b74d5</vt:lpwstr>
  </property>
  <property fmtid="{D5CDD505-2E9C-101B-9397-08002B2CF9AE}" pid="9" name="Sector IDB">
    <vt:lpwstr>33;#TRANSPORT|5a25d1a8-4baf-41a8-9e3b-e167accda6ea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0ac90ede-d913-4c8f-9879-f7c64bd01d71</vt:lpwstr>
  </property>
  <property fmtid="{D5CDD505-2E9C-101B-9397-08002B2CF9AE}" pid="12" name="Disclosure Activity">
    <vt:lpwstr>Loan Proposal</vt:lpwstr>
  </property>
  <property fmtid="{D5CDD505-2E9C-101B-9397-08002B2CF9AE}" pid="13" name="ContentTypeId">
    <vt:lpwstr>0x0101001A458A224826124E8B45B1D613300CFC006A9D38138A405E49B8796F005EC87222</vt:lpwstr>
  </property>
</Properties>
</file>