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84961" w14:textId="77777777" w:rsidR="00BE13E5" w:rsidRPr="00A02F7C" w:rsidRDefault="00BE13E5" w:rsidP="00BF5444">
      <w:pPr>
        <w:jc w:val="center"/>
        <w:rPr>
          <w:rFonts w:ascii="Arial" w:hAnsi="Arial" w:cs="Arial"/>
          <w:sz w:val="28"/>
          <w:szCs w:val="28"/>
          <w:lang w:val="es-ES"/>
        </w:rPr>
      </w:pPr>
    </w:p>
    <w:p w14:paraId="7E23D21F" w14:textId="77777777" w:rsidR="00BE13E5" w:rsidRPr="00A02F7C" w:rsidRDefault="00BE13E5" w:rsidP="00BF5444">
      <w:pPr>
        <w:jc w:val="center"/>
        <w:rPr>
          <w:rFonts w:ascii="Arial" w:hAnsi="Arial" w:cs="Arial"/>
          <w:sz w:val="28"/>
          <w:szCs w:val="28"/>
          <w:lang w:val="es-ES"/>
        </w:rPr>
      </w:pPr>
    </w:p>
    <w:p w14:paraId="3F40DED5" w14:textId="77777777" w:rsidR="00BE13E5" w:rsidRPr="00A02F7C" w:rsidRDefault="00BE13E5" w:rsidP="00BF5444">
      <w:pPr>
        <w:jc w:val="center"/>
        <w:rPr>
          <w:rFonts w:ascii="Arial" w:hAnsi="Arial" w:cs="Arial"/>
          <w:sz w:val="28"/>
          <w:szCs w:val="28"/>
          <w:lang w:val="es-ES"/>
        </w:rPr>
      </w:pPr>
    </w:p>
    <w:p w14:paraId="36B156B0" w14:textId="77777777" w:rsidR="00BE13E5" w:rsidRPr="00A02F7C" w:rsidRDefault="00BE13E5" w:rsidP="00BF5444">
      <w:pPr>
        <w:jc w:val="center"/>
        <w:rPr>
          <w:rFonts w:ascii="Arial" w:hAnsi="Arial" w:cs="Arial"/>
          <w:sz w:val="28"/>
          <w:szCs w:val="28"/>
          <w:lang w:val="es-ES"/>
        </w:rPr>
      </w:pPr>
    </w:p>
    <w:p w14:paraId="4C577873" w14:textId="77777777" w:rsidR="007A2F3E" w:rsidRPr="00A02F7C" w:rsidRDefault="007A2F3E">
      <w:pPr>
        <w:jc w:val="center"/>
        <w:rPr>
          <w:rFonts w:ascii="Arial" w:hAnsi="Arial" w:cs="Arial"/>
          <w:lang w:val="es-ES"/>
        </w:rPr>
      </w:pPr>
      <w:r w:rsidRPr="00A02F7C">
        <w:rPr>
          <w:rFonts w:ascii="Arial" w:hAnsi="Arial" w:cs="Arial"/>
          <w:lang w:val="es-ES"/>
        </w:rPr>
        <w:t>Documento del Banco Interamericano de Desarrollo</w:t>
      </w:r>
    </w:p>
    <w:p w14:paraId="52B4BDCD" w14:textId="77777777" w:rsidR="007A2F3E" w:rsidRPr="00A02F7C" w:rsidRDefault="007A2F3E" w:rsidP="007A2F3E">
      <w:pPr>
        <w:keepNext/>
        <w:jc w:val="center"/>
        <w:outlineLvl w:val="0"/>
        <w:rPr>
          <w:rFonts w:ascii="Arial" w:hAnsi="Arial" w:cs="Arial"/>
          <w:sz w:val="28"/>
          <w:szCs w:val="28"/>
          <w:lang w:val="es-ES"/>
        </w:rPr>
      </w:pPr>
    </w:p>
    <w:p w14:paraId="7AE23C22" w14:textId="77777777" w:rsidR="007A2F3E" w:rsidRPr="00A02F7C" w:rsidRDefault="007A2F3E" w:rsidP="007A2F3E">
      <w:pPr>
        <w:keepNext/>
        <w:jc w:val="center"/>
        <w:rPr>
          <w:rFonts w:ascii="Arial" w:hAnsi="Arial" w:cs="Arial"/>
          <w:sz w:val="28"/>
          <w:szCs w:val="28"/>
          <w:lang w:val="es-ES"/>
        </w:rPr>
      </w:pPr>
    </w:p>
    <w:p w14:paraId="5429DC50" w14:textId="77777777" w:rsidR="007A2F3E" w:rsidRPr="00A02F7C" w:rsidRDefault="00980615">
      <w:pPr>
        <w:keepNext/>
        <w:jc w:val="center"/>
        <w:rPr>
          <w:rFonts w:ascii="Arial" w:hAnsi="Arial" w:cs="Arial"/>
          <w:b/>
          <w:bCs/>
          <w:smallCaps/>
          <w:sz w:val="28"/>
          <w:szCs w:val="28"/>
          <w:lang w:val="es-ES"/>
        </w:rPr>
      </w:pPr>
      <w:r w:rsidRPr="00A02F7C">
        <w:rPr>
          <w:rFonts w:ascii="Arial" w:hAnsi="Arial" w:cs="Arial"/>
          <w:b/>
          <w:bCs/>
          <w:smallCaps/>
          <w:sz w:val="28"/>
          <w:szCs w:val="28"/>
          <w:lang w:val="es-ES"/>
        </w:rPr>
        <w:t>Honduras</w:t>
      </w:r>
    </w:p>
    <w:p w14:paraId="64F5BB8E" w14:textId="77777777" w:rsidR="007A2F3E" w:rsidRPr="00A02F7C" w:rsidRDefault="007A2F3E" w:rsidP="007A2F3E">
      <w:pPr>
        <w:keepNext/>
        <w:jc w:val="center"/>
        <w:rPr>
          <w:rFonts w:ascii="Arial" w:hAnsi="Arial" w:cs="Arial"/>
          <w:b/>
          <w:smallCaps/>
          <w:sz w:val="28"/>
          <w:szCs w:val="28"/>
          <w:lang w:val="es-ES"/>
        </w:rPr>
      </w:pPr>
    </w:p>
    <w:p w14:paraId="42293644" w14:textId="77777777" w:rsidR="007A2F3E" w:rsidRPr="00A02F7C" w:rsidRDefault="007A2F3E" w:rsidP="007A2F3E">
      <w:pPr>
        <w:keepNext/>
        <w:jc w:val="center"/>
        <w:rPr>
          <w:rFonts w:ascii="Arial" w:hAnsi="Arial" w:cs="Arial"/>
          <w:b/>
          <w:smallCaps/>
          <w:sz w:val="28"/>
          <w:szCs w:val="28"/>
          <w:lang w:val="es-ES"/>
        </w:rPr>
      </w:pPr>
    </w:p>
    <w:p w14:paraId="421395F6" w14:textId="77777777" w:rsidR="007A2F3E" w:rsidRPr="00A02F7C" w:rsidRDefault="007A2F3E" w:rsidP="007A2F3E">
      <w:pPr>
        <w:keepNext/>
        <w:jc w:val="center"/>
        <w:rPr>
          <w:rFonts w:ascii="Arial" w:hAnsi="Arial" w:cs="Arial"/>
          <w:b/>
          <w:smallCaps/>
          <w:sz w:val="28"/>
          <w:szCs w:val="28"/>
          <w:lang w:val="es-ES"/>
        </w:rPr>
      </w:pPr>
    </w:p>
    <w:p w14:paraId="046CCE3F" w14:textId="77777777" w:rsidR="007A2F3E" w:rsidRPr="00A02F7C" w:rsidRDefault="007A2F3E" w:rsidP="007A2F3E">
      <w:pPr>
        <w:keepNext/>
        <w:jc w:val="center"/>
        <w:rPr>
          <w:rFonts w:ascii="Arial" w:hAnsi="Arial" w:cs="Arial"/>
          <w:b/>
          <w:smallCaps/>
          <w:sz w:val="28"/>
          <w:szCs w:val="28"/>
          <w:lang w:val="es-ES"/>
        </w:rPr>
      </w:pPr>
    </w:p>
    <w:p w14:paraId="5D30EC20" w14:textId="77777777" w:rsidR="007A2F3E" w:rsidRPr="00A02F7C" w:rsidRDefault="007A2F3E">
      <w:pPr>
        <w:keepNext/>
        <w:jc w:val="center"/>
        <w:rPr>
          <w:rFonts w:ascii="Arial" w:hAnsi="Arial" w:cs="Arial"/>
          <w:b/>
          <w:bCs/>
          <w:smallCaps/>
          <w:sz w:val="28"/>
          <w:szCs w:val="28"/>
          <w:lang w:val="es-ES"/>
        </w:rPr>
      </w:pPr>
      <w:r w:rsidRPr="00A02F7C">
        <w:rPr>
          <w:rFonts w:ascii="Arial" w:hAnsi="Arial" w:cs="Arial"/>
          <w:b/>
          <w:bCs/>
          <w:smallCaps/>
          <w:sz w:val="28"/>
          <w:szCs w:val="28"/>
          <w:lang w:val="es-ES"/>
        </w:rPr>
        <w:t xml:space="preserve">Programa </w:t>
      </w:r>
      <w:r w:rsidR="00A251A4" w:rsidRPr="00A02F7C">
        <w:rPr>
          <w:rFonts w:ascii="Arial" w:hAnsi="Arial" w:cs="Arial"/>
          <w:b/>
          <w:bCs/>
          <w:smallCaps/>
          <w:sz w:val="28"/>
          <w:szCs w:val="28"/>
          <w:lang w:val="es-ES"/>
        </w:rPr>
        <w:t xml:space="preserve">de </w:t>
      </w:r>
      <w:r w:rsidRPr="00A02F7C">
        <w:rPr>
          <w:rFonts w:ascii="Arial" w:hAnsi="Arial" w:cs="Arial"/>
          <w:b/>
          <w:bCs/>
          <w:smallCaps/>
          <w:sz w:val="28"/>
          <w:szCs w:val="28"/>
          <w:lang w:val="es-ES"/>
        </w:rPr>
        <w:t>Reforma</w:t>
      </w:r>
      <w:r w:rsidR="00A251A4" w:rsidRPr="00A02F7C">
        <w:rPr>
          <w:rFonts w:ascii="Arial" w:hAnsi="Arial" w:cs="Arial"/>
          <w:b/>
          <w:bCs/>
          <w:smallCaps/>
          <w:sz w:val="28"/>
          <w:szCs w:val="28"/>
          <w:lang w:val="es-ES"/>
        </w:rPr>
        <w:t>s</w:t>
      </w:r>
      <w:r w:rsidRPr="00A02F7C">
        <w:rPr>
          <w:rFonts w:ascii="Arial" w:hAnsi="Arial" w:cs="Arial"/>
          <w:b/>
          <w:bCs/>
          <w:smallCaps/>
          <w:sz w:val="28"/>
          <w:szCs w:val="28"/>
          <w:lang w:val="es-ES"/>
        </w:rPr>
        <w:t xml:space="preserve"> de</w:t>
      </w:r>
      <w:r w:rsidR="00A251A4" w:rsidRPr="00A02F7C">
        <w:rPr>
          <w:rFonts w:ascii="Arial" w:hAnsi="Arial" w:cs="Arial"/>
          <w:b/>
          <w:bCs/>
          <w:smallCaps/>
          <w:sz w:val="28"/>
          <w:szCs w:val="28"/>
          <w:lang w:val="es-ES"/>
        </w:rPr>
        <w:t>l Sector Transporte y Logística de Carga de Honduras</w:t>
      </w:r>
    </w:p>
    <w:p w14:paraId="38DF6C08" w14:textId="77777777" w:rsidR="007A2F3E" w:rsidRPr="00A02F7C" w:rsidRDefault="007A2F3E" w:rsidP="007A2F3E">
      <w:pPr>
        <w:keepNext/>
        <w:jc w:val="center"/>
        <w:rPr>
          <w:rFonts w:ascii="Arial" w:hAnsi="Arial" w:cs="Arial"/>
          <w:b/>
          <w:smallCaps/>
          <w:sz w:val="28"/>
          <w:szCs w:val="28"/>
          <w:lang w:val="es-ES"/>
        </w:rPr>
      </w:pPr>
    </w:p>
    <w:p w14:paraId="6E4031AA" w14:textId="77777777" w:rsidR="007A2F3E" w:rsidRPr="00A02F7C" w:rsidRDefault="007A2F3E" w:rsidP="007A2F3E">
      <w:pPr>
        <w:keepNext/>
        <w:jc w:val="center"/>
        <w:rPr>
          <w:rFonts w:ascii="Arial" w:hAnsi="Arial" w:cs="Arial"/>
          <w:b/>
          <w:smallCaps/>
          <w:sz w:val="28"/>
          <w:szCs w:val="28"/>
          <w:lang w:val="es-ES"/>
        </w:rPr>
      </w:pPr>
    </w:p>
    <w:p w14:paraId="2FBE40E4" w14:textId="77777777" w:rsidR="007A2F3E" w:rsidRPr="00A02F7C" w:rsidRDefault="007A2F3E" w:rsidP="007A2F3E">
      <w:pPr>
        <w:keepNext/>
        <w:jc w:val="center"/>
        <w:rPr>
          <w:rFonts w:ascii="Arial" w:hAnsi="Arial" w:cs="Arial"/>
          <w:smallCaps/>
          <w:sz w:val="28"/>
          <w:szCs w:val="28"/>
          <w:lang w:val="es-ES"/>
        </w:rPr>
      </w:pPr>
      <w:r w:rsidRPr="00A02F7C">
        <w:rPr>
          <w:rFonts w:ascii="Arial" w:hAnsi="Arial" w:cs="Arial"/>
          <w:b/>
          <w:bCs/>
          <w:smallCaps/>
          <w:sz w:val="28"/>
          <w:szCs w:val="28"/>
          <w:lang w:val="es-ES"/>
        </w:rPr>
        <w:t>(</w:t>
      </w:r>
      <w:r w:rsidR="00A251A4" w:rsidRPr="00A02F7C">
        <w:rPr>
          <w:rFonts w:ascii="Arial" w:hAnsi="Arial" w:cs="Arial"/>
          <w:b/>
          <w:bCs/>
          <w:smallCaps/>
          <w:sz w:val="28"/>
          <w:szCs w:val="28"/>
          <w:lang w:val="es-ES"/>
        </w:rPr>
        <w:t>HO</w:t>
      </w:r>
      <w:r w:rsidRPr="00A02F7C">
        <w:rPr>
          <w:rFonts w:ascii="Arial" w:hAnsi="Arial" w:cs="Arial"/>
          <w:b/>
          <w:bCs/>
          <w:smallCaps/>
          <w:sz w:val="28"/>
          <w:szCs w:val="28"/>
          <w:lang w:val="es-ES"/>
        </w:rPr>
        <w:t>-L1</w:t>
      </w:r>
      <w:r w:rsidR="00E57F9A" w:rsidRPr="00A02F7C">
        <w:rPr>
          <w:rFonts w:ascii="Arial" w:hAnsi="Arial" w:cs="Arial"/>
          <w:b/>
          <w:bCs/>
          <w:smallCaps/>
          <w:sz w:val="28"/>
          <w:szCs w:val="28"/>
          <w:lang w:val="es-ES"/>
        </w:rPr>
        <w:t>1</w:t>
      </w:r>
      <w:r w:rsidR="00A251A4" w:rsidRPr="00A02F7C">
        <w:rPr>
          <w:rFonts w:ascii="Arial" w:hAnsi="Arial" w:cs="Arial"/>
          <w:b/>
          <w:bCs/>
          <w:smallCaps/>
          <w:sz w:val="28"/>
          <w:szCs w:val="28"/>
          <w:lang w:val="es-ES"/>
        </w:rPr>
        <w:t>98</w:t>
      </w:r>
      <w:r w:rsidRPr="00A02F7C">
        <w:rPr>
          <w:rFonts w:ascii="Arial" w:hAnsi="Arial" w:cs="Arial"/>
          <w:b/>
          <w:bCs/>
          <w:smallCaps/>
          <w:sz w:val="28"/>
          <w:szCs w:val="28"/>
          <w:lang w:val="es-ES"/>
        </w:rPr>
        <w:t>)</w:t>
      </w:r>
    </w:p>
    <w:p w14:paraId="30CC47AA" w14:textId="77777777" w:rsidR="007A2F3E" w:rsidRPr="00A02F7C" w:rsidRDefault="007A2F3E" w:rsidP="007A2F3E">
      <w:pPr>
        <w:keepNext/>
        <w:jc w:val="center"/>
        <w:rPr>
          <w:rFonts w:ascii="Arial" w:hAnsi="Arial" w:cs="Arial"/>
          <w:smallCaps/>
          <w:sz w:val="28"/>
          <w:szCs w:val="28"/>
          <w:lang w:val="es-ES"/>
        </w:rPr>
      </w:pPr>
    </w:p>
    <w:p w14:paraId="27E6209F" w14:textId="77777777" w:rsidR="007A2F3E" w:rsidRPr="00A02F7C" w:rsidRDefault="007A2F3E" w:rsidP="007A2F3E">
      <w:pPr>
        <w:keepNext/>
        <w:jc w:val="center"/>
        <w:rPr>
          <w:rFonts w:ascii="Arial" w:hAnsi="Arial" w:cs="Arial"/>
          <w:smallCaps/>
          <w:sz w:val="28"/>
          <w:szCs w:val="28"/>
          <w:lang w:val="es-ES"/>
        </w:rPr>
      </w:pPr>
    </w:p>
    <w:p w14:paraId="427E41C3" w14:textId="77777777" w:rsidR="007A2F3E" w:rsidRPr="00A02F7C" w:rsidRDefault="007A2F3E" w:rsidP="00BF5444">
      <w:pPr>
        <w:jc w:val="center"/>
        <w:rPr>
          <w:rFonts w:ascii="Arial" w:hAnsi="Arial" w:cs="Arial"/>
          <w:sz w:val="28"/>
          <w:szCs w:val="28"/>
          <w:lang w:val="es-ES"/>
        </w:rPr>
      </w:pPr>
    </w:p>
    <w:p w14:paraId="00ADB30E" w14:textId="77777777" w:rsidR="007A2F3E" w:rsidRPr="00A02F7C" w:rsidRDefault="007A2F3E">
      <w:pPr>
        <w:jc w:val="center"/>
        <w:rPr>
          <w:rFonts w:ascii="Arial" w:hAnsi="Arial" w:cs="Arial"/>
          <w:b/>
          <w:bCs/>
          <w:smallCaps/>
          <w:sz w:val="28"/>
          <w:szCs w:val="28"/>
          <w:lang w:val="es-ES"/>
        </w:rPr>
      </w:pPr>
      <w:r w:rsidRPr="00A02F7C">
        <w:rPr>
          <w:rFonts w:ascii="Arial" w:hAnsi="Arial" w:cs="Arial"/>
          <w:b/>
          <w:bCs/>
          <w:smallCaps/>
          <w:sz w:val="28"/>
          <w:szCs w:val="28"/>
          <w:lang w:val="es-ES"/>
        </w:rPr>
        <w:t>Plan de Monitoreo y Evaluación</w:t>
      </w:r>
    </w:p>
    <w:p w14:paraId="22BAD211" w14:textId="77777777" w:rsidR="007A2F3E" w:rsidRPr="00A02F7C" w:rsidRDefault="007A2F3E" w:rsidP="007A2F3E">
      <w:pPr>
        <w:keepNext/>
        <w:jc w:val="center"/>
        <w:rPr>
          <w:rFonts w:ascii="Arial" w:hAnsi="Arial" w:cs="Arial"/>
          <w:lang w:val="es-ES"/>
        </w:rPr>
      </w:pPr>
    </w:p>
    <w:p w14:paraId="74198F92" w14:textId="77777777" w:rsidR="007A2F3E" w:rsidRPr="00A02F7C" w:rsidRDefault="007A2F3E" w:rsidP="007A2F3E">
      <w:pPr>
        <w:keepNext/>
        <w:jc w:val="center"/>
        <w:rPr>
          <w:rFonts w:ascii="Arial" w:hAnsi="Arial" w:cs="Arial"/>
          <w:lang w:val="es-ES"/>
        </w:rPr>
      </w:pPr>
    </w:p>
    <w:p w14:paraId="13A5BEA1" w14:textId="77777777" w:rsidR="007A2F3E" w:rsidRPr="00A02F7C" w:rsidRDefault="007A2F3E" w:rsidP="007A2F3E">
      <w:pPr>
        <w:keepNext/>
        <w:tabs>
          <w:tab w:val="left" w:pos="1440"/>
          <w:tab w:val="left" w:pos="3060"/>
        </w:tabs>
        <w:jc w:val="center"/>
        <w:rPr>
          <w:rFonts w:ascii="Arial" w:hAnsi="Arial" w:cs="Arial"/>
          <w:lang w:val="es-ES"/>
        </w:rPr>
      </w:pPr>
    </w:p>
    <w:p w14:paraId="588ED59E" w14:textId="77777777" w:rsidR="005F711A" w:rsidRPr="00A02F7C" w:rsidRDefault="005F711A" w:rsidP="007A2F3E">
      <w:pPr>
        <w:keepNext/>
        <w:tabs>
          <w:tab w:val="left" w:pos="1440"/>
          <w:tab w:val="left" w:pos="3060"/>
        </w:tabs>
        <w:jc w:val="center"/>
        <w:rPr>
          <w:rFonts w:ascii="Arial" w:hAnsi="Arial" w:cs="Arial"/>
          <w:lang w:val="es-ES"/>
        </w:rPr>
      </w:pPr>
    </w:p>
    <w:p w14:paraId="7AA5F1E6" w14:textId="77777777" w:rsidR="005F711A" w:rsidRPr="00A02F7C" w:rsidRDefault="005F711A" w:rsidP="007A2F3E">
      <w:pPr>
        <w:keepNext/>
        <w:tabs>
          <w:tab w:val="left" w:pos="1440"/>
          <w:tab w:val="left" w:pos="3060"/>
        </w:tabs>
        <w:jc w:val="center"/>
        <w:rPr>
          <w:rFonts w:ascii="Arial" w:hAnsi="Arial" w:cs="Arial"/>
          <w:lang w:val="es-ES"/>
        </w:rPr>
      </w:pPr>
    </w:p>
    <w:p w14:paraId="4B3E0D26" w14:textId="77777777" w:rsidR="005F711A" w:rsidRPr="00A02F7C" w:rsidRDefault="005F711A" w:rsidP="007A2F3E">
      <w:pPr>
        <w:keepNext/>
        <w:tabs>
          <w:tab w:val="left" w:pos="1440"/>
          <w:tab w:val="left" w:pos="3060"/>
        </w:tabs>
        <w:jc w:val="center"/>
        <w:rPr>
          <w:rFonts w:ascii="Arial" w:hAnsi="Arial" w:cs="Arial"/>
          <w:lang w:val="es-ES"/>
        </w:rPr>
      </w:pPr>
    </w:p>
    <w:p w14:paraId="268B49BE" w14:textId="77777777" w:rsidR="005F711A" w:rsidRPr="00A02F7C" w:rsidRDefault="005F711A" w:rsidP="007A2F3E">
      <w:pPr>
        <w:keepNext/>
        <w:tabs>
          <w:tab w:val="left" w:pos="1440"/>
          <w:tab w:val="left" w:pos="3060"/>
        </w:tabs>
        <w:jc w:val="center"/>
        <w:rPr>
          <w:rFonts w:ascii="Arial" w:hAnsi="Arial" w:cs="Arial"/>
          <w:lang w:val="es-ES"/>
        </w:rPr>
      </w:pPr>
    </w:p>
    <w:p w14:paraId="4898B6D2" w14:textId="77777777" w:rsidR="005F711A" w:rsidRPr="00A02F7C" w:rsidRDefault="005F711A" w:rsidP="007A2F3E">
      <w:pPr>
        <w:keepNext/>
        <w:tabs>
          <w:tab w:val="left" w:pos="1440"/>
          <w:tab w:val="left" w:pos="3060"/>
        </w:tabs>
        <w:jc w:val="center"/>
        <w:rPr>
          <w:rFonts w:ascii="Arial" w:hAnsi="Arial" w:cs="Arial"/>
          <w:lang w:val="es-ES"/>
        </w:rPr>
      </w:pPr>
    </w:p>
    <w:p w14:paraId="25AA63FE" w14:textId="77777777" w:rsidR="005F711A" w:rsidRPr="00A02F7C" w:rsidRDefault="005F711A" w:rsidP="007A2F3E">
      <w:pPr>
        <w:keepNext/>
        <w:tabs>
          <w:tab w:val="left" w:pos="1440"/>
          <w:tab w:val="left" w:pos="3060"/>
        </w:tabs>
        <w:jc w:val="center"/>
        <w:rPr>
          <w:rFonts w:ascii="Arial" w:hAnsi="Arial" w:cs="Arial"/>
          <w:lang w:val="es-ES"/>
        </w:rPr>
      </w:pPr>
    </w:p>
    <w:p w14:paraId="14CAC89D" w14:textId="77777777" w:rsidR="005F711A" w:rsidRPr="00A02F7C" w:rsidRDefault="005F711A" w:rsidP="007A2F3E">
      <w:pPr>
        <w:keepNext/>
        <w:tabs>
          <w:tab w:val="left" w:pos="1440"/>
          <w:tab w:val="left" w:pos="3060"/>
        </w:tabs>
        <w:jc w:val="center"/>
        <w:rPr>
          <w:rFonts w:ascii="Arial" w:hAnsi="Arial" w:cs="Arial"/>
          <w:lang w:val="es-ES"/>
        </w:rPr>
      </w:pPr>
    </w:p>
    <w:p w14:paraId="427EF17F" w14:textId="77777777" w:rsidR="005F711A" w:rsidRPr="00A02F7C" w:rsidRDefault="005F711A" w:rsidP="007A2F3E">
      <w:pPr>
        <w:keepNext/>
        <w:tabs>
          <w:tab w:val="left" w:pos="1440"/>
          <w:tab w:val="left" w:pos="3060"/>
        </w:tabs>
        <w:jc w:val="center"/>
        <w:rPr>
          <w:rFonts w:ascii="Arial" w:hAnsi="Arial" w:cs="Arial"/>
          <w:lang w:val="es-ES"/>
        </w:rPr>
      </w:pPr>
    </w:p>
    <w:p w14:paraId="1B037366" w14:textId="77777777" w:rsidR="005F711A" w:rsidRPr="00A02F7C" w:rsidRDefault="005F711A" w:rsidP="007A2F3E">
      <w:pPr>
        <w:keepNext/>
        <w:tabs>
          <w:tab w:val="left" w:pos="1440"/>
          <w:tab w:val="left" w:pos="3060"/>
        </w:tabs>
        <w:jc w:val="center"/>
        <w:rPr>
          <w:rFonts w:ascii="Arial" w:hAnsi="Arial" w:cs="Arial"/>
          <w:lang w:val="es-ES"/>
        </w:rPr>
      </w:pPr>
    </w:p>
    <w:p w14:paraId="6E6ED6DC" w14:textId="77777777" w:rsidR="00666520" w:rsidRPr="00A02F7C" w:rsidRDefault="00D23722" w:rsidP="00D23722">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
        </w:rPr>
        <w:sectPr w:rsidR="00666520" w:rsidRPr="00A02F7C" w:rsidSect="00666520">
          <w:headerReference w:type="even" r:id="rId14"/>
          <w:headerReference w:type="default" r:id="rId15"/>
          <w:footerReference w:type="even" r:id="rId16"/>
          <w:footerReference w:type="default" r:id="rId17"/>
          <w:headerReference w:type="first" r:id="rId18"/>
          <w:footerReference w:type="first" r:id="rId19"/>
          <w:pgSz w:w="12240" w:h="15840"/>
          <w:pgMar w:top="1440" w:right="1627" w:bottom="1440" w:left="1440" w:header="720" w:footer="720" w:gutter="0"/>
          <w:cols w:space="720"/>
          <w:titlePg/>
          <w:docGrid w:linePitch="360"/>
        </w:sectPr>
      </w:pPr>
      <w:r w:rsidRPr="00A02F7C">
        <w:rPr>
          <w:rFonts w:ascii="Arial" w:hAnsi="Arial" w:cs="Arial"/>
          <w:sz w:val="22"/>
          <w:szCs w:val="22"/>
          <w:lang w:val="es-ES"/>
        </w:rPr>
        <w:t>Este documento fue preparado por el equipo de proyecto integrado por: Raúl Rodríguez</w:t>
      </w:r>
      <w:r w:rsidR="005E2F8C" w:rsidRPr="00A02F7C">
        <w:rPr>
          <w:rFonts w:ascii="Arial" w:hAnsi="Arial" w:cs="Arial"/>
          <w:sz w:val="22"/>
          <w:szCs w:val="22"/>
          <w:lang w:val="es-ES"/>
        </w:rPr>
        <w:t xml:space="preserve"> </w:t>
      </w:r>
      <w:r w:rsidRPr="00A02F7C">
        <w:rPr>
          <w:rFonts w:ascii="Arial" w:hAnsi="Arial" w:cs="Arial"/>
          <w:sz w:val="22"/>
          <w:szCs w:val="22"/>
          <w:lang w:val="es-ES"/>
        </w:rPr>
        <w:t>Molina</w:t>
      </w:r>
      <w:r w:rsidR="00B85331" w:rsidRPr="00A02F7C">
        <w:rPr>
          <w:rFonts w:ascii="Arial" w:hAnsi="Arial" w:cs="Arial"/>
          <w:sz w:val="22"/>
          <w:szCs w:val="22"/>
          <w:lang w:val="es-ES"/>
        </w:rPr>
        <w:t>,</w:t>
      </w:r>
      <w:r w:rsidRPr="00A02F7C">
        <w:rPr>
          <w:rFonts w:ascii="Arial" w:hAnsi="Arial" w:cs="Arial"/>
          <w:sz w:val="22"/>
          <w:szCs w:val="22"/>
          <w:lang w:val="es-ES"/>
        </w:rPr>
        <w:t xml:space="preserve"> Jefe de Equipo</w:t>
      </w:r>
      <w:r w:rsidR="00B85331" w:rsidRPr="00A02F7C">
        <w:rPr>
          <w:rFonts w:ascii="Arial" w:hAnsi="Arial" w:cs="Arial"/>
          <w:sz w:val="22"/>
          <w:szCs w:val="22"/>
          <w:lang w:val="es-ES"/>
        </w:rPr>
        <w:t xml:space="preserve"> (INE/TSP)</w:t>
      </w:r>
      <w:r w:rsidRPr="00A02F7C">
        <w:rPr>
          <w:rFonts w:ascii="Arial" w:hAnsi="Arial" w:cs="Arial"/>
          <w:sz w:val="22"/>
          <w:szCs w:val="22"/>
          <w:lang w:val="es-ES"/>
        </w:rPr>
        <w:t xml:space="preserve">; </w:t>
      </w:r>
      <w:r w:rsidR="00FA1CDD" w:rsidRPr="00A02F7C">
        <w:rPr>
          <w:rFonts w:ascii="Arial" w:hAnsi="Arial" w:cs="Arial"/>
          <w:sz w:val="22"/>
          <w:szCs w:val="22"/>
          <w:lang w:val="es-CO"/>
        </w:rPr>
        <w:t>Margarita Libby, Jefa de Equipo Alterna (TIN/CPN); Alfonso Salazar y Juan José Larios (TSP/CHO); Julieta Abad (TSP/CAR); Reinaldo Fioravanti, Gabriela Arteaga y Aziz Baladi (INE/TSP); Agustín Sarriá (TIN/CES); María Cecilia del Puerto y Nadia Rauschert (FMP/CHO); y Enrique Ignacio Barragan (LEG/SGO</w:t>
      </w:r>
      <w:r w:rsidR="00FA1CDD" w:rsidRPr="00A02F7C">
        <w:rPr>
          <w:rFonts w:ascii="Arial" w:hAnsi="Arial" w:cs="Arial"/>
          <w:sz w:val="22"/>
          <w:szCs w:val="22"/>
          <w:lang w:val="es-ES"/>
        </w:rPr>
        <w:t>).</w:t>
      </w:r>
    </w:p>
    <w:p w14:paraId="2D35A8B7" w14:textId="77777777" w:rsidR="00C41116" w:rsidRPr="00A02F7C" w:rsidRDefault="007726B5" w:rsidP="00F64E64">
      <w:pPr>
        <w:pStyle w:val="ColorfulList-Accent11"/>
        <w:spacing w:after="0" w:line="360" w:lineRule="auto"/>
        <w:ind w:left="0"/>
        <w:jc w:val="center"/>
        <w:rPr>
          <w:rFonts w:ascii="Arial" w:hAnsi="Arial" w:cs="Arial"/>
          <w:b/>
          <w:bCs/>
          <w:smallCaps/>
          <w:sz w:val="24"/>
          <w:szCs w:val="24"/>
          <w:lang w:val="es-ES"/>
        </w:rPr>
      </w:pPr>
      <w:r w:rsidRPr="00A02F7C">
        <w:rPr>
          <w:rFonts w:ascii="Arial" w:hAnsi="Arial" w:cs="Arial"/>
          <w:b/>
          <w:bCs/>
          <w:smallCaps/>
          <w:sz w:val="24"/>
          <w:szCs w:val="24"/>
          <w:lang w:val="es-ES"/>
        </w:rPr>
        <w:lastRenderedPageBreak/>
        <w:t>Contenido</w:t>
      </w:r>
    </w:p>
    <w:sdt>
      <w:sdtPr>
        <w:rPr>
          <w:rFonts w:ascii="Arial" w:eastAsia="Calibri" w:hAnsi="Arial" w:cs="Arial"/>
          <w:b w:val="0"/>
          <w:bCs w:val="0"/>
          <w:color w:val="auto"/>
          <w:sz w:val="24"/>
          <w:szCs w:val="24"/>
          <w:lang w:val="es-ES" w:eastAsia="en-US"/>
        </w:rPr>
        <w:id w:val="-533500227"/>
        <w:docPartObj>
          <w:docPartGallery w:val="Table of Contents"/>
          <w:docPartUnique/>
        </w:docPartObj>
      </w:sdtPr>
      <w:sdtEndPr>
        <w:rPr>
          <w:rFonts w:eastAsiaTheme="minorHAnsi"/>
          <w:noProof/>
        </w:rPr>
      </w:sdtEndPr>
      <w:sdtContent>
        <w:p w14:paraId="7E963271" w14:textId="77777777" w:rsidR="00BF5444" w:rsidRPr="00A02F7C" w:rsidRDefault="00BF5444">
          <w:pPr>
            <w:pStyle w:val="TOCHeading"/>
            <w:rPr>
              <w:rFonts w:ascii="Arial" w:hAnsi="Arial" w:cs="Arial"/>
              <w:sz w:val="24"/>
              <w:szCs w:val="24"/>
              <w:lang w:val="es-ES"/>
            </w:rPr>
          </w:pPr>
        </w:p>
        <w:p w14:paraId="631A2191" w14:textId="77777777" w:rsidR="00B109A7" w:rsidRPr="00A02F7C" w:rsidRDefault="00BF5444">
          <w:pPr>
            <w:pStyle w:val="TOC1"/>
            <w:rPr>
              <w:rFonts w:ascii="Arial" w:eastAsiaTheme="minorEastAsia" w:hAnsi="Arial" w:cs="Arial"/>
              <w:noProof/>
              <w:sz w:val="24"/>
              <w:szCs w:val="24"/>
            </w:rPr>
          </w:pPr>
          <w:r w:rsidRPr="00A02F7C">
            <w:rPr>
              <w:rFonts w:ascii="Arial" w:hAnsi="Arial" w:cs="Arial"/>
              <w:sz w:val="24"/>
              <w:szCs w:val="24"/>
              <w:lang w:val="es-ES"/>
            </w:rPr>
            <w:fldChar w:fldCharType="begin"/>
          </w:r>
          <w:r w:rsidRPr="00A02F7C">
            <w:rPr>
              <w:rFonts w:ascii="Arial" w:hAnsi="Arial" w:cs="Arial"/>
              <w:sz w:val="24"/>
              <w:szCs w:val="24"/>
              <w:lang w:val="es-ES"/>
            </w:rPr>
            <w:instrText xml:space="preserve"> TOC \o "1-3" \h \z \u </w:instrText>
          </w:r>
          <w:r w:rsidRPr="00A02F7C">
            <w:rPr>
              <w:rFonts w:ascii="Arial" w:hAnsi="Arial" w:cs="Arial"/>
              <w:sz w:val="24"/>
              <w:szCs w:val="24"/>
              <w:lang w:val="es-ES"/>
            </w:rPr>
            <w:fldChar w:fldCharType="separate"/>
          </w:r>
          <w:hyperlink w:anchor="_Toc468954025" w:history="1">
            <w:r w:rsidR="00B109A7" w:rsidRPr="00A02F7C">
              <w:rPr>
                <w:rStyle w:val="Hyperlink"/>
                <w:rFonts w:ascii="Arial" w:hAnsi="Arial" w:cs="Arial"/>
                <w:b/>
                <w:noProof/>
                <w:sz w:val="24"/>
                <w:szCs w:val="24"/>
                <w:lang w:val="es-ES"/>
              </w:rPr>
              <w:t>I.</w:t>
            </w:r>
            <w:r w:rsidR="00B109A7" w:rsidRPr="00A02F7C">
              <w:rPr>
                <w:rFonts w:ascii="Arial" w:eastAsiaTheme="minorEastAsia" w:hAnsi="Arial" w:cs="Arial"/>
                <w:noProof/>
                <w:sz w:val="24"/>
                <w:szCs w:val="24"/>
              </w:rPr>
              <w:tab/>
            </w:r>
            <w:r w:rsidR="00B109A7" w:rsidRPr="00A02F7C">
              <w:rPr>
                <w:rStyle w:val="Hyperlink"/>
                <w:rFonts w:ascii="Arial" w:hAnsi="Arial" w:cs="Arial"/>
                <w:b/>
                <w:noProof/>
                <w:sz w:val="24"/>
                <w:szCs w:val="24"/>
                <w:lang w:val="es-ES"/>
              </w:rPr>
              <w:t>Introducción</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_Toc468954025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3</w:t>
            </w:r>
            <w:r w:rsidR="00B109A7" w:rsidRPr="00A02F7C">
              <w:rPr>
                <w:rFonts w:ascii="Arial" w:hAnsi="Arial" w:cs="Arial"/>
                <w:noProof/>
                <w:webHidden/>
                <w:sz w:val="24"/>
                <w:szCs w:val="24"/>
              </w:rPr>
              <w:fldChar w:fldCharType="end"/>
            </w:r>
          </w:hyperlink>
        </w:p>
        <w:p w14:paraId="7C86B614" w14:textId="77777777" w:rsidR="00B109A7" w:rsidRPr="00A02F7C" w:rsidRDefault="00CD5438">
          <w:pPr>
            <w:pStyle w:val="TOC1"/>
            <w:rPr>
              <w:rFonts w:ascii="Arial" w:eastAsiaTheme="minorEastAsia" w:hAnsi="Arial" w:cs="Arial"/>
              <w:noProof/>
              <w:sz w:val="24"/>
              <w:szCs w:val="24"/>
            </w:rPr>
          </w:pPr>
          <w:hyperlink w:anchor="_Toc468954026" w:history="1">
            <w:r w:rsidR="00B109A7" w:rsidRPr="00A02F7C">
              <w:rPr>
                <w:rStyle w:val="Hyperlink"/>
                <w:rFonts w:ascii="Arial" w:hAnsi="Arial" w:cs="Arial"/>
                <w:b/>
                <w:noProof/>
                <w:sz w:val="24"/>
                <w:szCs w:val="24"/>
                <w:lang w:val="es-ES"/>
              </w:rPr>
              <w:t>II.</w:t>
            </w:r>
            <w:r w:rsidR="00B109A7" w:rsidRPr="00A02F7C">
              <w:rPr>
                <w:rFonts w:ascii="Arial" w:eastAsiaTheme="minorEastAsia" w:hAnsi="Arial" w:cs="Arial"/>
                <w:noProof/>
                <w:sz w:val="24"/>
                <w:szCs w:val="24"/>
              </w:rPr>
              <w:tab/>
            </w:r>
            <w:r w:rsidR="00B109A7" w:rsidRPr="00A02F7C">
              <w:rPr>
                <w:rStyle w:val="Hyperlink"/>
                <w:rFonts w:ascii="Arial" w:hAnsi="Arial" w:cs="Arial"/>
                <w:b/>
                <w:noProof/>
                <w:sz w:val="24"/>
                <w:szCs w:val="24"/>
                <w:lang w:val="es-ES"/>
              </w:rPr>
              <w:t>Monitoreo del Programa.</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_Toc468954026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4</w:t>
            </w:r>
            <w:r w:rsidR="00B109A7" w:rsidRPr="00A02F7C">
              <w:rPr>
                <w:rFonts w:ascii="Arial" w:hAnsi="Arial" w:cs="Arial"/>
                <w:noProof/>
                <w:webHidden/>
                <w:sz w:val="24"/>
                <w:szCs w:val="24"/>
              </w:rPr>
              <w:fldChar w:fldCharType="end"/>
            </w:r>
          </w:hyperlink>
        </w:p>
        <w:p w14:paraId="57040783" w14:textId="77777777" w:rsidR="00B109A7" w:rsidRPr="00A02F7C" w:rsidRDefault="00CD5438" w:rsidP="008946DE">
          <w:pPr>
            <w:pStyle w:val="TOC2"/>
            <w:tabs>
              <w:tab w:val="left" w:pos="660"/>
              <w:tab w:val="right" w:leader="dot" w:pos="9163"/>
            </w:tabs>
            <w:ind w:firstLine="140"/>
            <w:rPr>
              <w:rFonts w:ascii="Arial" w:eastAsiaTheme="minorEastAsia" w:hAnsi="Arial" w:cs="Arial"/>
              <w:noProof/>
              <w:sz w:val="24"/>
              <w:szCs w:val="24"/>
            </w:rPr>
          </w:pPr>
          <w:hyperlink w:anchor="_Toc468954027" w:history="1">
            <w:r w:rsidR="00B109A7" w:rsidRPr="00A02F7C">
              <w:rPr>
                <w:rStyle w:val="Hyperlink"/>
                <w:rFonts w:ascii="Arial" w:hAnsi="Arial" w:cs="Arial"/>
                <w:noProof/>
                <w:sz w:val="24"/>
                <w:szCs w:val="24"/>
                <w:lang w:val="es-ES"/>
              </w:rPr>
              <w:t>a.</w:t>
            </w:r>
            <w:r w:rsidR="00B109A7" w:rsidRPr="00A02F7C">
              <w:rPr>
                <w:rFonts w:ascii="Arial" w:eastAsiaTheme="minorEastAsia" w:hAnsi="Arial" w:cs="Arial"/>
                <w:noProof/>
                <w:sz w:val="24"/>
                <w:szCs w:val="24"/>
              </w:rPr>
              <w:tab/>
            </w:r>
            <w:r w:rsidR="00B109A7" w:rsidRPr="00A02F7C">
              <w:rPr>
                <w:rStyle w:val="Hyperlink"/>
                <w:rFonts w:ascii="Arial" w:hAnsi="Arial" w:cs="Arial"/>
                <w:noProof/>
                <w:sz w:val="24"/>
                <w:szCs w:val="24"/>
                <w:lang w:val="es-ES"/>
              </w:rPr>
              <w:t>Indicadores de Producto</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_Toc468954027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4</w:t>
            </w:r>
            <w:r w:rsidR="00B109A7" w:rsidRPr="00A02F7C">
              <w:rPr>
                <w:rFonts w:ascii="Arial" w:hAnsi="Arial" w:cs="Arial"/>
                <w:noProof/>
                <w:webHidden/>
                <w:sz w:val="24"/>
                <w:szCs w:val="24"/>
              </w:rPr>
              <w:fldChar w:fldCharType="end"/>
            </w:r>
          </w:hyperlink>
        </w:p>
        <w:p w14:paraId="50A11C4F" w14:textId="77777777" w:rsidR="00B109A7" w:rsidRPr="00A02F7C" w:rsidRDefault="00CD5438" w:rsidP="008946DE">
          <w:pPr>
            <w:pStyle w:val="TOC2"/>
            <w:tabs>
              <w:tab w:val="left" w:pos="660"/>
              <w:tab w:val="right" w:leader="dot" w:pos="9163"/>
            </w:tabs>
            <w:ind w:firstLine="140"/>
            <w:rPr>
              <w:rFonts w:ascii="Arial" w:eastAsiaTheme="minorEastAsia" w:hAnsi="Arial" w:cs="Arial"/>
              <w:noProof/>
              <w:sz w:val="24"/>
              <w:szCs w:val="24"/>
            </w:rPr>
          </w:pPr>
          <w:hyperlink w:anchor="_Toc468954028" w:history="1">
            <w:r w:rsidR="00B109A7" w:rsidRPr="00A02F7C">
              <w:rPr>
                <w:rStyle w:val="Hyperlink"/>
                <w:rFonts w:ascii="Arial" w:hAnsi="Arial" w:cs="Arial"/>
                <w:noProof/>
                <w:sz w:val="24"/>
                <w:szCs w:val="24"/>
                <w:lang w:val="es-ES"/>
              </w:rPr>
              <w:t>b.</w:t>
            </w:r>
            <w:r w:rsidR="00B109A7" w:rsidRPr="00A02F7C">
              <w:rPr>
                <w:rFonts w:ascii="Arial" w:eastAsiaTheme="minorEastAsia" w:hAnsi="Arial" w:cs="Arial"/>
                <w:noProof/>
                <w:sz w:val="24"/>
                <w:szCs w:val="24"/>
              </w:rPr>
              <w:tab/>
            </w:r>
            <w:r w:rsidR="00B109A7" w:rsidRPr="00A02F7C">
              <w:rPr>
                <w:rStyle w:val="Hyperlink"/>
                <w:rFonts w:ascii="Arial" w:hAnsi="Arial" w:cs="Arial"/>
                <w:noProof/>
                <w:sz w:val="24"/>
                <w:szCs w:val="24"/>
                <w:lang w:val="es-ES"/>
              </w:rPr>
              <w:t>Cronograma de Actividades y Presupuesto Asociado.</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_Toc468954028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7</w:t>
            </w:r>
            <w:r w:rsidR="00B109A7" w:rsidRPr="00A02F7C">
              <w:rPr>
                <w:rFonts w:ascii="Arial" w:hAnsi="Arial" w:cs="Arial"/>
                <w:noProof/>
                <w:webHidden/>
                <w:sz w:val="24"/>
                <w:szCs w:val="24"/>
              </w:rPr>
              <w:fldChar w:fldCharType="end"/>
            </w:r>
          </w:hyperlink>
        </w:p>
        <w:p w14:paraId="4FC7D5DE" w14:textId="77777777" w:rsidR="00B109A7" w:rsidRPr="00A02F7C" w:rsidRDefault="00CD5438">
          <w:pPr>
            <w:pStyle w:val="TOC1"/>
            <w:rPr>
              <w:rFonts w:ascii="Arial" w:eastAsiaTheme="minorEastAsia" w:hAnsi="Arial" w:cs="Arial"/>
              <w:noProof/>
              <w:sz w:val="24"/>
              <w:szCs w:val="24"/>
            </w:rPr>
          </w:pPr>
          <w:hyperlink w:anchor="_Toc468954029" w:history="1">
            <w:r w:rsidR="00B109A7" w:rsidRPr="00A02F7C">
              <w:rPr>
                <w:rStyle w:val="Hyperlink"/>
                <w:rFonts w:ascii="Arial" w:hAnsi="Arial" w:cs="Arial"/>
                <w:b/>
                <w:noProof/>
                <w:sz w:val="24"/>
                <w:szCs w:val="24"/>
                <w:lang w:val="es-ES"/>
              </w:rPr>
              <w:t>III.</w:t>
            </w:r>
            <w:r w:rsidR="00B109A7" w:rsidRPr="00A02F7C">
              <w:rPr>
                <w:rFonts w:ascii="Arial" w:eastAsiaTheme="minorEastAsia" w:hAnsi="Arial" w:cs="Arial"/>
                <w:noProof/>
                <w:sz w:val="24"/>
                <w:szCs w:val="24"/>
              </w:rPr>
              <w:tab/>
            </w:r>
            <w:r w:rsidR="00B109A7" w:rsidRPr="00A02F7C">
              <w:rPr>
                <w:rStyle w:val="Hyperlink"/>
                <w:rFonts w:ascii="Arial" w:hAnsi="Arial" w:cs="Arial"/>
                <w:b/>
                <w:noProof/>
                <w:sz w:val="24"/>
                <w:szCs w:val="24"/>
                <w:lang w:val="es-ES"/>
              </w:rPr>
              <w:t>Evaluación del Programa</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_Toc468954029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8</w:t>
            </w:r>
            <w:r w:rsidR="00B109A7" w:rsidRPr="00A02F7C">
              <w:rPr>
                <w:rFonts w:ascii="Arial" w:hAnsi="Arial" w:cs="Arial"/>
                <w:noProof/>
                <w:webHidden/>
                <w:sz w:val="24"/>
                <w:szCs w:val="24"/>
              </w:rPr>
              <w:fldChar w:fldCharType="end"/>
            </w:r>
          </w:hyperlink>
        </w:p>
        <w:p w14:paraId="40649751" w14:textId="77777777" w:rsidR="00B109A7" w:rsidRPr="00A02F7C" w:rsidRDefault="00CD5438" w:rsidP="008946DE">
          <w:pPr>
            <w:pStyle w:val="TOC2"/>
            <w:tabs>
              <w:tab w:val="left" w:pos="660"/>
              <w:tab w:val="right" w:leader="dot" w:pos="9163"/>
            </w:tabs>
            <w:ind w:left="360"/>
            <w:rPr>
              <w:rFonts w:ascii="Arial" w:eastAsiaTheme="minorEastAsia" w:hAnsi="Arial" w:cs="Arial"/>
              <w:noProof/>
              <w:sz w:val="24"/>
              <w:szCs w:val="24"/>
            </w:rPr>
          </w:pPr>
          <w:hyperlink w:anchor="_Toc468954031" w:history="1">
            <w:r w:rsidR="00B109A7" w:rsidRPr="00A02F7C">
              <w:rPr>
                <w:rStyle w:val="Hyperlink"/>
                <w:rFonts w:ascii="Arial" w:hAnsi="Arial" w:cs="Arial"/>
                <w:noProof/>
                <w:sz w:val="24"/>
                <w:szCs w:val="24"/>
                <w:lang w:val="es-ES"/>
              </w:rPr>
              <w:t>a.</w:t>
            </w:r>
            <w:r w:rsidR="00B109A7" w:rsidRPr="00A02F7C">
              <w:rPr>
                <w:rFonts w:ascii="Arial" w:eastAsiaTheme="minorEastAsia" w:hAnsi="Arial" w:cs="Arial"/>
                <w:noProof/>
                <w:sz w:val="24"/>
                <w:szCs w:val="24"/>
              </w:rPr>
              <w:tab/>
            </w:r>
            <w:r w:rsidR="00B109A7" w:rsidRPr="00A02F7C">
              <w:rPr>
                <w:rStyle w:val="Hyperlink"/>
                <w:rFonts w:ascii="Arial" w:hAnsi="Arial" w:cs="Arial"/>
                <w:noProof/>
                <w:sz w:val="24"/>
                <w:szCs w:val="24"/>
                <w:lang w:val="es-ES"/>
              </w:rPr>
              <w:t>Preguntas de Evaluación.</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_Toc468954031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8</w:t>
            </w:r>
            <w:r w:rsidR="00B109A7" w:rsidRPr="00A02F7C">
              <w:rPr>
                <w:rFonts w:ascii="Arial" w:hAnsi="Arial" w:cs="Arial"/>
                <w:noProof/>
                <w:webHidden/>
                <w:sz w:val="24"/>
                <w:szCs w:val="24"/>
              </w:rPr>
              <w:fldChar w:fldCharType="end"/>
            </w:r>
          </w:hyperlink>
        </w:p>
        <w:p w14:paraId="6E0DC6F4" w14:textId="77777777" w:rsidR="00B109A7" w:rsidRPr="00A02F7C" w:rsidRDefault="00CD5438" w:rsidP="008946DE">
          <w:pPr>
            <w:pStyle w:val="TOC2"/>
            <w:tabs>
              <w:tab w:val="left" w:pos="660"/>
              <w:tab w:val="right" w:leader="dot" w:pos="9163"/>
            </w:tabs>
            <w:ind w:left="360"/>
            <w:rPr>
              <w:rFonts w:ascii="Arial" w:eastAsiaTheme="minorEastAsia" w:hAnsi="Arial" w:cs="Arial"/>
              <w:noProof/>
              <w:sz w:val="24"/>
              <w:szCs w:val="24"/>
            </w:rPr>
          </w:pPr>
          <w:hyperlink w:anchor="_Toc468954066" w:history="1">
            <w:r w:rsidR="00B109A7" w:rsidRPr="00A02F7C">
              <w:rPr>
                <w:rStyle w:val="Hyperlink"/>
                <w:rFonts w:ascii="Arial" w:hAnsi="Arial" w:cs="Arial"/>
                <w:noProof/>
                <w:sz w:val="24"/>
                <w:szCs w:val="24"/>
                <w:lang w:val="es-ES"/>
              </w:rPr>
              <w:t>b.</w:t>
            </w:r>
            <w:r w:rsidR="00B109A7" w:rsidRPr="00A02F7C">
              <w:rPr>
                <w:rFonts w:ascii="Arial" w:eastAsiaTheme="minorEastAsia" w:hAnsi="Arial" w:cs="Arial"/>
                <w:noProof/>
                <w:sz w:val="24"/>
                <w:szCs w:val="24"/>
              </w:rPr>
              <w:tab/>
            </w:r>
            <w:r w:rsidR="00B109A7" w:rsidRPr="00A02F7C">
              <w:rPr>
                <w:rStyle w:val="Hyperlink"/>
                <w:rFonts w:ascii="Arial" w:hAnsi="Arial" w:cs="Arial"/>
                <w:noProof/>
                <w:sz w:val="24"/>
                <w:szCs w:val="24"/>
                <w:lang w:val="es-ES"/>
              </w:rPr>
              <w:t>Indicadores Principales para la Evaluación</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_Toc468954066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9</w:t>
            </w:r>
            <w:r w:rsidR="00B109A7" w:rsidRPr="00A02F7C">
              <w:rPr>
                <w:rFonts w:ascii="Arial" w:hAnsi="Arial" w:cs="Arial"/>
                <w:noProof/>
                <w:webHidden/>
                <w:sz w:val="24"/>
                <w:szCs w:val="24"/>
              </w:rPr>
              <w:fldChar w:fldCharType="end"/>
            </w:r>
          </w:hyperlink>
        </w:p>
        <w:p w14:paraId="21967840" w14:textId="77777777" w:rsidR="00B109A7" w:rsidRPr="00A02F7C" w:rsidRDefault="00CD5438" w:rsidP="008946DE">
          <w:pPr>
            <w:pStyle w:val="TOC2"/>
            <w:tabs>
              <w:tab w:val="left" w:pos="660"/>
              <w:tab w:val="right" w:leader="dot" w:pos="9163"/>
            </w:tabs>
            <w:ind w:left="360"/>
            <w:rPr>
              <w:rFonts w:ascii="Arial" w:eastAsiaTheme="minorEastAsia" w:hAnsi="Arial" w:cs="Arial"/>
              <w:noProof/>
              <w:sz w:val="24"/>
              <w:szCs w:val="24"/>
            </w:rPr>
          </w:pPr>
          <w:hyperlink w:anchor="_Toc468954067" w:history="1">
            <w:r w:rsidR="00B109A7" w:rsidRPr="00A02F7C">
              <w:rPr>
                <w:rStyle w:val="Hyperlink"/>
                <w:rFonts w:ascii="Arial" w:hAnsi="Arial" w:cs="Arial"/>
                <w:noProof/>
                <w:sz w:val="24"/>
                <w:szCs w:val="24"/>
                <w:lang w:val="es-ES"/>
              </w:rPr>
              <w:t>c.</w:t>
            </w:r>
            <w:r w:rsidR="00B109A7" w:rsidRPr="00A02F7C">
              <w:rPr>
                <w:rFonts w:ascii="Arial" w:eastAsiaTheme="minorEastAsia" w:hAnsi="Arial" w:cs="Arial"/>
                <w:noProof/>
                <w:sz w:val="24"/>
                <w:szCs w:val="24"/>
              </w:rPr>
              <w:tab/>
            </w:r>
            <w:r w:rsidR="00B109A7" w:rsidRPr="00A02F7C">
              <w:rPr>
                <w:rStyle w:val="Hyperlink"/>
                <w:rFonts w:ascii="Arial" w:hAnsi="Arial" w:cs="Arial"/>
                <w:noProof/>
                <w:sz w:val="24"/>
                <w:szCs w:val="24"/>
                <w:lang w:val="es-ES"/>
              </w:rPr>
              <w:t>Conocimiento sectorial previo</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_Toc468954067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11</w:t>
            </w:r>
            <w:r w:rsidR="00B109A7" w:rsidRPr="00A02F7C">
              <w:rPr>
                <w:rFonts w:ascii="Arial" w:hAnsi="Arial" w:cs="Arial"/>
                <w:noProof/>
                <w:webHidden/>
                <w:sz w:val="24"/>
                <w:szCs w:val="24"/>
              </w:rPr>
              <w:fldChar w:fldCharType="end"/>
            </w:r>
          </w:hyperlink>
        </w:p>
        <w:p w14:paraId="24900199" w14:textId="77777777" w:rsidR="00B109A7" w:rsidRPr="00A02F7C" w:rsidRDefault="00CD5438" w:rsidP="008946DE">
          <w:pPr>
            <w:pStyle w:val="TOC2"/>
            <w:tabs>
              <w:tab w:val="left" w:pos="660"/>
              <w:tab w:val="right" w:leader="dot" w:pos="9163"/>
            </w:tabs>
            <w:ind w:left="360"/>
            <w:rPr>
              <w:rFonts w:ascii="Arial" w:eastAsiaTheme="minorEastAsia" w:hAnsi="Arial" w:cs="Arial"/>
              <w:noProof/>
              <w:sz w:val="24"/>
              <w:szCs w:val="24"/>
            </w:rPr>
          </w:pPr>
          <w:hyperlink w:anchor="_Toc468954100" w:history="1">
            <w:r w:rsidR="00B109A7" w:rsidRPr="00A02F7C">
              <w:rPr>
                <w:rStyle w:val="Hyperlink"/>
                <w:rFonts w:ascii="Arial" w:hAnsi="Arial" w:cs="Arial"/>
                <w:noProof/>
                <w:sz w:val="24"/>
                <w:szCs w:val="24"/>
                <w:lang w:val="es-ES"/>
              </w:rPr>
              <w:t>d.</w:t>
            </w:r>
            <w:r w:rsidR="00B109A7" w:rsidRPr="00A02F7C">
              <w:rPr>
                <w:rFonts w:ascii="Arial" w:eastAsiaTheme="minorEastAsia" w:hAnsi="Arial" w:cs="Arial"/>
                <w:noProof/>
                <w:sz w:val="24"/>
                <w:szCs w:val="24"/>
              </w:rPr>
              <w:tab/>
            </w:r>
            <w:r w:rsidR="00B109A7" w:rsidRPr="00A02F7C">
              <w:rPr>
                <w:rStyle w:val="Hyperlink"/>
                <w:rFonts w:ascii="Arial" w:hAnsi="Arial" w:cs="Arial"/>
                <w:noProof/>
                <w:sz w:val="24"/>
                <w:szCs w:val="24"/>
                <w:lang w:val="es-ES"/>
              </w:rPr>
              <w:t>Metodología de Evaluación</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_Toc468954100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12</w:t>
            </w:r>
            <w:r w:rsidR="00B109A7" w:rsidRPr="00A02F7C">
              <w:rPr>
                <w:rFonts w:ascii="Arial" w:hAnsi="Arial" w:cs="Arial"/>
                <w:noProof/>
                <w:webHidden/>
                <w:sz w:val="24"/>
                <w:szCs w:val="24"/>
              </w:rPr>
              <w:fldChar w:fldCharType="end"/>
            </w:r>
          </w:hyperlink>
        </w:p>
        <w:p w14:paraId="439A15F6" w14:textId="77777777" w:rsidR="00B109A7" w:rsidRPr="00A02F7C" w:rsidRDefault="00CD5438" w:rsidP="008946DE">
          <w:pPr>
            <w:pStyle w:val="TOC2"/>
            <w:tabs>
              <w:tab w:val="left" w:pos="660"/>
              <w:tab w:val="right" w:leader="dot" w:pos="9163"/>
            </w:tabs>
            <w:ind w:left="360"/>
            <w:rPr>
              <w:rFonts w:ascii="Arial" w:eastAsiaTheme="minorEastAsia" w:hAnsi="Arial" w:cs="Arial"/>
              <w:noProof/>
              <w:sz w:val="24"/>
              <w:szCs w:val="24"/>
            </w:rPr>
          </w:pPr>
          <w:hyperlink w:anchor="_Toc468954101" w:history="1">
            <w:r w:rsidR="00B109A7" w:rsidRPr="00A02F7C">
              <w:rPr>
                <w:rStyle w:val="Hyperlink"/>
                <w:rFonts w:ascii="Arial" w:hAnsi="Arial" w:cs="Arial"/>
                <w:noProof/>
                <w:sz w:val="24"/>
                <w:szCs w:val="24"/>
                <w:lang w:val="es-ES"/>
              </w:rPr>
              <w:t>e.</w:t>
            </w:r>
            <w:r w:rsidR="00B109A7" w:rsidRPr="00A02F7C">
              <w:rPr>
                <w:rFonts w:ascii="Arial" w:eastAsiaTheme="minorEastAsia" w:hAnsi="Arial" w:cs="Arial"/>
                <w:noProof/>
                <w:sz w:val="24"/>
                <w:szCs w:val="24"/>
              </w:rPr>
              <w:tab/>
            </w:r>
            <w:r w:rsidR="00B109A7" w:rsidRPr="00A02F7C">
              <w:rPr>
                <w:rStyle w:val="Hyperlink"/>
                <w:rFonts w:ascii="Arial" w:hAnsi="Arial" w:cs="Arial"/>
                <w:noProof/>
                <w:sz w:val="24"/>
                <w:szCs w:val="24"/>
                <w:lang w:val="es-ES"/>
              </w:rPr>
              <w:t>Cronograma de Actividades y Presupuesto Asociado</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_Toc468954101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15</w:t>
            </w:r>
            <w:r w:rsidR="00B109A7" w:rsidRPr="00A02F7C">
              <w:rPr>
                <w:rFonts w:ascii="Arial" w:hAnsi="Arial" w:cs="Arial"/>
                <w:noProof/>
                <w:webHidden/>
                <w:sz w:val="24"/>
                <w:szCs w:val="24"/>
              </w:rPr>
              <w:fldChar w:fldCharType="end"/>
            </w:r>
          </w:hyperlink>
        </w:p>
        <w:p w14:paraId="09494DDF" w14:textId="77777777" w:rsidR="00B109A7" w:rsidRPr="00A02F7C" w:rsidRDefault="00CD5438">
          <w:pPr>
            <w:pStyle w:val="TOC1"/>
            <w:rPr>
              <w:rFonts w:ascii="Arial" w:eastAsiaTheme="minorEastAsia" w:hAnsi="Arial" w:cs="Arial"/>
              <w:noProof/>
              <w:sz w:val="24"/>
              <w:szCs w:val="24"/>
            </w:rPr>
          </w:pPr>
          <w:hyperlink w:anchor="_Toc468954102" w:history="1">
            <w:r w:rsidR="00B109A7" w:rsidRPr="00A02F7C">
              <w:rPr>
                <w:rStyle w:val="Hyperlink"/>
                <w:rFonts w:ascii="Arial" w:hAnsi="Arial" w:cs="Arial"/>
                <w:b/>
                <w:noProof/>
                <w:sz w:val="24"/>
                <w:szCs w:val="24"/>
                <w:lang w:val="es-ES"/>
              </w:rPr>
              <w:t>V.</w:t>
            </w:r>
            <w:r w:rsidR="00B109A7" w:rsidRPr="00A02F7C">
              <w:rPr>
                <w:rFonts w:ascii="Arial" w:eastAsiaTheme="minorEastAsia" w:hAnsi="Arial" w:cs="Arial"/>
                <w:noProof/>
                <w:sz w:val="24"/>
                <w:szCs w:val="24"/>
              </w:rPr>
              <w:tab/>
            </w:r>
            <w:r w:rsidR="00B109A7" w:rsidRPr="00A02F7C">
              <w:rPr>
                <w:rStyle w:val="Hyperlink"/>
                <w:rFonts w:ascii="Arial" w:hAnsi="Arial" w:cs="Arial"/>
                <w:b/>
                <w:noProof/>
                <w:sz w:val="24"/>
                <w:szCs w:val="24"/>
                <w:lang w:val="es-ES"/>
              </w:rPr>
              <w:t>Anexos</w:t>
            </w:r>
            <w:r w:rsidR="00B109A7" w:rsidRPr="00A02F7C">
              <w:rPr>
                <w:rFonts w:ascii="Arial" w:hAnsi="Arial" w:cs="Arial"/>
                <w:noProof/>
                <w:webHidden/>
                <w:sz w:val="24"/>
                <w:szCs w:val="24"/>
              </w:rPr>
              <w:tab/>
            </w:r>
            <w:r w:rsidR="00B109A7" w:rsidRPr="00A02F7C">
              <w:rPr>
                <w:rFonts w:ascii="Arial" w:hAnsi="Arial" w:cs="Arial"/>
                <w:noProof/>
                <w:webHidden/>
                <w:sz w:val="24"/>
                <w:szCs w:val="24"/>
              </w:rPr>
              <w:fldChar w:fldCharType="begin"/>
            </w:r>
            <w:r w:rsidR="00B109A7" w:rsidRPr="00A02F7C">
              <w:rPr>
                <w:rFonts w:ascii="Arial" w:hAnsi="Arial" w:cs="Arial"/>
                <w:noProof/>
                <w:webHidden/>
                <w:sz w:val="24"/>
                <w:szCs w:val="24"/>
              </w:rPr>
              <w:instrText xml:space="preserve"> PAGEREF _Toc468954102 \h </w:instrText>
            </w:r>
            <w:r w:rsidR="00B109A7" w:rsidRPr="00A02F7C">
              <w:rPr>
                <w:rFonts w:ascii="Arial" w:hAnsi="Arial" w:cs="Arial"/>
                <w:noProof/>
                <w:webHidden/>
                <w:sz w:val="24"/>
                <w:szCs w:val="24"/>
              </w:rPr>
            </w:r>
            <w:r w:rsidR="00B109A7" w:rsidRPr="00A02F7C">
              <w:rPr>
                <w:rFonts w:ascii="Arial" w:hAnsi="Arial" w:cs="Arial"/>
                <w:noProof/>
                <w:webHidden/>
                <w:sz w:val="24"/>
                <w:szCs w:val="24"/>
              </w:rPr>
              <w:fldChar w:fldCharType="separate"/>
            </w:r>
            <w:r w:rsidR="00C51774" w:rsidRPr="00A02F7C">
              <w:rPr>
                <w:rFonts w:ascii="Arial" w:hAnsi="Arial" w:cs="Arial"/>
                <w:noProof/>
                <w:webHidden/>
                <w:sz w:val="24"/>
                <w:szCs w:val="24"/>
              </w:rPr>
              <w:t>16</w:t>
            </w:r>
            <w:r w:rsidR="00B109A7" w:rsidRPr="00A02F7C">
              <w:rPr>
                <w:rFonts w:ascii="Arial" w:hAnsi="Arial" w:cs="Arial"/>
                <w:noProof/>
                <w:webHidden/>
                <w:sz w:val="24"/>
                <w:szCs w:val="24"/>
              </w:rPr>
              <w:fldChar w:fldCharType="end"/>
            </w:r>
          </w:hyperlink>
        </w:p>
        <w:p w14:paraId="5C3D0CC5" w14:textId="77777777" w:rsidR="00BF5444" w:rsidRPr="00A02F7C" w:rsidRDefault="00BF5444">
          <w:pPr>
            <w:rPr>
              <w:rFonts w:ascii="Arial" w:hAnsi="Arial" w:cs="Arial"/>
              <w:lang w:val="es-ES"/>
            </w:rPr>
          </w:pPr>
          <w:r w:rsidRPr="00A02F7C">
            <w:rPr>
              <w:rFonts w:ascii="Arial" w:hAnsi="Arial" w:cs="Arial"/>
              <w:b/>
              <w:bCs/>
              <w:noProof/>
              <w:lang w:val="es-ES"/>
            </w:rPr>
            <w:fldChar w:fldCharType="end"/>
          </w:r>
        </w:p>
      </w:sdtContent>
    </w:sdt>
    <w:p w14:paraId="2D1FDA94" w14:textId="77777777" w:rsidR="00C41116" w:rsidRPr="00A02F7C" w:rsidRDefault="00C41116" w:rsidP="00C41116">
      <w:pPr>
        <w:pStyle w:val="ColorfulList-Accent11"/>
        <w:spacing w:after="0" w:line="360" w:lineRule="auto"/>
        <w:ind w:left="1080"/>
        <w:jc w:val="center"/>
        <w:rPr>
          <w:rFonts w:ascii="Arial" w:hAnsi="Arial" w:cs="Arial"/>
          <w:sz w:val="24"/>
          <w:szCs w:val="24"/>
          <w:lang w:val="es-ES"/>
        </w:rPr>
      </w:pPr>
    </w:p>
    <w:p w14:paraId="3A1120A7" w14:textId="77777777" w:rsidR="007726B5" w:rsidRPr="00A02F7C" w:rsidRDefault="007726B5" w:rsidP="00C41116">
      <w:pPr>
        <w:pStyle w:val="ColorfulList-Accent11"/>
        <w:spacing w:after="0" w:line="360" w:lineRule="auto"/>
        <w:ind w:left="0"/>
        <w:jc w:val="both"/>
        <w:rPr>
          <w:rFonts w:ascii="Arial" w:hAnsi="Arial" w:cs="Arial"/>
          <w:sz w:val="24"/>
          <w:szCs w:val="24"/>
          <w:lang w:val="es-ES"/>
        </w:rPr>
      </w:pPr>
    </w:p>
    <w:p w14:paraId="3E1E8C0C" w14:textId="77777777" w:rsidR="00C41116" w:rsidRPr="00A02F7C" w:rsidRDefault="00C41116" w:rsidP="00C41116">
      <w:pPr>
        <w:pStyle w:val="ColorfulList-Accent11"/>
        <w:spacing w:after="0" w:line="360" w:lineRule="auto"/>
        <w:ind w:left="1440"/>
        <w:jc w:val="both"/>
        <w:rPr>
          <w:rFonts w:ascii="Arial" w:hAnsi="Arial" w:cs="Arial"/>
          <w:sz w:val="24"/>
          <w:szCs w:val="24"/>
          <w:lang w:val="es-ES"/>
        </w:rPr>
      </w:pPr>
    </w:p>
    <w:p w14:paraId="34EF78FC" w14:textId="77777777" w:rsidR="00C41116" w:rsidRPr="00A02F7C" w:rsidRDefault="00C41116" w:rsidP="00C41116">
      <w:pPr>
        <w:pStyle w:val="ColorfulList-Accent11"/>
        <w:spacing w:after="0" w:line="360" w:lineRule="auto"/>
        <w:ind w:left="1080"/>
        <w:jc w:val="center"/>
        <w:rPr>
          <w:rFonts w:ascii="Arial" w:hAnsi="Arial" w:cs="Arial"/>
          <w:lang w:val="es-ES"/>
        </w:rPr>
      </w:pPr>
    </w:p>
    <w:p w14:paraId="6201201B" w14:textId="77777777" w:rsidR="00C41116" w:rsidRPr="00A02F7C" w:rsidRDefault="00C41116" w:rsidP="00C41116">
      <w:pPr>
        <w:pStyle w:val="ColorfulList-Accent11"/>
        <w:spacing w:after="0" w:line="360" w:lineRule="auto"/>
        <w:ind w:left="1080"/>
        <w:jc w:val="center"/>
        <w:rPr>
          <w:rFonts w:ascii="Arial" w:hAnsi="Arial" w:cs="Arial"/>
          <w:lang w:val="es-ES"/>
        </w:rPr>
      </w:pPr>
    </w:p>
    <w:p w14:paraId="60398D5D" w14:textId="77777777" w:rsidR="00C41116" w:rsidRPr="00A02F7C" w:rsidRDefault="00C41116" w:rsidP="00C41116">
      <w:pPr>
        <w:pStyle w:val="ColorfulList-Accent11"/>
        <w:spacing w:after="0" w:line="360" w:lineRule="auto"/>
        <w:ind w:left="1080"/>
        <w:jc w:val="center"/>
        <w:rPr>
          <w:rFonts w:ascii="Arial" w:hAnsi="Arial" w:cs="Arial"/>
          <w:lang w:val="es-ES"/>
        </w:rPr>
      </w:pPr>
    </w:p>
    <w:p w14:paraId="1AF115A9" w14:textId="77777777" w:rsidR="00C41116" w:rsidRPr="00A02F7C" w:rsidRDefault="00C41116" w:rsidP="00C41116">
      <w:pPr>
        <w:pStyle w:val="ColorfulList-Accent11"/>
        <w:spacing w:after="0" w:line="360" w:lineRule="auto"/>
        <w:ind w:left="0"/>
        <w:rPr>
          <w:rFonts w:ascii="Arial" w:hAnsi="Arial" w:cs="Arial"/>
          <w:lang w:val="es-ES"/>
        </w:rPr>
      </w:pPr>
    </w:p>
    <w:p w14:paraId="2DD8A4F3" w14:textId="77777777" w:rsidR="00BF5444" w:rsidRPr="00A02F7C" w:rsidRDefault="00BF5444" w:rsidP="00C41116">
      <w:pPr>
        <w:pStyle w:val="ColorfulList-Accent11"/>
        <w:spacing w:after="0" w:line="360" w:lineRule="auto"/>
        <w:ind w:left="0"/>
        <w:rPr>
          <w:rFonts w:ascii="Arial" w:hAnsi="Arial" w:cs="Arial"/>
          <w:lang w:val="es-ES"/>
        </w:rPr>
      </w:pPr>
    </w:p>
    <w:p w14:paraId="6B3CCCBA" w14:textId="77777777" w:rsidR="00C41116" w:rsidRPr="00A02F7C" w:rsidRDefault="00C41116" w:rsidP="00C41116">
      <w:pPr>
        <w:pStyle w:val="ColorfulList-Accent11"/>
        <w:spacing w:after="0" w:line="360" w:lineRule="auto"/>
        <w:ind w:left="0"/>
        <w:jc w:val="center"/>
        <w:rPr>
          <w:rFonts w:ascii="Arial" w:eastAsia="Arial Unicode MS" w:hAnsi="Arial" w:cs="Arial"/>
          <w:bCs/>
          <w:smallCaps/>
          <w:lang w:val="es-ES"/>
        </w:rPr>
      </w:pPr>
    </w:p>
    <w:p w14:paraId="1686DC3B" w14:textId="77777777" w:rsidR="00BF5444" w:rsidRPr="00A02F7C" w:rsidRDefault="00BF5444" w:rsidP="00C41116">
      <w:pPr>
        <w:pStyle w:val="ColorfulList-Accent11"/>
        <w:spacing w:after="0" w:line="360" w:lineRule="auto"/>
        <w:ind w:left="0"/>
        <w:jc w:val="center"/>
        <w:rPr>
          <w:rFonts w:ascii="Arial" w:eastAsia="Arial Unicode MS" w:hAnsi="Arial" w:cs="Arial"/>
          <w:bCs/>
          <w:smallCaps/>
          <w:lang w:val="es-ES"/>
        </w:rPr>
      </w:pPr>
    </w:p>
    <w:p w14:paraId="4EBB8332" w14:textId="77777777" w:rsidR="00BF5444" w:rsidRPr="00A02F7C" w:rsidRDefault="00BF5444" w:rsidP="00C41116">
      <w:pPr>
        <w:pStyle w:val="ColorfulList-Accent11"/>
        <w:spacing w:after="0" w:line="360" w:lineRule="auto"/>
        <w:ind w:left="0"/>
        <w:jc w:val="center"/>
        <w:rPr>
          <w:rFonts w:ascii="Arial" w:eastAsia="Arial Unicode MS" w:hAnsi="Arial" w:cs="Arial"/>
          <w:bCs/>
          <w:smallCaps/>
          <w:lang w:val="es-ES"/>
        </w:rPr>
      </w:pPr>
    </w:p>
    <w:p w14:paraId="0AA5051C" w14:textId="77777777" w:rsidR="00BF5444" w:rsidRPr="00A02F7C" w:rsidRDefault="00BF5444" w:rsidP="00C41116">
      <w:pPr>
        <w:pStyle w:val="ColorfulList-Accent11"/>
        <w:spacing w:after="0" w:line="360" w:lineRule="auto"/>
        <w:ind w:left="0"/>
        <w:jc w:val="center"/>
        <w:rPr>
          <w:rFonts w:ascii="Arial" w:eastAsia="Arial Unicode MS" w:hAnsi="Arial" w:cs="Arial"/>
          <w:bCs/>
          <w:smallCaps/>
          <w:lang w:val="es-ES"/>
        </w:rPr>
      </w:pPr>
    </w:p>
    <w:p w14:paraId="77C1C4E2" w14:textId="77777777" w:rsidR="00BF5444" w:rsidRPr="00A02F7C" w:rsidRDefault="00BF5444" w:rsidP="00C41116">
      <w:pPr>
        <w:pStyle w:val="ColorfulList-Accent11"/>
        <w:spacing w:after="0" w:line="360" w:lineRule="auto"/>
        <w:ind w:left="0"/>
        <w:jc w:val="center"/>
        <w:rPr>
          <w:rFonts w:ascii="Arial" w:eastAsia="Arial Unicode MS" w:hAnsi="Arial" w:cs="Arial"/>
          <w:bCs/>
          <w:smallCaps/>
          <w:lang w:val="es-ES"/>
        </w:rPr>
      </w:pPr>
    </w:p>
    <w:p w14:paraId="5FAAF767" w14:textId="77777777" w:rsidR="00666520" w:rsidRPr="00A02F7C" w:rsidRDefault="00666520" w:rsidP="00F7295F">
      <w:pPr>
        <w:pStyle w:val="ColorfulList-Accent11"/>
        <w:numPr>
          <w:ilvl w:val="0"/>
          <w:numId w:val="2"/>
        </w:numPr>
        <w:tabs>
          <w:tab w:val="left" w:pos="540"/>
        </w:tabs>
        <w:spacing w:after="0" w:line="360" w:lineRule="auto"/>
        <w:ind w:hanging="1080"/>
        <w:jc w:val="both"/>
        <w:outlineLvl w:val="0"/>
        <w:rPr>
          <w:rFonts w:ascii="Arial" w:hAnsi="Arial" w:cs="Arial"/>
          <w:b/>
          <w:sz w:val="24"/>
          <w:lang w:val="es-ES"/>
        </w:rPr>
        <w:sectPr w:rsidR="00666520" w:rsidRPr="00A02F7C" w:rsidSect="00666520">
          <w:pgSz w:w="12240" w:h="15840"/>
          <w:pgMar w:top="1440" w:right="1627" w:bottom="1440" w:left="1440" w:header="720" w:footer="720" w:gutter="0"/>
          <w:cols w:space="720"/>
          <w:titlePg/>
          <w:docGrid w:linePitch="360"/>
        </w:sectPr>
      </w:pPr>
    </w:p>
    <w:p w14:paraId="3CE21A70" w14:textId="77777777" w:rsidR="007A2F3E" w:rsidRPr="00A02F7C" w:rsidRDefault="007A2F3E" w:rsidP="00F7295F">
      <w:pPr>
        <w:pStyle w:val="ColorfulList-Accent11"/>
        <w:numPr>
          <w:ilvl w:val="0"/>
          <w:numId w:val="2"/>
        </w:numPr>
        <w:tabs>
          <w:tab w:val="left" w:pos="540"/>
        </w:tabs>
        <w:spacing w:after="0"/>
        <w:ind w:hanging="1080"/>
        <w:jc w:val="both"/>
        <w:outlineLvl w:val="0"/>
        <w:rPr>
          <w:rFonts w:ascii="Arial" w:hAnsi="Arial" w:cs="Arial"/>
          <w:b/>
          <w:bCs/>
          <w:sz w:val="24"/>
          <w:szCs w:val="24"/>
          <w:lang w:val="es-ES"/>
        </w:rPr>
      </w:pPr>
      <w:bookmarkStart w:id="0" w:name="_Toc468954025"/>
      <w:r w:rsidRPr="00A02F7C">
        <w:rPr>
          <w:rFonts w:ascii="Arial" w:hAnsi="Arial" w:cs="Arial"/>
          <w:b/>
          <w:bCs/>
          <w:sz w:val="24"/>
          <w:szCs w:val="24"/>
          <w:lang w:val="es-ES"/>
        </w:rPr>
        <w:lastRenderedPageBreak/>
        <w:t>Introducción</w:t>
      </w:r>
      <w:bookmarkEnd w:id="0"/>
    </w:p>
    <w:p w14:paraId="491D035E" w14:textId="77777777" w:rsidR="00BA4881" w:rsidRPr="00A02F7C" w:rsidRDefault="00BA4881" w:rsidP="00F32849">
      <w:pPr>
        <w:pStyle w:val="Title"/>
        <w:tabs>
          <w:tab w:val="clear" w:pos="1440"/>
          <w:tab w:val="clear" w:pos="3060"/>
        </w:tabs>
        <w:spacing w:line="276" w:lineRule="auto"/>
        <w:jc w:val="both"/>
        <w:outlineLvl w:val="9"/>
        <w:rPr>
          <w:rFonts w:ascii="Arial" w:hAnsi="Arial" w:cs="Arial"/>
          <w:lang w:val="es-ES"/>
        </w:rPr>
      </w:pPr>
    </w:p>
    <w:p w14:paraId="7FCE324D" w14:textId="781EAFE7" w:rsidR="00196BDB" w:rsidRPr="00135128" w:rsidRDefault="00D577A2" w:rsidP="00E91896">
      <w:pPr>
        <w:pStyle w:val="Paragraph"/>
        <w:tabs>
          <w:tab w:val="clear" w:pos="1440"/>
        </w:tabs>
        <w:ind w:left="0" w:firstLine="0"/>
        <w:rPr>
          <w:rFonts w:ascii="Arial" w:hAnsi="Arial" w:cs="Arial"/>
          <w:szCs w:val="24"/>
          <w:lang w:val="es-ES"/>
        </w:rPr>
      </w:pPr>
      <w:r w:rsidRPr="00135128">
        <w:rPr>
          <w:rFonts w:ascii="Arial" w:hAnsi="Arial" w:cs="Arial"/>
          <w:szCs w:val="24"/>
          <w:lang w:val="es-ES"/>
        </w:rPr>
        <w:t xml:space="preserve">El </w:t>
      </w:r>
      <w:r w:rsidR="00BA4881" w:rsidRPr="00135128">
        <w:rPr>
          <w:rFonts w:ascii="Arial" w:hAnsi="Arial" w:cs="Arial"/>
          <w:szCs w:val="24"/>
          <w:lang w:val="es-ES"/>
        </w:rPr>
        <w:t xml:space="preserve">Programa </w:t>
      </w:r>
      <w:r w:rsidR="00B816BD" w:rsidRPr="00135128">
        <w:rPr>
          <w:rFonts w:ascii="Arial" w:hAnsi="Arial" w:cs="Arial"/>
          <w:szCs w:val="24"/>
          <w:lang w:val="es-ES"/>
        </w:rPr>
        <w:t xml:space="preserve">de Reformas del Sector </w:t>
      </w:r>
      <w:r w:rsidR="00292FE5" w:rsidRPr="00135128">
        <w:rPr>
          <w:rFonts w:ascii="Arial" w:hAnsi="Arial" w:cs="Arial"/>
          <w:szCs w:val="24"/>
          <w:lang w:val="es-ES"/>
        </w:rPr>
        <w:t>Transporte</w:t>
      </w:r>
      <w:r w:rsidR="00B816BD" w:rsidRPr="00135128">
        <w:rPr>
          <w:rFonts w:ascii="Arial" w:hAnsi="Arial" w:cs="Arial"/>
          <w:szCs w:val="24"/>
          <w:lang w:val="es-ES"/>
        </w:rPr>
        <w:t xml:space="preserve"> y Logística de Carga de Honduras </w:t>
      </w:r>
      <w:r w:rsidR="00235351" w:rsidRPr="00135128">
        <w:rPr>
          <w:rFonts w:ascii="Arial" w:hAnsi="Arial" w:cs="Arial"/>
          <w:szCs w:val="24"/>
          <w:lang w:val="es-ES"/>
        </w:rPr>
        <w:t>(</w:t>
      </w:r>
      <w:r w:rsidR="00B816BD" w:rsidRPr="00135128">
        <w:rPr>
          <w:rFonts w:ascii="Arial" w:hAnsi="Arial" w:cs="Arial"/>
          <w:szCs w:val="24"/>
          <w:lang w:val="es-ES"/>
        </w:rPr>
        <w:t>HO</w:t>
      </w:r>
      <w:r w:rsidR="00235351" w:rsidRPr="00135128">
        <w:rPr>
          <w:rFonts w:ascii="Arial" w:hAnsi="Arial" w:cs="Arial"/>
          <w:szCs w:val="24"/>
          <w:lang w:val="es-ES"/>
        </w:rPr>
        <w:t>-L11</w:t>
      </w:r>
      <w:r w:rsidR="00B816BD" w:rsidRPr="00135128">
        <w:rPr>
          <w:rFonts w:ascii="Arial" w:hAnsi="Arial" w:cs="Arial"/>
          <w:szCs w:val="24"/>
          <w:lang w:val="es-ES"/>
        </w:rPr>
        <w:t>98</w:t>
      </w:r>
      <w:r w:rsidR="00235351" w:rsidRPr="00135128">
        <w:rPr>
          <w:rFonts w:ascii="Arial" w:hAnsi="Arial" w:cs="Arial"/>
          <w:szCs w:val="24"/>
          <w:lang w:val="es-ES"/>
        </w:rPr>
        <w:t xml:space="preserve">) </w:t>
      </w:r>
      <w:r w:rsidR="00BA4881" w:rsidRPr="00135128">
        <w:rPr>
          <w:rFonts w:ascii="Arial" w:hAnsi="Arial" w:cs="Arial"/>
          <w:szCs w:val="24"/>
          <w:lang w:val="es-ES"/>
        </w:rPr>
        <w:t xml:space="preserve">es la </w:t>
      </w:r>
      <w:r w:rsidR="00B816BD" w:rsidRPr="00135128">
        <w:rPr>
          <w:rFonts w:ascii="Arial" w:hAnsi="Arial" w:cs="Arial"/>
          <w:szCs w:val="24"/>
          <w:lang w:val="es-ES"/>
        </w:rPr>
        <w:t>primer</w:t>
      </w:r>
      <w:r w:rsidR="00BA4881" w:rsidRPr="00135128">
        <w:rPr>
          <w:rFonts w:ascii="Arial" w:hAnsi="Arial" w:cs="Arial"/>
          <w:szCs w:val="24"/>
          <w:lang w:val="es-ES"/>
        </w:rPr>
        <w:t>a operación de una serie de tres préstamos programáticos de apoyo a reformas de política (</w:t>
      </w:r>
      <w:proofErr w:type="spellStart"/>
      <w:r w:rsidR="00BA4881" w:rsidRPr="00135128">
        <w:rPr>
          <w:rFonts w:ascii="Arial" w:hAnsi="Arial" w:cs="Arial"/>
          <w:i/>
          <w:szCs w:val="24"/>
          <w:lang w:val="es-ES"/>
        </w:rPr>
        <w:t>Programmatic</w:t>
      </w:r>
      <w:proofErr w:type="spellEnd"/>
      <w:r w:rsidR="00BA4881" w:rsidRPr="00135128">
        <w:rPr>
          <w:rFonts w:ascii="Arial" w:hAnsi="Arial" w:cs="Arial"/>
          <w:i/>
          <w:szCs w:val="24"/>
          <w:lang w:val="es-ES"/>
        </w:rPr>
        <w:t xml:space="preserve"> </w:t>
      </w:r>
      <w:proofErr w:type="spellStart"/>
      <w:r w:rsidR="00BA4881" w:rsidRPr="00135128">
        <w:rPr>
          <w:rFonts w:ascii="Arial" w:hAnsi="Arial" w:cs="Arial"/>
          <w:i/>
          <w:szCs w:val="24"/>
          <w:lang w:val="es-ES"/>
        </w:rPr>
        <w:t>Policy</w:t>
      </w:r>
      <w:proofErr w:type="spellEnd"/>
      <w:r w:rsidR="00BA4881" w:rsidRPr="00135128">
        <w:rPr>
          <w:rFonts w:ascii="Arial" w:hAnsi="Arial" w:cs="Arial"/>
          <w:i/>
          <w:szCs w:val="24"/>
          <w:lang w:val="es-ES"/>
        </w:rPr>
        <w:t xml:space="preserve"> </w:t>
      </w:r>
      <w:proofErr w:type="spellStart"/>
      <w:r w:rsidR="00BA4881" w:rsidRPr="00135128">
        <w:rPr>
          <w:rFonts w:ascii="Arial" w:hAnsi="Arial" w:cs="Arial"/>
          <w:i/>
          <w:szCs w:val="24"/>
          <w:lang w:val="es-ES"/>
        </w:rPr>
        <w:t>Based</w:t>
      </w:r>
      <w:proofErr w:type="spellEnd"/>
      <w:r w:rsidR="00BA4881" w:rsidRPr="00135128">
        <w:rPr>
          <w:rFonts w:ascii="Arial" w:hAnsi="Arial" w:cs="Arial"/>
          <w:i/>
          <w:szCs w:val="24"/>
          <w:lang w:val="es-ES"/>
        </w:rPr>
        <w:t xml:space="preserve"> </w:t>
      </w:r>
      <w:proofErr w:type="spellStart"/>
      <w:r w:rsidR="00BA4881" w:rsidRPr="00135128">
        <w:rPr>
          <w:rFonts w:ascii="Arial" w:hAnsi="Arial" w:cs="Arial"/>
          <w:i/>
          <w:szCs w:val="24"/>
          <w:lang w:val="es-ES"/>
        </w:rPr>
        <w:t>Program</w:t>
      </w:r>
      <w:proofErr w:type="spellEnd"/>
      <w:r w:rsidR="00D221F8" w:rsidRPr="00135128">
        <w:rPr>
          <w:rFonts w:ascii="Arial" w:hAnsi="Arial" w:cs="Arial"/>
          <w:szCs w:val="24"/>
          <w:lang w:val="es-ES"/>
        </w:rPr>
        <w:t xml:space="preserve"> [</w:t>
      </w:r>
      <w:r w:rsidR="00BA4881" w:rsidRPr="00135128">
        <w:rPr>
          <w:rFonts w:ascii="Arial" w:hAnsi="Arial" w:cs="Arial"/>
          <w:szCs w:val="24"/>
          <w:lang w:val="es-ES"/>
        </w:rPr>
        <w:t>PBP</w:t>
      </w:r>
      <w:r w:rsidR="00D221F8" w:rsidRPr="00135128">
        <w:rPr>
          <w:rFonts w:ascii="Arial" w:hAnsi="Arial" w:cs="Arial"/>
          <w:szCs w:val="24"/>
          <w:lang w:val="es-ES"/>
        </w:rPr>
        <w:t>]</w:t>
      </w:r>
      <w:r w:rsidR="00BA4881" w:rsidRPr="00135128">
        <w:rPr>
          <w:rFonts w:ascii="Arial" w:hAnsi="Arial" w:cs="Arial"/>
          <w:szCs w:val="24"/>
          <w:lang w:val="es-ES"/>
        </w:rPr>
        <w:t>)</w:t>
      </w:r>
      <w:r w:rsidR="00235351" w:rsidRPr="00135128">
        <w:rPr>
          <w:rFonts w:ascii="Arial" w:hAnsi="Arial" w:cs="Arial"/>
          <w:szCs w:val="24"/>
          <w:lang w:val="es-ES"/>
        </w:rPr>
        <w:t xml:space="preserve"> del sector transporte</w:t>
      </w:r>
      <w:r w:rsidR="00DA6FE8" w:rsidRPr="00135128">
        <w:rPr>
          <w:rFonts w:ascii="Arial" w:hAnsi="Arial" w:cs="Arial"/>
          <w:szCs w:val="24"/>
          <w:lang w:val="es-ES"/>
        </w:rPr>
        <w:t xml:space="preserve"> de </w:t>
      </w:r>
      <w:r w:rsidR="00B816BD" w:rsidRPr="00135128">
        <w:rPr>
          <w:rFonts w:ascii="Arial" w:hAnsi="Arial" w:cs="Arial"/>
          <w:szCs w:val="24"/>
          <w:lang w:val="es-ES"/>
        </w:rPr>
        <w:t>Honduras</w:t>
      </w:r>
      <w:r w:rsidR="00BA4881" w:rsidRPr="00135128">
        <w:rPr>
          <w:rFonts w:ascii="Arial" w:hAnsi="Arial" w:cs="Arial"/>
          <w:szCs w:val="24"/>
          <w:lang w:val="es-ES"/>
        </w:rPr>
        <w:t>. El Programa tiene como objetivo general</w:t>
      </w:r>
      <w:r w:rsidR="00196BDB" w:rsidRPr="00135128">
        <w:rPr>
          <w:rFonts w:ascii="Arial" w:hAnsi="Arial" w:cs="Arial"/>
          <w:szCs w:val="24"/>
          <w:lang w:val="es-ES"/>
        </w:rPr>
        <w:t xml:space="preserve"> contribuir a la mejora del desempeño logístico de Honduras a través de reformas sectoriales en los ámbitos </w:t>
      </w:r>
      <w:r w:rsidR="00C32C28">
        <w:rPr>
          <w:rFonts w:ascii="Arial" w:hAnsi="Arial" w:cs="Arial"/>
          <w:szCs w:val="24"/>
          <w:lang w:val="es-ES"/>
        </w:rPr>
        <w:t>regulatorio</w:t>
      </w:r>
      <w:r w:rsidR="00196BDB" w:rsidRPr="00135128">
        <w:rPr>
          <w:rFonts w:ascii="Arial" w:hAnsi="Arial" w:cs="Arial"/>
          <w:szCs w:val="24"/>
          <w:lang w:val="es-ES"/>
        </w:rPr>
        <w:t xml:space="preserve">, institucional, de planificación y de facilitación comercial, que permita ganancias en la competitividad e integración regional. Los objetivos específicos del programa son: (i) </w:t>
      </w:r>
      <w:r w:rsidR="00100AEB">
        <w:rPr>
          <w:rFonts w:ascii="Arial" w:hAnsi="Arial" w:cs="Arial"/>
          <w:szCs w:val="24"/>
          <w:lang w:val="es-ES"/>
        </w:rPr>
        <w:t>consolidar</w:t>
      </w:r>
      <w:r w:rsidR="00196BDB" w:rsidRPr="00135128">
        <w:rPr>
          <w:rFonts w:ascii="Arial" w:hAnsi="Arial" w:cs="Arial"/>
          <w:szCs w:val="24"/>
          <w:lang w:val="es-ES"/>
        </w:rPr>
        <w:t xml:space="preserve"> un marco normativo con reglamentos específicos para la mejora de servicios de logística de carga con visión de largo plazo;</w:t>
      </w:r>
      <w:r w:rsidR="00CC02C7">
        <w:rPr>
          <w:rFonts w:ascii="Arial" w:hAnsi="Arial" w:cs="Arial"/>
          <w:szCs w:val="24"/>
          <w:lang w:val="es-ES"/>
        </w:rPr>
        <w:t xml:space="preserve"> </w:t>
      </w:r>
      <w:r w:rsidR="00196BDB" w:rsidRPr="00135128">
        <w:rPr>
          <w:rFonts w:ascii="Arial" w:hAnsi="Arial" w:cs="Arial"/>
          <w:szCs w:val="24"/>
          <w:lang w:val="es-ES"/>
        </w:rPr>
        <w:t>(ii) el fortalecimiento de la institucionalidad del sector logístico</w:t>
      </w:r>
      <w:r w:rsidR="00CC02C7">
        <w:rPr>
          <w:rFonts w:ascii="Arial" w:hAnsi="Arial" w:cs="Arial"/>
          <w:szCs w:val="24"/>
          <w:lang w:val="es-ES"/>
        </w:rPr>
        <w:t xml:space="preserve"> a través </w:t>
      </w:r>
      <w:r w:rsidR="00E92358">
        <w:rPr>
          <w:rFonts w:ascii="Arial" w:hAnsi="Arial" w:cs="Arial"/>
          <w:szCs w:val="24"/>
          <w:lang w:val="es-ES"/>
        </w:rPr>
        <w:t>de la creación del Consejo Nacional</w:t>
      </w:r>
      <w:r w:rsidR="00734EE1">
        <w:rPr>
          <w:rFonts w:ascii="Arial" w:hAnsi="Arial" w:cs="Arial"/>
          <w:szCs w:val="24"/>
          <w:lang w:val="es-ES"/>
        </w:rPr>
        <w:t xml:space="preserve"> de</w:t>
      </w:r>
      <w:r w:rsidR="00E92358">
        <w:rPr>
          <w:rFonts w:ascii="Arial" w:hAnsi="Arial" w:cs="Arial"/>
          <w:szCs w:val="24"/>
          <w:lang w:val="es-ES"/>
        </w:rPr>
        <w:t xml:space="preserve"> Logístic</w:t>
      </w:r>
      <w:r w:rsidR="00734EE1">
        <w:rPr>
          <w:rFonts w:ascii="Arial" w:hAnsi="Arial" w:cs="Arial"/>
          <w:szCs w:val="24"/>
          <w:lang w:val="es-ES"/>
        </w:rPr>
        <w:t>a</w:t>
      </w:r>
      <w:r w:rsidR="00E92358">
        <w:rPr>
          <w:rFonts w:ascii="Arial" w:hAnsi="Arial" w:cs="Arial"/>
          <w:szCs w:val="24"/>
          <w:lang w:val="es-ES"/>
        </w:rPr>
        <w:t xml:space="preserve"> (CNL) e instancia a nivel técnico</w:t>
      </w:r>
      <w:r w:rsidR="00196BDB" w:rsidRPr="00135128">
        <w:rPr>
          <w:rFonts w:ascii="Arial" w:hAnsi="Arial" w:cs="Arial"/>
          <w:szCs w:val="24"/>
          <w:lang w:val="es-ES"/>
        </w:rPr>
        <w:t>; (iii) la mejora de la planificación integral en el sector y la prestación de servicios asociados</w:t>
      </w:r>
      <w:bookmarkStart w:id="1" w:name="_GoBack"/>
      <w:bookmarkEnd w:id="1"/>
      <w:r w:rsidR="00196BDB" w:rsidRPr="00135128">
        <w:rPr>
          <w:rFonts w:ascii="Arial" w:hAnsi="Arial" w:cs="Arial"/>
          <w:szCs w:val="24"/>
          <w:lang w:val="es-ES"/>
        </w:rPr>
        <w:t xml:space="preserve">; y (iv) la modernización y simplificación de los procesos y los sistemas tecnológicos de facilitación comercial. </w:t>
      </w:r>
    </w:p>
    <w:p w14:paraId="048D9CE9" w14:textId="7F29C096" w:rsidR="007410C2" w:rsidRPr="00135128" w:rsidRDefault="007410C2" w:rsidP="00E91896">
      <w:pPr>
        <w:pStyle w:val="Paragraph"/>
        <w:tabs>
          <w:tab w:val="clear" w:pos="1440"/>
        </w:tabs>
        <w:ind w:left="0" w:firstLine="0"/>
        <w:rPr>
          <w:rFonts w:ascii="Arial" w:hAnsi="Arial" w:cs="Arial"/>
          <w:szCs w:val="24"/>
          <w:lang w:val="es-ES"/>
        </w:rPr>
      </w:pPr>
      <w:r w:rsidRPr="00135128">
        <w:rPr>
          <w:rFonts w:ascii="Arial" w:hAnsi="Arial" w:cs="Arial"/>
          <w:szCs w:val="24"/>
          <w:lang w:val="es-ES"/>
        </w:rPr>
        <w:t>Las reformas del programa contribuirán a mejorar la eficiencia logística del país y su inserción en los mercados internacionales a través de un marco normativo y regulatorio orientado a las necesidades del sector; con institucionalidad específica coordinada capaz de llevar a cabo una planificación integral; empleando herramientas y procedimientos modernos alineados con el contexto regional. Estas mejoras sentarán las bases e incentivos para el establecimiento de infraestructura logística especializada, servicios de transporte y logística de calidad</w:t>
      </w:r>
      <w:r w:rsidR="004B0C31" w:rsidRPr="00135128">
        <w:rPr>
          <w:rFonts w:ascii="Arial" w:hAnsi="Arial" w:cs="Arial"/>
          <w:szCs w:val="24"/>
          <w:lang w:val="es-ES"/>
        </w:rPr>
        <w:t>,</w:t>
      </w:r>
      <w:r w:rsidR="00BD024F" w:rsidRPr="00135128">
        <w:rPr>
          <w:rFonts w:ascii="Arial" w:hAnsi="Arial" w:cs="Arial"/>
          <w:szCs w:val="24"/>
          <w:lang w:val="es-ES"/>
        </w:rPr>
        <w:t xml:space="preserve"> además de</w:t>
      </w:r>
      <w:r w:rsidRPr="00135128">
        <w:rPr>
          <w:rFonts w:ascii="Arial" w:hAnsi="Arial" w:cs="Arial"/>
          <w:szCs w:val="24"/>
          <w:lang w:val="es-ES"/>
        </w:rPr>
        <w:t xml:space="preserve"> la consolidación de la Unión Aduanera Centroamericana.</w:t>
      </w:r>
    </w:p>
    <w:p w14:paraId="47C95BCE" w14:textId="77777777" w:rsidR="00BD024F" w:rsidRPr="00135128" w:rsidRDefault="007A2F3E" w:rsidP="00BD024F">
      <w:pPr>
        <w:pStyle w:val="Paragraph"/>
        <w:tabs>
          <w:tab w:val="clear" w:pos="1440"/>
        </w:tabs>
        <w:ind w:left="0" w:firstLine="0"/>
        <w:rPr>
          <w:rFonts w:ascii="Arial" w:hAnsi="Arial" w:cs="Arial"/>
          <w:szCs w:val="24"/>
          <w:lang w:val="es-ES_tradnl"/>
        </w:rPr>
      </w:pPr>
      <w:r w:rsidRPr="00135128">
        <w:rPr>
          <w:rFonts w:ascii="Arial" w:hAnsi="Arial" w:cs="Arial"/>
          <w:szCs w:val="24"/>
          <w:lang w:val="es-ES"/>
        </w:rPr>
        <w:t xml:space="preserve">En términos agregados, </w:t>
      </w:r>
      <w:r w:rsidR="00BD024F" w:rsidRPr="00135128">
        <w:rPr>
          <w:rFonts w:ascii="Arial" w:hAnsi="Arial" w:cs="Arial"/>
          <w:szCs w:val="24"/>
          <w:lang w:val="es-ES"/>
        </w:rPr>
        <w:t>l</w:t>
      </w:r>
      <w:r w:rsidR="00BD024F" w:rsidRPr="00135128">
        <w:rPr>
          <w:rFonts w:ascii="Arial" w:hAnsi="Arial" w:cs="Arial"/>
          <w:szCs w:val="24"/>
          <w:lang w:val="es-ES_tradnl"/>
        </w:rPr>
        <w:t>a mejora en los procesos de planificación y gestión de la infraestructura repercutirá en la productividad del país a través de mejores servicios de transporte. Los principales beneficiarios serán los productores hondureños quienes disfrutarán de mejor acceso a los mercados nacionales e internacionales, asimismo serán beneficiarios los usuarios de los servicios e infraestructuras de transporte.</w:t>
      </w:r>
    </w:p>
    <w:p w14:paraId="12D3BA6A" w14:textId="77777777" w:rsidR="00EF5BC4" w:rsidRPr="00135128" w:rsidRDefault="009A29AA" w:rsidP="00E91896">
      <w:pPr>
        <w:pStyle w:val="Title"/>
        <w:tabs>
          <w:tab w:val="clear" w:pos="1440"/>
          <w:tab w:val="clear" w:pos="3060"/>
        </w:tabs>
        <w:spacing w:before="120" w:after="120"/>
        <w:jc w:val="both"/>
        <w:rPr>
          <w:rFonts w:ascii="Arial" w:hAnsi="Arial" w:cs="Arial"/>
          <w:szCs w:val="24"/>
          <w:lang w:val="es-ES_tradnl"/>
        </w:rPr>
      </w:pPr>
      <w:r w:rsidRPr="00135128">
        <w:rPr>
          <w:rFonts w:ascii="Arial" w:hAnsi="Arial" w:cs="Arial"/>
          <w:szCs w:val="24"/>
          <w:lang w:val="es-ES"/>
        </w:rPr>
        <w:t xml:space="preserve">Los principales resultados esperados para el programa incluyen: </w:t>
      </w:r>
      <w:r w:rsidR="00A9542F" w:rsidRPr="00135128">
        <w:rPr>
          <w:rFonts w:ascii="Arial" w:hAnsi="Arial" w:cs="Arial"/>
          <w:szCs w:val="24"/>
          <w:lang w:val="es-ES"/>
        </w:rPr>
        <w:t>(i) </w:t>
      </w:r>
      <w:r w:rsidR="00EF5BC4" w:rsidRPr="00135128">
        <w:rPr>
          <w:rFonts w:ascii="Arial" w:hAnsi="Arial" w:cs="Arial"/>
          <w:szCs w:val="24"/>
          <w:lang w:val="es-ES_tradnl"/>
        </w:rPr>
        <w:t>Mejora de la eficacia en la priorización multisectorial y multianual de acciones estratégicas para el sector por parte del CNL</w:t>
      </w:r>
      <w:r w:rsidR="00A9542F" w:rsidRPr="00135128">
        <w:rPr>
          <w:rFonts w:ascii="Arial" w:hAnsi="Arial" w:cs="Arial"/>
          <w:szCs w:val="24"/>
          <w:lang w:val="es-ES"/>
        </w:rPr>
        <w:t xml:space="preserve">; </w:t>
      </w:r>
      <w:r w:rsidR="00EF5BC4" w:rsidRPr="00135128">
        <w:rPr>
          <w:rFonts w:ascii="Arial" w:hAnsi="Arial" w:cs="Arial"/>
          <w:szCs w:val="24"/>
          <w:lang w:val="es-ES_tradnl"/>
        </w:rPr>
        <w:t>(ii) implementación de un sistema de registro de vehículos que mejora la formalización del transporte; (iii) incremento de las certificaciones de pilotos bajo el sistema nacional de capacitación de pilotos que permita la mejora en la calidad del servicio de carga; y (iv) disminución de los tiempos de cruce de los puestos fronterizos en la aduana el Amatillo, dichos resultados contribuirán a mejorar el desempeño logístico del país reflejado en el LPI además de la importancia del sector logístico en la economía nacional.</w:t>
      </w:r>
    </w:p>
    <w:p w14:paraId="5FA34069" w14:textId="77777777" w:rsidR="008A2ABA" w:rsidRPr="00135128" w:rsidRDefault="00235351" w:rsidP="00E91896">
      <w:pPr>
        <w:pStyle w:val="Title"/>
        <w:tabs>
          <w:tab w:val="clear" w:pos="1440"/>
          <w:tab w:val="clear" w:pos="3060"/>
        </w:tabs>
        <w:spacing w:before="120" w:after="120"/>
        <w:jc w:val="both"/>
        <w:rPr>
          <w:rFonts w:ascii="Arial" w:hAnsi="Arial" w:cs="Arial"/>
          <w:szCs w:val="24"/>
          <w:lang w:val="es-ES"/>
        </w:rPr>
      </w:pPr>
      <w:r w:rsidRPr="00135128">
        <w:rPr>
          <w:rFonts w:ascii="Arial" w:hAnsi="Arial" w:cs="Arial"/>
          <w:szCs w:val="24"/>
          <w:lang w:val="es-ES"/>
        </w:rPr>
        <w:t xml:space="preserve">El Banco y el </w:t>
      </w:r>
      <w:r w:rsidR="00A367DD" w:rsidRPr="00135128">
        <w:rPr>
          <w:rFonts w:ascii="Arial" w:hAnsi="Arial" w:cs="Arial"/>
          <w:szCs w:val="24"/>
          <w:lang w:val="es-ES"/>
        </w:rPr>
        <w:t xml:space="preserve">Gobierno de </w:t>
      </w:r>
      <w:r w:rsidR="00870658" w:rsidRPr="00135128">
        <w:rPr>
          <w:rFonts w:ascii="Arial" w:hAnsi="Arial" w:cs="Arial"/>
          <w:szCs w:val="24"/>
          <w:lang w:val="es-ES"/>
        </w:rPr>
        <w:t>Honduras</w:t>
      </w:r>
      <w:r w:rsidR="00A367DD" w:rsidRPr="00135128">
        <w:rPr>
          <w:rFonts w:ascii="Arial" w:hAnsi="Arial" w:cs="Arial"/>
          <w:szCs w:val="24"/>
          <w:lang w:val="es-ES"/>
        </w:rPr>
        <w:t xml:space="preserve"> (</w:t>
      </w:r>
      <w:proofErr w:type="spellStart"/>
      <w:r w:rsidRPr="00135128">
        <w:rPr>
          <w:rFonts w:ascii="Arial" w:hAnsi="Arial" w:cs="Arial"/>
          <w:szCs w:val="24"/>
          <w:lang w:val="es-ES"/>
        </w:rPr>
        <w:t>Gd</w:t>
      </w:r>
      <w:r w:rsidR="00870658" w:rsidRPr="00135128">
        <w:rPr>
          <w:rFonts w:ascii="Arial" w:hAnsi="Arial" w:cs="Arial"/>
          <w:szCs w:val="24"/>
          <w:lang w:val="es-ES"/>
        </w:rPr>
        <w:t>H</w:t>
      </w:r>
      <w:proofErr w:type="spellEnd"/>
      <w:r w:rsidR="00A367DD" w:rsidRPr="00135128">
        <w:rPr>
          <w:rFonts w:ascii="Arial" w:hAnsi="Arial" w:cs="Arial"/>
          <w:szCs w:val="24"/>
          <w:lang w:val="es-ES"/>
        </w:rPr>
        <w:t>)</w:t>
      </w:r>
      <w:r w:rsidRPr="00135128">
        <w:rPr>
          <w:rFonts w:ascii="Arial" w:hAnsi="Arial" w:cs="Arial"/>
          <w:szCs w:val="24"/>
          <w:lang w:val="es-ES"/>
        </w:rPr>
        <w:t xml:space="preserve"> acordaron utilizar la Matriz de Política, la Matriz de Medios de Verificación y la Matriz de Resultados como herramientas para el seguimiento y evaluación de la operación. </w:t>
      </w:r>
      <w:r w:rsidR="00E31657" w:rsidRPr="00135128">
        <w:rPr>
          <w:rFonts w:ascii="Arial" w:hAnsi="Arial" w:cs="Arial"/>
          <w:szCs w:val="24"/>
          <w:lang w:val="es-ES"/>
        </w:rPr>
        <w:t xml:space="preserve">En cuanto a la evaluación del Programa, la metodología </w:t>
      </w:r>
      <w:r w:rsidR="00BE13E5" w:rsidRPr="00135128">
        <w:rPr>
          <w:rFonts w:ascii="Arial" w:hAnsi="Arial" w:cs="Arial"/>
          <w:szCs w:val="24"/>
          <w:lang w:val="es-ES"/>
        </w:rPr>
        <w:t>a utilizar incluirá</w:t>
      </w:r>
      <w:r w:rsidR="00441AA4" w:rsidRPr="00135128">
        <w:rPr>
          <w:rFonts w:ascii="Arial" w:hAnsi="Arial" w:cs="Arial"/>
          <w:szCs w:val="24"/>
          <w:lang w:val="es-ES"/>
        </w:rPr>
        <w:t xml:space="preserve"> </w:t>
      </w:r>
      <w:r w:rsidR="00E31657" w:rsidRPr="00135128">
        <w:rPr>
          <w:rFonts w:ascii="Arial" w:hAnsi="Arial" w:cs="Arial"/>
          <w:szCs w:val="24"/>
          <w:lang w:val="es-ES"/>
        </w:rPr>
        <w:t>un análisis reflexivo de los indicadores definidos en la</w:t>
      </w:r>
      <w:r w:rsidR="00BE13E5" w:rsidRPr="00135128">
        <w:rPr>
          <w:rFonts w:ascii="Arial" w:hAnsi="Arial" w:cs="Arial"/>
          <w:szCs w:val="24"/>
          <w:lang w:val="es-ES"/>
        </w:rPr>
        <w:t xml:space="preserve"> matriz </w:t>
      </w:r>
      <w:r w:rsidR="00E31657" w:rsidRPr="00135128">
        <w:rPr>
          <w:rFonts w:ascii="Arial" w:hAnsi="Arial" w:cs="Arial"/>
          <w:szCs w:val="24"/>
          <w:lang w:val="es-ES"/>
        </w:rPr>
        <w:t>de</w:t>
      </w:r>
      <w:r w:rsidR="00BE13E5" w:rsidRPr="00135128">
        <w:rPr>
          <w:rFonts w:ascii="Arial" w:hAnsi="Arial" w:cs="Arial"/>
          <w:szCs w:val="24"/>
          <w:lang w:val="es-ES"/>
        </w:rPr>
        <w:t xml:space="preserve"> política y de resultados</w:t>
      </w:r>
      <w:r w:rsidR="00E31657" w:rsidRPr="00135128">
        <w:rPr>
          <w:rFonts w:ascii="Arial" w:hAnsi="Arial" w:cs="Arial"/>
          <w:szCs w:val="24"/>
          <w:lang w:val="es-ES"/>
        </w:rPr>
        <w:t xml:space="preserve">. </w:t>
      </w:r>
      <w:r w:rsidR="007A2F3E" w:rsidRPr="00135128">
        <w:rPr>
          <w:rFonts w:ascii="Arial" w:hAnsi="Arial" w:cs="Arial"/>
          <w:szCs w:val="24"/>
          <w:lang w:val="es-ES"/>
        </w:rPr>
        <w:t xml:space="preserve">El presente </w:t>
      </w:r>
      <w:r w:rsidR="00BA4881" w:rsidRPr="00135128">
        <w:rPr>
          <w:rFonts w:ascii="Arial" w:hAnsi="Arial" w:cs="Arial"/>
          <w:szCs w:val="24"/>
          <w:lang w:val="es-ES"/>
        </w:rPr>
        <w:t xml:space="preserve">documento describe las actividades de monitoreo y evaluación </w:t>
      </w:r>
      <w:r w:rsidRPr="00135128">
        <w:rPr>
          <w:rFonts w:ascii="Arial" w:hAnsi="Arial" w:cs="Arial"/>
          <w:szCs w:val="24"/>
          <w:lang w:val="es-ES"/>
        </w:rPr>
        <w:t xml:space="preserve">de los </w:t>
      </w:r>
      <w:r w:rsidR="00BA4881" w:rsidRPr="00135128">
        <w:rPr>
          <w:rFonts w:ascii="Arial" w:hAnsi="Arial" w:cs="Arial"/>
          <w:szCs w:val="24"/>
          <w:lang w:val="es-ES"/>
        </w:rPr>
        <w:t>compromisos de pol</w:t>
      </w:r>
      <w:r w:rsidR="006E43A2" w:rsidRPr="00135128">
        <w:rPr>
          <w:rFonts w:ascii="Arial" w:hAnsi="Arial" w:cs="Arial"/>
          <w:szCs w:val="24"/>
          <w:lang w:val="es-ES"/>
        </w:rPr>
        <w:t>ítica y resultados del Programa</w:t>
      </w:r>
      <w:r w:rsidRPr="00135128">
        <w:rPr>
          <w:rFonts w:ascii="Arial" w:hAnsi="Arial" w:cs="Arial"/>
          <w:szCs w:val="24"/>
          <w:lang w:val="es-ES"/>
        </w:rPr>
        <w:t xml:space="preserve">. </w:t>
      </w:r>
    </w:p>
    <w:p w14:paraId="14EAD610" w14:textId="77777777" w:rsidR="008A2ABA" w:rsidRDefault="008A2ABA" w:rsidP="00F32849">
      <w:pPr>
        <w:pStyle w:val="ColorfulList-Accent11"/>
        <w:spacing w:after="0"/>
        <w:ind w:left="1080"/>
        <w:jc w:val="both"/>
        <w:rPr>
          <w:rFonts w:ascii="Arial" w:hAnsi="Arial" w:cs="Arial"/>
          <w:b/>
          <w:lang w:val="es-ES"/>
        </w:rPr>
      </w:pPr>
    </w:p>
    <w:p w14:paraId="1022D618" w14:textId="77777777" w:rsidR="00A02F7C" w:rsidRPr="00A02F7C" w:rsidRDefault="00A02F7C" w:rsidP="00F32849">
      <w:pPr>
        <w:pStyle w:val="ColorfulList-Accent11"/>
        <w:spacing w:after="0"/>
        <w:ind w:left="1080"/>
        <w:jc w:val="both"/>
        <w:rPr>
          <w:rFonts w:ascii="Arial" w:hAnsi="Arial" w:cs="Arial"/>
          <w:b/>
          <w:lang w:val="es-ES"/>
        </w:rPr>
      </w:pPr>
    </w:p>
    <w:p w14:paraId="237C05A0" w14:textId="77777777" w:rsidR="007A2F3E" w:rsidRPr="00A02F7C" w:rsidRDefault="007A2F3E" w:rsidP="00F7295F">
      <w:pPr>
        <w:pStyle w:val="ColorfulList-Accent11"/>
        <w:numPr>
          <w:ilvl w:val="0"/>
          <w:numId w:val="2"/>
        </w:numPr>
        <w:tabs>
          <w:tab w:val="left" w:pos="540"/>
        </w:tabs>
        <w:spacing w:after="0"/>
        <w:ind w:hanging="1080"/>
        <w:jc w:val="both"/>
        <w:outlineLvl w:val="0"/>
        <w:rPr>
          <w:rFonts w:ascii="Arial" w:hAnsi="Arial" w:cs="Arial"/>
          <w:b/>
          <w:bCs/>
          <w:sz w:val="24"/>
          <w:szCs w:val="24"/>
          <w:lang w:val="es-ES"/>
        </w:rPr>
      </w:pPr>
      <w:bookmarkStart w:id="2" w:name="_Toc468954026"/>
      <w:r w:rsidRPr="00A02F7C">
        <w:rPr>
          <w:rFonts w:ascii="Arial" w:hAnsi="Arial" w:cs="Arial"/>
          <w:b/>
          <w:bCs/>
          <w:sz w:val="24"/>
          <w:szCs w:val="24"/>
          <w:lang w:val="es-ES"/>
        </w:rPr>
        <w:t xml:space="preserve">Monitoreo del </w:t>
      </w:r>
      <w:r w:rsidR="00A9542F" w:rsidRPr="00A02F7C">
        <w:rPr>
          <w:rFonts w:ascii="Arial" w:hAnsi="Arial" w:cs="Arial"/>
          <w:b/>
          <w:bCs/>
          <w:sz w:val="24"/>
          <w:szCs w:val="24"/>
          <w:lang w:val="es-ES"/>
        </w:rPr>
        <w:t>P</w:t>
      </w:r>
      <w:r w:rsidRPr="00A02F7C">
        <w:rPr>
          <w:rFonts w:ascii="Arial" w:hAnsi="Arial" w:cs="Arial"/>
          <w:b/>
          <w:bCs/>
          <w:sz w:val="24"/>
          <w:szCs w:val="24"/>
          <w:lang w:val="es-ES"/>
        </w:rPr>
        <w:t>rograma</w:t>
      </w:r>
      <w:r w:rsidR="00F32849" w:rsidRPr="00A02F7C">
        <w:rPr>
          <w:rFonts w:ascii="Arial" w:hAnsi="Arial" w:cs="Arial"/>
          <w:b/>
          <w:bCs/>
          <w:sz w:val="24"/>
          <w:szCs w:val="24"/>
          <w:lang w:val="es-ES"/>
        </w:rPr>
        <w:t>.</w:t>
      </w:r>
      <w:bookmarkEnd w:id="2"/>
    </w:p>
    <w:p w14:paraId="67F099B9" w14:textId="77777777" w:rsidR="00F32849" w:rsidRPr="00A02F7C" w:rsidRDefault="00F32849" w:rsidP="00F32849">
      <w:pPr>
        <w:pStyle w:val="ColorfulList-Accent11"/>
        <w:tabs>
          <w:tab w:val="left" w:pos="540"/>
        </w:tabs>
        <w:spacing w:after="0"/>
        <w:ind w:left="1080"/>
        <w:jc w:val="both"/>
        <w:outlineLvl w:val="0"/>
        <w:rPr>
          <w:rFonts w:ascii="Arial" w:hAnsi="Arial" w:cs="Arial"/>
          <w:b/>
          <w:sz w:val="24"/>
          <w:lang w:val="es-ES"/>
        </w:rPr>
      </w:pPr>
    </w:p>
    <w:p w14:paraId="14463CCE" w14:textId="77777777" w:rsidR="00937F53" w:rsidRPr="00A02F7C" w:rsidRDefault="00937F53"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 xml:space="preserve">Las actividades de monitoreo tienen como objetivo: i) verificar el cumplimiento de los compromisos de política del Gobierno de </w:t>
      </w:r>
      <w:r w:rsidR="00581FD3" w:rsidRPr="00A02F7C">
        <w:rPr>
          <w:rFonts w:ascii="Arial" w:hAnsi="Arial" w:cs="Arial"/>
          <w:lang w:val="es-ES"/>
        </w:rPr>
        <w:t>Honduras</w:t>
      </w:r>
      <w:r w:rsidRPr="00A02F7C">
        <w:rPr>
          <w:rFonts w:ascii="Arial" w:hAnsi="Arial" w:cs="Arial"/>
          <w:lang w:val="es-ES"/>
        </w:rPr>
        <w:t xml:space="preserve"> establecidos en la matriz de políticas; y ii) verificar el alcance de las metas e indicadores establecidos en la matriz de políticas y en la de resultados. </w:t>
      </w:r>
      <w:r w:rsidR="00D33267" w:rsidRPr="00A02F7C">
        <w:rPr>
          <w:rFonts w:ascii="Arial" w:hAnsi="Arial" w:cs="Arial"/>
          <w:lang w:val="es-ES"/>
        </w:rPr>
        <w:t xml:space="preserve">Los indicadores de la Matriz de Resultados guiarán el monitoreo del progreso en la implementación del programa y permitirán su evaluación a la finalización de la última operación programática. </w:t>
      </w:r>
      <w:r w:rsidRPr="00A02F7C">
        <w:rPr>
          <w:rFonts w:ascii="Arial" w:hAnsi="Arial" w:cs="Arial"/>
          <w:lang w:val="es-ES"/>
        </w:rPr>
        <w:t>Los medios de verificación serán la fuente de información que determinará el cumpli</w:t>
      </w:r>
      <w:r w:rsidR="00D33267" w:rsidRPr="00A02F7C">
        <w:rPr>
          <w:rFonts w:ascii="Arial" w:hAnsi="Arial" w:cs="Arial"/>
          <w:lang w:val="es-ES"/>
        </w:rPr>
        <w:t>miento de las metas de política</w:t>
      </w:r>
      <w:r w:rsidRPr="00A02F7C">
        <w:rPr>
          <w:rFonts w:ascii="Arial" w:hAnsi="Arial" w:cs="Arial"/>
          <w:lang w:val="es-ES"/>
        </w:rPr>
        <w:t>.</w:t>
      </w:r>
      <w:r w:rsidR="00D33267" w:rsidRPr="00A02F7C">
        <w:rPr>
          <w:rFonts w:ascii="Arial" w:hAnsi="Arial" w:cs="Arial"/>
          <w:lang w:val="es-ES"/>
        </w:rPr>
        <w:t xml:space="preserve"> </w:t>
      </w:r>
      <w:r w:rsidR="00A42EB4" w:rsidRPr="00A02F7C">
        <w:rPr>
          <w:rFonts w:ascii="Arial" w:hAnsi="Arial" w:cs="Arial"/>
          <w:lang w:val="es-ES"/>
        </w:rPr>
        <w:t>El Organismo Ejecutor</w:t>
      </w:r>
      <w:r w:rsidR="00A42EB4" w:rsidRPr="00A02F7C">
        <w:rPr>
          <w:rStyle w:val="FootnoteReference"/>
          <w:rFonts w:ascii="Arial" w:hAnsi="Arial" w:cs="Arial"/>
          <w:lang w:val="es-ES"/>
        </w:rPr>
        <w:footnoteReference w:id="1"/>
      </w:r>
      <w:r w:rsidR="00A42EB4" w:rsidRPr="00A02F7C">
        <w:rPr>
          <w:rFonts w:ascii="Arial" w:hAnsi="Arial" w:cs="Arial"/>
          <w:lang w:val="es-ES"/>
        </w:rPr>
        <w:t xml:space="preserve"> y el Banco han acordado monitorear la ejecución del programa a partir de reuniones de seguimiento anual.</w:t>
      </w:r>
    </w:p>
    <w:p w14:paraId="65976235" w14:textId="77777777" w:rsidR="00937F53" w:rsidRPr="00A02F7C" w:rsidRDefault="00937F53" w:rsidP="00F32849">
      <w:pPr>
        <w:pStyle w:val="Title"/>
        <w:tabs>
          <w:tab w:val="clear" w:pos="1440"/>
          <w:tab w:val="clear" w:pos="3060"/>
        </w:tabs>
        <w:spacing w:line="276" w:lineRule="auto"/>
        <w:jc w:val="both"/>
        <w:outlineLvl w:val="9"/>
        <w:rPr>
          <w:rFonts w:ascii="Arial" w:hAnsi="Arial" w:cs="Arial"/>
          <w:lang w:val="es-ES"/>
        </w:rPr>
      </w:pPr>
    </w:p>
    <w:p w14:paraId="7B9F6E02" w14:textId="77777777" w:rsidR="00C41116" w:rsidRPr="00A02F7C" w:rsidRDefault="008457A4" w:rsidP="00F7295F">
      <w:pPr>
        <w:pStyle w:val="ColorfulList-Accent11"/>
        <w:numPr>
          <w:ilvl w:val="1"/>
          <w:numId w:val="2"/>
        </w:numPr>
        <w:spacing w:after="0"/>
        <w:ind w:left="360"/>
        <w:jc w:val="both"/>
        <w:outlineLvl w:val="1"/>
        <w:rPr>
          <w:rFonts w:ascii="Arial" w:hAnsi="Arial" w:cs="Arial"/>
          <w:b/>
          <w:bCs/>
          <w:sz w:val="24"/>
          <w:szCs w:val="24"/>
          <w:lang w:val="es-ES"/>
        </w:rPr>
      </w:pPr>
      <w:bookmarkStart w:id="3" w:name="_Toc468954027"/>
      <w:r w:rsidRPr="00A02F7C">
        <w:rPr>
          <w:rFonts w:ascii="Arial" w:hAnsi="Arial" w:cs="Arial"/>
          <w:b/>
          <w:bCs/>
          <w:sz w:val="24"/>
          <w:szCs w:val="24"/>
          <w:lang w:val="es-ES"/>
        </w:rPr>
        <w:t>Indicadores</w:t>
      </w:r>
      <w:r w:rsidR="00DC3A4A" w:rsidRPr="00A02F7C">
        <w:rPr>
          <w:rFonts w:ascii="Arial" w:hAnsi="Arial" w:cs="Arial"/>
          <w:b/>
          <w:bCs/>
          <w:sz w:val="24"/>
          <w:szCs w:val="24"/>
          <w:lang w:val="es-ES"/>
        </w:rPr>
        <w:t xml:space="preserve"> de P</w:t>
      </w:r>
      <w:r w:rsidR="00666520" w:rsidRPr="00A02F7C">
        <w:rPr>
          <w:rFonts w:ascii="Arial" w:hAnsi="Arial" w:cs="Arial"/>
          <w:b/>
          <w:bCs/>
          <w:sz w:val="24"/>
          <w:szCs w:val="24"/>
          <w:lang w:val="es-ES"/>
        </w:rPr>
        <w:t>roducto</w:t>
      </w:r>
      <w:bookmarkEnd w:id="3"/>
    </w:p>
    <w:p w14:paraId="2E4C2C01" w14:textId="77777777" w:rsidR="00DC3A4A" w:rsidRPr="00A02F7C" w:rsidRDefault="00DC3A4A" w:rsidP="00F32849">
      <w:pPr>
        <w:pStyle w:val="ColorfulList-Accent11"/>
        <w:spacing w:after="0"/>
        <w:ind w:left="360"/>
        <w:jc w:val="both"/>
        <w:outlineLvl w:val="1"/>
        <w:rPr>
          <w:rFonts w:ascii="Arial" w:hAnsi="Arial" w:cs="Arial"/>
          <w:b/>
          <w:lang w:val="es-ES"/>
        </w:rPr>
      </w:pPr>
    </w:p>
    <w:p w14:paraId="3B40DDC8" w14:textId="77777777" w:rsidR="008457A4" w:rsidRPr="00A02F7C" w:rsidRDefault="00A367DD"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Los indicadores de</w:t>
      </w:r>
      <w:r w:rsidR="007A2F3E" w:rsidRPr="00A02F7C">
        <w:rPr>
          <w:rFonts w:ascii="Arial" w:hAnsi="Arial" w:cs="Arial"/>
          <w:lang w:val="es-ES"/>
        </w:rPr>
        <w:t xml:space="preserve"> producto </w:t>
      </w:r>
      <w:r w:rsidRPr="00A02F7C">
        <w:rPr>
          <w:rFonts w:ascii="Arial" w:hAnsi="Arial" w:cs="Arial"/>
          <w:lang w:val="es-ES"/>
        </w:rPr>
        <w:t xml:space="preserve">incluidos en la Matriz de </w:t>
      </w:r>
      <w:r w:rsidR="00B6474D" w:rsidRPr="00A02F7C">
        <w:rPr>
          <w:rFonts w:ascii="Arial" w:hAnsi="Arial" w:cs="Arial"/>
          <w:lang w:val="es-ES"/>
        </w:rPr>
        <w:t>Resultados</w:t>
      </w:r>
      <w:r w:rsidRPr="00A02F7C">
        <w:rPr>
          <w:rFonts w:ascii="Arial" w:hAnsi="Arial" w:cs="Arial"/>
          <w:lang w:val="es-ES"/>
        </w:rPr>
        <w:t xml:space="preserve"> </w:t>
      </w:r>
      <w:r w:rsidR="007A2F3E" w:rsidRPr="00A02F7C">
        <w:rPr>
          <w:rFonts w:ascii="Arial" w:hAnsi="Arial" w:cs="Arial"/>
          <w:lang w:val="es-ES"/>
        </w:rPr>
        <w:t xml:space="preserve">corresponden a los compromisos establecidos y detallados en la Matriz de Política y </w:t>
      </w:r>
      <w:r w:rsidRPr="00A02F7C">
        <w:rPr>
          <w:rFonts w:ascii="Arial" w:hAnsi="Arial" w:cs="Arial"/>
          <w:lang w:val="es-ES"/>
        </w:rPr>
        <w:t xml:space="preserve">en </w:t>
      </w:r>
      <w:r w:rsidR="007A2F3E" w:rsidRPr="00A02F7C">
        <w:rPr>
          <w:rFonts w:ascii="Arial" w:hAnsi="Arial" w:cs="Arial"/>
          <w:lang w:val="es-ES"/>
        </w:rPr>
        <w:t xml:space="preserve">la Matriz de Medios de Verificación. </w:t>
      </w:r>
    </w:p>
    <w:p w14:paraId="42891D12" w14:textId="77777777" w:rsidR="001B49A9" w:rsidRPr="00A02F7C" w:rsidRDefault="001B49A9" w:rsidP="00F32849">
      <w:pPr>
        <w:pStyle w:val="ColorfulList-Accent11"/>
        <w:spacing w:after="0"/>
        <w:ind w:left="0"/>
        <w:jc w:val="both"/>
        <w:rPr>
          <w:rFonts w:ascii="Arial" w:hAnsi="Arial" w:cs="Arial"/>
          <w:b/>
          <w:lang w:val="es-ES"/>
        </w:rPr>
      </w:pPr>
    </w:p>
    <w:p w14:paraId="212D0618" w14:textId="77777777" w:rsidR="001D1D8F" w:rsidRPr="00A02F7C" w:rsidRDefault="001D1D8F" w:rsidP="00F64E64">
      <w:pPr>
        <w:pStyle w:val="Caption"/>
        <w:keepNext/>
        <w:spacing w:after="0" w:line="276" w:lineRule="auto"/>
        <w:jc w:val="center"/>
        <w:rPr>
          <w:rFonts w:ascii="Arial" w:hAnsi="Arial" w:cs="Arial"/>
          <w:b/>
          <w:bCs/>
          <w:i w:val="0"/>
          <w:iCs w:val="0"/>
          <w:color w:val="000000" w:themeColor="text1"/>
          <w:lang w:val="es-ES"/>
        </w:rPr>
      </w:pPr>
      <w:r w:rsidRPr="00A02F7C">
        <w:rPr>
          <w:rFonts w:ascii="Arial" w:hAnsi="Arial" w:cs="Arial"/>
          <w:b/>
          <w:bCs/>
          <w:i w:val="0"/>
          <w:iCs w:val="0"/>
          <w:color w:val="000000" w:themeColor="text1"/>
          <w:lang w:val="es-ES"/>
        </w:rPr>
        <w:t xml:space="preserve">Tabla </w:t>
      </w:r>
      <w:r w:rsidRPr="00A02F7C">
        <w:rPr>
          <w:rFonts w:ascii="Arial" w:hAnsi="Arial" w:cs="Arial"/>
        </w:rPr>
        <w:fldChar w:fldCharType="begin"/>
      </w:r>
      <w:r w:rsidRPr="00A02F7C">
        <w:rPr>
          <w:rFonts w:ascii="Arial" w:hAnsi="Arial" w:cs="Arial"/>
          <w:b/>
          <w:i w:val="0"/>
          <w:color w:val="000000" w:themeColor="text1"/>
          <w:lang w:val="es-ES"/>
        </w:rPr>
        <w:instrText xml:space="preserve"> SEQ Tabla \* ARABIC </w:instrText>
      </w:r>
      <w:r w:rsidRPr="00A02F7C">
        <w:rPr>
          <w:rFonts w:ascii="Arial" w:hAnsi="Arial" w:cs="Arial"/>
          <w:b/>
          <w:i w:val="0"/>
          <w:color w:val="000000" w:themeColor="text1"/>
          <w:lang w:val="es-ES"/>
        </w:rPr>
        <w:fldChar w:fldCharType="separate"/>
      </w:r>
      <w:r w:rsidR="000A6E76" w:rsidRPr="00A02F7C">
        <w:rPr>
          <w:rFonts w:ascii="Arial" w:hAnsi="Arial" w:cs="Arial"/>
          <w:b/>
          <w:bCs/>
          <w:i w:val="0"/>
          <w:iCs w:val="0"/>
          <w:noProof/>
          <w:color w:val="000000" w:themeColor="text1"/>
          <w:lang w:val="es-ES"/>
        </w:rPr>
        <w:t>1</w:t>
      </w:r>
      <w:r w:rsidRPr="00A02F7C">
        <w:rPr>
          <w:rFonts w:ascii="Arial" w:hAnsi="Arial" w:cs="Arial"/>
        </w:rPr>
        <w:fldChar w:fldCharType="end"/>
      </w:r>
      <w:r w:rsidR="00C627BC" w:rsidRPr="00A02F7C">
        <w:rPr>
          <w:rFonts w:ascii="Arial" w:hAnsi="Arial" w:cs="Arial"/>
          <w:b/>
          <w:bCs/>
          <w:i w:val="0"/>
          <w:iCs w:val="0"/>
          <w:color w:val="000000" w:themeColor="text1"/>
          <w:lang w:val="es-ES"/>
        </w:rPr>
        <w:t>.</w:t>
      </w:r>
      <w:r w:rsidRPr="00A02F7C">
        <w:rPr>
          <w:rFonts w:ascii="Arial" w:hAnsi="Arial" w:cs="Arial"/>
          <w:b/>
          <w:bCs/>
          <w:i w:val="0"/>
          <w:iCs w:val="0"/>
          <w:color w:val="000000" w:themeColor="text1"/>
          <w:lang w:val="es-ES"/>
        </w:rPr>
        <w:t xml:space="preserve"> Indicadores de Productos</w:t>
      </w:r>
    </w:p>
    <w:tbl>
      <w:tblPr>
        <w:tblW w:w="10890" w:type="dxa"/>
        <w:tblInd w:w="-6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216"/>
        <w:gridCol w:w="1506"/>
        <w:gridCol w:w="1051"/>
        <w:gridCol w:w="810"/>
        <w:gridCol w:w="4307"/>
      </w:tblGrid>
      <w:tr w:rsidR="001D1D8F" w:rsidRPr="00A02F7C" w14:paraId="5D74CF35" w14:textId="77777777" w:rsidTr="006D6A17">
        <w:trPr>
          <w:trHeight w:val="320"/>
          <w:tblHeader/>
        </w:trPr>
        <w:tc>
          <w:tcPr>
            <w:tcW w:w="3216" w:type="dxa"/>
            <w:shd w:val="clear" w:color="auto" w:fill="BFBFBF" w:themeFill="background1" w:themeFillShade="BF"/>
            <w:vAlign w:val="center"/>
            <w:hideMark/>
          </w:tcPr>
          <w:p w14:paraId="574F964B" w14:textId="77777777" w:rsidR="001D1D8F" w:rsidRPr="00C038AA" w:rsidRDefault="001D1D8F" w:rsidP="00DA2367">
            <w:pPr>
              <w:jc w:val="center"/>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Indicador de Producto</w:t>
            </w:r>
          </w:p>
        </w:tc>
        <w:tc>
          <w:tcPr>
            <w:tcW w:w="1506" w:type="dxa"/>
            <w:shd w:val="clear" w:color="auto" w:fill="BFBFBF" w:themeFill="background1" w:themeFillShade="BF"/>
            <w:vAlign w:val="center"/>
            <w:hideMark/>
          </w:tcPr>
          <w:p w14:paraId="23459157" w14:textId="77777777" w:rsidR="001D1D8F" w:rsidRPr="00C038AA" w:rsidRDefault="001D1D8F" w:rsidP="00DA2367">
            <w:pPr>
              <w:jc w:val="center"/>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 xml:space="preserve">Responsable </w:t>
            </w:r>
          </w:p>
        </w:tc>
        <w:tc>
          <w:tcPr>
            <w:tcW w:w="1051" w:type="dxa"/>
            <w:shd w:val="clear" w:color="auto" w:fill="BFBFBF" w:themeFill="background1" w:themeFillShade="BF"/>
            <w:vAlign w:val="center"/>
            <w:hideMark/>
          </w:tcPr>
          <w:p w14:paraId="3EE58521" w14:textId="77777777" w:rsidR="001D1D8F" w:rsidRPr="00C038AA" w:rsidRDefault="001D1D8F" w:rsidP="00DA2367">
            <w:pPr>
              <w:jc w:val="center"/>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Línea de Base</w:t>
            </w:r>
          </w:p>
        </w:tc>
        <w:tc>
          <w:tcPr>
            <w:tcW w:w="810" w:type="dxa"/>
            <w:shd w:val="clear" w:color="auto" w:fill="BFBFBF" w:themeFill="background1" w:themeFillShade="BF"/>
            <w:vAlign w:val="center"/>
            <w:hideMark/>
          </w:tcPr>
          <w:p w14:paraId="06312A9E" w14:textId="77777777" w:rsidR="001D1D8F" w:rsidRPr="00C038AA" w:rsidRDefault="001D1D8F" w:rsidP="006279F0">
            <w:pPr>
              <w:jc w:val="right"/>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Meta (2</w:t>
            </w:r>
            <w:r w:rsidR="00912589" w:rsidRPr="00C038AA">
              <w:rPr>
                <w:rFonts w:ascii="Arial" w:eastAsia="Times New Roman" w:hAnsi="Arial" w:cs="Arial"/>
                <w:b/>
                <w:bCs/>
                <w:color w:val="000000"/>
                <w:sz w:val="18"/>
                <w:szCs w:val="18"/>
                <w:lang w:val="es-ES"/>
              </w:rPr>
              <w:t>022</w:t>
            </w:r>
            <w:r w:rsidRPr="00C038AA">
              <w:rPr>
                <w:rFonts w:ascii="Arial" w:eastAsia="Times New Roman" w:hAnsi="Arial" w:cs="Arial"/>
                <w:b/>
                <w:bCs/>
                <w:color w:val="000000"/>
                <w:sz w:val="18"/>
                <w:szCs w:val="18"/>
                <w:lang w:val="es-ES"/>
              </w:rPr>
              <w:t>)</w:t>
            </w:r>
          </w:p>
        </w:tc>
        <w:tc>
          <w:tcPr>
            <w:tcW w:w="4307" w:type="dxa"/>
            <w:shd w:val="clear" w:color="auto" w:fill="BFBFBF" w:themeFill="background1" w:themeFillShade="BF"/>
            <w:vAlign w:val="center"/>
            <w:hideMark/>
          </w:tcPr>
          <w:p w14:paraId="273CAAE5" w14:textId="77777777" w:rsidR="001D1D8F" w:rsidRPr="00C038AA" w:rsidRDefault="001D1D8F" w:rsidP="00DA2367">
            <w:pPr>
              <w:jc w:val="center"/>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Medio de Verificación</w:t>
            </w:r>
          </w:p>
        </w:tc>
      </w:tr>
      <w:tr w:rsidR="001D1D8F" w:rsidRPr="000F3F24" w14:paraId="1920EFAD" w14:textId="77777777" w:rsidTr="006D6A17">
        <w:trPr>
          <w:trHeight w:val="73"/>
        </w:trPr>
        <w:tc>
          <w:tcPr>
            <w:tcW w:w="10890" w:type="dxa"/>
            <w:gridSpan w:val="5"/>
            <w:shd w:val="clear" w:color="auto" w:fill="D9D9D9" w:themeFill="background1" w:themeFillShade="D9"/>
            <w:vAlign w:val="center"/>
            <w:hideMark/>
          </w:tcPr>
          <w:p w14:paraId="653E110C" w14:textId="77777777" w:rsidR="001D1D8F" w:rsidRPr="00C038AA" w:rsidRDefault="001D1D8F" w:rsidP="00DA2367">
            <w:pPr>
              <w:jc w:val="both"/>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 xml:space="preserve">COMPONENTE 2. </w:t>
            </w:r>
            <w:r w:rsidR="00B6474D" w:rsidRPr="00C038AA">
              <w:rPr>
                <w:rFonts w:ascii="Arial" w:eastAsia="Times New Roman" w:hAnsi="Arial" w:cs="Arial"/>
                <w:b/>
                <w:bCs/>
                <w:color w:val="000000"/>
                <w:sz w:val="18"/>
                <w:szCs w:val="18"/>
                <w:lang w:val="es-ES"/>
              </w:rPr>
              <w:t>Reforma del marco normativo de logística de carga y de facilitación comercial</w:t>
            </w:r>
          </w:p>
        </w:tc>
      </w:tr>
      <w:tr w:rsidR="001D1D8F" w:rsidRPr="00A02F7C" w14:paraId="0F19355F" w14:textId="77777777" w:rsidTr="006D6A17">
        <w:trPr>
          <w:trHeight w:val="320"/>
        </w:trPr>
        <w:tc>
          <w:tcPr>
            <w:tcW w:w="10890" w:type="dxa"/>
            <w:gridSpan w:val="5"/>
            <w:shd w:val="clear" w:color="auto" w:fill="D9D9D9" w:themeFill="background1" w:themeFillShade="D9"/>
            <w:vAlign w:val="center"/>
            <w:hideMark/>
          </w:tcPr>
          <w:p w14:paraId="1F976C0F" w14:textId="77777777" w:rsidR="001D1D8F" w:rsidRPr="00C038AA" w:rsidRDefault="001D1D8F" w:rsidP="00DA2367">
            <w:pPr>
              <w:jc w:val="both"/>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 xml:space="preserve">MARCO NORMATIVO </w:t>
            </w:r>
            <w:r w:rsidR="00E32009" w:rsidRPr="00C038AA">
              <w:rPr>
                <w:rFonts w:ascii="Arial" w:eastAsia="Times New Roman" w:hAnsi="Arial" w:cs="Arial"/>
                <w:b/>
                <w:bCs/>
                <w:color w:val="000000"/>
                <w:sz w:val="18"/>
                <w:szCs w:val="18"/>
                <w:lang w:val="es-ES"/>
              </w:rPr>
              <w:t xml:space="preserve">DE </w:t>
            </w:r>
            <w:r w:rsidR="00A02F7C" w:rsidRPr="00C038AA">
              <w:rPr>
                <w:rFonts w:ascii="Arial" w:eastAsia="Times New Roman" w:hAnsi="Arial" w:cs="Arial"/>
                <w:b/>
                <w:bCs/>
                <w:color w:val="000000"/>
                <w:sz w:val="18"/>
                <w:szCs w:val="18"/>
                <w:lang w:val="es-ES"/>
              </w:rPr>
              <w:t>LOGÍSTICA</w:t>
            </w:r>
          </w:p>
        </w:tc>
      </w:tr>
      <w:tr w:rsidR="001D1D8F" w:rsidRPr="000F3F24" w14:paraId="6C5520D3" w14:textId="77777777" w:rsidTr="006D6A17">
        <w:trPr>
          <w:trHeight w:val="73"/>
        </w:trPr>
        <w:tc>
          <w:tcPr>
            <w:tcW w:w="3216" w:type="dxa"/>
            <w:shd w:val="clear" w:color="auto" w:fill="auto"/>
            <w:vAlign w:val="center"/>
            <w:hideMark/>
          </w:tcPr>
          <w:p w14:paraId="552140A6" w14:textId="74A3903F" w:rsidR="000F3237" w:rsidRPr="00C038AA" w:rsidRDefault="00720471" w:rsidP="000F3237">
            <w:pPr>
              <w:jc w:val="both"/>
              <w:rPr>
                <w:rFonts w:ascii="Arial" w:hAnsi="Arial" w:cs="Arial"/>
                <w:sz w:val="18"/>
                <w:szCs w:val="18"/>
                <w:lang w:val="es-ES"/>
              </w:rPr>
            </w:pPr>
            <w:r>
              <w:rPr>
                <w:rFonts w:ascii="Arial" w:hAnsi="Arial" w:cs="Arial"/>
                <w:sz w:val="18"/>
                <w:szCs w:val="18"/>
                <w:lang w:val="es-ES"/>
              </w:rPr>
              <w:t xml:space="preserve">Aprobación </w:t>
            </w:r>
            <w:r w:rsidR="000F3237" w:rsidRPr="00C038AA">
              <w:rPr>
                <w:rFonts w:ascii="Arial" w:hAnsi="Arial" w:cs="Arial"/>
                <w:sz w:val="18"/>
                <w:szCs w:val="18"/>
                <w:lang w:val="es-ES"/>
              </w:rPr>
              <w:t xml:space="preserve">de las prioridades de gobierno 2018-2022 que incluyan al sector logístico como eje estratégico en el marco de la elaboración del Plan Estratégico de Gobierno </w:t>
            </w:r>
          </w:p>
          <w:p w14:paraId="77B9F08D" w14:textId="77777777" w:rsidR="001D1D8F" w:rsidRPr="00C038AA" w:rsidRDefault="000F3237" w:rsidP="000F3237">
            <w:pPr>
              <w:jc w:val="both"/>
              <w:rPr>
                <w:rFonts w:ascii="Arial" w:eastAsia="Times New Roman" w:hAnsi="Arial" w:cs="Arial"/>
                <w:color w:val="000000"/>
                <w:sz w:val="18"/>
                <w:szCs w:val="18"/>
                <w:lang w:val="es-ES"/>
              </w:rPr>
            </w:pPr>
            <w:r w:rsidRPr="00C038AA">
              <w:rPr>
                <w:rFonts w:ascii="Arial" w:hAnsi="Arial" w:cs="Arial"/>
                <w:sz w:val="18"/>
                <w:szCs w:val="18"/>
                <w:lang w:val="es-ES"/>
              </w:rPr>
              <w:t>2018-2022.</w:t>
            </w:r>
          </w:p>
        </w:tc>
        <w:tc>
          <w:tcPr>
            <w:tcW w:w="1506" w:type="dxa"/>
            <w:shd w:val="clear" w:color="auto" w:fill="auto"/>
            <w:vAlign w:val="center"/>
            <w:hideMark/>
          </w:tcPr>
          <w:p w14:paraId="334E3FAB" w14:textId="77777777" w:rsidR="00F7295F" w:rsidRPr="00C038AA" w:rsidRDefault="00F7295F" w:rsidP="00F7295F">
            <w:pPr>
              <w:spacing w:before="60" w:after="60"/>
              <w:rPr>
                <w:rFonts w:ascii="Arial" w:hAnsi="Arial" w:cs="Arial"/>
                <w:sz w:val="18"/>
                <w:szCs w:val="18"/>
                <w:lang w:val="es-HN"/>
              </w:rPr>
            </w:pPr>
            <w:r w:rsidRPr="00C038AA">
              <w:rPr>
                <w:rFonts w:ascii="Arial" w:hAnsi="Arial" w:cs="Arial"/>
                <w:sz w:val="18"/>
                <w:szCs w:val="18"/>
                <w:lang w:val="es-ES"/>
              </w:rPr>
              <w:t xml:space="preserve">Secretaria de Coordinación General de Gobierno (SCGG) </w:t>
            </w:r>
          </w:p>
          <w:p w14:paraId="5BED5311" w14:textId="77777777" w:rsidR="001D1D8F" w:rsidRPr="00C038AA" w:rsidRDefault="001D1D8F" w:rsidP="00F7295F">
            <w:pPr>
              <w:jc w:val="both"/>
              <w:rPr>
                <w:rFonts w:ascii="Arial" w:eastAsia="Times New Roman" w:hAnsi="Arial" w:cs="Arial"/>
                <w:color w:val="000000"/>
                <w:sz w:val="18"/>
                <w:szCs w:val="18"/>
                <w:lang w:val="es-HN"/>
              </w:rPr>
            </w:pPr>
          </w:p>
        </w:tc>
        <w:tc>
          <w:tcPr>
            <w:tcW w:w="1051" w:type="dxa"/>
            <w:shd w:val="clear" w:color="auto" w:fill="auto"/>
            <w:vAlign w:val="center"/>
            <w:hideMark/>
          </w:tcPr>
          <w:p w14:paraId="3A98AC1C" w14:textId="77777777" w:rsidR="001D1D8F" w:rsidRPr="00C038AA" w:rsidRDefault="001D1D8F" w:rsidP="00DA2367">
            <w:pPr>
              <w:jc w:val="center"/>
              <w:rPr>
                <w:rFonts w:ascii="Arial" w:eastAsia="Times New Roman" w:hAnsi="Arial" w:cs="Arial"/>
                <w:color w:val="000000"/>
                <w:sz w:val="18"/>
                <w:szCs w:val="18"/>
                <w:lang w:val="es-ES"/>
              </w:rPr>
            </w:pPr>
            <w:r w:rsidRPr="00C038AA">
              <w:rPr>
                <w:rFonts w:ascii="Arial" w:eastAsia="Times New Roman" w:hAnsi="Arial" w:cs="Arial"/>
                <w:color w:val="000000"/>
                <w:sz w:val="18"/>
                <w:szCs w:val="18"/>
                <w:lang w:val="es-ES"/>
              </w:rPr>
              <w:t>0</w:t>
            </w:r>
          </w:p>
        </w:tc>
        <w:tc>
          <w:tcPr>
            <w:tcW w:w="810" w:type="dxa"/>
            <w:shd w:val="clear" w:color="auto" w:fill="auto"/>
            <w:vAlign w:val="center"/>
            <w:hideMark/>
          </w:tcPr>
          <w:p w14:paraId="0E0F8E75" w14:textId="77777777" w:rsidR="001D1D8F" w:rsidRPr="00C038AA" w:rsidRDefault="001D1D8F" w:rsidP="00DA2367">
            <w:pPr>
              <w:jc w:val="center"/>
              <w:rPr>
                <w:rFonts w:ascii="Arial" w:eastAsia="Times New Roman" w:hAnsi="Arial" w:cs="Arial"/>
                <w:color w:val="000000"/>
                <w:sz w:val="18"/>
                <w:szCs w:val="18"/>
                <w:lang w:val="es-ES"/>
              </w:rPr>
            </w:pPr>
            <w:r w:rsidRPr="00C038AA">
              <w:rPr>
                <w:rFonts w:ascii="Arial" w:eastAsia="Times New Roman" w:hAnsi="Arial" w:cs="Arial"/>
                <w:color w:val="000000"/>
                <w:sz w:val="18"/>
                <w:szCs w:val="18"/>
                <w:lang w:val="es-ES"/>
              </w:rPr>
              <w:t>1</w:t>
            </w:r>
          </w:p>
        </w:tc>
        <w:tc>
          <w:tcPr>
            <w:tcW w:w="4307" w:type="dxa"/>
            <w:shd w:val="clear" w:color="auto" w:fill="auto"/>
            <w:vAlign w:val="center"/>
            <w:hideMark/>
          </w:tcPr>
          <w:p w14:paraId="05D8E1A5" w14:textId="3A0394EC" w:rsidR="001D1D8F" w:rsidRPr="00C038AA" w:rsidRDefault="003D5638" w:rsidP="00DA2367">
            <w:pPr>
              <w:jc w:val="both"/>
              <w:rPr>
                <w:rFonts w:ascii="Arial" w:eastAsia="Times New Roman" w:hAnsi="Arial" w:cs="Arial"/>
                <w:color w:val="000000"/>
                <w:sz w:val="18"/>
                <w:szCs w:val="18"/>
                <w:lang w:val="es-ES"/>
              </w:rPr>
            </w:pPr>
            <w:r w:rsidRPr="003D5638">
              <w:rPr>
                <w:rFonts w:ascii="Arial" w:hAnsi="Arial" w:cs="Arial"/>
                <w:sz w:val="18"/>
                <w:szCs w:val="18"/>
                <w:lang w:val="es-ES"/>
              </w:rPr>
              <w:t xml:space="preserve">Oficio CGG-881-2018 </w:t>
            </w:r>
            <w:r w:rsidR="00F7295F" w:rsidRPr="00C038AA">
              <w:rPr>
                <w:rFonts w:ascii="Arial" w:hAnsi="Arial" w:cs="Arial"/>
                <w:sz w:val="18"/>
                <w:szCs w:val="18"/>
                <w:lang w:val="es-ES"/>
              </w:rPr>
              <w:t>de la SCGG a la Secretaría de Finanzas (SEFIN) definiendo las prioridades de gobierno 2018-2022.</w:t>
            </w:r>
          </w:p>
        </w:tc>
      </w:tr>
      <w:tr w:rsidR="001D1D8F" w:rsidRPr="000F3F24" w14:paraId="4313B7AA" w14:textId="77777777" w:rsidTr="006D6A17">
        <w:trPr>
          <w:trHeight w:val="320"/>
        </w:trPr>
        <w:tc>
          <w:tcPr>
            <w:tcW w:w="3216" w:type="dxa"/>
            <w:tcBorders>
              <w:bottom w:val="single" w:sz="8" w:space="0" w:color="auto"/>
            </w:tcBorders>
            <w:shd w:val="clear" w:color="auto" w:fill="auto"/>
            <w:vAlign w:val="center"/>
            <w:hideMark/>
          </w:tcPr>
          <w:p w14:paraId="18D92D19" w14:textId="77777777" w:rsidR="001D1D8F" w:rsidRPr="00C038AA" w:rsidRDefault="00C038AA" w:rsidP="00DA2367">
            <w:pPr>
              <w:jc w:val="both"/>
              <w:rPr>
                <w:rFonts w:ascii="Arial" w:hAnsi="Arial" w:cs="Arial"/>
                <w:sz w:val="18"/>
                <w:szCs w:val="18"/>
                <w:lang w:val="es-CO"/>
              </w:rPr>
            </w:pPr>
            <w:r w:rsidRPr="00C038AA">
              <w:rPr>
                <w:rFonts w:ascii="Arial" w:hAnsi="Arial" w:cs="Arial"/>
                <w:sz w:val="18"/>
                <w:szCs w:val="18"/>
                <w:lang w:val="es-ES"/>
              </w:rPr>
              <w:t>Aprobación del Plan Nacional de Logística de Cargas (PNLOG) por el Consejo Nacional Logístico, que refleja un acuerdo interinstitucional y multisectorial público-privado, sobre la orientación estratégica para la priorización de acciones y proyectos en el sector de logística de cargas.</w:t>
            </w:r>
          </w:p>
        </w:tc>
        <w:tc>
          <w:tcPr>
            <w:tcW w:w="1506" w:type="dxa"/>
            <w:tcBorders>
              <w:bottom w:val="single" w:sz="8" w:space="0" w:color="auto"/>
            </w:tcBorders>
            <w:shd w:val="clear" w:color="auto" w:fill="auto"/>
            <w:vAlign w:val="center"/>
            <w:hideMark/>
          </w:tcPr>
          <w:p w14:paraId="5EA3E807" w14:textId="77777777" w:rsidR="001D1D8F" w:rsidRPr="00C038AA" w:rsidRDefault="00F7295F" w:rsidP="00DA2367">
            <w:pPr>
              <w:jc w:val="both"/>
              <w:rPr>
                <w:rFonts w:ascii="Arial" w:hAnsi="Arial" w:cs="Arial"/>
                <w:sz w:val="18"/>
                <w:szCs w:val="18"/>
                <w:lang w:val="es-ES"/>
              </w:rPr>
            </w:pPr>
            <w:r w:rsidRPr="00C038AA">
              <w:rPr>
                <w:rFonts w:ascii="Arial" w:hAnsi="Arial" w:cs="Arial"/>
                <w:sz w:val="18"/>
                <w:szCs w:val="18"/>
                <w:lang w:val="es-ES"/>
              </w:rPr>
              <w:t>Secretaria de Infraestructura y Servicios Públicos (INSEP)</w:t>
            </w:r>
          </w:p>
        </w:tc>
        <w:tc>
          <w:tcPr>
            <w:tcW w:w="1051" w:type="dxa"/>
            <w:tcBorders>
              <w:bottom w:val="single" w:sz="8" w:space="0" w:color="auto"/>
            </w:tcBorders>
            <w:shd w:val="clear" w:color="auto" w:fill="auto"/>
            <w:vAlign w:val="center"/>
            <w:hideMark/>
          </w:tcPr>
          <w:p w14:paraId="51094D7A" w14:textId="77777777" w:rsidR="001D1D8F" w:rsidRPr="00C038AA" w:rsidRDefault="001D1D8F" w:rsidP="00DA2367">
            <w:pPr>
              <w:jc w:val="center"/>
              <w:rPr>
                <w:rFonts w:ascii="Arial" w:hAnsi="Arial" w:cs="Arial"/>
                <w:sz w:val="18"/>
                <w:szCs w:val="18"/>
                <w:lang w:val="es-ES"/>
              </w:rPr>
            </w:pPr>
            <w:r w:rsidRPr="00C038AA">
              <w:rPr>
                <w:rFonts w:ascii="Arial" w:hAnsi="Arial" w:cs="Arial"/>
                <w:sz w:val="18"/>
                <w:szCs w:val="18"/>
                <w:lang w:val="es-ES"/>
              </w:rPr>
              <w:t>0</w:t>
            </w:r>
          </w:p>
        </w:tc>
        <w:tc>
          <w:tcPr>
            <w:tcW w:w="810" w:type="dxa"/>
            <w:tcBorders>
              <w:bottom w:val="single" w:sz="8" w:space="0" w:color="auto"/>
            </w:tcBorders>
            <w:shd w:val="clear" w:color="auto" w:fill="auto"/>
            <w:vAlign w:val="center"/>
            <w:hideMark/>
          </w:tcPr>
          <w:p w14:paraId="6CEE219A" w14:textId="77777777" w:rsidR="001D1D8F" w:rsidRPr="00C038AA" w:rsidRDefault="001D1D8F" w:rsidP="00DA2367">
            <w:pPr>
              <w:jc w:val="center"/>
              <w:rPr>
                <w:rFonts w:ascii="Arial" w:hAnsi="Arial" w:cs="Arial"/>
                <w:sz w:val="18"/>
                <w:szCs w:val="18"/>
                <w:lang w:val="es-ES"/>
              </w:rPr>
            </w:pPr>
            <w:r w:rsidRPr="00C038AA">
              <w:rPr>
                <w:rFonts w:ascii="Arial" w:hAnsi="Arial" w:cs="Arial"/>
                <w:sz w:val="18"/>
                <w:szCs w:val="18"/>
                <w:lang w:val="es-ES"/>
              </w:rPr>
              <w:t>1</w:t>
            </w:r>
          </w:p>
        </w:tc>
        <w:tc>
          <w:tcPr>
            <w:tcW w:w="4307" w:type="dxa"/>
            <w:tcBorders>
              <w:bottom w:val="single" w:sz="8" w:space="0" w:color="auto"/>
            </w:tcBorders>
            <w:shd w:val="clear" w:color="auto" w:fill="auto"/>
            <w:vAlign w:val="center"/>
            <w:hideMark/>
          </w:tcPr>
          <w:p w14:paraId="068BFA73" w14:textId="77777777" w:rsidR="001D1D8F" w:rsidRPr="009B679F" w:rsidRDefault="009B679F" w:rsidP="00DA2367">
            <w:pPr>
              <w:jc w:val="both"/>
              <w:rPr>
                <w:rFonts w:ascii="Arial" w:hAnsi="Arial" w:cs="Arial"/>
                <w:sz w:val="18"/>
                <w:szCs w:val="18"/>
                <w:lang w:val="es-AR"/>
              </w:rPr>
            </w:pPr>
            <w:r w:rsidRPr="009B679F">
              <w:rPr>
                <w:rFonts w:ascii="Arial" w:hAnsi="Arial" w:cs="Arial"/>
                <w:sz w:val="18"/>
                <w:szCs w:val="18"/>
                <w:lang w:val="es-AR"/>
              </w:rPr>
              <w:t xml:space="preserve">Certificación del punto del </w:t>
            </w:r>
            <w:r w:rsidRPr="009B679F">
              <w:rPr>
                <w:rFonts w:ascii="Arial" w:hAnsi="Arial" w:cs="Arial"/>
                <w:sz w:val="18"/>
                <w:szCs w:val="18"/>
                <w:lang w:val="es-VE"/>
              </w:rPr>
              <w:t xml:space="preserve">Acta del Consejo Nacional Logístico aprobando el </w:t>
            </w:r>
            <w:r w:rsidRPr="009B679F">
              <w:rPr>
                <w:rFonts w:ascii="Arial" w:hAnsi="Arial" w:cs="Arial"/>
                <w:sz w:val="18"/>
                <w:szCs w:val="18"/>
                <w:lang w:val="es-AR"/>
              </w:rPr>
              <w:t>PNLOG.</w:t>
            </w:r>
          </w:p>
        </w:tc>
      </w:tr>
      <w:tr w:rsidR="00E32009" w:rsidRPr="00A02F7C" w14:paraId="674E53E7" w14:textId="77777777" w:rsidTr="006D6A17">
        <w:trPr>
          <w:trHeight w:val="320"/>
        </w:trPr>
        <w:tc>
          <w:tcPr>
            <w:tcW w:w="10890" w:type="dxa"/>
            <w:gridSpan w:val="5"/>
            <w:shd w:val="pct20" w:color="auto" w:fill="auto"/>
            <w:vAlign w:val="center"/>
          </w:tcPr>
          <w:p w14:paraId="6679BCD6" w14:textId="77777777" w:rsidR="00E32009" w:rsidRPr="00C038AA" w:rsidRDefault="00E32009" w:rsidP="00DA2367">
            <w:pPr>
              <w:jc w:val="both"/>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 xml:space="preserve">MARCO </w:t>
            </w:r>
            <w:r w:rsidR="008B4B77" w:rsidRPr="00C038AA">
              <w:rPr>
                <w:rFonts w:ascii="Arial" w:eastAsia="Times New Roman" w:hAnsi="Arial" w:cs="Arial"/>
                <w:b/>
                <w:bCs/>
                <w:color w:val="000000"/>
                <w:sz w:val="18"/>
                <w:szCs w:val="18"/>
                <w:lang w:val="es-ES"/>
              </w:rPr>
              <w:t xml:space="preserve">LEGAL DE </w:t>
            </w:r>
            <w:r w:rsidRPr="00C038AA">
              <w:rPr>
                <w:rFonts w:ascii="Arial" w:eastAsia="Times New Roman" w:hAnsi="Arial" w:cs="Arial"/>
                <w:b/>
                <w:bCs/>
                <w:color w:val="000000"/>
                <w:sz w:val="18"/>
                <w:szCs w:val="18"/>
                <w:lang w:val="es-ES"/>
              </w:rPr>
              <w:t>TRANSPORTE TERRESTRE</w:t>
            </w:r>
            <w:r w:rsidR="008B4B77" w:rsidRPr="00C038AA">
              <w:rPr>
                <w:rFonts w:ascii="Arial" w:eastAsia="Times New Roman" w:hAnsi="Arial" w:cs="Arial"/>
                <w:b/>
                <w:bCs/>
                <w:color w:val="000000"/>
                <w:sz w:val="18"/>
                <w:szCs w:val="18"/>
                <w:lang w:val="es-ES"/>
              </w:rPr>
              <w:t xml:space="preserve"> DE CARGA</w:t>
            </w:r>
          </w:p>
        </w:tc>
      </w:tr>
      <w:tr w:rsidR="00F7295F" w:rsidRPr="000F3F24" w14:paraId="28AC402F" w14:textId="77777777" w:rsidTr="006D6A17">
        <w:trPr>
          <w:trHeight w:val="320"/>
        </w:trPr>
        <w:tc>
          <w:tcPr>
            <w:tcW w:w="3216" w:type="dxa"/>
            <w:shd w:val="clear" w:color="auto" w:fill="auto"/>
            <w:vAlign w:val="center"/>
          </w:tcPr>
          <w:p w14:paraId="42F5AFEA" w14:textId="77777777" w:rsidR="00F7295F" w:rsidRPr="00C038AA" w:rsidRDefault="003B5000" w:rsidP="00DA2367">
            <w:pPr>
              <w:jc w:val="both"/>
              <w:rPr>
                <w:rFonts w:ascii="Arial" w:hAnsi="Arial" w:cs="Arial"/>
                <w:sz w:val="18"/>
                <w:szCs w:val="18"/>
                <w:lang w:val="es-ES"/>
              </w:rPr>
            </w:pPr>
            <w:r w:rsidRPr="003B5000">
              <w:rPr>
                <w:rFonts w:ascii="Arial" w:eastAsia="MS Mincho" w:hAnsi="Arial" w:cs="Arial"/>
                <w:sz w:val="18"/>
                <w:szCs w:val="18"/>
                <w:lang w:val="es-ES_tradnl"/>
              </w:rPr>
              <w:t xml:space="preserve">Actualización del Marco Institucional del Consejo Nacional de Seguridad Vial al marco legal vigente, incluyendo a las instituciones con competencia en el sector de logística de carga y transporte.  </w:t>
            </w:r>
          </w:p>
        </w:tc>
        <w:tc>
          <w:tcPr>
            <w:tcW w:w="1506" w:type="dxa"/>
            <w:shd w:val="clear" w:color="auto" w:fill="auto"/>
            <w:vAlign w:val="center"/>
          </w:tcPr>
          <w:p w14:paraId="666A8C88" w14:textId="77777777" w:rsidR="00F7295F" w:rsidRPr="00C038AA" w:rsidRDefault="00F7295F" w:rsidP="00DA2367">
            <w:pPr>
              <w:jc w:val="both"/>
              <w:rPr>
                <w:rFonts w:ascii="Arial" w:hAnsi="Arial" w:cs="Arial"/>
                <w:sz w:val="18"/>
                <w:szCs w:val="18"/>
                <w:lang w:val="es-ES"/>
              </w:rPr>
            </w:pPr>
            <w:r w:rsidRPr="00C038AA">
              <w:rPr>
                <w:rFonts w:ascii="Arial" w:hAnsi="Arial" w:cs="Arial"/>
                <w:sz w:val="18"/>
                <w:szCs w:val="18"/>
                <w:lang w:val="es-ES"/>
              </w:rPr>
              <w:t>Secretaria de Infraestructura y Servicios Públicos (INSEP)</w:t>
            </w:r>
          </w:p>
        </w:tc>
        <w:tc>
          <w:tcPr>
            <w:tcW w:w="1051" w:type="dxa"/>
            <w:shd w:val="clear" w:color="auto" w:fill="auto"/>
            <w:vAlign w:val="center"/>
          </w:tcPr>
          <w:p w14:paraId="209E2629" w14:textId="77777777" w:rsidR="00F7295F" w:rsidRPr="00C038AA" w:rsidRDefault="00F7295F" w:rsidP="00DA2367">
            <w:pPr>
              <w:jc w:val="center"/>
              <w:rPr>
                <w:rFonts w:ascii="Arial" w:hAnsi="Arial" w:cs="Arial"/>
                <w:sz w:val="18"/>
                <w:szCs w:val="18"/>
                <w:lang w:val="es-ES"/>
              </w:rPr>
            </w:pPr>
            <w:r w:rsidRPr="00C038AA">
              <w:rPr>
                <w:rFonts w:ascii="Arial" w:hAnsi="Arial" w:cs="Arial"/>
                <w:sz w:val="18"/>
                <w:szCs w:val="18"/>
                <w:lang w:val="es-ES"/>
              </w:rPr>
              <w:t>0</w:t>
            </w:r>
          </w:p>
        </w:tc>
        <w:tc>
          <w:tcPr>
            <w:tcW w:w="810" w:type="dxa"/>
            <w:shd w:val="clear" w:color="auto" w:fill="auto"/>
            <w:vAlign w:val="center"/>
          </w:tcPr>
          <w:p w14:paraId="6E2AA3D2" w14:textId="77777777" w:rsidR="00F7295F" w:rsidRPr="00C038AA" w:rsidRDefault="00F7295F" w:rsidP="00DA2367">
            <w:pPr>
              <w:jc w:val="center"/>
              <w:rPr>
                <w:rFonts w:ascii="Arial" w:hAnsi="Arial" w:cs="Arial"/>
                <w:sz w:val="18"/>
                <w:szCs w:val="18"/>
                <w:lang w:val="es-ES"/>
              </w:rPr>
            </w:pPr>
            <w:r w:rsidRPr="00C038AA">
              <w:rPr>
                <w:rFonts w:ascii="Arial" w:hAnsi="Arial" w:cs="Arial"/>
                <w:sz w:val="18"/>
                <w:szCs w:val="18"/>
                <w:lang w:val="es-ES"/>
              </w:rPr>
              <w:t>1</w:t>
            </w:r>
          </w:p>
        </w:tc>
        <w:tc>
          <w:tcPr>
            <w:tcW w:w="4307" w:type="dxa"/>
            <w:shd w:val="clear" w:color="auto" w:fill="auto"/>
            <w:vAlign w:val="center"/>
          </w:tcPr>
          <w:p w14:paraId="74DBA094" w14:textId="77777777" w:rsidR="00F7295F" w:rsidRPr="00C038AA" w:rsidRDefault="00BC17B8" w:rsidP="00DA2367">
            <w:pPr>
              <w:jc w:val="both"/>
              <w:rPr>
                <w:rFonts w:ascii="Arial" w:hAnsi="Arial" w:cs="Arial"/>
                <w:sz w:val="18"/>
                <w:szCs w:val="18"/>
                <w:lang w:val="es-ES"/>
              </w:rPr>
            </w:pPr>
            <w:r w:rsidRPr="00BC17B8">
              <w:rPr>
                <w:rFonts w:ascii="Arial" w:eastAsia="MS Mincho" w:hAnsi="Arial"/>
                <w:sz w:val="18"/>
                <w:szCs w:val="18"/>
                <w:lang w:val="es-AR"/>
              </w:rPr>
              <w:t>Certificación del punto de Acta del Consejo Nacional de Seguridad Vial adaptando el marco institucional al marco legal vigente</w:t>
            </w:r>
            <w:r w:rsidR="003D5638" w:rsidRPr="003D5638">
              <w:rPr>
                <w:rFonts w:ascii="Arial" w:eastAsia="MS Mincho" w:hAnsi="Arial"/>
                <w:sz w:val="18"/>
                <w:szCs w:val="18"/>
                <w:lang w:val="es-AR"/>
              </w:rPr>
              <w:t>, con foco en la inclusión del IHTT como invitado permanente del CNSV</w:t>
            </w:r>
            <w:r w:rsidRPr="00BC17B8">
              <w:rPr>
                <w:rFonts w:ascii="Arial" w:eastAsia="MS Mincho" w:hAnsi="Arial"/>
                <w:sz w:val="18"/>
                <w:szCs w:val="18"/>
                <w:lang w:val="es-AR"/>
              </w:rPr>
              <w:t>.</w:t>
            </w:r>
          </w:p>
        </w:tc>
      </w:tr>
      <w:tr w:rsidR="00F7295F" w:rsidRPr="00A02F7C" w14:paraId="763E9323" w14:textId="77777777" w:rsidTr="006D6A17">
        <w:trPr>
          <w:trHeight w:val="320"/>
        </w:trPr>
        <w:tc>
          <w:tcPr>
            <w:tcW w:w="3216" w:type="dxa"/>
            <w:tcBorders>
              <w:bottom w:val="single" w:sz="8" w:space="0" w:color="auto"/>
            </w:tcBorders>
            <w:shd w:val="clear" w:color="auto" w:fill="auto"/>
            <w:vAlign w:val="center"/>
          </w:tcPr>
          <w:p w14:paraId="73270CA2" w14:textId="77777777" w:rsidR="00B702BA" w:rsidRPr="00B702BA" w:rsidRDefault="00B702BA" w:rsidP="00B702BA">
            <w:pPr>
              <w:spacing w:before="60" w:after="60"/>
              <w:contextualSpacing/>
              <w:rPr>
                <w:rFonts w:ascii="Arial" w:eastAsia="MS Mincho" w:hAnsi="Arial"/>
                <w:sz w:val="18"/>
                <w:szCs w:val="18"/>
                <w:lang w:val="es-VE"/>
              </w:rPr>
            </w:pPr>
            <w:r w:rsidRPr="00B702BA">
              <w:rPr>
                <w:rFonts w:ascii="Arial" w:eastAsia="MS Mincho" w:hAnsi="Arial"/>
                <w:sz w:val="18"/>
                <w:szCs w:val="18"/>
                <w:lang w:val="es-VE"/>
              </w:rPr>
              <w:lastRenderedPageBreak/>
              <w:t>Elaboración de reglamentos que</w:t>
            </w:r>
            <w:r>
              <w:rPr>
                <w:rFonts w:ascii="Arial" w:eastAsia="MS Mincho" w:hAnsi="Arial"/>
                <w:sz w:val="18"/>
                <w:szCs w:val="18"/>
                <w:lang w:val="es-VE"/>
              </w:rPr>
              <w:t xml:space="preserve"> </w:t>
            </w:r>
            <w:r w:rsidRPr="00B702BA">
              <w:rPr>
                <w:rFonts w:ascii="Arial" w:eastAsia="MS Mincho" w:hAnsi="Arial"/>
                <w:sz w:val="18"/>
                <w:szCs w:val="18"/>
                <w:lang w:val="es-VE"/>
              </w:rPr>
              <w:t>fortalecen la seguridad en el transporte de carga:</w:t>
            </w:r>
          </w:p>
          <w:p w14:paraId="3C1CA095" w14:textId="77777777" w:rsidR="00B702BA" w:rsidRPr="00B702BA" w:rsidRDefault="00B702BA" w:rsidP="00B702BA">
            <w:pPr>
              <w:spacing w:before="60" w:after="60"/>
              <w:contextualSpacing/>
              <w:rPr>
                <w:rFonts w:ascii="Arial" w:eastAsia="MS Mincho" w:hAnsi="Arial"/>
                <w:sz w:val="18"/>
                <w:szCs w:val="18"/>
                <w:lang w:val="es-VE"/>
              </w:rPr>
            </w:pPr>
          </w:p>
          <w:p w14:paraId="3149462D" w14:textId="77777777" w:rsidR="00B702BA" w:rsidRPr="00B702BA" w:rsidRDefault="00B702BA" w:rsidP="00B702BA">
            <w:pPr>
              <w:numPr>
                <w:ilvl w:val="0"/>
                <w:numId w:val="15"/>
              </w:numPr>
              <w:spacing w:before="60" w:after="60"/>
              <w:ind w:left="271" w:hanging="270"/>
              <w:jc w:val="both"/>
              <w:rPr>
                <w:rFonts w:ascii="Arial" w:eastAsia="MS Mincho" w:hAnsi="Arial"/>
                <w:sz w:val="18"/>
                <w:szCs w:val="18"/>
                <w:lang w:val="es-VE"/>
              </w:rPr>
            </w:pPr>
            <w:r w:rsidRPr="00B702BA">
              <w:rPr>
                <w:rFonts w:ascii="Arial" w:eastAsia="MS Mincho" w:hAnsi="Arial"/>
                <w:sz w:val="18"/>
                <w:szCs w:val="18"/>
                <w:lang w:val="es-VE"/>
              </w:rPr>
              <w:t>del seguro del transporte terrestre de carga que incluye al menos:</w:t>
            </w:r>
          </w:p>
          <w:p w14:paraId="63160237" w14:textId="77777777" w:rsidR="00B702BA" w:rsidRPr="00B702BA" w:rsidRDefault="00B702BA" w:rsidP="00B702BA">
            <w:pPr>
              <w:numPr>
                <w:ilvl w:val="0"/>
                <w:numId w:val="14"/>
              </w:numPr>
              <w:spacing w:before="60" w:after="60"/>
              <w:ind w:left="360" w:hanging="274"/>
              <w:jc w:val="both"/>
              <w:rPr>
                <w:rFonts w:ascii="Arial" w:eastAsia="MS Mincho" w:hAnsi="Arial"/>
                <w:sz w:val="18"/>
                <w:szCs w:val="18"/>
                <w:lang w:val="es-VE"/>
              </w:rPr>
            </w:pPr>
            <w:r w:rsidRPr="00B702BA">
              <w:rPr>
                <w:rFonts w:ascii="Arial" w:eastAsia="MS Mincho" w:hAnsi="Arial"/>
                <w:sz w:val="18"/>
                <w:szCs w:val="18"/>
                <w:lang w:val="es-VE"/>
              </w:rPr>
              <w:t>responsabilidad civil;</w:t>
            </w:r>
          </w:p>
          <w:p w14:paraId="5E5FD7F6" w14:textId="77777777" w:rsidR="00B702BA" w:rsidRPr="00B702BA" w:rsidRDefault="00B702BA" w:rsidP="00B702BA">
            <w:pPr>
              <w:numPr>
                <w:ilvl w:val="0"/>
                <w:numId w:val="14"/>
              </w:numPr>
              <w:spacing w:before="60" w:after="60"/>
              <w:ind w:left="360" w:hanging="274"/>
              <w:jc w:val="both"/>
              <w:rPr>
                <w:rFonts w:ascii="Arial" w:eastAsia="MS Mincho" w:hAnsi="Arial"/>
                <w:sz w:val="18"/>
                <w:szCs w:val="18"/>
                <w:lang w:val="es-VE"/>
              </w:rPr>
            </w:pPr>
            <w:r w:rsidRPr="00B702BA">
              <w:rPr>
                <w:rFonts w:ascii="Arial" w:eastAsia="MS Mincho" w:hAnsi="Arial"/>
                <w:sz w:val="18"/>
                <w:szCs w:val="18"/>
                <w:lang w:val="es-VE"/>
              </w:rPr>
              <w:t>cobertura a medios de transporte; y</w:t>
            </w:r>
          </w:p>
          <w:p w14:paraId="1DECEC5C" w14:textId="77777777" w:rsidR="00B702BA" w:rsidRPr="00B702BA" w:rsidRDefault="00B702BA" w:rsidP="00B702BA">
            <w:pPr>
              <w:numPr>
                <w:ilvl w:val="0"/>
                <w:numId w:val="14"/>
              </w:numPr>
              <w:spacing w:before="60" w:after="60"/>
              <w:ind w:left="360" w:hanging="274"/>
              <w:jc w:val="both"/>
              <w:rPr>
                <w:rFonts w:ascii="Arial" w:eastAsia="MS Mincho" w:hAnsi="Arial"/>
                <w:sz w:val="18"/>
                <w:szCs w:val="18"/>
                <w:lang w:val="es-VE"/>
              </w:rPr>
            </w:pPr>
            <w:r w:rsidRPr="00B702BA">
              <w:rPr>
                <w:rFonts w:ascii="Arial" w:eastAsia="MS Mincho" w:hAnsi="Arial"/>
                <w:sz w:val="18"/>
                <w:szCs w:val="18"/>
                <w:lang w:val="es-VE"/>
              </w:rPr>
              <w:t>cobertura a la carga.</w:t>
            </w:r>
          </w:p>
          <w:p w14:paraId="25343FCB" w14:textId="77777777" w:rsidR="00B702BA" w:rsidRPr="00B702BA" w:rsidRDefault="00B702BA" w:rsidP="00B702BA">
            <w:pPr>
              <w:spacing w:before="60" w:after="60"/>
              <w:jc w:val="both"/>
              <w:rPr>
                <w:rFonts w:ascii="Arial" w:eastAsia="MS Mincho" w:hAnsi="Arial"/>
                <w:sz w:val="18"/>
                <w:szCs w:val="18"/>
                <w:lang w:val="es-VE"/>
              </w:rPr>
            </w:pPr>
          </w:p>
          <w:p w14:paraId="60801554" w14:textId="77777777" w:rsidR="00B702BA" w:rsidRPr="00B702BA" w:rsidRDefault="00B702BA" w:rsidP="00B702BA">
            <w:pPr>
              <w:numPr>
                <w:ilvl w:val="0"/>
                <w:numId w:val="15"/>
              </w:numPr>
              <w:spacing w:before="60" w:after="60"/>
              <w:ind w:left="271" w:hanging="274"/>
              <w:jc w:val="both"/>
              <w:rPr>
                <w:rFonts w:ascii="Arial" w:eastAsia="MS Mincho" w:hAnsi="Arial"/>
                <w:sz w:val="18"/>
                <w:szCs w:val="18"/>
                <w:lang w:val="es-VE"/>
              </w:rPr>
            </w:pPr>
            <w:r w:rsidRPr="00B702BA">
              <w:rPr>
                <w:rFonts w:ascii="Arial" w:eastAsia="MS Mincho" w:hAnsi="Arial"/>
                <w:sz w:val="18"/>
                <w:szCs w:val="18"/>
                <w:lang w:val="es-VE"/>
              </w:rPr>
              <w:t xml:space="preserve">de pesos y dimensiones. Que incluye al menos: </w:t>
            </w:r>
          </w:p>
          <w:p w14:paraId="2CBF1567" w14:textId="77777777" w:rsidR="00B702BA" w:rsidRPr="00B702BA" w:rsidRDefault="00B702BA" w:rsidP="00B702BA">
            <w:pPr>
              <w:numPr>
                <w:ilvl w:val="0"/>
                <w:numId w:val="16"/>
              </w:numPr>
              <w:spacing w:before="60" w:after="60"/>
              <w:ind w:left="361" w:hanging="274"/>
              <w:jc w:val="both"/>
              <w:rPr>
                <w:rFonts w:ascii="Arial" w:eastAsia="MS Mincho" w:hAnsi="Arial"/>
                <w:sz w:val="18"/>
                <w:szCs w:val="18"/>
                <w:lang w:val="es-VE"/>
              </w:rPr>
            </w:pPr>
            <w:r w:rsidRPr="00B702BA">
              <w:rPr>
                <w:rFonts w:ascii="Arial" w:eastAsia="MS Mincho" w:hAnsi="Arial"/>
                <w:sz w:val="18"/>
                <w:szCs w:val="18"/>
                <w:lang w:val="es-VE"/>
              </w:rPr>
              <w:t>límites de pesos y dimensiones; y</w:t>
            </w:r>
          </w:p>
          <w:p w14:paraId="39A4DABF" w14:textId="77777777" w:rsidR="00B702BA" w:rsidRPr="00B702BA" w:rsidRDefault="00B702BA" w:rsidP="00B702BA">
            <w:pPr>
              <w:numPr>
                <w:ilvl w:val="0"/>
                <w:numId w:val="16"/>
              </w:numPr>
              <w:spacing w:before="60" w:after="60"/>
              <w:ind w:left="361" w:hanging="274"/>
              <w:jc w:val="both"/>
              <w:rPr>
                <w:rFonts w:ascii="Arial" w:eastAsia="MS Mincho" w:hAnsi="Arial"/>
                <w:sz w:val="18"/>
                <w:szCs w:val="18"/>
                <w:lang w:val="es-VE"/>
              </w:rPr>
            </w:pPr>
            <w:r w:rsidRPr="00B702BA">
              <w:rPr>
                <w:rFonts w:ascii="Arial" w:eastAsia="MS Mincho" w:hAnsi="Arial"/>
                <w:sz w:val="18"/>
                <w:szCs w:val="18"/>
                <w:lang w:val="es-VE"/>
              </w:rPr>
              <w:t>penalidades.</w:t>
            </w:r>
          </w:p>
          <w:p w14:paraId="0468B26C" w14:textId="77777777" w:rsidR="00F7295F" w:rsidRPr="00C038AA" w:rsidRDefault="00F7295F" w:rsidP="00F7295F">
            <w:pPr>
              <w:jc w:val="both"/>
              <w:rPr>
                <w:rFonts w:ascii="Arial" w:hAnsi="Arial" w:cs="Arial"/>
                <w:sz w:val="18"/>
                <w:szCs w:val="18"/>
                <w:lang w:val="es-ES"/>
              </w:rPr>
            </w:pPr>
          </w:p>
        </w:tc>
        <w:tc>
          <w:tcPr>
            <w:tcW w:w="1506" w:type="dxa"/>
            <w:tcBorders>
              <w:bottom w:val="single" w:sz="8" w:space="0" w:color="auto"/>
            </w:tcBorders>
            <w:shd w:val="clear" w:color="auto" w:fill="auto"/>
            <w:vAlign w:val="center"/>
          </w:tcPr>
          <w:p w14:paraId="3F919554" w14:textId="77777777" w:rsidR="00F7295F" w:rsidRPr="00C038AA" w:rsidRDefault="00F7295F" w:rsidP="00F7295F">
            <w:pPr>
              <w:jc w:val="both"/>
              <w:rPr>
                <w:rFonts w:ascii="Arial" w:hAnsi="Arial" w:cs="Arial"/>
                <w:sz w:val="18"/>
                <w:szCs w:val="18"/>
                <w:lang w:val="es-ES"/>
              </w:rPr>
            </w:pPr>
            <w:r w:rsidRPr="00C038AA">
              <w:rPr>
                <w:rFonts w:ascii="Arial" w:hAnsi="Arial" w:cs="Arial"/>
                <w:sz w:val="18"/>
                <w:szCs w:val="18"/>
                <w:lang w:val="es-ES"/>
              </w:rPr>
              <w:t>Secretaria de Infraestructura y Servicios Públicos (INSEP)</w:t>
            </w:r>
          </w:p>
        </w:tc>
        <w:tc>
          <w:tcPr>
            <w:tcW w:w="1051" w:type="dxa"/>
            <w:tcBorders>
              <w:bottom w:val="single" w:sz="8" w:space="0" w:color="auto"/>
            </w:tcBorders>
            <w:shd w:val="clear" w:color="auto" w:fill="auto"/>
            <w:vAlign w:val="center"/>
          </w:tcPr>
          <w:p w14:paraId="4F1A84EA" w14:textId="77777777" w:rsidR="00F7295F" w:rsidRPr="00C038AA" w:rsidRDefault="00F7295F" w:rsidP="00932324">
            <w:pPr>
              <w:jc w:val="center"/>
              <w:rPr>
                <w:rFonts w:ascii="Arial" w:hAnsi="Arial" w:cs="Arial"/>
                <w:sz w:val="18"/>
                <w:szCs w:val="18"/>
                <w:lang w:val="es-ES"/>
              </w:rPr>
            </w:pPr>
            <w:r w:rsidRPr="00C038AA">
              <w:rPr>
                <w:rFonts w:ascii="Arial" w:hAnsi="Arial" w:cs="Arial"/>
                <w:sz w:val="18"/>
                <w:szCs w:val="18"/>
                <w:lang w:val="es-ES"/>
              </w:rPr>
              <w:t>0</w:t>
            </w:r>
          </w:p>
        </w:tc>
        <w:tc>
          <w:tcPr>
            <w:tcW w:w="810" w:type="dxa"/>
            <w:tcBorders>
              <w:bottom w:val="single" w:sz="8" w:space="0" w:color="auto"/>
            </w:tcBorders>
            <w:shd w:val="clear" w:color="auto" w:fill="auto"/>
            <w:vAlign w:val="center"/>
          </w:tcPr>
          <w:p w14:paraId="4769F733" w14:textId="77777777" w:rsidR="00F7295F" w:rsidRPr="00C038AA" w:rsidRDefault="00F7295F" w:rsidP="00932324">
            <w:pPr>
              <w:jc w:val="center"/>
              <w:rPr>
                <w:rFonts w:ascii="Arial" w:hAnsi="Arial" w:cs="Arial"/>
                <w:sz w:val="18"/>
                <w:szCs w:val="18"/>
                <w:lang w:val="es-ES"/>
              </w:rPr>
            </w:pPr>
            <w:r w:rsidRPr="00C038AA">
              <w:rPr>
                <w:rFonts w:ascii="Arial" w:hAnsi="Arial" w:cs="Arial"/>
                <w:sz w:val="18"/>
                <w:szCs w:val="18"/>
                <w:lang w:val="es-ES"/>
              </w:rPr>
              <w:t>1</w:t>
            </w:r>
          </w:p>
        </w:tc>
        <w:tc>
          <w:tcPr>
            <w:tcW w:w="4307" w:type="dxa"/>
            <w:tcBorders>
              <w:bottom w:val="single" w:sz="8" w:space="0" w:color="auto"/>
            </w:tcBorders>
            <w:shd w:val="clear" w:color="auto" w:fill="auto"/>
            <w:vAlign w:val="center"/>
          </w:tcPr>
          <w:p w14:paraId="473D3279" w14:textId="77777777" w:rsidR="00FD0B7A" w:rsidRPr="00FD0B7A" w:rsidRDefault="00FD0B7A" w:rsidP="00FD0B7A">
            <w:pPr>
              <w:jc w:val="both"/>
              <w:rPr>
                <w:rFonts w:ascii="Arial" w:hAnsi="Arial" w:cs="Arial"/>
                <w:sz w:val="18"/>
                <w:szCs w:val="18"/>
                <w:lang w:val="es-VE"/>
              </w:rPr>
            </w:pPr>
            <w:r w:rsidRPr="00FD0B7A">
              <w:rPr>
                <w:rFonts w:ascii="Arial" w:hAnsi="Arial" w:cs="Arial"/>
                <w:sz w:val="18"/>
                <w:szCs w:val="18"/>
                <w:lang w:val="es-VE"/>
              </w:rPr>
              <w:t xml:space="preserve">Oficio </w:t>
            </w:r>
            <w:r w:rsidR="003D5638" w:rsidRPr="003D5638">
              <w:rPr>
                <w:rFonts w:ascii="Arial" w:hAnsi="Arial" w:cs="Arial"/>
                <w:sz w:val="18"/>
                <w:szCs w:val="18"/>
                <w:lang w:val="es-VE"/>
              </w:rPr>
              <w:t xml:space="preserve">SG-IHTT-01-2018 </w:t>
            </w:r>
            <w:r w:rsidRPr="00FD0B7A">
              <w:rPr>
                <w:rFonts w:ascii="Arial" w:hAnsi="Arial" w:cs="Arial"/>
                <w:sz w:val="18"/>
                <w:szCs w:val="18"/>
                <w:lang w:val="es-VE"/>
              </w:rPr>
              <w:t>del Secretario General del Instituto Hondureño del Transporte Terrestre (IHTT) a la Comisión Directiva con la elaboración -en proceso inicial de socialización- de los siguientes reglamentos:</w:t>
            </w:r>
          </w:p>
          <w:p w14:paraId="11C628B9" w14:textId="77777777" w:rsidR="00FD0B7A" w:rsidRPr="00FD0B7A" w:rsidRDefault="00FD0B7A" w:rsidP="00FD0B7A">
            <w:pPr>
              <w:spacing w:before="120" w:after="120"/>
              <w:jc w:val="both"/>
              <w:rPr>
                <w:rFonts w:ascii="Arial" w:hAnsi="Arial" w:cs="Arial"/>
                <w:sz w:val="18"/>
                <w:szCs w:val="18"/>
                <w:lang w:val="es-VE"/>
              </w:rPr>
            </w:pPr>
            <w:r w:rsidRPr="00FD0B7A">
              <w:rPr>
                <w:rFonts w:ascii="Arial" w:hAnsi="Arial" w:cs="Arial"/>
                <w:sz w:val="18"/>
                <w:szCs w:val="18"/>
                <w:lang w:val="es-VE"/>
              </w:rPr>
              <w:t xml:space="preserve">(a) del seguro del transporte terrestre de carga que incluye al menos: </w:t>
            </w:r>
          </w:p>
          <w:p w14:paraId="7A14EFBC" w14:textId="77777777" w:rsidR="00FD0B7A" w:rsidRPr="00FD0B7A" w:rsidRDefault="00FD0B7A" w:rsidP="00FD0B7A">
            <w:pPr>
              <w:numPr>
                <w:ilvl w:val="0"/>
                <w:numId w:val="17"/>
              </w:numPr>
              <w:spacing w:before="120" w:after="120"/>
              <w:jc w:val="both"/>
              <w:rPr>
                <w:rFonts w:ascii="Arial" w:hAnsi="Arial" w:cs="Arial"/>
                <w:sz w:val="18"/>
                <w:szCs w:val="18"/>
                <w:lang w:val="es-VE"/>
              </w:rPr>
            </w:pPr>
            <w:r w:rsidRPr="00FD0B7A">
              <w:rPr>
                <w:rFonts w:ascii="Arial" w:hAnsi="Arial" w:cs="Arial"/>
                <w:sz w:val="18"/>
                <w:szCs w:val="18"/>
                <w:lang w:val="es-VE"/>
              </w:rPr>
              <w:t>responsabilidad civil;</w:t>
            </w:r>
          </w:p>
          <w:p w14:paraId="103DF7C9" w14:textId="77777777" w:rsidR="00FD0B7A" w:rsidRPr="00FD0B7A" w:rsidRDefault="00FD0B7A" w:rsidP="00FD0B7A">
            <w:pPr>
              <w:numPr>
                <w:ilvl w:val="0"/>
                <w:numId w:val="17"/>
              </w:numPr>
              <w:spacing w:before="120" w:after="120"/>
              <w:jc w:val="both"/>
              <w:rPr>
                <w:rFonts w:ascii="Arial" w:hAnsi="Arial" w:cs="Arial"/>
                <w:sz w:val="18"/>
                <w:szCs w:val="18"/>
                <w:lang w:val="es-VE"/>
              </w:rPr>
            </w:pPr>
            <w:r w:rsidRPr="00FD0B7A">
              <w:rPr>
                <w:rFonts w:ascii="Arial" w:hAnsi="Arial" w:cs="Arial"/>
                <w:sz w:val="18"/>
                <w:szCs w:val="18"/>
                <w:lang w:val="es-VE"/>
              </w:rPr>
              <w:t>cobertura a medios de transporte; y</w:t>
            </w:r>
          </w:p>
          <w:p w14:paraId="3457907E" w14:textId="77777777" w:rsidR="00FD0B7A" w:rsidRPr="00FD0B7A" w:rsidRDefault="00FD0B7A" w:rsidP="00FD0B7A">
            <w:pPr>
              <w:numPr>
                <w:ilvl w:val="0"/>
                <w:numId w:val="17"/>
              </w:numPr>
              <w:spacing w:before="120" w:after="120"/>
              <w:jc w:val="both"/>
              <w:rPr>
                <w:rFonts w:ascii="Arial" w:hAnsi="Arial" w:cs="Arial"/>
                <w:sz w:val="18"/>
                <w:szCs w:val="18"/>
                <w:lang w:val="es-VE"/>
              </w:rPr>
            </w:pPr>
            <w:r w:rsidRPr="00FD0B7A">
              <w:rPr>
                <w:rFonts w:ascii="Arial" w:hAnsi="Arial" w:cs="Arial"/>
                <w:sz w:val="18"/>
                <w:szCs w:val="18"/>
                <w:lang w:val="es-VE"/>
              </w:rPr>
              <w:t>cobertura a la carga.</w:t>
            </w:r>
          </w:p>
          <w:p w14:paraId="1E4F0DA3" w14:textId="77777777" w:rsidR="00FD0B7A" w:rsidRPr="00FD0B7A" w:rsidRDefault="00FD0B7A" w:rsidP="00FD0B7A">
            <w:pPr>
              <w:spacing w:before="120" w:after="120"/>
              <w:jc w:val="both"/>
              <w:rPr>
                <w:rFonts w:ascii="Arial" w:hAnsi="Arial" w:cs="Arial"/>
                <w:sz w:val="18"/>
                <w:szCs w:val="18"/>
                <w:lang w:val="es-VE"/>
              </w:rPr>
            </w:pPr>
            <w:r w:rsidRPr="00FD0B7A">
              <w:rPr>
                <w:rFonts w:ascii="Arial" w:hAnsi="Arial" w:cs="Arial"/>
                <w:sz w:val="18"/>
                <w:szCs w:val="18"/>
                <w:lang w:val="es-VE"/>
              </w:rPr>
              <w:t xml:space="preserve">(b) de pesos y dimensiones. Que incluye al menos: </w:t>
            </w:r>
          </w:p>
          <w:p w14:paraId="59CAF437" w14:textId="77777777" w:rsidR="00FD0B7A" w:rsidRPr="00FD0B7A" w:rsidRDefault="00FD0B7A" w:rsidP="00FD0B7A">
            <w:pPr>
              <w:numPr>
                <w:ilvl w:val="0"/>
                <w:numId w:val="18"/>
              </w:numPr>
              <w:spacing w:before="120" w:after="120"/>
              <w:jc w:val="both"/>
              <w:rPr>
                <w:rFonts w:ascii="Arial" w:hAnsi="Arial" w:cs="Arial"/>
                <w:sz w:val="18"/>
                <w:szCs w:val="18"/>
                <w:lang w:val="es-VE"/>
              </w:rPr>
            </w:pPr>
            <w:r w:rsidRPr="00FD0B7A">
              <w:rPr>
                <w:rFonts w:ascii="Arial" w:hAnsi="Arial" w:cs="Arial"/>
                <w:sz w:val="18"/>
                <w:szCs w:val="18"/>
                <w:lang w:val="es-VE"/>
              </w:rPr>
              <w:t>límites de pesos y dimensiones; y</w:t>
            </w:r>
          </w:p>
          <w:p w14:paraId="5A07BF31" w14:textId="77777777" w:rsidR="00F7295F" w:rsidRPr="00C038AA" w:rsidRDefault="00FD0B7A" w:rsidP="00FD0B7A">
            <w:pPr>
              <w:spacing w:before="120" w:after="120"/>
              <w:jc w:val="both"/>
              <w:rPr>
                <w:rFonts w:ascii="Arial" w:hAnsi="Arial" w:cs="Arial"/>
                <w:sz w:val="18"/>
                <w:szCs w:val="18"/>
                <w:lang w:val="es-ES"/>
              </w:rPr>
            </w:pPr>
            <w:r w:rsidRPr="00FD0B7A">
              <w:rPr>
                <w:rFonts w:ascii="Arial" w:hAnsi="Arial" w:cs="Arial"/>
                <w:sz w:val="18"/>
                <w:szCs w:val="18"/>
                <w:lang w:val="es-VE"/>
              </w:rPr>
              <w:t>penalidades.</w:t>
            </w:r>
          </w:p>
        </w:tc>
      </w:tr>
      <w:tr w:rsidR="008B4B77" w:rsidRPr="000F3F24" w14:paraId="5D900FF9" w14:textId="77777777" w:rsidTr="006D6A17">
        <w:trPr>
          <w:trHeight w:val="320"/>
        </w:trPr>
        <w:tc>
          <w:tcPr>
            <w:tcW w:w="10890" w:type="dxa"/>
            <w:gridSpan w:val="5"/>
            <w:shd w:val="pct20" w:color="auto" w:fill="auto"/>
            <w:vAlign w:val="center"/>
          </w:tcPr>
          <w:p w14:paraId="599FABD6" w14:textId="77777777" w:rsidR="008B4B77" w:rsidRPr="00C038AA" w:rsidRDefault="008B4B77" w:rsidP="00F7295F">
            <w:pPr>
              <w:jc w:val="both"/>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 xml:space="preserve">MARCO DE LA </w:t>
            </w:r>
            <w:r w:rsidR="00FD0B7A" w:rsidRPr="00C038AA">
              <w:rPr>
                <w:rFonts w:ascii="Arial" w:eastAsia="Times New Roman" w:hAnsi="Arial" w:cs="Arial"/>
                <w:b/>
                <w:bCs/>
                <w:color w:val="000000"/>
                <w:sz w:val="18"/>
                <w:szCs w:val="18"/>
                <w:lang w:val="es-ES"/>
              </w:rPr>
              <w:t>UNIÓN</w:t>
            </w:r>
            <w:r w:rsidRPr="00C038AA">
              <w:rPr>
                <w:rFonts w:ascii="Arial" w:eastAsia="Times New Roman" w:hAnsi="Arial" w:cs="Arial"/>
                <w:b/>
                <w:bCs/>
                <w:color w:val="000000"/>
                <w:sz w:val="18"/>
                <w:szCs w:val="18"/>
                <w:lang w:val="es-ES"/>
              </w:rPr>
              <w:t xml:space="preserve"> ADUANERA CENTROAMERICANA</w:t>
            </w:r>
          </w:p>
        </w:tc>
      </w:tr>
      <w:tr w:rsidR="00F7295F" w:rsidRPr="000F3F24" w14:paraId="224EE603" w14:textId="77777777" w:rsidTr="006D6A17">
        <w:trPr>
          <w:trHeight w:val="320"/>
        </w:trPr>
        <w:tc>
          <w:tcPr>
            <w:tcW w:w="3216" w:type="dxa"/>
            <w:tcBorders>
              <w:bottom w:val="single" w:sz="8" w:space="0" w:color="auto"/>
            </w:tcBorders>
            <w:shd w:val="clear" w:color="auto" w:fill="auto"/>
            <w:vAlign w:val="center"/>
          </w:tcPr>
          <w:p w14:paraId="7AC1BE7C" w14:textId="77777777" w:rsidR="00F7295F" w:rsidRPr="00C038AA" w:rsidRDefault="00B11EC8" w:rsidP="00F7295F">
            <w:pPr>
              <w:jc w:val="both"/>
              <w:rPr>
                <w:rFonts w:ascii="Arial" w:hAnsi="Arial" w:cs="Arial"/>
                <w:sz w:val="18"/>
                <w:szCs w:val="18"/>
                <w:lang w:val="es-ES"/>
              </w:rPr>
            </w:pPr>
            <w:r w:rsidRPr="00B11EC8">
              <w:rPr>
                <w:rFonts w:ascii="Arial" w:hAnsi="Arial" w:cs="Arial"/>
                <w:sz w:val="18"/>
                <w:szCs w:val="18"/>
                <w:lang w:val="es-ES"/>
              </w:rPr>
              <w:t>Implementación de la primera etapa del proceso de Unión Aduanera -que incluye la creación y reglamentación del marco normativo- entre la República de Guatemala y la República de Honduras, de conformidad con lo establecido en el Protocolo Habilitante para el Proceso de Integración Profunda hacia el libre tránsito de mercancías y de personas naturales entre ambos países.</w:t>
            </w:r>
          </w:p>
        </w:tc>
        <w:tc>
          <w:tcPr>
            <w:tcW w:w="1506" w:type="dxa"/>
            <w:tcBorders>
              <w:bottom w:val="single" w:sz="8" w:space="0" w:color="auto"/>
            </w:tcBorders>
            <w:shd w:val="clear" w:color="auto" w:fill="auto"/>
            <w:vAlign w:val="center"/>
          </w:tcPr>
          <w:p w14:paraId="75B5A4FD" w14:textId="77777777" w:rsidR="00F7295F" w:rsidRPr="00C038AA" w:rsidRDefault="00932324" w:rsidP="00F7295F">
            <w:pPr>
              <w:jc w:val="both"/>
              <w:rPr>
                <w:rFonts w:ascii="Arial" w:hAnsi="Arial" w:cs="Arial"/>
                <w:sz w:val="18"/>
                <w:szCs w:val="18"/>
                <w:lang w:val="es-ES"/>
              </w:rPr>
            </w:pPr>
            <w:r w:rsidRPr="00C038AA">
              <w:rPr>
                <w:rFonts w:ascii="Arial" w:hAnsi="Arial" w:cs="Arial"/>
                <w:sz w:val="18"/>
                <w:szCs w:val="18"/>
                <w:lang w:val="es-ES"/>
              </w:rPr>
              <w:t>Secretaria de Desarrollo Económico (SDE) y COPRISAO / DARA</w:t>
            </w:r>
          </w:p>
        </w:tc>
        <w:tc>
          <w:tcPr>
            <w:tcW w:w="1051" w:type="dxa"/>
            <w:tcBorders>
              <w:bottom w:val="single" w:sz="8" w:space="0" w:color="auto"/>
            </w:tcBorders>
            <w:shd w:val="clear" w:color="auto" w:fill="auto"/>
            <w:vAlign w:val="center"/>
          </w:tcPr>
          <w:p w14:paraId="5487672F" w14:textId="77777777" w:rsidR="00F7295F" w:rsidRPr="00C038AA" w:rsidRDefault="00932324" w:rsidP="00F7295F">
            <w:pPr>
              <w:jc w:val="center"/>
              <w:rPr>
                <w:rFonts w:ascii="Arial" w:hAnsi="Arial" w:cs="Arial"/>
                <w:sz w:val="18"/>
                <w:szCs w:val="18"/>
                <w:lang w:val="es-ES"/>
              </w:rPr>
            </w:pPr>
            <w:r w:rsidRPr="00C038AA">
              <w:rPr>
                <w:rFonts w:ascii="Arial" w:hAnsi="Arial" w:cs="Arial"/>
                <w:sz w:val="18"/>
                <w:szCs w:val="18"/>
                <w:lang w:val="es-ES"/>
              </w:rPr>
              <w:t>0</w:t>
            </w:r>
          </w:p>
        </w:tc>
        <w:tc>
          <w:tcPr>
            <w:tcW w:w="810" w:type="dxa"/>
            <w:tcBorders>
              <w:bottom w:val="single" w:sz="8" w:space="0" w:color="auto"/>
            </w:tcBorders>
            <w:shd w:val="clear" w:color="auto" w:fill="auto"/>
            <w:vAlign w:val="center"/>
          </w:tcPr>
          <w:p w14:paraId="698E57DA" w14:textId="77777777" w:rsidR="00F7295F" w:rsidRPr="00C038AA" w:rsidRDefault="00932324" w:rsidP="00F7295F">
            <w:pPr>
              <w:jc w:val="center"/>
              <w:rPr>
                <w:rFonts w:ascii="Arial" w:hAnsi="Arial" w:cs="Arial"/>
                <w:sz w:val="18"/>
                <w:szCs w:val="18"/>
                <w:lang w:val="es-ES"/>
              </w:rPr>
            </w:pPr>
            <w:r w:rsidRPr="00C038AA">
              <w:rPr>
                <w:rFonts w:ascii="Arial" w:hAnsi="Arial" w:cs="Arial"/>
                <w:sz w:val="18"/>
                <w:szCs w:val="18"/>
                <w:lang w:val="es-ES"/>
              </w:rPr>
              <w:t>1</w:t>
            </w:r>
          </w:p>
        </w:tc>
        <w:tc>
          <w:tcPr>
            <w:tcW w:w="4307" w:type="dxa"/>
            <w:tcBorders>
              <w:bottom w:val="single" w:sz="8" w:space="0" w:color="auto"/>
            </w:tcBorders>
            <w:shd w:val="clear" w:color="auto" w:fill="auto"/>
            <w:vAlign w:val="center"/>
          </w:tcPr>
          <w:p w14:paraId="14CD47F9" w14:textId="77777777" w:rsidR="00F7295F" w:rsidRPr="00A759A2" w:rsidRDefault="00A759A2" w:rsidP="00F7295F">
            <w:pPr>
              <w:jc w:val="both"/>
              <w:rPr>
                <w:rFonts w:ascii="Arial" w:hAnsi="Arial" w:cs="Arial"/>
                <w:sz w:val="18"/>
                <w:szCs w:val="18"/>
                <w:lang w:val="es-CO"/>
              </w:rPr>
            </w:pPr>
            <w:r w:rsidRPr="00A759A2">
              <w:rPr>
                <w:rFonts w:ascii="Arial" w:eastAsia="MS Mincho" w:hAnsi="Arial" w:cs="Arial"/>
                <w:sz w:val="18"/>
                <w:szCs w:val="18"/>
                <w:lang w:val="es-VE"/>
              </w:rPr>
              <w:t>Resolución implementando la primera etapa del proceso de Unión Aduanera entre la República de Guatemala y la República de Honduras, acompañando protocolo habilitante y reglamento operativo.</w:t>
            </w:r>
          </w:p>
        </w:tc>
      </w:tr>
      <w:tr w:rsidR="008B4B77" w:rsidRPr="000F3F24" w14:paraId="3083DFDA" w14:textId="77777777" w:rsidTr="006D6A17">
        <w:trPr>
          <w:trHeight w:val="320"/>
        </w:trPr>
        <w:tc>
          <w:tcPr>
            <w:tcW w:w="10890" w:type="dxa"/>
            <w:gridSpan w:val="5"/>
            <w:shd w:val="pct15" w:color="auto" w:fill="auto"/>
            <w:vAlign w:val="center"/>
          </w:tcPr>
          <w:p w14:paraId="47DAD0AA" w14:textId="77777777" w:rsidR="008B4B77" w:rsidRPr="00C038AA" w:rsidRDefault="008B4B77" w:rsidP="00F7295F">
            <w:pPr>
              <w:jc w:val="both"/>
              <w:rPr>
                <w:rFonts w:ascii="Arial" w:hAnsi="Arial" w:cs="Arial"/>
                <w:sz w:val="18"/>
                <w:szCs w:val="18"/>
                <w:lang w:val="es-HN"/>
              </w:rPr>
            </w:pPr>
            <w:r w:rsidRPr="00C038AA">
              <w:rPr>
                <w:rFonts w:ascii="Arial" w:eastAsia="Times New Roman" w:hAnsi="Arial" w:cs="Arial"/>
                <w:b/>
                <w:bCs/>
                <w:color w:val="000000"/>
                <w:sz w:val="18"/>
                <w:szCs w:val="18"/>
                <w:lang w:val="es-ES"/>
              </w:rPr>
              <w:t>COMPONENTE 3. Consolidación del marco institucional de logística de carga y transporte</w:t>
            </w:r>
          </w:p>
        </w:tc>
      </w:tr>
      <w:tr w:rsidR="00F7295F" w:rsidRPr="000F3F24" w14:paraId="0ED08679" w14:textId="77777777" w:rsidTr="006D6A17">
        <w:trPr>
          <w:trHeight w:val="520"/>
        </w:trPr>
        <w:tc>
          <w:tcPr>
            <w:tcW w:w="10890" w:type="dxa"/>
            <w:gridSpan w:val="5"/>
            <w:shd w:val="clear" w:color="auto" w:fill="D9D9D9" w:themeFill="background1" w:themeFillShade="D9"/>
            <w:vAlign w:val="center"/>
            <w:hideMark/>
          </w:tcPr>
          <w:p w14:paraId="4E2F7CB8" w14:textId="77777777" w:rsidR="00F7295F" w:rsidRPr="00C038AA" w:rsidRDefault="008B4B77" w:rsidP="00F7295F">
            <w:pPr>
              <w:jc w:val="both"/>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FORTALECIMIENTO DE</w:t>
            </w:r>
            <w:r w:rsidR="00384A98">
              <w:rPr>
                <w:rFonts w:ascii="Arial" w:eastAsia="Times New Roman" w:hAnsi="Arial" w:cs="Arial"/>
                <w:b/>
                <w:bCs/>
                <w:color w:val="000000"/>
                <w:sz w:val="18"/>
                <w:szCs w:val="18"/>
                <w:lang w:val="es-ES"/>
              </w:rPr>
              <w:t xml:space="preserve"> LA INSTITUCIONALIDAD DEL</w:t>
            </w:r>
            <w:r w:rsidRPr="00C038AA">
              <w:rPr>
                <w:rFonts w:ascii="Arial" w:eastAsia="Times New Roman" w:hAnsi="Arial" w:cs="Arial"/>
                <w:b/>
                <w:bCs/>
                <w:color w:val="000000"/>
                <w:sz w:val="18"/>
                <w:szCs w:val="18"/>
                <w:lang w:val="es-ES"/>
              </w:rPr>
              <w:t xml:space="preserve"> SECTOR </w:t>
            </w:r>
            <w:r w:rsidR="000A4CFE" w:rsidRPr="00C038AA">
              <w:rPr>
                <w:rFonts w:ascii="Arial" w:eastAsia="Times New Roman" w:hAnsi="Arial" w:cs="Arial"/>
                <w:b/>
                <w:bCs/>
                <w:color w:val="000000"/>
                <w:sz w:val="18"/>
                <w:szCs w:val="18"/>
                <w:lang w:val="es-ES"/>
              </w:rPr>
              <w:t>LOGÍSTICO</w:t>
            </w:r>
          </w:p>
        </w:tc>
      </w:tr>
      <w:tr w:rsidR="008B4B77" w:rsidRPr="000F3F24" w14:paraId="0B928DAC" w14:textId="77777777" w:rsidTr="006D6A17">
        <w:trPr>
          <w:trHeight w:val="300"/>
        </w:trPr>
        <w:tc>
          <w:tcPr>
            <w:tcW w:w="3216" w:type="dxa"/>
            <w:tcBorders>
              <w:bottom w:val="single" w:sz="8" w:space="0" w:color="auto"/>
            </w:tcBorders>
            <w:shd w:val="clear" w:color="auto" w:fill="auto"/>
          </w:tcPr>
          <w:p w14:paraId="70C38B73" w14:textId="77777777" w:rsidR="00753360" w:rsidRPr="00753360" w:rsidRDefault="00753360" w:rsidP="00753360">
            <w:pPr>
              <w:spacing w:before="60" w:after="60"/>
              <w:ind w:left="274" w:hanging="274"/>
              <w:jc w:val="both"/>
              <w:rPr>
                <w:rFonts w:ascii="Arial" w:eastAsia="MS Mincho" w:hAnsi="Arial" w:cs="Arial"/>
                <w:sz w:val="18"/>
                <w:szCs w:val="18"/>
                <w:lang w:val="es-VE"/>
              </w:rPr>
            </w:pPr>
            <w:r w:rsidRPr="00753360">
              <w:rPr>
                <w:rFonts w:ascii="Arial" w:eastAsia="MS Mincho" w:hAnsi="Arial" w:cs="Arial"/>
                <w:sz w:val="18"/>
                <w:szCs w:val="18"/>
                <w:lang w:val="es-VE"/>
              </w:rPr>
              <w:t>Aprobación del diseño institucional de la estructura organizacional para la gestión de la logística de cargas que incluya:</w:t>
            </w:r>
          </w:p>
          <w:p w14:paraId="18C99D29" w14:textId="77777777" w:rsidR="00753360" w:rsidRPr="00753360" w:rsidRDefault="00753360" w:rsidP="00753360">
            <w:pPr>
              <w:numPr>
                <w:ilvl w:val="0"/>
                <w:numId w:val="10"/>
              </w:numPr>
              <w:spacing w:before="60" w:after="60"/>
              <w:ind w:left="454"/>
              <w:jc w:val="both"/>
              <w:rPr>
                <w:rFonts w:ascii="Arial" w:eastAsia="MS Mincho" w:hAnsi="Arial" w:cs="Arial"/>
                <w:sz w:val="18"/>
                <w:szCs w:val="18"/>
                <w:lang w:val="es-VE"/>
              </w:rPr>
            </w:pPr>
            <w:r w:rsidRPr="00753360">
              <w:rPr>
                <w:rFonts w:ascii="Arial" w:eastAsia="MS Mincho" w:hAnsi="Arial" w:cs="Arial"/>
                <w:sz w:val="18"/>
                <w:szCs w:val="18"/>
                <w:lang w:val="es-VE"/>
              </w:rPr>
              <w:t>Una instancia de decisión de alto nivel, integrada por las principales instituciones públicas y privadas con competencias en el sector de logística de carga.</w:t>
            </w:r>
          </w:p>
          <w:p w14:paraId="099EF468" w14:textId="77777777" w:rsidR="00753360" w:rsidRPr="00753360" w:rsidRDefault="00753360" w:rsidP="00753360">
            <w:pPr>
              <w:numPr>
                <w:ilvl w:val="0"/>
                <w:numId w:val="10"/>
              </w:numPr>
              <w:spacing w:before="60" w:after="60"/>
              <w:ind w:left="463"/>
              <w:jc w:val="both"/>
              <w:rPr>
                <w:rFonts w:ascii="Arial" w:eastAsia="MS Mincho" w:hAnsi="Arial" w:cs="Arial"/>
                <w:sz w:val="18"/>
                <w:szCs w:val="18"/>
                <w:lang w:val="es-VE"/>
              </w:rPr>
            </w:pPr>
            <w:r w:rsidRPr="00753360">
              <w:rPr>
                <w:rFonts w:ascii="Arial" w:eastAsia="MS Mincho" w:hAnsi="Arial" w:cs="Arial"/>
                <w:sz w:val="18"/>
                <w:szCs w:val="18"/>
                <w:lang w:val="es-VE"/>
              </w:rPr>
              <w:t xml:space="preserve">Una instancia técnica integrada por los organismos ejecutores, responsable de la gestión de proyectos y la coordinación entre los distintos organismos. </w:t>
            </w:r>
          </w:p>
          <w:p w14:paraId="3212EA56" w14:textId="426536BF" w:rsidR="00753360" w:rsidRDefault="00753360" w:rsidP="00753360">
            <w:pPr>
              <w:numPr>
                <w:ilvl w:val="0"/>
                <w:numId w:val="10"/>
              </w:numPr>
              <w:spacing w:before="60" w:after="60"/>
              <w:ind w:left="463"/>
              <w:jc w:val="both"/>
              <w:rPr>
                <w:rFonts w:ascii="Arial" w:eastAsia="MS Mincho" w:hAnsi="Arial" w:cs="Arial"/>
                <w:sz w:val="18"/>
                <w:szCs w:val="18"/>
                <w:lang w:val="es-VE"/>
              </w:rPr>
            </w:pPr>
            <w:r w:rsidRPr="00753360">
              <w:rPr>
                <w:rFonts w:ascii="Arial" w:eastAsia="MS Mincho" w:hAnsi="Arial" w:cs="Arial"/>
                <w:sz w:val="18"/>
                <w:szCs w:val="18"/>
                <w:lang w:val="es-VE"/>
              </w:rPr>
              <w:t xml:space="preserve">Mecanismos permanentes de monitoreo, análisis e inteligencia de mercados, que cuenten con la participación de las instituciones públicas y privadas involucradas en la logística de cargas. </w:t>
            </w:r>
          </w:p>
          <w:p w14:paraId="1AB4B3B2" w14:textId="3FF207A4" w:rsidR="008B4B77" w:rsidRPr="00415D54" w:rsidRDefault="00C26E39" w:rsidP="00753360">
            <w:pPr>
              <w:numPr>
                <w:ilvl w:val="0"/>
                <w:numId w:val="10"/>
              </w:numPr>
              <w:spacing w:before="60" w:after="60"/>
              <w:ind w:left="463"/>
              <w:jc w:val="both"/>
              <w:rPr>
                <w:rFonts w:ascii="Arial" w:eastAsia="MS Mincho" w:hAnsi="Arial" w:cs="Arial"/>
                <w:sz w:val="18"/>
                <w:szCs w:val="18"/>
                <w:lang w:val="es-VE"/>
              </w:rPr>
            </w:pPr>
            <w:r>
              <w:rPr>
                <w:rFonts w:ascii="Arial" w:eastAsia="MS Mincho" w:hAnsi="Arial" w:cs="Arial"/>
                <w:sz w:val="18"/>
                <w:szCs w:val="18"/>
                <w:lang w:val="es-VE"/>
              </w:rPr>
              <w:lastRenderedPageBreak/>
              <w:t xml:space="preserve"> </w:t>
            </w:r>
            <w:bookmarkStart w:id="4" w:name="_Hlk523828593"/>
            <w:r w:rsidRPr="00C26E39">
              <w:rPr>
                <w:rFonts w:ascii="Arial" w:eastAsia="MS Mincho" w:hAnsi="Arial" w:cs="Arial"/>
                <w:sz w:val="18"/>
                <w:szCs w:val="18"/>
                <w:lang w:val="es-VE"/>
              </w:rPr>
              <w:t>El mecanismo de asignación presupuestaria anual y de financiamiento para el cumplimiento de las funciones de la instancia técnica y los objetivos del CNL.</w:t>
            </w:r>
            <w:bookmarkEnd w:id="4"/>
          </w:p>
        </w:tc>
        <w:tc>
          <w:tcPr>
            <w:tcW w:w="1506" w:type="dxa"/>
            <w:tcBorders>
              <w:bottom w:val="single" w:sz="8" w:space="0" w:color="auto"/>
            </w:tcBorders>
            <w:shd w:val="clear" w:color="auto" w:fill="auto"/>
            <w:vAlign w:val="center"/>
          </w:tcPr>
          <w:p w14:paraId="215E6DF6" w14:textId="77777777" w:rsidR="008B4B77" w:rsidRPr="00C038AA" w:rsidRDefault="008B4B77" w:rsidP="008B4B77">
            <w:pPr>
              <w:jc w:val="both"/>
              <w:rPr>
                <w:rFonts w:ascii="Arial" w:eastAsia="Times New Roman" w:hAnsi="Arial" w:cs="Arial"/>
                <w:color w:val="000000"/>
                <w:sz w:val="18"/>
                <w:szCs w:val="18"/>
                <w:lang w:val="es-HN"/>
              </w:rPr>
            </w:pPr>
            <w:r w:rsidRPr="00C038AA">
              <w:rPr>
                <w:rFonts w:ascii="Arial" w:hAnsi="Arial" w:cs="Arial"/>
                <w:sz w:val="18"/>
                <w:szCs w:val="18"/>
                <w:lang w:val="es-ES"/>
              </w:rPr>
              <w:lastRenderedPageBreak/>
              <w:t>Despacho de la Designada Presidencial</w:t>
            </w:r>
          </w:p>
        </w:tc>
        <w:tc>
          <w:tcPr>
            <w:tcW w:w="1051" w:type="dxa"/>
            <w:tcBorders>
              <w:bottom w:val="single" w:sz="8" w:space="0" w:color="auto"/>
            </w:tcBorders>
            <w:shd w:val="clear" w:color="auto" w:fill="auto"/>
            <w:vAlign w:val="center"/>
          </w:tcPr>
          <w:p w14:paraId="3EAD35FB" w14:textId="77777777" w:rsidR="008B4B77" w:rsidRPr="00C038AA" w:rsidRDefault="008B4B77" w:rsidP="008B4B77">
            <w:pPr>
              <w:jc w:val="center"/>
              <w:rPr>
                <w:rFonts w:ascii="Arial" w:eastAsia="Times New Roman" w:hAnsi="Arial" w:cs="Arial"/>
                <w:color w:val="000000"/>
                <w:sz w:val="18"/>
                <w:szCs w:val="18"/>
                <w:lang w:val="es-ES"/>
              </w:rPr>
            </w:pPr>
            <w:r w:rsidRPr="00C038AA">
              <w:rPr>
                <w:rFonts w:ascii="Arial" w:eastAsia="Times New Roman" w:hAnsi="Arial" w:cs="Arial"/>
                <w:color w:val="000000"/>
                <w:sz w:val="18"/>
                <w:szCs w:val="18"/>
                <w:lang w:val="es-ES"/>
              </w:rPr>
              <w:t>0</w:t>
            </w:r>
          </w:p>
        </w:tc>
        <w:tc>
          <w:tcPr>
            <w:tcW w:w="810" w:type="dxa"/>
            <w:tcBorders>
              <w:bottom w:val="single" w:sz="8" w:space="0" w:color="auto"/>
            </w:tcBorders>
            <w:shd w:val="clear" w:color="auto" w:fill="auto"/>
            <w:vAlign w:val="center"/>
          </w:tcPr>
          <w:p w14:paraId="15FCC031" w14:textId="77777777" w:rsidR="008B4B77" w:rsidRPr="00C038AA" w:rsidRDefault="008B4B77" w:rsidP="008B4B77">
            <w:pPr>
              <w:jc w:val="center"/>
              <w:rPr>
                <w:rFonts w:ascii="Arial" w:hAnsi="Arial" w:cs="Arial"/>
                <w:sz w:val="18"/>
                <w:szCs w:val="18"/>
                <w:lang w:val="es-ES"/>
              </w:rPr>
            </w:pPr>
            <w:r w:rsidRPr="00C038AA">
              <w:rPr>
                <w:rFonts w:ascii="Arial" w:hAnsi="Arial" w:cs="Arial"/>
                <w:sz w:val="18"/>
                <w:szCs w:val="18"/>
                <w:lang w:val="es-ES"/>
              </w:rPr>
              <w:t>1</w:t>
            </w:r>
          </w:p>
        </w:tc>
        <w:tc>
          <w:tcPr>
            <w:tcW w:w="4307" w:type="dxa"/>
            <w:tcBorders>
              <w:bottom w:val="single" w:sz="8" w:space="0" w:color="auto"/>
            </w:tcBorders>
            <w:shd w:val="clear" w:color="auto" w:fill="auto"/>
            <w:vAlign w:val="center"/>
          </w:tcPr>
          <w:p w14:paraId="1C65E1C2" w14:textId="77777777" w:rsidR="008B4B77" w:rsidRPr="00C038AA" w:rsidRDefault="004B3364" w:rsidP="008B4B77">
            <w:pPr>
              <w:jc w:val="both"/>
              <w:rPr>
                <w:rFonts w:ascii="Arial" w:hAnsi="Arial" w:cs="Arial"/>
                <w:sz w:val="18"/>
                <w:szCs w:val="18"/>
                <w:lang w:val="es-ES"/>
              </w:rPr>
            </w:pPr>
            <w:r w:rsidRPr="004B3364">
              <w:rPr>
                <w:rFonts w:ascii="Arial" w:eastAsia="MS Mincho" w:hAnsi="Arial" w:cs="Arial"/>
                <w:sz w:val="18"/>
                <w:szCs w:val="18"/>
                <w:lang w:val="es-VE"/>
              </w:rPr>
              <w:t xml:space="preserve">Decreto Ejecutivo </w:t>
            </w:r>
            <w:r w:rsidR="00B63C31" w:rsidRPr="00B63C31">
              <w:rPr>
                <w:rFonts w:ascii="Arial" w:eastAsia="MS Mincho" w:hAnsi="Arial" w:cs="Arial"/>
                <w:sz w:val="18"/>
                <w:szCs w:val="18"/>
                <w:lang w:val="es-VE"/>
              </w:rPr>
              <w:t xml:space="preserve">(PCM-053-2018) </w:t>
            </w:r>
            <w:r w:rsidRPr="004B3364">
              <w:rPr>
                <w:rFonts w:ascii="Arial" w:eastAsia="MS Mincho" w:hAnsi="Arial" w:cs="Arial"/>
                <w:sz w:val="18"/>
                <w:szCs w:val="18"/>
                <w:lang w:val="es-VE"/>
              </w:rPr>
              <w:t>que aprueba el diseño institucional de la Consejo Nacional de Logística (CNL) y su Unidad Técnica de Ejecución Logística (UTEL) publicado en la Gaceta Oficial.</w:t>
            </w:r>
          </w:p>
        </w:tc>
      </w:tr>
      <w:tr w:rsidR="008B4B77" w:rsidRPr="000F3F24" w14:paraId="27ECA8D2" w14:textId="77777777" w:rsidTr="006D6A17">
        <w:trPr>
          <w:trHeight w:val="304"/>
        </w:trPr>
        <w:tc>
          <w:tcPr>
            <w:tcW w:w="10890" w:type="dxa"/>
            <w:gridSpan w:val="5"/>
            <w:tcBorders>
              <w:bottom w:val="single" w:sz="8" w:space="0" w:color="auto"/>
            </w:tcBorders>
            <w:shd w:val="pct15" w:color="auto" w:fill="auto"/>
            <w:vAlign w:val="center"/>
          </w:tcPr>
          <w:p w14:paraId="1051A9D2" w14:textId="77777777" w:rsidR="008B4B77" w:rsidRPr="00C038AA" w:rsidRDefault="008B4B77" w:rsidP="008B4B77">
            <w:pPr>
              <w:jc w:val="both"/>
              <w:rPr>
                <w:rFonts w:ascii="Arial" w:eastAsia="Times New Roman" w:hAnsi="Arial" w:cs="Arial"/>
                <w:color w:val="000000"/>
                <w:sz w:val="18"/>
                <w:szCs w:val="18"/>
                <w:lang w:val="es-HN"/>
              </w:rPr>
            </w:pPr>
            <w:r w:rsidRPr="00C038AA">
              <w:rPr>
                <w:rFonts w:ascii="Arial" w:eastAsia="Times New Roman" w:hAnsi="Arial" w:cs="Arial"/>
                <w:b/>
                <w:bCs/>
                <w:color w:val="000000"/>
                <w:sz w:val="18"/>
                <w:szCs w:val="18"/>
                <w:lang w:val="es-ES"/>
              </w:rPr>
              <w:t>COMPONENTE 4. Establecimiento y modernización de procesos de planificación integral, servicios de transporte y logística de carga y facilitación comercial</w:t>
            </w:r>
          </w:p>
        </w:tc>
      </w:tr>
      <w:tr w:rsidR="005D30B9" w:rsidRPr="000F3F24" w14:paraId="71F9B1AA" w14:textId="77777777" w:rsidTr="006D6A17">
        <w:trPr>
          <w:trHeight w:val="304"/>
        </w:trPr>
        <w:tc>
          <w:tcPr>
            <w:tcW w:w="10890" w:type="dxa"/>
            <w:gridSpan w:val="5"/>
            <w:tcBorders>
              <w:bottom w:val="single" w:sz="8" w:space="0" w:color="auto"/>
            </w:tcBorders>
            <w:shd w:val="pct15" w:color="auto" w:fill="auto"/>
            <w:vAlign w:val="center"/>
          </w:tcPr>
          <w:p w14:paraId="3D15375D" w14:textId="77777777" w:rsidR="005D30B9" w:rsidRPr="00C038AA" w:rsidRDefault="00CC0224" w:rsidP="008B4B77">
            <w:pPr>
              <w:jc w:val="both"/>
              <w:rPr>
                <w:rFonts w:ascii="Arial" w:eastAsia="Times New Roman" w:hAnsi="Arial" w:cs="Arial"/>
                <w:b/>
                <w:bCs/>
                <w:color w:val="000000"/>
                <w:sz w:val="18"/>
                <w:szCs w:val="18"/>
                <w:lang w:val="es-ES"/>
              </w:rPr>
            </w:pPr>
            <w:r w:rsidRPr="00CC0224">
              <w:rPr>
                <w:rFonts w:ascii="Arial" w:eastAsia="MS Mincho" w:hAnsi="Arial" w:cs="Arial"/>
                <w:b/>
                <w:sz w:val="18"/>
                <w:szCs w:val="18"/>
                <w:lang w:val="es-VE"/>
              </w:rPr>
              <w:t xml:space="preserve">Subcomponente </w:t>
            </w:r>
            <w:r>
              <w:rPr>
                <w:rFonts w:ascii="Arial" w:eastAsia="MS Mincho" w:hAnsi="Arial" w:cs="Arial"/>
                <w:b/>
                <w:sz w:val="18"/>
                <w:szCs w:val="18"/>
                <w:lang w:val="es-VE"/>
              </w:rPr>
              <w:t>4</w:t>
            </w:r>
            <w:r w:rsidRPr="00CC0224">
              <w:rPr>
                <w:rFonts w:ascii="Arial" w:eastAsia="MS Mincho" w:hAnsi="Arial" w:cs="Arial"/>
                <w:b/>
                <w:sz w:val="18"/>
                <w:szCs w:val="18"/>
                <w:lang w:val="es-VE"/>
              </w:rPr>
              <w:t>.1. Establecimiento de procesos de planificación integral y mejora de servicios de transporte y logística de carga</w:t>
            </w:r>
          </w:p>
        </w:tc>
      </w:tr>
      <w:tr w:rsidR="008B4B77" w:rsidRPr="000F3F24" w14:paraId="10E3683D" w14:textId="77777777" w:rsidTr="006D6A17">
        <w:trPr>
          <w:trHeight w:val="610"/>
        </w:trPr>
        <w:tc>
          <w:tcPr>
            <w:tcW w:w="10890" w:type="dxa"/>
            <w:gridSpan w:val="5"/>
            <w:shd w:val="pct15" w:color="auto" w:fill="auto"/>
            <w:vAlign w:val="center"/>
          </w:tcPr>
          <w:p w14:paraId="1321C085" w14:textId="77777777" w:rsidR="008B4B77" w:rsidRPr="00C038AA" w:rsidRDefault="00F802AA" w:rsidP="006D6A17">
            <w:pPr>
              <w:ind w:right="230"/>
              <w:jc w:val="both"/>
              <w:rPr>
                <w:rFonts w:ascii="Arial" w:eastAsia="Times New Roman" w:hAnsi="Arial" w:cs="Arial"/>
                <w:b/>
                <w:color w:val="000000"/>
                <w:sz w:val="18"/>
                <w:szCs w:val="18"/>
                <w:lang w:val="es-ES"/>
              </w:rPr>
            </w:pPr>
            <w:r w:rsidRPr="00C038AA">
              <w:rPr>
                <w:rFonts w:ascii="Arial" w:eastAsia="Times New Roman" w:hAnsi="Arial" w:cs="Arial"/>
                <w:b/>
                <w:color w:val="000000"/>
                <w:sz w:val="18"/>
                <w:szCs w:val="18"/>
                <w:lang w:val="es-ES"/>
              </w:rPr>
              <w:t xml:space="preserve">PLANES MAESTROS SUBNACIONALES ENFOCADOS EN CONGLOMERADOS </w:t>
            </w:r>
            <w:r w:rsidR="006D6A17" w:rsidRPr="00C038AA">
              <w:rPr>
                <w:rFonts w:ascii="Arial" w:eastAsia="Times New Roman" w:hAnsi="Arial" w:cs="Arial"/>
                <w:b/>
                <w:color w:val="000000"/>
                <w:sz w:val="18"/>
                <w:szCs w:val="18"/>
                <w:lang w:val="es-ES"/>
              </w:rPr>
              <w:t>LOGÍSTICOS</w:t>
            </w:r>
          </w:p>
        </w:tc>
      </w:tr>
      <w:tr w:rsidR="008B4B77" w:rsidRPr="000F3F24" w14:paraId="3EA66BDB" w14:textId="77777777" w:rsidTr="000A38A9">
        <w:trPr>
          <w:trHeight w:val="1240"/>
        </w:trPr>
        <w:tc>
          <w:tcPr>
            <w:tcW w:w="3216" w:type="dxa"/>
            <w:tcBorders>
              <w:bottom w:val="single" w:sz="8" w:space="0" w:color="auto"/>
            </w:tcBorders>
            <w:shd w:val="clear" w:color="auto" w:fill="auto"/>
            <w:vAlign w:val="center"/>
          </w:tcPr>
          <w:p w14:paraId="7F22AF4B" w14:textId="77777777" w:rsidR="003E12DD" w:rsidRPr="003E12DD" w:rsidRDefault="003E12DD" w:rsidP="003E12DD">
            <w:pPr>
              <w:spacing w:beforeLines="40" w:before="96" w:afterLines="60" w:after="144"/>
              <w:ind w:left="271" w:hanging="271"/>
              <w:jc w:val="both"/>
              <w:rPr>
                <w:rFonts w:ascii="Arial" w:eastAsia="MS Mincho" w:hAnsi="Arial" w:cs="Arial"/>
                <w:sz w:val="18"/>
                <w:szCs w:val="18"/>
                <w:lang w:val="es-VE"/>
              </w:rPr>
            </w:pPr>
            <w:r w:rsidRPr="003E12DD">
              <w:rPr>
                <w:rFonts w:ascii="Arial" w:eastAsia="MS Mincho" w:hAnsi="Arial" w:cs="Arial"/>
                <w:sz w:val="18"/>
                <w:szCs w:val="18"/>
                <w:lang w:val="es-VE"/>
              </w:rPr>
              <w:t xml:space="preserve">Aprobación de acuerdo interinstitucional que incluya los siguientes lineamientos para la elaboración de un Plan Maestro del Conglomerado Logístico del Norte (PMCLN), y su mecanismo de supervisión: </w:t>
            </w:r>
          </w:p>
          <w:p w14:paraId="70ABC6DB" w14:textId="77777777" w:rsidR="003E12DD" w:rsidRPr="003E12DD" w:rsidRDefault="003E12DD" w:rsidP="003E12DD">
            <w:pPr>
              <w:numPr>
                <w:ilvl w:val="0"/>
                <w:numId w:val="20"/>
              </w:numPr>
              <w:spacing w:beforeLines="40" w:before="96" w:afterLines="60" w:after="144"/>
              <w:ind w:left="374"/>
              <w:jc w:val="both"/>
              <w:rPr>
                <w:rFonts w:ascii="Arial" w:eastAsia="MS Mincho" w:hAnsi="Arial" w:cs="Arial"/>
                <w:sz w:val="18"/>
                <w:szCs w:val="18"/>
                <w:lang w:val="es-VE"/>
              </w:rPr>
            </w:pPr>
            <w:r w:rsidRPr="003E12DD">
              <w:rPr>
                <w:rFonts w:ascii="Arial" w:eastAsia="MS Mincho" w:hAnsi="Arial" w:cs="Arial"/>
                <w:sz w:val="18"/>
                <w:szCs w:val="18"/>
                <w:lang w:val="es-VE"/>
              </w:rPr>
              <w:t>análisis de la demanda actual y futura de carga por cadenas usuarias en toda el área de influencia del conglomerado, que permita planificar e identificar los servicios logísticos necesarios con una visión de largo plazo, considerando los efectos del PMCLN en el área de influencia, en particular en las redes urbanas;</w:t>
            </w:r>
          </w:p>
          <w:p w14:paraId="08F8AE15" w14:textId="77777777" w:rsidR="003E12DD" w:rsidRPr="003E12DD" w:rsidRDefault="003E12DD" w:rsidP="003E12DD">
            <w:pPr>
              <w:numPr>
                <w:ilvl w:val="0"/>
                <w:numId w:val="20"/>
              </w:numPr>
              <w:spacing w:beforeLines="60" w:before="144" w:afterLines="60" w:after="144"/>
              <w:ind w:left="374"/>
              <w:jc w:val="both"/>
              <w:rPr>
                <w:rFonts w:ascii="Arial" w:eastAsia="MS Mincho" w:hAnsi="Arial" w:cs="Arial"/>
                <w:sz w:val="18"/>
                <w:szCs w:val="18"/>
                <w:lang w:val="es-VE"/>
              </w:rPr>
            </w:pPr>
            <w:r w:rsidRPr="003E12DD">
              <w:rPr>
                <w:rFonts w:ascii="Arial" w:eastAsia="MS Mincho" w:hAnsi="Arial" w:cs="Arial"/>
                <w:sz w:val="18"/>
                <w:szCs w:val="18"/>
                <w:lang w:val="es-VE"/>
              </w:rPr>
              <w:t>elaboración de un plan de inversiones en infraestructura de transporte y logística, así como propuestas operacionales;</w:t>
            </w:r>
          </w:p>
          <w:p w14:paraId="473B0C1B" w14:textId="77777777" w:rsidR="003E12DD" w:rsidRDefault="003E12DD" w:rsidP="00C6408D">
            <w:pPr>
              <w:numPr>
                <w:ilvl w:val="0"/>
                <w:numId w:val="21"/>
              </w:numPr>
              <w:spacing w:beforeLines="60" w:before="144" w:afterLines="60" w:after="144"/>
              <w:jc w:val="both"/>
              <w:rPr>
                <w:rFonts w:ascii="Arial" w:eastAsia="MS Mincho" w:hAnsi="Arial" w:cs="Arial"/>
                <w:sz w:val="18"/>
                <w:szCs w:val="18"/>
                <w:lang w:val="es-VE"/>
              </w:rPr>
            </w:pPr>
            <w:r w:rsidRPr="003E12DD">
              <w:rPr>
                <w:rFonts w:ascii="Arial" w:eastAsia="MS Mincho" w:hAnsi="Arial" w:cs="Arial"/>
                <w:sz w:val="18"/>
                <w:szCs w:val="18"/>
                <w:lang w:val="es-VE"/>
              </w:rPr>
              <w:t xml:space="preserve">requerimientos de tecnologías de información para optimizar la logística integral del conglomerado; </w:t>
            </w:r>
          </w:p>
          <w:p w14:paraId="3F4C55A7" w14:textId="77777777" w:rsidR="008B4B77" w:rsidRPr="00C6408D" w:rsidRDefault="003E12DD" w:rsidP="003E12DD">
            <w:pPr>
              <w:numPr>
                <w:ilvl w:val="0"/>
                <w:numId w:val="21"/>
              </w:numPr>
              <w:spacing w:beforeLines="60" w:before="144" w:afterLines="60" w:after="144"/>
              <w:jc w:val="both"/>
              <w:rPr>
                <w:rFonts w:ascii="Arial" w:eastAsia="MS Mincho" w:hAnsi="Arial" w:cs="Arial"/>
                <w:sz w:val="18"/>
                <w:szCs w:val="18"/>
                <w:lang w:val="es-VE"/>
              </w:rPr>
            </w:pPr>
            <w:r w:rsidRPr="00C6408D">
              <w:rPr>
                <w:rFonts w:ascii="Arial" w:eastAsia="MS Mincho" w:hAnsi="Arial" w:cs="Arial"/>
                <w:sz w:val="18"/>
                <w:szCs w:val="18"/>
                <w:lang w:val="es-VE"/>
              </w:rPr>
              <w:t>propuesta de modelos de colaboración logística para cadenas agrícolas usuarias.</w:t>
            </w:r>
          </w:p>
        </w:tc>
        <w:tc>
          <w:tcPr>
            <w:tcW w:w="1506" w:type="dxa"/>
            <w:tcBorders>
              <w:bottom w:val="single" w:sz="8" w:space="0" w:color="auto"/>
            </w:tcBorders>
            <w:shd w:val="clear" w:color="auto" w:fill="auto"/>
            <w:vAlign w:val="center"/>
          </w:tcPr>
          <w:p w14:paraId="6E7ECC72" w14:textId="77777777" w:rsidR="008B4B77" w:rsidRPr="00C038AA" w:rsidRDefault="00F802AA" w:rsidP="00F802AA">
            <w:pPr>
              <w:pStyle w:val="CommentText"/>
              <w:contextualSpacing/>
              <w:jc w:val="both"/>
              <w:rPr>
                <w:rFonts w:ascii="Arial" w:eastAsiaTheme="minorHAnsi" w:hAnsi="Arial" w:cs="Arial"/>
                <w:sz w:val="18"/>
                <w:szCs w:val="18"/>
                <w:lang w:val="es-ES"/>
              </w:rPr>
            </w:pPr>
            <w:r w:rsidRPr="00C038AA">
              <w:rPr>
                <w:rFonts w:ascii="Arial" w:eastAsiaTheme="minorHAnsi" w:hAnsi="Arial" w:cs="Arial"/>
                <w:sz w:val="18"/>
                <w:szCs w:val="18"/>
                <w:lang w:val="es-ES"/>
              </w:rPr>
              <w:t>Despacho de la Designada Presidencial en coordinación con INSEP, DARA y IHTT</w:t>
            </w:r>
          </w:p>
        </w:tc>
        <w:tc>
          <w:tcPr>
            <w:tcW w:w="1051" w:type="dxa"/>
            <w:tcBorders>
              <w:bottom w:val="single" w:sz="8" w:space="0" w:color="auto"/>
            </w:tcBorders>
            <w:shd w:val="clear" w:color="auto" w:fill="auto"/>
            <w:vAlign w:val="center"/>
          </w:tcPr>
          <w:p w14:paraId="11761705" w14:textId="77777777" w:rsidR="008B4B77" w:rsidRPr="00C038AA" w:rsidRDefault="00F802AA" w:rsidP="0096287C">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tcBorders>
              <w:bottom w:val="single" w:sz="8" w:space="0" w:color="auto"/>
            </w:tcBorders>
            <w:shd w:val="clear" w:color="auto" w:fill="auto"/>
            <w:vAlign w:val="center"/>
          </w:tcPr>
          <w:p w14:paraId="7A5DD9FA" w14:textId="77777777" w:rsidR="008B4B77" w:rsidRPr="00C038AA" w:rsidRDefault="00F802AA" w:rsidP="0096287C">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1</w:t>
            </w:r>
          </w:p>
        </w:tc>
        <w:tc>
          <w:tcPr>
            <w:tcW w:w="4307" w:type="dxa"/>
            <w:tcBorders>
              <w:bottom w:val="single" w:sz="8" w:space="0" w:color="auto"/>
            </w:tcBorders>
            <w:shd w:val="clear" w:color="auto" w:fill="auto"/>
            <w:vAlign w:val="center"/>
          </w:tcPr>
          <w:p w14:paraId="7D8050BD" w14:textId="77777777" w:rsidR="008B4B77" w:rsidRPr="0083262E" w:rsidRDefault="0083262E" w:rsidP="00F802AA">
            <w:pPr>
              <w:pStyle w:val="CommentText"/>
              <w:contextualSpacing/>
              <w:jc w:val="both"/>
              <w:rPr>
                <w:rFonts w:ascii="Arial" w:eastAsiaTheme="minorHAnsi" w:hAnsi="Arial" w:cs="Arial"/>
                <w:sz w:val="18"/>
                <w:szCs w:val="18"/>
                <w:lang w:val="es-ES"/>
              </w:rPr>
            </w:pPr>
            <w:r w:rsidRPr="0083262E">
              <w:rPr>
                <w:rFonts w:ascii="Arial" w:eastAsia="MS Mincho" w:hAnsi="Arial" w:cs="Arial"/>
                <w:sz w:val="18"/>
                <w:szCs w:val="18"/>
                <w:lang w:val="es-VE"/>
              </w:rPr>
              <w:t>Acuerdo interinstitucional suscrito entre INSEP, DARA, empresa nacional de puertos, IHTT y Servicio Nacional de Sanidad e Inocuidad Agroalimentaria (SENASA).</w:t>
            </w:r>
          </w:p>
        </w:tc>
      </w:tr>
      <w:tr w:rsidR="0096287C" w:rsidRPr="000F3F24" w14:paraId="225CD825" w14:textId="77777777" w:rsidTr="006D6A17">
        <w:trPr>
          <w:trHeight w:val="520"/>
        </w:trPr>
        <w:tc>
          <w:tcPr>
            <w:tcW w:w="10890" w:type="dxa"/>
            <w:gridSpan w:val="5"/>
            <w:shd w:val="pct15" w:color="auto" w:fill="auto"/>
            <w:vAlign w:val="center"/>
          </w:tcPr>
          <w:p w14:paraId="11847A84" w14:textId="77777777" w:rsidR="0096287C" w:rsidRPr="00C038AA" w:rsidRDefault="00007405" w:rsidP="008B4B77">
            <w:pPr>
              <w:jc w:val="both"/>
              <w:rPr>
                <w:rFonts w:ascii="Arial" w:eastAsia="Times New Roman" w:hAnsi="Arial" w:cs="Arial"/>
                <w:color w:val="000000"/>
                <w:sz w:val="18"/>
                <w:szCs w:val="18"/>
                <w:lang w:val="es-ES"/>
              </w:rPr>
            </w:pPr>
            <w:r w:rsidRPr="00C038AA">
              <w:rPr>
                <w:rFonts w:ascii="Arial" w:eastAsia="Times New Roman" w:hAnsi="Arial" w:cs="Arial"/>
                <w:b/>
                <w:color w:val="000000"/>
                <w:sz w:val="18"/>
                <w:szCs w:val="18"/>
                <w:lang w:val="es-ES"/>
              </w:rPr>
              <w:t>MEJORA DE LOS SERVICIOS DE TRANSPORTE AUTOMO</w:t>
            </w:r>
            <w:r>
              <w:rPr>
                <w:rFonts w:ascii="Arial" w:eastAsia="Times New Roman" w:hAnsi="Arial" w:cs="Arial"/>
                <w:b/>
                <w:color w:val="000000"/>
                <w:sz w:val="18"/>
                <w:szCs w:val="18"/>
                <w:lang w:val="es-ES"/>
              </w:rPr>
              <w:t>TO</w:t>
            </w:r>
            <w:r w:rsidRPr="00C038AA">
              <w:rPr>
                <w:rFonts w:ascii="Arial" w:eastAsia="Times New Roman" w:hAnsi="Arial" w:cs="Arial"/>
                <w:b/>
                <w:color w:val="000000"/>
                <w:sz w:val="18"/>
                <w:szCs w:val="18"/>
                <w:lang w:val="es-ES"/>
              </w:rPr>
              <w:t>R TERRESTRE DE CARGA</w:t>
            </w:r>
            <w:r w:rsidRPr="00C038AA">
              <w:rPr>
                <w:rFonts w:ascii="Arial" w:eastAsia="Times New Roman" w:hAnsi="Arial" w:cs="Arial"/>
                <w:color w:val="000000"/>
                <w:sz w:val="18"/>
                <w:szCs w:val="18"/>
                <w:lang w:val="es-ES"/>
              </w:rPr>
              <w:t xml:space="preserve"> </w:t>
            </w:r>
          </w:p>
        </w:tc>
      </w:tr>
      <w:tr w:rsidR="008B4B77" w:rsidRPr="000F3F24" w14:paraId="1089CE27" w14:textId="77777777" w:rsidTr="006D6A17">
        <w:trPr>
          <w:trHeight w:val="448"/>
        </w:trPr>
        <w:tc>
          <w:tcPr>
            <w:tcW w:w="3216" w:type="dxa"/>
            <w:shd w:val="clear" w:color="auto" w:fill="auto"/>
            <w:vAlign w:val="center"/>
          </w:tcPr>
          <w:p w14:paraId="5EDCD423" w14:textId="77777777" w:rsidR="008B4B77" w:rsidRPr="005357B8" w:rsidRDefault="005357B8" w:rsidP="00D163A4">
            <w:pPr>
              <w:pStyle w:val="CommentText"/>
              <w:contextualSpacing/>
              <w:jc w:val="both"/>
              <w:rPr>
                <w:rFonts w:ascii="Arial" w:eastAsiaTheme="minorHAnsi" w:hAnsi="Arial" w:cs="Arial"/>
                <w:sz w:val="18"/>
                <w:szCs w:val="18"/>
                <w:lang w:val="es-CO"/>
              </w:rPr>
            </w:pPr>
            <w:r w:rsidRPr="005357B8">
              <w:rPr>
                <w:rFonts w:ascii="Arial" w:eastAsia="MS Mincho" w:hAnsi="Arial" w:cs="Arial"/>
                <w:sz w:val="18"/>
                <w:szCs w:val="18"/>
                <w:lang w:val="es-VE"/>
              </w:rPr>
              <w:t>Implementación de un sistema de registro de vehículos por medio de tarjetas inteligentes a fin de obtener un diagnóstico para la actualización de la flota de vehículos de transporte de carga terrestre.</w:t>
            </w:r>
          </w:p>
        </w:tc>
        <w:tc>
          <w:tcPr>
            <w:tcW w:w="1506" w:type="dxa"/>
            <w:shd w:val="clear" w:color="auto" w:fill="auto"/>
            <w:vAlign w:val="center"/>
          </w:tcPr>
          <w:p w14:paraId="58C3349B" w14:textId="77777777" w:rsidR="008B4B77" w:rsidRPr="00C038AA" w:rsidRDefault="0096287C" w:rsidP="00C03241">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IHTT</w:t>
            </w:r>
          </w:p>
        </w:tc>
        <w:tc>
          <w:tcPr>
            <w:tcW w:w="1051" w:type="dxa"/>
            <w:shd w:val="clear" w:color="auto" w:fill="auto"/>
            <w:vAlign w:val="center"/>
          </w:tcPr>
          <w:p w14:paraId="53C5FBBE" w14:textId="77777777" w:rsidR="008B4B77" w:rsidRPr="00C038AA" w:rsidRDefault="0096287C" w:rsidP="009527C4">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shd w:val="clear" w:color="auto" w:fill="auto"/>
            <w:vAlign w:val="center"/>
          </w:tcPr>
          <w:p w14:paraId="6D579544" w14:textId="77777777" w:rsidR="008B4B77" w:rsidRPr="00C038AA" w:rsidRDefault="0096287C" w:rsidP="009527C4">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1</w:t>
            </w:r>
          </w:p>
        </w:tc>
        <w:tc>
          <w:tcPr>
            <w:tcW w:w="4307" w:type="dxa"/>
            <w:shd w:val="clear" w:color="auto" w:fill="auto"/>
            <w:vAlign w:val="center"/>
          </w:tcPr>
          <w:p w14:paraId="54064B76" w14:textId="3EE958BB" w:rsidR="008B4B77" w:rsidRPr="00C038AA" w:rsidRDefault="004924E7" w:rsidP="00D163A4">
            <w:pPr>
              <w:pStyle w:val="CommentText"/>
              <w:contextualSpacing/>
              <w:jc w:val="both"/>
              <w:rPr>
                <w:rFonts w:ascii="Arial" w:eastAsiaTheme="minorHAnsi" w:hAnsi="Arial" w:cs="Arial"/>
                <w:sz w:val="18"/>
                <w:szCs w:val="18"/>
                <w:lang w:val="es-ES"/>
              </w:rPr>
            </w:pPr>
            <w:r w:rsidRPr="004924E7">
              <w:rPr>
                <w:rFonts w:ascii="Arial" w:eastAsia="MS Mincho" w:hAnsi="Arial" w:cs="Arial"/>
                <w:sz w:val="18"/>
                <w:szCs w:val="18"/>
                <w:lang w:val="es-ES_tradnl"/>
              </w:rPr>
              <w:t xml:space="preserve">Memorando IHTT-01-2018 con fecha 13 de junio de 2018 </w:t>
            </w:r>
            <w:r>
              <w:rPr>
                <w:rFonts w:ascii="Arial" w:eastAsia="MS Mincho" w:hAnsi="Arial" w:cs="Arial"/>
                <w:sz w:val="18"/>
                <w:szCs w:val="18"/>
                <w:lang w:val="es-ES_tradnl"/>
              </w:rPr>
              <w:t>informando el resultado</w:t>
            </w:r>
            <w:r w:rsidR="00E26D76" w:rsidRPr="00E26D76">
              <w:rPr>
                <w:rFonts w:ascii="Arial" w:eastAsia="MS Mincho" w:hAnsi="Arial" w:cs="Arial"/>
                <w:sz w:val="18"/>
                <w:szCs w:val="18"/>
                <w:lang w:val="es-ES_tradnl"/>
              </w:rPr>
              <w:t xml:space="preserve"> de la implementación de un sistema de registro de vehículos por medio de tarjetas inteligentes, incluyendo un diagnóstico preliminar para la actualización de la flota de vehículos de transporte de carga terrestre.</w:t>
            </w:r>
          </w:p>
        </w:tc>
      </w:tr>
      <w:tr w:rsidR="008B4B77" w:rsidRPr="000F3F24" w14:paraId="4BF6D84F" w14:textId="77777777" w:rsidTr="006D6A17">
        <w:trPr>
          <w:trHeight w:val="808"/>
        </w:trPr>
        <w:tc>
          <w:tcPr>
            <w:tcW w:w="3216" w:type="dxa"/>
            <w:tcBorders>
              <w:bottom w:val="single" w:sz="8" w:space="0" w:color="auto"/>
            </w:tcBorders>
            <w:shd w:val="clear" w:color="auto" w:fill="auto"/>
            <w:vAlign w:val="center"/>
          </w:tcPr>
          <w:p w14:paraId="11B6714F" w14:textId="77777777" w:rsidR="005A109F" w:rsidRPr="005A109F" w:rsidRDefault="005A109F" w:rsidP="005A109F">
            <w:pPr>
              <w:pStyle w:val="CommentText"/>
              <w:contextualSpacing/>
              <w:jc w:val="both"/>
              <w:rPr>
                <w:rFonts w:ascii="Arial" w:hAnsi="Arial" w:cs="Arial"/>
                <w:sz w:val="18"/>
                <w:szCs w:val="18"/>
                <w:lang w:val="es-VE"/>
              </w:rPr>
            </w:pPr>
            <w:r w:rsidRPr="005A109F">
              <w:rPr>
                <w:rFonts w:ascii="Arial" w:hAnsi="Arial" w:cs="Arial"/>
                <w:sz w:val="18"/>
                <w:szCs w:val="18"/>
                <w:lang w:val="es-VE"/>
              </w:rPr>
              <w:t xml:space="preserve">Creación de un sistema nacional de capacitación para pilotos, incluyendo: </w:t>
            </w:r>
          </w:p>
          <w:p w14:paraId="1F258D96" w14:textId="77777777" w:rsidR="005A109F" w:rsidRPr="005A109F" w:rsidRDefault="005A109F" w:rsidP="005A109F">
            <w:pPr>
              <w:pStyle w:val="CommentText"/>
              <w:numPr>
                <w:ilvl w:val="0"/>
                <w:numId w:val="11"/>
              </w:numPr>
              <w:contextualSpacing/>
              <w:rPr>
                <w:rFonts w:ascii="Arial" w:hAnsi="Arial" w:cs="Arial"/>
                <w:sz w:val="18"/>
                <w:szCs w:val="18"/>
                <w:lang w:val="es-VE"/>
              </w:rPr>
            </w:pPr>
            <w:r w:rsidRPr="005A109F">
              <w:rPr>
                <w:rFonts w:ascii="Arial" w:hAnsi="Arial" w:cs="Arial"/>
                <w:sz w:val="18"/>
                <w:szCs w:val="18"/>
                <w:lang w:val="es-VE"/>
              </w:rPr>
              <w:t xml:space="preserve">el Programa Nacional de Capacitación de Pilotos </w:t>
            </w:r>
            <w:r w:rsidRPr="005A109F">
              <w:rPr>
                <w:rFonts w:ascii="Arial" w:hAnsi="Arial" w:cs="Arial"/>
                <w:sz w:val="18"/>
                <w:szCs w:val="18"/>
                <w:lang w:val="es-VE"/>
              </w:rPr>
              <w:lastRenderedPageBreak/>
              <w:t xml:space="preserve">para las diferentes categorías de licencias de Honduras; </w:t>
            </w:r>
          </w:p>
          <w:p w14:paraId="7EB57B92" w14:textId="77777777" w:rsidR="005A109F" w:rsidRDefault="005A109F" w:rsidP="005A109F">
            <w:pPr>
              <w:pStyle w:val="CommentText"/>
              <w:numPr>
                <w:ilvl w:val="0"/>
                <w:numId w:val="11"/>
              </w:numPr>
              <w:contextualSpacing/>
              <w:rPr>
                <w:rFonts w:ascii="Arial" w:hAnsi="Arial" w:cs="Arial"/>
                <w:sz w:val="18"/>
                <w:szCs w:val="18"/>
                <w:lang w:val="es-VE"/>
              </w:rPr>
            </w:pPr>
            <w:r w:rsidRPr="005A109F">
              <w:rPr>
                <w:rFonts w:ascii="Arial" w:hAnsi="Arial" w:cs="Arial"/>
                <w:sz w:val="18"/>
                <w:szCs w:val="18"/>
                <w:lang w:val="es-VE"/>
              </w:rPr>
              <w:t>normas que regulan la operación de la Escuela Nacional de Transporte Terrestre; y</w:t>
            </w:r>
          </w:p>
          <w:p w14:paraId="13528634" w14:textId="77777777" w:rsidR="008B4B77" w:rsidRPr="0022266D" w:rsidRDefault="005A109F" w:rsidP="0022266D">
            <w:pPr>
              <w:pStyle w:val="CommentText"/>
              <w:numPr>
                <w:ilvl w:val="0"/>
                <w:numId w:val="11"/>
              </w:numPr>
              <w:contextualSpacing/>
              <w:rPr>
                <w:rFonts w:ascii="Arial" w:hAnsi="Arial" w:cs="Arial"/>
                <w:sz w:val="18"/>
                <w:szCs w:val="18"/>
                <w:lang w:val="es-VE"/>
              </w:rPr>
            </w:pPr>
            <w:r w:rsidRPr="0022266D">
              <w:rPr>
                <w:rFonts w:ascii="Arial" w:eastAsiaTheme="minorHAnsi" w:hAnsi="Arial" w:cs="Arial"/>
                <w:sz w:val="18"/>
                <w:szCs w:val="18"/>
                <w:lang w:val="es-VE"/>
              </w:rPr>
              <w:t xml:space="preserve">normas que regulan la operación de las escuelas privadas, </w:t>
            </w:r>
            <w:proofErr w:type="gramStart"/>
            <w:r w:rsidRPr="0022266D">
              <w:rPr>
                <w:rFonts w:ascii="Arial" w:eastAsiaTheme="minorHAnsi" w:hAnsi="Arial" w:cs="Arial"/>
                <w:sz w:val="18"/>
                <w:szCs w:val="18"/>
                <w:lang w:val="es-VE"/>
              </w:rPr>
              <w:t>de acuerdo al</w:t>
            </w:r>
            <w:proofErr w:type="gramEnd"/>
            <w:r w:rsidRPr="0022266D">
              <w:rPr>
                <w:rFonts w:ascii="Arial" w:eastAsiaTheme="minorHAnsi" w:hAnsi="Arial" w:cs="Arial"/>
                <w:sz w:val="18"/>
                <w:szCs w:val="18"/>
                <w:lang w:val="es-VE"/>
              </w:rPr>
              <w:t xml:space="preserve"> mandato de la Ley de Transporte administrada por el Instituto Hondureño de Transporte Terrestre.</w:t>
            </w:r>
          </w:p>
        </w:tc>
        <w:tc>
          <w:tcPr>
            <w:tcW w:w="1506" w:type="dxa"/>
            <w:tcBorders>
              <w:bottom w:val="single" w:sz="8" w:space="0" w:color="auto"/>
            </w:tcBorders>
            <w:shd w:val="clear" w:color="auto" w:fill="auto"/>
            <w:vAlign w:val="center"/>
          </w:tcPr>
          <w:p w14:paraId="5FF33D99" w14:textId="77777777" w:rsidR="008B4B77" w:rsidRPr="00C038AA" w:rsidRDefault="0096287C" w:rsidP="00AE7808">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lastRenderedPageBreak/>
              <w:t>IHTT</w:t>
            </w:r>
          </w:p>
        </w:tc>
        <w:tc>
          <w:tcPr>
            <w:tcW w:w="1051" w:type="dxa"/>
            <w:tcBorders>
              <w:bottom w:val="single" w:sz="8" w:space="0" w:color="auto"/>
            </w:tcBorders>
            <w:shd w:val="clear" w:color="auto" w:fill="auto"/>
            <w:vAlign w:val="center"/>
          </w:tcPr>
          <w:p w14:paraId="118F0614" w14:textId="77777777" w:rsidR="008B4B77" w:rsidRPr="00C038AA" w:rsidRDefault="0096287C" w:rsidP="009527C4">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tcBorders>
              <w:bottom w:val="single" w:sz="8" w:space="0" w:color="auto"/>
            </w:tcBorders>
            <w:shd w:val="clear" w:color="auto" w:fill="auto"/>
            <w:vAlign w:val="center"/>
          </w:tcPr>
          <w:p w14:paraId="36E8EB88" w14:textId="77777777" w:rsidR="008B4B77" w:rsidRPr="00C038AA" w:rsidRDefault="0096287C" w:rsidP="009527C4">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1</w:t>
            </w:r>
          </w:p>
        </w:tc>
        <w:tc>
          <w:tcPr>
            <w:tcW w:w="4307" w:type="dxa"/>
            <w:tcBorders>
              <w:bottom w:val="single" w:sz="8" w:space="0" w:color="auto"/>
            </w:tcBorders>
            <w:shd w:val="clear" w:color="auto" w:fill="auto"/>
            <w:vAlign w:val="center"/>
          </w:tcPr>
          <w:p w14:paraId="20A09813" w14:textId="77777777" w:rsidR="008B4B77" w:rsidRPr="00791439" w:rsidRDefault="00791439" w:rsidP="0096287C">
            <w:pPr>
              <w:pStyle w:val="CommentText"/>
              <w:contextualSpacing/>
              <w:jc w:val="both"/>
              <w:rPr>
                <w:rFonts w:ascii="Arial" w:eastAsiaTheme="minorHAnsi" w:hAnsi="Arial" w:cs="Arial"/>
                <w:sz w:val="18"/>
                <w:szCs w:val="18"/>
                <w:lang w:val="es-CO"/>
              </w:rPr>
            </w:pPr>
            <w:r w:rsidRPr="00791439">
              <w:rPr>
                <w:rFonts w:ascii="Arial" w:eastAsia="MS Mincho" w:hAnsi="Arial"/>
                <w:sz w:val="18"/>
                <w:szCs w:val="18"/>
                <w:lang w:val="es-VE"/>
              </w:rPr>
              <w:t xml:space="preserve">Memorándum de la Dirección Ejecutiva a la Comisión Directiva del IHTT </w:t>
            </w:r>
            <w:r w:rsidR="004924E7" w:rsidRPr="004924E7">
              <w:rPr>
                <w:rFonts w:ascii="Arial" w:eastAsia="MS Mincho" w:hAnsi="Arial"/>
                <w:sz w:val="18"/>
                <w:szCs w:val="18"/>
                <w:lang w:val="es-VE"/>
              </w:rPr>
              <w:t xml:space="preserve">(IHTT-DE-072-2018) </w:t>
            </w:r>
            <w:r w:rsidRPr="00791439">
              <w:rPr>
                <w:rFonts w:ascii="Arial" w:eastAsia="MS Mincho" w:hAnsi="Arial"/>
                <w:sz w:val="18"/>
                <w:szCs w:val="18"/>
                <w:lang w:val="es-VE"/>
              </w:rPr>
              <w:t xml:space="preserve">para la aprobación del sistema nacional de capacitación para pilotos incluyendo un programa </w:t>
            </w:r>
            <w:r w:rsidRPr="00791439">
              <w:rPr>
                <w:rFonts w:ascii="Arial" w:eastAsia="MS Mincho" w:hAnsi="Arial"/>
                <w:sz w:val="18"/>
                <w:szCs w:val="18"/>
                <w:lang w:val="es-VE"/>
              </w:rPr>
              <w:lastRenderedPageBreak/>
              <w:t>de incentivos para la capacitación de mujeres, coordinado con Ciudad Mujer.</w:t>
            </w:r>
            <w:r w:rsidRPr="00791439">
              <w:rPr>
                <w:rFonts w:ascii="Arial" w:eastAsia="MS Mincho" w:hAnsi="Arial" w:cs="Arial"/>
                <w:sz w:val="18"/>
                <w:szCs w:val="18"/>
                <w:lang w:val="es-VE"/>
              </w:rPr>
              <w:t xml:space="preserve">  </w:t>
            </w:r>
          </w:p>
        </w:tc>
      </w:tr>
      <w:tr w:rsidR="006E0437" w:rsidRPr="000F3F24" w14:paraId="281960F4" w14:textId="77777777" w:rsidTr="006E0437">
        <w:trPr>
          <w:trHeight w:val="40"/>
        </w:trPr>
        <w:tc>
          <w:tcPr>
            <w:tcW w:w="10890" w:type="dxa"/>
            <w:gridSpan w:val="5"/>
            <w:shd w:val="pct15" w:color="auto" w:fill="auto"/>
            <w:vAlign w:val="center"/>
          </w:tcPr>
          <w:p w14:paraId="57D52C82" w14:textId="77777777" w:rsidR="006E0437" w:rsidRPr="00C038AA" w:rsidRDefault="006E0437" w:rsidP="008B4B77">
            <w:pPr>
              <w:jc w:val="both"/>
              <w:rPr>
                <w:rFonts w:ascii="Arial" w:eastAsia="Times New Roman" w:hAnsi="Arial" w:cs="Arial"/>
                <w:color w:val="000000"/>
                <w:sz w:val="18"/>
                <w:szCs w:val="18"/>
                <w:lang w:val="es-ES"/>
              </w:rPr>
            </w:pPr>
            <w:r w:rsidRPr="00CC0224">
              <w:rPr>
                <w:rFonts w:ascii="Arial" w:eastAsia="MS Mincho" w:hAnsi="Arial" w:cs="Arial"/>
                <w:b/>
                <w:sz w:val="18"/>
                <w:szCs w:val="18"/>
                <w:lang w:val="es-VE"/>
              </w:rPr>
              <w:lastRenderedPageBreak/>
              <w:t xml:space="preserve">Subcomponente </w:t>
            </w:r>
            <w:r>
              <w:rPr>
                <w:rFonts w:ascii="Arial" w:eastAsia="MS Mincho" w:hAnsi="Arial" w:cs="Arial"/>
                <w:b/>
                <w:sz w:val="18"/>
                <w:szCs w:val="18"/>
                <w:lang w:val="es-VE"/>
              </w:rPr>
              <w:t>4</w:t>
            </w:r>
            <w:r w:rsidRPr="00CC0224">
              <w:rPr>
                <w:rFonts w:ascii="Arial" w:eastAsia="MS Mincho" w:hAnsi="Arial" w:cs="Arial"/>
                <w:b/>
                <w:sz w:val="18"/>
                <w:szCs w:val="18"/>
                <w:lang w:val="es-VE"/>
              </w:rPr>
              <w:t>.</w:t>
            </w:r>
            <w:r>
              <w:rPr>
                <w:rFonts w:ascii="Arial" w:eastAsia="MS Mincho" w:hAnsi="Arial" w:cs="Arial"/>
                <w:b/>
                <w:sz w:val="18"/>
                <w:szCs w:val="18"/>
                <w:lang w:val="es-VE"/>
              </w:rPr>
              <w:t>2</w:t>
            </w:r>
            <w:r w:rsidRPr="00CC0224">
              <w:rPr>
                <w:rFonts w:ascii="Arial" w:eastAsia="MS Mincho" w:hAnsi="Arial" w:cs="Arial"/>
                <w:b/>
                <w:sz w:val="18"/>
                <w:szCs w:val="18"/>
                <w:lang w:val="es-VE"/>
              </w:rPr>
              <w:t xml:space="preserve">. </w:t>
            </w:r>
            <w:r w:rsidR="008728CB" w:rsidRPr="008728CB">
              <w:rPr>
                <w:rFonts w:ascii="Arial" w:eastAsia="MS Mincho" w:hAnsi="Arial" w:cs="Arial"/>
                <w:b/>
                <w:sz w:val="18"/>
                <w:szCs w:val="18"/>
                <w:lang w:val="es-VE"/>
              </w:rPr>
              <w:t>Modernización de los procesos de facilitación comercial</w:t>
            </w:r>
          </w:p>
        </w:tc>
      </w:tr>
      <w:tr w:rsidR="00AE7808" w:rsidRPr="000F3F24" w14:paraId="258D710B" w14:textId="77777777" w:rsidTr="00CB5343">
        <w:trPr>
          <w:trHeight w:val="664"/>
        </w:trPr>
        <w:tc>
          <w:tcPr>
            <w:tcW w:w="10890" w:type="dxa"/>
            <w:gridSpan w:val="5"/>
            <w:shd w:val="pct15" w:color="auto" w:fill="auto"/>
            <w:vAlign w:val="center"/>
          </w:tcPr>
          <w:p w14:paraId="70A92F6E" w14:textId="77777777" w:rsidR="00AE7808" w:rsidRPr="00CB5343" w:rsidRDefault="00CB5343" w:rsidP="008B4B77">
            <w:pPr>
              <w:jc w:val="both"/>
              <w:rPr>
                <w:rFonts w:ascii="Arial" w:eastAsia="Times New Roman" w:hAnsi="Arial" w:cs="Arial"/>
                <w:b/>
                <w:color w:val="000000"/>
                <w:sz w:val="18"/>
                <w:szCs w:val="18"/>
                <w:lang w:val="es-ES"/>
              </w:rPr>
            </w:pPr>
            <w:r w:rsidRPr="00CB5343">
              <w:rPr>
                <w:rFonts w:ascii="Arial" w:eastAsia="Times New Roman" w:hAnsi="Arial" w:cs="Arial"/>
                <w:b/>
                <w:color w:val="000000"/>
                <w:sz w:val="18"/>
                <w:szCs w:val="18"/>
                <w:lang w:val="es-ES"/>
              </w:rPr>
              <w:t>IMPLEMENTACIÓN DEL MARCO NORMATIVO Y SISTEMAS TECNOLÓGI</w:t>
            </w:r>
            <w:r>
              <w:rPr>
                <w:rFonts w:ascii="Arial" w:eastAsia="Times New Roman" w:hAnsi="Arial" w:cs="Arial"/>
                <w:b/>
                <w:color w:val="000000"/>
                <w:sz w:val="18"/>
                <w:szCs w:val="18"/>
                <w:lang w:val="es-ES"/>
              </w:rPr>
              <w:t>C</w:t>
            </w:r>
            <w:r w:rsidRPr="00CB5343">
              <w:rPr>
                <w:rFonts w:ascii="Arial" w:eastAsia="Times New Roman" w:hAnsi="Arial" w:cs="Arial"/>
                <w:b/>
                <w:color w:val="000000"/>
                <w:sz w:val="18"/>
                <w:szCs w:val="18"/>
                <w:lang w:val="es-ES"/>
              </w:rPr>
              <w:t xml:space="preserve">OS A NIVEL NACIONAL </w:t>
            </w:r>
          </w:p>
        </w:tc>
      </w:tr>
      <w:tr w:rsidR="00AE7808" w:rsidRPr="000F3F24" w14:paraId="359AA82A" w14:textId="77777777" w:rsidTr="006D6A17">
        <w:trPr>
          <w:trHeight w:val="1078"/>
        </w:trPr>
        <w:tc>
          <w:tcPr>
            <w:tcW w:w="3216" w:type="dxa"/>
            <w:shd w:val="clear" w:color="auto" w:fill="auto"/>
            <w:vAlign w:val="center"/>
          </w:tcPr>
          <w:p w14:paraId="3E3683FE" w14:textId="41E1A97D" w:rsidR="00AE7808" w:rsidRPr="00B86636" w:rsidRDefault="00350A4C" w:rsidP="00B86636">
            <w:pPr>
              <w:pStyle w:val="CommentText"/>
              <w:contextualSpacing/>
              <w:rPr>
                <w:rFonts w:ascii="Arial" w:eastAsia="MS Mincho" w:hAnsi="Arial" w:cs="Arial"/>
                <w:sz w:val="18"/>
                <w:szCs w:val="18"/>
                <w:lang w:val="es-ES_tradnl"/>
              </w:rPr>
            </w:pPr>
            <w:r>
              <w:rPr>
                <w:rFonts w:ascii="Arial" w:eastAsia="MS Mincho" w:hAnsi="Arial" w:cs="Arial"/>
                <w:sz w:val="18"/>
                <w:szCs w:val="18"/>
                <w:lang w:val="es-ES_tradnl"/>
              </w:rPr>
              <w:t xml:space="preserve">Inicio de la </w:t>
            </w:r>
            <w:r w:rsidR="00B86636" w:rsidRPr="00B86636">
              <w:rPr>
                <w:rFonts w:ascii="Arial" w:eastAsia="MS Mincho" w:hAnsi="Arial" w:cs="Arial"/>
                <w:sz w:val="18"/>
                <w:szCs w:val="18"/>
                <w:lang w:val="es-ES_tradnl"/>
              </w:rPr>
              <w:t xml:space="preserve">creación del Portal de Gestión Integral de Comercio Exterior (PGICE). </w:t>
            </w:r>
          </w:p>
        </w:tc>
        <w:tc>
          <w:tcPr>
            <w:tcW w:w="1506" w:type="dxa"/>
            <w:shd w:val="clear" w:color="auto" w:fill="auto"/>
            <w:vAlign w:val="center"/>
          </w:tcPr>
          <w:p w14:paraId="4C728EAD" w14:textId="77777777" w:rsidR="00AE7808" w:rsidRPr="00C038AA" w:rsidRDefault="0081523F" w:rsidP="00AE7808">
            <w:pPr>
              <w:pStyle w:val="CommentText"/>
              <w:contextualSpacing/>
              <w:jc w:val="both"/>
              <w:rPr>
                <w:rFonts w:ascii="Arial" w:eastAsiaTheme="minorHAnsi" w:hAnsi="Arial" w:cs="Arial"/>
                <w:sz w:val="18"/>
                <w:szCs w:val="18"/>
                <w:lang w:val="es-ES"/>
              </w:rPr>
            </w:pPr>
            <w:r w:rsidRPr="0081523F">
              <w:rPr>
                <w:rFonts w:ascii="Arial" w:eastAsia="MS Mincho" w:hAnsi="Arial" w:cs="Arial"/>
                <w:sz w:val="18"/>
                <w:szCs w:val="18"/>
                <w:lang w:val="es-ES_tradnl"/>
              </w:rPr>
              <w:t>COPRISAO / DARA</w:t>
            </w:r>
          </w:p>
        </w:tc>
        <w:tc>
          <w:tcPr>
            <w:tcW w:w="1051" w:type="dxa"/>
            <w:shd w:val="clear" w:color="auto" w:fill="auto"/>
            <w:vAlign w:val="center"/>
          </w:tcPr>
          <w:p w14:paraId="61D84FCC" w14:textId="77777777" w:rsidR="00AE7808" w:rsidRPr="00C038AA" w:rsidRDefault="00AE7808" w:rsidP="007D5899">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shd w:val="clear" w:color="auto" w:fill="auto"/>
            <w:vAlign w:val="center"/>
          </w:tcPr>
          <w:p w14:paraId="427A33DB" w14:textId="77777777" w:rsidR="00AE7808" w:rsidRPr="00C038AA" w:rsidRDefault="00AE7808" w:rsidP="007D5899">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1</w:t>
            </w:r>
          </w:p>
        </w:tc>
        <w:tc>
          <w:tcPr>
            <w:tcW w:w="4307" w:type="dxa"/>
            <w:shd w:val="clear" w:color="auto" w:fill="auto"/>
            <w:vAlign w:val="center"/>
          </w:tcPr>
          <w:p w14:paraId="65241DDE" w14:textId="0E27D760" w:rsidR="00AE7808" w:rsidRPr="00140F3C" w:rsidRDefault="00140F3C" w:rsidP="00AE7808">
            <w:pPr>
              <w:pStyle w:val="CommentText"/>
              <w:contextualSpacing/>
              <w:jc w:val="both"/>
              <w:rPr>
                <w:rFonts w:ascii="Arial" w:eastAsia="MS Mincho" w:hAnsi="Arial" w:cs="Arial"/>
                <w:sz w:val="18"/>
                <w:szCs w:val="18"/>
                <w:lang w:val="es-VE"/>
              </w:rPr>
            </w:pPr>
            <w:r w:rsidRPr="00140F3C">
              <w:rPr>
                <w:rFonts w:ascii="Arial" w:eastAsia="MS Mincho" w:hAnsi="Arial" w:cs="Arial"/>
                <w:sz w:val="18"/>
                <w:szCs w:val="18"/>
                <w:lang w:val="es-VE"/>
              </w:rPr>
              <w:t xml:space="preserve">Oficio del Gabinete de Simplificación a la SCGG con el Proyecto de </w:t>
            </w:r>
            <w:r w:rsidR="00AD0087">
              <w:rPr>
                <w:rFonts w:ascii="Arial" w:eastAsia="MS Mincho" w:hAnsi="Arial" w:cs="Arial"/>
                <w:sz w:val="18"/>
                <w:szCs w:val="18"/>
                <w:lang w:val="es-VE"/>
              </w:rPr>
              <w:t>Convenio Interinstitucional para la creación del</w:t>
            </w:r>
            <w:r w:rsidRPr="00140F3C">
              <w:rPr>
                <w:rFonts w:ascii="Arial" w:eastAsia="MS Mincho" w:hAnsi="Arial" w:cs="Arial"/>
                <w:sz w:val="18"/>
                <w:szCs w:val="18"/>
                <w:lang w:val="es-VE"/>
              </w:rPr>
              <w:t xml:space="preserve"> PGICE.</w:t>
            </w:r>
          </w:p>
        </w:tc>
      </w:tr>
      <w:tr w:rsidR="00AE7808" w:rsidRPr="000F3F24" w14:paraId="03AEB4D9" w14:textId="77777777" w:rsidTr="006D6A17">
        <w:trPr>
          <w:trHeight w:val="1078"/>
        </w:trPr>
        <w:tc>
          <w:tcPr>
            <w:tcW w:w="3216" w:type="dxa"/>
            <w:shd w:val="clear" w:color="auto" w:fill="auto"/>
            <w:vAlign w:val="center"/>
          </w:tcPr>
          <w:p w14:paraId="093216EC" w14:textId="77777777" w:rsidR="00AE7808" w:rsidRPr="00C038AA" w:rsidRDefault="00BC405B" w:rsidP="00892E03">
            <w:pPr>
              <w:pStyle w:val="CommentText"/>
              <w:contextualSpacing/>
              <w:jc w:val="both"/>
              <w:rPr>
                <w:rFonts w:ascii="Arial" w:eastAsiaTheme="minorHAnsi" w:hAnsi="Arial" w:cs="Arial"/>
                <w:sz w:val="18"/>
                <w:szCs w:val="18"/>
                <w:lang w:val="es-ES"/>
              </w:rPr>
            </w:pPr>
            <w:r w:rsidRPr="00BC405B">
              <w:rPr>
                <w:rFonts w:ascii="Arial" w:eastAsia="MS Mincho" w:hAnsi="Arial" w:cs="Arial"/>
                <w:sz w:val="18"/>
                <w:szCs w:val="18"/>
                <w:lang w:val="es-VE"/>
              </w:rPr>
              <w:t>Inicio de la implementación de la fase piloto del Programa de Operador Económico Autorizado (OEA).</w:t>
            </w:r>
          </w:p>
        </w:tc>
        <w:tc>
          <w:tcPr>
            <w:tcW w:w="1506" w:type="dxa"/>
            <w:shd w:val="clear" w:color="auto" w:fill="auto"/>
            <w:vAlign w:val="center"/>
          </w:tcPr>
          <w:p w14:paraId="61A61008" w14:textId="77777777" w:rsidR="00AE7808" w:rsidRPr="00C038AA" w:rsidRDefault="00892E03" w:rsidP="00892E03">
            <w:pPr>
              <w:pStyle w:val="CommentText"/>
              <w:contextualSpacing/>
              <w:jc w:val="both"/>
              <w:rPr>
                <w:rFonts w:ascii="Arial" w:eastAsiaTheme="minorHAnsi" w:hAnsi="Arial" w:cs="Arial"/>
                <w:sz w:val="18"/>
                <w:szCs w:val="18"/>
                <w:lang w:val="es-ES"/>
              </w:rPr>
            </w:pPr>
            <w:r w:rsidRPr="00C038AA">
              <w:rPr>
                <w:rFonts w:ascii="Arial" w:eastAsiaTheme="minorHAnsi" w:hAnsi="Arial" w:cs="Arial"/>
                <w:sz w:val="18"/>
                <w:szCs w:val="18"/>
                <w:lang w:val="es-ES"/>
              </w:rPr>
              <w:t>COPRISAO / DARA</w:t>
            </w:r>
          </w:p>
        </w:tc>
        <w:tc>
          <w:tcPr>
            <w:tcW w:w="1051" w:type="dxa"/>
            <w:shd w:val="clear" w:color="auto" w:fill="auto"/>
            <w:vAlign w:val="center"/>
          </w:tcPr>
          <w:p w14:paraId="3AC1FADE" w14:textId="77777777" w:rsidR="00AE7808" w:rsidRPr="00C038AA" w:rsidRDefault="00892E03" w:rsidP="007D5899">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shd w:val="clear" w:color="auto" w:fill="auto"/>
            <w:vAlign w:val="center"/>
          </w:tcPr>
          <w:p w14:paraId="3EC1E912" w14:textId="77777777" w:rsidR="00AE7808" w:rsidRPr="00C038AA" w:rsidRDefault="00892E03" w:rsidP="007D5899">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1</w:t>
            </w:r>
          </w:p>
        </w:tc>
        <w:tc>
          <w:tcPr>
            <w:tcW w:w="4307" w:type="dxa"/>
            <w:shd w:val="clear" w:color="auto" w:fill="auto"/>
            <w:vAlign w:val="center"/>
          </w:tcPr>
          <w:p w14:paraId="301729E3" w14:textId="77777777" w:rsidR="00AE7808" w:rsidRPr="00AE173E" w:rsidRDefault="00AE173E" w:rsidP="00B240A7">
            <w:pPr>
              <w:pStyle w:val="CommentText"/>
              <w:contextualSpacing/>
              <w:jc w:val="both"/>
              <w:rPr>
                <w:rFonts w:ascii="Arial" w:hAnsi="Arial" w:cs="Arial"/>
                <w:sz w:val="18"/>
                <w:szCs w:val="18"/>
                <w:lang w:val="es-VE"/>
              </w:rPr>
            </w:pPr>
            <w:r w:rsidRPr="00AE173E">
              <w:rPr>
                <w:rFonts w:ascii="Arial" w:hAnsi="Arial" w:cs="Arial"/>
                <w:sz w:val="18"/>
                <w:szCs w:val="18"/>
                <w:lang w:val="es-VE"/>
              </w:rPr>
              <w:t xml:space="preserve">Carta Compromiso de DARA dando inicio a la implementación del piloto del Programa de </w:t>
            </w:r>
            <w:proofErr w:type="gramStart"/>
            <w:r w:rsidRPr="00AE173E">
              <w:rPr>
                <w:rFonts w:ascii="Arial" w:hAnsi="Arial" w:cs="Arial"/>
                <w:sz w:val="18"/>
                <w:szCs w:val="18"/>
                <w:lang w:val="es-VE"/>
              </w:rPr>
              <w:t>OEA</w:t>
            </w:r>
            <w:proofErr w:type="gramEnd"/>
            <w:r w:rsidRPr="00AE173E">
              <w:rPr>
                <w:rFonts w:ascii="Arial" w:hAnsi="Arial" w:cs="Arial"/>
                <w:sz w:val="18"/>
                <w:szCs w:val="18"/>
                <w:lang w:val="es-VE"/>
              </w:rPr>
              <w:t>.</w:t>
            </w:r>
          </w:p>
        </w:tc>
      </w:tr>
      <w:tr w:rsidR="008B4B77" w:rsidRPr="00A02F7C" w14:paraId="5A58A637" w14:textId="77777777" w:rsidTr="006D6A17">
        <w:trPr>
          <w:trHeight w:val="73"/>
        </w:trPr>
        <w:tc>
          <w:tcPr>
            <w:tcW w:w="10890" w:type="dxa"/>
            <w:gridSpan w:val="5"/>
            <w:shd w:val="clear" w:color="auto" w:fill="D9D9D9" w:themeFill="background1" w:themeFillShade="D9"/>
            <w:vAlign w:val="center"/>
            <w:hideMark/>
          </w:tcPr>
          <w:p w14:paraId="605C91F7" w14:textId="77777777" w:rsidR="008B4B77" w:rsidRPr="00C038AA" w:rsidRDefault="00AE173E" w:rsidP="008B4B77">
            <w:pPr>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 xml:space="preserve">IMPLEMENTACIÓN DE HERRAMIENTAS TECNOLÓGICAS </w:t>
            </w:r>
            <w:r w:rsidRPr="00C038AA">
              <w:rPr>
                <w:rFonts w:ascii="Arial" w:eastAsia="Times New Roman" w:hAnsi="Arial" w:cs="Arial"/>
                <w:color w:val="000000"/>
                <w:sz w:val="18"/>
                <w:szCs w:val="18"/>
                <w:lang w:val="es-ES"/>
              </w:rPr>
              <w:t> </w:t>
            </w:r>
          </w:p>
        </w:tc>
      </w:tr>
      <w:tr w:rsidR="008B4B77" w:rsidRPr="000F3F24" w14:paraId="2DD22980" w14:textId="77777777" w:rsidTr="006D6A17">
        <w:trPr>
          <w:trHeight w:val="73"/>
        </w:trPr>
        <w:tc>
          <w:tcPr>
            <w:tcW w:w="3216" w:type="dxa"/>
            <w:shd w:val="clear" w:color="auto" w:fill="auto"/>
            <w:vAlign w:val="center"/>
          </w:tcPr>
          <w:p w14:paraId="15ED84FE" w14:textId="77777777" w:rsidR="008B4B77" w:rsidRPr="00C038AA" w:rsidRDefault="002B20F3" w:rsidP="00291207">
            <w:pPr>
              <w:pStyle w:val="CommentText"/>
              <w:contextualSpacing/>
              <w:jc w:val="both"/>
              <w:rPr>
                <w:rFonts w:ascii="Arial" w:eastAsiaTheme="minorHAnsi" w:hAnsi="Arial" w:cs="Arial"/>
                <w:sz w:val="18"/>
                <w:szCs w:val="18"/>
                <w:lang w:val="es-ES"/>
              </w:rPr>
            </w:pPr>
            <w:r w:rsidRPr="002B20F3">
              <w:rPr>
                <w:rFonts w:ascii="Arial" w:eastAsia="MS Mincho" w:hAnsi="Arial" w:cs="Arial"/>
                <w:sz w:val="18"/>
                <w:szCs w:val="18"/>
                <w:lang w:val="es-VE"/>
              </w:rPr>
              <w:t>Adopción de requisitos tecnológicos necesarios para la implementación de la primera fase de la Estrategia de Gestión Coordinada de Fronteras (GCF): RFID de trazabilidad.</w:t>
            </w:r>
          </w:p>
        </w:tc>
        <w:tc>
          <w:tcPr>
            <w:tcW w:w="1506" w:type="dxa"/>
            <w:shd w:val="clear" w:color="auto" w:fill="auto"/>
            <w:vAlign w:val="center"/>
          </w:tcPr>
          <w:p w14:paraId="5413C529" w14:textId="77777777" w:rsidR="008B4B77" w:rsidRPr="00C038AA" w:rsidRDefault="00291207" w:rsidP="00291207">
            <w:pPr>
              <w:pStyle w:val="CommentText"/>
              <w:contextualSpacing/>
              <w:jc w:val="both"/>
              <w:rPr>
                <w:rFonts w:ascii="Arial" w:eastAsiaTheme="minorHAnsi" w:hAnsi="Arial" w:cs="Arial"/>
                <w:sz w:val="18"/>
                <w:szCs w:val="18"/>
                <w:lang w:val="es-ES"/>
              </w:rPr>
            </w:pPr>
            <w:r w:rsidRPr="00C038AA">
              <w:rPr>
                <w:rFonts w:ascii="Arial" w:eastAsiaTheme="minorHAnsi" w:hAnsi="Arial" w:cs="Arial"/>
                <w:sz w:val="18"/>
                <w:szCs w:val="18"/>
                <w:lang w:val="es-ES"/>
              </w:rPr>
              <w:t>COPRISAO / DARA</w:t>
            </w:r>
          </w:p>
        </w:tc>
        <w:tc>
          <w:tcPr>
            <w:tcW w:w="1051" w:type="dxa"/>
            <w:shd w:val="clear" w:color="auto" w:fill="auto"/>
            <w:vAlign w:val="center"/>
          </w:tcPr>
          <w:p w14:paraId="157F9B47" w14:textId="77777777" w:rsidR="008B4B77" w:rsidRPr="00C038AA" w:rsidRDefault="00291207" w:rsidP="007D5899">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shd w:val="clear" w:color="auto" w:fill="auto"/>
            <w:vAlign w:val="center"/>
          </w:tcPr>
          <w:p w14:paraId="5B749D0D" w14:textId="77777777" w:rsidR="008B4B77" w:rsidRPr="00C038AA" w:rsidRDefault="00291207" w:rsidP="007D5899">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1</w:t>
            </w:r>
          </w:p>
        </w:tc>
        <w:tc>
          <w:tcPr>
            <w:tcW w:w="4307" w:type="dxa"/>
            <w:shd w:val="clear" w:color="auto" w:fill="auto"/>
            <w:vAlign w:val="center"/>
          </w:tcPr>
          <w:p w14:paraId="23B9E6A6" w14:textId="77777777" w:rsidR="008B4B77" w:rsidRPr="00C038AA" w:rsidRDefault="008667BB" w:rsidP="00291207">
            <w:pPr>
              <w:pStyle w:val="CommentText"/>
              <w:contextualSpacing/>
              <w:jc w:val="both"/>
              <w:rPr>
                <w:rFonts w:ascii="Arial" w:eastAsiaTheme="minorHAnsi" w:hAnsi="Arial" w:cs="Arial"/>
                <w:sz w:val="18"/>
                <w:szCs w:val="18"/>
                <w:lang w:val="es-ES"/>
              </w:rPr>
            </w:pPr>
            <w:r w:rsidRPr="008667BB">
              <w:rPr>
                <w:rFonts w:ascii="Arial" w:eastAsia="MS Mincho" w:hAnsi="Arial" w:cs="Arial"/>
                <w:sz w:val="18"/>
                <w:szCs w:val="18"/>
                <w:lang w:val="es-VE"/>
              </w:rPr>
              <w:t>Actas de recepción de los insumos tecnológicos instalados (RFID).</w:t>
            </w:r>
          </w:p>
        </w:tc>
      </w:tr>
      <w:tr w:rsidR="008B4B77" w:rsidRPr="000F3F24" w14:paraId="41556E73" w14:textId="77777777" w:rsidTr="006D6A17">
        <w:trPr>
          <w:trHeight w:val="79"/>
        </w:trPr>
        <w:tc>
          <w:tcPr>
            <w:tcW w:w="3216" w:type="dxa"/>
            <w:shd w:val="clear" w:color="auto" w:fill="auto"/>
            <w:vAlign w:val="center"/>
          </w:tcPr>
          <w:p w14:paraId="728EDA01" w14:textId="77777777" w:rsidR="008B4B77" w:rsidRPr="00C038AA" w:rsidRDefault="0003009B" w:rsidP="00DF5073">
            <w:pPr>
              <w:pStyle w:val="CommentText"/>
              <w:contextualSpacing/>
              <w:jc w:val="both"/>
              <w:rPr>
                <w:rFonts w:ascii="Arial" w:eastAsiaTheme="minorHAnsi" w:hAnsi="Arial" w:cs="Arial"/>
                <w:sz w:val="18"/>
                <w:szCs w:val="18"/>
                <w:lang w:val="es-ES"/>
              </w:rPr>
            </w:pPr>
            <w:r w:rsidRPr="0003009B">
              <w:rPr>
                <w:rFonts w:ascii="Arial" w:eastAsia="MS Mincho" w:hAnsi="Arial" w:cs="Arial"/>
                <w:sz w:val="18"/>
                <w:szCs w:val="18"/>
                <w:lang w:val="es-ES_tradnl"/>
              </w:rPr>
              <w:t>Desarrollo de procedimientos y ajustes informáticos para la implementación de la Declaración Anticipada.</w:t>
            </w:r>
          </w:p>
        </w:tc>
        <w:tc>
          <w:tcPr>
            <w:tcW w:w="1506" w:type="dxa"/>
            <w:shd w:val="clear" w:color="auto" w:fill="auto"/>
            <w:vAlign w:val="center"/>
          </w:tcPr>
          <w:p w14:paraId="6D4E55A4" w14:textId="77777777" w:rsidR="008B4B77" w:rsidRPr="00C038AA" w:rsidRDefault="00DF5073" w:rsidP="00DF5073">
            <w:pPr>
              <w:pStyle w:val="CommentText"/>
              <w:contextualSpacing/>
              <w:jc w:val="both"/>
              <w:rPr>
                <w:rFonts w:ascii="Arial" w:eastAsiaTheme="minorHAnsi" w:hAnsi="Arial" w:cs="Arial"/>
                <w:sz w:val="18"/>
                <w:szCs w:val="18"/>
                <w:lang w:val="es-ES"/>
              </w:rPr>
            </w:pPr>
            <w:r w:rsidRPr="00C038AA">
              <w:rPr>
                <w:rFonts w:ascii="Arial" w:eastAsiaTheme="minorHAnsi" w:hAnsi="Arial" w:cs="Arial"/>
                <w:sz w:val="18"/>
                <w:szCs w:val="18"/>
                <w:lang w:val="es-ES"/>
              </w:rPr>
              <w:t>COPRISAO / DARA</w:t>
            </w:r>
          </w:p>
        </w:tc>
        <w:tc>
          <w:tcPr>
            <w:tcW w:w="1051" w:type="dxa"/>
            <w:shd w:val="clear" w:color="auto" w:fill="auto"/>
            <w:vAlign w:val="center"/>
          </w:tcPr>
          <w:p w14:paraId="71386963" w14:textId="77777777" w:rsidR="008B4B77" w:rsidRPr="00C038AA" w:rsidRDefault="00DF5073" w:rsidP="00891A2F">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shd w:val="clear" w:color="auto" w:fill="auto"/>
            <w:vAlign w:val="center"/>
          </w:tcPr>
          <w:p w14:paraId="1C300210" w14:textId="77777777" w:rsidR="008B4B77" w:rsidRPr="00C038AA" w:rsidRDefault="00DF5073" w:rsidP="00891A2F">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1</w:t>
            </w:r>
          </w:p>
        </w:tc>
        <w:tc>
          <w:tcPr>
            <w:tcW w:w="4307" w:type="dxa"/>
            <w:shd w:val="clear" w:color="auto" w:fill="auto"/>
            <w:vAlign w:val="center"/>
          </w:tcPr>
          <w:p w14:paraId="78CBE677" w14:textId="77777777" w:rsidR="008B4B77" w:rsidRPr="00C038AA" w:rsidRDefault="00CA4CDB" w:rsidP="00DF5073">
            <w:pPr>
              <w:pStyle w:val="CommentText"/>
              <w:contextualSpacing/>
              <w:jc w:val="both"/>
              <w:rPr>
                <w:rFonts w:ascii="Arial" w:eastAsiaTheme="minorHAnsi" w:hAnsi="Arial" w:cs="Arial"/>
                <w:sz w:val="18"/>
                <w:szCs w:val="18"/>
                <w:lang w:val="es-ES"/>
              </w:rPr>
            </w:pPr>
            <w:r w:rsidRPr="00CA4CDB">
              <w:rPr>
                <w:rFonts w:ascii="Arial" w:eastAsia="MS Mincho" w:hAnsi="Arial" w:cs="Arial"/>
                <w:sz w:val="18"/>
                <w:szCs w:val="18"/>
                <w:lang w:val="es-VE"/>
              </w:rPr>
              <w:t>Circular emitida por DARA a las aduanas y actores del sector informando el procedimiento para la Declaración Anticipada.</w:t>
            </w:r>
          </w:p>
        </w:tc>
      </w:tr>
      <w:tr w:rsidR="008B4B77" w:rsidRPr="000F3F24" w14:paraId="598E1FB2" w14:textId="77777777" w:rsidTr="006D6A17">
        <w:trPr>
          <w:trHeight w:val="320"/>
        </w:trPr>
        <w:tc>
          <w:tcPr>
            <w:tcW w:w="10890" w:type="dxa"/>
            <w:gridSpan w:val="5"/>
            <w:shd w:val="clear" w:color="auto" w:fill="D9D9D9" w:themeFill="background1" w:themeFillShade="D9"/>
            <w:vAlign w:val="center"/>
            <w:hideMark/>
          </w:tcPr>
          <w:p w14:paraId="057AF824" w14:textId="77777777" w:rsidR="008B4B77" w:rsidRPr="00C038AA" w:rsidRDefault="00EE0C32" w:rsidP="008B4B77">
            <w:pPr>
              <w:rPr>
                <w:rFonts w:ascii="Arial" w:eastAsia="Times New Roman" w:hAnsi="Arial" w:cs="Arial"/>
                <w:b/>
                <w:bCs/>
                <w:color w:val="000000"/>
                <w:sz w:val="18"/>
                <w:szCs w:val="18"/>
                <w:lang w:val="es-ES"/>
              </w:rPr>
            </w:pPr>
            <w:r w:rsidRPr="00C038AA">
              <w:rPr>
                <w:rFonts w:ascii="Arial" w:eastAsia="Times New Roman" w:hAnsi="Arial" w:cs="Arial"/>
                <w:b/>
                <w:bCs/>
                <w:color w:val="000000"/>
                <w:sz w:val="18"/>
                <w:szCs w:val="18"/>
                <w:lang w:val="es-ES"/>
              </w:rPr>
              <w:t>IMPLEMENTACIÓN DE COMPORMISOS EN EL MARCO DE LA UNIÓN ADUANERA</w:t>
            </w:r>
          </w:p>
        </w:tc>
      </w:tr>
      <w:tr w:rsidR="008B4B77" w:rsidRPr="000F3F24" w14:paraId="26B8031A" w14:textId="77777777" w:rsidTr="006D6A17">
        <w:trPr>
          <w:trHeight w:val="511"/>
        </w:trPr>
        <w:tc>
          <w:tcPr>
            <w:tcW w:w="3216" w:type="dxa"/>
            <w:shd w:val="clear" w:color="auto" w:fill="auto"/>
            <w:vAlign w:val="center"/>
          </w:tcPr>
          <w:p w14:paraId="3C62C65B" w14:textId="77777777" w:rsidR="008B4B77" w:rsidRPr="00C038AA" w:rsidRDefault="001F7598" w:rsidP="00891A2F">
            <w:pPr>
              <w:pStyle w:val="CommentText"/>
              <w:contextualSpacing/>
              <w:jc w:val="both"/>
              <w:rPr>
                <w:rFonts w:ascii="Arial" w:eastAsiaTheme="minorHAnsi" w:hAnsi="Arial" w:cs="Arial"/>
                <w:sz w:val="18"/>
                <w:szCs w:val="18"/>
                <w:lang w:val="es-ES"/>
              </w:rPr>
            </w:pPr>
            <w:r w:rsidRPr="001F7598">
              <w:rPr>
                <w:rFonts w:ascii="Arial" w:eastAsia="MS Mincho" w:hAnsi="Arial" w:cs="Arial"/>
                <w:sz w:val="18"/>
                <w:szCs w:val="18"/>
                <w:lang w:val="es-ES_tradnl"/>
              </w:rPr>
              <w:t>Inicio de uso de la FYDUCA en la comercialización de mercancías en libre circulación en la Unión Aduanera Honduras – Guatemala, a través de un mecanismo electrónico/informático de emisión.</w:t>
            </w:r>
          </w:p>
        </w:tc>
        <w:tc>
          <w:tcPr>
            <w:tcW w:w="1506" w:type="dxa"/>
            <w:shd w:val="clear" w:color="auto" w:fill="auto"/>
            <w:vAlign w:val="center"/>
          </w:tcPr>
          <w:p w14:paraId="346070F8" w14:textId="77777777" w:rsidR="008B4B77" w:rsidRPr="00C038AA" w:rsidRDefault="00891A2F" w:rsidP="00891A2F">
            <w:pPr>
              <w:pStyle w:val="CommentText"/>
              <w:contextualSpacing/>
              <w:jc w:val="both"/>
              <w:rPr>
                <w:rFonts w:ascii="Arial" w:eastAsiaTheme="minorHAnsi" w:hAnsi="Arial" w:cs="Arial"/>
                <w:sz w:val="18"/>
                <w:szCs w:val="18"/>
                <w:lang w:val="es-ES"/>
              </w:rPr>
            </w:pPr>
            <w:r w:rsidRPr="00C038AA">
              <w:rPr>
                <w:rFonts w:ascii="Arial" w:eastAsiaTheme="minorHAnsi" w:hAnsi="Arial" w:cs="Arial"/>
                <w:sz w:val="18"/>
                <w:szCs w:val="18"/>
                <w:lang w:val="es-ES"/>
              </w:rPr>
              <w:t>SEFIN (COPRISAO / DARA / SAR)</w:t>
            </w:r>
          </w:p>
        </w:tc>
        <w:tc>
          <w:tcPr>
            <w:tcW w:w="1051" w:type="dxa"/>
            <w:shd w:val="clear" w:color="auto" w:fill="auto"/>
            <w:vAlign w:val="center"/>
          </w:tcPr>
          <w:p w14:paraId="72DAA0C0" w14:textId="77777777" w:rsidR="008B4B77" w:rsidRPr="00C038AA" w:rsidRDefault="00891A2F" w:rsidP="00891A2F">
            <w:pPr>
              <w:pStyle w:val="CommentText"/>
              <w:contextualSpacing/>
              <w:jc w:val="center"/>
              <w:rPr>
                <w:rFonts w:ascii="Arial" w:eastAsiaTheme="minorHAnsi" w:hAnsi="Arial" w:cs="Arial"/>
                <w:sz w:val="18"/>
                <w:szCs w:val="18"/>
                <w:lang w:val="es-ES"/>
              </w:rPr>
            </w:pPr>
            <w:r w:rsidRPr="00C038AA">
              <w:rPr>
                <w:rFonts w:ascii="Arial" w:eastAsiaTheme="minorHAnsi" w:hAnsi="Arial" w:cs="Arial"/>
                <w:sz w:val="18"/>
                <w:szCs w:val="18"/>
                <w:lang w:val="es-ES"/>
              </w:rPr>
              <w:t>0</w:t>
            </w:r>
          </w:p>
        </w:tc>
        <w:tc>
          <w:tcPr>
            <w:tcW w:w="810" w:type="dxa"/>
            <w:shd w:val="clear" w:color="auto" w:fill="auto"/>
            <w:vAlign w:val="center"/>
          </w:tcPr>
          <w:p w14:paraId="4855CA9A" w14:textId="77777777" w:rsidR="008B4B77" w:rsidRPr="00C038AA" w:rsidRDefault="00EF5BC4" w:rsidP="00891A2F">
            <w:pPr>
              <w:pStyle w:val="CommentText"/>
              <w:contextualSpacing/>
              <w:jc w:val="center"/>
              <w:rPr>
                <w:rFonts w:ascii="Arial" w:eastAsiaTheme="minorHAnsi" w:hAnsi="Arial" w:cs="Arial"/>
                <w:sz w:val="18"/>
                <w:szCs w:val="18"/>
                <w:lang w:val="es-ES"/>
              </w:rPr>
            </w:pPr>
            <w:r>
              <w:rPr>
                <w:rFonts w:ascii="Arial" w:eastAsiaTheme="minorHAnsi" w:hAnsi="Arial" w:cs="Arial"/>
                <w:sz w:val="18"/>
                <w:szCs w:val="18"/>
                <w:lang w:val="es-ES"/>
              </w:rPr>
              <w:t>1</w:t>
            </w:r>
          </w:p>
        </w:tc>
        <w:tc>
          <w:tcPr>
            <w:tcW w:w="4307" w:type="dxa"/>
            <w:shd w:val="clear" w:color="auto" w:fill="auto"/>
            <w:vAlign w:val="center"/>
          </w:tcPr>
          <w:p w14:paraId="1E4A62AB" w14:textId="77777777" w:rsidR="008B4B77" w:rsidRPr="00C038AA" w:rsidRDefault="00D8772D" w:rsidP="00891A2F">
            <w:pPr>
              <w:pStyle w:val="CommentText"/>
              <w:contextualSpacing/>
              <w:jc w:val="both"/>
              <w:rPr>
                <w:rFonts w:ascii="Arial" w:eastAsiaTheme="minorHAnsi" w:hAnsi="Arial" w:cs="Arial"/>
                <w:sz w:val="18"/>
                <w:szCs w:val="18"/>
                <w:lang w:val="es-ES"/>
              </w:rPr>
            </w:pPr>
            <w:r w:rsidRPr="00D8772D">
              <w:rPr>
                <w:rFonts w:ascii="Arial" w:eastAsia="MS Mincho" w:hAnsi="Arial" w:cs="Arial"/>
                <w:sz w:val="18"/>
                <w:szCs w:val="18"/>
                <w:lang w:val="es-ES_tradnl"/>
              </w:rPr>
              <w:t>Resoluciones No. 27-2017 –que aprueba la implementación de la Primera Etapa de la Unión Aduanera- y No. 32-2017 -que modifica párrafos 2 y 3 de la Resolución No. 27-2017 GUA-HON-.</w:t>
            </w:r>
          </w:p>
        </w:tc>
      </w:tr>
    </w:tbl>
    <w:p w14:paraId="7C5BD322" w14:textId="77777777" w:rsidR="001B49A9" w:rsidRPr="00A02F7C" w:rsidRDefault="001B49A9" w:rsidP="00F32849">
      <w:pPr>
        <w:pStyle w:val="ColorfulList-Accent11"/>
        <w:spacing w:after="0"/>
        <w:ind w:left="0"/>
        <w:jc w:val="both"/>
        <w:rPr>
          <w:rFonts w:ascii="Arial" w:hAnsi="Arial" w:cs="Arial"/>
          <w:b/>
          <w:lang w:val="es-ES"/>
        </w:rPr>
      </w:pPr>
    </w:p>
    <w:p w14:paraId="69BFC59F" w14:textId="77777777" w:rsidR="00D163A4" w:rsidRPr="00A02F7C" w:rsidRDefault="00D163A4" w:rsidP="00F32849">
      <w:pPr>
        <w:pStyle w:val="ColorfulList-Accent11"/>
        <w:spacing w:after="0"/>
        <w:ind w:left="0"/>
        <w:jc w:val="both"/>
        <w:rPr>
          <w:rFonts w:ascii="Arial" w:hAnsi="Arial" w:cs="Arial"/>
          <w:b/>
          <w:lang w:val="es-ES"/>
        </w:rPr>
      </w:pPr>
    </w:p>
    <w:p w14:paraId="7D0D51C7" w14:textId="77777777" w:rsidR="007A2F3E" w:rsidRPr="00A02F7C" w:rsidRDefault="00A42EB4" w:rsidP="00F7295F">
      <w:pPr>
        <w:pStyle w:val="ColorfulList-Accent11"/>
        <w:numPr>
          <w:ilvl w:val="1"/>
          <w:numId w:val="2"/>
        </w:numPr>
        <w:spacing w:after="0"/>
        <w:ind w:left="360"/>
        <w:jc w:val="both"/>
        <w:outlineLvl w:val="1"/>
        <w:rPr>
          <w:rFonts w:ascii="Arial" w:hAnsi="Arial" w:cs="Arial"/>
          <w:b/>
          <w:bCs/>
          <w:lang w:val="es-ES"/>
        </w:rPr>
      </w:pPr>
      <w:bookmarkStart w:id="5" w:name="_Toc468954028"/>
      <w:r w:rsidRPr="00A02F7C">
        <w:rPr>
          <w:rFonts w:ascii="Arial" w:hAnsi="Arial" w:cs="Arial"/>
          <w:b/>
          <w:bCs/>
          <w:lang w:val="es-ES"/>
        </w:rPr>
        <w:t>Cronograma de Actividades y Presupuesto A</w:t>
      </w:r>
      <w:r w:rsidR="007A2F3E" w:rsidRPr="00A02F7C">
        <w:rPr>
          <w:rFonts w:ascii="Arial" w:hAnsi="Arial" w:cs="Arial"/>
          <w:b/>
          <w:bCs/>
          <w:lang w:val="es-ES"/>
        </w:rPr>
        <w:t>sociado</w:t>
      </w:r>
      <w:r w:rsidRPr="00A02F7C">
        <w:rPr>
          <w:rFonts w:ascii="Arial" w:hAnsi="Arial" w:cs="Arial"/>
          <w:b/>
          <w:bCs/>
          <w:lang w:val="es-ES"/>
        </w:rPr>
        <w:t>.</w:t>
      </w:r>
      <w:bookmarkEnd w:id="5"/>
    </w:p>
    <w:p w14:paraId="03074A84" w14:textId="77777777" w:rsidR="00A42EB4" w:rsidRPr="00A02F7C" w:rsidRDefault="00A42EB4" w:rsidP="00F32849">
      <w:pPr>
        <w:pStyle w:val="Title"/>
        <w:tabs>
          <w:tab w:val="clear" w:pos="1440"/>
          <w:tab w:val="clear" w:pos="3060"/>
        </w:tabs>
        <w:spacing w:line="276" w:lineRule="auto"/>
        <w:jc w:val="both"/>
        <w:outlineLvl w:val="9"/>
        <w:rPr>
          <w:rFonts w:ascii="Arial" w:hAnsi="Arial" w:cs="Arial"/>
          <w:lang w:val="es-ES"/>
        </w:rPr>
      </w:pPr>
    </w:p>
    <w:p w14:paraId="49C249F2" w14:textId="77777777" w:rsidR="00F91562" w:rsidRPr="00A02F7C" w:rsidRDefault="00A42EB4"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Considerando que esta operación es un PBP</w:t>
      </w:r>
      <w:r w:rsidR="00D30BB2" w:rsidRPr="00A02F7C">
        <w:rPr>
          <w:rFonts w:ascii="Arial" w:hAnsi="Arial" w:cs="Arial"/>
          <w:lang w:val="es-ES"/>
        </w:rPr>
        <w:t xml:space="preserve"> y</w:t>
      </w:r>
      <w:r w:rsidRPr="00A02F7C">
        <w:rPr>
          <w:rFonts w:ascii="Arial" w:hAnsi="Arial" w:cs="Arial"/>
          <w:lang w:val="es-ES"/>
        </w:rPr>
        <w:t xml:space="preserve"> todos los productos serán alcanzados al momento de realizarse el desembolso</w:t>
      </w:r>
      <w:r w:rsidR="00BE13E5" w:rsidRPr="00A02F7C">
        <w:rPr>
          <w:rFonts w:ascii="Arial" w:hAnsi="Arial" w:cs="Arial"/>
          <w:lang w:val="es-ES"/>
        </w:rPr>
        <w:t xml:space="preserve"> en 201</w:t>
      </w:r>
      <w:r w:rsidR="00D163A4" w:rsidRPr="00A02F7C">
        <w:rPr>
          <w:rFonts w:ascii="Arial" w:hAnsi="Arial" w:cs="Arial"/>
          <w:lang w:val="es-ES"/>
        </w:rPr>
        <w:t>8</w:t>
      </w:r>
      <w:r w:rsidRPr="00A02F7C">
        <w:rPr>
          <w:rFonts w:ascii="Arial" w:hAnsi="Arial" w:cs="Arial"/>
          <w:lang w:val="es-ES"/>
        </w:rPr>
        <w:t>,</w:t>
      </w:r>
      <w:r w:rsidR="00D30BB2" w:rsidRPr="00A02F7C">
        <w:rPr>
          <w:rFonts w:ascii="Arial" w:hAnsi="Arial" w:cs="Arial"/>
          <w:lang w:val="es-ES"/>
        </w:rPr>
        <w:t xml:space="preserve"> las actividades de monitoreo corresponden a la verificación del cumplimiento de los </w:t>
      </w:r>
      <w:r w:rsidR="00BE13E5" w:rsidRPr="00A02F7C">
        <w:rPr>
          <w:rFonts w:ascii="Arial" w:hAnsi="Arial" w:cs="Arial"/>
          <w:lang w:val="es-ES"/>
        </w:rPr>
        <w:t>compromisos establecidos en la matriz de políticas y del alcance de los indicadores incluidos en la matriz de resultados</w:t>
      </w:r>
      <w:r w:rsidR="00D30BB2" w:rsidRPr="00A02F7C">
        <w:rPr>
          <w:rFonts w:ascii="Arial" w:hAnsi="Arial" w:cs="Arial"/>
          <w:lang w:val="es-ES"/>
        </w:rPr>
        <w:t xml:space="preserve">, que al formar parte de la preparación de la operación están financiados a través del </w:t>
      </w:r>
      <w:r w:rsidR="00D30BB2" w:rsidRPr="00A02F7C">
        <w:rPr>
          <w:rFonts w:ascii="Arial" w:hAnsi="Arial" w:cs="Arial"/>
          <w:lang w:val="es-ES"/>
        </w:rPr>
        <w:lastRenderedPageBreak/>
        <w:t>presupuesto administrativo de preparación</w:t>
      </w:r>
      <w:r w:rsidR="00BE13E5" w:rsidRPr="00A02F7C">
        <w:rPr>
          <w:rFonts w:ascii="Arial" w:hAnsi="Arial" w:cs="Arial"/>
          <w:lang w:val="es-ES"/>
        </w:rPr>
        <w:t xml:space="preserve"> (Ver Tabla 2)</w:t>
      </w:r>
      <w:r w:rsidR="00D30BB2" w:rsidRPr="00A02F7C">
        <w:rPr>
          <w:rFonts w:ascii="Arial" w:hAnsi="Arial" w:cs="Arial"/>
          <w:lang w:val="es-ES"/>
        </w:rPr>
        <w:t xml:space="preserve">. </w:t>
      </w:r>
      <w:r w:rsidR="00BE13E5" w:rsidRPr="00A02F7C">
        <w:rPr>
          <w:rFonts w:ascii="Arial" w:hAnsi="Arial" w:cs="Arial"/>
          <w:lang w:val="es-ES"/>
        </w:rPr>
        <w:t>N</w:t>
      </w:r>
      <w:r w:rsidRPr="00A02F7C">
        <w:rPr>
          <w:rFonts w:ascii="Arial" w:hAnsi="Arial" w:cs="Arial"/>
          <w:lang w:val="es-ES"/>
        </w:rPr>
        <w:t>o se requieren actividades adicionales de monitoreo</w:t>
      </w:r>
      <w:r w:rsidR="00F91562" w:rsidRPr="00A02F7C">
        <w:rPr>
          <w:rFonts w:ascii="Arial" w:hAnsi="Arial" w:cs="Arial"/>
          <w:lang w:val="es-ES"/>
        </w:rPr>
        <w:t>.</w:t>
      </w:r>
    </w:p>
    <w:p w14:paraId="3D9BB843" w14:textId="77777777" w:rsidR="00D30BB2" w:rsidRPr="00A02F7C" w:rsidRDefault="00D30BB2" w:rsidP="00D30BB2">
      <w:pPr>
        <w:pStyle w:val="Title"/>
        <w:tabs>
          <w:tab w:val="clear" w:pos="1440"/>
          <w:tab w:val="clear" w:pos="3060"/>
        </w:tabs>
        <w:spacing w:line="276" w:lineRule="auto"/>
        <w:jc w:val="both"/>
        <w:outlineLvl w:val="9"/>
        <w:rPr>
          <w:rFonts w:ascii="Arial" w:hAnsi="Arial" w:cs="Arial"/>
          <w:lang w:val="es-ES"/>
        </w:rPr>
      </w:pPr>
    </w:p>
    <w:p w14:paraId="19F8A9AD" w14:textId="77777777" w:rsidR="005F711A" w:rsidRPr="00A02F7C" w:rsidRDefault="005F711A" w:rsidP="00F64E64">
      <w:pPr>
        <w:pStyle w:val="Caption"/>
        <w:keepNext/>
        <w:spacing w:after="0" w:line="276" w:lineRule="auto"/>
        <w:jc w:val="center"/>
        <w:rPr>
          <w:rFonts w:ascii="Arial" w:hAnsi="Arial" w:cs="Arial"/>
          <w:b/>
          <w:bCs/>
          <w:i w:val="0"/>
          <w:iCs w:val="0"/>
          <w:color w:val="000000" w:themeColor="text1"/>
          <w:lang w:val="es-ES"/>
        </w:rPr>
      </w:pPr>
      <w:r w:rsidRPr="00A02F7C">
        <w:rPr>
          <w:rFonts w:ascii="Arial" w:hAnsi="Arial" w:cs="Arial"/>
          <w:b/>
          <w:bCs/>
          <w:i w:val="0"/>
          <w:iCs w:val="0"/>
          <w:color w:val="000000" w:themeColor="text1"/>
          <w:lang w:val="es-ES"/>
        </w:rPr>
        <w:t xml:space="preserve">Tabla </w:t>
      </w:r>
      <w:r w:rsidRPr="00A02F7C">
        <w:rPr>
          <w:rFonts w:ascii="Arial" w:hAnsi="Arial" w:cs="Arial"/>
        </w:rPr>
        <w:fldChar w:fldCharType="begin"/>
      </w:r>
      <w:r w:rsidRPr="00A02F7C">
        <w:rPr>
          <w:rFonts w:ascii="Arial" w:hAnsi="Arial" w:cs="Arial"/>
          <w:b/>
          <w:i w:val="0"/>
          <w:color w:val="000000" w:themeColor="text1"/>
          <w:lang w:val="es-ES"/>
        </w:rPr>
        <w:instrText xml:space="preserve"> SEQ Tabla \* ARABIC </w:instrText>
      </w:r>
      <w:r w:rsidRPr="00A02F7C">
        <w:rPr>
          <w:rFonts w:ascii="Arial" w:hAnsi="Arial" w:cs="Arial"/>
          <w:b/>
          <w:i w:val="0"/>
          <w:color w:val="000000" w:themeColor="text1"/>
          <w:lang w:val="es-ES"/>
        </w:rPr>
        <w:fldChar w:fldCharType="separate"/>
      </w:r>
      <w:r w:rsidR="000A6E76" w:rsidRPr="00A02F7C">
        <w:rPr>
          <w:rFonts w:ascii="Arial" w:hAnsi="Arial" w:cs="Arial"/>
          <w:b/>
          <w:bCs/>
          <w:i w:val="0"/>
          <w:iCs w:val="0"/>
          <w:noProof/>
          <w:color w:val="000000" w:themeColor="text1"/>
          <w:lang w:val="es-ES"/>
        </w:rPr>
        <w:t>2</w:t>
      </w:r>
      <w:r w:rsidRPr="00A02F7C">
        <w:rPr>
          <w:rFonts w:ascii="Arial" w:hAnsi="Arial" w:cs="Arial"/>
        </w:rPr>
        <w:fldChar w:fldCharType="end"/>
      </w:r>
      <w:r w:rsidRPr="00A02F7C">
        <w:rPr>
          <w:rFonts w:ascii="Arial" w:hAnsi="Arial" w:cs="Arial"/>
          <w:b/>
          <w:bCs/>
          <w:i w:val="0"/>
          <w:iCs w:val="0"/>
          <w:color w:val="000000" w:themeColor="text1"/>
          <w:lang w:val="es-ES"/>
        </w:rPr>
        <w:t>. Cronograma de Actividades de Monitoreo y Presupuesto</w:t>
      </w:r>
    </w:p>
    <w:tbl>
      <w:tblPr>
        <w:tblW w:w="4275" w:type="pct"/>
        <w:jc w:val="center"/>
        <w:tblLayout w:type="fixed"/>
        <w:tblLook w:val="04A0" w:firstRow="1" w:lastRow="0" w:firstColumn="1" w:lastColumn="0" w:noHBand="0" w:noVBand="1"/>
      </w:tblPr>
      <w:tblGrid>
        <w:gridCol w:w="4053"/>
        <w:gridCol w:w="703"/>
        <w:gridCol w:w="703"/>
        <w:gridCol w:w="2371"/>
      </w:tblGrid>
      <w:tr w:rsidR="00434C66" w:rsidRPr="00A02F7C" w14:paraId="29FA397C" w14:textId="77777777" w:rsidTr="00F64E64">
        <w:trPr>
          <w:trHeight w:val="250"/>
          <w:jc w:val="center"/>
        </w:trPr>
        <w:tc>
          <w:tcPr>
            <w:tcW w:w="2588" w:type="pct"/>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noWrap/>
            <w:vAlign w:val="center"/>
            <w:hideMark/>
          </w:tcPr>
          <w:p w14:paraId="73920253" w14:textId="77777777" w:rsidR="00D30BB2" w:rsidRPr="00A02F7C" w:rsidRDefault="00D30BB2" w:rsidP="00F91562">
            <w:pPr>
              <w:spacing w:line="0" w:lineRule="atLeast"/>
              <w:jc w:val="center"/>
              <w:rPr>
                <w:rFonts w:ascii="Arial" w:hAnsi="Arial" w:cs="Arial"/>
                <w:b/>
                <w:bCs/>
                <w:color w:val="000000"/>
                <w:sz w:val="20"/>
                <w:szCs w:val="20"/>
                <w:lang w:val="es-ES"/>
              </w:rPr>
            </w:pPr>
            <w:r w:rsidRPr="00A02F7C">
              <w:rPr>
                <w:rFonts w:ascii="Arial" w:hAnsi="Arial" w:cs="Arial"/>
                <w:b/>
                <w:bCs/>
                <w:color w:val="000000"/>
                <w:sz w:val="20"/>
                <w:szCs w:val="20"/>
                <w:lang w:val="es-ES"/>
              </w:rPr>
              <w:t>Actividad</w:t>
            </w:r>
            <w:r w:rsidR="005F711A" w:rsidRPr="00A02F7C">
              <w:rPr>
                <w:rFonts w:ascii="Arial" w:hAnsi="Arial" w:cs="Arial"/>
                <w:b/>
                <w:bCs/>
                <w:color w:val="000000"/>
                <w:sz w:val="20"/>
                <w:szCs w:val="20"/>
                <w:lang w:val="es-ES"/>
              </w:rPr>
              <w:t xml:space="preserve"> de Monitoreo </w:t>
            </w:r>
          </w:p>
        </w:tc>
        <w:tc>
          <w:tcPr>
            <w:tcW w:w="449" w:type="pct"/>
            <w:tcBorders>
              <w:top w:val="single" w:sz="8" w:space="0" w:color="auto"/>
              <w:left w:val="nil"/>
              <w:right w:val="single" w:sz="8" w:space="0" w:color="000000" w:themeColor="text1"/>
            </w:tcBorders>
            <w:shd w:val="clear" w:color="auto" w:fill="D9D9D9" w:themeFill="background1" w:themeFillShade="D9"/>
            <w:noWrap/>
            <w:vAlign w:val="center"/>
            <w:hideMark/>
          </w:tcPr>
          <w:p w14:paraId="437017FF" w14:textId="77777777" w:rsidR="00D30BB2" w:rsidRPr="00A02F7C" w:rsidRDefault="00D30BB2" w:rsidP="00F91562">
            <w:pPr>
              <w:spacing w:line="0" w:lineRule="atLeast"/>
              <w:jc w:val="center"/>
              <w:rPr>
                <w:rFonts w:ascii="Arial" w:hAnsi="Arial" w:cs="Arial"/>
                <w:b/>
                <w:bCs/>
                <w:color w:val="000000"/>
                <w:sz w:val="20"/>
                <w:szCs w:val="20"/>
                <w:lang w:val="es-ES"/>
              </w:rPr>
            </w:pPr>
            <w:r w:rsidRPr="00A02F7C">
              <w:rPr>
                <w:rFonts w:ascii="Arial" w:hAnsi="Arial" w:cs="Arial"/>
                <w:b/>
                <w:bCs/>
                <w:color w:val="000000"/>
                <w:sz w:val="20"/>
                <w:szCs w:val="20"/>
                <w:lang w:val="es-ES"/>
              </w:rPr>
              <w:t>201</w:t>
            </w:r>
            <w:r w:rsidR="00D163A4" w:rsidRPr="00A02F7C">
              <w:rPr>
                <w:rFonts w:ascii="Arial" w:hAnsi="Arial" w:cs="Arial"/>
                <w:b/>
                <w:bCs/>
                <w:color w:val="000000"/>
                <w:sz w:val="20"/>
                <w:szCs w:val="20"/>
                <w:lang w:val="es-ES"/>
              </w:rPr>
              <w:t>8</w:t>
            </w:r>
          </w:p>
        </w:tc>
        <w:tc>
          <w:tcPr>
            <w:tcW w:w="449" w:type="pct"/>
            <w:tcBorders>
              <w:top w:val="single" w:sz="8" w:space="0" w:color="auto"/>
              <w:left w:val="nil"/>
              <w:right w:val="single" w:sz="8" w:space="0" w:color="000000" w:themeColor="text1"/>
            </w:tcBorders>
            <w:shd w:val="clear" w:color="auto" w:fill="D9D9D9" w:themeFill="background1" w:themeFillShade="D9"/>
            <w:noWrap/>
            <w:vAlign w:val="center"/>
            <w:hideMark/>
          </w:tcPr>
          <w:p w14:paraId="3E557691" w14:textId="77777777" w:rsidR="00D30BB2" w:rsidRPr="00A02F7C" w:rsidRDefault="00D30BB2" w:rsidP="00F91562">
            <w:pPr>
              <w:spacing w:line="0" w:lineRule="atLeast"/>
              <w:jc w:val="center"/>
              <w:rPr>
                <w:rFonts w:ascii="Arial" w:hAnsi="Arial" w:cs="Arial"/>
                <w:b/>
                <w:bCs/>
                <w:color w:val="000000"/>
                <w:sz w:val="20"/>
                <w:szCs w:val="20"/>
                <w:lang w:val="es-ES"/>
              </w:rPr>
            </w:pPr>
            <w:r w:rsidRPr="00A02F7C">
              <w:rPr>
                <w:rFonts w:ascii="Arial" w:hAnsi="Arial" w:cs="Arial"/>
                <w:b/>
                <w:bCs/>
                <w:color w:val="000000"/>
                <w:sz w:val="20"/>
                <w:szCs w:val="20"/>
                <w:lang w:val="es-ES"/>
              </w:rPr>
              <w:t>201</w:t>
            </w:r>
            <w:r w:rsidR="00D163A4" w:rsidRPr="00A02F7C">
              <w:rPr>
                <w:rFonts w:ascii="Arial" w:hAnsi="Arial" w:cs="Arial"/>
                <w:b/>
                <w:bCs/>
                <w:color w:val="000000"/>
                <w:sz w:val="20"/>
                <w:szCs w:val="20"/>
                <w:lang w:val="es-ES"/>
              </w:rPr>
              <w:t>9</w:t>
            </w:r>
          </w:p>
        </w:tc>
        <w:tc>
          <w:tcPr>
            <w:tcW w:w="151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B265D9" w14:textId="77777777" w:rsidR="00D30BB2" w:rsidRPr="00A02F7C" w:rsidRDefault="00D30BB2">
            <w:pPr>
              <w:spacing w:line="0" w:lineRule="atLeast"/>
              <w:jc w:val="center"/>
              <w:rPr>
                <w:rFonts w:ascii="Arial" w:hAnsi="Arial" w:cs="Arial"/>
                <w:b/>
                <w:bCs/>
                <w:color w:val="000000"/>
                <w:sz w:val="20"/>
                <w:szCs w:val="20"/>
                <w:lang w:val="es-ES"/>
              </w:rPr>
            </w:pPr>
            <w:r w:rsidRPr="00A02F7C">
              <w:rPr>
                <w:rFonts w:ascii="Arial" w:hAnsi="Arial" w:cs="Arial"/>
                <w:b/>
                <w:bCs/>
                <w:color w:val="000000"/>
                <w:sz w:val="20"/>
                <w:szCs w:val="20"/>
                <w:lang w:val="es-ES"/>
              </w:rPr>
              <w:t>Costo</w:t>
            </w:r>
            <w:r w:rsidR="0030047A" w:rsidRPr="00A02F7C">
              <w:rPr>
                <w:rFonts w:ascii="Arial" w:hAnsi="Arial" w:cs="Arial"/>
                <w:b/>
                <w:bCs/>
                <w:color w:val="000000"/>
                <w:sz w:val="20"/>
                <w:szCs w:val="20"/>
                <w:lang w:val="es-ES"/>
              </w:rPr>
              <w:t xml:space="preserve"> </w:t>
            </w:r>
          </w:p>
        </w:tc>
      </w:tr>
      <w:tr w:rsidR="00A9542F" w:rsidRPr="00A02F7C" w14:paraId="05CD7468" w14:textId="77777777" w:rsidTr="00F64E64">
        <w:trPr>
          <w:trHeight w:val="745"/>
          <w:jc w:val="center"/>
        </w:trPr>
        <w:tc>
          <w:tcPr>
            <w:tcW w:w="2588" w:type="pct"/>
            <w:tcBorders>
              <w:top w:val="nil"/>
              <w:left w:val="single" w:sz="8" w:space="0" w:color="auto"/>
              <w:bottom w:val="single" w:sz="8" w:space="0" w:color="auto"/>
              <w:right w:val="single" w:sz="8" w:space="0" w:color="auto"/>
            </w:tcBorders>
            <w:shd w:val="clear" w:color="auto" w:fill="auto"/>
            <w:noWrap/>
            <w:vAlign w:val="center"/>
          </w:tcPr>
          <w:p w14:paraId="7F7C0310" w14:textId="77777777" w:rsidR="00A9542F" w:rsidRPr="00A02F7C" w:rsidRDefault="00A9542F" w:rsidP="008946DE">
            <w:pPr>
              <w:spacing w:line="0" w:lineRule="atLeast"/>
              <w:jc w:val="both"/>
              <w:rPr>
                <w:rFonts w:ascii="Arial" w:hAnsi="Arial" w:cs="Arial"/>
                <w:color w:val="000000"/>
                <w:sz w:val="20"/>
                <w:szCs w:val="20"/>
                <w:lang w:val="es-ES"/>
              </w:rPr>
            </w:pPr>
            <w:r w:rsidRPr="00A02F7C">
              <w:rPr>
                <w:rFonts w:ascii="Arial" w:hAnsi="Arial" w:cs="Arial"/>
                <w:color w:val="000000"/>
                <w:sz w:val="20"/>
                <w:szCs w:val="20"/>
                <w:lang w:val="es-ES"/>
              </w:rPr>
              <w:t>Apoyo a la verificación del Cumplimiento de Condiciones de Políticas, mediante consultorías externas.</w:t>
            </w:r>
          </w:p>
        </w:tc>
        <w:tc>
          <w:tcPr>
            <w:tcW w:w="898" w:type="pct"/>
            <w:gridSpan w:val="2"/>
            <w:tcBorders>
              <w:top w:val="single" w:sz="8" w:space="0" w:color="auto"/>
              <w:left w:val="nil"/>
              <w:bottom w:val="single" w:sz="8" w:space="0" w:color="auto"/>
              <w:right w:val="single" w:sz="8" w:space="0" w:color="auto"/>
            </w:tcBorders>
            <w:shd w:val="clear" w:color="auto" w:fill="auto"/>
            <w:noWrap/>
            <w:vAlign w:val="center"/>
          </w:tcPr>
          <w:p w14:paraId="538E85C8" w14:textId="77777777" w:rsidR="00A9542F" w:rsidRPr="00A02F7C" w:rsidRDefault="00A9542F">
            <w:pPr>
              <w:jc w:val="center"/>
              <w:rPr>
                <w:rFonts w:ascii="Arial" w:hAnsi="Arial" w:cs="Arial"/>
                <w:sz w:val="20"/>
                <w:szCs w:val="20"/>
                <w:lang w:val="es-ES"/>
              </w:rPr>
            </w:pPr>
            <w:r w:rsidRPr="00A02F7C">
              <w:rPr>
                <w:rFonts w:ascii="Arial" w:hAnsi="Arial" w:cs="Arial"/>
                <w:sz w:val="20"/>
                <w:szCs w:val="20"/>
                <w:lang w:val="es-ES"/>
              </w:rPr>
              <w:t>2</w:t>
            </w:r>
          </w:p>
        </w:tc>
        <w:tc>
          <w:tcPr>
            <w:tcW w:w="1514" w:type="pct"/>
            <w:tcBorders>
              <w:top w:val="nil"/>
              <w:left w:val="single" w:sz="8" w:space="0" w:color="auto"/>
              <w:bottom w:val="single" w:sz="8" w:space="0" w:color="auto"/>
              <w:right w:val="single" w:sz="8" w:space="0" w:color="auto"/>
            </w:tcBorders>
            <w:shd w:val="clear" w:color="auto" w:fill="auto"/>
            <w:noWrap/>
            <w:vAlign w:val="center"/>
          </w:tcPr>
          <w:p w14:paraId="1DAF24FF" w14:textId="77777777" w:rsidR="00A9542F" w:rsidRPr="00A02F7C" w:rsidRDefault="00A9542F" w:rsidP="00F91562">
            <w:pPr>
              <w:spacing w:line="0" w:lineRule="atLeast"/>
              <w:jc w:val="center"/>
              <w:rPr>
                <w:rFonts w:ascii="Arial" w:hAnsi="Arial" w:cs="Arial"/>
                <w:color w:val="000000"/>
                <w:sz w:val="20"/>
                <w:szCs w:val="20"/>
                <w:lang w:val="es-ES"/>
              </w:rPr>
            </w:pPr>
            <w:r w:rsidRPr="00A02F7C">
              <w:rPr>
                <w:rFonts w:ascii="Arial" w:hAnsi="Arial" w:cs="Arial"/>
                <w:color w:val="000000"/>
                <w:sz w:val="20"/>
                <w:szCs w:val="20"/>
                <w:lang w:val="es-ES"/>
              </w:rPr>
              <w:t>US$ 80.000</w:t>
            </w:r>
          </w:p>
          <w:p w14:paraId="632B0E38" w14:textId="77777777" w:rsidR="00A9542F" w:rsidRPr="00A02F7C" w:rsidRDefault="00A9542F">
            <w:pPr>
              <w:spacing w:line="0" w:lineRule="atLeast"/>
              <w:jc w:val="center"/>
              <w:rPr>
                <w:rFonts w:ascii="Arial" w:hAnsi="Arial" w:cs="Arial"/>
                <w:color w:val="000000"/>
                <w:sz w:val="20"/>
                <w:szCs w:val="20"/>
                <w:lang w:val="es-ES"/>
              </w:rPr>
            </w:pPr>
          </w:p>
        </w:tc>
      </w:tr>
      <w:tr w:rsidR="00A9542F" w:rsidRPr="00A02F7C" w14:paraId="5B1BE6E7" w14:textId="77777777" w:rsidTr="00F64E64">
        <w:trPr>
          <w:trHeight w:val="745"/>
          <w:jc w:val="center"/>
        </w:trPr>
        <w:tc>
          <w:tcPr>
            <w:tcW w:w="2588" w:type="pct"/>
            <w:tcBorders>
              <w:top w:val="nil"/>
              <w:left w:val="single" w:sz="8" w:space="0" w:color="auto"/>
              <w:bottom w:val="single" w:sz="8" w:space="0" w:color="auto"/>
              <w:right w:val="single" w:sz="8" w:space="0" w:color="auto"/>
            </w:tcBorders>
            <w:shd w:val="clear" w:color="auto" w:fill="auto"/>
            <w:noWrap/>
            <w:vAlign w:val="center"/>
            <w:hideMark/>
          </w:tcPr>
          <w:p w14:paraId="35F76923" w14:textId="77777777" w:rsidR="00A9542F" w:rsidRPr="00A02F7C" w:rsidRDefault="00A9542F" w:rsidP="008946DE">
            <w:pPr>
              <w:spacing w:line="0" w:lineRule="atLeast"/>
              <w:jc w:val="both"/>
              <w:rPr>
                <w:rFonts w:ascii="Arial" w:hAnsi="Arial" w:cs="Arial"/>
                <w:color w:val="000000"/>
                <w:sz w:val="20"/>
                <w:szCs w:val="20"/>
                <w:lang w:val="es-ES"/>
              </w:rPr>
            </w:pPr>
            <w:r w:rsidRPr="00A02F7C">
              <w:rPr>
                <w:rFonts w:ascii="Arial" w:hAnsi="Arial" w:cs="Arial"/>
                <w:color w:val="000000"/>
                <w:sz w:val="20"/>
                <w:szCs w:val="20"/>
                <w:lang w:val="es-ES"/>
              </w:rPr>
              <w:t>Videoconferencias de seguimiento al Cumplimiento de Condiciones de Políticas.</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6F8935C2" w14:textId="77777777" w:rsidR="00A9542F" w:rsidRPr="00A02F7C" w:rsidRDefault="00A9542F" w:rsidP="000D0CBE">
            <w:pPr>
              <w:jc w:val="center"/>
              <w:rPr>
                <w:rFonts w:ascii="Arial" w:hAnsi="Arial" w:cs="Arial"/>
                <w:sz w:val="20"/>
                <w:szCs w:val="20"/>
                <w:lang w:val="es-ES"/>
              </w:rPr>
            </w:pPr>
            <w:r w:rsidRPr="00A02F7C">
              <w:rPr>
                <w:rFonts w:ascii="Arial" w:hAnsi="Arial" w:cs="Arial"/>
                <w:sz w:val="20"/>
                <w:szCs w:val="20"/>
                <w:lang w:val="es-ES"/>
              </w:rPr>
              <w:t>6</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7DE04FB4" w14:textId="77777777" w:rsidR="00A9542F" w:rsidRPr="00A02F7C" w:rsidRDefault="00A9542F">
            <w:pPr>
              <w:jc w:val="center"/>
              <w:rPr>
                <w:rFonts w:ascii="Arial" w:hAnsi="Arial" w:cs="Arial"/>
                <w:sz w:val="20"/>
                <w:szCs w:val="20"/>
                <w:lang w:val="es-ES"/>
              </w:rPr>
            </w:pPr>
            <w:r w:rsidRPr="00A02F7C">
              <w:rPr>
                <w:rFonts w:ascii="Arial" w:hAnsi="Arial" w:cs="Arial"/>
                <w:sz w:val="20"/>
                <w:szCs w:val="20"/>
                <w:lang w:val="es-ES"/>
              </w:rPr>
              <w:t>3</w:t>
            </w:r>
          </w:p>
        </w:tc>
        <w:tc>
          <w:tcPr>
            <w:tcW w:w="1514" w:type="pct"/>
            <w:tcBorders>
              <w:top w:val="nil"/>
              <w:left w:val="single" w:sz="8" w:space="0" w:color="auto"/>
              <w:bottom w:val="single" w:sz="8" w:space="0" w:color="auto"/>
              <w:right w:val="single" w:sz="8" w:space="0" w:color="auto"/>
            </w:tcBorders>
            <w:shd w:val="clear" w:color="auto" w:fill="auto"/>
            <w:noWrap/>
            <w:vAlign w:val="center"/>
          </w:tcPr>
          <w:p w14:paraId="215EB2E4" w14:textId="77777777" w:rsidR="00A9542F" w:rsidRPr="00A02F7C" w:rsidRDefault="00A9542F" w:rsidP="00F91562">
            <w:pPr>
              <w:spacing w:line="0" w:lineRule="atLeast"/>
              <w:jc w:val="center"/>
              <w:rPr>
                <w:rFonts w:ascii="Arial" w:hAnsi="Arial" w:cs="Arial"/>
                <w:color w:val="000000"/>
                <w:sz w:val="20"/>
                <w:szCs w:val="20"/>
                <w:lang w:val="es-ES"/>
              </w:rPr>
            </w:pPr>
            <w:r w:rsidRPr="00A02F7C">
              <w:rPr>
                <w:rFonts w:ascii="Arial" w:hAnsi="Arial" w:cs="Arial"/>
                <w:color w:val="000000"/>
                <w:sz w:val="20"/>
                <w:szCs w:val="20"/>
                <w:lang w:val="es-ES"/>
              </w:rPr>
              <w:t xml:space="preserve">US$ </w:t>
            </w:r>
            <w:r w:rsidR="00F131CA" w:rsidRPr="00A02F7C">
              <w:rPr>
                <w:rFonts w:ascii="Arial" w:hAnsi="Arial" w:cs="Arial"/>
                <w:color w:val="000000"/>
                <w:sz w:val="20"/>
                <w:szCs w:val="20"/>
                <w:lang w:val="es-ES"/>
              </w:rPr>
              <w:t>1</w:t>
            </w:r>
            <w:r w:rsidRPr="00A02F7C">
              <w:rPr>
                <w:rFonts w:ascii="Arial" w:hAnsi="Arial" w:cs="Arial"/>
                <w:color w:val="000000"/>
                <w:sz w:val="20"/>
                <w:szCs w:val="20"/>
                <w:lang w:val="es-ES"/>
              </w:rPr>
              <w:t>.000</w:t>
            </w:r>
          </w:p>
          <w:p w14:paraId="49018A1A" w14:textId="77777777" w:rsidR="00A9542F" w:rsidRPr="00A02F7C" w:rsidRDefault="00A9542F" w:rsidP="00F91562">
            <w:pPr>
              <w:spacing w:line="0" w:lineRule="atLeast"/>
              <w:jc w:val="center"/>
              <w:rPr>
                <w:rFonts w:ascii="Arial" w:hAnsi="Arial" w:cs="Arial"/>
                <w:color w:val="000000"/>
                <w:sz w:val="20"/>
                <w:szCs w:val="20"/>
                <w:lang w:val="es-ES"/>
              </w:rPr>
            </w:pPr>
          </w:p>
        </w:tc>
      </w:tr>
      <w:tr w:rsidR="00A9542F" w:rsidRPr="00A02F7C" w14:paraId="0E30BBB9" w14:textId="77777777" w:rsidTr="00F64E64">
        <w:trPr>
          <w:trHeight w:val="394"/>
          <w:jc w:val="center"/>
        </w:trPr>
        <w:tc>
          <w:tcPr>
            <w:tcW w:w="2588" w:type="pct"/>
            <w:tcBorders>
              <w:top w:val="single" w:sz="8" w:space="0" w:color="auto"/>
              <w:left w:val="single" w:sz="8" w:space="0" w:color="auto"/>
              <w:bottom w:val="single" w:sz="8" w:space="0" w:color="auto"/>
              <w:right w:val="single" w:sz="8" w:space="0" w:color="auto"/>
            </w:tcBorders>
            <w:shd w:val="clear" w:color="auto" w:fill="auto"/>
            <w:noWrap/>
            <w:vAlign w:val="center"/>
          </w:tcPr>
          <w:p w14:paraId="5876157E" w14:textId="77777777" w:rsidR="00A9542F" w:rsidRPr="00A02F7C" w:rsidRDefault="00A9542F" w:rsidP="008946DE">
            <w:pPr>
              <w:spacing w:line="0" w:lineRule="atLeast"/>
              <w:jc w:val="both"/>
              <w:rPr>
                <w:rFonts w:ascii="Arial" w:hAnsi="Arial" w:cs="Arial"/>
                <w:color w:val="000000"/>
                <w:sz w:val="20"/>
                <w:szCs w:val="20"/>
                <w:lang w:val="es-ES"/>
              </w:rPr>
            </w:pPr>
            <w:r w:rsidRPr="00A02F7C">
              <w:rPr>
                <w:rFonts w:ascii="Arial" w:hAnsi="Arial" w:cs="Arial"/>
                <w:color w:val="000000"/>
                <w:sz w:val="20"/>
                <w:szCs w:val="20"/>
                <w:lang w:val="es-ES"/>
              </w:rPr>
              <w:t>Misiones de seguimiento al Cumplimiento de Condiciones de Políticas.</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452359FD" w14:textId="77777777" w:rsidR="00A9542F" w:rsidRPr="00A02F7C" w:rsidRDefault="00A9542F" w:rsidP="000D0CBE">
            <w:pPr>
              <w:jc w:val="center"/>
              <w:rPr>
                <w:rFonts w:ascii="Arial" w:hAnsi="Arial" w:cs="Arial"/>
                <w:sz w:val="20"/>
                <w:szCs w:val="20"/>
              </w:rPr>
            </w:pPr>
            <w:r w:rsidRPr="00A02F7C">
              <w:rPr>
                <w:rFonts w:ascii="Arial" w:hAnsi="Arial" w:cs="Arial"/>
                <w:sz w:val="20"/>
                <w:szCs w:val="20"/>
              </w:rPr>
              <w:t>4</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7840293B" w14:textId="77777777" w:rsidR="00A9542F" w:rsidRPr="00A02F7C" w:rsidRDefault="00A9542F" w:rsidP="000D0CBE">
            <w:pPr>
              <w:jc w:val="center"/>
              <w:rPr>
                <w:rFonts w:ascii="Arial" w:hAnsi="Arial" w:cs="Arial"/>
                <w:sz w:val="20"/>
                <w:szCs w:val="20"/>
              </w:rPr>
            </w:pPr>
            <w:r w:rsidRPr="00A02F7C">
              <w:rPr>
                <w:rFonts w:ascii="Arial" w:hAnsi="Arial" w:cs="Arial"/>
                <w:sz w:val="20"/>
                <w:szCs w:val="20"/>
              </w:rPr>
              <w:t>1</w:t>
            </w:r>
          </w:p>
        </w:tc>
        <w:tc>
          <w:tcPr>
            <w:tcW w:w="1514" w:type="pct"/>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507AB2F8" w14:textId="77777777" w:rsidR="00A9542F" w:rsidRPr="00A02F7C" w:rsidRDefault="00A9542F">
            <w:pPr>
              <w:spacing w:line="0" w:lineRule="atLeast"/>
              <w:jc w:val="center"/>
              <w:rPr>
                <w:rFonts w:ascii="Arial" w:hAnsi="Arial" w:cs="Arial"/>
                <w:color w:val="000000"/>
                <w:sz w:val="20"/>
                <w:szCs w:val="20"/>
                <w:lang w:val="es-ES"/>
              </w:rPr>
            </w:pPr>
            <w:r w:rsidRPr="00A02F7C">
              <w:rPr>
                <w:rFonts w:ascii="Arial" w:hAnsi="Arial" w:cs="Arial"/>
                <w:color w:val="000000"/>
                <w:sz w:val="20"/>
                <w:szCs w:val="20"/>
                <w:lang w:val="es-ES"/>
              </w:rPr>
              <w:t xml:space="preserve">US$ </w:t>
            </w:r>
            <w:r w:rsidR="00F131CA" w:rsidRPr="00A02F7C">
              <w:rPr>
                <w:rFonts w:ascii="Arial" w:hAnsi="Arial" w:cs="Arial"/>
                <w:color w:val="000000"/>
                <w:sz w:val="20"/>
                <w:szCs w:val="20"/>
                <w:lang w:val="es-ES"/>
              </w:rPr>
              <w:t>5</w:t>
            </w:r>
            <w:r w:rsidRPr="00A02F7C">
              <w:rPr>
                <w:rFonts w:ascii="Arial" w:hAnsi="Arial" w:cs="Arial"/>
                <w:color w:val="000000"/>
                <w:sz w:val="20"/>
                <w:szCs w:val="20"/>
                <w:lang w:val="es-ES"/>
              </w:rPr>
              <w:t>0.000</w:t>
            </w:r>
          </w:p>
        </w:tc>
      </w:tr>
      <w:tr w:rsidR="00F91562" w:rsidRPr="00A02F7C" w14:paraId="13D9FEA8" w14:textId="77777777" w:rsidTr="00F64E64">
        <w:trPr>
          <w:trHeight w:val="394"/>
          <w:jc w:val="center"/>
        </w:trPr>
        <w:tc>
          <w:tcPr>
            <w:tcW w:w="3486" w:type="pct"/>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7E9E63B2" w14:textId="77777777" w:rsidR="00F91562" w:rsidRPr="00A02F7C" w:rsidRDefault="00F91562" w:rsidP="00F64E64">
            <w:pPr>
              <w:spacing w:line="0" w:lineRule="atLeast"/>
              <w:jc w:val="right"/>
              <w:rPr>
                <w:rFonts w:ascii="Arial" w:hAnsi="Arial" w:cs="Arial"/>
                <w:b/>
                <w:bCs/>
                <w:color w:val="000000"/>
                <w:sz w:val="20"/>
                <w:szCs w:val="20"/>
                <w:lang w:val="es-ES"/>
              </w:rPr>
            </w:pPr>
            <w:r w:rsidRPr="00A02F7C">
              <w:rPr>
                <w:rFonts w:ascii="Arial" w:hAnsi="Arial" w:cs="Arial"/>
                <w:b/>
                <w:bCs/>
                <w:color w:val="000000"/>
                <w:sz w:val="20"/>
                <w:szCs w:val="20"/>
                <w:lang w:val="es-ES"/>
              </w:rPr>
              <w:t>Total</w:t>
            </w:r>
          </w:p>
        </w:tc>
        <w:tc>
          <w:tcPr>
            <w:tcW w:w="1514" w:type="pct"/>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D63AC69" w14:textId="77777777" w:rsidR="00F91562" w:rsidRPr="00A02F7C" w:rsidRDefault="00F91562">
            <w:pPr>
              <w:spacing w:line="0" w:lineRule="atLeast"/>
              <w:jc w:val="center"/>
              <w:rPr>
                <w:rFonts w:ascii="Arial" w:hAnsi="Arial" w:cs="Arial"/>
                <w:color w:val="000000"/>
                <w:sz w:val="20"/>
                <w:szCs w:val="20"/>
                <w:lang w:val="es-ES"/>
              </w:rPr>
            </w:pPr>
            <w:r w:rsidRPr="00A02F7C">
              <w:rPr>
                <w:rFonts w:ascii="Arial" w:hAnsi="Arial" w:cs="Arial"/>
                <w:color w:val="000000"/>
                <w:sz w:val="20"/>
                <w:szCs w:val="20"/>
                <w:lang w:val="es-ES"/>
              </w:rPr>
              <w:t>US$ 1</w:t>
            </w:r>
            <w:r w:rsidR="00F131CA" w:rsidRPr="00A02F7C">
              <w:rPr>
                <w:rFonts w:ascii="Arial" w:hAnsi="Arial" w:cs="Arial"/>
                <w:color w:val="000000"/>
                <w:sz w:val="20"/>
                <w:szCs w:val="20"/>
                <w:lang w:val="es-ES"/>
              </w:rPr>
              <w:t>31</w:t>
            </w:r>
            <w:r w:rsidRPr="00A02F7C">
              <w:rPr>
                <w:rFonts w:ascii="Arial" w:hAnsi="Arial" w:cs="Arial"/>
                <w:color w:val="000000"/>
                <w:sz w:val="20"/>
                <w:szCs w:val="20"/>
                <w:lang w:val="es-ES"/>
              </w:rPr>
              <w:t>.000</w:t>
            </w:r>
          </w:p>
        </w:tc>
      </w:tr>
    </w:tbl>
    <w:p w14:paraId="2D0B2396" w14:textId="77777777" w:rsidR="00D30BB2" w:rsidRPr="00A02F7C" w:rsidRDefault="00D30BB2" w:rsidP="00A42EB4">
      <w:pPr>
        <w:pStyle w:val="Title"/>
        <w:tabs>
          <w:tab w:val="clear" w:pos="1440"/>
          <w:tab w:val="clear" w:pos="3060"/>
        </w:tabs>
        <w:spacing w:line="276" w:lineRule="auto"/>
        <w:jc w:val="both"/>
        <w:outlineLvl w:val="9"/>
        <w:rPr>
          <w:rFonts w:ascii="Arial" w:hAnsi="Arial" w:cs="Arial"/>
          <w:szCs w:val="24"/>
          <w:lang w:val="es-ES"/>
        </w:rPr>
      </w:pPr>
    </w:p>
    <w:p w14:paraId="1F60FFF2" w14:textId="77777777" w:rsidR="00C03241" w:rsidRPr="00A02F7C" w:rsidRDefault="00C03241" w:rsidP="00A42EB4">
      <w:pPr>
        <w:pStyle w:val="Title"/>
        <w:tabs>
          <w:tab w:val="clear" w:pos="1440"/>
          <w:tab w:val="clear" w:pos="3060"/>
        </w:tabs>
        <w:spacing w:line="276" w:lineRule="auto"/>
        <w:jc w:val="both"/>
        <w:outlineLvl w:val="9"/>
        <w:rPr>
          <w:rFonts w:ascii="Arial" w:hAnsi="Arial" w:cs="Arial"/>
          <w:szCs w:val="24"/>
          <w:lang w:val="es-ES"/>
        </w:rPr>
      </w:pPr>
    </w:p>
    <w:p w14:paraId="6747A135" w14:textId="77777777" w:rsidR="00C41116" w:rsidRPr="00A02F7C" w:rsidRDefault="00A42EB4"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 xml:space="preserve">Para el monitoreo de las metas incluidas en la Matriz de política y en la Matriz de Medios de Verificación, </w:t>
      </w:r>
      <w:r w:rsidR="00D163A4" w:rsidRPr="00A02F7C">
        <w:rPr>
          <w:rFonts w:ascii="Arial" w:hAnsi="Arial" w:cs="Arial"/>
          <w:lang w:val="es-ES"/>
        </w:rPr>
        <w:t>SEFIN</w:t>
      </w:r>
      <w:r w:rsidRPr="00A02F7C">
        <w:rPr>
          <w:rFonts w:ascii="Arial" w:hAnsi="Arial" w:cs="Arial"/>
          <w:lang w:val="es-ES"/>
        </w:rPr>
        <w:t xml:space="preserve"> tendrá las siguientes responsabilidades: i) entregar los informes y la evidencia del cumplimiento de las condiciones de la operación, así como los demás informes que el Banco pueda requerir; ii) impulsar acciones asociadas al logro de los objetivos de política definidos en el Programa; y iii) reunir, archivar y entregar al Banco toda la información, indicadores y parámetros que contribuyan a que el prestatario y el Banco puedan dar seguimiento, medir y evaluar los resultados del programa. </w:t>
      </w:r>
      <w:r w:rsidR="00D163A4" w:rsidRPr="00A02F7C">
        <w:rPr>
          <w:rFonts w:ascii="Arial" w:hAnsi="Arial" w:cs="Arial"/>
          <w:lang w:val="es-ES"/>
        </w:rPr>
        <w:t>SEFIN</w:t>
      </w:r>
      <w:r w:rsidRPr="00A02F7C">
        <w:rPr>
          <w:rFonts w:ascii="Arial" w:hAnsi="Arial" w:cs="Arial"/>
          <w:lang w:val="es-ES"/>
        </w:rPr>
        <w:t xml:space="preserve"> coordinará el cumplimiento oportuno de los compromisos correspondientes a la segunda operación, así como de los demás compromisos y alcances, y será responsable de proveer información sobre los avances respecto a la Matriz de Política y Matriz de Resultados, así como de remitir al Banco las evidencias de los medios de verificación. Por el lado del Banco, la responsabilidad de la supervisión técnica del programa será de la División de Transporte (INE/TSP), a través de los especialistas sectoriales en </w:t>
      </w:r>
      <w:r w:rsidR="00D163A4" w:rsidRPr="00A02F7C">
        <w:rPr>
          <w:rFonts w:ascii="Arial" w:hAnsi="Arial" w:cs="Arial"/>
          <w:lang w:val="es-ES"/>
        </w:rPr>
        <w:t>Was</w:t>
      </w:r>
      <w:r w:rsidR="00912589" w:rsidRPr="00A02F7C">
        <w:rPr>
          <w:rFonts w:ascii="Arial" w:hAnsi="Arial" w:cs="Arial"/>
          <w:lang w:val="es-ES"/>
        </w:rPr>
        <w:t>h</w:t>
      </w:r>
      <w:r w:rsidR="00D163A4" w:rsidRPr="00A02F7C">
        <w:rPr>
          <w:rFonts w:ascii="Arial" w:hAnsi="Arial" w:cs="Arial"/>
          <w:lang w:val="es-ES"/>
        </w:rPr>
        <w:t>in</w:t>
      </w:r>
      <w:r w:rsidR="00912589" w:rsidRPr="00A02F7C">
        <w:rPr>
          <w:rFonts w:ascii="Arial" w:hAnsi="Arial" w:cs="Arial"/>
          <w:lang w:val="es-ES"/>
        </w:rPr>
        <w:t>g</w:t>
      </w:r>
      <w:r w:rsidR="00D163A4" w:rsidRPr="00A02F7C">
        <w:rPr>
          <w:rFonts w:ascii="Arial" w:hAnsi="Arial" w:cs="Arial"/>
          <w:lang w:val="es-ES"/>
        </w:rPr>
        <w:t>ton</w:t>
      </w:r>
      <w:r w:rsidR="0042015A">
        <w:rPr>
          <w:rFonts w:ascii="Arial" w:hAnsi="Arial" w:cs="Arial"/>
          <w:lang w:val="es-ES"/>
        </w:rPr>
        <w:t xml:space="preserve"> D.C</w:t>
      </w:r>
      <w:r w:rsidR="00D163A4" w:rsidRPr="00A02F7C">
        <w:rPr>
          <w:rFonts w:ascii="Arial" w:hAnsi="Arial" w:cs="Arial"/>
          <w:lang w:val="es-ES"/>
        </w:rPr>
        <w:t xml:space="preserve"> y Honduras</w:t>
      </w:r>
      <w:r w:rsidRPr="00A02F7C">
        <w:rPr>
          <w:rFonts w:ascii="Arial" w:hAnsi="Arial" w:cs="Arial"/>
          <w:lang w:val="es-ES"/>
        </w:rPr>
        <w:t xml:space="preserve">. </w:t>
      </w:r>
    </w:p>
    <w:p w14:paraId="4200543B" w14:textId="77777777" w:rsidR="00C03241" w:rsidRPr="00A02F7C" w:rsidRDefault="00C03241" w:rsidP="00F32849">
      <w:pPr>
        <w:pStyle w:val="ColorfulList-Accent11"/>
        <w:spacing w:after="0"/>
        <w:rPr>
          <w:rFonts w:ascii="Arial" w:hAnsi="Arial" w:cs="Arial"/>
          <w:color w:val="000000"/>
          <w:lang w:val="es-ES"/>
        </w:rPr>
      </w:pPr>
    </w:p>
    <w:p w14:paraId="21AC3D71" w14:textId="77777777" w:rsidR="00C41116" w:rsidRPr="00A02F7C" w:rsidRDefault="00BF5444" w:rsidP="00F7295F">
      <w:pPr>
        <w:pStyle w:val="ColorfulList-Accent11"/>
        <w:numPr>
          <w:ilvl w:val="0"/>
          <w:numId w:val="2"/>
        </w:numPr>
        <w:tabs>
          <w:tab w:val="left" w:pos="540"/>
        </w:tabs>
        <w:spacing w:after="0"/>
        <w:ind w:left="540" w:hanging="540"/>
        <w:jc w:val="both"/>
        <w:outlineLvl w:val="0"/>
        <w:rPr>
          <w:rFonts w:ascii="Arial" w:hAnsi="Arial" w:cs="Arial"/>
          <w:b/>
          <w:bCs/>
          <w:sz w:val="24"/>
          <w:szCs w:val="24"/>
          <w:lang w:val="es-ES"/>
        </w:rPr>
      </w:pPr>
      <w:bookmarkStart w:id="6" w:name="_Toc468954029"/>
      <w:r w:rsidRPr="00A02F7C">
        <w:rPr>
          <w:rFonts w:ascii="Arial" w:hAnsi="Arial" w:cs="Arial"/>
          <w:b/>
          <w:bCs/>
          <w:sz w:val="24"/>
          <w:szCs w:val="24"/>
          <w:lang w:val="es-ES"/>
        </w:rPr>
        <w:t xml:space="preserve">Evaluación </w:t>
      </w:r>
      <w:r w:rsidR="00A9542F" w:rsidRPr="00A02F7C">
        <w:rPr>
          <w:rFonts w:ascii="Arial" w:hAnsi="Arial" w:cs="Arial"/>
          <w:b/>
          <w:bCs/>
          <w:sz w:val="24"/>
          <w:szCs w:val="24"/>
          <w:lang w:val="es-ES"/>
        </w:rPr>
        <w:t>del Programa</w:t>
      </w:r>
      <w:bookmarkEnd w:id="6"/>
    </w:p>
    <w:p w14:paraId="67BDE201" w14:textId="77777777" w:rsidR="00C41116" w:rsidRPr="00A02F7C" w:rsidRDefault="00C41116" w:rsidP="00F32849">
      <w:pPr>
        <w:pStyle w:val="ColorfulList-Accent11"/>
        <w:spacing w:after="0"/>
        <w:ind w:left="0"/>
        <w:jc w:val="both"/>
        <w:rPr>
          <w:rFonts w:ascii="Arial" w:hAnsi="Arial" w:cs="Arial"/>
          <w:lang w:val="es-ES"/>
        </w:rPr>
      </w:pPr>
    </w:p>
    <w:p w14:paraId="7A9424EA" w14:textId="77777777" w:rsidR="00434C66" w:rsidRPr="00A02F7C" w:rsidRDefault="00A42EB4"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El objetivo de la evaluación será determinar los resultados del Programa (consiste en tres operaciones a ser desarrolladas en forma independiente pero técnicamente relacionadas), en cuanto a</w:t>
      </w:r>
      <w:r w:rsidR="00D163A4" w:rsidRPr="00A02F7C">
        <w:rPr>
          <w:rFonts w:ascii="Arial" w:hAnsi="Arial" w:cs="Arial"/>
          <w:lang w:val="es-ES"/>
        </w:rPr>
        <w:t xml:space="preserve">: (i) fortalecimiento del marco </w:t>
      </w:r>
      <w:r w:rsidR="002A057A">
        <w:rPr>
          <w:rFonts w:ascii="Arial" w:hAnsi="Arial" w:cs="Arial"/>
          <w:lang w:val="es-ES"/>
        </w:rPr>
        <w:t>normativo</w:t>
      </w:r>
      <w:r w:rsidR="00D163A4" w:rsidRPr="00A02F7C">
        <w:rPr>
          <w:rFonts w:ascii="Arial" w:hAnsi="Arial" w:cs="Arial"/>
          <w:lang w:val="es-ES"/>
        </w:rPr>
        <w:t xml:space="preserve"> y regulatorio</w:t>
      </w:r>
      <w:r w:rsidR="002A057A">
        <w:rPr>
          <w:rFonts w:ascii="Arial" w:hAnsi="Arial" w:cs="Arial"/>
          <w:lang w:val="es-ES"/>
        </w:rPr>
        <w:t xml:space="preserve"> de logística de carga y facilitación comercial</w:t>
      </w:r>
      <w:r w:rsidR="00D163A4" w:rsidRPr="00A02F7C">
        <w:rPr>
          <w:rFonts w:ascii="Arial" w:hAnsi="Arial" w:cs="Arial"/>
          <w:lang w:val="es-ES"/>
        </w:rPr>
        <w:t xml:space="preserve">; (ii) consolidación del marco institucional de logística y transporte; y (iii) </w:t>
      </w:r>
      <w:r w:rsidR="002A057A">
        <w:rPr>
          <w:rFonts w:ascii="Arial" w:hAnsi="Arial" w:cs="Arial"/>
          <w:lang w:val="es-ES"/>
        </w:rPr>
        <w:t>establecimiento y modernización de procesos de planificación integral</w:t>
      </w:r>
      <w:r w:rsidR="00206198">
        <w:rPr>
          <w:rFonts w:ascii="Arial" w:hAnsi="Arial" w:cs="Arial"/>
          <w:lang w:val="es-ES"/>
        </w:rPr>
        <w:t>,</w:t>
      </w:r>
      <w:r w:rsidR="002A057A">
        <w:rPr>
          <w:rFonts w:ascii="Arial" w:hAnsi="Arial" w:cs="Arial"/>
          <w:lang w:val="es-ES"/>
        </w:rPr>
        <w:t xml:space="preserve"> mejora de los servicios de transporte y logística de carga</w:t>
      </w:r>
      <w:r w:rsidR="00206198">
        <w:rPr>
          <w:rFonts w:ascii="Arial" w:hAnsi="Arial" w:cs="Arial"/>
          <w:lang w:val="es-ES"/>
        </w:rPr>
        <w:t xml:space="preserve"> y facilitación comercial.</w:t>
      </w:r>
    </w:p>
    <w:p w14:paraId="20591C12" w14:textId="77777777" w:rsidR="00A42EB4" w:rsidRPr="00A02F7C" w:rsidRDefault="00A42EB4" w:rsidP="00A42EB4">
      <w:pPr>
        <w:pStyle w:val="Title"/>
        <w:tabs>
          <w:tab w:val="clear" w:pos="1440"/>
          <w:tab w:val="clear" w:pos="3060"/>
        </w:tabs>
        <w:spacing w:line="276" w:lineRule="auto"/>
        <w:jc w:val="both"/>
        <w:outlineLvl w:val="9"/>
        <w:rPr>
          <w:rFonts w:ascii="Arial" w:hAnsi="Arial" w:cs="Arial"/>
          <w:lang w:val="es-ES"/>
        </w:rPr>
      </w:pPr>
    </w:p>
    <w:p w14:paraId="1596AA25" w14:textId="77777777" w:rsidR="007A2F3E" w:rsidRPr="00A02F7C" w:rsidRDefault="00A42EB4" w:rsidP="00F7295F">
      <w:pPr>
        <w:pStyle w:val="ColorfulList-Accent11"/>
        <w:numPr>
          <w:ilvl w:val="1"/>
          <w:numId w:val="2"/>
        </w:numPr>
        <w:spacing w:after="0"/>
        <w:ind w:left="360"/>
        <w:jc w:val="both"/>
        <w:outlineLvl w:val="1"/>
        <w:rPr>
          <w:rFonts w:ascii="Arial" w:hAnsi="Arial" w:cs="Arial"/>
          <w:b/>
          <w:bCs/>
          <w:lang w:val="es-ES"/>
        </w:rPr>
      </w:pPr>
      <w:bookmarkStart w:id="7" w:name="_Toc468893926"/>
      <w:bookmarkStart w:id="8" w:name="_Toc468954030"/>
      <w:bookmarkStart w:id="9" w:name="_Toc468954031"/>
      <w:bookmarkEnd w:id="7"/>
      <w:bookmarkEnd w:id="8"/>
      <w:r w:rsidRPr="00A02F7C">
        <w:rPr>
          <w:rFonts w:ascii="Arial" w:hAnsi="Arial" w:cs="Arial"/>
          <w:b/>
          <w:bCs/>
          <w:lang w:val="es-ES"/>
        </w:rPr>
        <w:t>Preguntas de E</w:t>
      </w:r>
      <w:r w:rsidR="007A2F3E" w:rsidRPr="00A02F7C">
        <w:rPr>
          <w:rFonts w:ascii="Arial" w:hAnsi="Arial" w:cs="Arial"/>
          <w:b/>
          <w:bCs/>
          <w:lang w:val="es-ES"/>
        </w:rPr>
        <w:t>valuación</w:t>
      </w:r>
      <w:r w:rsidRPr="00A02F7C">
        <w:rPr>
          <w:rFonts w:ascii="Arial" w:hAnsi="Arial" w:cs="Arial"/>
          <w:b/>
          <w:bCs/>
          <w:lang w:val="es-ES"/>
        </w:rPr>
        <w:t>.</w:t>
      </w:r>
      <w:bookmarkEnd w:id="9"/>
      <w:r w:rsidRPr="00A02F7C">
        <w:rPr>
          <w:rFonts w:ascii="Arial" w:hAnsi="Arial" w:cs="Arial"/>
          <w:b/>
          <w:bCs/>
          <w:lang w:val="es-ES"/>
        </w:rPr>
        <w:t xml:space="preserve"> </w:t>
      </w:r>
    </w:p>
    <w:p w14:paraId="500A0B7B" w14:textId="77777777" w:rsidR="00A42EB4" w:rsidRPr="00A02F7C" w:rsidRDefault="00A42EB4" w:rsidP="00A42EB4">
      <w:pPr>
        <w:pStyle w:val="ColorfulList-Accent11"/>
        <w:spacing w:after="0"/>
        <w:ind w:left="360"/>
        <w:jc w:val="both"/>
        <w:outlineLvl w:val="1"/>
        <w:rPr>
          <w:rFonts w:ascii="Arial" w:hAnsi="Arial" w:cs="Arial"/>
          <w:b/>
          <w:lang w:val="es-ES"/>
        </w:rPr>
      </w:pPr>
    </w:p>
    <w:p w14:paraId="2C6756CF" w14:textId="77777777" w:rsidR="007A2F3E" w:rsidRPr="00A02F7C" w:rsidRDefault="00A42EB4"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 xml:space="preserve">A fin de verificar los resultados alcanzados con la implementación del Programa, se realizará una evaluación ex post que considerará las siguientes </w:t>
      </w:r>
      <w:r w:rsidR="007A2F3E" w:rsidRPr="00A02F7C">
        <w:rPr>
          <w:rFonts w:ascii="Arial" w:hAnsi="Arial" w:cs="Arial"/>
          <w:lang w:val="es-ES"/>
        </w:rPr>
        <w:t>preguntas de evaluación</w:t>
      </w:r>
      <w:r w:rsidR="009C0BEF" w:rsidRPr="00A02F7C">
        <w:rPr>
          <w:rFonts w:ascii="Arial" w:hAnsi="Arial" w:cs="Arial"/>
          <w:lang w:val="es-ES"/>
        </w:rPr>
        <w:t xml:space="preserve"> de las actividades apoyadas por el Programa</w:t>
      </w:r>
      <w:r w:rsidR="007A2F3E" w:rsidRPr="00A02F7C">
        <w:rPr>
          <w:rFonts w:ascii="Arial" w:hAnsi="Arial" w:cs="Arial"/>
          <w:lang w:val="es-ES"/>
        </w:rPr>
        <w:t>:</w:t>
      </w:r>
    </w:p>
    <w:p w14:paraId="137A16F9" w14:textId="77777777" w:rsidR="00A42EB4" w:rsidRPr="00A02F7C" w:rsidRDefault="00A42EB4" w:rsidP="00A42EB4">
      <w:pPr>
        <w:pStyle w:val="Title"/>
        <w:tabs>
          <w:tab w:val="clear" w:pos="1440"/>
          <w:tab w:val="clear" w:pos="3060"/>
        </w:tabs>
        <w:spacing w:line="276" w:lineRule="auto"/>
        <w:jc w:val="both"/>
        <w:outlineLvl w:val="9"/>
        <w:rPr>
          <w:rFonts w:ascii="Arial" w:hAnsi="Arial" w:cs="Arial"/>
          <w:lang w:val="es-ES"/>
        </w:rPr>
      </w:pPr>
    </w:p>
    <w:p w14:paraId="4DD004C8" w14:textId="77777777" w:rsidR="00FB747F" w:rsidRDefault="00FB747F" w:rsidP="00FB747F">
      <w:pPr>
        <w:pStyle w:val="Title"/>
        <w:numPr>
          <w:ilvl w:val="0"/>
          <w:numId w:val="6"/>
        </w:numPr>
        <w:tabs>
          <w:tab w:val="clear" w:pos="1440"/>
          <w:tab w:val="clear" w:pos="3060"/>
        </w:tabs>
        <w:spacing w:line="276" w:lineRule="auto"/>
        <w:ind w:left="450" w:hanging="450"/>
        <w:jc w:val="both"/>
        <w:rPr>
          <w:rFonts w:ascii="Arial" w:hAnsi="Arial" w:cs="Arial"/>
          <w:lang w:val="es-ES"/>
        </w:rPr>
      </w:pPr>
      <w:r w:rsidRPr="00C22824">
        <w:rPr>
          <w:rFonts w:ascii="Arial" w:hAnsi="Arial" w:cs="Arial"/>
          <w:lang w:val="es-ES"/>
        </w:rPr>
        <w:t>¿</w:t>
      </w:r>
      <w:r>
        <w:rPr>
          <w:rFonts w:ascii="Arial" w:hAnsi="Arial" w:cs="Arial"/>
          <w:lang w:val="es-ES"/>
        </w:rPr>
        <w:t xml:space="preserve">Se ha contribuido a </w:t>
      </w:r>
      <w:r w:rsidR="00305A19">
        <w:rPr>
          <w:rFonts w:ascii="Arial" w:hAnsi="Arial" w:cs="Arial"/>
          <w:lang w:val="es-ES"/>
        </w:rPr>
        <w:t>mejorar</w:t>
      </w:r>
      <w:r w:rsidR="00305A19" w:rsidRPr="00305A19">
        <w:rPr>
          <w:rFonts w:ascii="Arial" w:hAnsi="Arial" w:cs="Arial"/>
          <w:b/>
          <w:lang w:val="es-ES_tradnl"/>
        </w:rPr>
        <w:t xml:space="preserve"> </w:t>
      </w:r>
      <w:r w:rsidR="00305A19" w:rsidRPr="00305A19">
        <w:rPr>
          <w:rFonts w:ascii="Arial" w:hAnsi="Arial" w:cs="Arial"/>
          <w:lang w:val="es-ES_tradnl"/>
        </w:rPr>
        <w:t>la eficacia en la priorización multisectorial y multianual</w:t>
      </w:r>
      <w:r w:rsidR="00CA1A1F">
        <w:rPr>
          <w:rFonts w:ascii="Arial" w:hAnsi="Arial" w:cs="Arial"/>
          <w:lang w:val="es-ES_tradnl"/>
        </w:rPr>
        <w:t xml:space="preserve"> (planificación integral)</w:t>
      </w:r>
      <w:r w:rsidR="00305A19" w:rsidRPr="00305A19">
        <w:rPr>
          <w:rFonts w:ascii="Arial" w:hAnsi="Arial" w:cs="Arial"/>
          <w:lang w:val="es-ES_tradnl"/>
        </w:rPr>
        <w:t xml:space="preserve"> de acciones estratégicas para el sector</w:t>
      </w:r>
      <w:r w:rsidR="00CA1A1F">
        <w:rPr>
          <w:rFonts w:ascii="Arial" w:hAnsi="Arial" w:cs="Arial"/>
          <w:lang w:val="es-ES_tradnl"/>
        </w:rPr>
        <w:t xml:space="preserve"> transporte y logística de carga</w:t>
      </w:r>
      <w:r w:rsidRPr="00C22824">
        <w:rPr>
          <w:rFonts w:ascii="Arial" w:hAnsi="Arial" w:cs="Arial"/>
          <w:lang w:val="es-ES"/>
        </w:rPr>
        <w:t>?</w:t>
      </w:r>
    </w:p>
    <w:p w14:paraId="40543A95" w14:textId="77777777" w:rsidR="00FB747F" w:rsidRPr="00C9362F" w:rsidRDefault="00FB747F" w:rsidP="00FB747F">
      <w:pPr>
        <w:pStyle w:val="Title"/>
        <w:numPr>
          <w:ilvl w:val="0"/>
          <w:numId w:val="6"/>
        </w:numPr>
        <w:tabs>
          <w:tab w:val="clear" w:pos="1440"/>
          <w:tab w:val="clear" w:pos="3060"/>
        </w:tabs>
        <w:spacing w:line="276" w:lineRule="auto"/>
        <w:ind w:left="450" w:hanging="450"/>
        <w:jc w:val="both"/>
        <w:rPr>
          <w:rFonts w:ascii="Arial" w:hAnsi="Arial" w:cs="Arial"/>
          <w:lang w:val="es-ES"/>
        </w:rPr>
      </w:pPr>
      <w:r>
        <w:rPr>
          <w:rFonts w:ascii="Arial" w:hAnsi="Arial" w:cs="Arial"/>
          <w:lang w:val="es-ES"/>
        </w:rPr>
        <w:t xml:space="preserve">¿Se ha contribuido a </w:t>
      </w:r>
      <w:r w:rsidRPr="00C22824">
        <w:rPr>
          <w:rFonts w:ascii="Arial" w:hAnsi="Arial" w:cs="Arial"/>
          <w:lang w:val="es-ES"/>
        </w:rPr>
        <w:t xml:space="preserve">mejorar la </w:t>
      </w:r>
      <w:r w:rsidR="0072125D">
        <w:rPr>
          <w:rFonts w:ascii="Arial" w:hAnsi="Arial" w:cs="Arial"/>
          <w:lang w:val="es-ES"/>
        </w:rPr>
        <w:t>seguridad</w:t>
      </w:r>
      <w:r>
        <w:rPr>
          <w:rFonts w:ascii="Arial" w:hAnsi="Arial" w:cs="Arial"/>
          <w:lang w:val="es-ES"/>
        </w:rPr>
        <w:t xml:space="preserve"> </w:t>
      </w:r>
      <w:r w:rsidR="0072125D">
        <w:rPr>
          <w:rFonts w:ascii="Arial" w:hAnsi="Arial" w:cs="Arial"/>
          <w:lang w:val="es-ES"/>
        </w:rPr>
        <w:t xml:space="preserve">del </w:t>
      </w:r>
      <w:r>
        <w:rPr>
          <w:rFonts w:ascii="Arial" w:hAnsi="Arial" w:cs="Arial"/>
          <w:lang w:val="es-ES"/>
        </w:rPr>
        <w:t>transporte y logística de cargas</w:t>
      </w:r>
      <w:r w:rsidR="005708DF">
        <w:rPr>
          <w:rFonts w:ascii="Arial" w:hAnsi="Arial" w:cs="Arial"/>
          <w:lang w:val="es-ES"/>
        </w:rPr>
        <w:t xml:space="preserve"> a través de la aplicación de reglamentos específicos</w:t>
      </w:r>
      <w:r>
        <w:rPr>
          <w:rFonts w:ascii="Arial" w:hAnsi="Arial" w:cs="Arial"/>
          <w:lang w:val="es-ES"/>
        </w:rPr>
        <w:t xml:space="preserve">? </w:t>
      </w:r>
    </w:p>
    <w:p w14:paraId="7A583C5E" w14:textId="55354C68" w:rsidR="0072125D" w:rsidRDefault="0072125D" w:rsidP="0072125D">
      <w:pPr>
        <w:pStyle w:val="Title"/>
        <w:numPr>
          <w:ilvl w:val="0"/>
          <w:numId w:val="6"/>
        </w:numPr>
        <w:tabs>
          <w:tab w:val="clear" w:pos="1440"/>
          <w:tab w:val="clear" w:pos="3060"/>
        </w:tabs>
        <w:spacing w:line="276" w:lineRule="auto"/>
        <w:ind w:left="450" w:hanging="450"/>
        <w:jc w:val="both"/>
        <w:rPr>
          <w:rFonts w:ascii="Arial" w:hAnsi="Arial" w:cs="Arial"/>
          <w:lang w:val="es-ES"/>
        </w:rPr>
      </w:pPr>
      <w:r w:rsidRPr="0072125D">
        <w:rPr>
          <w:rFonts w:ascii="Arial" w:hAnsi="Arial" w:cs="Arial"/>
          <w:lang w:val="es-ES"/>
        </w:rPr>
        <w:t>¿Se ha contribuido a</w:t>
      </w:r>
      <w:r w:rsidR="00665E67">
        <w:rPr>
          <w:rFonts w:ascii="Arial" w:hAnsi="Arial" w:cs="Arial"/>
          <w:lang w:val="es-ES"/>
        </w:rPr>
        <w:t>l</w:t>
      </w:r>
      <w:r w:rsidRPr="0072125D">
        <w:rPr>
          <w:rFonts w:ascii="Arial" w:hAnsi="Arial" w:cs="Arial"/>
          <w:lang w:val="es-ES"/>
        </w:rPr>
        <w:t xml:space="preserve"> </w:t>
      </w:r>
      <w:bookmarkStart w:id="10" w:name="_Hlk522789868"/>
      <w:r w:rsidR="005708DF" w:rsidRPr="00B240A7">
        <w:rPr>
          <w:rFonts w:ascii="Arial" w:hAnsi="Arial" w:cs="Arial"/>
          <w:lang w:val="et-EE"/>
        </w:rPr>
        <w:t>fortalecimiento de la institucionalidad del sector de logística de cargas y transporte con la implementación de sistemas modernos de gestión de flota vehicular</w:t>
      </w:r>
      <w:bookmarkEnd w:id="10"/>
      <w:r w:rsidRPr="0072125D">
        <w:rPr>
          <w:rFonts w:ascii="Arial" w:hAnsi="Arial" w:cs="Arial"/>
          <w:lang w:val="es-ES"/>
        </w:rPr>
        <w:t>?</w:t>
      </w:r>
    </w:p>
    <w:p w14:paraId="2610E4FA" w14:textId="78C10A7E" w:rsidR="0072125D" w:rsidRPr="0072125D" w:rsidRDefault="0072125D" w:rsidP="0072125D">
      <w:pPr>
        <w:pStyle w:val="Title"/>
        <w:numPr>
          <w:ilvl w:val="0"/>
          <w:numId w:val="6"/>
        </w:numPr>
        <w:tabs>
          <w:tab w:val="clear" w:pos="1440"/>
          <w:tab w:val="clear" w:pos="3060"/>
        </w:tabs>
        <w:spacing w:line="276" w:lineRule="auto"/>
        <w:ind w:left="450" w:hanging="450"/>
        <w:jc w:val="both"/>
        <w:rPr>
          <w:rFonts w:ascii="Arial" w:hAnsi="Arial" w:cs="Arial"/>
          <w:lang w:val="es-ES"/>
        </w:rPr>
      </w:pPr>
      <w:r w:rsidRPr="0072125D">
        <w:rPr>
          <w:rFonts w:ascii="Arial" w:hAnsi="Arial" w:cs="Arial"/>
          <w:lang w:val="es-ES"/>
        </w:rPr>
        <w:t xml:space="preserve">¿Se ha contribuido a mejorar la </w:t>
      </w:r>
      <w:r w:rsidR="00665E67" w:rsidRPr="00B240A7">
        <w:rPr>
          <w:rFonts w:ascii="Arial" w:hAnsi="Arial" w:cs="Arial"/>
          <w:bCs/>
          <w:lang w:val="es-ES"/>
        </w:rPr>
        <w:t>calidad de la prestación de servicios de</w:t>
      </w:r>
      <w:r w:rsidR="00A75541">
        <w:rPr>
          <w:rFonts w:ascii="Arial" w:hAnsi="Arial" w:cs="Arial"/>
          <w:bCs/>
          <w:lang w:val="es-ES"/>
        </w:rPr>
        <w:t xml:space="preserve"> transporte y logística de carga</w:t>
      </w:r>
      <w:r w:rsidR="00665E67" w:rsidRPr="00B240A7">
        <w:rPr>
          <w:rFonts w:ascii="Arial" w:hAnsi="Arial" w:cs="Arial"/>
          <w:bCs/>
          <w:lang w:val="es-ES"/>
        </w:rPr>
        <w:t xml:space="preserve"> con una visión social inclusiva</w:t>
      </w:r>
      <w:r w:rsidRPr="0072125D">
        <w:rPr>
          <w:rFonts w:ascii="Arial" w:hAnsi="Arial" w:cs="Arial"/>
          <w:lang w:val="es-ES"/>
        </w:rPr>
        <w:t>?</w:t>
      </w:r>
    </w:p>
    <w:p w14:paraId="712D03FD" w14:textId="117D763A" w:rsidR="0072125D" w:rsidRDefault="0072125D" w:rsidP="0072125D">
      <w:pPr>
        <w:pStyle w:val="Title"/>
        <w:numPr>
          <w:ilvl w:val="0"/>
          <w:numId w:val="6"/>
        </w:numPr>
        <w:tabs>
          <w:tab w:val="clear" w:pos="1440"/>
          <w:tab w:val="clear" w:pos="3060"/>
        </w:tabs>
        <w:spacing w:line="276" w:lineRule="auto"/>
        <w:ind w:left="450" w:hanging="450"/>
        <w:jc w:val="both"/>
        <w:rPr>
          <w:rFonts w:ascii="Arial" w:hAnsi="Arial" w:cs="Arial"/>
          <w:lang w:val="es-ES"/>
        </w:rPr>
      </w:pPr>
      <w:r w:rsidRPr="0072125D">
        <w:rPr>
          <w:rFonts w:ascii="Arial" w:hAnsi="Arial" w:cs="Arial"/>
          <w:lang w:val="es-ES"/>
        </w:rPr>
        <w:t xml:space="preserve">¿Se ha contribuido a </w:t>
      </w:r>
      <w:r w:rsidR="00E57E7D">
        <w:rPr>
          <w:rFonts w:ascii="Arial" w:hAnsi="Arial" w:cs="Arial"/>
          <w:lang w:val="es-ES"/>
        </w:rPr>
        <w:t>disminuir</w:t>
      </w:r>
      <w:r w:rsidR="00E57E7D" w:rsidRPr="00E57E7D">
        <w:rPr>
          <w:rFonts w:ascii="Arial" w:hAnsi="Arial" w:cs="Arial"/>
          <w:b/>
          <w:lang w:val="es-ES_tradnl"/>
        </w:rPr>
        <w:t xml:space="preserve"> </w:t>
      </w:r>
      <w:r w:rsidR="00E57E7D" w:rsidRPr="00B240A7">
        <w:rPr>
          <w:rFonts w:ascii="Arial" w:hAnsi="Arial" w:cs="Arial"/>
          <w:lang w:val="es-ES_tradnl"/>
        </w:rPr>
        <w:t xml:space="preserve">los tiempos de cruce del puesto fronterizos en la Aduana el Amatillo fruto de </w:t>
      </w:r>
      <w:r w:rsidR="00E57E7D" w:rsidRPr="00B240A7">
        <w:rPr>
          <w:rFonts w:ascii="Arial" w:hAnsi="Arial" w:cs="Arial"/>
          <w:lang w:val="et-EE"/>
        </w:rPr>
        <w:t xml:space="preserve">la aplicación de acuerdos de facilitación comercial para </w:t>
      </w:r>
      <w:bookmarkStart w:id="11" w:name="_Hlk522789958"/>
      <w:r w:rsidR="00E57E7D" w:rsidRPr="00B240A7">
        <w:rPr>
          <w:rFonts w:ascii="Arial" w:hAnsi="Arial" w:cs="Arial"/>
          <w:lang w:val="et-EE"/>
        </w:rPr>
        <w:t>la modernización y simplificación de los procesos y los sistemas tecnológicos</w:t>
      </w:r>
      <w:bookmarkEnd w:id="11"/>
      <w:r w:rsidR="00E57E7D">
        <w:rPr>
          <w:rFonts w:ascii="Arial" w:hAnsi="Arial" w:cs="Arial"/>
          <w:lang w:val="es-ES"/>
        </w:rPr>
        <w:t>?</w:t>
      </w:r>
    </w:p>
    <w:p w14:paraId="66FEF173" w14:textId="77777777" w:rsidR="00A9542F" w:rsidRPr="00A02F7C" w:rsidRDefault="00A9542F" w:rsidP="000D0CBE">
      <w:pPr>
        <w:pStyle w:val="Title"/>
        <w:tabs>
          <w:tab w:val="clear" w:pos="1440"/>
          <w:tab w:val="clear" w:pos="3060"/>
        </w:tabs>
        <w:spacing w:line="276" w:lineRule="auto"/>
        <w:ind w:left="450"/>
        <w:jc w:val="both"/>
        <w:outlineLvl w:val="9"/>
        <w:rPr>
          <w:rFonts w:ascii="Arial" w:hAnsi="Arial" w:cs="Arial"/>
          <w:lang w:val="es-ES"/>
        </w:rPr>
      </w:pPr>
    </w:p>
    <w:p w14:paraId="5D81C262" w14:textId="77777777" w:rsidR="00A9542F" w:rsidRPr="00A02F7C" w:rsidRDefault="00A9542F" w:rsidP="00F64E64">
      <w:pPr>
        <w:pStyle w:val="Caption"/>
        <w:keepNext/>
        <w:spacing w:after="0" w:line="276" w:lineRule="auto"/>
        <w:jc w:val="center"/>
        <w:rPr>
          <w:rFonts w:ascii="Arial" w:hAnsi="Arial" w:cs="Arial"/>
          <w:b/>
          <w:bCs/>
          <w:i w:val="0"/>
          <w:iCs w:val="0"/>
          <w:color w:val="000000"/>
          <w:lang w:val="es-ES"/>
        </w:rPr>
      </w:pPr>
      <w:r w:rsidRPr="00A02F7C">
        <w:rPr>
          <w:rFonts w:ascii="Arial" w:hAnsi="Arial" w:cs="Arial"/>
          <w:b/>
          <w:bCs/>
          <w:i w:val="0"/>
          <w:iCs w:val="0"/>
          <w:color w:val="000000"/>
          <w:lang w:val="es-ES"/>
        </w:rPr>
        <w:t xml:space="preserve">Tabla </w:t>
      </w:r>
      <w:r w:rsidRPr="00A02F7C">
        <w:rPr>
          <w:rFonts w:ascii="Arial" w:hAnsi="Arial" w:cs="Arial"/>
        </w:rPr>
        <w:fldChar w:fldCharType="begin"/>
      </w:r>
      <w:r w:rsidRPr="00A02F7C">
        <w:rPr>
          <w:rFonts w:ascii="Arial" w:hAnsi="Arial" w:cs="Arial"/>
          <w:b/>
          <w:i w:val="0"/>
          <w:color w:val="000000"/>
          <w:lang w:val="es-ES"/>
        </w:rPr>
        <w:instrText xml:space="preserve"> SEQ Tabla \* ARABIC </w:instrText>
      </w:r>
      <w:r w:rsidRPr="00A02F7C">
        <w:rPr>
          <w:rFonts w:ascii="Arial" w:hAnsi="Arial" w:cs="Arial"/>
          <w:b/>
          <w:i w:val="0"/>
          <w:color w:val="000000"/>
          <w:lang w:val="es-ES"/>
        </w:rPr>
        <w:fldChar w:fldCharType="separate"/>
      </w:r>
      <w:r w:rsidR="000A6E76" w:rsidRPr="00A02F7C">
        <w:rPr>
          <w:rFonts w:ascii="Arial" w:hAnsi="Arial" w:cs="Arial"/>
          <w:b/>
          <w:bCs/>
          <w:i w:val="0"/>
          <w:iCs w:val="0"/>
          <w:noProof/>
          <w:color w:val="000000"/>
          <w:lang w:val="es-ES"/>
        </w:rPr>
        <w:t>3</w:t>
      </w:r>
      <w:r w:rsidRPr="00A02F7C">
        <w:rPr>
          <w:rFonts w:ascii="Arial" w:hAnsi="Arial" w:cs="Arial"/>
        </w:rPr>
        <w:fldChar w:fldCharType="end"/>
      </w:r>
      <w:r w:rsidRPr="00A02F7C">
        <w:rPr>
          <w:rFonts w:ascii="Arial" w:hAnsi="Arial" w:cs="Arial"/>
          <w:b/>
          <w:bCs/>
          <w:i w:val="0"/>
          <w:iCs w:val="0"/>
          <w:color w:val="000000"/>
          <w:lang w:val="es-ES"/>
        </w:rPr>
        <w:t>. Relación de las Preguntas de Evaluación con los Indicadores de la Matriz de Resultados.</w:t>
      </w:r>
    </w:p>
    <w:tbl>
      <w:tblPr>
        <w:tblW w:w="10998"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3960"/>
        <w:gridCol w:w="3870"/>
      </w:tblGrid>
      <w:tr w:rsidR="00A9542F" w:rsidRPr="00A02F7C" w14:paraId="0CBC5826" w14:textId="77777777" w:rsidTr="00F64E64">
        <w:tc>
          <w:tcPr>
            <w:tcW w:w="3168" w:type="dxa"/>
            <w:shd w:val="clear" w:color="auto" w:fill="F2F2F2" w:themeFill="background1" w:themeFillShade="F2"/>
          </w:tcPr>
          <w:p w14:paraId="560B223C" w14:textId="77777777" w:rsidR="00A9542F" w:rsidRPr="00A02F7C" w:rsidRDefault="00A9542F" w:rsidP="00F64E64">
            <w:pPr>
              <w:pStyle w:val="Title"/>
              <w:tabs>
                <w:tab w:val="clear" w:pos="1440"/>
                <w:tab w:val="clear" w:pos="3060"/>
              </w:tabs>
              <w:spacing w:line="0" w:lineRule="atLeast"/>
              <w:rPr>
                <w:rFonts w:ascii="Arial" w:hAnsi="Arial" w:cs="Arial"/>
                <w:b/>
                <w:bCs/>
                <w:sz w:val="20"/>
                <w:lang w:val="es-ES"/>
              </w:rPr>
            </w:pPr>
            <w:r w:rsidRPr="00A02F7C">
              <w:rPr>
                <w:rFonts w:ascii="Arial" w:hAnsi="Arial" w:cs="Arial"/>
                <w:b/>
                <w:bCs/>
                <w:sz w:val="20"/>
                <w:lang w:val="es-ES"/>
              </w:rPr>
              <w:t>Pregunta de Evaluación</w:t>
            </w:r>
          </w:p>
        </w:tc>
        <w:tc>
          <w:tcPr>
            <w:tcW w:w="3960" w:type="dxa"/>
            <w:shd w:val="clear" w:color="auto" w:fill="F2F2F2" w:themeFill="background1" w:themeFillShade="F2"/>
          </w:tcPr>
          <w:p w14:paraId="042D4293" w14:textId="77777777" w:rsidR="00A9542F" w:rsidRPr="00A02F7C" w:rsidRDefault="00A9542F" w:rsidP="00F64E64">
            <w:pPr>
              <w:pStyle w:val="Title"/>
              <w:tabs>
                <w:tab w:val="clear" w:pos="1440"/>
                <w:tab w:val="clear" w:pos="3060"/>
              </w:tabs>
              <w:spacing w:line="0" w:lineRule="atLeast"/>
              <w:rPr>
                <w:rFonts w:ascii="Arial" w:hAnsi="Arial" w:cs="Arial"/>
                <w:b/>
                <w:bCs/>
                <w:sz w:val="20"/>
                <w:lang w:val="es-ES"/>
              </w:rPr>
            </w:pPr>
            <w:r w:rsidRPr="00A02F7C">
              <w:rPr>
                <w:rFonts w:ascii="Arial" w:hAnsi="Arial" w:cs="Arial"/>
                <w:b/>
                <w:bCs/>
                <w:sz w:val="20"/>
                <w:lang w:val="es-ES"/>
              </w:rPr>
              <w:t>Indicadores de Impacto Asociados</w:t>
            </w:r>
          </w:p>
        </w:tc>
        <w:tc>
          <w:tcPr>
            <w:tcW w:w="3870" w:type="dxa"/>
            <w:shd w:val="clear" w:color="auto" w:fill="F2F2F2" w:themeFill="background1" w:themeFillShade="F2"/>
          </w:tcPr>
          <w:p w14:paraId="575FAEA8" w14:textId="77777777" w:rsidR="00A9542F" w:rsidRPr="00A02F7C" w:rsidRDefault="00A9542F" w:rsidP="00F64E64">
            <w:pPr>
              <w:pStyle w:val="Title"/>
              <w:tabs>
                <w:tab w:val="clear" w:pos="1440"/>
                <w:tab w:val="clear" w:pos="3060"/>
              </w:tabs>
              <w:spacing w:line="0" w:lineRule="atLeast"/>
              <w:rPr>
                <w:rFonts w:ascii="Arial" w:hAnsi="Arial" w:cs="Arial"/>
                <w:b/>
                <w:bCs/>
                <w:sz w:val="20"/>
                <w:lang w:val="es-ES"/>
              </w:rPr>
            </w:pPr>
            <w:r w:rsidRPr="00A02F7C">
              <w:rPr>
                <w:rFonts w:ascii="Arial" w:hAnsi="Arial" w:cs="Arial"/>
                <w:b/>
                <w:bCs/>
                <w:sz w:val="20"/>
                <w:lang w:val="es-ES"/>
              </w:rPr>
              <w:t>Indicadores de Resultado Asociados</w:t>
            </w:r>
          </w:p>
        </w:tc>
      </w:tr>
      <w:tr w:rsidR="00A9542F" w:rsidRPr="000F3F24" w14:paraId="2291F413" w14:textId="77777777" w:rsidTr="2A9C513E">
        <w:tc>
          <w:tcPr>
            <w:tcW w:w="3168" w:type="dxa"/>
            <w:shd w:val="clear" w:color="auto" w:fill="auto"/>
          </w:tcPr>
          <w:p w14:paraId="308E599C" w14:textId="082A5AD3" w:rsidR="00305A19" w:rsidRPr="00CE02E9" w:rsidRDefault="00305A19" w:rsidP="00CE02E9">
            <w:pPr>
              <w:pStyle w:val="Title"/>
              <w:numPr>
                <w:ilvl w:val="0"/>
                <w:numId w:val="7"/>
              </w:numPr>
              <w:tabs>
                <w:tab w:val="clear" w:pos="1440"/>
                <w:tab w:val="clear" w:pos="3060"/>
              </w:tabs>
              <w:spacing w:line="0" w:lineRule="atLeast"/>
              <w:ind w:left="270" w:hanging="270"/>
              <w:jc w:val="both"/>
              <w:rPr>
                <w:rFonts w:ascii="Arial" w:hAnsi="Arial" w:cs="Arial"/>
                <w:sz w:val="20"/>
                <w:lang w:val="es-ES"/>
              </w:rPr>
            </w:pPr>
            <w:r w:rsidRPr="00305A19">
              <w:rPr>
                <w:rFonts w:ascii="Arial" w:hAnsi="Arial" w:cs="Arial"/>
                <w:sz w:val="20"/>
                <w:lang w:val="es-ES"/>
              </w:rPr>
              <w:t>¿Se ha contribuido a mejorar</w:t>
            </w:r>
            <w:r w:rsidRPr="00305A19">
              <w:rPr>
                <w:rFonts w:ascii="Arial" w:hAnsi="Arial" w:cs="Arial"/>
                <w:b/>
                <w:sz w:val="20"/>
                <w:lang w:val="es-ES_tradnl"/>
              </w:rPr>
              <w:t xml:space="preserve"> </w:t>
            </w:r>
            <w:r w:rsidRPr="00305A19">
              <w:rPr>
                <w:rFonts w:ascii="Arial" w:hAnsi="Arial" w:cs="Arial"/>
                <w:sz w:val="20"/>
                <w:lang w:val="es-ES_tradnl"/>
              </w:rPr>
              <w:t xml:space="preserve">la eficacia en la priorización multisectorial y multianual </w:t>
            </w:r>
            <w:r w:rsidR="00A75541" w:rsidRPr="00A75541">
              <w:rPr>
                <w:rFonts w:ascii="Arial" w:hAnsi="Arial" w:cs="Arial"/>
                <w:lang w:val="es-ES_tradnl"/>
              </w:rPr>
              <w:t xml:space="preserve"> </w:t>
            </w:r>
            <w:r w:rsidR="00A75541" w:rsidRPr="00A75541">
              <w:rPr>
                <w:rFonts w:ascii="Arial" w:hAnsi="Arial" w:cs="Arial"/>
                <w:sz w:val="20"/>
                <w:lang w:val="es-ES_tradnl"/>
              </w:rPr>
              <w:t>(planificación integral) de acciones estratégicas para el sector transporte y logística de carga</w:t>
            </w:r>
            <w:r w:rsidR="00A75541" w:rsidRPr="00A75541">
              <w:rPr>
                <w:rFonts w:ascii="Arial" w:hAnsi="Arial" w:cs="Arial"/>
                <w:sz w:val="20"/>
                <w:lang w:val="es-ES"/>
              </w:rPr>
              <w:t>?</w:t>
            </w:r>
          </w:p>
        </w:tc>
        <w:tc>
          <w:tcPr>
            <w:tcW w:w="3960" w:type="dxa"/>
          </w:tcPr>
          <w:p w14:paraId="60108B2A" w14:textId="77777777" w:rsidR="00A9542F" w:rsidRPr="00A02F7C" w:rsidRDefault="00407209"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sidRPr="00A02F7C">
              <w:rPr>
                <w:rFonts w:ascii="Arial" w:hAnsi="Arial" w:cs="Arial"/>
                <w:sz w:val="20"/>
                <w:lang w:val="es-ES"/>
              </w:rPr>
              <w:t>N/A</w:t>
            </w:r>
          </w:p>
        </w:tc>
        <w:tc>
          <w:tcPr>
            <w:tcW w:w="3870" w:type="dxa"/>
            <w:shd w:val="clear" w:color="auto" w:fill="auto"/>
          </w:tcPr>
          <w:p w14:paraId="75B7ADC2" w14:textId="77777777" w:rsidR="00A9542F" w:rsidRPr="00A02F7C" w:rsidRDefault="00305A19"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Pr>
                <w:rFonts w:ascii="Arial" w:hAnsi="Arial" w:cs="Arial"/>
                <w:sz w:val="20"/>
                <w:lang w:val="es-ES_tradnl" w:eastAsia="zh-CN"/>
              </w:rPr>
              <w:t>Ejercicio presupuestario anual tomando en cuenta las prioridades identificadas para el sector por CNL</w:t>
            </w:r>
          </w:p>
        </w:tc>
      </w:tr>
      <w:tr w:rsidR="00A9542F" w:rsidRPr="000F3F24" w14:paraId="15B34349" w14:textId="77777777" w:rsidTr="2A9C513E">
        <w:tc>
          <w:tcPr>
            <w:tcW w:w="3168" w:type="dxa"/>
            <w:shd w:val="clear" w:color="auto" w:fill="auto"/>
          </w:tcPr>
          <w:p w14:paraId="544D3579" w14:textId="0CCFBF8A" w:rsidR="00660352" w:rsidRPr="00A02F7C" w:rsidRDefault="00660352" w:rsidP="00660352">
            <w:pPr>
              <w:pStyle w:val="Title"/>
              <w:numPr>
                <w:ilvl w:val="0"/>
                <w:numId w:val="7"/>
              </w:numPr>
              <w:tabs>
                <w:tab w:val="clear" w:pos="1440"/>
                <w:tab w:val="clear" w:pos="3060"/>
              </w:tabs>
              <w:spacing w:line="0" w:lineRule="atLeast"/>
              <w:ind w:left="270" w:hanging="270"/>
              <w:jc w:val="both"/>
              <w:rPr>
                <w:rFonts w:ascii="Arial" w:hAnsi="Arial" w:cs="Arial"/>
                <w:sz w:val="20"/>
                <w:lang w:val="es-ES"/>
              </w:rPr>
            </w:pPr>
            <w:r w:rsidRPr="00660352">
              <w:rPr>
                <w:rFonts w:ascii="Arial" w:hAnsi="Arial" w:cs="Arial"/>
                <w:sz w:val="20"/>
                <w:lang w:val="es-ES"/>
              </w:rPr>
              <w:t>¿</w:t>
            </w:r>
            <w:bookmarkStart w:id="12" w:name="_Hlk522789825"/>
            <w:r w:rsidR="006D6E67">
              <w:rPr>
                <w:rFonts w:ascii="Arial" w:hAnsi="Arial" w:cs="Arial"/>
                <w:sz w:val="20"/>
                <w:lang w:val="es-ES"/>
              </w:rPr>
              <w:t xml:space="preserve">Se ha contribuido a </w:t>
            </w:r>
            <w:r w:rsidR="00013BC5">
              <w:rPr>
                <w:rFonts w:ascii="Arial" w:hAnsi="Arial" w:cs="Arial"/>
                <w:sz w:val="20"/>
                <w:lang w:val="es-ES"/>
              </w:rPr>
              <w:t>mejorar</w:t>
            </w:r>
            <w:r w:rsidR="00A75541" w:rsidRPr="00B240A7">
              <w:rPr>
                <w:rFonts w:ascii="Arial" w:hAnsi="Arial" w:cs="Arial"/>
                <w:sz w:val="20"/>
                <w:lang w:val="es-ES_tradnl" w:eastAsia="zh-CN"/>
              </w:rPr>
              <w:t xml:space="preserve"> la seguridad de los servicios de logística de carga a través de la aplicación de reglamentos específicos</w:t>
            </w:r>
            <w:bookmarkEnd w:id="12"/>
            <w:r w:rsidRPr="00660352">
              <w:rPr>
                <w:rFonts w:ascii="Arial" w:hAnsi="Arial" w:cs="Arial"/>
                <w:sz w:val="20"/>
                <w:lang w:val="es-ES"/>
              </w:rPr>
              <w:t>?</w:t>
            </w:r>
          </w:p>
        </w:tc>
        <w:tc>
          <w:tcPr>
            <w:tcW w:w="3960" w:type="dxa"/>
          </w:tcPr>
          <w:p w14:paraId="3109421E" w14:textId="77777777" w:rsidR="00A9542F" w:rsidRPr="00A02F7C" w:rsidRDefault="0072125D"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Pr>
                <w:rFonts w:ascii="Arial" w:hAnsi="Arial" w:cs="Arial"/>
                <w:sz w:val="20"/>
                <w:lang w:val="es-ES"/>
              </w:rPr>
              <w:t>N/A</w:t>
            </w:r>
          </w:p>
        </w:tc>
        <w:tc>
          <w:tcPr>
            <w:tcW w:w="3870" w:type="dxa"/>
            <w:shd w:val="clear" w:color="auto" w:fill="auto"/>
          </w:tcPr>
          <w:p w14:paraId="4B3A4699" w14:textId="5324118F" w:rsidR="00A9542F" w:rsidRPr="00660352" w:rsidRDefault="00A75541"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bookmarkStart w:id="13" w:name="_Hlk520914358"/>
            <w:r w:rsidRPr="005643D5">
              <w:rPr>
                <w:rFonts w:ascii="Arial" w:hAnsi="Arial" w:cs="Arial"/>
                <w:sz w:val="20"/>
                <w:lang w:val="es-ES_tradnl" w:eastAsia="zh-CN"/>
              </w:rPr>
              <w:t xml:space="preserve">Porcentaje de vehículos </w:t>
            </w:r>
            <w:r>
              <w:rPr>
                <w:rFonts w:ascii="Arial" w:hAnsi="Arial" w:cs="Arial"/>
                <w:sz w:val="20"/>
                <w:lang w:val="es-ES_tradnl" w:eastAsia="zh-CN"/>
              </w:rPr>
              <w:t xml:space="preserve">de </w:t>
            </w:r>
            <w:r w:rsidRPr="005643D5">
              <w:rPr>
                <w:rFonts w:ascii="Arial" w:hAnsi="Arial" w:cs="Arial"/>
                <w:sz w:val="20"/>
                <w:lang w:val="es-ES_tradnl" w:eastAsia="zh-CN"/>
              </w:rPr>
              <w:t xml:space="preserve">carga o remolque </w:t>
            </w:r>
            <w:r>
              <w:rPr>
                <w:rFonts w:ascii="Arial" w:hAnsi="Arial" w:cs="Arial"/>
                <w:sz w:val="20"/>
                <w:lang w:val="es-ES_tradnl" w:eastAsia="zh-CN"/>
              </w:rPr>
              <w:t>registrados</w:t>
            </w:r>
            <w:r>
              <w:rPr>
                <w:rStyle w:val="FootnoteReference"/>
                <w:rFonts w:ascii="Arial" w:eastAsia="Batang" w:hAnsi="Arial" w:cs="Arial"/>
                <w:sz w:val="20"/>
                <w:lang w:val="es-ES_tradnl" w:eastAsia="zh-CN"/>
              </w:rPr>
              <w:footnoteReference w:id="2"/>
            </w:r>
            <w:r>
              <w:rPr>
                <w:rFonts w:ascii="Arial" w:hAnsi="Arial" w:cs="Arial"/>
                <w:sz w:val="20"/>
                <w:lang w:val="es-ES_tradnl" w:eastAsia="zh-CN"/>
              </w:rPr>
              <w:t xml:space="preserve">, </w:t>
            </w:r>
            <w:r w:rsidRPr="005643D5">
              <w:rPr>
                <w:rFonts w:ascii="Arial" w:hAnsi="Arial" w:cs="Arial"/>
                <w:sz w:val="20"/>
                <w:lang w:val="es-ES_tradnl" w:eastAsia="zh-CN"/>
              </w:rPr>
              <w:t>asegurados cubriendo daños a terceros</w:t>
            </w:r>
            <w:bookmarkEnd w:id="13"/>
          </w:p>
        </w:tc>
      </w:tr>
      <w:tr w:rsidR="00A9542F" w:rsidRPr="000F3F24" w14:paraId="1CCE13AF" w14:textId="77777777" w:rsidTr="2A9C513E">
        <w:tc>
          <w:tcPr>
            <w:tcW w:w="3168" w:type="dxa"/>
            <w:shd w:val="clear" w:color="auto" w:fill="auto"/>
          </w:tcPr>
          <w:p w14:paraId="192909FC" w14:textId="390E3754" w:rsidR="00A9542F" w:rsidRPr="00A02F7C" w:rsidRDefault="0072125D" w:rsidP="00F7295F">
            <w:pPr>
              <w:pStyle w:val="Title"/>
              <w:numPr>
                <w:ilvl w:val="0"/>
                <w:numId w:val="7"/>
              </w:numPr>
              <w:tabs>
                <w:tab w:val="clear" w:pos="1440"/>
                <w:tab w:val="clear" w:pos="3060"/>
              </w:tabs>
              <w:spacing w:line="0" w:lineRule="atLeast"/>
              <w:ind w:left="270" w:hanging="270"/>
              <w:jc w:val="both"/>
              <w:rPr>
                <w:rFonts w:ascii="Arial" w:hAnsi="Arial" w:cs="Arial"/>
                <w:sz w:val="20"/>
                <w:lang w:val="es-ES"/>
              </w:rPr>
            </w:pPr>
            <w:bookmarkStart w:id="14" w:name="_Hlk520915340"/>
            <w:r w:rsidRPr="00660352">
              <w:rPr>
                <w:rFonts w:ascii="Arial" w:hAnsi="Arial" w:cs="Arial"/>
                <w:sz w:val="20"/>
                <w:lang w:val="es-ES"/>
              </w:rPr>
              <w:t>¿</w:t>
            </w:r>
            <w:r w:rsidR="00C55227" w:rsidRPr="00C55227">
              <w:rPr>
                <w:rFonts w:ascii="Arial" w:hAnsi="Arial" w:cs="Arial"/>
                <w:sz w:val="20"/>
                <w:lang w:val="es-ES"/>
              </w:rPr>
              <w:t xml:space="preserve">Se ha contribuido al </w:t>
            </w:r>
            <w:r w:rsidR="00C55227" w:rsidRPr="00C55227">
              <w:rPr>
                <w:rFonts w:ascii="Arial" w:hAnsi="Arial" w:cs="Arial"/>
                <w:sz w:val="20"/>
                <w:lang w:val="et-EE"/>
              </w:rPr>
              <w:t>fortalecimiento de la institucionalidad del sector de transporte</w:t>
            </w:r>
            <w:r w:rsidR="00C55227">
              <w:rPr>
                <w:rFonts w:ascii="Arial" w:hAnsi="Arial" w:cs="Arial"/>
                <w:sz w:val="20"/>
                <w:lang w:val="et-EE"/>
              </w:rPr>
              <w:t xml:space="preserve"> y </w:t>
            </w:r>
            <w:r w:rsidR="00C55227" w:rsidRPr="00C55227">
              <w:rPr>
                <w:rFonts w:ascii="Arial" w:hAnsi="Arial" w:cs="Arial"/>
                <w:sz w:val="20"/>
                <w:lang w:val="et-EE"/>
              </w:rPr>
              <w:t>logística de cargas con la implementación de sistemas modernos de gestión de flota vehicular</w:t>
            </w:r>
            <w:r w:rsidR="00C55227" w:rsidRPr="00C55227">
              <w:rPr>
                <w:rFonts w:ascii="Arial" w:hAnsi="Arial" w:cs="Arial"/>
                <w:sz w:val="20"/>
                <w:lang w:val="es-ES"/>
              </w:rPr>
              <w:t>?</w:t>
            </w:r>
            <w:bookmarkEnd w:id="14"/>
          </w:p>
        </w:tc>
        <w:tc>
          <w:tcPr>
            <w:tcW w:w="3960" w:type="dxa"/>
          </w:tcPr>
          <w:p w14:paraId="5670C071" w14:textId="77777777" w:rsidR="00A9542F" w:rsidRPr="00A02F7C" w:rsidRDefault="009B06DE"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sidRPr="00A02F7C">
              <w:rPr>
                <w:rFonts w:ascii="Arial" w:hAnsi="Arial" w:cs="Arial"/>
                <w:sz w:val="20"/>
                <w:lang w:val="es-ES"/>
              </w:rPr>
              <w:t>N/A</w:t>
            </w:r>
          </w:p>
        </w:tc>
        <w:tc>
          <w:tcPr>
            <w:tcW w:w="3870" w:type="dxa"/>
            <w:shd w:val="clear" w:color="auto" w:fill="auto"/>
          </w:tcPr>
          <w:p w14:paraId="3FDD0322" w14:textId="77777777" w:rsidR="00A9542F" w:rsidRPr="00B240A7" w:rsidRDefault="00C55227" w:rsidP="00B240A7">
            <w:pPr>
              <w:pStyle w:val="Title"/>
              <w:numPr>
                <w:ilvl w:val="0"/>
                <w:numId w:val="8"/>
              </w:numPr>
              <w:tabs>
                <w:tab w:val="clear" w:pos="1440"/>
                <w:tab w:val="clear" w:pos="3060"/>
              </w:tabs>
              <w:spacing w:line="0" w:lineRule="atLeast"/>
              <w:ind w:left="256" w:hanging="270"/>
              <w:jc w:val="both"/>
              <w:rPr>
                <w:rFonts w:ascii="Arial" w:hAnsi="Arial" w:cs="Arial"/>
                <w:sz w:val="20"/>
                <w:lang w:val="es-ES_tradnl"/>
              </w:rPr>
            </w:pPr>
            <w:r w:rsidRPr="00106374">
              <w:rPr>
                <w:rFonts w:ascii="Arial" w:hAnsi="Arial" w:cs="Arial"/>
                <w:sz w:val="20"/>
                <w:lang w:val="es-ES_tradnl" w:eastAsia="zh-CN"/>
              </w:rPr>
              <w:t>N</w:t>
            </w:r>
            <w:r>
              <w:rPr>
                <w:rFonts w:ascii="Arial" w:hAnsi="Arial" w:cs="Arial"/>
                <w:sz w:val="20"/>
                <w:lang w:val="es-ES_tradnl" w:eastAsia="zh-CN"/>
              </w:rPr>
              <w:t>ú</w:t>
            </w:r>
            <w:r w:rsidRPr="00106374">
              <w:rPr>
                <w:rFonts w:ascii="Arial" w:hAnsi="Arial" w:cs="Arial"/>
                <w:sz w:val="20"/>
                <w:lang w:val="es-ES_tradnl" w:eastAsia="zh-CN"/>
              </w:rPr>
              <w:t>m</w:t>
            </w:r>
            <w:r>
              <w:rPr>
                <w:rFonts w:ascii="Arial" w:hAnsi="Arial" w:cs="Arial"/>
                <w:sz w:val="20"/>
                <w:lang w:val="es-ES_tradnl" w:eastAsia="zh-CN"/>
              </w:rPr>
              <w:t>e</w:t>
            </w:r>
            <w:r w:rsidRPr="00106374">
              <w:rPr>
                <w:rFonts w:ascii="Arial" w:hAnsi="Arial" w:cs="Arial"/>
                <w:sz w:val="20"/>
                <w:lang w:val="es-ES_tradnl" w:eastAsia="zh-CN"/>
              </w:rPr>
              <w:t xml:space="preserve">ro de vehículos </w:t>
            </w:r>
            <w:r>
              <w:rPr>
                <w:rFonts w:ascii="Arial" w:hAnsi="Arial" w:cs="Arial"/>
                <w:sz w:val="20"/>
                <w:lang w:val="es-ES_tradnl" w:eastAsia="zh-CN"/>
              </w:rPr>
              <w:t xml:space="preserve">de carga </w:t>
            </w:r>
            <w:r w:rsidRPr="00106374">
              <w:rPr>
                <w:rFonts w:ascii="Arial" w:hAnsi="Arial" w:cs="Arial"/>
                <w:sz w:val="20"/>
                <w:lang w:val="es-ES_tradnl" w:eastAsia="zh-CN"/>
              </w:rPr>
              <w:t>registrados usando la tarjeta inteligente</w:t>
            </w:r>
            <w:r>
              <w:rPr>
                <w:rStyle w:val="FootnoteReference"/>
                <w:rFonts w:ascii="Arial" w:eastAsia="Batang" w:hAnsi="Arial" w:cs="Arial"/>
                <w:sz w:val="20"/>
                <w:lang w:val="es-ES_tradnl" w:eastAsia="zh-CN"/>
              </w:rPr>
              <w:footnoteReference w:id="3"/>
            </w:r>
          </w:p>
        </w:tc>
      </w:tr>
      <w:tr w:rsidR="00A9542F" w:rsidRPr="000F3F24" w14:paraId="0537D3A9" w14:textId="77777777" w:rsidTr="2A9C513E">
        <w:tc>
          <w:tcPr>
            <w:tcW w:w="3168" w:type="dxa"/>
            <w:shd w:val="clear" w:color="auto" w:fill="auto"/>
          </w:tcPr>
          <w:p w14:paraId="2F73DA0A" w14:textId="1682FE6B" w:rsidR="0072125D" w:rsidRPr="00A02F7C" w:rsidRDefault="00DB2644" w:rsidP="00B240A7">
            <w:pPr>
              <w:pStyle w:val="Title"/>
              <w:numPr>
                <w:ilvl w:val="0"/>
                <w:numId w:val="7"/>
              </w:numPr>
              <w:tabs>
                <w:tab w:val="clear" w:pos="1440"/>
                <w:tab w:val="clear" w:pos="3060"/>
              </w:tabs>
              <w:spacing w:line="0" w:lineRule="atLeast"/>
              <w:ind w:left="270" w:hanging="270"/>
              <w:jc w:val="both"/>
              <w:rPr>
                <w:rFonts w:ascii="Arial" w:hAnsi="Arial" w:cs="Arial"/>
                <w:sz w:val="20"/>
                <w:lang w:val="es-ES"/>
              </w:rPr>
            </w:pPr>
            <w:bookmarkStart w:id="15" w:name="_Hlk520915351"/>
            <w:r w:rsidRPr="00CE02E9">
              <w:rPr>
                <w:rFonts w:ascii="Arial" w:hAnsi="Arial" w:cs="Arial"/>
                <w:sz w:val="20"/>
                <w:lang w:val="es-ES"/>
              </w:rPr>
              <w:lastRenderedPageBreak/>
              <w:t xml:space="preserve">¿Se ha contribuido a mejorar la </w:t>
            </w:r>
            <w:r w:rsidRPr="00DB2644">
              <w:rPr>
                <w:rFonts w:ascii="Arial" w:hAnsi="Arial" w:cs="Arial"/>
                <w:bCs/>
                <w:sz w:val="20"/>
                <w:lang w:val="es-ES"/>
              </w:rPr>
              <w:t>calidad de la prestación de servicios de transporte y logística de carga con una visión social inclusiva</w:t>
            </w:r>
            <w:r w:rsidRPr="00DB2644">
              <w:rPr>
                <w:rFonts w:ascii="Arial" w:hAnsi="Arial" w:cs="Arial"/>
                <w:sz w:val="20"/>
                <w:lang w:val="es-ES"/>
              </w:rPr>
              <w:t>?</w:t>
            </w:r>
            <w:bookmarkEnd w:id="15"/>
          </w:p>
        </w:tc>
        <w:tc>
          <w:tcPr>
            <w:tcW w:w="3960" w:type="dxa"/>
          </w:tcPr>
          <w:p w14:paraId="0A808DF3" w14:textId="77777777" w:rsidR="00DF2ED4" w:rsidRPr="00A02F7C" w:rsidRDefault="009B06DE"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sidRPr="00A02F7C">
              <w:rPr>
                <w:rFonts w:ascii="Arial" w:hAnsi="Arial" w:cs="Arial"/>
                <w:sz w:val="20"/>
                <w:lang w:val="es-ES"/>
              </w:rPr>
              <w:t>N/A</w:t>
            </w:r>
          </w:p>
        </w:tc>
        <w:tc>
          <w:tcPr>
            <w:tcW w:w="3870" w:type="dxa"/>
            <w:shd w:val="clear" w:color="auto" w:fill="auto"/>
          </w:tcPr>
          <w:p w14:paraId="1F150A46" w14:textId="77777777" w:rsidR="00A9542F" w:rsidRPr="00A02F7C" w:rsidRDefault="00DB2644" w:rsidP="00B240A7">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Pr>
                <w:rFonts w:ascii="Arial" w:hAnsi="Arial" w:cs="Arial"/>
                <w:sz w:val="20"/>
                <w:lang w:val="es-ES"/>
              </w:rPr>
              <w:t>Número de certificaciones a pilotos otorgadas por la Escuela Nacional de Transporte (hombres, mujeres)</w:t>
            </w:r>
          </w:p>
        </w:tc>
      </w:tr>
      <w:tr w:rsidR="0072125D" w:rsidRPr="000F3F24" w14:paraId="664EC6DA" w14:textId="77777777" w:rsidTr="2A9C513E">
        <w:tc>
          <w:tcPr>
            <w:tcW w:w="3168" w:type="dxa"/>
            <w:shd w:val="clear" w:color="auto" w:fill="auto"/>
          </w:tcPr>
          <w:p w14:paraId="49BFAA29" w14:textId="51352102" w:rsidR="0072125D" w:rsidRPr="00A02F7C" w:rsidRDefault="0072125D" w:rsidP="00F7295F">
            <w:pPr>
              <w:pStyle w:val="Title"/>
              <w:numPr>
                <w:ilvl w:val="0"/>
                <w:numId w:val="7"/>
              </w:numPr>
              <w:tabs>
                <w:tab w:val="clear" w:pos="1440"/>
                <w:tab w:val="clear" w:pos="3060"/>
              </w:tabs>
              <w:spacing w:line="0" w:lineRule="atLeast"/>
              <w:ind w:left="270" w:hanging="270"/>
              <w:jc w:val="both"/>
              <w:rPr>
                <w:rFonts w:ascii="Arial" w:hAnsi="Arial" w:cs="Arial"/>
                <w:sz w:val="20"/>
                <w:lang w:val="es-ES"/>
              </w:rPr>
            </w:pPr>
            <w:bookmarkStart w:id="16" w:name="_Hlk520915411"/>
            <w:r>
              <w:rPr>
                <w:rFonts w:ascii="Arial" w:hAnsi="Arial" w:cs="Arial"/>
                <w:sz w:val="20"/>
                <w:lang w:val="es-ES"/>
              </w:rPr>
              <w:t>¿</w:t>
            </w:r>
            <w:r w:rsidR="00DB2644" w:rsidRPr="00DB2644">
              <w:rPr>
                <w:rFonts w:ascii="Arial" w:hAnsi="Arial" w:cs="Arial"/>
                <w:sz w:val="20"/>
                <w:lang w:val="es-ES"/>
              </w:rPr>
              <w:t>Se ha contribuido a disminuir</w:t>
            </w:r>
            <w:r w:rsidR="00DB2644" w:rsidRPr="00DB2644">
              <w:rPr>
                <w:rFonts w:ascii="Arial" w:hAnsi="Arial" w:cs="Arial"/>
                <w:b/>
                <w:sz w:val="20"/>
                <w:lang w:val="es-ES_tradnl"/>
              </w:rPr>
              <w:t xml:space="preserve"> </w:t>
            </w:r>
            <w:r w:rsidR="00DB2644" w:rsidRPr="00DB2644">
              <w:rPr>
                <w:rFonts w:ascii="Arial" w:hAnsi="Arial" w:cs="Arial"/>
                <w:sz w:val="20"/>
                <w:lang w:val="es-ES_tradnl"/>
              </w:rPr>
              <w:t xml:space="preserve">los tiempos de cruce del puesto fronterizos en la Aduana el Amatillo fruto de </w:t>
            </w:r>
            <w:r w:rsidR="00DB2644" w:rsidRPr="00DB2644">
              <w:rPr>
                <w:rFonts w:ascii="Arial" w:hAnsi="Arial" w:cs="Arial"/>
                <w:sz w:val="20"/>
                <w:lang w:val="et-EE"/>
              </w:rPr>
              <w:t>la aplicación de acuerdos de facilitación comercial para la modernización y simplificación de los procesos y los sistemas tecnológicos</w:t>
            </w:r>
            <w:r w:rsidR="00DB2644" w:rsidRPr="00DB2644">
              <w:rPr>
                <w:rFonts w:ascii="Arial" w:hAnsi="Arial" w:cs="Arial"/>
                <w:sz w:val="20"/>
                <w:lang w:val="es-ES"/>
              </w:rPr>
              <w:t>?</w:t>
            </w:r>
            <w:bookmarkEnd w:id="16"/>
          </w:p>
        </w:tc>
        <w:tc>
          <w:tcPr>
            <w:tcW w:w="3960" w:type="dxa"/>
          </w:tcPr>
          <w:p w14:paraId="58EFCC16" w14:textId="77777777" w:rsidR="0072125D" w:rsidRPr="00A02F7C" w:rsidRDefault="0072125D"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Pr>
                <w:rFonts w:ascii="Arial" w:hAnsi="Arial" w:cs="Arial"/>
                <w:sz w:val="20"/>
                <w:lang w:val="es-ES"/>
              </w:rPr>
              <w:t>N/A</w:t>
            </w:r>
          </w:p>
        </w:tc>
        <w:tc>
          <w:tcPr>
            <w:tcW w:w="3870" w:type="dxa"/>
            <w:shd w:val="clear" w:color="auto" w:fill="auto"/>
          </w:tcPr>
          <w:p w14:paraId="02753A6B" w14:textId="1662637E" w:rsidR="0072125D" w:rsidRPr="0072125D" w:rsidRDefault="00DB2644" w:rsidP="00F7295F">
            <w:pPr>
              <w:pStyle w:val="Title"/>
              <w:numPr>
                <w:ilvl w:val="0"/>
                <w:numId w:val="8"/>
              </w:numPr>
              <w:tabs>
                <w:tab w:val="clear" w:pos="1440"/>
                <w:tab w:val="clear" w:pos="3060"/>
              </w:tabs>
              <w:spacing w:line="0" w:lineRule="atLeast"/>
              <w:ind w:left="256" w:hanging="270"/>
              <w:jc w:val="both"/>
              <w:rPr>
                <w:rFonts w:ascii="Arial" w:hAnsi="Arial" w:cs="Arial"/>
                <w:sz w:val="20"/>
                <w:lang w:val="es-ES"/>
              </w:rPr>
            </w:pPr>
            <w:r>
              <w:rPr>
                <w:rFonts w:ascii="Arial" w:hAnsi="Arial" w:cs="Arial"/>
                <w:sz w:val="20"/>
                <w:lang w:val="es-ES_tradnl"/>
              </w:rPr>
              <w:t>T</w:t>
            </w:r>
            <w:r w:rsidR="0072125D" w:rsidRPr="0072125D">
              <w:rPr>
                <w:rFonts w:ascii="Arial" w:hAnsi="Arial" w:cs="Arial"/>
                <w:sz w:val="20"/>
                <w:lang w:val="es-ES_tradnl"/>
              </w:rPr>
              <w:t>iempos de cruce del puesto fronterizos en la Aduana el Amatillo</w:t>
            </w:r>
          </w:p>
        </w:tc>
      </w:tr>
    </w:tbl>
    <w:p w14:paraId="772F8AF0" w14:textId="77777777" w:rsidR="00BD581E" w:rsidRDefault="00BD581E" w:rsidP="00BD581E">
      <w:pPr>
        <w:pStyle w:val="ColorfulList-Accent11"/>
        <w:spacing w:after="0"/>
        <w:ind w:left="360"/>
        <w:jc w:val="both"/>
        <w:outlineLvl w:val="1"/>
        <w:rPr>
          <w:rFonts w:ascii="Arial" w:hAnsi="Arial" w:cs="Arial"/>
          <w:b/>
          <w:bCs/>
          <w:lang w:val="es-ES"/>
        </w:rPr>
      </w:pPr>
      <w:bookmarkStart w:id="17" w:name="_Toc468893960"/>
      <w:bookmarkStart w:id="18" w:name="_Toc468954064"/>
      <w:bookmarkStart w:id="19" w:name="_Toc468893961"/>
      <w:bookmarkStart w:id="20" w:name="_Toc468954065"/>
      <w:bookmarkStart w:id="21" w:name="_Toc468954066"/>
      <w:bookmarkEnd w:id="17"/>
      <w:bookmarkEnd w:id="18"/>
      <w:bookmarkEnd w:id="19"/>
      <w:bookmarkEnd w:id="20"/>
    </w:p>
    <w:p w14:paraId="75F1FFB0" w14:textId="77777777" w:rsidR="007A2F3E" w:rsidRPr="00A02F7C" w:rsidRDefault="007A2F3E" w:rsidP="00F7295F">
      <w:pPr>
        <w:pStyle w:val="ColorfulList-Accent11"/>
        <w:numPr>
          <w:ilvl w:val="1"/>
          <w:numId w:val="2"/>
        </w:numPr>
        <w:spacing w:after="0"/>
        <w:ind w:left="360"/>
        <w:jc w:val="both"/>
        <w:outlineLvl w:val="1"/>
        <w:rPr>
          <w:rFonts w:ascii="Arial" w:hAnsi="Arial" w:cs="Arial"/>
          <w:b/>
          <w:bCs/>
          <w:lang w:val="es-ES"/>
        </w:rPr>
      </w:pPr>
      <w:r w:rsidRPr="00A02F7C">
        <w:rPr>
          <w:rFonts w:ascii="Arial" w:hAnsi="Arial" w:cs="Arial"/>
          <w:b/>
          <w:bCs/>
          <w:lang w:val="es-ES"/>
        </w:rPr>
        <w:t xml:space="preserve">Indicadores </w:t>
      </w:r>
      <w:r w:rsidR="00B04E9F" w:rsidRPr="00A02F7C">
        <w:rPr>
          <w:rFonts w:ascii="Arial" w:hAnsi="Arial" w:cs="Arial"/>
          <w:b/>
          <w:bCs/>
          <w:lang w:val="es-ES"/>
        </w:rPr>
        <w:t>Principales para la Evaluación</w:t>
      </w:r>
      <w:bookmarkEnd w:id="21"/>
    </w:p>
    <w:p w14:paraId="5FEAEF5B" w14:textId="77777777" w:rsidR="00B04E9F" w:rsidRPr="00A02F7C" w:rsidRDefault="00B04E9F" w:rsidP="002A34B5">
      <w:pPr>
        <w:pStyle w:val="Title"/>
        <w:tabs>
          <w:tab w:val="clear" w:pos="1440"/>
          <w:tab w:val="clear" w:pos="3060"/>
        </w:tabs>
        <w:spacing w:line="276" w:lineRule="auto"/>
        <w:jc w:val="both"/>
        <w:outlineLvl w:val="9"/>
        <w:rPr>
          <w:rFonts w:ascii="Arial" w:hAnsi="Arial" w:cs="Arial"/>
          <w:lang w:val="es-ES"/>
        </w:rPr>
      </w:pPr>
    </w:p>
    <w:p w14:paraId="52ED6FF7" w14:textId="77777777" w:rsidR="00C22824" w:rsidRPr="00A02F7C" w:rsidRDefault="007A2F3E"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 xml:space="preserve">Se definieron indicadores de </w:t>
      </w:r>
      <w:r w:rsidR="00A9542F" w:rsidRPr="00A02F7C">
        <w:rPr>
          <w:rFonts w:ascii="Arial" w:hAnsi="Arial" w:cs="Arial"/>
          <w:lang w:val="es-ES"/>
        </w:rPr>
        <w:t xml:space="preserve">impacto y </w:t>
      </w:r>
      <w:r w:rsidRPr="00A02F7C">
        <w:rPr>
          <w:rFonts w:ascii="Arial" w:hAnsi="Arial" w:cs="Arial"/>
          <w:lang w:val="es-ES"/>
        </w:rPr>
        <w:t>resultado tomando en consideración las acciones de política y la situaci</w:t>
      </w:r>
      <w:r w:rsidR="00B04E9F" w:rsidRPr="00A02F7C">
        <w:rPr>
          <w:rFonts w:ascii="Arial" w:hAnsi="Arial" w:cs="Arial"/>
          <w:lang w:val="es-ES"/>
        </w:rPr>
        <w:t>ón actual (línea de base) de cad</w:t>
      </w:r>
      <w:r w:rsidRPr="00A02F7C">
        <w:rPr>
          <w:rFonts w:ascii="Arial" w:hAnsi="Arial" w:cs="Arial"/>
          <w:lang w:val="es-ES"/>
        </w:rPr>
        <w:t xml:space="preserve">a caso en particular. </w:t>
      </w:r>
      <w:r w:rsidR="005C69F5">
        <w:rPr>
          <w:rFonts w:ascii="Arial" w:hAnsi="Arial" w:cs="Arial"/>
          <w:lang w:val="es-ES"/>
        </w:rPr>
        <w:t>L</w:t>
      </w:r>
      <w:r w:rsidR="00035AE4" w:rsidRPr="00A02F7C">
        <w:rPr>
          <w:rFonts w:ascii="Arial" w:hAnsi="Arial" w:cs="Arial"/>
          <w:lang w:val="es-ES"/>
        </w:rPr>
        <w:t>a obtención de los resultados esperados ha sido fijada en 202</w:t>
      </w:r>
      <w:r w:rsidR="00690D97" w:rsidRPr="00A02F7C">
        <w:rPr>
          <w:rFonts w:ascii="Arial" w:hAnsi="Arial" w:cs="Arial"/>
          <w:lang w:val="es-ES"/>
        </w:rPr>
        <w:t>2</w:t>
      </w:r>
      <w:r w:rsidR="00035AE4" w:rsidRPr="00A02F7C">
        <w:rPr>
          <w:rFonts w:ascii="Arial" w:hAnsi="Arial" w:cs="Arial"/>
          <w:lang w:val="es-ES"/>
        </w:rPr>
        <w:t xml:space="preserve">, fecha en la que se habrá podido medir un ciclo completo anual tras la implementación de las reformas. </w:t>
      </w:r>
      <w:r w:rsidRPr="00A02F7C">
        <w:rPr>
          <w:rFonts w:ascii="Arial" w:hAnsi="Arial" w:cs="Arial"/>
          <w:lang w:val="es-ES"/>
        </w:rPr>
        <w:t xml:space="preserve">Los </w:t>
      </w:r>
      <w:r w:rsidR="00B04E9F" w:rsidRPr="00A02F7C">
        <w:rPr>
          <w:rFonts w:ascii="Arial" w:hAnsi="Arial" w:cs="Arial"/>
          <w:lang w:val="es-ES"/>
        </w:rPr>
        <w:t xml:space="preserve">indicadores </w:t>
      </w:r>
      <w:r w:rsidR="004652EA" w:rsidRPr="00A02F7C">
        <w:rPr>
          <w:rFonts w:ascii="Arial" w:hAnsi="Arial" w:cs="Arial"/>
          <w:lang w:val="es-ES"/>
        </w:rPr>
        <w:t xml:space="preserve">que serán considerados en </w:t>
      </w:r>
      <w:r w:rsidR="00B04E9F" w:rsidRPr="00A02F7C">
        <w:rPr>
          <w:rFonts w:ascii="Arial" w:hAnsi="Arial" w:cs="Arial"/>
          <w:lang w:val="es-ES"/>
        </w:rPr>
        <w:t>la evaluación del Programa</w:t>
      </w:r>
      <w:r w:rsidR="004652EA" w:rsidRPr="00A02F7C">
        <w:rPr>
          <w:rFonts w:ascii="Arial" w:hAnsi="Arial" w:cs="Arial"/>
          <w:lang w:val="es-ES"/>
        </w:rPr>
        <w:t xml:space="preserve"> incluyen</w:t>
      </w:r>
      <w:r w:rsidR="00B04E9F" w:rsidRPr="00A02F7C">
        <w:rPr>
          <w:rFonts w:ascii="Arial" w:hAnsi="Arial" w:cs="Arial"/>
          <w:lang w:val="es-ES"/>
        </w:rPr>
        <w:t>:</w:t>
      </w:r>
      <w:r w:rsidR="0099408D" w:rsidRPr="00A02F7C">
        <w:rPr>
          <w:rFonts w:ascii="Arial" w:hAnsi="Arial" w:cs="Arial"/>
          <w:lang w:val="es-ES"/>
        </w:rPr>
        <w:t xml:space="preserve"> </w:t>
      </w:r>
    </w:p>
    <w:p w14:paraId="79ED44DF" w14:textId="77777777" w:rsidR="00C22824" w:rsidRPr="00A02F7C" w:rsidRDefault="00C22824" w:rsidP="00B04E9F">
      <w:pPr>
        <w:pStyle w:val="ColorfulList-Accent11"/>
        <w:spacing w:after="0"/>
        <w:ind w:left="0"/>
        <w:jc w:val="center"/>
        <w:rPr>
          <w:rFonts w:ascii="Arial" w:hAnsi="Arial" w:cs="Arial"/>
          <w:sz w:val="20"/>
          <w:szCs w:val="20"/>
          <w:lang w:val="es-ES"/>
        </w:rPr>
      </w:pPr>
    </w:p>
    <w:p w14:paraId="1E781FAA" w14:textId="77777777" w:rsidR="00C22824" w:rsidRPr="00A02F7C" w:rsidRDefault="00C22824" w:rsidP="00F64E64">
      <w:pPr>
        <w:pStyle w:val="Caption"/>
        <w:keepNext/>
        <w:spacing w:after="0" w:line="276" w:lineRule="auto"/>
        <w:jc w:val="center"/>
        <w:rPr>
          <w:rFonts w:ascii="Arial" w:hAnsi="Arial" w:cs="Arial"/>
          <w:b/>
          <w:bCs/>
          <w:i w:val="0"/>
          <w:iCs w:val="0"/>
          <w:color w:val="000000" w:themeColor="text1"/>
          <w:lang w:val="es-ES"/>
        </w:rPr>
      </w:pPr>
      <w:r w:rsidRPr="00A02F7C">
        <w:rPr>
          <w:rFonts w:ascii="Arial" w:hAnsi="Arial" w:cs="Arial"/>
          <w:b/>
          <w:bCs/>
          <w:i w:val="0"/>
          <w:iCs w:val="0"/>
          <w:color w:val="000000" w:themeColor="text1"/>
          <w:lang w:val="es-ES"/>
        </w:rPr>
        <w:t xml:space="preserve">Tabla </w:t>
      </w:r>
      <w:r w:rsidRPr="00A02F7C">
        <w:rPr>
          <w:rFonts w:ascii="Arial" w:hAnsi="Arial" w:cs="Arial"/>
        </w:rPr>
        <w:fldChar w:fldCharType="begin"/>
      </w:r>
      <w:r w:rsidRPr="00A02F7C">
        <w:rPr>
          <w:rFonts w:ascii="Arial" w:hAnsi="Arial" w:cs="Arial"/>
          <w:b/>
          <w:i w:val="0"/>
          <w:color w:val="000000" w:themeColor="text1"/>
          <w:lang w:val="es-ES"/>
        </w:rPr>
        <w:instrText xml:space="preserve"> SEQ Tabla \* ARABIC </w:instrText>
      </w:r>
      <w:r w:rsidRPr="00A02F7C">
        <w:rPr>
          <w:rFonts w:ascii="Arial" w:hAnsi="Arial" w:cs="Arial"/>
          <w:b/>
          <w:i w:val="0"/>
          <w:color w:val="000000" w:themeColor="text1"/>
          <w:lang w:val="es-ES"/>
        </w:rPr>
        <w:fldChar w:fldCharType="separate"/>
      </w:r>
      <w:r w:rsidR="000A6E76" w:rsidRPr="00A02F7C">
        <w:rPr>
          <w:rFonts w:ascii="Arial" w:hAnsi="Arial" w:cs="Arial"/>
          <w:b/>
          <w:bCs/>
          <w:i w:val="0"/>
          <w:iCs w:val="0"/>
          <w:noProof/>
          <w:color w:val="000000" w:themeColor="text1"/>
          <w:lang w:val="es-ES"/>
        </w:rPr>
        <w:t>4</w:t>
      </w:r>
      <w:r w:rsidRPr="00A02F7C">
        <w:rPr>
          <w:rFonts w:ascii="Arial" w:hAnsi="Arial" w:cs="Arial"/>
        </w:rPr>
        <w:fldChar w:fldCharType="end"/>
      </w:r>
      <w:r w:rsidRPr="00A02F7C">
        <w:rPr>
          <w:rFonts w:ascii="Arial" w:hAnsi="Arial" w:cs="Arial"/>
          <w:b/>
          <w:bCs/>
          <w:i w:val="0"/>
          <w:iCs w:val="0"/>
          <w:color w:val="000000" w:themeColor="text1"/>
          <w:lang w:val="es-ES"/>
        </w:rPr>
        <w:t>: Indicadores de Resultado</w:t>
      </w:r>
    </w:p>
    <w:tbl>
      <w:tblPr>
        <w:tblW w:w="10080" w:type="dxa"/>
        <w:tblInd w:w="-2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700"/>
        <w:gridCol w:w="5490"/>
        <w:gridCol w:w="1890"/>
      </w:tblGrid>
      <w:tr w:rsidR="00477E0A" w:rsidRPr="00A02F7C" w14:paraId="2A66537C" w14:textId="77777777" w:rsidTr="00F64E64">
        <w:trPr>
          <w:trHeight w:val="320"/>
          <w:tblHeader/>
        </w:trPr>
        <w:tc>
          <w:tcPr>
            <w:tcW w:w="2700" w:type="dxa"/>
            <w:shd w:val="clear" w:color="auto" w:fill="BFBFBF" w:themeFill="background1" w:themeFillShade="BF"/>
            <w:noWrap/>
            <w:vAlign w:val="center"/>
            <w:hideMark/>
          </w:tcPr>
          <w:p w14:paraId="016391F5" w14:textId="77777777" w:rsidR="00035AE4" w:rsidRPr="00A02F7C" w:rsidRDefault="00035AE4" w:rsidP="00C22824">
            <w:pPr>
              <w:jc w:val="center"/>
              <w:rPr>
                <w:rFonts w:ascii="Arial" w:eastAsia="Times New Roman" w:hAnsi="Arial" w:cs="Arial"/>
                <w:b/>
                <w:bCs/>
                <w:sz w:val="20"/>
                <w:szCs w:val="20"/>
                <w:lang w:val="es-ES"/>
              </w:rPr>
            </w:pPr>
            <w:r w:rsidRPr="00A02F7C">
              <w:rPr>
                <w:rFonts w:ascii="Arial" w:eastAsia="Times New Roman" w:hAnsi="Arial" w:cs="Arial"/>
                <w:b/>
                <w:bCs/>
                <w:sz w:val="20"/>
                <w:szCs w:val="20"/>
                <w:lang w:val="es-ES"/>
              </w:rPr>
              <w:t>Indicador</w:t>
            </w:r>
          </w:p>
        </w:tc>
        <w:tc>
          <w:tcPr>
            <w:tcW w:w="5490" w:type="dxa"/>
            <w:shd w:val="clear" w:color="auto" w:fill="BFBFBF" w:themeFill="background1" w:themeFillShade="BF"/>
          </w:tcPr>
          <w:p w14:paraId="63E30545" w14:textId="77777777" w:rsidR="00035AE4" w:rsidRPr="00A02F7C" w:rsidRDefault="00035AE4" w:rsidP="00C22824">
            <w:pPr>
              <w:jc w:val="center"/>
              <w:rPr>
                <w:rFonts w:ascii="Arial" w:eastAsia="Times New Roman" w:hAnsi="Arial" w:cs="Arial"/>
                <w:b/>
                <w:bCs/>
                <w:sz w:val="20"/>
                <w:szCs w:val="20"/>
                <w:lang w:val="es-ES"/>
              </w:rPr>
            </w:pPr>
            <w:r w:rsidRPr="00A02F7C">
              <w:rPr>
                <w:rFonts w:ascii="Arial" w:eastAsia="Times New Roman" w:hAnsi="Arial" w:cs="Arial"/>
                <w:b/>
                <w:bCs/>
                <w:sz w:val="20"/>
                <w:szCs w:val="20"/>
                <w:lang w:val="es-ES"/>
              </w:rPr>
              <w:t>Metodología de Cálculo</w:t>
            </w:r>
          </w:p>
        </w:tc>
        <w:tc>
          <w:tcPr>
            <w:tcW w:w="1890" w:type="dxa"/>
            <w:shd w:val="clear" w:color="auto" w:fill="BFBFBF" w:themeFill="background1" w:themeFillShade="BF"/>
            <w:noWrap/>
            <w:vAlign w:val="center"/>
            <w:hideMark/>
          </w:tcPr>
          <w:p w14:paraId="174E1AC9" w14:textId="77777777" w:rsidR="00035AE4" w:rsidRPr="00A02F7C" w:rsidRDefault="00035AE4" w:rsidP="00C22824">
            <w:pPr>
              <w:jc w:val="center"/>
              <w:rPr>
                <w:rFonts w:ascii="Arial" w:eastAsia="Times New Roman" w:hAnsi="Arial" w:cs="Arial"/>
                <w:b/>
                <w:bCs/>
                <w:sz w:val="20"/>
                <w:szCs w:val="20"/>
                <w:lang w:val="es-ES"/>
              </w:rPr>
            </w:pPr>
            <w:r w:rsidRPr="00A02F7C">
              <w:rPr>
                <w:rFonts w:ascii="Arial" w:eastAsia="Times New Roman" w:hAnsi="Arial" w:cs="Arial"/>
                <w:b/>
                <w:bCs/>
                <w:sz w:val="20"/>
                <w:szCs w:val="20"/>
                <w:lang w:val="es-ES"/>
              </w:rPr>
              <w:t>Medio de Verificación</w:t>
            </w:r>
          </w:p>
        </w:tc>
      </w:tr>
      <w:tr w:rsidR="00477E0A" w:rsidRPr="00A02F7C" w14:paraId="5D75D1B8" w14:textId="77777777" w:rsidTr="00F64E64">
        <w:trPr>
          <w:trHeight w:val="178"/>
        </w:trPr>
        <w:tc>
          <w:tcPr>
            <w:tcW w:w="10080" w:type="dxa"/>
            <w:gridSpan w:val="3"/>
            <w:shd w:val="clear" w:color="auto" w:fill="F2F2F2" w:themeFill="background1" w:themeFillShade="F2"/>
            <w:noWrap/>
            <w:vAlign w:val="center"/>
          </w:tcPr>
          <w:p w14:paraId="329D73F2" w14:textId="77777777" w:rsidR="00FF05A3" w:rsidRPr="00A02F7C" w:rsidRDefault="00FF05A3">
            <w:pPr>
              <w:jc w:val="both"/>
              <w:rPr>
                <w:rFonts w:ascii="Arial" w:eastAsia="Times New Roman" w:hAnsi="Arial" w:cs="Arial"/>
                <w:b/>
                <w:bCs/>
                <w:sz w:val="20"/>
                <w:szCs w:val="20"/>
                <w:lang w:val="es-ES"/>
              </w:rPr>
            </w:pPr>
            <w:r w:rsidRPr="00A02F7C">
              <w:rPr>
                <w:rFonts w:ascii="Arial" w:eastAsia="Times New Roman" w:hAnsi="Arial" w:cs="Arial"/>
                <w:b/>
                <w:bCs/>
                <w:sz w:val="20"/>
                <w:szCs w:val="20"/>
                <w:lang w:val="es-ES"/>
              </w:rPr>
              <w:t>IMPACTO</w:t>
            </w:r>
          </w:p>
        </w:tc>
      </w:tr>
      <w:tr w:rsidR="00BC4D17" w:rsidRPr="00A02F7C" w14:paraId="1BE187DD" w14:textId="77777777" w:rsidTr="00F64E64">
        <w:trPr>
          <w:trHeight w:val="178"/>
        </w:trPr>
        <w:tc>
          <w:tcPr>
            <w:tcW w:w="2700" w:type="dxa"/>
            <w:shd w:val="clear" w:color="auto" w:fill="auto"/>
            <w:noWrap/>
            <w:vAlign w:val="center"/>
          </w:tcPr>
          <w:p w14:paraId="0BFB72A3" w14:textId="77777777" w:rsidR="00BC4D17" w:rsidRPr="00A02F7C" w:rsidRDefault="00BC4D17" w:rsidP="00BC4D17">
            <w:pPr>
              <w:jc w:val="both"/>
              <w:rPr>
                <w:rFonts w:ascii="Arial" w:eastAsia="Times New Roman" w:hAnsi="Arial" w:cs="Arial"/>
                <w:b/>
                <w:bCs/>
                <w:sz w:val="20"/>
                <w:szCs w:val="20"/>
                <w:lang w:val="es-ES"/>
              </w:rPr>
            </w:pPr>
            <w:r w:rsidRPr="00A02F7C">
              <w:rPr>
                <w:rFonts w:ascii="Arial" w:hAnsi="Arial" w:cs="Arial"/>
                <w:sz w:val="20"/>
                <w:szCs w:val="20"/>
                <w:lang w:val="es-ES_tradnl"/>
              </w:rPr>
              <w:t>Índice de Desempeño en Logística (LPI)</w:t>
            </w:r>
            <w:r w:rsidRPr="00A02F7C">
              <w:rPr>
                <w:rStyle w:val="FootnoteReference"/>
                <w:rFonts w:ascii="Arial" w:hAnsi="Arial" w:cs="Arial"/>
                <w:sz w:val="20"/>
                <w:lang w:val="es-ES_tradnl"/>
              </w:rPr>
              <w:t xml:space="preserve"> </w:t>
            </w:r>
          </w:p>
        </w:tc>
        <w:tc>
          <w:tcPr>
            <w:tcW w:w="5490" w:type="dxa"/>
          </w:tcPr>
          <w:p w14:paraId="4869952E" w14:textId="77777777" w:rsidR="00BC4D17" w:rsidRPr="00A02F7C" w:rsidRDefault="00BC4D17" w:rsidP="00BC4D17">
            <w:pPr>
              <w:ind w:hanging="18"/>
              <w:jc w:val="both"/>
              <w:rPr>
                <w:rFonts w:ascii="Arial" w:hAnsi="Arial" w:cs="Arial"/>
                <w:sz w:val="18"/>
                <w:szCs w:val="20"/>
                <w:lang w:val="es-ES_tradnl"/>
              </w:rPr>
            </w:pPr>
            <w:r w:rsidRPr="00A02F7C">
              <w:rPr>
                <w:rFonts w:ascii="Arial" w:hAnsi="Arial" w:cs="Arial"/>
                <w:sz w:val="18"/>
                <w:szCs w:val="20"/>
                <w:lang w:val="es-ES_tradnl"/>
              </w:rPr>
              <w:t>El índice varía entre 1 (bajo)–5 (alto).</w:t>
            </w:r>
          </w:p>
          <w:p w14:paraId="158CE7DF" w14:textId="77777777" w:rsidR="00BC4D17" w:rsidRPr="00A02F7C" w:rsidRDefault="00B83537" w:rsidP="00BC4D17">
            <w:pPr>
              <w:jc w:val="both"/>
              <w:rPr>
                <w:rFonts w:ascii="Arial" w:hAnsi="Arial" w:cs="Arial"/>
                <w:sz w:val="20"/>
                <w:szCs w:val="20"/>
                <w:lang w:val="es-ES"/>
              </w:rPr>
            </w:pPr>
            <w:r w:rsidRPr="00B83537">
              <w:rPr>
                <w:rFonts w:ascii="Arial" w:hAnsi="Arial" w:cs="Arial"/>
                <w:sz w:val="20"/>
                <w:szCs w:val="20"/>
                <w:lang w:val="es-HN"/>
              </w:rPr>
              <w:t>Al LPI del año 2016 (base) se le incorpora el cambio de 0.36 puntos de mejora en la percepción del sector. Este 0.36 corresponde a la mejora agregadas observada en el índice para los años 2010 y 2014 los cuales han sido los años observados en los cuales Honduras presenta las mejora</w:t>
            </w:r>
            <w:r w:rsidR="002743B2">
              <w:rPr>
                <w:rFonts w:ascii="Arial" w:hAnsi="Arial" w:cs="Arial"/>
                <w:sz w:val="20"/>
                <w:szCs w:val="20"/>
                <w:lang w:val="es-HN"/>
              </w:rPr>
              <w:t>s</w:t>
            </w:r>
            <w:r w:rsidRPr="00B83537">
              <w:rPr>
                <w:rFonts w:ascii="Arial" w:hAnsi="Arial" w:cs="Arial"/>
                <w:sz w:val="20"/>
                <w:szCs w:val="20"/>
                <w:lang w:val="es-HN"/>
              </w:rPr>
              <w:t xml:space="preserve"> positivas en el índice.</w:t>
            </w:r>
          </w:p>
        </w:tc>
        <w:tc>
          <w:tcPr>
            <w:tcW w:w="1890" w:type="dxa"/>
            <w:shd w:val="clear" w:color="auto" w:fill="auto"/>
            <w:noWrap/>
            <w:vAlign w:val="center"/>
          </w:tcPr>
          <w:p w14:paraId="59A8078A" w14:textId="77777777" w:rsidR="00BC4D17" w:rsidRPr="00A02F7C" w:rsidRDefault="00BC4D17" w:rsidP="00BC4D17">
            <w:pPr>
              <w:ind w:hanging="18"/>
              <w:jc w:val="both"/>
              <w:rPr>
                <w:rFonts w:ascii="Arial" w:hAnsi="Arial" w:cs="Arial"/>
                <w:sz w:val="20"/>
                <w:szCs w:val="20"/>
                <w:lang w:eastAsia="es-PA"/>
              </w:rPr>
            </w:pPr>
            <w:r w:rsidRPr="00A02F7C">
              <w:rPr>
                <w:rFonts w:ascii="Arial" w:hAnsi="Arial" w:cs="Arial"/>
                <w:sz w:val="20"/>
                <w:szCs w:val="20"/>
                <w:lang w:eastAsia="es-PA"/>
              </w:rPr>
              <w:t>Logistics Performance Index Report LPI – World Bank</w:t>
            </w:r>
          </w:p>
          <w:p w14:paraId="1E361572" w14:textId="77777777" w:rsidR="00BC4D17" w:rsidRPr="00A02F7C" w:rsidRDefault="00BC4D17" w:rsidP="00BC4D17">
            <w:pPr>
              <w:jc w:val="both"/>
              <w:rPr>
                <w:rFonts w:ascii="Arial" w:eastAsia="Times New Roman" w:hAnsi="Arial" w:cs="Arial"/>
                <w:sz w:val="20"/>
                <w:szCs w:val="20"/>
              </w:rPr>
            </w:pPr>
          </w:p>
        </w:tc>
      </w:tr>
      <w:tr w:rsidR="00BC4D17" w:rsidRPr="000F3F24" w14:paraId="7EC7016F" w14:textId="77777777" w:rsidTr="00F64E64">
        <w:trPr>
          <w:trHeight w:val="178"/>
        </w:trPr>
        <w:tc>
          <w:tcPr>
            <w:tcW w:w="2700" w:type="dxa"/>
            <w:shd w:val="clear" w:color="auto" w:fill="auto"/>
            <w:noWrap/>
            <w:vAlign w:val="center"/>
          </w:tcPr>
          <w:p w14:paraId="3625EDC5" w14:textId="77777777" w:rsidR="00BC4D17" w:rsidRPr="00A02F7C" w:rsidRDefault="00BC4D17" w:rsidP="00BC4D17">
            <w:pPr>
              <w:jc w:val="both"/>
              <w:rPr>
                <w:rFonts w:ascii="Arial" w:eastAsia="Times New Roman" w:hAnsi="Arial" w:cs="Arial"/>
                <w:b/>
                <w:bCs/>
                <w:sz w:val="20"/>
                <w:szCs w:val="20"/>
                <w:lang w:val="es-ES"/>
              </w:rPr>
            </w:pPr>
            <w:r w:rsidRPr="00A02F7C">
              <w:rPr>
                <w:rFonts w:ascii="Arial" w:hAnsi="Arial" w:cs="Arial"/>
                <w:sz w:val="20"/>
                <w:szCs w:val="20"/>
                <w:lang w:val="es-ES_tradnl" w:eastAsia="zh-CN"/>
              </w:rPr>
              <w:t>PIB logístico de Honduras/PIB nominal</w:t>
            </w:r>
          </w:p>
        </w:tc>
        <w:tc>
          <w:tcPr>
            <w:tcW w:w="5490" w:type="dxa"/>
          </w:tcPr>
          <w:p w14:paraId="681F7927" w14:textId="77777777" w:rsidR="00BC4D17" w:rsidRPr="00A02F7C" w:rsidRDefault="00B83537" w:rsidP="00BC4D17">
            <w:pPr>
              <w:jc w:val="both"/>
              <w:rPr>
                <w:rFonts w:ascii="Arial" w:hAnsi="Arial" w:cs="Arial"/>
                <w:sz w:val="20"/>
                <w:szCs w:val="20"/>
                <w:lang w:val="es-ES"/>
              </w:rPr>
            </w:pPr>
            <w:r w:rsidRPr="00B83537">
              <w:rPr>
                <w:rFonts w:ascii="Arial" w:hAnsi="Arial" w:cs="Arial"/>
                <w:sz w:val="20"/>
                <w:szCs w:val="20"/>
                <w:lang w:val="es-HN"/>
              </w:rPr>
              <w:t xml:space="preserve">Se proyecta el peso del sector logístico usando la media móvil a 12 años y extrapolando el resultado a los datos proyectados del PIB Nominal de Honduras que se toma de </w:t>
            </w:r>
            <w:proofErr w:type="spellStart"/>
            <w:r w:rsidRPr="00B83537">
              <w:rPr>
                <w:rFonts w:ascii="Arial" w:hAnsi="Arial" w:cs="Arial"/>
                <w:sz w:val="20"/>
                <w:szCs w:val="20"/>
                <w:lang w:val="es-HN"/>
              </w:rPr>
              <w:t>World</w:t>
            </w:r>
            <w:proofErr w:type="spellEnd"/>
            <w:r w:rsidRPr="00B83537">
              <w:rPr>
                <w:rFonts w:ascii="Arial" w:hAnsi="Arial" w:cs="Arial"/>
                <w:sz w:val="20"/>
                <w:szCs w:val="20"/>
                <w:lang w:val="es-HN"/>
              </w:rPr>
              <w:t xml:space="preserve"> </w:t>
            </w:r>
            <w:proofErr w:type="spellStart"/>
            <w:r w:rsidRPr="00B83537">
              <w:rPr>
                <w:rFonts w:ascii="Arial" w:hAnsi="Arial" w:cs="Arial"/>
                <w:sz w:val="20"/>
                <w:szCs w:val="20"/>
                <w:lang w:val="es-HN"/>
              </w:rPr>
              <w:t>Economic</w:t>
            </w:r>
            <w:proofErr w:type="spellEnd"/>
            <w:r w:rsidRPr="00B83537">
              <w:rPr>
                <w:rFonts w:ascii="Arial" w:hAnsi="Arial" w:cs="Arial"/>
                <w:sz w:val="20"/>
                <w:szCs w:val="20"/>
                <w:lang w:val="es-HN"/>
              </w:rPr>
              <w:t xml:space="preserve"> Outlook, WEO-IMF.</w:t>
            </w:r>
            <w:r>
              <w:rPr>
                <w:rFonts w:ascii="Arial" w:hAnsi="Arial" w:cs="Arial"/>
                <w:lang w:val="es-ES_tradnl"/>
              </w:rPr>
              <w:t xml:space="preserve">  </w:t>
            </w:r>
          </w:p>
        </w:tc>
        <w:tc>
          <w:tcPr>
            <w:tcW w:w="1890" w:type="dxa"/>
            <w:shd w:val="clear" w:color="auto" w:fill="auto"/>
            <w:noWrap/>
            <w:vAlign w:val="center"/>
          </w:tcPr>
          <w:p w14:paraId="1A77BE2A" w14:textId="77777777" w:rsidR="00BC4D17" w:rsidRPr="00A02F7C" w:rsidRDefault="00BC4D17" w:rsidP="00BC4D17">
            <w:pPr>
              <w:jc w:val="both"/>
              <w:rPr>
                <w:rFonts w:ascii="Arial" w:eastAsia="Times New Roman" w:hAnsi="Arial" w:cs="Arial"/>
                <w:sz w:val="20"/>
                <w:szCs w:val="20"/>
                <w:lang w:val="es-ES"/>
              </w:rPr>
            </w:pPr>
            <w:r w:rsidRPr="00A02F7C">
              <w:rPr>
                <w:rFonts w:ascii="Arial" w:hAnsi="Arial" w:cs="Arial"/>
                <w:sz w:val="20"/>
                <w:szCs w:val="20"/>
                <w:lang w:val="es-ES_tradnl" w:eastAsia="es-PA"/>
              </w:rPr>
              <w:t>Estadísticas de las cuentas nacionales del BCH</w:t>
            </w:r>
          </w:p>
        </w:tc>
      </w:tr>
      <w:tr w:rsidR="00BC4D17" w:rsidRPr="00A02F7C" w14:paraId="0EBFDD72" w14:textId="77777777" w:rsidTr="00F64E64">
        <w:trPr>
          <w:trHeight w:val="53"/>
        </w:trPr>
        <w:tc>
          <w:tcPr>
            <w:tcW w:w="10080" w:type="dxa"/>
            <w:gridSpan w:val="3"/>
            <w:shd w:val="clear" w:color="auto" w:fill="F2F2F2" w:themeFill="background1" w:themeFillShade="F2"/>
            <w:noWrap/>
            <w:vAlign w:val="center"/>
          </w:tcPr>
          <w:p w14:paraId="338EF7A9" w14:textId="77777777" w:rsidR="00BC4D17" w:rsidRPr="00A02F7C" w:rsidRDefault="00BC4D17" w:rsidP="00BC4D17">
            <w:pPr>
              <w:jc w:val="both"/>
              <w:rPr>
                <w:rFonts w:ascii="Arial" w:eastAsia="Times New Roman" w:hAnsi="Arial" w:cs="Arial"/>
                <w:b/>
                <w:bCs/>
                <w:sz w:val="20"/>
                <w:szCs w:val="20"/>
                <w:lang w:val="es-ES"/>
              </w:rPr>
            </w:pPr>
            <w:r w:rsidRPr="00A02F7C">
              <w:rPr>
                <w:rFonts w:ascii="Arial" w:eastAsia="Times New Roman" w:hAnsi="Arial" w:cs="Arial"/>
                <w:b/>
                <w:bCs/>
                <w:sz w:val="20"/>
                <w:szCs w:val="20"/>
                <w:lang w:val="es-ES"/>
              </w:rPr>
              <w:t>RESULTADOS</w:t>
            </w:r>
          </w:p>
        </w:tc>
      </w:tr>
      <w:tr w:rsidR="00BC4D17" w:rsidRPr="00844F4F" w14:paraId="3D1AE2FE" w14:textId="77777777" w:rsidTr="00F64E64">
        <w:trPr>
          <w:trHeight w:val="53"/>
        </w:trPr>
        <w:tc>
          <w:tcPr>
            <w:tcW w:w="2700" w:type="dxa"/>
            <w:shd w:val="clear" w:color="auto" w:fill="auto"/>
            <w:noWrap/>
            <w:vAlign w:val="center"/>
          </w:tcPr>
          <w:p w14:paraId="719F2A17" w14:textId="77777777" w:rsidR="00BC4D17" w:rsidRPr="00A02F7C" w:rsidRDefault="00B83537" w:rsidP="00BC4D17">
            <w:pPr>
              <w:jc w:val="both"/>
              <w:rPr>
                <w:rFonts w:ascii="Arial" w:hAnsi="Arial" w:cs="Arial"/>
                <w:b/>
                <w:bCs/>
                <w:sz w:val="20"/>
                <w:szCs w:val="20"/>
                <w:lang w:val="es-ES"/>
              </w:rPr>
            </w:pPr>
            <w:r>
              <w:rPr>
                <w:rFonts w:ascii="Arial" w:hAnsi="Arial" w:cs="Arial"/>
                <w:sz w:val="20"/>
                <w:szCs w:val="20"/>
                <w:lang w:val="es-ES_tradnl" w:eastAsia="zh-CN"/>
              </w:rPr>
              <w:t>Ejercicio presupuestario anual tomando en cuenta las prioridades identificadas para el sector por CNL</w:t>
            </w:r>
          </w:p>
        </w:tc>
        <w:tc>
          <w:tcPr>
            <w:tcW w:w="5490" w:type="dxa"/>
          </w:tcPr>
          <w:p w14:paraId="021E9FBB" w14:textId="0C7EA529" w:rsidR="00BC4D17" w:rsidRPr="00A02F7C" w:rsidRDefault="001C3BAE" w:rsidP="00BC4D17">
            <w:pPr>
              <w:jc w:val="both"/>
              <w:rPr>
                <w:rFonts w:ascii="Arial" w:hAnsi="Arial" w:cs="Arial"/>
                <w:sz w:val="20"/>
                <w:szCs w:val="20"/>
                <w:lang w:val="es-ES"/>
              </w:rPr>
            </w:pPr>
            <w:r>
              <w:rPr>
                <w:rFonts w:ascii="Arial" w:hAnsi="Arial" w:cs="Arial"/>
                <w:sz w:val="20"/>
                <w:szCs w:val="20"/>
                <w:lang w:val="es-ES_tradnl" w:eastAsia="zh-CN"/>
              </w:rPr>
              <w:t xml:space="preserve">El informe se realiza anualmente entre el mes de julio y septiembre. La CNL remite un informe en ese periodo que contiene el listado priorizado de intervenciones a INSEP, este último es el encargado de elevar la priorización a SEFIN. Previo a la existencia de la institucionalidad logística (CNL) el ejercicio de programación presupuestaria se realiza sin priorización específica para el sector por tanto la línea de base es cero. </w:t>
            </w:r>
            <w:r w:rsidR="00331D62">
              <w:rPr>
                <w:rFonts w:ascii="Arial" w:hAnsi="Arial" w:cs="Arial"/>
                <w:sz w:val="20"/>
                <w:szCs w:val="20"/>
                <w:lang w:val="es-ES_tradnl" w:eastAsia="zh-CN"/>
              </w:rPr>
              <w:t xml:space="preserve"> </w:t>
            </w:r>
          </w:p>
        </w:tc>
        <w:tc>
          <w:tcPr>
            <w:tcW w:w="1890" w:type="dxa"/>
            <w:shd w:val="clear" w:color="auto" w:fill="auto"/>
            <w:noWrap/>
            <w:vAlign w:val="center"/>
          </w:tcPr>
          <w:p w14:paraId="6BE287A5" w14:textId="77777777" w:rsidR="00B83537" w:rsidRPr="00B83537" w:rsidRDefault="00B83537" w:rsidP="00B83537">
            <w:pPr>
              <w:jc w:val="both"/>
              <w:rPr>
                <w:rFonts w:ascii="Arial" w:hAnsi="Arial" w:cs="Arial"/>
                <w:sz w:val="20"/>
                <w:szCs w:val="20"/>
                <w:lang w:val="es-ES_tradnl" w:eastAsia="zh-CN"/>
              </w:rPr>
            </w:pPr>
          </w:p>
          <w:p w14:paraId="6C7AC66B" w14:textId="77777777" w:rsidR="00BC4D17" w:rsidRPr="00A02F7C" w:rsidRDefault="00B83537" w:rsidP="00B83537">
            <w:pPr>
              <w:jc w:val="both"/>
              <w:rPr>
                <w:rFonts w:ascii="Arial" w:eastAsia="Times New Roman" w:hAnsi="Arial" w:cs="Arial"/>
                <w:sz w:val="20"/>
                <w:szCs w:val="20"/>
                <w:lang w:val="pt-BR"/>
              </w:rPr>
            </w:pPr>
            <w:r w:rsidRPr="00B83537">
              <w:rPr>
                <w:rFonts w:ascii="Arial" w:hAnsi="Arial" w:cs="Arial"/>
                <w:sz w:val="20"/>
                <w:szCs w:val="20"/>
                <w:lang w:val="es-ES_tradnl" w:eastAsia="zh-CN"/>
              </w:rPr>
              <w:t>Informe del CNL adjuntando las prioridades remitidas a INSEP.</w:t>
            </w:r>
          </w:p>
        </w:tc>
      </w:tr>
      <w:tr w:rsidR="00BC4D17" w:rsidRPr="000F3F24" w14:paraId="3A4451E9" w14:textId="77777777" w:rsidTr="00F64E64">
        <w:trPr>
          <w:trHeight w:val="53"/>
        </w:trPr>
        <w:tc>
          <w:tcPr>
            <w:tcW w:w="2700" w:type="dxa"/>
            <w:shd w:val="clear" w:color="auto" w:fill="auto"/>
            <w:noWrap/>
            <w:vAlign w:val="center"/>
          </w:tcPr>
          <w:p w14:paraId="4B83084F" w14:textId="63BC160E" w:rsidR="00BC4D17" w:rsidRPr="00A02F7C" w:rsidRDefault="00331D62" w:rsidP="00BC4D17">
            <w:pPr>
              <w:jc w:val="both"/>
              <w:rPr>
                <w:rFonts w:ascii="Arial" w:hAnsi="Arial" w:cs="Arial"/>
                <w:b/>
                <w:bCs/>
                <w:sz w:val="20"/>
                <w:szCs w:val="20"/>
                <w:lang w:val="es-HN"/>
              </w:rPr>
            </w:pPr>
            <w:r w:rsidRPr="005643D5">
              <w:rPr>
                <w:rFonts w:ascii="Arial" w:hAnsi="Arial" w:cs="Arial"/>
                <w:sz w:val="20"/>
                <w:szCs w:val="20"/>
                <w:lang w:val="es-ES_tradnl" w:eastAsia="zh-CN"/>
              </w:rPr>
              <w:t xml:space="preserve">Porcentaje de vehículos </w:t>
            </w:r>
            <w:r>
              <w:rPr>
                <w:rFonts w:ascii="Arial" w:hAnsi="Arial" w:cs="Arial"/>
                <w:sz w:val="20"/>
                <w:szCs w:val="20"/>
                <w:lang w:val="es-ES_tradnl" w:eastAsia="zh-CN"/>
              </w:rPr>
              <w:t xml:space="preserve">de </w:t>
            </w:r>
            <w:r w:rsidRPr="005643D5">
              <w:rPr>
                <w:rFonts w:ascii="Arial" w:hAnsi="Arial" w:cs="Arial"/>
                <w:sz w:val="20"/>
                <w:szCs w:val="20"/>
                <w:lang w:val="es-ES_tradnl" w:eastAsia="zh-CN"/>
              </w:rPr>
              <w:t xml:space="preserve">carga o remolque </w:t>
            </w:r>
            <w:r>
              <w:rPr>
                <w:rFonts w:ascii="Arial" w:hAnsi="Arial" w:cs="Arial"/>
                <w:sz w:val="20"/>
                <w:szCs w:val="20"/>
                <w:lang w:val="es-ES_tradnl" w:eastAsia="zh-CN"/>
              </w:rPr>
              <w:t xml:space="preserve">registrados, </w:t>
            </w:r>
            <w:r w:rsidRPr="005643D5">
              <w:rPr>
                <w:rFonts w:ascii="Arial" w:hAnsi="Arial" w:cs="Arial"/>
                <w:sz w:val="20"/>
                <w:szCs w:val="20"/>
                <w:lang w:val="es-ES_tradnl" w:eastAsia="zh-CN"/>
              </w:rPr>
              <w:t>asegurados cubriendo daños a terceros</w:t>
            </w:r>
          </w:p>
        </w:tc>
        <w:tc>
          <w:tcPr>
            <w:tcW w:w="5490" w:type="dxa"/>
          </w:tcPr>
          <w:p w14:paraId="7CE296F6" w14:textId="3E0513CB" w:rsidR="00BC4D17" w:rsidRPr="00A02F7C" w:rsidRDefault="001C3BAE" w:rsidP="00BC4D17">
            <w:pPr>
              <w:jc w:val="both"/>
              <w:rPr>
                <w:rFonts w:ascii="Arial" w:hAnsi="Arial" w:cs="Arial"/>
                <w:sz w:val="20"/>
                <w:szCs w:val="20"/>
                <w:lang w:val="es-HN"/>
              </w:rPr>
            </w:pPr>
            <w:r w:rsidRPr="00A7630C">
              <w:rPr>
                <w:rFonts w:ascii="Arial" w:hAnsi="Arial" w:cs="Arial"/>
                <w:sz w:val="20"/>
                <w:szCs w:val="20"/>
                <w:lang w:val="es-ES_tradnl"/>
              </w:rPr>
              <w:t>De la proyección de crecimiento de la cantidad de vehículo de carga total, el IHTT estima que</w:t>
            </w:r>
            <w:r>
              <w:rPr>
                <w:rFonts w:ascii="Arial" w:hAnsi="Arial" w:cs="Arial"/>
                <w:sz w:val="20"/>
                <w:szCs w:val="20"/>
                <w:lang w:val="es-ES_tradnl"/>
              </w:rPr>
              <w:t xml:space="preserve"> al 2020 </w:t>
            </w:r>
            <w:r w:rsidRPr="00A7630C">
              <w:rPr>
                <w:rFonts w:ascii="Arial" w:hAnsi="Arial" w:cs="Arial"/>
                <w:sz w:val="20"/>
                <w:szCs w:val="20"/>
                <w:lang w:val="es-ES_tradnl"/>
              </w:rPr>
              <w:t>el reglamento se encontra</w:t>
            </w:r>
            <w:r>
              <w:rPr>
                <w:rFonts w:ascii="Arial" w:hAnsi="Arial" w:cs="Arial"/>
                <w:sz w:val="20"/>
                <w:szCs w:val="20"/>
                <w:lang w:val="es-ES_tradnl"/>
              </w:rPr>
              <w:t>r</w:t>
            </w:r>
            <w:r w:rsidRPr="00A7630C">
              <w:rPr>
                <w:rFonts w:ascii="Arial" w:hAnsi="Arial" w:cs="Arial"/>
                <w:sz w:val="20"/>
                <w:szCs w:val="20"/>
                <w:lang w:val="es-ES_tradnl"/>
              </w:rPr>
              <w:t>á aprobado y socializado</w:t>
            </w:r>
            <w:r>
              <w:rPr>
                <w:rFonts w:ascii="Arial" w:hAnsi="Arial" w:cs="Arial"/>
                <w:sz w:val="20"/>
                <w:szCs w:val="20"/>
                <w:lang w:val="es-ES_tradnl"/>
              </w:rPr>
              <w:t>,</w:t>
            </w:r>
            <w:r w:rsidRPr="00A7630C">
              <w:rPr>
                <w:rFonts w:ascii="Arial" w:hAnsi="Arial" w:cs="Arial"/>
                <w:sz w:val="20"/>
                <w:szCs w:val="20"/>
                <w:lang w:val="es-ES_tradnl"/>
              </w:rPr>
              <w:t xml:space="preserve"> </w:t>
            </w:r>
            <w:r>
              <w:rPr>
                <w:rFonts w:ascii="Arial" w:hAnsi="Arial" w:cs="Arial"/>
                <w:sz w:val="20"/>
                <w:szCs w:val="20"/>
                <w:lang w:val="es-ES_tradnl"/>
              </w:rPr>
              <w:t xml:space="preserve">consecuentemente, como meta; </w:t>
            </w:r>
            <w:r w:rsidRPr="00A7630C">
              <w:rPr>
                <w:rFonts w:ascii="Arial" w:hAnsi="Arial" w:cs="Arial"/>
                <w:sz w:val="20"/>
                <w:szCs w:val="20"/>
                <w:lang w:val="es-ES_tradnl"/>
              </w:rPr>
              <w:t xml:space="preserve">el 50% del total de vehículos de carga se encontrarán asegurados. Esto significa 31,961 vehículos de </w:t>
            </w:r>
            <w:r w:rsidRPr="00A7630C">
              <w:rPr>
                <w:rFonts w:ascii="Arial" w:hAnsi="Arial" w:cs="Arial"/>
                <w:sz w:val="20"/>
                <w:szCs w:val="20"/>
                <w:lang w:val="es-ES_tradnl"/>
              </w:rPr>
              <w:lastRenderedPageBreak/>
              <w:t>carga asegurados para el año 2022.</w:t>
            </w:r>
            <w:r>
              <w:rPr>
                <w:rFonts w:ascii="Arial" w:hAnsi="Arial" w:cs="Arial"/>
                <w:sz w:val="20"/>
                <w:szCs w:val="20"/>
                <w:lang w:val="es-ES_tradnl"/>
              </w:rPr>
              <w:t xml:space="preserve"> La línea base es cero, debido a que antes de la promulgación de los reglamentos específicos, no existía obligatoriedad para obtener seguro con cobertura a daños a terceros para los vehículos de carga o remolque. </w:t>
            </w:r>
          </w:p>
        </w:tc>
        <w:tc>
          <w:tcPr>
            <w:tcW w:w="1890" w:type="dxa"/>
            <w:shd w:val="clear" w:color="auto" w:fill="auto"/>
            <w:noWrap/>
            <w:vAlign w:val="center"/>
          </w:tcPr>
          <w:p w14:paraId="1BC65A86" w14:textId="77777777" w:rsidR="001C3BAE" w:rsidRPr="00F11126" w:rsidRDefault="001C3BAE" w:rsidP="001C3BAE">
            <w:pPr>
              <w:spacing w:before="120" w:after="120"/>
              <w:rPr>
                <w:rFonts w:ascii="Arial" w:hAnsi="Arial" w:cs="Arial"/>
                <w:bCs/>
                <w:sz w:val="20"/>
                <w:szCs w:val="20"/>
                <w:lang w:val="es-HN" w:eastAsia="zh-CN"/>
              </w:rPr>
            </w:pPr>
            <w:r>
              <w:rPr>
                <w:rFonts w:ascii="Arial" w:hAnsi="Arial" w:cs="Arial"/>
                <w:bCs/>
                <w:sz w:val="20"/>
                <w:szCs w:val="20"/>
                <w:lang w:val="es-HN" w:eastAsia="zh-CN"/>
              </w:rPr>
              <w:lastRenderedPageBreak/>
              <w:t>Base de datos del I</w:t>
            </w:r>
            <w:r w:rsidRPr="00F11126">
              <w:rPr>
                <w:rFonts w:ascii="Arial" w:hAnsi="Arial" w:cs="Arial"/>
                <w:bCs/>
                <w:sz w:val="20"/>
                <w:szCs w:val="20"/>
                <w:lang w:val="es-HN" w:eastAsia="zh-CN"/>
              </w:rPr>
              <w:t xml:space="preserve">nstituto de la Propiedad </w:t>
            </w:r>
            <w:r>
              <w:rPr>
                <w:rFonts w:ascii="Arial" w:hAnsi="Arial" w:cs="Arial"/>
                <w:bCs/>
                <w:sz w:val="20"/>
                <w:szCs w:val="20"/>
                <w:lang w:val="es-HN" w:eastAsia="zh-CN"/>
              </w:rPr>
              <w:t xml:space="preserve">de Honduras a partir del </w:t>
            </w:r>
            <w:r w:rsidRPr="00BA1616">
              <w:rPr>
                <w:rFonts w:ascii="Arial" w:hAnsi="Arial" w:cs="Arial"/>
                <w:bCs/>
                <w:sz w:val="20"/>
                <w:szCs w:val="20"/>
                <w:lang w:val="es-HN" w:eastAsia="zh-CN"/>
              </w:rPr>
              <w:t xml:space="preserve">otorgamiento </w:t>
            </w:r>
            <w:r w:rsidRPr="00BA1616">
              <w:rPr>
                <w:rFonts w:ascii="Arial" w:hAnsi="Arial" w:cs="Arial"/>
                <w:bCs/>
                <w:sz w:val="20"/>
                <w:szCs w:val="20"/>
                <w:lang w:val="es-HN" w:eastAsia="zh-CN"/>
              </w:rPr>
              <w:lastRenderedPageBreak/>
              <w:t>de revisiones vehiculares</w:t>
            </w:r>
            <w:r>
              <w:rPr>
                <w:rFonts w:ascii="Arial" w:hAnsi="Arial" w:cs="Arial"/>
                <w:bCs/>
                <w:sz w:val="20"/>
                <w:szCs w:val="20"/>
                <w:lang w:val="es-HN" w:eastAsia="zh-CN"/>
              </w:rPr>
              <w:t>.</w:t>
            </w:r>
          </w:p>
          <w:p w14:paraId="238B8399" w14:textId="63D52EC2" w:rsidR="00BC4D17" w:rsidRPr="00B83537" w:rsidRDefault="00BC4D17" w:rsidP="00BC4D17">
            <w:pPr>
              <w:jc w:val="both"/>
              <w:rPr>
                <w:rFonts w:ascii="Arial" w:eastAsia="Times New Roman" w:hAnsi="Arial" w:cs="Arial"/>
                <w:sz w:val="20"/>
                <w:szCs w:val="20"/>
                <w:lang w:val="es-ES_tradnl"/>
              </w:rPr>
            </w:pPr>
          </w:p>
        </w:tc>
      </w:tr>
      <w:tr w:rsidR="00BC4D17" w:rsidRPr="00844F4F" w14:paraId="62B1099D" w14:textId="77777777" w:rsidTr="00F64E64">
        <w:trPr>
          <w:trHeight w:val="53"/>
        </w:trPr>
        <w:tc>
          <w:tcPr>
            <w:tcW w:w="2700" w:type="dxa"/>
            <w:shd w:val="clear" w:color="auto" w:fill="auto"/>
            <w:noWrap/>
            <w:vAlign w:val="center"/>
          </w:tcPr>
          <w:p w14:paraId="6A071C80" w14:textId="77777777" w:rsidR="00150F30" w:rsidRPr="00A02F7C" w:rsidRDefault="00B83537" w:rsidP="00150F30">
            <w:pPr>
              <w:pStyle w:val="ListParagraph"/>
              <w:spacing w:after="0" w:line="240" w:lineRule="auto"/>
              <w:ind w:left="0"/>
              <w:rPr>
                <w:rFonts w:ascii="Arial" w:hAnsi="Arial" w:cs="Arial"/>
                <w:sz w:val="20"/>
                <w:szCs w:val="20"/>
                <w:lang w:val="es-ES_tradnl" w:eastAsia="zh-CN"/>
              </w:rPr>
            </w:pPr>
            <w:r w:rsidRPr="00106374">
              <w:rPr>
                <w:rFonts w:ascii="Arial" w:hAnsi="Arial" w:cs="Arial"/>
                <w:sz w:val="20"/>
                <w:szCs w:val="20"/>
                <w:lang w:val="es-ES_tradnl" w:eastAsia="zh-CN"/>
              </w:rPr>
              <w:lastRenderedPageBreak/>
              <w:t>N</w:t>
            </w:r>
            <w:r>
              <w:rPr>
                <w:rFonts w:ascii="Arial" w:hAnsi="Arial" w:cs="Arial"/>
                <w:sz w:val="20"/>
                <w:szCs w:val="20"/>
                <w:lang w:val="es-ES_tradnl" w:eastAsia="zh-CN"/>
              </w:rPr>
              <w:t>ú</w:t>
            </w:r>
            <w:r w:rsidRPr="00106374">
              <w:rPr>
                <w:rFonts w:ascii="Arial" w:hAnsi="Arial" w:cs="Arial"/>
                <w:sz w:val="20"/>
                <w:szCs w:val="20"/>
                <w:lang w:val="es-ES_tradnl" w:eastAsia="zh-CN"/>
              </w:rPr>
              <w:t>m</w:t>
            </w:r>
            <w:r>
              <w:rPr>
                <w:rFonts w:ascii="Arial" w:hAnsi="Arial" w:cs="Arial"/>
                <w:sz w:val="20"/>
                <w:szCs w:val="20"/>
                <w:lang w:val="es-ES_tradnl" w:eastAsia="zh-CN"/>
              </w:rPr>
              <w:t>e</w:t>
            </w:r>
            <w:r w:rsidRPr="00106374">
              <w:rPr>
                <w:rFonts w:ascii="Arial" w:hAnsi="Arial" w:cs="Arial"/>
                <w:sz w:val="20"/>
                <w:szCs w:val="20"/>
                <w:lang w:val="es-ES_tradnl" w:eastAsia="zh-CN"/>
              </w:rPr>
              <w:t xml:space="preserve">ro de vehículos </w:t>
            </w:r>
            <w:r>
              <w:rPr>
                <w:rFonts w:ascii="Arial" w:hAnsi="Arial" w:cs="Arial"/>
                <w:sz w:val="20"/>
                <w:szCs w:val="20"/>
                <w:lang w:val="es-ES_tradnl" w:eastAsia="zh-CN"/>
              </w:rPr>
              <w:t xml:space="preserve">de carga </w:t>
            </w:r>
            <w:r w:rsidRPr="00106374">
              <w:rPr>
                <w:rFonts w:ascii="Arial" w:hAnsi="Arial" w:cs="Arial"/>
                <w:sz w:val="20"/>
                <w:szCs w:val="20"/>
                <w:lang w:val="es-ES_tradnl" w:eastAsia="zh-CN"/>
              </w:rPr>
              <w:t>registrados usando la tarjeta inteligente</w:t>
            </w:r>
          </w:p>
          <w:p w14:paraId="2DDD57EE" w14:textId="77777777" w:rsidR="00BC4D17" w:rsidRPr="00A02F7C" w:rsidRDefault="00BC4D17" w:rsidP="00BC4D17">
            <w:pPr>
              <w:jc w:val="both"/>
              <w:rPr>
                <w:rFonts w:ascii="Arial" w:hAnsi="Arial" w:cs="Arial"/>
                <w:b/>
                <w:bCs/>
                <w:sz w:val="20"/>
                <w:szCs w:val="20"/>
                <w:lang w:val="es-HN"/>
              </w:rPr>
            </w:pPr>
          </w:p>
        </w:tc>
        <w:tc>
          <w:tcPr>
            <w:tcW w:w="5490" w:type="dxa"/>
          </w:tcPr>
          <w:p w14:paraId="1F8321DA" w14:textId="144674DD" w:rsidR="00BC4D17" w:rsidRPr="00A02F7C" w:rsidRDefault="001C3BAE" w:rsidP="00BC4D17">
            <w:pPr>
              <w:jc w:val="both"/>
              <w:rPr>
                <w:rFonts w:ascii="Arial" w:hAnsi="Arial" w:cs="Arial"/>
                <w:sz w:val="20"/>
                <w:szCs w:val="20"/>
                <w:lang w:val="es-HN"/>
              </w:rPr>
            </w:pPr>
            <w:r w:rsidRPr="005026D3">
              <w:rPr>
                <w:rFonts w:ascii="Arial" w:hAnsi="Arial" w:cs="Arial"/>
                <w:sz w:val="20"/>
                <w:szCs w:val="20"/>
                <w:lang w:val="es-ES_tradnl"/>
              </w:rPr>
              <w:t xml:space="preserve">La línea base se toma de la información provista por el IHTT sobre la cantidad de vehículos que se encuentran usando la tarjeta inteligente en el </w:t>
            </w:r>
            <w:r>
              <w:rPr>
                <w:rFonts w:ascii="Arial" w:hAnsi="Arial" w:cs="Arial"/>
                <w:sz w:val="20"/>
                <w:szCs w:val="20"/>
                <w:lang w:val="es-ES_tradnl"/>
              </w:rPr>
              <w:t xml:space="preserve">año </w:t>
            </w:r>
            <w:r w:rsidRPr="005026D3">
              <w:rPr>
                <w:rFonts w:ascii="Arial" w:hAnsi="Arial" w:cs="Arial"/>
                <w:sz w:val="20"/>
                <w:szCs w:val="20"/>
                <w:lang w:val="es-ES_tradnl"/>
              </w:rPr>
              <w:t xml:space="preserve">base. La estimación se realiza a partir de la </w:t>
            </w:r>
            <w:r>
              <w:rPr>
                <w:rFonts w:ascii="Arial" w:hAnsi="Arial" w:cs="Arial"/>
                <w:sz w:val="20"/>
                <w:szCs w:val="20"/>
                <w:lang w:val="es-ES_tradnl"/>
              </w:rPr>
              <w:t>contabilización de</w:t>
            </w:r>
            <w:r w:rsidRPr="005026D3">
              <w:rPr>
                <w:rFonts w:ascii="Arial" w:hAnsi="Arial" w:cs="Arial"/>
                <w:sz w:val="20"/>
                <w:szCs w:val="20"/>
                <w:lang w:val="es-ES_tradnl"/>
              </w:rPr>
              <w:t xml:space="preserve"> la cantidad de vehículos registrados bajo la modalidad previa a la tarjeta inteligente, al momento de</w:t>
            </w:r>
            <w:r w:rsidRPr="00F11126">
              <w:rPr>
                <w:rFonts w:ascii="Arial" w:hAnsi="Arial" w:cs="Arial"/>
                <w:sz w:val="20"/>
                <w:szCs w:val="20"/>
                <w:lang w:val="es-ES_tradnl"/>
              </w:rPr>
              <w:t xml:space="preserve"> la línea base y cuyo certificado se vencerán al 2022 y que por ende entrarán al nuevo sistema de registro de vehículos.</w:t>
            </w:r>
          </w:p>
        </w:tc>
        <w:tc>
          <w:tcPr>
            <w:tcW w:w="1890" w:type="dxa"/>
            <w:shd w:val="clear" w:color="auto" w:fill="auto"/>
            <w:noWrap/>
            <w:vAlign w:val="center"/>
          </w:tcPr>
          <w:p w14:paraId="04B65A40" w14:textId="77777777" w:rsidR="00BC4D17" w:rsidRPr="00A02F7C" w:rsidRDefault="00B83537" w:rsidP="00BC4D17">
            <w:pPr>
              <w:jc w:val="both"/>
              <w:rPr>
                <w:rFonts w:ascii="Arial" w:eastAsia="Times New Roman" w:hAnsi="Arial" w:cs="Arial"/>
                <w:sz w:val="20"/>
                <w:szCs w:val="20"/>
                <w:lang w:val="es-HN"/>
              </w:rPr>
            </w:pPr>
            <w:r>
              <w:rPr>
                <w:rFonts w:ascii="Arial" w:hAnsi="Arial" w:cs="Arial"/>
                <w:sz w:val="20"/>
                <w:szCs w:val="20"/>
                <w:lang w:val="es-ES_tradnl" w:eastAsia="zh-CN"/>
              </w:rPr>
              <w:t>Reporte del IHTT</w:t>
            </w:r>
            <w:r w:rsidR="006E6CF6" w:rsidRPr="00A02F7C">
              <w:rPr>
                <w:rFonts w:ascii="Arial" w:hAnsi="Arial" w:cs="Arial"/>
                <w:sz w:val="20"/>
                <w:szCs w:val="20"/>
                <w:lang w:val="es-ES_tradnl" w:eastAsia="zh-CN"/>
              </w:rPr>
              <w:t xml:space="preserve"> </w:t>
            </w:r>
          </w:p>
        </w:tc>
      </w:tr>
      <w:tr w:rsidR="00BC4D17" w:rsidRPr="00844F4F" w14:paraId="5305F0FA" w14:textId="77777777" w:rsidTr="00F64E64">
        <w:trPr>
          <w:trHeight w:val="53"/>
        </w:trPr>
        <w:tc>
          <w:tcPr>
            <w:tcW w:w="2700" w:type="dxa"/>
            <w:shd w:val="clear" w:color="auto" w:fill="auto"/>
            <w:noWrap/>
            <w:vAlign w:val="center"/>
          </w:tcPr>
          <w:p w14:paraId="3CCAA700" w14:textId="77777777" w:rsidR="001C3BAE" w:rsidRDefault="001C3BAE" w:rsidP="001C3BAE">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Número de certificaciones a pilotos otorgadas por la Escuela Nacional de Transporte.</w:t>
            </w:r>
          </w:p>
          <w:p w14:paraId="45A75E1C" w14:textId="77777777" w:rsidR="00BC4D17" w:rsidRPr="00B83537" w:rsidRDefault="00BC4D17" w:rsidP="00BC4D17">
            <w:pPr>
              <w:jc w:val="both"/>
              <w:rPr>
                <w:rFonts w:ascii="Arial" w:hAnsi="Arial" w:cs="Arial"/>
                <w:b/>
                <w:bCs/>
                <w:sz w:val="20"/>
                <w:szCs w:val="20"/>
                <w:lang w:val="es-ES_tradnl"/>
              </w:rPr>
            </w:pPr>
          </w:p>
        </w:tc>
        <w:tc>
          <w:tcPr>
            <w:tcW w:w="5490" w:type="dxa"/>
          </w:tcPr>
          <w:p w14:paraId="40D22C04" w14:textId="7CAA5204" w:rsidR="00BC4D17" w:rsidRPr="00203B75" w:rsidRDefault="001C3BAE" w:rsidP="00BC4D17">
            <w:pPr>
              <w:jc w:val="both"/>
              <w:rPr>
                <w:rFonts w:ascii="Arial" w:hAnsi="Arial" w:cs="Arial"/>
                <w:sz w:val="20"/>
                <w:szCs w:val="20"/>
                <w:lang w:val="es-ES"/>
              </w:rPr>
            </w:pPr>
            <w:r>
              <w:rPr>
                <w:rFonts w:ascii="Arial" w:hAnsi="Arial" w:cs="Arial"/>
                <w:sz w:val="20"/>
                <w:szCs w:val="20"/>
                <w:lang w:val="es-ES_tradnl" w:eastAsia="zh-CN"/>
              </w:rPr>
              <w:t>El p</w:t>
            </w:r>
            <w:r w:rsidRPr="002B67A8">
              <w:rPr>
                <w:rFonts w:ascii="Arial" w:hAnsi="Arial" w:cs="Arial"/>
                <w:sz w:val="20"/>
                <w:szCs w:val="20"/>
                <w:lang w:val="es-ES_tradnl" w:eastAsia="zh-CN"/>
              </w:rPr>
              <w:t xml:space="preserve">ronóstico se realiza en base a la cuantificación de las renovaciones de licencias esperadas al 2022 ya que, de acuerdo </w:t>
            </w:r>
            <w:r>
              <w:rPr>
                <w:rFonts w:ascii="Arial" w:hAnsi="Arial" w:cs="Arial"/>
                <w:sz w:val="20"/>
                <w:szCs w:val="20"/>
                <w:lang w:val="es-ES_tradnl" w:eastAsia="zh-CN"/>
              </w:rPr>
              <w:t>con</w:t>
            </w:r>
            <w:r w:rsidRPr="002B67A8">
              <w:rPr>
                <w:rFonts w:ascii="Arial" w:hAnsi="Arial" w:cs="Arial"/>
                <w:sz w:val="20"/>
                <w:szCs w:val="20"/>
                <w:lang w:val="es-ES_tradnl" w:eastAsia="zh-CN"/>
              </w:rPr>
              <w:t xml:space="preserve"> la </w:t>
            </w:r>
            <w:r>
              <w:rPr>
                <w:rFonts w:ascii="Arial" w:hAnsi="Arial" w:cs="Arial"/>
                <w:sz w:val="20"/>
                <w:szCs w:val="20"/>
                <w:lang w:val="es-ES_tradnl" w:eastAsia="zh-CN"/>
              </w:rPr>
              <w:t xml:space="preserve">implementación </w:t>
            </w:r>
            <w:r w:rsidRPr="002B67A8">
              <w:rPr>
                <w:rFonts w:ascii="Arial" w:hAnsi="Arial" w:cs="Arial"/>
                <w:sz w:val="20"/>
                <w:szCs w:val="20"/>
                <w:lang w:val="es-ES_tradnl" w:eastAsia="zh-CN"/>
              </w:rPr>
              <w:t xml:space="preserve">normativa </w:t>
            </w:r>
            <w:r>
              <w:rPr>
                <w:rFonts w:ascii="Arial" w:hAnsi="Arial" w:cs="Arial"/>
                <w:sz w:val="20"/>
                <w:szCs w:val="20"/>
                <w:lang w:val="es-ES_tradnl" w:eastAsia="zh-CN"/>
              </w:rPr>
              <w:t xml:space="preserve">relacionada a la puesta en </w:t>
            </w:r>
            <w:r w:rsidRPr="0045522C">
              <w:rPr>
                <w:rFonts w:ascii="Arial" w:hAnsi="Arial" w:cs="Arial"/>
                <w:sz w:val="20"/>
                <w:szCs w:val="20"/>
                <w:lang w:val="es-HN" w:eastAsia="zh-CN"/>
              </w:rPr>
              <w:t xml:space="preserve">operaciones la Escuela Nacional </w:t>
            </w:r>
            <w:r>
              <w:rPr>
                <w:rFonts w:ascii="Arial" w:hAnsi="Arial" w:cs="Arial"/>
                <w:sz w:val="20"/>
                <w:szCs w:val="20"/>
                <w:lang w:val="es-HN" w:eastAsia="zh-CN"/>
              </w:rPr>
              <w:t>de Pilotos</w:t>
            </w:r>
            <w:r w:rsidRPr="002B67A8">
              <w:rPr>
                <w:rFonts w:ascii="Arial" w:hAnsi="Arial" w:cs="Arial"/>
                <w:sz w:val="20"/>
                <w:szCs w:val="20"/>
                <w:lang w:val="es-ES_tradnl" w:eastAsia="zh-CN"/>
              </w:rPr>
              <w:t>, no se puede emitir una nueva licencia si</w:t>
            </w:r>
            <w:r>
              <w:rPr>
                <w:rFonts w:ascii="Arial" w:hAnsi="Arial" w:cs="Arial"/>
                <w:sz w:val="20"/>
                <w:szCs w:val="20"/>
                <w:lang w:val="es-ES_tradnl" w:eastAsia="zh-CN"/>
              </w:rPr>
              <w:t>n</w:t>
            </w:r>
            <w:r w:rsidRPr="002B67A8">
              <w:rPr>
                <w:rFonts w:ascii="Arial" w:hAnsi="Arial" w:cs="Arial"/>
                <w:sz w:val="20"/>
                <w:szCs w:val="20"/>
                <w:lang w:val="es-ES_tradnl" w:eastAsia="zh-CN"/>
              </w:rPr>
              <w:t xml:space="preserve"> un certificado de capacitación. La proyección se basa en </w:t>
            </w:r>
            <w:r>
              <w:rPr>
                <w:rFonts w:ascii="Arial" w:hAnsi="Arial" w:cs="Arial"/>
                <w:sz w:val="20"/>
                <w:szCs w:val="20"/>
                <w:lang w:val="es-ES_tradnl" w:eastAsia="zh-CN"/>
              </w:rPr>
              <w:t>las licencias a otorgarse al 2022 de las cuales el 25% de las acreditaciones serán otorgadas por la Escueta Nacional de Transporte. En el año base, la Escuela Nacional de Transporte no existe por lo cual son cero las certificaciones otorgadas.</w:t>
            </w:r>
          </w:p>
        </w:tc>
        <w:tc>
          <w:tcPr>
            <w:tcW w:w="1890" w:type="dxa"/>
            <w:shd w:val="clear" w:color="auto" w:fill="auto"/>
            <w:noWrap/>
            <w:vAlign w:val="center"/>
          </w:tcPr>
          <w:p w14:paraId="59EF791B" w14:textId="42B1EE89" w:rsidR="00BC4D17" w:rsidRPr="00A02F7C" w:rsidRDefault="001C3BAE" w:rsidP="00BC4D17">
            <w:pPr>
              <w:jc w:val="both"/>
              <w:rPr>
                <w:rFonts w:ascii="Arial" w:eastAsia="Times New Roman" w:hAnsi="Arial" w:cs="Arial"/>
                <w:sz w:val="20"/>
                <w:szCs w:val="20"/>
                <w:lang w:val="es-HN"/>
              </w:rPr>
            </w:pPr>
            <w:r w:rsidRPr="00453E54">
              <w:rPr>
                <w:rFonts w:ascii="Arial" w:hAnsi="Arial" w:cs="Arial"/>
                <w:sz w:val="20"/>
                <w:szCs w:val="20"/>
                <w:lang w:val="es-ES_tradnl" w:eastAsia="zh-CN"/>
              </w:rPr>
              <w:t xml:space="preserve">Registro de pilotos </w:t>
            </w:r>
            <w:r>
              <w:rPr>
                <w:rFonts w:ascii="Arial" w:hAnsi="Arial" w:cs="Arial"/>
                <w:sz w:val="20"/>
                <w:szCs w:val="20"/>
                <w:lang w:val="es-ES_tradnl" w:eastAsia="zh-CN"/>
              </w:rPr>
              <w:t>de la Escuela Nacional de Transporte. IHTT.</w:t>
            </w:r>
          </w:p>
        </w:tc>
      </w:tr>
      <w:tr w:rsidR="001C3BAE" w:rsidRPr="001C3BAE" w14:paraId="10372ACF" w14:textId="77777777" w:rsidTr="00F64E64">
        <w:trPr>
          <w:trHeight w:val="53"/>
        </w:trPr>
        <w:tc>
          <w:tcPr>
            <w:tcW w:w="2700" w:type="dxa"/>
            <w:shd w:val="clear" w:color="auto" w:fill="auto"/>
            <w:noWrap/>
            <w:vAlign w:val="center"/>
          </w:tcPr>
          <w:p w14:paraId="25FA7D70" w14:textId="77777777" w:rsidR="001C3BAE" w:rsidRDefault="001C3BAE" w:rsidP="001C3BAE">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Número de certificaciones a pilotos otorgadas a mujeres por la Escuela Nacional de Transporte.</w:t>
            </w:r>
          </w:p>
          <w:p w14:paraId="15AB0AA1" w14:textId="77777777" w:rsidR="001C3BAE" w:rsidRDefault="001C3BAE" w:rsidP="001C3BAE">
            <w:pPr>
              <w:pStyle w:val="ListParagraph"/>
              <w:spacing w:after="0" w:line="240" w:lineRule="auto"/>
              <w:ind w:left="0"/>
              <w:rPr>
                <w:rFonts w:ascii="Arial" w:hAnsi="Arial" w:cs="Arial"/>
                <w:sz w:val="20"/>
                <w:szCs w:val="20"/>
                <w:lang w:val="es-ES_tradnl" w:eastAsia="zh-CN"/>
              </w:rPr>
            </w:pPr>
          </w:p>
        </w:tc>
        <w:tc>
          <w:tcPr>
            <w:tcW w:w="5490" w:type="dxa"/>
          </w:tcPr>
          <w:p w14:paraId="5DC38D44" w14:textId="77777777" w:rsidR="001C3BAE" w:rsidRDefault="001C3BAE" w:rsidP="00BC4D17">
            <w:pPr>
              <w:jc w:val="both"/>
              <w:rPr>
                <w:rFonts w:ascii="Arial" w:hAnsi="Arial" w:cs="Arial"/>
                <w:sz w:val="20"/>
                <w:szCs w:val="20"/>
                <w:lang w:val="es-ES_tradnl" w:eastAsia="zh-CN"/>
              </w:rPr>
            </w:pPr>
            <w:r>
              <w:rPr>
                <w:rFonts w:ascii="Arial" w:hAnsi="Arial" w:cs="Arial"/>
                <w:sz w:val="20"/>
                <w:szCs w:val="20"/>
                <w:lang w:val="es-ES_tradnl" w:eastAsia="zh-CN"/>
              </w:rPr>
              <w:t>Como impactos del plan de incentivos a desarrollarse, se prevé que, del total de certificaciones a pilotos, un 10% corresponderá a certificados otorgados a mujeres. En el año base, la Escuela Nacional de Transporte no existe por lo cual son cero las certificaciones otorgadas.</w:t>
            </w:r>
          </w:p>
        </w:tc>
        <w:tc>
          <w:tcPr>
            <w:tcW w:w="1890" w:type="dxa"/>
            <w:shd w:val="clear" w:color="auto" w:fill="auto"/>
            <w:noWrap/>
            <w:vAlign w:val="center"/>
          </w:tcPr>
          <w:p w14:paraId="320F4E2F" w14:textId="77777777" w:rsidR="001C3BAE" w:rsidRPr="00A02F7C" w:rsidRDefault="001C3BAE" w:rsidP="00BC4D17">
            <w:pPr>
              <w:jc w:val="both"/>
              <w:rPr>
                <w:rFonts w:ascii="Arial" w:hAnsi="Arial" w:cs="Arial"/>
                <w:sz w:val="20"/>
                <w:szCs w:val="20"/>
                <w:lang w:val="es-ES_tradnl" w:eastAsia="zh-CN"/>
              </w:rPr>
            </w:pPr>
            <w:r w:rsidRPr="00453E54">
              <w:rPr>
                <w:rFonts w:ascii="Arial" w:hAnsi="Arial" w:cs="Arial"/>
                <w:sz w:val="20"/>
                <w:szCs w:val="20"/>
                <w:lang w:val="es-ES_tradnl" w:eastAsia="zh-CN"/>
              </w:rPr>
              <w:t xml:space="preserve">Registro de pilotos </w:t>
            </w:r>
            <w:r>
              <w:rPr>
                <w:rFonts w:ascii="Arial" w:hAnsi="Arial" w:cs="Arial"/>
                <w:sz w:val="20"/>
                <w:szCs w:val="20"/>
                <w:lang w:val="es-ES_tradnl" w:eastAsia="zh-CN"/>
              </w:rPr>
              <w:t>de la Escuela Nacional de Transporte. IHTT.</w:t>
            </w:r>
          </w:p>
        </w:tc>
      </w:tr>
      <w:tr w:rsidR="00B83537" w:rsidRPr="000F3F24" w14:paraId="474AAD67" w14:textId="77777777" w:rsidTr="00F64E64">
        <w:trPr>
          <w:trHeight w:val="53"/>
        </w:trPr>
        <w:tc>
          <w:tcPr>
            <w:tcW w:w="2700" w:type="dxa"/>
            <w:shd w:val="clear" w:color="auto" w:fill="auto"/>
            <w:noWrap/>
            <w:vAlign w:val="center"/>
          </w:tcPr>
          <w:p w14:paraId="2F71F07C" w14:textId="77777777" w:rsidR="00B83537" w:rsidRDefault="00B83537" w:rsidP="00B83537">
            <w:pPr>
              <w:pStyle w:val="ListParagraph"/>
              <w:spacing w:after="0" w:line="240" w:lineRule="auto"/>
              <w:ind w:left="0"/>
              <w:rPr>
                <w:rFonts w:ascii="Arial" w:hAnsi="Arial" w:cs="Arial"/>
                <w:sz w:val="20"/>
                <w:szCs w:val="20"/>
                <w:lang w:val="es-ES_tradnl" w:eastAsia="zh-CN"/>
              </w:rPr>
            </w:pPr>
            <w:r w:rsidRPr="007F60FD">
              <w:rPr>
                <w:rFonts w:ascii="Arial" w:hAnsi="Arial" w:cs="Arial"/>
                <w:sz w:val="20"/>
                <w:szCs w:val="20"/>
                <w:lang w:val="es-ES_tradnl" w:eastAsia="zh-CN"/>
              </w:rPr>
              <w:t>Tiempos de cruce del puesto fronterizos en la Aduana el Amatillo (HO-ES)</w:t>
            </w:r>
          </w:p>
        </w:tc>
        <w:tc>
          <w:tcPr>
            <w:tcW w:w="5490" w:type="dxa"/>
          </w:tcPr>
          <w:p w14:paraId="4123A21C" w14:textId="28A2AFB9" w:rsidR="00B83537" w:rsidRPr="00B83537" w:rsidRDefault="001C3BAE" w:rsidP="00BC4D17">
            <w:pPr>
              <w:jc w:val="both"/>
              <w:rPr>
                <w:rFonts w:ascii="Arial" w:hAnsi="Arial" w:cs="Arial"/>
                <w:sz w:val="20"/>
                <w:szCs w:val="20"/>
                <w:lang w:val="es-ES_tradnl"/>
              </w:rPr>
            </w:pPr>
            <w:r w:rsidRPr="002B67A8">
              <w:rPr>
                <w:rFonts w:ascii="Arial" w:hAnsi="Arial" w:cs="Arial"/>
                <w:color w:val="000000"/>
                <w:sz w:val="20"/>
                <w:szCs w:val="50"/>
                <w:lang w:val="es-ES_tradnl" w:eastAsia="zh-CN"/>
              </w:rPr>
              <w:t xml:space="preserve"> El indicador corresponde a los tiempos de procesamiento de las exportaciones de ES a HO en canal rojo. La gestión coordinada de frontera en cabecera única, sin la necesidad que el conductor se baje de la unidad de transporte es una mejora que se estima reducirá el tiempo de procesamiento hasta en un 60% </w:t>
            </w:r>
            <w:r>
              <w:rPr>
                <w:rFonts w:ascii="Arial" w:hAnsi="Arial" w:cs="Arial"/>
                <w:color w:val="000000"/>
                <w:sz w:val="20"/>
                <w:szCs w:val="50"/>
                <w:lang w:val="es-ES_tradnl" w:eastAsia="zh-CN"/>
              </w:rPr>
              <w:t>para</w:t>
            </w:r>
            <w:r w:rsidRPr="002B67A8">
              <w:rPr>
                <w:rFonts w:ascii="Arial" w:hAnsi="Arial" w:cs="Arial"/>
                <w:color w:val="000000"/>
                <w:sz w:val="20"/>
                <w:szCs w:val="50"/>
                <w:lang w:val="es-ES_tradnl" w:eastAsia="zh-CN"/>
              </w:rPr>
              <w:t xml:space="preserve"> exportaciones en canal rojo.</w:t>
            </w:r>
            <w:r>
              <w:rPr>
                <w:rFonts w:ascii="Arial" w:hAnsi="Arial" w:cs="Arial"/>
                <w:color w:val="000000"/>
                <w:sz w:val="20"/>
                <w:szCs w:val="50"/>
                <w:lang w:val="es-ES_tradnl" w:eastAsia="zh-CN"/>
              </w:rPr>
              <w:t xml:space="preserve"> Los factores relevantes tomados en cuenta que inciden en la reducción en los tiempos de despacho en el Amatillo son </w:t>
            </w:r>
            <w:r w:rsidRPr="006B547B">
              <w:rPr>
                <w:rFonts w:ascii="Arial" w:hAnsi="Arial" w:cs="Arial"/>
                <w:color w:val="000000"/>
                <w:sz w:val="20"/>
                <w:szCs w:val="50"/>
                <w:lang w:val="es-ES_tradnl" w:eastAsia="zh-CN"/>
              </w:rPr>
              <w:t>la interoperabilidad de la información, la realización</w:t>
            </w:r>
            <w:r>
              <w:rPr>
                <w:rFonts w:ascii="Arial" w:hAnsi="Arial" w:cs="Arial"/>
                <w:color w:val="000000"/>
                <w:sz w:val="20"/>
                <w:szCs w:val="50"/>
                <w:lang w:val="es-ES_tradnl" w:eastAsia="zh-CN"/>
              </w:rPr>
              <w:t xml:space="preserve"> </w:t>
            </w:r>
            <w:r w:rsidRPr="006B547B">
              <w:rPr>
                <w:rFonts w:ascii="Arial" w:hAnsi="Arial" w:cs="Arial"/>
                <w:color w:val="000000"/>
                <w:sz w:val="20"/>
                <w:szCs w:val="50"/>
                <w:lang w:val="es-ES_tradnl" w:eastAsia="zh-CN"/>
              </w:rPr>
              <w:t>de controles basados en la gestión integral del riesgo,</w:t>
            </w:r>
            <w:r>
              <w:rPr>
                <w:rFonts w:ascii="Arial" w:hAnsi="Arial" w:cs="Arial"/>
                <w:color w:val="000000"/>
                <w:sz w:val="20"/>
                <w:szCs w:val="50"/>
                <w:lang w:val="es-ES_tradnl" w:eastAsia="zh-CN"/>
              </w:rPr>
              <w:t xml:space="preserve"> </w:t>
            </w:r>
            <w:r w:rsidRPr="006B547B">
              <w:rPr>
                <w:rFonts w:ascii="Arial" w:hAnsi="Arial" w:cs="Arial"/>
                <w:color w:val="000000"/>
                <w:sz w:val="20"/>
                <w:szCs w:val="50"/>
                <w:lang w:val="es-ES_tradnl" w:eastAsia="zh-CN"/>
              </w:rPr>
              <w:t xml:space="preserve">operadores económicos confiables, </w:t>
            </w:r>
            <w:r>
              <w:rPr>
                <w:rFonts w:ascii="Arial" w:hAnsi="Arial" w:cs="Arial"/>
                <w:color w:val="000000"/>
                <w:sz w:val="20"/>
                <w:szCs w:val="50"/>
                <w:lang w:val="es-ES_tradnl" w:eastAsia="zh-CN"/>
              </w:rPr>
              <w:t>mejoras en el</w:t>
            </w:r>
            <w:r w:rsidRPr="006B547B">
              <w:rPr>
                <w:rFonts w:ascii="Arial" w:hAnsi="Arial" w:cs="Arial"/>
                <w:color w:val="000000"/>
                <w:sz w:val="20"/>
                <w:szCs w:val="50"/>
                <w:lang w:val="es-ES_tradnl" w:eastAsia="zh-CN"/>
              </w:rPr>
              <w:t xml:space="preserve"> equipamiento fronterizo</w:t>
            </w:r>
            <w:r>
              <w:rPr>
                <w:rFonts w:ascii="Arial" w:hAnsi="Arial" w:cs="Arial"/>
                <w:color w:val="000000"/>
                <w:sz w:val="20"/>
                <w:szCs w:val="50"/>
                <w:lang w:val="es-ES_tradnl" w:eastAsia="zh-CN"/>
              </w:rPr>
              <w:t xml:space="preserve"> y </w:t>
            </w:r>
            <w:r w:rsidRPr="006B547B">
              <w:rPr>
                <w:rFonts w:ascii="Arial" w:hAnsi="Arial" w:cs="Arial"/>
                <w:color w:val="000000"/>
                <w:sz w:val="20"/>
                <w:szCs w:val="50"/>
                <w:lang w:val="es-ES_tradnl" w:eastAsia="zh-CN"/>
              </w:rPr>
              <w:t>la coordinación e integración de los procedimientos</w:t>
            </w:r>
            <w:r>
              <w:rPr>
                <w:rFonts w:ascii="Arial" w:hAnsi="Arial" w:cs="Arial"/>
                <w:color w:val="000000"/>
                <w:sz w:val="20"/>
                <w:szCs w:val="50"/>
                <w:lang w:val="es-ES_tradnl" w:eastAsia="zh-CN"/>
              </w:rPr>
              <w:t xml:space="preserve"> </w:t>
            </w:r>
            <w:r w:rsidRPr="006B547B">
              <w:rPr>
                <w:rFonts w:ascii="Arial" w:hAnsi="Arial" w:cs="Arial"/>
                <w:color w:val="000000"/>
                <w:sz w:val="20"/>
                <w:szCs w:val="50"/>
                <w:lang w:val="es-ES_tradnl" w:eastAsia="zh-CN"/>
              </w:rPr>
              <w:t>de control</w:t>
            </w:r>
            <w:r>
              <w:rPr>
                <w:rFonts w:ascii="Arial" w:hAnsi="Arial" w:cs="Arial"/>
                <w:color w:val="000000"/>
                <w:sz w:val="20"/>
                <w:szCs w:val="50"/>
                <w:lang w:val="es-ES_tradnl" w:eastAsia="zh-CN"/>
              </w:rPr>
              <w:t>.</w:t>
            </w:r>
          </w:p>
        </w:tc>
        <w:tc>
          <w:tcPr>
            <w:tcW w:w="1890" w:type="dxa"/>
            <w:shd w:val="clear" w:color="auto" w:fill="auto"/>
            <w:noWrap/>
            <w:vAlign w:val="center"/>
          </w:tcPr>
          <w:p w14:paraId="0F0ED694" w14:textId="77777777" w:rsidR="00B83537" w:rsidRPr="00A02F7C" w:rsidRDefault="00B83537" w:rsidP="00BC4D17">
            <w:pPr>
              <w:jc w:val="both"/>
              <w:rPr>
                <w:rFonts w:ascii="Arial" w:hAnsi="Arial" w:cs="Arial"/>
                <w:sz w:val="20"/>
                <w:szCs w:val="20"/>
                <w:lang w:val="es-ES_tradnl" w:eastAsia="zh-CN"/>
              </w:rPr>
            </w:pPr>
            <w:r w:rsidRPr="007F60FD">
              <w:rPr>
                <w:rFonts w:ascii="Arial" w:hAnsi="Arial" w:cs="Arial"/>
                <w:sz w:val="20"/>
                <w:szCs w:val="20"/>
                <w:lang w:val="es-ES_tradnl" w:eastAsia="zh-CN"/>
              </w:rPr>
              <w:t>Reporte de la Dirección General de Aduanas (DARA)</w:t>
            </w:r>
          </w:p>
        </w:tc>
      </w:tr>
    </w:tbl>
    <w:p w14:paraId="16EB26C1" w14:textId="77777777" w:rsidR="00B04E9F" w:rsidRPr="00A02F7C" w:rsidRDefault="00B04E9F" w:rsidP="002A34B5">
      <w:pPr>
        <w:pStyle w:val="Title"/>
        <w:tabs>
          <w:tab w:val="clear" w:pos="1440"/>
          <w:tab w:val="clear" w:pos="3060"/>
        </w:tabs>
        <w:spacing w:line="276" w:lineRule="auto"/>
        <w:jc w:val="both"/>
        <w:outlineLvl w:val="9"/>
        <w:rPr>
          <w:rFonts w:ascii="Arial" w:hAnsi="Arial" w:cs="Arial"/>
          <w:lang w:val="es-ES"/>
        </w:rPr>
      </w:pPr>
    </w:p>
    <w:p w14:paraId="563A87E3" w14:textId="77777777" w:rsidR="00701E82" w:rsidRPr="00A02F7C" w:rsidRDefault="00701E82" w:rsidP="002A34B5">
      <w:pPr>
        <w:pStyle w:val="Title"/>
        <w:tabs>
          <w:tab w:val="clear" w:pos="1440"/>
          <w:tab w:val="clear" w:pos="3060"/>
        </w:tabs>
        <w:spacing w:line="276" w:lineRule="auto"/>
        <w:jc w:val="both"/>
        <w:outlineLvl w:val="9"/>
        <w:rPr>
          <w:rFonts w:ascii="Arial" w:hAnsi="Arial" w:cs="Arial"/>
          <w:lang w:val="es-ES"/>
        </w:rPr>
      </w:pPr>
    </w:p>
    <w:p w14:paraId="1E7BFE23" w14:textId="77777777" w:rsidR="00F13F8A" w:rsidRPr="00A02F7C" w:rsidRDefault="00F13F8A" w:rsidP="00F7295F">
      <w:pPr>
        <w:pStyle w:val="ColorfulList-Accent11"/>
        <w:numPr>
          <w:ilvl w:val="1"/>
          <w:numId w:val="2"/>
        </w:numPr>
        <w:spacing w:after="0"/>
        <w:ind w:left="360"/>
        <w:jc w:val="both"/>
        <w:outlineLvl w:val="1"/>
        <w:rPr>
          <w:rFonts w:ascii="Arial" w:hAnsi="Arial" w:cs="Arial"/>
          <w:b/>
          <w:bCs/>
          <w:lang w:val="es-ES"/>
        </w:rPr>
      </w:pPr>
      <w:bookmarkStart w:id="22" w:name="_Toc468954067"/>
      <w:r w:rsidRPr="00A02F7C">
        <w:rPr>
          <w:rFonts w:ascii="Arial" w:hAnsi="Arial" w:cs="Arial"/>
          <w:b/>
          <w:bCs/>
          <w:lang w:val="es-ES"/>
        </w:rPr>
        <w:t>Conocimiento sectorial previo</w:t>
      </w:r>
      <w:bookmarkEnd w:id="22"/>
    </w:p>
    <w:p w14:paraId="15D1430F" w14:textId="77777777" w:rsidR="00F13F8A" w:rsidRPr="00A02F7C" w:rsidRDefault="00F13F8A" w:rsidP="00E77C9C">
      <w:pPr>
        <w:rPr>
          <w:rFonts w:ascii="Arial" w:hAnsi="Arial" w:cs="Arial"/>
        </w:rPr>
      </w:pPr>
    </w:p>
    <w:p w14:paraId="18064EB9" w14:textId="77777777" w:rsidR="00BF3FBB" w:rsidRPr="00A02F7C" w:rsidRDefault="00BF3FBB" w:rsidP="00BF3FBB">
      <w:pPr>
        <w:pStyle w:val="Paragraph"/>
        <w:tabs>
          <w:tab w:val="clear" w:pos="1440"/>
        </w:tabs>
        <w:ind w:left="0" w:firstLine="0"/>
        <w:rPr>
          <w:rFonts w:ascii="Arial" w:hAnsi="Arial" w:cs="Arial"/>
          <w:lang w:val="es-ES"/>
        </w:rPr>
      </w:pPr>
      <w:r w:rsidRPr="00A02F7C">
        <w:rPr>
          <w:rFonts w:ascii="Arial" w:hAnsi="Arial" w:cs="Arial"/>
          <w:lang w:val="es-ES"/>
        </w:rPr>
        <w:t>El desarrollo del sector transporte y logística de cargas es prioritario en la agenda de desarrollo y competitividad de Honduras debido a su relevancia en los principales sectores y cadenas productivas de exportación</w:t>
      </w:r>
      <w:r w:rsidRPr="00A02F7C">
        <w:rPr>
          <w:rFonts w:ascii="Arial" w:hAnsi="Arial" w:cs="Arial"/>
          <w:sz w:val="16"/>
          <w:szCs w:val="16"/>
          <w:lang w:val="es-ES"/>
        </w:rPr>
        <w:footnoteReference w:customMarkFollows="1" w:id="4"/>
        <w:t>6</w:t>
      </w:r>
      <w:r w:rsidRPr="00A02F7C">
        <w:rPr>
          <w:rFonts w:ascii="Arial" w:hAnsi="Arial" w:cs="Arial"/>
          <w:lang w:val="es-ES"/>
        </w:rPr>
        <w:t xml:space="preserve">. Honduras juega un rol importante en </w:t>
      </w:r>
      <w:r w:rsidRPr="00A02F7C">
        <w:rPr>
          <w:rFonts w:ascii="Arial" w:hAnsi="Arial" w:cs="Arial"/>
          <w:lang w:val="es-ES"/>
        </w:rPr>
        <w:lastRenderedPageBreak/>
        <w:t xml:space="preserve">la integración regional y global, destacando la infraestructura logística que el país ofrece a los países vecinos, como Puerto Cortés, </w:t>
      </w:r>
      <w:r w:rsidR="00D0724A" w:rsidRPr="00A02F7C">
        <w:rPr>
          <w:rFonts w:ascii="Arial" w:hAnsi="Arial" w:cs="Arial"/>
          <w:lang w:val="es-ES"/>
        </w:rPr>
        <w:t xml:space="preserve">dando apoyo </w:t>
      </w:r>
      <w:r w:rsidRPr="00A02F7C">
        <w:rPr>
          <w:rFonts w:ascii="Arial" w:hAnsi="Arial" w:cs="Arial"/>
          <w:lang w:val="es-ES"/>
        </w:rPr>
        <w:t>regional para el comercio atlántico, que moviliza carga de importación y exportación tanto de Honduras, como de El Salvador y Nicaragua</w:t>
      </w:r>
      <w:r w:rsidRPr="00A02F7C">
        <w:rPr>
          <w:rFonts w:ascii="Arial" w:hAnsi="Arial" w:cs="Arial"/>
          <w:sz w:val="16"/>
          <w:szCs w:val="16"/>
          <w:lang w:val="es-ES"/>
        </w:rPr>
        <w:footnoteReference w:customMarkFollows="1" w:id="5"/>
        <w:t>7</w:t>
      </w:r>
      <w:r w:rsidRPr="00A02F7C">
        <w:rPr>
          <w:rFonts w:ascii="Arial" w:hAnsi="Arial" w:cs="Arial"/>
          <w:lang w:val="es-ES"/>
        </w:rPr>
        <w:t xml:space="preserve">. Adicionalmente por el país discurren importantes corredores logísticos regionales que movilizan cadenas mesoamericanas del café, aceite de palma y papel. En los últimos cuatro años se han modernizado los principales ejes viales, incluyendo, por ejemplo: el Corredor Pacífico y el Corredor Logístico de Puerto Cortés-San Pedro Sula-Puerto Acajutla. </w:t>
      </w:r>
    </w:p>
    <w:p w14:paraId="4506D27E" w14:textId="77777777" w:rsidR="00BF3FBB" w:rsidRDefault="00BF3FBB" w:rsidP="00A60123">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Puerto Cort</w:t>
      </w:r>
      <w:r w:rsidR="00A60123" w:rsidRPr="00A02F7C">
        <w:rPr>
          <w:rFonts w:ascii="Arial" w:hAnsi="Arial" w:cs="Arial"/>
          <w:lang w:val="es-ES"/>
        </w:rPr>
        <w:t>é</w:t>
      </w:r>
      <w:r w:rsidRPr="00A02F7C">
        <w:rPr>
          <w:rFonts w:ascii="Arial" w:hAnsi="Arial" w:cs="Arial"/>
          <w:lang w:val="es-ES"/>
        </w:rPr>
        <w:t>s representa una oportunidad estratégica para la consolidación del país como nodo clave en las cadenas multimodales de suministro tanto nacionales como regionales. Las principales cadenas productivas que utilizan el sistema logístico de Puerto Cortés pertenecen a los sectores agrícola, agroindustrial alimenticio y no alimenticio y manufacturero; en particular las maquilas. Es de destacar que los sectores agrícola y manufacturero para exportación son subsistemas priorizados en el Plan Nacional de Logística (PNLOG)</w:t>
      </w:r>
      <w:r w:rsidRPr="00A02F7C">
        <w:rPr>
          <w:rFonts w:ascii="Arial" w:hAnsi="Arial" w:cs="Arial"/>
          <w:sz w:val="16"/>
          <w:szCs w:val="16"/>
          <w:lang w:val="es-ES"/>
        </w:rPr>
        <w:footnoteReference w:customMarkFollows="1" w:id="6"/>
        <w:t>8</w:t>
      </w:r>
      <w:r w:rsidRPr="00A02F7C">
        <w:rPr>
          <w:rFonts w:ascii="Arial" w:hAnsi="Arial" w:cs="Arial"/>
          <w:lang w:val="es-ES"/>
        </w:rPr>
        <w:t xml:space="preserve"> y en el Plan de Acción Inmediata (PAI)</w:t>
      </w:r>
      <w:r w:rsidRPr="00A02F7C">
        <w:rPr>
          <w:rFonts w:ascii="Arial" w:hAnsi="Arial" w:cs="Arial"/>
          <w:sz w:val="16"/>
          <w:szCs w:val="16"/>
          <w:lang w:val="es-ES"/>
        </w:rPr>
        <w:footnoteReference w:customMarkFollows="1" w:id="7"/>
        <w:t>9</w:t>
      </w:r>
      <w:r w:rsidRPr="00A02F7C">
        <w:rPr>
          <w:rFonts w:ascii="Arial" w:hAnsi="Arial" w:cs="Arial"/>
          <w:lang w:val="es-ES"/>
        </w:rPr>
        <w:t xml:space="preserve">, por su relevancia socioeconómica. </w:t>
      </w:r>
      <w:proofErr w:type="gramStart"/>
      <w:r w:rsidRPr="00A02F7C">
        <w:rPr>
          <w:rFonts w:ascii="Arial" w:hAnsi="Arial" w:cs="Arial"/>
          <w:lang w:val="es-ES"/>
        </w:rPr>
        <w:t>En relación a</w:t>
      </w:r>
      <w:proofErr w:type="gramEnd"/>
      <w:r w:rsidRPr="00A02F7C">
        <w:rPr>
          <w:rFonts w:ascii="Arial" w:hAnsi="Arial" w:cs="Arial"/>
          <w:lang w:val="es-ES"/>
        </w:rPr>
        <w:t xml:space="preserve"> las áreas geográficas prioritarias, la mejora de eficiencia del Conglomerado Logístico del Norte</w:t>
      </w:r>
      <w:r w:rsidRPr="00A02F7C">
        <w:rPr>
          <w:rFonts w:ascii="Arial" w:hAnsi="Arial" w:cs="Arial"/>
          <w:lang w:val="es-ES"/>
        </w:rPr>
        <w:footnoteReference w:customMarkFollows="1" w:id="8"/>
        <w:t>10, significaría un salto cualitativo en la principal oferta logística del país, al atraer inversiones. Los procesos logísticos y de comercio exterior son mejorables, por ejemplo, a través de la adopción de gestiones aduaneras integradas y electrónicas que puedan operativizar la Ventanilla Única de Comercio Exterior (VUCE).</w:t>
      </w:r>
    </w:p>
    <w:p w14:paraId="31C609F6" w14:textId="77777777" w:rsidR="0060350C" w:rsidRPr="00A02F7C" w:rsidRDefault="0060350C" w:rsidP="00A60123">
      <w:pPr>
        <w:pStyle w:val="Title"/>
        <w:tabs>
          <w:tab w:val="clear" w:pos="1440"/>
          <w:tab w:val="clear" w:pos="3060"/>
        </w:tabs>
        <w:spacing w:line="276" w:lineRule="auto"/>
        <w:jc w:val="both"/>
        <w:rPr>
          <w:rFonts w:ascii="Arial" w:hAnsi="Arial" w:cs="Arial"/>
          <w:lang w:val="es-ES"/>
        </w:rPr>
      </w:pPr>
    </w:p>
    <w:p w14:paraId="1578E236" w14:textId="77777777" w:rsidR="00BF3FBB" w:rsidRPr="00A02F7C" w:rsidRDefault="00BF3FBB" w:rsidP="00A60123">
      <w:pPr>
        <w:pStyle w:val="Title"/>
        <w:tabs>
          <w:tab w:val="clear" w:pos="1440"/>
          <w:tab w:val="clear" w:pos="3060"/>
        </w:tabs>
        <w:spacing w:line="276" w:lineRule="auto"/>
        <w:jc w:val="both"/>
        <w:rPr>
          <w:rFonts w:ascii="Arial" w:hAnsi="Arial" w:cs="Arial"/>
          <w:lang w:val="es-ES"/>
        </w:rPr>
      </w:pPr>
      <w:bookmarkStart w:id="23" w:name="_Ref512536994"/>
      <w:r w:rsidRPr="00A02F7C">
        <w:rPr>
          <w:rFonts w:ascii="Arial" w:hAnsi="Arial" w:cs="Arial"/>
          <w:lang w:val="es-ES"/>
        </w:rPr>
        <w:t>Pese a su potencial, en 2016 Honduras se ubicó en el puesto 103 del Índice de Desempeño Logístico (LPI) por detrás de El Salvador (puesto 64) o Panamá (45). El diagnóstico del PNLOG establece que los principales problemas de desempeño están vinculados a los elevados costos logísticos</w:t>
      </w:r>
      <w:r w:rsidRPr="00A02F7C">
        <w:rPr>
          <w:rFonts w:ascii="Arial" w:hAnsi="Arial" w:cs="Arial"/>
          <w:sz w:val="16"/>
          <w:szCs w:val="16"/>
          <w:lang w:val="es-ES"/>
        </w:rPr>
        <w:footnoteReference w:customMarkFollows="1" w:id="9"/>
        <w:t>11</w:t>
      </w:r>
      <w:r w:rsidRPr="00A02F7C">
        <w:rPr>
          <w:rFonts w:ascii="Arial" w:hAnsi="Arial" w:cs="Arial"/>
          <w:lang w:val="es-ES"/>
        </w:rPr>
        <w:t>, producto de la pobre calidad de redes viales, pérdidas por falta de instalaciones de frío y demoras por ineficiencias en procesos de comercio exterior, entre otros.</w:t>
      </w:r>
      <w:bookmarkEnd w:id="23"/>
      <w:r w:rsidRPr="00A02F7C">
        <w:rPr>
          <w:rFonts w:ascii="Arial" w:hAnsi="Arial" w:cs="Arial"/>
          <w:lang w:val="es-ES"/>
        </w:rPr>
        <w:t xml:space="preserve"> </w:t>
      </w:r>
    </w:p>
    <w:p w14:paraId="598ADBCD" w14:textId="77777777" w:rsidR="00083ABD" w:rsidRDefault="00083ABD" w:rsidP="00A60123">
      <w:pPr>
        <w:pStyle w:val="Title"/>
        <w:tabs>
          <w:tab w:val="clear" w:pos="1440"/>
          <w:tab w:val="clear" w:pos="3060"/>
        </w:tabs>
        <w:spacing w:line="276" w:lineRule="auto"/>
        <w:jc w:val="both"/>
        <w:rPr>
          <w:rFonts w:ascii="Arial" w:hAnsi="Arial" w:cs="Arial"/>
          <w:lang w:val="es-ES"/>
        </w:rPr>
      </w:pPr>
    </w:p>
    <w:p w14:paraId="3F1F2B6D" w14:textId="77777777" w:rsidR="00BF3FBB" w:rsidRPr="00A02F7C" w:rsidRDefault="00BF3FBB" w:rsidP="00A60123">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 xml:space="preserve">Para lograr mayor eficiencia logística y competitividad, las inversiones en infraestructura de transporte y logística deben contar con instrumentos de planificación adecuados, e ir acompañadas de mejoras en el marco regulatorio y fortalecimiento institucional del sector logístico, así como de los procesos de comercio exterior. El BID ha apoyado al país en la elaboración de su PNLOG, (2016) y su reciente actualización </w:t>
      </w:r>
      <w:r w:rsidRPr="00A02F7C">
        <w:rPr>
          <w:rFonts w:ascii="Arial" w:hAnsi="Arial" w:cs="Arial"/>
          <w:lang w:val="es-ES"/>
        </w:rPr>
        <w:lastRenderedPageBreak/>
        <w:t xml:space="preserve">(2017), complementado con su respectivo PAI, resultado del acuerdo de los actores clave del país sobre las prioridades de corto y mediano plazo. La implementación del PAI requiere de un mecanismo de articulación eficiente entre las distintas instituciones públicas y privadas del sector. Para lograr la sostenibilidad de esta articulación y la correcta implementación de acciones, la institucionalidad debe ser específica y apuntalada con instrumentos normativos y regulatorios adecuados. </w:t>
      </w:r>
    </w:p>
    <w:p w14:paraId="29D1DA47" w14:textId="77777777" w:rsidR="00BF3FBB" w:rsidRPr="00A02F7C" w:rsidRDefault="00BF3FBB" w:rsidP="00BF3FBB">
      <w:pPr>
        <w:rPr>
          <w:rFonts w:ascii="Arial" w:hAnsi="Arial" w:cs="Arial"/>
          <w:sz w:val="22"/>
          <w:szCs w:val="22"/>
          <w:lang w:val="es-HN"/>
        </w:rPr>
      </w:pPr>
    </w:p>
    <w:p w14:paraId="72AF9BEC" w14:textId="77777777" w:rsidR="00BF3FBB" w:rsidRPr="00A02F7C" w:rsidRDefault="00BF3FBB" w:rsidP="00A60123">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Las reformas del programa contribuirán a mejorar la eficiencia logística del país y su inserción en los mercados internacionales a través de un marco normativo y regulatorio orientado a las necesidades del sector; con institucionalidad específica coordinada capaz de llevar a cabo una planificación integral; empleando herramientas y procedimientos modernos alineados con el contexto regional. Estas mejoras sentarán las bases e incentivos para el establecimiento de infraestructura logística especializada, servicios de transporte y logística de calidad y la consolidación de la Unión Aduanera Centroamericana.</w:t>
      </w:r>
    </w:p>
    <w:p w14:paraId="55FDAD89" w14:textId="77777777" w:rsidR="00375649" w:rsidRPr="00A02F7C" w:rsidRDefault="00375649" w:rsidP="00646F1C">
      <w:pPr>
        <w:pStyle w:val="Title"/>
        <w:tabs>
          <w:tab w:val="clear" w:pos="1440"/>
          <w:tab w:val="clear" w:pos="3060"/>
        </w:tabs>
        <w:spacing w:line="276" w:lineRule="auto"/>
        <w:jc w:val="both"/>
        <w:outlineLvl w:val="9"/>
        <w:rPr>
          <w:rFonts w:ascii="Arial" w:hAnsi="Arial" w:cs="Arial"/>
          <w:lang w:val="es-ES_tradnl"/>
        </w:rPr>
      </w:pPr>
    </w:p>
    <w:p w14:paraId="7FF743E5" w14:textId="77777777" w:rsidR="007A2F3E" w:rsidRPr="00A02F7C" w:rsidRDefault="00B04E9F" w:rsidP="00F7295F">
      <w:pPr>
        <w:pStyle w:val="ColorfulList-Accent11"/>
        <w:numPr>
          <w:ilvl w:val="1"/>
          <w:numId w:val="2"/>
        </w:numPr>
        <w:spacing w:after="0"/>
        <w:ind w:left="360"/>
        <w:jc w:val="both"/>
        <w:outlineLvl w:val="1"/>
        <w:rPr>
          <w:rFonts w:ascii="Arial" w:hAnsi="Arial" w:cs="Arial"/>
          <w:b/>
          <w:bCs/>
          <w:lang w:val="es-ES"/>
        </w:rPr>
      </w:pPr>
      <w:bookmarkStart w:id="24" w:name="_Toc468893964"/>
      <w:bookmarkStart w:id="25" w:name="_Toc468954068"/>
      <w:bookmarkStart w:id="26" w:name="_Toc468893965"/>
      <w:bookmarkStart w:id="27" w:name="_Toc468954069"/>
      <w:bookmarkStart w:id="28" w:name="_Toc468893966"/>
      <w:bookmarkStart w:id="29" w:name="_Toc468954070"/>
      <w:bookmarkStart w:id="30" w:name="_Toc468893967"/>
      <w:bookmarkStart w:id="31" w:name="_Toc468954071"/>
      <w:bookmarkStart w:id="32" w:name="_Toc468893968"/>
      <w:bookmarkStart w:id="33" w:name="_Toc468954072"/>
      <w:bookmarkStart w:id="34" w:name="_Toc468893969"/>
      <w:bookmarkStart w:id="35" w:name="_Toc468954073"/>
      <w:bookmarkStart w:id="36" w:name="_Toc468893970"/>
      <w:bookmarkStart w:id="37" w:name="_Toc468954074"/>
      <w:bookmarkStart w:id="38" w:name="_Toc468893995"/>
      <w:bookmarkStart w:id="39" w:name="_Toc468954099"/>
      <w:bookmarkStart w:id="40" w:name="_Toc46895410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A02F7C">
        <w:rPr>
          <w:rFonts w:ascii="Arial" w:hAnsi="Arial" w:cs="Arial"/>
          <w:b/>
          <w:bCs/>
          <w:lang w:val="es-ES"/>
        </w:rPr>
        <w:t>Metodología de E</w:t>
      </w:r>
      <w:r w:rsidR="007A2F3E" w:rsidRPr="00A02F7C">
        <w:rPr>
          <w:rFonts w:ascii="Arial" w:hAnsi="Arial" w:cs="Arial"/>
          <w:b/>
          <w:bCs/>
          <w:lang w:val="es-ES"/>
        </w:rPr>
        <w:t>valuación</w:t>
      </w:r>
      <w:bookmarkEnd w:id="40"/>
    </w:p>
    <w:p w14:paraId="4BF4B44F" w14:textId="77777777" w:rsidR="00B04E9F" w:rsidRPr="00A02F7C" w:rsidRDefault="00B04E9F" w:rsidP="00E77C9C">
      <w:pPr>
        <w:rPr>
          <w:rFonts w:ascii="Arial" w:hAnsi="Arial" w:cs="Arial"/>
        </w:rPr>
      </w:pPr>
    </w:p>
    <w:p w14:paraId="05B607F4" w14:textId="77777777" w:rsidR="00F82E41" w:rsidRPr="00A02F7C" w:rsidRDefault="00F82E41"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La metodología de evaluación se basará por un lado, en un análisis reflexivo de los indicadores de la Matriz de Resultados, que comparará la línea base antes de la intervención con las metas alcanzadas al finalizar el Programa, permitiendo verificación del grado de logro de los objetivos y metas formulados en el programa.</w:t>
      </w:r>
    </w:p>
    <w:p w14:paraId="335BD988" w14:textId="77777777" w:rsidR="00701E82" w:rsidRPr="00A02F7C" w:rsidRDefault="00701E82" w:rsidP="00F82E41">
      <w:pPr>
        <w:pStyle w:val="Title"/>
        <w:tabs>
          <w:tab w:val="clear" w:pos="1440"/>
          <w:tab w:val="clear" w:pos="3060"/>
        </w:tabs>
        <w:spacing w:line="276" w:lineRule="auto"/>
        <w:jc w:val="both"/>
        <w:outlineLvl w:val="9"/>
        <w:rPr>
          <w:rFonts w:ascii="Arial" w:hAnsi="Arial" w:cs="Arial"/>
          <w:lang w:val="es-ES"/>
        </w:rPr>
      </w:pPr>
    </w:p>
    <w:p w14:paraId="65B51198" w14:textId="77777777" w:rsidR="00764E3C" w:rsidRPr="00A02F7C" w:rsidRDefault="00764E3C" w:rsidP="00F82E41">
      <w:pPr>
        <w:pStyle w:val="Title"/>
        <w:tabs>
          <w:tab w:val="clear" w:pos="1440"/>
          <w:tab w:val="clear" w:pos="3060"/>
        </w:tabs>
        <w:spacing w:line="276" w:lineRule="auto"/>
        <w:jc w:val="both"/>
        <w:outlineLvl w:val="9"/>
        <w:rPr>
          <w:rFonts w:ascii="Arial" w:hAnsi="Arial" w:cs="Arial"/>
          <w:lang w:val="es-ES"/>
        </w:rPr>
      </w:pPr>
    </w:p>
    <w:p w14:paraId="6E70D03A" w14:textId="77777777" w:rsidR="00F82E41" w:rsidRPr="00A02F7C" w:rsidRDefault="00F82E41" w:rsidP="00F64E64">
      <w:pPr>
        <w:pStyle w:val="Caption"/>
        <w:keepNext/>
        <w:spacing w:after="0" w:line="276" w:lineRule="auto"/>
        <w:jc w:val="center"/>
        <w:rPr>
          <w:rFonts w:ascii="Arial" w:hAnsi="Arial" w:cs="Arial"/>
          <w:b/>
          <w:bCs/>
          <w:i w:val="0"/>
          <w:iCs w:val="0"/>
          <w:color w:val="000000"/>
          <w:lang w:val="es-ES"/>
        </w:rPr>
      </w:pPr>
      <w:r w:rsidRPr="00A02F7C">
        <w:rPr>
          <w:rFonts w:ascii="Arial" w:hAnsi="Arial" w:cs="Arial"/>
          <w:b/>
          <w:bCs/>
          <w:i w:val="0"/>
          <w:iCs w:val="0"/>
          <w:color w:val="000000"/>
          <w:lang w:val="es-ES"/>
        </w:rPr>
        <w:t xml:space="preserve">Tabla </w:t>
      </w:r>
      <w:r w:rsidRPr="00A02F7C">
        <w:rPr>
          <w:rFonts w:ascii="Arial" w:hAnsi="Arial" w:cs="Arial"/>
        </w:rPr>
        <w:fldChar w:fldCharType="begin"/>
      </w:r>
      <w:r w:rsidRPr="00A02F7C">
        <w:rPr>
          <w:rFonts w:ascii="Arial" w:hAnsi="Arial" w:cs="Arial"/>
          <w:b/>
          <w:i w:val="0"/>
          <w:color w:val="000000"/>
          <w:lang w:val="es-ES"/>
        </w:rPr>
        <w:instrText xml:space="preserve"> SEQ Tabla \* ARABIC </w:instrText>
      </w:r>
      <w:r w:rsidRPr="00A02F7C">
        <w:rPr>
          <w:rFonts w:ascii="Arial" w:hAnsi="Arial" w:cs="Arial"/>
          <w:b/>
          <w:i w:val="0"/>
          <w:color w:val="000000"/>
          <w:lang w:val="es-ES"/>
        </w:rPr>
        <w:fldChar w:fldCharType="separate"/>
      </w:r>
      <w:r w:rsidR="000A6E76" w:rsidRPr="00A02F7C">
        <w:rPr>
          <w:rFonts w:ascii="Arial" w:hAnsi="Arial" w:cs="Arial"/>
          <w:b/>
          <w:bCs/>
          <w:i w:val="0"/>
          <w:iCs w:val="0"/>
          <w:noProof/>
          <w:color w:val="000000"/>
          <w:lang w:val="es-ES"/>
        </w:rPr>
        <w:t>7</w:t>
      </w:r>
      <w:r w:rsidRPr="00A02F7C">
        <w:rPr>
          <w:rFonts w:ascii="Arial" w:hAnsi="Arial" w:cs="Arial"/>
        </w:rPr>
        <w:fldChar w:fldCharType="end"/>
      </w:r>
      <w:r w:rsidRPr="00A02F7C">
        <w:rPr>
          <w:rFonts w:ascii="Arial" w:hAnsi="Arial" w:cs="Arial"/>
          <w:b/>
          <w:bCs/>
          <w:i w:val="0"/>
          <w:iCs w:val="0"/>
          <w:color w:val="000000"/>
          <w:lang w:val="es-ES"/>
        </w:rPr>
        <w:t>. Indicadores para la Evaluación Reflexiva</w:t>
      </w:r>
    </w:p>
    <w:tbl>
      <w:tblPr>
        <w:tblStyle w:val="TableGrid"/>
        <w:tblW w:w="0" w:type="auto"/>
        <w:jc w:val="center"/>
        <w:tblLook w:val="04A0" w:firstRow="1" w:lastRow="0" w:firstColumn="1" w:lastColumn="0" w:noHBand="0" w:noVBand="1"/>
      </w:tblPr>
      <w:tblGrid>
        <w:gridCol w:w="3887"/>
        <w:gridCol w:w="717"/>
        <w:gridCol w:w="767"/>
        <w:gridCol w:w="3792"/>
      </w:tblGrid>
      <w:tr w:rsidR="00F82E41" w:rsidRPr="00A02F7C" w14:paraId="75780B45" w14:textId="77777777" w:rsidTr="00F64E64">
        <w:trPr>
          <w:tblHeader/>
          <w:jc w:val="center"/>
        </w:trPr>
        <w:tc>
          <w:tcPr>
            <w:tcW w:w="0" w:type="auto"/>
            <w:shd w:val="clear" w:color="auto" w:fill="A6A6A6" w:themeFill="background1" w:themeFillShade="A6"/>
            <w:vAlign w:val="center"/>
          </w:tcPr>
          <w:p w14:paraId="78F1435E" w14:textId="77777777" w:rsidR="00F82E41" w:rsidRPr="00A02F7C" w:rsidRDefault="00F82E41">
            <w:pPr>
              <w:pStyle w:val="Default"/>
              <w:contextualSpacing/>
              <w:jc w:val="center"/>
              <w:rPr>
                <w:b/>
                <w:bCs/>
                <w:sz w:val="18"/>
                <w:szCs w:val="18"/>
                <w:lang w:val="es-ES"/>
              </w:rPr>
            </w:pPr>
            <w:r w:rsidRPr="00A02F7C">
              <w:rPr>
                <w:b/>
                <w:bCs/>
                <w:sz w:val="18"/>
                <w:szCs w:val="18"/>
                <w:lang w:val="es-ES"/>
              </w:rPr>
              <w:t>Indicador</w:t>
            </w:r>
          </w:p>
        </w:tc>
        <w:tc>
          <w:tcPr>
            <w:tcW w:w="0" w:type="auto"/>
            <w:shd w:val="clear" w:color="auto" w:fill="A6A6A6" w:themeFill="background1" w:themeFillShade="A6"/>
            <w:vAlign w:val="center"/>
          </w:tcPr>
          <w:p w14:paraId="5AB2688E" w14:textId="77777777" w:rsidR="00F82E41" w:rsidRPr="00A02F7C" w:rsidRDefault="00F82E41">
            <w:pPr>
              <w:pStyle w:val="Default"/>
              <w:contextualSpacing/>
              <w:jc w:val="center"/>
              <w:rPr>
                <w:b/>
                <w:bCs/>
                <w:sz w:val="18"/>
                <w:szCs w:val="18"/>
                <w:lang w:val="es-ES"/>
              </w:rPr>
            </w:pPr>
            <w:r w:rsidRPr="00A02F7C">
              <w:rPr>
                <w:b/>
                <w:bCs/>
                <w:sz w:val="18"/>
                <w:szCs w:val="18"/>
                <w:lang w:val="es-ES"/>
              </w:rPr>
              <w:t>201</w:t>
            </w:r>
            <w:r w:rsidR="00701E82" w:rsidRPr="00A02F7C">
              <w:rPr>
                <w:b/>
                <w:bCs/>
                <w:sz w:val="18"/>
                <w:szCs w:val="18"/>
                <w:lang w:val="es-ES"/>
              </w:rPr>
              <w:t>8</w:t>
            </w:r>
          </w:p>
        </w:tc>
        <w:tc>
          <w:tcPr>
            <w:tcW w:w="0" w:type="auto"/>
            <w:shd w:val="clear" w:color="auto" w:fill="A6A6A6" w:themeFill="background1" w:themeFillShade="A6"/>
            <w:vAlign w:val="center"/>
          </w:tcPr>
          <w:p w14:paraId="0961EFB9" w14:textId="77777777" w:rsidR="00F82E41" w:rsidRPr="00A02F7C" w:rsidRDefault="00F82E41">
            <w:pPr>
              <w:pStyle w:val="Default"/>
              <w:contextualSpacing/>
              <w:jc w:val="center"/>
              <w:rPr>
                <w:b/>
                <w:bCs/>
                <w:sz w:val="18"/>
                <w:szCs w:val="18"/>
                <w:lang w:val="es-ES"/>
              </w:rPr>
            </w:pPr>
            <w:r w:rsidRPr="00A02F7C">
              <w:rPr>
                <w:b/>
                <w:bCs/>
                <w:sz w:val="18"/>
                <w:szCs w:val="18"/>
                <w:lang w:val="es-ES"/>
              </w:rPr>
              <w:t>202</w:t>
            </w:r>
            <w:r w:rsidR="00701E82" w:rsidRPr="00A02F7C">
              <w:rPr>
                <w:b/>
                <w:bCs/>
                <w:sz w:val="18"/>
                <w:szCs w:val="18"/>
                <w:lang w:val="es-ES"/>
              </w:rPr>
              <w:t>2</w:t>
            </w:r>
          </w:p>
        </w:tc>
        <w:tc>
          <w:tcPr>
            <w:tcW w:w="0" w:type="auto"/>
            <w:shd w:val="clear" w:color="auto" w:fill="A6A6A6" w:themeFill="background1" w:themeFillShade="A6"/>
            <w:vAlign w:val="center"/>
          </w:tcPr>
          <w:p w14:paraId="0D364169" w14:textId="77777777" w:rsidR="00F82E41" w:rsidRPr="00A02F7C" w:rsidRDefault="00F82E41">
            <w:pPr>
              <w:pStyle w:val="Default"/>
              <w:contextualSpacing/>
              <w:jc w:val="center"/>
              <w:rPr>
                <w:b/>
                <w:bCs/>
                <w:sz w:val="18"/>
                <w:szCs w:val="18"/>
                <w:lang w:val="es-ES"/>
              </w:rPr>
            </w:pPr>
            <w:r w:rsidRPr="00A02F7C">
              <w:rPr>
                <w:b/>
                <w:bCs/>
                <w:sz w:val="18"/>
                <w:szCs w:val="18"/>
                <w:lang w:val="es-ES"/>
              </w:rPr>
              <w:t>Medio de Verificación</w:t>
            </w:r>
          </w:p>
        </w:tc>
      </w:tr>
      <w:tr w:rsidR="00F82E41" w:rsidRPr="00A02F7C" w14:paraId="771566AE" w14:textId="77777777" w:rsidTr="00F64E64">
        <w:trPr>
          <w:trHeight w:hRule="exact" w:val="361"/>
          <w:jc w:val="center"/>
        </w:trPr>
        <w:tc>
          <w:tcPr>
            <w:tcW w:w="0" w:type="auto"/>
            <w:gridSpan w:val="4"/>
            <w:shd w:val="clear" w:color="auto" w:fill="F2F2F2" w:themeFill="background1" w:themeFillShade="F2"/>
            <w:vAlign w:val="center"/>
          </w:tcPr>
          <w:p w14:paraId="195543C4" w14:textId="77777777" w:rsidR="00F82E41" w:rsidRPr="00A02F7C" w:rsidRDefault="00F82E41">
            <w:pPr>
              <w:contextualSpacing/>
              <w:rPr>
                <w:rFonts w:ascii="Arial" w:hAnsi="Arial" w:cs="Arial"/>
                <w:b/>
                <w:bCs/>
                <w:sz w:val="18"/>
                <w:szCs w:val="18"/>
                <w:lang w:val="es-ES"/>
              </w:rPr>
            </w:pPr>
            <w:r w:rsidRPr="00A02F7C">
              <w:rPr>
                <w:rFonts w:ascii="Arial" w:hAnsi="Arial" w:cs="Arial"/>
                <w:b/>
                <w:bCs/>
                <w:sz w:val="18"/>
                <w:szCs w:val="18"/>
                <w:lang w:val="es-ES"/>
              </w:rPr>
              <w:t>IMPACTOS</w:t>
            </w:r>
          </w:p>
        </w:tc>
      </w:tr>
      <w:tr w:rsidR="00F82E41" w:rsidRPr="00A02F7C" w14:paraId="143162CD" w14:textId="77777777" w:rsidTr="61035E3E">
        <w:trPr>
          <w:trHeight w:val="620"/>
          <w:jc w:val="center"/>
        </w:trPr>
        <w:tc>
          <w:tcPr>
            <w:tcW w:w="0" w:type="auto"/>
          </w:tcPr>
          <w:p w14:paraId="0B110F0F" w14:textId="77777777" w:rsidR="00F82E41" w:rsidRPr="00A02F7C" w:rsidRDefault="00701E82" w:rsidP="00444365">
            <w:pPr>
              <w:pStyle w:val="Default"/>
              <w:tabs>
                <w:tab w:val="left" w:pos="3184"/>
              </w:tabs>
              <w:contextualSpacing/>
              <w:jc w:val="both"/>
              <w:rPr>
                <w:sz w:val="18"/>
                <w:szCs w:val="18"/>
                <w:lang w:val="es-ES"/>
              </w:rPr>
            </w:pPr>
            <w:r w:rsidRPr="00A02F7C">
              <w:rPr>
                <w:sz w:val="20"/>
                <w:szCs w:val="20"/>
                <w:lang w:val="es-ES_tradnl"/>
              </w:rPr>
              <w:t>Índice de Desempeño en Logística (LPI)</w:t>
            </w:r>
          </w:p>
        </w:tc>
        <w:tc>
          <w:tcPr>
            <w:tcW w:w="0" w:type="auto"/>
          </w:tcPr>
          <w:p w14:paraId="287B7104" w14:textId="77777777" w:rsidR="00F82E41" w:rsidRPr="00A02F7C" w:rsidRDefault="00701E82" w:rsidP="00444365">
            <w:pPr>
              <w:pStyle w:val="Default"/>
              <w:tabs>
                <w:tab w:val="left" w:pos="3184"/>
              </w:tabs>
              <w:contextualSpacing/>
              <w:jc w:val="center"/>
              <w:rPr>
                <w:sz w:val="18"/>
                <w:szCs w:val="18"/>
                <w:lang w:val="es-ES"/>
              </w:rPr>
            </w:pPr>
            <w:r w:rsidRPr="00A02F7C">
              <w:rPr>
                <w:sz w:val="18"/>
                <w:szCs w:val="18"/>
                <w:lang w:val="es-ES"/>
              </w:rPr>
              <w:t>2.46</w:t>
            </w:r>
          </w:p>
        </w:tc>
        <w:tc>
          <w:tcPr>
            <w:tcW w:w="0" w:type="auto"/>
          </w:tcPr>
          <w:p w14:paraId="22AB73A2" w14:textId="77777777" w:rsidR="00F82E41" w:rsidRPr="00A02F7C" w:rsidRDefault="00F7676B" w:rsidP="00444365">
            <w:pPr>
              <w:pStyle w:val="Default"/>
              <w:tabs>
                <w:tab w:val="left" w:pos="3184"/>
              </w:tabs>
              <w:contextualSpacing/>
              <w:jc w:val="center"/>
              <w:rPr>
                <w:sz w:val="18"/>
                <w:szCs w:val="18"/>
                <w:lang w:val="es-ES"/>
              </w:rPr>
            </w:pPr>
            <w:r>
              <w:rPr>
                <w:sz w:val="18"/>
                <w:szCs w:val="18"/>
                <w:lang w:val="es-ES"/>
              </w:rPr>
              <w:t>2.82</w:t>
            </w:r>
          </w:p>
        </w:tc>
        <w:tc>
          <w:tcPr>
            <w:tcW w:w="0" w:type="auto"/>
          </w:tcPr>
          <w:p w14:paraId="267FC4C7" w14:textId="77777777" w:rsidR="00701E82" w:rsidRPr="00A02F7C" w:rsidRDefault="00701E82" w:rsidP="007F4FF7">
            <w:pPr>
              <w:ind w:hanging="18"/>
              <w:jc w:val="both"/>
              <w:rPr>
                <w:rFonts w:ascii="Arial" w:hAnsi="Arial" w:cs="Arial"/>
                <w:sz w:val="20"/>
                <w:szCs w:val="20"/>
                <w:lang w:eastAsia="es-PA"/>
              </w:rPr>
            </w:pPr>
            <w:r w:rsidRPr="00A02F7C">
              <w:rPr>
                <w:rFonts w:ascii="Arial" w:hAnsi="Arial" w:cs="Arial"/>
                <w:sz w:val="20"/>
                <w:szCs w:val="20"/>
                <w:lang w:eastAsia="es-PA"/>
              </w:rPr>
              <w:t>Logistics Performance Index Report LPI – World Bank</w:t>
            </w:r>
          </w:p>
          <w:p w14:paraId="0EACBF3E" w14:textId="77777777" w:rsidR="00F82E41" w:rsidRPr="00A02F7C" w:rsidRDefault="00F82E41" w:rsidP="00444365">
            <w:pPr>
              <w:tabs>
                <w:tab w:val="left" w:pos="3184"/>
              </w:tabs>
              <w:ind w:left="87"/>
              <w:contextualSpacing/>
              <w:jc w:val="both"/>
              <w:rPr>
                <w:rFonts w:ascii="Arial" w:hAnsi="Arial" w:cs="Arial"/>
                <w:color w:val="000000"/>
                <w:sz w:val="18"/>
                <w:szCs w:val="18"/>
              </w:rPr>
            </w:pPr>
          </w:p>
        </w:tc>
      </w:tr>
      <w:tr w:rsidR="00F82E41" w:rsidRPr="000F3F24" w14:paraId="09E507C3" w14:textId="77777777" w:rsidTr="61035E3E">
        <w:trPr>
          <w:trHeight w:hRule="exact" w:val="730"/>
          <w:jc w:val="center"/>
        </w:trPr>
        <w:tc>
          <w:tcPr>
            <w:tcW w:w="0" w:type="auto"/>
          </w:tcPr>
          <w:p w14:paraId="45A80B91" w14:textId="77777777" w:rsidR="00F82E41" w:rsidRPr="00A02F7C" w:rsidRDefault="00701E82" w:rsidP="00444365">
            <w:pPr>
              <w:pStyle w:val="Default"/>
              <w:tabs>
                <w:tab w:val="left" w:pos="3184"/>
              </w:tabs>
              <w:contextualSpacing/>
              <w:jc w:val="both"/>
              <w:rPr>
                <w:sz w:val="18"/>
                <w:szCs w:val="18"/>
                <w:lang w:val="es-ES"/>
              </w:rPr>
            </w:pPr>
            <w:r w:rsidRPr="00A02F7C">
              <w:rPr>
                <w:sz w:val="20"/>
                <w:szCs w:val="20"/>
                <w:lang w:val="es-ES_tradnl" w:eastAsia="zh-CN"/>
              </w:rPr>
              <w:t>PIB logístico de Honduras/PIB nominal</w:t>
            </w:r>
          </w:p>
        </w:tc>
        <w:tc>
          <w:tcPr>
            <w:tcW w:w="0" w:type="auto"/>
          </w:tcPr>
          <w:p w14:paraId="5AD0A340" w14:textId="77777777" w:rsidR="00F82E41" w:rsidRPr="00A02F7C" w:rsidRDefault="00701E82" w:rsidP="00444365">
            <w:pPr>
              <w:pStyle w:val="Default"/>
              <w:tabs>
                <w:tab w:val="left" w:pos="3184"/>
              </w:tabs>
              <w:contextualSpacing/>
              <w:jc w:val="center"/>
              <w:rPr>
                <w:sz w:val="18"/>
                <w:szCs w:val="18"/>
                <w:lang w:val="es-ES"/>
              </w:rPr>
            </w:pPr>
            <w:r w:rsidRPr="00A02F7C">
              <w:rPr>
                <w:sz w:val="18"/>
                <w:szCs w:val="18"/>
                <w:lang w:val="es-ES"/>
              </w:rPr>
              <w:t>6.9%</w:t>
            </w:r>
          </w:p>
        </w:tc>
        <w:tc>
          <w:tcPr>
            <w:tcW w:w="0" w:type="auto"/>
          </w:tcPr>
          <w:p w14:paraId="1113A578" w14:textId="77777777" w:rsidR="00F82E41" w:rsidRPr="00A02F7C" w:rsidRDefault="00F7676B" w:rsidP="00444365">
            <w:pPr>
              <w:pStyle w:val="Default"/>
              <w:tabs>
                <w:tab w:val="left" w:pos="3184"/>
              </w:tabs>
              <w:contextualSpacing/>
              <w:jc w:val="center"/>
              <w:rPr>
                <w:sz w:val="18"/>
                <w:szCs w:val="18"/>
                <w:lang w:val="es-ES"/>
              </w:rPr>
            </w:pPr>
            <w:r>
              <w:rPr>
                <w:sz w:val="18"/>
                <w:szCs w:val="18"/>
                <w:lang w:val="es-ES"/>
              </w:rPr>
              <w:t>7.1</w:t>
            </w:r>
          </w:p>
        </w:tc>
        <w:tc>
          <w:tcPr>
            <w:tcW w:w="0" w:type="auto"/>
          </w:tcPr>
          <w:p w14:paraId="39BFB08E" w14:textId="77777777" w:rsidR="00F82E41" w:rsidRPr="00A02F7C" w:rsidRDefault="00701E82" w:rsidP="00444365">
            <w:pPr>
              <w:tabs>
                <w:tab w:val="left" w:pos="3184"/>
              </w:tabs>
              <w:ind w:left="87"/>
              <w:contextualSpacing/>
              <w:jc w:val="both"/>
              <w:rPr>
                <w:rFonts w:ascii="Arial" w:hAnsi="Arial" w:cs="Arial"/>
                <w:color w:val="000000"/>
                <w:sz w:val="18"/>
                <w:szCs w:val="18"/>
                <w:lang w:val="es-ES"/>
              </w:rPr>
            </w:pPr>
            <w:r w:rsidRPr="00A02F7C">
              <w:rPr>
                <w:rFonts w:ascii="Arial" w:hAnsi="Arial" w:cs="Arial"/>
                <w:sz w:val="20"/>
                <w:szCs w:val="20"/>
                <w:lang w:val="es-ES_tradnl" w:eastAsia="es-PA"/>
              </w:rPr>
              <w:t>Estadísticas de las cuentas nacionales del BCH</w:t>
            </w:r>
          </w:p>
        </w:tc>
      </w:tr>
      <w:tr w:rsidR="00F82E41" w:rsidRPr="00A02F7C" w14:paraId="4864588F" w14:textId="77777777" w:rsidTr="00F64E64">
        <w:trPr>
          <w:trHeight w:hRule="exact" w:val="397"/>
          <w:jc w:val="center"/>
        </w:trPr>
        <w:tc>
          <w:tcPr>
            <w:tcW w:w="0" w:type="auto"/>
            <w:gridSpan w:val="4"/>
            <w:shd w:val="clear" w:color="auto" w:fill="F2F2F2" w:themeFill="background1" w:themeFillShade="F2"/>
            <w:vAlign w:val="center"/>
          </w:tcPr>
          <w:p w14:paraId="326784F4" w14:textId="77777777" w:rsidR="00F82E41" w:rsidRPr="00A02F7C" w:rsidRDefault="00F82E41">
            <w:pPr>
              <w:rPr>
                <w:rFonts w:ascii="Arial" w:hAnsi="Arial" w:cs="Arial"/>
                <w:b/>
                <w:bCs/>
              </w:rPr>
            </w:pPr>
            <w:r w:rsidRPr="00A02F7C">
              <w:rPr>
                <w:rFonts w:ascii="Arial" w:hAnsi="Arial" w:cs="Arial"/>
                <w:b/>
                <w:bCs/>
                <w:sz w:val="20"/>
                <w:szCs w:val="20"/>
              </w:rPr>
              <w:t>RESULTADOS</w:t>
            </w:r>
          </w:p>
        </w:tc>
      </w:tr>
      <w:tr w:rsidR="00F82E41" w:rsidRPr="00844F4F" w14:paraId="32B51B45" w14:textId="77777777" w:rsidTr="00F64E64">
        <w:trPr>
          <w:trHeight w:hRule="exact" w:val="937"/>
          <w:jc w:val="center"/>
        </w:trPr>
        <w:tc>
          <w:tcPr>
            <w:tcW w:w="0" w:type="auto"/>
            <w:vAlign w:val="center"/>
          </w:tcPr>
          <w:p w14:paraId="4CA65092" w14:textId="77777777" w:rsidR="00F82E41" w:rsidRPr="00A02F7C" w:rsidRDefault="003D5BAF" w:rsidP="00444365">
            <w:pPr>
              <w:pStyle w:val="Default"/>
              <w:tabs>
                <w:tab w:val="left" w:pos="3184"/>
              </w:tabs>
              <w:ind w:left="-17"/>
              <w:contextualSpacing/>
              <w:rPr>
                <w:sz w:val="18"/>
                <w:szCs w:val="18"/>
                <w:lang w:val="es-ES"/>
              </w:rPr>
            </w:pPr>
            <w:r>
              <w:rPr>
                <w:sz w:val="20"/>
                <w:szCs w:val="20"/>
                <w:lang w:val="es-ES_tradnl" w:eastAsia="zh-CN"/>
              </w:rPr>
              <w:t>Ejercicio presupuestario anual tomando en cuenta las prioridades identificadas para el sector por CNL</w:t>
            </w:r>
          </w:p>
        </w:tc>
        <w:tc>
          <w:tcPr>
            <w:tcW w:w="0" w:type="auto"/>
          </w:tcPr>
          <w:p w14:paraId="236DDD16" w14:textId="77777777" w:rsidR="00F82E41" w:rsidRPr="00A02F7C" w:rsidRDefault="00701E82" w:rsidP="00444365">
            <w:pPr>
              <w:jc w:val="center"/>
              <w:rPr>
                <w:rFonts w:ascii="Arial" w:hAnsi="Arial" w:cs="Arial"/>
                <w:sz w:val="18"/>
                <w:szCs w:val="18"/>
                <w:lang w:val="es-ES"/>
              </w:rPr>
            </w:pPr>
            <w:r w:rsidRPr="00A02F7C">
              <w:rPr>
                <w:rFonts w:ascii="Arial" w:hAnsi="Arial" w:cs="Arial"/>
                <w:sz w:val="18"/>
                <w:szCs w:val="18"/>
                <w:lang w:val="es-ES"/>
              </w:rPr>
              <w:t>0</w:t>
            </w:r>
          </w:p>
        </w:tc>
        <w:tc>
          <w:tcPr>
            <w:tcW w:w="0" w:type="auto"/>
          </w:tcPr>
          <w:p w14:paraId="48C76BFC" w14:textId="77777777" w:rsidR="00F82E41" w:rsidRPr="00A02F7C" w:rsidRDefault="003D5BAF" w:rsidP="00444365">
            <w:pPr>
              <w:jc w:val="center"/>
              <w:rPr>
                <w:rFonts w:ascii="Arial" w:hAnsi="Arial" w:cs="Arial"/>
                <w:sz w:val="18"/>
                <w:szCs w:val="18"/>
                <w:lang w:val="es-ES"/>
              </w:rPr>
            </w:pPr>
            <w:r>
              <w:rPr>
                <w:rFonts w:ascii="Arial" w:hAnsi="Arial" w:cs="Arial"/>
                <w:sz w:val="18"/>
                <w:szCs w:val="18"/>
                <w:lang w:val="es-ES"/>
              </w:rPr>
              <w:t>4</w:t>
            </w:r>
          </w:p>
        </w:tc>
        <w:tc>
          <w:tcPr>
            <w:tcW w:w="0" w:type="auto"/>
          </w:tcPr>
          <w:p w14:paraId="258677F8" w14:textId="0F7E8F36" w:rsidR="00F82E41" w:rsidRPr="00A02F7C" w:rsidRDefault="00946AE9" w:rsidP="00444365">
            <w:pPr>
              <w:contextualSpacing/>
              <w:jc w:val="both"/>
              <w:rPr>
                <w:rFonts w:ascii="Arial" w:hAnsi="Arial" w:cs="Arial"/>
                <w:sz w:val="18"/>
                <w:szCs w:val="18"/>
                <w:lang w:val="pt-BR"/>
              </w:rPr>
            </w:pPr>
            <w:r w:rsidRPr="00946AE9">
              <w:rPr>
                <w:rFonts w:ascii="Arial" w:hAnsi="Arial" w:cs="Arial"/>
                <w:sz w:val="20"/>
                <w:szCs w:val="20"/>
                <w:lang w:val="es-ES_tradnl" w:eastAsia="zh-CN"/>
              </w:rPr>
              <w:t>Informe del CNL adjuntando las prioridades remitidas a INSEP</w:t>
            </w:r>
          </w:p>
        </w:tc>
      </w:tr>
      <w:tr w:rsidR="003D5BAF" w:rsidRPr="000F3F24" w14:paraId="2E3E1411" w14:textId="77777777" w:rsidTr="61035E3E">
        <w:trPr>
          <w:trHeight w:hRule="exact" w:val="973"/>
          <w:jc w:val="center"/>
        </w:trPr>
        <w:tc>
          <w:tcPr>
            <w:tcW w:w="0" w:type="auto"/>
          </w:tcPr>
          <w:p w14:paraId="68E3E60E" w14:textId="77777777" w:rsidR="003D5BAF" w:rsidRPr="00A02F7C" w:rsidRDefault="00BD7978" w:rsidP="00444365">
            <w:pPr>
              <w:pStyle w:val="Default"/>
              <w:tabs>
                <w:tab w:val="left" w:pos="3184"/>
              </w:tabs>
              <w:ind w:left="-17"/>
              <w:contextualSpacing/>
              <w:rPr>
                <w:sz w:val="20"/>
                <w:szCs w:val="20"/>
                <w:lang w:val="es-ES_tradnl" w:eastAsia="zh-CN"/>
              </w:rPr>
            </w:pPr>
            <w:r w:rsidRPr="005643D5">
              <w:rPr>
                <w:sz w:val="20"/>
                <w:szCs w:val="20"/>
                <w:lang w:val="es-ES_tradnl" w:eastAsia="zh-CN"/>
              </w:rPr>
              <w:t>Porcentaje de vehículos liviano</w:t>
            </w:r>
            <w:r>
              <w:rPr>
                <w:sz w:val="20"/>
                <w:szCs w:val="20"/>
                <w:lang w:val="es-ES_tradnl" w:eastAsia="zh-CN"/>
              </w:rPr>
              <w:t>s</w:t>
            </w:r>
            <w:r w:rsidRPr="005643D5">
              <w:rPr>
                <w:sz w:val="20"/>
                <w:szCs w:val="20"/>
                <w:lang w:val="es-ES_tradnl" w:eastAsia="zh-CN"/>
              </w:rPr>
              <w:t xml:space="preserve">, </w:t>
            </w:r>
            <w:r>
              <w:rPr>
                <w:sz w:val="20"/>
                <w:szCs w:val="20"/>
                <w:lang w:val="es-ES_tradnl" w:eastAsia="zh-CN"/>
              </w:rPr>
              <w:t xml:space="preserve">de </w:t>
            </w:r>
            <w:r w:rsidRPr="005643D5">
              <w:rPr>
                <w:sz w:val="20"/>
                <w:szCs w:val="20"/>
                <w:lang w:val="es-ES_tradnl" w:eastAsia="zh-CN"/>
              </w:rPr>
              <w:t xml:space="preserve">carga o remolque </w:t>
            </w:r>
            <w:r>
              <w:rPr>
                <w:sz w:val="20"/>
                <w:szCs w:val="20"/>
                <w:lang w:val="es-ES_tradnl" w:eastAsia="zh-CN"/>
              </w:rPr>
              <w:t xml:space="preserve">registrados, </w:t>
            </w:r>
            <w:r w:rsidRPr="005643D5">
              <w:rPr>
                <w:sz w:val="20"/>
                <w:szCs w:val="20"/>
                <w:lang w:val="es-ES_tradnl" w:eastAsia="zh-CN"/>
              </w:rPr>
              <w:t>asegurados cubriendo daños a terceros</w:t>
            </w:r>
          </w:p>
        </w:tc>
        <w:tc>
          <w:tcPr>
            <w:tcW w:w="0" w:type="auto"/>
          </w:tcPr>
          <w:p w14:paraId="09FD8593" w14:textId="77777777" w:rsidR="003D5BAF" w:rsidRPr="00BD7978" w:rsidRDefault="00BD7978" w:rsidP="00444365">
            <w:pPr>
              <w:jc w:val="center"/>
              <w:rPr>
                <w:rFonts w:ascii="Arial" w:hAnsi="Arial" w:cs="Arial"/>
                <w:sz w:val="18"/>
                <w:szCs w:val="18"/>
                <w:lang w:val="pt-BR"/>
              </w:rPr>
            </w:pPr>
            <w:r w:rsidRPr="00BD7978">
              <w:rPr>
                <w:rFonts w:ascii="Arial" w:hAnsi="Arial" w:cs="Arial"/>
                <w:sz w:val="18"/>
                <w:szCs w:val="18"/>
                <w:lang w:val="pt-BR"/>
              </w:rPr>
              <w:t>0</w:t>
            </w:r>
          </w:p>
        </w:tc>
        <w:tc>
          <w:tcPr>
            <w:tcW w:w="0" w:type="auto"/>
          </w:tcPr>
          <w:p w14:paraId="5DFA0DC0" w14:textId="0548C60A" w:rsidR="003D5BAF" w:rsidRPr="00BD7978" w:rsidRDefault="00946AE9" w:rsidP="00444365">
            <w:pPr>
              <w:jc w:val="center"/>
              <w:rPr>
                <w:rFonts w:ascii="Arial" w:hAnsi="Arial" w:cs="Arial"/>
                <w:sz w:val="18"/>
                <w:szCs w:val="18"/>
                <w:lang w:val="pt-BR"/>
              </w:rPr>
            </w:pPr>
            <w:r>
              <w:rPr>
                <w:rFonts w:ascii="Arial" w:hAnsi="Arial" w:cs="Arial"/>
                <w:sz w:val="18"/>
                <w:szCs w:val="18"/>
                <w:lang w:val="pt-BR"/>
              </w:rPr>
              <w:t>5</w:t>
            </w:r>
            <w:r w:rsidR="00BD7978" w:rsidRPr="00BD7978">
              <w:rPr>
                <w:rFonts w:ascii="Arial" w:hAnsi="Arial" w:cs="Arial"/>
                <w:sz w:val="18"/>
                <w:szCs w:val="18"/>
                <w:lang w:val="pt-BR"/>
              </w:rPr>
              <w:t>0%</w:t>
            </w:r>
          </w:p>
        </w:tc>
        <w:tc>
          <w:tcPr>
            <w:tcW w:w="0" w:type="auto"/>
          </w:tcPr>
          <w:p w14:paraId="5CEE652D" w14:textId="77777777" w:rsidR="00946AE9" w:rsidRPr="00946AE9" w:rsidRDefault="00946AE9" w:rsidP="00946AE9">
            <w:pPr>
              <w:contextualSpacing/>
              <w:jc w:val="both"/>
              <w:rPr>
                <w:rFonts w:ascii="Arial" w:hAnsi="Arial" w:cs="Arial"/>
                <w:bCs/>
                <w:sz w:val="20"/>
                <w:szCs w:val="20"/>
                <w:lang w:val="es-HN" w:eastAsia="zh-CN"/>
              </w:rPr>
            </w:pPr>
            <w:r w:rsidRPr="00946AE9">
              <w:rPr>
                <w:rFonts w:ascii="Arial" w:hAnsi="Arial" w:cs="Arial"/>
                <w:bCs/>
                <w:sz w:val="20"/>
                <w:szCs w:val="20"/>
                <w:lang w:val="es-HN" w:eastAsia="zh-CN"/>
              </w:rPr>
              <w:t>Base de datos del Instituto de la Propiedad de Honduras a partir del otorgamiento de revisiones vehiculares.</w:t>
            </w:r>
          </w:p>
          <w:p w14:paraId="40AC54CD" w14:textId="53E222AE" w:rsidR="003D5BAF" w:rsidRPr="003D5BAF" w:rsidRDefault="003D5BAF" w:rsidP="00444365">
            <w:pPr>
              <w:contextualSpacing/>
              <w:jc w:val="both"/>
              <w:rPr>
                <w:rFonts w:ascii="Arial" w:hAnsi="Arial" w:cs="Arial"/>
                <w:sz w:val="20"/>
                <w:szCs w:val="20"/>
                <w:lang w:val="es-ES_tradnl" w:eastAsia="zh-CN"/>
              </w:rPr>
            </w:pPr>
          </w:p>
        </w:tc>
      </w:tr>
      <w:tr w:rsidR="00F82E41" w:rsidRPr="00A37094" w14:paraId="439D85F3" w14:textId="77777777" w:rsidTr="61035E3E">
        <w:trPr>
          <w:trHeight w:hRule="exact" w:val="973"/>
          <w:jc w:val="center"/>
        </w:trPr>
        <w:tc>
          <w:tcPr>
            <w:tcW w:w="0" w:type="auto"/>
          </w:tcPr>
          <w:p w14:paraId="1E94909E" w14:textId="77777777" w:rsidR="00F82E41" w:rsidRPr="00A02F7C" w:rsidRDefault="003D5BAF" w:rsidP="00444365">
            <w:pPr>
              <w:pStyle w:val="Default"/>
              <w:tabs>
                <w:tab w:val="left" w:pos="3184"/>
              </w:tabs>
              <w:ind w:left="-17"/>
              <w:contextualSpacing/>
              <w:rPr>
                <w:sz w:val="18"/>
                <w:szCs w:val="18"/>
                <w:lang w:val="es-CO"/>
              </w:rPr>
            </w:pPr>
            <w:r w:rsidRPr="00106374">
              <w:rPr>
                <w:sz w:val="20"/>
                <w:szCs w:val="20"/>
                <w:lang w:val="es-ES_tradnl" w:eastAsia="zh-CN"/>
              </w:rPr>
              <w:lastRenderedPageBreak/>
              <w:t>N</w:t>
            </w:r>
            <w:r>
              <w:rPr>
                <w:sz w:val="20"/>
                <w:szCs w:val="20"/>
                <w:lang w:val="es-ES_tradnl" w:eastAsia="zh-CN"/>
              </w:rPr>
              <w:t>ú</w:t>
            </w:r>
            <w:r w:rsidRPr="00106374">
              <w:rPr>
                <w:sz w:val="20"/>
                <w:szCs w:val="20"/>
                <w:lang w:val="es-ES_tradnl" w:eastAsia="zh-CN"/>
              </w:rPr>
              <w:t>m</w:t>
            </w:r>
            <w:r>
              <w:rPr>
                <w:sz w:val="20"/>
                <w:szCs w:val="20"/>
                <w:lang w:val="es-ES_tradnl" w:eastAsia="zh-CN"/>
              </w:rPr>
              <w:t>e</w:t>
            </w:r>
            <w:r w:rsidRPr="00106374">
              <w:rPr>
                <w:sz w:val="20"/>
                <w:szCs w:val="20"/>
                <w:lang w:val="es-ES_tradnl" w:eastAsia="zh-CN"/>
              </w:rPr>
              <w:t xml:space="preserve">ro de vehículos </w:t>
            </w:r>
            <w:r>
              <w:rPr>
                <w:sz w:val="20"/>
                <w:szCs w:val="20"/>
                <w:lang w:val="es-ES_tradnl" w:eastAsia="zh-CN"/>
              </w:rPr>
              <w:t xml:space="preserve">de carga </w:t>
            </w:r>
            <w:r w:rsidRPr="00106374">
              <w:rPr>
                <w:sz w:val="20"/>
                <w:szCs w:val="20"/>
                <w:lang w:val="es-ES_tradnl" w:eastAsia="zh-CN"/>
              </w:rPr>
              <w:t>registrados usando la tarjeta inteligente</w:t>
            </w:r>
          </w:p>
        </w:tc>
        <w:tc>
          <w:tcPr>
            <w:tcW w:w="0" w:type="auto"/>
          </w:tcPr>
          <w:p w14:paraId="447CB8F7" w14:textId="297E492E" w:rsidR="00F82E41" w:rsidRPr="00A02F7C" w:rsidRDefault="003A2346" w:rsidP="00444365">
            <w:pPr>
              <w:jc w:val="center"/>
              <w:rPr>
                <w:rFonts w:ascii="Arial" w:hAnsi="Arial" w:cs="Arial"/>
                <w:sz w:val="18"/>
                <w:szCs w:val="18"/>
                <w:lang w:val="pt-BR"/>
              </w:rPr>
            </w:pPr>
            <w:r>
              <w:rPr>
                <w:rFonts w:ascii="Arial" w:hAnsi="Arial" w:cs="Arial"/>
                <w:sz w:val="18"/>
                <w:szCs w:val="18"/>
                <w:lang w:val="pt-BR"/>
              </w:rPr>
              <w:t>29</w:t>
            </w:r>
          </w:p>
        </w:tc>
        <w:tc>
          <w:tcPr>
            <w:tcW w:w="0" w:type="auto"/>
          </w:tcPr>
          <w:p w14:paraId="7FD0C513" w14:textId="77777777" w:rsidR="00F82E41" w:rsidRPr="00A02F7C" w:rsidRDefault="00C643FB" w:rsidP="00444365">
            <w:pPr>
              <w:jc w:val="center"/>
              <w:rPr>
                <w:rFonts w:ascii="Arial" w:hAnsi="Arial" w:cs="Arial"/>
                <w:sz w:val="18"/>
                <w:szCs w:val="18"/>
                <w:lang w:val="pt-BR"/>
              </w:rPr>
            </w:pPr>
            <w:r w:rsidRPr="00A02F7C">
              <w:rPr>
                <w:rFonts w:ascii="Arial" w:hAnsi="Arial" w:cs="Arial"/>
                <w:sz w:val="18"/>
                <w:szCs w:val="18"/>
                <w:lang w:val="pt-BR"/>
              </w:rPr>
              <w:t>20,000</w:t>
            </w:r>
          </w:p>
        </w:tc>
        <w:tc>
          <w:tcPr>
            <w:tcW w:w="0" w:type="auto"/>
          </w:tcPr>
          <w:p w14:paraId="072578F2" w14:textId="25595E21" w:rsidR="00F82E41" w:rsidRPr="00A02F7C" w:rsidRDefault="00701E82" w:rsidP="00444365">
            <w:pPr>
              <w:contextualSpacing/>
              <w:jc w:val="both"/>
              <w:rPr>
                <w:rFonts w:ascii="Arial" w:hAnsi="Arial" w:cs="Arial"/>
                <w:sz w:val="18"/>
                <w:szCs w:val="18"/>
                <w:lang w:val="pt-BR"/>
              </w:rPr>
            </w:pPr>
            <w:r w:rsidRPr="00A02F7C">
              <w:rPr>
                <w:rFonts w:ascii="Arial" w:hAnsi="Arial" w:cs="Arial"/>
                <w:sz w:val="20"/>
                <w:szCs w:val="20"/>
                <w:lang w:val="pt-BR" w:eastAsia="zh-CN"/>
              </w:rPr>
              <w:t xml:space="preserve">Reporte </w:t>
            </w:r>
            <w:r w:rsidR="00946AE9">
              <w:rPr>
                <w:rFonts w:ascii="Arial" w:hAnsi="Arial" w:cs="Arial"/>
                <w:sz w:val="20"/>
                <w:szCs w:val="20"/>
                <w:lang w:val="pt-BR" w:eastAsia="zh-CN"/>
              </w:rPr>
              <w:t>del</w:t>
            </w:r>
            <w:r w:rsidRPr="00A02F7C">
              <w:rPr>
                <w:rFonts w:ascii="Arial" w:hAnsi="Arial" w:cs="Arial"/>
                <w:sz w:val="20"/>
                <w:szCs w:val="20"/>
                <w:lang w:val="pt-BR" w:eastAsia="zh-CN"/>
              </w:rPr>
              <w:t xml:space="preserve"> IHTT.</w:t>
            </w:r>
          </w:p>
        </w:tc>
      </w:tr>
      <w:tr w:rsidR="00F82E41" w:rsidRPr="00331D62" w14:paraId="6574C3EF" w14:textId="77777777" w:rsidTr="007A23EC">
        <w:trPr>
          <w:trHeight w:hRule="exact" w:val="658"/>
          <w:jc w:val="center"/>
        </w:trPr>
        <w:tc>
          <w:tcPr>
            <w:tcW w:w="0" w:type="auto"/>
          </w:tcPr>
          <w:p w14:paraId="0D28914C" w14:textId="707CE78F" w:rsidR="003D5BAF" w:rsidRDefault="003D5BAF" w:rsidP="003D5BAF">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 xml:space="preserve">Número de certificaciones a pilotos otorgadas </w:t>
            </w:r>
            <w:r w:rsidR="00265B89">
              <w:rPr>
                <w:rFonts w:ascii="Arial" w:hAnsi="Arial" w:cs="Arial"/>
                <w:sz w:val="20"/>
                <w:szCs w:val="20"/>
                <w:lang w:val="es-ES_tradnl" w:eastAsia="zh-CN"/>
              </w:rPr>
              <w:t xml:space="preserve">a hombres </w:t>
            </w:r>
            <w:r>
              <w:rPr>
                <w:rFonts w:ascii="Arial" w:hAnsi="Arial" w:cs="Arial"/>
                <w:sz w:val="20"/>
                <w:szCs w:val="20"/>
                <w:lang w:val="es-ES_tradnl" w:eastAsia="zh-CN"/>
              </w:rPr>
              <w:t xml:space="preserve">por la </w:t>
            </w:r>
            <w:r w:rsidR="007A23EC">
              <w:rPr>
                <w:rFonts w:ascii="Arial" w:hAnsi="Arial" w:cs="Arial"/>
                <w:sz w:val="20"/>
                <w:szCs w:val="20"/>
                <w:lang w:val="es-ES_tradnl" w:eastAsia="zh-CN"/>
              </w:rPr>
              <w:t>Escuela Nacional de Transporte</w:t>
            </w:r>
            <w:r w:rsidR="00265B89">
              <w:rPr>
                <w:rFonts w:ascii="Arial" w:hAnsi="Arial" w:cs="Arial"/>
                <w:sz w:val="20"/>
                <w:szCs w:val="20"/>
                <w:lang w:val="es-ES_tradnl" w:eastAsia="zh-CN"/>
              </w:rPr>
              <w:t>.</w:t>
            </w:r>
          </w:p>
          <w:p w14:paraId="685AD82A" w14:textId="77777777" w:rsidR="00F82E41" w:rsidRPr="003D5BAF" w:rsidRDefault="00F82E41" w:rsidP="00444365">
            <w:pPr>
              <w:pStyle w:val="Default"/>
              <w:tabs>
                <w:tab w:val="left" w:pos="3184"/>
              </w:tabs>
              <w:ind w:left="-17"/>
              <w:contextualSpacing/>
              <w:rPr>
                <w:sz w:val="18"/>
                <w:szCs w:val="18"/>
                <w:lang w:val="es-ES_tradnl"/>
              </w:rPr>
            </w:pPr>
          </w:p>
        </w:tc>
        <w:tc>
          <w:tcPr>
            <w:tcW w:w="0" w:type="auto"/>
          </w:tcPr>
          <w:p w14:paraId="0023AF02" w14:textId="77777777" w:rsidR="00F82E41" w:rsidRPr="00A02F7C" w:rsidRDefault="00701E82" w:rsidP="00444365">
            <w:pPr>
              <w:jc w:val="center"/>
              <w:rPr>
                <w:rFonts w:ascii="Arial" w:hAnsi="Arial" w:cs="Arial"/>
                <w:sz w:val="18"/>
                <w:szCs w:val="18"/>
                <w:lang w:val="pt-BR"/>
              </w:rPr>
            </w:pPr>
            <w:r w:rsidRPr="00A02F7C">
              <w:rPr>
                <w:rFonts w:ascii="Arial" w:hAnsi="Arial" w:cs="Arial"/>
                <w:sz w:val="18"/>
                <w:szCs w:val="18"/>
                <w:lang w:val="pt-BR"/>
              </w:rPr>
              <w:t>0</w:t>
            </w:r>
          </w:p>
        </w:tc>
        <w:tc>
          <w:tcPr>
            <w:tcW w:w="0" w:type="auto"/>
          </w:tcPr>
          <w:p w14:paraId="73FD9AD8" w14:textId="02CC5569" w:rsidR="00F82E41" w:rsidRPr="00A02F7C" w:rsidRDefault="00946AE9" w:rsidP="00444365">
            <w:pPr>
              <w:jc w:val="center"/>
              <w:rPr>
                <w:rFonts w:ascii="Arial" w:hAnsi="Arial" w:cs="Arial"/>
                <w:sz w:val="18"/>
                <w:szCs w:val="18"/>
                <w:lang w:val="pt-BR"/>
              </w:rPr>
            </w:pPr>
            <w:r>
              <w:rPr>
                <w:rFonts w:ascii="Arial" w:hAnsi="Arial" w:cs="Arial"/>
                <w:sz w:val="18"/>
                <w:szCs w:val="18"/>
                <w:lang w:val="pt-BR"/>
              </w:rPr>
              <w:t>45</w:t>
            </w:r>
            <w:r w:rsidR="00C643FB" w:rsidRPr="00A02F7C">
              <w:rPr>
                <w:rFonts w:ascii="Arial" w:hAnsi="Arial" w:cs="Arial"/>
                <w:sz w:val="18"/>
                <w:szCs w:val="18"/>
                <w:lang w:val="pt-BR"/>
              </w:rPr>
              <w:t>,000</w:t>
            </w:r>
          </w:p>
        </w:tc>
        <w:tc>
          <w:tcPr>
            <w:tcW w:w="0" w:type="auto"/>
          </w:tcPr>
          <w:p w14:paraId="632A365F" w14:textId="77777777" w:rsidR="00F82E41" w:rsidRPr="00A02F7C" w:rsidRDefault="007A23EC" w:rsidP="00444365">
            <w:pPr>
              <w:contextualSpacing/>
              <w:jc w:val="both"/>
              <w:rPr>
                <w:rFonts w:ascii="Arial" w:hAnsi="Arial" w:cs="Arial"/>
                <w:sz w:val="18"/>
                <w:szCs w:val="18"/>
                <w:lang w:val="pt-BR"/>
              </w:rPr>
            </w:pPr>
            <w:r w:rsidRPr="00453E54">
              <w:rPr>
                <w:rFonts w:ascii="Arial" w:hAnsi="Arial" w:cs="Arial"/>
                <w:sz w:val="20"/>
                <w:szCs w:val="20"/>
                <w:lang w:val="es-ES_tradnl" w:eastAsia="zh-CN"/>
              </w:rPr>
              <w:t xml:space="preserve">Registro de pilotos </w:t>
            </w:r>
            <w:r>
              <w:rPr>
                <w:rFonts w:ascii="Arial" w:hAnsi="Arial" w:cs="Arial"/>
                <w:sz w:val="20"/>
                <w:szCs w:val="20"/>
                <w:lang w:val="es-ES_tradnl" w:eastAsia="zh-CN"/>
              </w:rPr>
              <w:t>de la Escuela Nacional de Transporte</w:t>
            </w:r>
          </w:p>
        </w:tc>
      </w:tr>
      <w:tr w:rsidR="007A23EC" w:rsidRPr="00331D62" w14:paraId="525FE550" w14:textId="77777777" w:rsidTr="61035E3E">
        <w:trPr>
          <w:trHeight w:hRule="exact" w:val="991"/>
          <w:jc w:val="center"/>
        </w:trPr>
        <w:tc>
          <w:tcPr>
            <w:tcW w:w="0" w:type="auto"/>
          </w:tcPr>
          <w:p w14:paraId="4B8D9778" w14:textId="77777777" w:rsidR="007A23EC" w:rsidRDefault="007A23EC" w:rsidP="007A23EC">
            <w:pPr>
              <w:pStyle w:val="ListParagraph"/>
              <w:spacing w:after="0" w:line="240" w:lineRule="auto"/>
              <w:ind w:left="0"/>
              <w:rPr>
                <w:rFonts w:ascii="Arial" w:hAnsi="Arial" w:cs="Arial"/>
                <w:sz w:val="20"/>
                <w:szCs w:val="20"/>
                <w:lang w:val="es-ES_tradnl" w:eastAsia="zh-CN"/>
              </w:rPr>
            </w:pPr>
            <w:r>
              <w:rPr>
                <w:rFonts w:ascii="Arial" w:hAnsi="Arial" w:cs="Arial"/>
                <w:sz w:val="20"/>
                <w:szCs w:val="20"/>
                <w:lang w:val="es-ES_tradnl" w:eastAsia="zh-CN"/>
              </w:rPr>
              <w:t>Número de certificaciones a pilotos otorgadas</w:t>
            </w:r>
            <w:r w:rsidR="00265B89">
              <w:rPr>
                <w:rFonts w:ascii="Arial" w:hAnsi="Arial" w:cs="Arial"/>
                <w:sz w:val="20"/>
                <w:szCs w:val="20"/>
                <w:lang w:val="es-ES_tradnl" w:eastAsia="zh-CN"/>
              </w:rPr>
              <w:t xml:space="preserve"> a mujeres</w:t>
            </w:r>
            <w:r>
              <w:rPr>
                <w:rFonts w:ascii="Arial" w:hAnsi="Arial" w:cs="Arial"/>
                <w:sz w:val="20"/>
                <w:szCs w:val="20"/>
                <w:lang w:val="es-ES_tradnl" w:eastAsia="zh-CN"/>
              </w:rPr>
              <w:t xml:space="preserve"> por la Escuela Nacional de Transporte</w:t>
            </w:r>
            <w:r w:rsidR="00265B89">
              <w:rPr>
                <w:rFonts w:ascii="Arial" w:hAnsi="Arial" w:cs="Arial"/>
                <w:sz w:val="20"/>
                <w:szCs w:val="20"/>
                <w:lang w:val="es-ES_tradnl" w:eastAsia="zh-CN"/>
              </w:rPr>
              <w:t>.</w:t>
            </w:r>
            <w:r>
              <w:rPr>
                <w:rFonts w:ascii="Arial" w:hAnsi="Arial" w:cs="Arial"/>
                <w:sz w:val="20"/>
                <w:szCs w:val="20"/>
                <w:lang w:val="es-ES_tradnl" w:eastAsia="zh-CN"/>
              </w:rPr>
              <w:t xml:space="preserve"> </w:t>
            </w:r>
            <w:r w:rsidR="00B05125">
              <w:rPr>
                <w:rFonts w:ascii="Arial" w:hAnsi="Arial" w:cs="Arial"/>
                <w:sz w:val="20"/>
                <w:szCs w:val="20"/>
                <w:lang w:val="es-ES_tradnl" w:eastAsia="zh-CN"/>
              </w:rPr>
              <w:t xml:space="preserve"> </w:t>
            </w:r>
          </w:p>
          <w:p w14:paraId="11F8A2CD" w14:textId="77777777" w:rsidR="007A23EC" w:rsidRDefault="007A23EC" w:rsidP="007A23EC">
            <w:pPr>
              <w:pStyle w:val="ListParagraph"/>
              <w:spacing w:after="0" w:line="240" w:lineRule="auto"/>
              <w:ind w:left="0"/>
              <w:rPr>
                <w:rFonts w:ascii="Arial" w:hAnsi="Arial" w:cs="Arial"/>
                <w:sz w:val="20"/>
                <w:szCs w:val="20"/>
                <w:lang w:val="es-ES_tradnl" w:eastAsia="zh-CN"/>
              </w:rPr>
            </w:pPr>
          </w:p>
        </w:tc>
        <w:tc>
          <w:tcPr>
            <w:tcW w:w="0" w:type="auto"/>
          </w:tcPr>
          <w:p w14:paraId="0A8A3B89" w14:textId="6CCA323D" w:rsidR="007A23EC" w:rsidRPr="00A02F7C" w:rsidRDefault="00036925" w:rsidP="007A23EC">
            <w:pPr>
              <w:jc w:val="center"/>
              <w:rPr>
                <w:rFonts w:ascii="Arial" w:hAnsi="Arial" w:cs="Arial"/>
                <w:sz w:val="18"/>
                <w:szCs w:val="18"/>
                <w:lang w:val="pt-BR"/>
              </w:rPr>
            </w:pPr>
            <w:r>
              <w:rPr>
                <w:rFonts w:ascii="Arial" w:hAnsi="Arial" w:cs="Arial"/>
                <w:sz w:val="18"/>
                <w:szCs w:val="18"/>
                <w:lang w:val="pt-BR"/>
              </w:rPr>
              <w:t>0</w:t>
            </w:r>
          </w:p>
        </w:tc>
        <w:tc>
          <w:tcPr>
            <w:tcW w:w="0" w:type="auto"/>
          </w:tcPr>
          <w:p w14:paraId="741ABEEC" w14:textId="237388D6" w:rsidR="007A23EC" w:rsidRPr="00A02F7C" w:rsidRDefault="00946AE9" w:rsidP="007A23EC">
            <w:pPr>
              <w:jc w:val="center"/>
              <w:rPr>
                <w:rFonts w:ascii="Arial" w:hAnsi="Arial" w:cs="Arial"/>
                <w:sz w:val="18"/>
                <w:szCs w:val="18"/>
                <w:lang w:val="pt-BR"/>
              </w:rPr>
            </w:pPr>
            <w:r>
              <w:rPr>
                <w:rFonts w:ascii="Arial" w:hAnsi="Arial" w:cs="Arial"/>
                <w:sz w:val="18"/>
                <w:szCs w:val="18"/>
                <w:lang w:val="pt-BR"/>
              </w:rPr>
              <w:t>4</w:t>
            </w:r>
            <w:r w:rsidR="007A23EC">
              <w:rPr>
                <w:rFonts w:ascii="Arial" w:hAnsi="Arial" w:cs="Arial"/>
                <w:sz w:val="18"/>
                <w:szCs w:val="18"/>
                <w:lang w:val="pt-BR"/>
              </w:rPr>
              <w:t>,</w:t>
            </w:r>
            <w:r>
              <w:rPr>
                <w:rFonts w:ascii="Arial" w:hAnsi="Arial" w:cs="Arial"/>
                <w:sz w:val="18"/>
                <w:szCs w:val="18"/>
                <w:lang w:val="pt-BR"/>
              </w:rPr>
              <w:t>5</w:t>
            </w:r>
            <w:r w:rsidR="007A23EC">
              <w:rPr>
                <w:rFonts w:ascii="Arial" w:hAnsi="Arial" w:cs="Arial"/>
                <w:sz w:val="18"/>
                <w:szCs w:val="18"/>
                <w:lang w:val="pt-BR"/>
              </w:rPr>
              <w:t>00</w:t>
            </w:r>
          </w:p>
        </w:tc>
        <w:tc>
          <w:tcPr>
            <w:tcW w:w="0" w:type="auto"/>
          </w:tcPr>
          <w:p w14:paraId="411B60DD" w14:textId="77777777" w:rsidR="007A23EC" w:rsidRPr="00A02F7C" w:rsidRDefault="007A23EC" w:rsidP="007A23EC">
            <w:pPr>
              <w:contextualSpacing/>
              <w:jc w:val="both"/>
              <w:rPr>
                <w:rFonts w:ascii="Arial" w:hAnsi="Arial" w:cs="Arial"/>
                <w:sz w:val="18"/>
                <w:szCs w:val="18"/>
                <w:lang w:val="pt-BR"/>
              </w:rPr>
            </w:pPr>
            <w:r w:rsidRPr="00453E54">
              <w:rPr>
                <w:rFonts w:ascii="Arial" w:hAnsi="Arial" w:cs="Arial"/>
                <w:sz w:val="20"/>
                <w:szCs w:val="20"/>
                <w:lang w:val="es-ES_tradnl" w:eastAsia="zh-CN"/>
              </w:rPr>
              <w:t xml:space="preserve">Registro de pilotos </w:t>
            </w:r>
            <w:r>
              <w:rPr>
                <w:rFonts w:ascii="Arial" w:hAnsi="Arial" w:cs="Arial"/>
                <w:sz w:val="20"/>
                <w:szCs w:val="20"/>
                <w:lang w:val="es-ES_tradnl" w:eastAsia="zh-CN"/>
              </w:rPr>
              <w:t>de la Escuela Nacional de Transporte</w:t>
            </w:r>
          </w:p>
        </w:tc>
      </w:tr>
      <w:tr w:rsidR="007A23EC" w:rsidRPr="000F3F24" w14:paraId="4EDC8A2A" w14:textId="77777777" w:rsidTr="007A23EC">
        <w:trPr>
          <w:trHeight w:val="602"/>
          <w:jc w:val="center"/>
        </w:trPr>
        <w:tc>
          <w:tcPr>
            <w:tcW w:w="0" w:type="auto"/>
          </w:tcPr>
          <w:p w14:paraId="43ECFE89" w14:textId="77777777" w:rsidR="007A23EC" w:rsidRPr="00F7676B" w:rsidRDefault="007A23EC" w:rsidP="007A23EC">
            <w:pPr>
              <w:ind w:hanging="18"/>
              <w:rPr>
                <w:rFonts w:ascii="Arial" w:hAnsi="Arial" w:cs="Arial"/>
                <w:sz w:val="20"/>
                <w:szCs w:val="20"/>
                <w:lang w:val="es-HN"/>
              </w:rPr>
            </w:pPr>
            <w:r w:rsidRPr="00F7676B">
              <w:rPr>
                <w:rFonts w:ascii="Arial" w:hAnsi="Arial" w:cs="Arial"/>
                <w:sz w:val="20"/>
                <w:szCs w:val="20"/>
                <w:lang w:val="es-ES_tradnl" w:eastAsia="zh-CN"/>
              </w:rPr>
              <w:t>Tiempos de cruce del puesto fronterizos en la Aduana el Amatillo (HO-ES)</w:t>
            </w:r>
            <w:r w:rsidRPr="00F7676B">
              <w:rPr>
                <w:rStyle w:val="FootnoteReference"/>
                <w:rFonts w:ascii="Arial" w:eastAsia="Batang" w:hAnsi="Arial" w:cs="Arial"/>
                <w:sz w:val="20"/>
                <w:szCs w:val="20"/>
                <w:lang w:val="es-ES_tradnl" w:eastAsia="zh-CN"/>
              </w:rPr>
              <w:footnoteReference w:id="10"/>
            </w:r>
            <w:r w:rsidRPr="00F7676B">
              <w:rPr>
                <w:rFonts w:ascii="Arial" w:hAnsi="Arial" w:cs="Arial"/>
                <w:sz w:val="20"/>
                <w:szCs w:val="20"/>
                <w:lang w:val="es-ES_tradnl" w:eastAsia="zh-CN"/>
              </w:rPr>
              <w:t>.</w:t>
            </w:r>
          </w:p>
        </w:tc>
        <w:tc>
          <w:tcPr>
            <w:tcW w:w="0" w:type="auto"/>
          </w:tcPr>
          <w:p w14:paraId="75EDAAC1" w14:textId="77777777" w:rsidR="007A23EC" w:rsidRPr="00F7676B" w:rsidRDefault="007A23EC" w:rsidP="007A23EC">
            <w:pPr>
              <w:jc w:val="center"/>
              <w:rPr>
                <w:rFonts w:ascii="Arial" w:hAnsi="Arial" w:cs="Arial"/>
                <w:sz w:val="20"/>
                <w:szCs w:val="20"/>
                <w:lang w:val="es-HN"/>
              </w:rPr>
            </w:pPr>
            <w:r w:rsidRPr="00F7676B">
              <w:rPr>
                <w:rFonts w:ascii="Arial" w:hAnsi="Arial" w:cs="Arial"/>
                <w:sz w:val="20"/>
                <w:szCs w:val="20"/>
                <w:lang w:val="es-ES_tradnl" w:eastAsia="zh-CN"/>
              </w:rPr>
              <w:t>74:35</w:t>
            </w:r>
          </w:p>
        </w:tc>
        <w:tc>
          <w:tcPr>
            <w:tcW w:w="0" w:type="auto"/>
          </w:tcPr>
          <w:p w14:paraId="39BC97EA" w14:textId="77777777" w:rsidR="007A23EC" w:rsidRPr="00F7676B" w:rsidRDefault="007A23EC" w:rsidP="007A23EC">
            <w:pPr>
              <w:jc w:val="center"/>
              <w:rPr>
                <w:rFonts w:ascii="Arial" w:hAnsi="Arial" w:cs="Arial"/>
                <w:sz w:val="20"/>
                <w:szCs w:val="20"/>
                <w:lang w:val="es-HN"/>
              </w:rPr>
            </w:pPr>
            <w:r w:rsidRPr="00F7676B">
              <w:rPr>
                <w:rFonts w:ascii="Arial" w:hAnsi="Arial" w:cs="Arial"/>
                <w:sz w:val="20"/>
                <w:szCs w:val="20"/>
                <w:lang w:val="es-ES_tradnl" w:eastAsia="zh-CN"/>
              </w:rPr>
              <w:t>29:74</w:t>
            </w:r>
          </w:p>
        </w:tc>
        <w:tc>
          <w:tcPr>
            <w:tcW w:w="0" w:type="auto"/>
          </w:tcPr>
          <w:p w14:paraId="131CB1C5" w14:textId="77777777" w:rsidR="007A23EC" w:rsidRPr="00F7676B" w:rsidRDefault="007A23EC" w:rsidP="007A23EC">
            <w:pPr>
              <w:contextualSpacing/>
              <w:jc w:val="both"/>
              <w:rPr>
                <w:rFonts w:ascii="Arial" w:hAnsi="Arial" w:cs="Arial"/>
                <w:color w:val="000000"/>
                <w:sz w:val="20"/>
                <w:szCs w:val="20"/>
                <w:lang w:val="es-HN"/>
              </w:rPr>
            </w:pPr>
            <w:r w:rsidRPr="00F7676B">
              <w:rPr>
                <w:rFonts w:ascii="Arial" w:hAnsi="Arial" w:cs="Arial"/>
                <w:sz w:val="20"/>
                <w:szCs w:val="20"/>
                <w:lang w:val="es-ES_tradnl" w:eastAsia="zh-CN"/>
              </w:rPr>
              <w:t>Reporte de la Dirección General de Aduanas (DARA)</w:t>
            </w:r>
          </w:p>
        </w:tc>
      </w:tr>
    </w:tbl>
    <w:p w14:paraId="7DAD3E8D" w14:textId="77777777" w:rsidR="00F82E41" w:rsidRPr="00A02F7C" w:rsidRDefault="00F82E41" w:rsidP="00F82E41">
      <w:pPr>
        <w:pStyle w:val="Title"/>
        <w:tabs>
          <w:tab w:val="clear" w:pos="1440"/>
          <w:tab w:val="clear" w:pos="3060"/>
        </w:tabs>
        <w:spacing w:line="276" w:lineRule="auto"/>
        <w:jc w:val="both"/>
        <w:outlineLvl w:val="9"/>
        <w:rPr>
          <w:rFonts w:ascii="Arial" w:hAnsi="Arial" w:cs="Arial"/>
          <w:lang w:val="es-HN"/>
        </w:rPr>
      </w:pPr>
    </w:p>
    <w:p w14:paraId="7A45AA7E" w14:textId="77777777" w:rsidR="000F747F" w:rsidRPr="00A02F7C" w:rsidRDefault="00F82E41"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Adicionalmente, se realizará una evaluación ex-post que consistirá en la medición o sistematización y explicación de los resultados atribuibles al Programa, utilizando los datos observados para el cálculo de los indicadores</w:t>
      </w:r>
      <w:r w:rsidR="00990556" w:rsidRPr="00A02F7C">
        <w:rPr>
          <w:rFonts w:ascii="Arial" w:hAnsi="Arial" w:cs="Arial"/>
          <w:lang w:val="es-ES"/>
        </w:rPr>
        <w:t xml:space="preserve"> de impacto y de resultado establecidos en la Matriz de Resultados del Programa</w:t>
      </w:r>
      <w:r w:rsidRPr="00A02F7C">
        <w:rPr>
          <w:rFonts w:ascii="Arial" w:hAnsi="Arial" w:cs="Arial"/>
          <w:lang w:val="es-ES"/>
        </w:rPr>
        <w:t xml:space="preserve">. La evaluación </w:t>
      </w:r>
      <w:r w:rsidR="00F64E4F" w:rsidRPr="00A02F7C">
        <w:rPr>
          <w:rFonts w:ascii="Arial" w:hAnsi="Arial" w:cs="Arial"/>
          <w:lang w:val="es-ES"/>
        </w:rPr>
        <w:t xml:space="preserve">final del </w:t>
      </w:r>
      <w:r w:rsidR="00E0632C" w:rsidRPr="00A02F7C">
        <w:rPr>
          <w:rFonts w:ascii="Arial" w:hAnsi="Arial" w:cs="Arial"/>
          <w:lang w:val="es-ES"/>
        </w:rPr>
        <w:t xml:space="preserve">programa </w:t>
      </w:r>
      <w:r w:rsidRPr="00A02F7C">
        <w:rPr>
          <w:rFonts w:ascii="Arial" w:hAnsi="Arial" w:cs="Arial"/>
          <w:lang w:val="es-ES"/>
        </w:rPr>
        <w:t>validar</w:t>
      </w:r>
      <w:r w:rsidR="00805687" w:rsidRPr="00A02F7C">
        <w:rPr>
          <w:rFonts w:ascii="Arial" w:hAnsi="Arial" w:cs="Arial"/>
          <w:lang w:val="es-ES"/>
        </w:rPr>
        <w:t>á</w:t>
      </w:r>
      <w:r w:rsidRPr="00A02F7C">
        <w:rPr>
          <w:rFonts w:ascii="Arial" w:hAnsi="Arial" w:cs="Arial"/>
          <w:lang w:val="es-ES"/>
        </w:rPr>
        <w:t xml:space="preserve"> si efectivamente el programa cumplió con los objetivos estimados en la </w:t>
      </w:r>
      <w:r w:rsidR="00990556" w:rsidRPr="00A02F7C">
        <w:rPr>
          <w:rFonts w:ascii="Arial" w:hAnsi="Arial" w:cs="Arial"/>
          <w:lang w:val="es-ES"/>
        </w:rPr>
        <w:t xml:space="preserve">situación </w:t>
      </w:r>
      <w:r w:rsidR="00FB0F8E" w:rsidRPr="00A02F7C">
        <w:rPr>
          <w:rFonts w:ascii="Arial" w:hAnsi="Arial" w:cs="Arial"/>
          <w:lang w:val="es-ES"/>
        </w:rPr>
        <w:t>‘’Sin Proyecto’’</w:t>
      </w:r>
      <w:r w:rsidRPr="00A02F7C">
        <w:rPr>
          <w:rFonts w:ascii="Arial" w:hAnsi="Arial" w:cs="Arial"/>
          <w:lang w:val="es-ES"/>
        </w:rPr>
        <w:t xml:space="preserve">, permitiendo conocer los efectos concretos del Programa y calcular los beneficios y costos reales del Programa y por tanto cuantificar el valor social neto del Programa. Del mismo modo, la evaluación </w:t>
      </w:r>
      <w:r w:rsidR="002618F6" w:rsidRPr="00A02F7C">
        <w:rPr>
          <w:rFonts w:ascii="Arial" w:hAnsi="Arial" w:cs="Arial"/>
          <w:lang w:val="es-ES"/>
        </w:rPr>
        <w:t>final</w:t>
      </w:r>
      <w:r w:rsidRPr="00A02F7C">
        <w:rPr>
          <w:rFonts w:ascii="Arial" w:hAnsi="Arial" w:cs="Arial"/>
          <w:lang w:val="es-ES"/>
        </w:rPr>
        <w:t xml:space="preserve"> permitirá identificar lecciones aprendidas para la preparación de otros programas similares.</w:t>
      </w:r>
      <w:r w:rsidR="00AA2D34" w:rsidRPr="00A02F7C">
        <w:rPr>
          <w:rFonts w:ascii="Arial" w:hAnsi="Arial" w:cs="Arial"/>
          <w:lang w:val="es-ES"/>
        </w:rPr>
        <w:t xml:space="preserve"> </w:t>
      </w:r>
    </w:p>
    <w:p w14:paraId="5DAAACF7" w14:textId="77777777" w:rsidR="00FB0F8E" w:rsidRPr="00A02F7C" w:rsidRDefault="00FB0F8E" w:rsidP="00F64E64">
      <w:pPr>
        <w:pStyle w:val="Title"/>
        <w:tabs>
          <w:tab w:val="clear" w:pos="1440"/>
          <w:tab w:val="clear" w:pos="3060"/>
        </w:tabs>
        <w:spacing w:line="276" w:lineRule="auto"/>
        <w:jc w:val="both"/>
        <w:rPr>
          <w:rFonts w:ascii="Arial" w:hAnsi="Arial" w:cs="Arial"/>
          <w:lang w:val="es-ES"/>
        </w:rPr>
      </w:pPr>
    </w:p>
    <w:p w14:paraId="77BA700B" w14:textId="77777777" w:rsidR="005E2873" w:rsidRPr="00A02F7C" w:rsidRDefault="005E2873"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Al finalizar</w:t>
      </w:r>
      <w:r w:rsidR="007A2F3E" w:rsidRPr="00A02F7C">
        <w:rPr>
          <w:rFonts w:ascii="Arial" w:hAnsi="Arial" w:cs="Arial"/>
          <w:lang w:val="es-ES"/>
        </w:rPr>
        <w:t xml:space="preserve"> la última operación</w:t>
      </w:r>
      <w:r w:rsidRPr="00A02F7C">
        <w:rPr>
          <w:rFonts w:ascii="Arial" w:hAnsi="Arial" w:cs="Arial"/>
          <w:lang w:val="es-ES"/>
        </w:rPr>
        <w:t xml:space="preserve"> programática, se realizará un Informe de Terminación de Proyecto o PCR (Project </w:t>
      </w:r>
      <w:proofErr w:type="spellStart"/>
      <w:r w:rsidRPr="00A02F7C">
        <w:rPr>
          <w:rFonts w:ascii="Arial" w:hAnsi="Arial" w:cs="Arial"/>
          <w:lang w:val="es-ES"/>
        </w:rPr>
        <w:t>Completion</w:t>
      </w:r>
      <w:proofErr w:type="spellEnd"/>
      <w:r w:rsidRPr="00A02F7C">
        <w:rPr>
          <w:rFonts w:ascii="Arial" w:hAnsi="Arial" w:cs="Arial"/>
          <w:lang w:val="es-ES"/>
        </w:rPr>
        <w:t xml:space="preserve"> </w:t>
      </w:r>
      <w:proofErr w:type="spellStart"/>
      <w:r w:rsidRPr="00A02F7C">
        <w:rPr>
          <w:rFonts w:ascii="Arial" w:hAnsi="Arial" w:cs="Arial"/>
          <w:lang w:val="es-ES"/>
        </w:rPr>
        <w:t>Report</w:t>
      </w:r>
      <w:proofErr w:type="spellEnd"/>
      <w:r w:rsidRPr="00A02F7C">
        <w:rPr>
          <w:rFonts w:ascii="Arial" w:hAnsi="Arial" w:cs="Arial"/>
          <w:lang w:val="es-ES"/>
        </w:rPr>
        <w:t xml:space="preserve"> por sus siglas en inglés), el cual es el principal instrumento de rendición de cuentas que utiliza el Banco para mostrar a los</w:t>
      </w:r>
      <w:r w:rsidR="009B2BD7" w:rsidRPr="00A02F7C">
        <w:rPr>
          <w:rFonts w:ascii="Arial" w:hAnsi="Arial" w:cs="Arial"/>
          <w:lang w:val="es-ES"/>
        </w:rPr>
        <w:t xml:space="preserve"> </w:t>
      </w:r>
      <w:r w:rsidRPr="00A02F7C">
        <w:rPr>
          <w:rFonts w:ascii="Arial" w:hAnsi="Arial" w:cs="Arial"/>
          <w:lang w:val="es-ES"/>
        </w:rPr>
        <w:t xml:space="preserve">socios internos y externos al Banco el desempeño de sus operaciones con garantía soberana y la efectividad en el Desarrollo de </w:t>
      </w:r>
      <w:proofErr w:type="gramStart"/>
      <w:r w:rsidRPr="00A02F7C">
        <w:rPr>
          <w:rFonts w:ascii="Arial" w:hAnsi="Arial" w:cs="Arial"/>
          <w:lang w:val="es-ES"/>
        </w:rPr>
        <w:t>las mismas</w:t>
      </w:r>
      <w:proofErr w:type="gramEnd"/>
      <w:r w:rsidRPr="00A02F7C">
        <w:rPr>
          <w:rFonts w:ascii="Arial" w:hAnsi="Arial" w:cs="Arial"/>
          <w:lang w:val="es-ES"/>
        </w:rPr>
        <w:t xml:space="preserve">. </w:t>
      </w:r>
      <w:r w:rsidR="00FB16A3" w:rsidRPr="00A02F7C">
        <w:rPr>
          <w:rFonts w:ascii="Arial" w:hAnsi="Arial" w:cs="Arial"/>
          <w:lang w:val="es-ES"/>
        </w:rPr>
        <w:t xml:space="preserve">Este </w:t>
      </w:r>
      <w:r w:rsidRPr="00A02F7C">
        <w:rPr>
          <w:rFonts w:ascii="Arial" w:hAnsi="Arial" w:cs="Arial"/>
          <w:lang w:val="es-ES"/>
        </w:rPr>
        <w:t>informe presenta</w:t>
      </w:r>
      <w:r w:rsidR="00FB16A3" w:rsidRPr="00A02F7C">
        <w:rPr>
          <w:rFonts w:ascii="Arial" w:hAnsi="Arial" w:cs="Arial"/>
          <w:lang w:val="es-ES"/>
        </w:rPr>
        <w:t>rá</w:t>
      </w:r>
      <w:r w:rsidRPr="00A02F7C">
        <w:rPr>
          <w:rFonts w:ascii="Arial" w:hAnsi="Arial" w:cs="Arial"/>
          <w:lang w:val="es-ES"/>
        </w:rPr>
        <w:t xml:space="preserve"> los principales hallazgos y recomendaciones a fin de fortalecer el diseño y ejecución de futuros proyectos. El PCR será </w:t>
      </w:r>
      <w:r w:rsidR="00FB16A3" w:rsidRPr="00A02F7C">
        <w:rPr>
          <w:rFonts w:ascii="Arial" w:hAnsi="Arial" w:cs="Arial"/>
          <w:lang w:val="es-ES"/>
        </w:rPr>
        <w:t xml:space="preserve">realizado dentro de los </w:t>
      </w:r>
      <w:r w:rsidR="007675CC" w:rsidRPr="00A02F7C">
        <w:rPr>
          <w:rFonts w:ascii="Arial" w:hAnsi="Arial" w:cs="Arial"/>
          <w:lang w:val="es-ES"/>
        </w:rPr>
        <w:t>12 meses</w:t>
      </w:r>
      <w:r w:rsidR="00FB16A3" w:rsidRPr="00A02F7C">
        <w:rPr>
          <w:rFonts w:ascii="Arial" w:hAnsi="Arial" w:cs="Arial"/>
          <w:lang w:val="es-ES"/>
        </w:rPr>
        <w:t xml:space="preserve"> </w:t>
      </w:r>
      <w:r w:rsidR="007675CC" w:rsidRPr="00A02F7C">
        <w:rPr>
          <w:rFonts w:ascii="Arial" w:hAnsi="Arial" w:cs="Arial"/>
          <w:lang w:val="es-ES"/>
        </w:rPr>
        <w:t xml:space="preserve">tras el </w:t>
      </w:r>
      <w:r w:rsidR="00FB16A3" w:rsidRPr="00A02F7C">
        <w:rPr>
          <w:rFonts w:ascii="Arial" w:hAnsi="Arial" w:cs="Arial"/>
          <w:lang w:val="es-ES"/>
        </w:rPr>
        <w:t>desembolso</w:t>
      </w:r>
      <w:r w:rsidR="007675CC" w:rsidRPr="00A02F7C">
        <w:rPr>
          <w:rFonts w:ascii="Arial" w:hAnsi="Arial" w:cs="Arial"/>
          <w:lang w:val="es-ES"/>
        </w:rPr>
        <w:t xml:space="preserve"> de la última operación</w:t>
      </w:r>
      <w:r w:rsidR="00C22461" w:rsidRPr="00A02F7C">
        <w:rPr>
          <w:rStyle w:val="FootnoteReference"/>
          <w:rFonts w:ascii="Arial" w:hAnsi="Arial" w:cs="Arial"/>
          <w:lang w:val="es-ES"/>
        </w:rPr>
        <w:footnoteReference w:id="11"/>
      </w:r>
      <w:r w:rsidR="00FB16A3" w:rsidRPr="00A02F7C">
        <w:rPr>
          <w:rFonts w:ascii="Arial" w:hAnsi="Arial" w:cs="Arial"/>
          <w:lang w:val="es-ES"/>
        </w:rPr>
        <w:t xml:space="preserve"> </w:t>
      </w:r>
      <w:r w:rsidRPr="00A02F7C">
        <w:rPr>
          <w:rFonts w:ascii="Arial" w:hAnsi="Arial" w:cs="Arial"/>
          <w:lang w:val="es-ES"/>
        </w:rPr>
        <w:t xml:space="preserve">y será aplicado según las nuevas guías (OP-1242) que </w:t>
      </w:r>
      <w:proofErr w:type="gramStart"/>
      <w:r w:rsidRPr="00A02F7C">
        <w:rPr>
          <w:rFonts w:ascii="Arial" w:hAnsi="Arial" w:cs="Arial"/>
          <w:lang w:val="es-ES"/>
        </w:rPr>
        <w:t xml:space="preserve">entraron en </w:t>
      </w:r>
      <w:r w:rsidR="00FB16A3" w:rsidRPr="00A02F7C">
        <w:rPr>
          <w:rFonts w:ascii="Arial" w:hAnsi="Arial" w:cs="Arial"/>
          <w:lang w:val="es-ES"/>
        </w:rPr>
        <w:t>vigencia</w:t>
      </w:r>
      <w:proofErr w:type="gramEnd"/>
      <w:r w:rsidR="00FB16A3" w:rsidRPr="00A02F7C">
        <w:rPr>
          <w:rFonts w:ascii="Arial" w:hAnsi="Arial" w:cs="Arial"/>
          <w:lang w:val="es-ES"/>
        </w:rPr>
        <w:t xml:space="preserve"> el 5 de </w:t>
      </w:r>
      <w:r w:rsidR="007A1080" w:rsidRPr="00A02F7C">
        <w:rPr>
          <w:rFonts w:ascii="Arial" w:hAnsi="Arial" w:cs="Arial"/>
          <w:lang w:val="es-ES"/>
        </w:rPr>
        <w:t>a</w:t>
      </w:r>
      <w:r w:rsidRPr="00A02F7C">
        <w:rPr>
          <w:rFonts w:ascii="Arial" w:hAnsi="Arial" w:cs="Arial"/>
          <w:lang w:val="es-ES"/>
        </w:rPr>
        <w:t>gosto de 2014 y fueron actualizadas en febrero de 2015.</w:t>
      </w:r>
      <w:r w:rsidR="00FB16A3" w:rsidRPr="00A02F7C">
        <w:rPr>
          <w:rFonts w:ascii="Arial" w:hAnsi="Arial" w:cs="Arial"/>
          <w:lang w:val="es-ES"/>
        </w:rPr>
        <w:t xml:space="preserve"> </w:t>
      </w:r>
      <w:r w:rsidRPr="00A02F7C">
        <w:rPr>
          <w:rFonts w:ascii="Arial" w:hAnsi="Arial" w:cs="Arial"/>
          <w:lang w:val="es-ES"/>
        </w:rPr>
        <w:t>El prestatario ha acordado con el Banco los indicadores, la línea de base y las metas para llevar a cabo dicha evaluación final.</w:t>
      </w:r>
    </w:p>
    <w:p w14:paraId="466960EA" w14:textId="77777777" w:rsidR="005E2873" w:rsidRPr="00A02F7C" w:rsidRDefault="005E2873" w:rsidP="005E2873">
      <w:pPr>
        <w:pStyle w:val="Title"/>
        <w:tabs>
          <w:tab w:val="clear" w:pos="1440"/>
          <w:tab w:val="clear" w:pos="3060"/>
        </w:tabs>
        <w:spacing w:line="276" w:lineRule="auto"/>
        <w:jc w:val="both"/>
        <w:outlineLvl w:val="9"/>
        <w:rPr>
          <w:rFonts w:ascii="Arial" w:hAnsi="Arial" w:cs="Arial"/>
          <w:lang w:val="es-ES"/>
        </w:rPr>
      </w:pPr>
    </w:p>
    <w:p w14:paraId="53B7C1DB" w14:textId="77777777" w:rsidR="005E2873" w:rsidRPr="00A02F7C" w:rsidRDefault="00FB16A3" w:rsidP="00F64E64">
      <w:pPr>
        <w:pStyle w:val="Title"/>
        <w:tabs>
          <w:tab w:val="clear" w:pos="1440"/>
          <w:tab w:val="clear" w:pos="3060"/>
        </w:tabs>
        <w:spacing w:line="276" w:lineRule="auto"/>
        <w:jc w:val="both"/>
        <w:rPr>
          <w:rFonts w:ascii="Arial" w:hAnsi="Arial" w:cs="Arial"/>
          <w:lang w:val="es-ES"/>
        </w:rPr>
      </w:pPr>
      <w:r w:rsidRPr="00A02F7C">
        <w:rPr>
          <w:rFonts w:ascii="Arial" w:hAnsi="Arial" w:cs="Arial"/>
          <w:lang w:val="es-ES"/>
        </w:rPr>
        <w:t>El PCR se realizará a</w:t>
      </w:r>
      <w:r w:rsidR="005E2873" w:rsidRPr="00A02F7C">
        <w:rPr>
          <w:rFonts w:ascii="Arial" w:hAnsi="Arial" w:cs="Arial"/>
          <w:lang w:val="es-ES"/>
        </w:rPr>
        <w:t xml:space="preserve"> partir del análisis de los criterios centrales y criterios no centrales. Los criterios centrales del PCR, básicamente evalúan el desempeño del proyecto y se </w:t>
      </w:r>
      <w:r w:rsidR="005E2873" w:rsidRPr="00A02F7C">
        <w:rPr>
          <w:rFonts w:ascii="Arial" w:hAnsi="Arial" w:cs="Arial"/>
          <w:lang w:val="es-ES"/>
        </w:rPr>
        <w:lastRenderedPageBreak/>
        <w:t xml:space="preserve">determinan en forma objetiva con base en los resultados y productos </w:t>
      </w:r>
      <w:proofErr w:type="gramStart"/>
      <w:r w:rsidR="005E2873" w:rsidRPr="00A02F7C">
        <w:rPr>
          <w:rFonts w:ascii="Arial" w:hAnsi="Arial" w:cs="Arial"/>
          <w:lang w:val="es-ES"/>
        </w:rPr>
        <w:t>del mismo</w:t>
      </w:r>
      <w:proofErr w:type="gramEnd"/>
      <w:r w:rsidR="005E2873" w:rsidRPr="00A02F7C">
        <w:rPr>
          <w:rFonts w:ascii="Arial" w:hAnsi="Arial" w:cs="Arial"/>
          <w:lang w:val="es-ES"/>
        </w:rPr>
        <w:t>, y se califica a través de cuatro criterios: i) efectividad, ii) eficiencia</w:t>
      </w:r>
      <w:r w:rsidRPr="00A02F7C">
        <w:rPr>
          <w:rStyle w:val="FootnoteReference"/>
          <w:rFonts w:ascii="Arial" w:hAnsi="Arial" w:cs="Arial"/>
          <w:lang w:val="es-ES" w:eastAsia="es-ES"/>
        </w:rPr>
        <w:footnoteReference w:id="12"/>
      </w:r>
      <w:r w:rsidR="005E2873" w:rsidRPr="00A02F7C">
        <w:rPr>
          <w:rFonts w:ascii="Arial" w:hAnsi="Arial" w:cs="Arial"/>
          <w:lang w:val="es-ES"/>
        </w:rPr>
        <w:t>, iii) relevancia; y iv) sostenibilidad. Los criterios no centrales del PCR son aquellos evaluables, pero que no califican la efectividad de la intervención. En su defecto evalúan la contribución de la operación a los objetivos de desarrollo del Banco; la contribución a los objetivos de desarrollo del país; el cumplimiento del plan de monitoreo y evaluación; el uso de sistemas país; y la implementación y mitigación de salvaguardas ambientales y sociales.</w:t>
      </w:r>
    </w:p>
    <w:p w14:paraId="4B94C806" w14:textId="77777777" w:rsidR="000E6171" w:rsidRPr="00A02F7C" w:rsidRDefault="000E6171" w:rsidP="002B1BA1">
      <w:pPr>
        <w:pStyle w:val="ColorfulList-Accent11"/>
        <w:spacing w:after="0"/>
        <w:ind w:left="0"/>
        <w:jc w:val="both"/>
        <w:outlineLvl w:val="1"/>
        <w:rPr>
          <w:rFonts w:ascii="Arial" w:hAnsi="Arial" w:cs="Arial"/>
          <w:b/>
          <w:lang w:val="es-ES"/>
        </w:rPr>
      </w:pPr>
    </w:p>
    <w:p w14:paraId="25CA6360" w14:textId="77777777" w:rsidR="007A2F3E" w:rsidRPr="00A02F7C" w:rsidRDefault="00B04E9F" w:rsidP="00F7295F">
      <w:pPr>
        <w:pStyle w:val="ColorfulList-Accent11"/>
        <w:numPr>
          <w:ilvl w:val="1"/>
          <w:numId w:val="2"/>
        </w:numPr>
        <w:spacing w:after="0"/>
        <w:ind w:left="360"/>
        <w:jc w:val="both"/>
        <w:outlineLvl w:val="1"/>
        <w:rPr>
          <w:rFonts w:ascii="Arial" w:hAnsi="Arial" w:cs="Arial"/>
          <w:b/>
          <w:bCs/>
          <w:lang w:val="es-ES"/>
        </w:rPr>
      </w:pPr>
      <w:bookmarkStart w:id="41" w:name="_Toc468954101"/>
      <w:r w:rsidRPr="00A02F7C">
        <w:rPr>
          <w:rFonts w:ascii="Arial" w:hAnsi="Arial" w:cs="Arial"/>
          <w:b/>
          <w:bCs/>
          <w:lang w:val="es-ES"/>
        </w:rPr>
        <w:t>Cronograma de Actividades y Presupuesto A</w:t>
      </w:r>
      <w:r w:rsidR="007A2F3E" w:rsidRPr="00A02F7C">
        <w:rPr>
          <w:rFonts w:ascii="Arial" w:hAnsi="Arial" w:cs="Arial"/>
          <w:b/>
          <w:bCs/>
          <w:lang w:val="es-ES"/>
        </w:rPr>
        <w:t>sociado</w:t>
      </w:r>
      <w:bookmarkEnd w:id="41"/>
    </w:p>
    <w:p w14:paraId="60532181" w14:textId="77777777" w:rsidR="00B04E9F" w:rsidRPr="00A02F7C" w:rsidRDefault="00B04E9F" w:rsidP="002A34B5">
      <w:pPr>
        <w:pStyle w:val="Title"/>
        <w:tabs>
          <w:tab w:val="clear" w:pos="1440"/>
          <w:tab w:val="clear" w:pos="3060"/>
        </w:tabs>
        <w:spacing w:line="276" w:lineRule="auto"/>
        <w:jc w:val="both"/>
        <w:outlineLvl w:val="9"/>
        <w:rPr>
          <w:rFonts w:ascii="Arial" w:hAnsi="Arial" w:cs="Arial"/>
          <w:lang w:val="es-ES"/>
        </w:rPr>
      </w:pPr>
    </w:p>
    <w:p w14:paraId="70394493" w14:textId="77777777" w:rsidR="00C41116" w:rsidRPr="00A02F7C" w:rsidRDefault="007A2F3E" w:rsidP="00F64E64">
      <w:pPr>
        <w:pStyle w:val="Title"/>
        <w:tabs>
          <w:tab w:val="clear" w:pos="1440"/>
          <w:tab w:val="clear" w:pos="3060"/>
        </w:tabs>
        <w:spacing w:line="276" w:lineRule="auto"/>
        <w:jc w:val="both"/>
        <w:rPr>
          <w:rFonts w:ascii="Arial" w:hAnsi="Arial" w:cs="Arial"/>
          <w:color w:val="000000"/>
          <w:lang w:val="es-ES"/>
        </w:rPr>
      </w:pPr>
      <w:r w:rsidRPr="00A02F7C">
        <w:rPr>
          <w:rFonts w:ascii="Arial" w:hAnsi="Arial" w:cs="Arial"/>
          <w:lang w:val="es-ES"/>
        </w:rPr>
        <w:t xml:space="preserve">Como resultado de las reuniones de seguimiento anual se evaluará el avance en el cumplimiento de los resultados previstos, </w:t>
      </w:r>
      <w:r w:rsidR="00236A62">
        <w:rPr>
          <w:rFonts w:ascii="Arial" w:hAnsi="Arial" w:cs="Arial"/>
          <w:lang w:val="es-ES"/>
        </w:rPr>
        <w:t>siguiendo</w:t>
      </w:r>
      <w:r w:rsidRPr="00A02F7C">
        <w:rPr>
          <w:rFonts w:ascii="Arial" w:hAnsi="Arial" w:cs="Arial"/>
          <w:lang w:val="es-ES"/>
        </w:rPr>
        <w:t xml:space="preserve"> los acuerdos establecidos en la Matriz de Resultados.</w:t>
      </w:r>
      <w:r w:rsidR="00B04E9F" w:rsidRPr="00A02F7C">
        <w:rPr>
          <w:rFonts w:ascii="Arial" w:hAnsi="Arial" w:cs="Arial"/>
          <w:lang w:val="es-ES"/>
        </w:rPr>
        <w:t xml:space="preserve"> </w:t>
      </w:r>
      <w:r w:rsidRPr="00A02F7C">
        <w:rPr>
          <w:rFonts w:ascii="Arial" w:hAnsi="Arial" w:cs="Arial"/>
          <w:lang w:val="es-ES"/>
        </w:rPr>
        <w:t xml:space="preserve">La evaluación </w:t>
      </w:r>
      <w:r w:rsidR="00F01E59">
        <w:rPr>
          <w:rFonts w:ascii="Arial" w:hAnsi="Arial" w:cs="Arial"/>
          <w:lang w:val="es-ES"/>
        </w:rPr>
        <w:t>reflexiva</w:t>
      </w:r>
      <w:r w:rsidRPr="00A02F7C">
        <w:rPr>
          <w:rFonts w:ascii="Arial" w:hAnsi="Arial" w:cs="Arial"/>
          <w:lang w:val="es-ES"/>
        </w:rPr>
        <w:t xml:space="preserve"> se realizará </w:t>
      </w:r>
      <w:r w:rsidR="00C22461">
        <w:rPr>
          <w:rFonts w:ascii="Arial" w:hAnsi="Arial" w:cs="Arial"/>
          <w:lang w:val="es-ES"/>
        </w:rPr>
        <w:t>una vez cumplido el plazo previsto para los resultados el cual se establece en el año 2022</w:t>
      </w:r>
      <w:r w:rsidRPr="00A02F7C">
        <w:rPr>
          <w:rFonts w:ascii="Arial" w:hAnsi="Arial" w:cs="Arial"/>
          <w:lang w:val="es-ES"/>
        </w:rPr>
        <w:t>.</w:t>
      </w:r>
      <w:r w:rsidR="00B04E9F" w:rsidRPr="00A02F7C">
        <w:rPr>
          <w:rFonts w:ascii="Arial" w:hAnsi="Arial" w:cs="Arial"/>
          <w:lang w:val="es-ES"/>
        </w:rPr>
        <w:t xml:space="preserve"> </w:t>
      </w:r>
      <w:r w:rsidRPr="00A02F7C">
        <w:rPr>
          <w:rFonts w:ascii="Arial" w:hAnsi="Arial" w:cs="Arial"/>
          <w:lang w:val="es-ES"/>
        </w:rPr>
        <w:t>El presupuesto para la evaluación, de parte del Banco, provendrá de recursos administrativo de supervisión de las operaciones.</w:t>
      </w:r>
      <w:r w:rsidR="00B04E9F" w:rsidRPr="00A02F7C">
        <w:rPr>
          <w:rFonts w:ascii="Arial" w:hAnsi="Arial" w:cs="Arial"/>
          <w:color w:val="000000"/>
          <w:lang w:val="es-ES"/>
        </w:rPr>
        <w:t xml:space="preserve"> </w:t>
      </w:r>
    </w:p>
    <w:p w14:paraId="6008BF20" w14:textId="77777777" w:rsidR="003C2E48" w:rsidRPr="00A02F7C" w:rsidRDefault="003C2E48" w:rsidP="00F32849">
      <w:pPr>
        <w:jc w:val="both"/>
        <w:textAlignment w:val="top"/>
        <w:rPr>
          <w:rFonts w:ascii="Arial" w:eastAsia="Times New Roman" w:hAnsi="Arial" w:cs="Arial"/>
          <w:color w:val="000000"/>
          <w:lang w:val="es-ES"/>
        </w:rPr>
      </w:pPr>
    </w:p>
    <w:p w14:paraId="4A99150D" w14:textId="77777777" w:rsidR="005F711A" w:rsidRPr="00A02F7C" w:rsidRDefault="005F711A" w:rsidP="005F711A">
      <w:pPr>
        <w:pStyle w:val="Caption"/>
        <w:keepNext/>
        <w:spacing w:after="0" w:line="276" w:lineRule="auto"/>
        <w:jc w:val="center"/>
        <w:rPr>
          <w:rFonts w:ascii="Arial" w:hAnsi="Arial" w:cs="Arial"/>
          <w:b/>
          <w:i w:val="0"/>
          <w:color w:val="000000" w:themeColor="text1"/>
          <w:lang w:val="es-ES"/>
        </w:rPr>
      </w:pPr>
      <w:r w:rsidRPr="00A02F7C">
        <w:rPr>
          <w:rFonts w:ascii="Arial" w:hAnsi="Arial" w:cs="Arial"/>
          <w:b/>
          <w:i w:val="0"/>
          <w:color w:val="000000" w:themeColor="text1"/>
          <w:lang w:val="es-ES"/>
        </w:rPr>
        <w:t xml:space="preserve">Tabla </w:t>
      </w:r>
      <w:r w:rsidRPr="00A02F7C">
        <w:rPr>
          <w:rFonts w:ascii="Arial" w:hAnsi="Arial" w:cs="Arial"/>
          <w:b/>
          <w:i w:val="0"/>
          <w:color w:val="000000" w:themeColor="text1"/>
          <w:lang w:val="es-ES"/>
        </w:rPr>
        <w:fldChar w:fldCharType="begin"/>
      </w:r>
      <w:r w:rsidRPr="00A02F7C">
        <w:rPr>
          <w:rFonts w:ascii="Arial" w:hAnsi="Arial" w:cs="Arial"/>
          <w:b/>
          <w:i w:val="0"/>
          <w:color w:val="000000" w:themeColor="text1"/>
          <w:lang w:val="es-ES"/>
        </w:rPr>
        <w:instrText xml:space="preserve"> SEQ Tabla \* ARABIC </w:instrText>
      </w:r>
      <w:r w:rsidRPr="00A02F7C">
        <w:rPr>
          <w:rFonts w:ascii="Arial" w:hAnsi="Arial" w:cs="Arial"/>
          <w:b/>
          <w:i w:val="0"/>
          <w:color w:val="000000" w:themeColor="text1"/>
          <w:lang w:val="es-ES"/>
        </w:rPr>
        <w:fldChar w:fldCharType="separate"/>
      </w:r>
      <w:r w:rsidR="000A6E76" w:rsidRPr="00A02F7C">
        <w:rPr>
          <w:rFonts w:ascii="Arial" w:hAnsi="Arial" w:cs="Arial"/>
          <w:b/>
          <w:i w:val="0"/>
          <w:noProof/>
          <w:color w:val="000000" w:themeColor="text1"/>
          <w:lang w:val="es-ES"/>
        </w:rPr>
        <w:t>8</w:t>
      </w:r>
      <w:r w:rsidRPr="00A02F7C">
        <w:rPr>
          <w:rFonts w:ascii="Arial" w:hAnsi="Arial" w:cs="Arial"/>
          <w:b/>
          <w:i w:val="0"/>
          <w:color w:val="000000" w:themeColor="text1"/>
          <w:lang w:val="es-ES"/>
        </w:rPr>
        <w:fldChar w:fldCharType="end"/>
      </w:r>
      <w:r w:rsidRPr="00A02F7C">
        <w:rPr>
          <w:rFonts w:ascii="Arial" w:hAnsi="Arial" w:cs="Arial"/>
          <w:b/>
          <w:i w:val="0"/>
          <w:color w:val="000000" w:themeColor="text1"/>
          <w:lang w:val="es-ES"/>
        </w:rPr>
        <w:t xml:space="preserve">. Cronograma de Actividades de </w:t>
      </w:r>
      <w:r w:rsidR="00B109A7" w:rsidRPr="00A02F7C">
        <w:rPr>
          <w:rFonts w:ascii="Arial" w:hAnsi="Arial" w:cs="Arial"/>
          <w:b/>
          <w:i w:val="0"/>
          <w:color w:val="000000" w:themeColor="text1"/>
          <w:lang w:val="es-ES"/>
        </w:rPr>
        <w:t xml:space="preserve">Evaluación (Incluyendo Recolección de Datos) </w:t>
      </w:r>
      <w:r w:rsidRPr="00A02F7C">
        <w:rPr>
          <w:rFonts w:ascii="Arial" w:hAnsi="Arial" w:cs="Arial"/>
          <w:b/>
          <w:i w:val="0"/>
          <w:color w:val="000000" w:themeColor="text1"/>
          <w:lang w:val="es-ES"/>
        </w:rPr>
        <w:t>y Presupuesto</w:t>
      </w:r>
    </w:p>
    <w:tbl>
      <w:tblPr>
        <w:tblW w:w="456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077"/>
        <w:gridCol w:w="965"/>
        <w:gridCol w:w="1404"/>
        <w:gridCol w:w="1404"/>
        <w:gridCol w:w="1055"/>
        <w:gridCol w:w="1455"/>
      </w:tblGrid>
      <w:tr w:rsidR="00BB0222" w:rsidRPr="00A02F7C" w14:paraId="4584EA9E" w14:textId="77777777" w:rsidTr="00F01E59">
        <w:trPr>
          <w:trHeight w:val="250"/>
          <w:tblHeader/>
          <w:jc w:val="center"/>
        </w:trPr>
        <w:tc>
          <w:tcPr>
            <w:tcW w:w="1242" w:type="pct"/>
            <w:shd w:val="clear" w:color="auto" w:fill="D9D9D9" w:themeFill="background1" w:themeFillShade="D9"/>
            <w:noWrap/>
            <w:vAlign w:val="center"/>
            <w:hideMark/>
          </w:tcPr>
          <w:p w14:paraId="6DC9792C" w14:textId="77777777" w:rsidR="00BB0222" w:rsidRPr="00A02F7C" w:rsidRDefault="00BB0222" w:rsidP="00646F1C">
            <w:pPr>
              <w:spacing w:line="0" w:lineRule="atLeast"/>
              <w:contextualSpacing/>
              <w:jc w:val="center"/>
              <w:rPr>
                <w:rFonts w:ascii="Arial" w:hAnsi="Arial" w:cs="Arial"/>
                <w:b/>
                <w:bCs/>
                <w:color w:val="000000"/>
                <w:sz w:val="20"/>
                <w:szCs w:val="20"/>
                <w:lang w:val="es-ES"/>
              </w:rPr>
            </w:pPr>
            <w:r w:rsidRPr="00A02F7C">
              <w:rPr>
                <w:rFonts w:ascii="Arial" w:hAnsi="Arial" w:cs="Arial"/>
                <w:b/>
                <w:bCs/>
                <w:color w:val="000000"/>
                <w:sz w:val="20"/>
                <w:szCs w:val="20"/>
                <w:lang w:val="es-ES"/>
              </w:rPr>
              <w:t>Actividad</w:t>
            </w:r>
          </w:p>
        </w:tc>
        <w:tc>
          <w:tcPr>
            <w:tcW w:w="577" w:type="pct"/>
            <w:shd w:val="clear" w:color="auto" w:fill="D9D9D9" w:themeFill="background1" w:themeFillShade="D9"/>
            <w:vAlign w:val="center"/>
          </w:tcPr>
          <w:p w14:paraId="653A8AF0" w14:textId="77777777" w:rsidR="00BB0222" w:rsidRPr="00A02F7C" w:rsidRDefault="00BB0222" w:rsidP="00BB0222">
            <w:pPr>
              <w:spacing w:line="0" w:lineRule="atLeast"/>
              <w:contextualSpacing/>
              <w:jc w:val="center"/>
              <w:rPr>
                <w:rFonts w:ascii="Arial" w:hAnsi="Arial" w:cs="Arial"/>
                <w:b/>
                <w:bCs/>
                <w:color w:val="000000"/>
                <w:sz w:val="20"/>
                <w:szCs w:val="20"/>
                <w:lang w:val="es-ES"/>
              </w:rPr>
            </w:pPr>
            <w:r w:rsidRPr="00A02F7C">
              <w:rPr>
                <w:rFonts w:ascii="Arial" w:hAnsi="Arial" w:cs="Arial"/>
                <w:b/>
                <w:bCs/>
                <w:color w:val="000000"/>
                <w:sz w:val="20"/>
                <w:szCs w:val="20"/>
                <w:lang w:val="es-ES"/>
              </w:rPr>
              <w:t>201</w:t>
            </w:r>
            <w:r w:rsidR="00184774" w:rsidRPr="00A02F7C">
              <w:rPr>
                <w:rFonts w:ascii="Arial" w:hAnsi="Arial" w:cs="Arial"/>
                <w:b/>
                <w:bCs/>
                <w:color w:val="000000"/>
                <w:sz w:val="20"/>
                <w:szCs w:val="20"/>
                <w:lang w:val="es-ES"/>
              </w:rPr>
              <w:t>8</w:t>
            </w:r>
          </w:p>
        </w:tc>
        <w:tc>
          <w:tcPr>
            <w:tcW w:w="840" w:type="pct"/>
            <w:shd w:val="clear" w:color="auto" w:fill="D9D9D9" w:themeFill="background1" w:themeFillShade="D9"/>
            <w:noWrap/>
            <w:vAlign w:val="center"/>
            <w:hideMark/>
          </w:tcPr>
          <w:p w14:paraId="11F10011" w14:textId="77777777" w:rsidR="00BB0222" w:rsidRPr="00A02F7C" w:rsidRDefault="00BB0222">
            <w:pPr>
              <w:spacing w:line="0" w:lineRule="atLeast"/>
              <w:contextualSpacing/>
              <w:jc w:val="center"/>
              <w:rPr>
                <w:rFonts w:ascii="Arial" w:hAnsi="Arial" w:cs="Arial"/>
                <w:b/>
                <w:bCs/>
                <w:color w:val="000000"/>
                <w:sz w:val="20"/>
                <w:szCs w:val="20"/>
                <w:lang w:val="es-ES"/>
              </w:rPr>
            </w:pPr>
            <w:r w:rsidRPr="00A02F7C">
              <w:rPr>
                <w:rFonts w:ascii="Arial" w:hAnsi="Arial" w:cs="Arial"/>
                <w:b/>
                <w:bCs/>
                <w:color w:val="000000"/>
                <w:sz w:val="20"/>
                <w:szCs w:val="20"/>
                <w:lang w:val="es-ES"/>
              </w:rPr>
              <w:t>201</w:t>
            </w:r>
            <w:r w:rsidR="00184774" w:rsidRPr="00A02F7C">
              <w:rPr>
                <w:rFonts w:ascii="Arial" w:hAnsi="Arial" w:cs="Arial"/>
                <w:b/>
                <w:bCs/>
                <w:color w:val="000000"/>
                <w:sz w:val="20"/>
                <w:szCs w:val="20"/>
                <w:lang w:val="es-ES"/>
              </w:rPr>
              <w:t>9</w:t>
            </w:r>
          </w:p>
        </w:tc>
        <w:tc>
          <w:tcPr>
            <w:tcW w:w="840" w:type="pct"/>
            <w:shd w:val="clear" w:color="auto" w:fill="D9D9D9" w:themeFill="background1" w:themeFillShade="D9"/>
            <w:noWrap/>
            <w:vAlign w:val="center"/>
            <w:hideMark/>
          </w:tcPr>
          <w:p w14:paraId="659C4EB6" w14:textId="77777777" w:rsidR="00BB0222" w:rsidRPr="00A02F7C" w:rsidRDefault="00BB0222">
            <w:pPr>
              <w:spacing w:line="0" w:lineRule="atLeast"/>
              <w:contextualSpacing/>
              <w:jc w:val="center"/>
              <w:rPr>
                <w:rFonts w:ascii="Arial" w:hAnsi="Arial" w:cs="Arial"/>
                <w:b/>
                <w:bCs/>
                <w:color w:val="000000"/>
                <w:sz w:val="20"/>
                <w:szCs w:val="20"/>
                <w:lang w:val="es-ES"/>
              </w:rPr>
            </w:pPr>
            <w:r w:rsidRPr="00A02F7C">
              <w:rPr>
                <w:rFonts w:ascii="Arial" w:hAnsi="Arial" w:cs="Arial"/>
                <w:b/>
                <w:bCs/>
                <w:color w:val="000000"/>
                <w:sz w:val="20"/>
                <w:szCs w:val="20"/>
                <w:lang w:val="es-ES"/>
              </w:rPr>
              <w:t>20</w:t>
            </w:r>
            <w:r w:rsidR="00184774" w:rsidRPr="00A02F7C">
              <w:rPr>
                <w:rFonts w:ascii="Arial" w:hAnsi="Arial" w:cs="Arial"/>
                <w:b/>
                <w:bCs/>
                <w:color w:val="000000"/>
                <w:sz w:val="20"/>
                <w:szCs w:val="20"/>
                <w:lang w:val="es-ES"/>
              </w:rPr>
              <w:t>20</w:t>
            </w:r>
          </w:p>
        </w:tc>
        <w:tc>
          <w:tcPr>
            <w:tcW w:w="631" w:type="pct"/>
            <w:shd w:val="clear" w:color="auto" w:fill="D9D9D9" w:themeFill="background1" w:themeFillShade="D9"/>
            <w:vAlign w:val="center"/>
          </w:tcPr>
          <w:p w14:paraId="38848159" w14:textId="77777777" w:rsidR="00BB0222" w:rsidRPr="00A02F7C" w:rsidRDefault="00BB0222">
            <w:pPr>
              <w:spacing w:line="0" w:lineRule="atLeast"/>
              <w:contextualSpacing/>
              <w:jc w:val="center"/>
              <w:rPr>
                <w:rFonts w:ascii="Arial" w:hAnsi="Arial" w:cs="Arial"/>
                <w:b/>
                <w:bCs/>
                <w:color w:val="000000"/>
                <w:sz w:val="20"/>
                <w:szCs w:val="20"/>
                <w:lang w:val="es-ES"/>
              </w:rPr>
            </w:pPr>
            <w:r w:rsidRPr="00A02F7C">
              <w:rPr>
                <w:rFonts w:ascii="Arial" w:hAnsi="Arial" w:cs="Arial"/>
                <w:b/>
                <w:bCs/>
                <w:color w:val="000000"/>
                <w:sz w:val="20"/>
                <w:szCs w:val="20"/>
                <w:lang w:val="es-ES"/>
              </w:rPr>
              <w:t>202</w:t>
            </w:r>
            <w:r w:rsidR="00184774" w:rsidRPr="00A02F7C">
              <w:rPr>
                <w:rFonts w:ascii="Arial" w:hAnsi="Arial" w:cs="Arial"/>
                <w:b/>
                <w:bCs/>
                <w:color w:val="000000"/>
                <w:sz w:val="20"/>
                <w:szCs w:val="20"/>
                <w:lang w:val="es-ES"/>
              </w:rPr>
              <w:t>2</w:t>
            </w:r>
          </w:p>
        </w:tc>
        <w:tc>
          <w:tcPr>
            <w:tcW w:w="870" w:type="pct"/>
            <w:shd w:val="clear" w:color="auto" w:fill="D9D9D9" w:themeFill="background1" w:themeFillShade="D9"/>
            <w:noWrap/>
            <w:vAlign w:val="center"/>
          </w:tcPr>
          <w:p w14:paraId="4E62F605" w14:textId="77777777" w:rsidR="00BB0222" w:rsidRPr="00A02F7C" w:rsidRDefault="00BB0222">
            <w:pPr>
              <w:spacing w:line="0" w:lineRule="atLeast"/>
              <w:contextualSpacing/>
              <w:jc w:val="center"/>
              <w:rPr>
                <w:rFonts w:ascii="Arial" w:hAnsi="Arial" w:cs="Arial"/>
                <w:b/>
                <w:bCs/>
                <w:color w:val="000000"/>
                <w:sz w:val="20"/>
                <w:szCs w:val="20"/>
                <w:lang w:val="es-ES"/>
              </w:rPr>
            </w:pPr>
            <w:r w:rsidRPr="00A02F7C">
              <w:rPr>
                <w:rFonts w:ascii="Arial" w:hAnsi="Arial" w:cs="Arial"/>
                <w:b/>
                <w:bCs/>
                <w:color w:val="000000"/>
                <w:sz w:val="20"/>
                <w:szCs w:val="20"/>
                <w:lang w:val="es-ES"/>
              </w:rPr>
              <w:t>Costo y Fuente</w:t>
            </w:r>
          </w:p>
        </w:tc>
      </w:tr>
      <w:tr w:rsidR="00BB0222" w:rsidRPr="00A02F7C" w14:paraId="39E41442" w14:textId="77777777" w:rsidTr="00F01E59">
        <w:trPr>
          <w:trHeight w:val="745"/>
          <w:jc w:val="center"/>
        </w:trPr>
        <w:tc>
          <w:tcPr>
            <w:tcW w:w="1242" w:type="pct"/>
            <w:shd w:val="clear" w:color="auto" w:fill="auto"/>
            <w:noWrap/>
            <w:vAlign w:val="center"/>
          </w:tcPr>
          <w:p w14:paraId="17299035" w14:textId="77777777" w:rsidR="00BB0222" w:rsidRPr="00A02F7C" w:rsidRDefault="00BB0222" w:rsidP="009B5E75">
            <w:pPr>
              <w:spacing w:line="0" w:lineRule="atLeast"/>
              <w:contextualSpacing/>
              <w:rPr>
                <w:rFonts w:ascii="Arial" w:hAnsi="Arial" w:cs="Arial"/>
                <w:color w:val="000000"/>
                <w:sz w:val="20"/>
                <w:szCs w:val="20"/>
                <w:lang w:val="es-ES"/>
              </w:rPr>
            </w:pPr>
            <w:r w:rsidRPr="00A02F7C">
              <w:rPr>
                <w:rFonts w:ascii="Arial" w:hAnsi="Arial" w:cs="Arial"/>
                <w:color w:val="000000"/>
                <w:sz w:val="20"/>
                <w:szCs w:val="20"/>
                <w:lang w:val="es-ES"/>
              </w:rPr>
              <w:t>Evaluación Reflexiva</w:t>
            </w:r>
          </w:p>
        </w:tc>
        <w:tc>
          <w:tcPr>
            <w:tcW w:w="577" w:type="pct"/>
          </w:tcPr>
          <w:p w14:paraId="308E0ECE" w14:textId="77777777" w:rsidR="00BB0222" w:rsidRPr="00A02F7C"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tcPr>
          <w:p w14:paraId="54DACE99" w14:textId="77777777" w:rsidR="00BB0222" w:rsidRPr="00A02F7C"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tcPr>
          <w:p w14:paraId="6934B4A6" w14:textId="77777777" w:rsidR="00BB0222" w:rsidRPr="00A02F7C" w:rsidRDefault="00BB0222" w:rsidP="009B5E75">
            <w:pPr>
              <w:spacing w:line="0" w:lineRule="atLeast"/>
              <w:contextualSpacing/>
              <w:jc w:val="center"/>
              <w:rPr>
                <w:rFonts w:ascii="Arial" w:hAnsi="Arial" w:cs="Arial"/>
                <w:color w:val="000000"/>
                <w:sz w:val="20"/>
                <w:szCs w:val="20"/>
                <w:lang w:val="es-ES"/>
              </w:rPr>
            </w:pPr>
            <w:r w:rsidRPr="00A02F7C">
              <w:rPr>
                <w:rFonts w:ascii="Arial" w:hAnsi="Arial" w:cs="Arial"/>
                <w:color w:val="000000"/>
                <w:sz w:val="20"/>
                <w:szCs w:val="20"/>
                <w:lang w:val="es-ES"/>
              </w:rPr>
              <w:t xml:space="preserve"> </w:t>
            </w:r>
          </w:p>
        </w:tc>
        <w:tc>
          <w:tcPr>
            <w:tcW w:w="631" w:type="pct"/>
            <w:shd w:val="clear" w:color="auto" w:fill="auto"/>
            <w:vAlign w:val="center"/>
          </w:tcPr>
          <w:p w14:paraId="260321D1" w14:textId="77777777" w:rsidR="00BB0222" w:rsidRPr="00A02F7C" w:rsidRDefault="00BB0222" w:rsidP="009B5E75">
            <w:pPr>
              <w:spacing w:line="0" w:lineRule="atLeast"/>
              <w:contextualSpacing/>
              <w:jc w:val="center"/>
              <w:rPr>
                <w:rFonts w:ascii="Arial" w:hAnsi="Arial" w:cs="Arial"/>
                <w:color w:val="000000"/>
                <w:sz w:val="20"/>
                <w:szCs w:val="20"/>
                <w:lang w:val="es-ES"/>
              </w:rPr>
            </w:pPr>
            <w:r w:rsidRPr="00A02F7C">
              <w:rPr>
                <w:rFonts w:ascii="Arial" w:hAnsi="Arial" w:cs="Arial"/>
                <w:color w:val="000000"/>
                <w:sz w:val="20"/>
                <w:szCs w:val="20"/>
                <w:lang w:val="es-ES"/>
              </w:rPr>
              <w:t>Informe</w:t>
            </w:r>
          </w:p>
          <w:p w14:paraId="61351CC6" w14:textId="77777777" w:rsidR="00BB0222" w:rsidRPr="00A02F7C" w:rsidRDefault="00BB0222" w:rsidP="009B5E75">
            <w:pPr>
              <w:spacing w:line="0" w:lineRule="atLeast"/>
              <w:contextualSpacing/>
              <w:jc w:val="center"/>
              <w:rPr>
                <w:rFonts w:ascii="Arial" w:hAnsi="Arial" w:cs="Arial"/>
                <w:color w:val="000000"/>
                <w:sz w:val="20"/>
                <w:szCs w:val="20"/>
                <w:lang w:val="es-ES"/>
              </w:rPr>
            </w:pPr>
            <w:r w:rsidRPr="00A02F7C">
              <w:rPr>
                <w:rFonts w:ascii="Arial" w:hAnsi="Arial" w:cs="Arial"/>
                <w:color w:val="000000"/>
                <w:sz w:val="20"/>
                <w:szCs w:val="20"/>
                <w:lang w:val="es-ES"/>
              </w:rPr>
              <w:t xml:space="preserve">Final </w:t>
            </w:r>
          </w:p>
        </w:tc>
        <w:tc>
          <w:tcPr>
            <w:tcW w:w="870" w:type="pct"/>
            <w:shd w:val="clear" w:color="auto" w:fill="auto"/>
            <w:noWrap/>
            <w:vAlign w:val="center"/>
          </w:tcPr>
          <w:p w14:paraId="4D9DCD91" w14:textId="77777777" w:rsidR="00BB0222" w:rsidRPr="00A02F7C" w:rsidRDefault="00BB0222">
            <w:pPr>
              <w:spacing w:line="0" w:lineRule="atLeast"/>
              <w:contextualSpacing/>
              <w:jc w:val="center"/>
              <w:rPr>
                <w:rFonts w:ascii="Arial" w:hAnsi="Arial" w:cs="Arial"/>
                <w:color w:val="000000"/>
                <w:sz w:val="20"/>
                <w:szCs w:val="20"/>
                <w:lang w:val="es-ES"/>
              </w:rPr>
            </w:pPr>
            <w:r w:rsidRPr="00A02F7C">
              <w:rPr>
                <w:rFonts w:ascii="Arial" w:hAnsi="Arial" w:cs="Arial"/>
                <w:color w:val="000000"/>
                <w:sz w:val="20"/>
                <w:szCs w:val="20"/>
                <w:lang w:val="es-ES"/>
              </w:rPr>
              <w:t>US$20.000</w:t>
            </w:r>
          </w:p>
        </w:tc>
      </w:tr>
      <w:tr w:rsidR="00BB0222" w:rsidRPr="00A02F7C" w14:paraId="49D1B127" w14:textId="77777777" w:rsidTr="00F01E59">
        <w:trPr>
          <w:trHeight w:val="394"/>
          <w:jc w:val="center"/>
        </w:trPr>
        <w:tc>
          <w:tcPr>
            <w:tcW w:w="1242" w:type="pct"/>
            <w:shd w:val="clear" w:color="auto" w:fill="auto"/>
            <w:noWrap/>
            <w:vAlign w:val="center"/>
            <w:hideMark/>
          </w:tcPr>
          <w:p w14:paraId="7DEA06FB" w14:textId="77777777" w:rsidR="00BB0222" w:rsidRPr="00A02F7C" w:rsidRDefault="00BB0222" w:rsidP="009B5E75">
            <w:pPr>
              <w:spacing w:line="0" w:lineRule="atLeast"/>
              <w:contextualSpacing/>
              <w:rPr>
                <w:rFonts w:ascii="Arial" w:hAnsi="Arial" w:cs="Arial"/>
                <w:color w:val="000000"/>
                <w:sz w:val="20"/>
                <w:szCs w:val="20"/>
                <w:lang w:val="es-ES"/>
              </w:rPr>
            </w:pPr>
            <w:r w:rsidRPr="00A02F7C">
              <w:rPr>
                <w:rFonts w:ascii="Arial" w:hAnsi="Arial" w:cs="Arial"/>
                <w:color w:val="000000"/>
                <w:sz w:val="20"/>
                <w:szCs w:val="20"/>
                <w:lang w:val="es-ES"/>
              </w:rPr>
              <w:t xml:space="preserve">Informe de Terminación de Proyecto (PCR) </w:t>
            </w:r>
          </w:p>
        </w:tc>
        <w:tc>
          <w:tcPr>
            <w:tcW w:w="577" w:type="pct"/>
          </w:tcPr>
          <w:p w14:paraId="161AD7AD" w14:textId="77777777" w:rsidR="00BB0222" w:rsidRPr="00A02F7C"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hideMark/>
          </w:tcPr>
          <w:p w14:paraId="1ED0D181" w14:textId="77777777" w:rsidR="00BB0222" w:rsidRPr="00A02F7C" w:rsidRDefault="00BB0222" w:rsidP="009B5E75">
            <w:pPr>
              <w:spacing w:line="0" w:lineRule="atLeast"/>
              <w:contextualSpacing/>
              <w:jc w:val="center"/>
              <w:rPr>
                <w:rFonts w:ascii="Arial" w:hAnsi="Arial" w:cs="Arial"/>
                <w:color w:val="000000"/>
                <w:sz w:val="20"/>
                <w:szCs w:val="20"/>
                <w:lang w:val="es-ES"/>
              </w:rPr>
            </w:pPr>
          </w:p>
          <w:p w14:paraId="4C020A8B" w14:textId="77777777" w:rsidR="00BB0222" w:rsidRPr="00A02F7C"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hideMark/>
          </w:tcPr>
          <w:p w14:paraId="055B57AF" w14:textId="77777777" w:rsidR="00BB0222" w:rsidRPr="00A02F7C" w:rsidRDefault="00F01E59" w:rsidP="009B5E75">
            <w:pPr>
              <w:spacing w:line="0" w:lineRule="atLeast"/>
              <w:contextualSpacing/>
              <w:jc w:val="center"/>
              <w:rPr>
                <w:rFonts w:ascii="Arial" w:hAnsi="Arial" w:cs="Arial"/>
                <w:color w:val="000000"/>
                <w:sz w:val="20"/>
                <w:szCs w:val="20"/>
                <w:lang w:val="es-ES"/>
              </w:rPr>
            </w:pPr>
            <w:r w:rsidRPr="00A02F7C">
              <w:rPr>
                <w:rFonts w:ascii="Arial" w:hAnsi="Arial" w:cs="Arial"/>
                <w:color w:val="000000"/>
                <w:sz w:val="20"/>
                <w:szCs w:val="20"/>
                <w:lang w:val="es-ES"/>
              </w:rPr>
              <w:t>PCR</w:t>
            </w:r>
          </w:p>
        </w:tc>
        <w:tc>
          <w:tcPr>
            <w:tcW w:w="631" w:type="pct"/>
            <w:shd w:val="clear" w:color="auto" w:fill="auto"/>
            <w:vAlign w:val="center"/>
          </w:tcPr>
          <w:p w14:paraId="1C3F783E" w14:textId="77777777" w:rsidR="00BB0222" w:rsidRPr="00A02F7C" w:rsidRDefault="00BB0222" w:rsidP="009B5E75">
            <w:pPr>
              <w:spacing w:line="0" w:lineRule="atLeast"/>
              <w:contextualSpacing/>
              <w:jc w:val="center"/>
              <w:rPr>
                <w:rFonts w:ascii="Arial" w:hAnsi="Arial" w:cs="Arial"/>
                <w:color w:val="000000"/>
                <w:sz w:val="20"/>
                <w:szCs w:val="20"/>
                <w:lang w:val="es-ES"/>
              </w:rPr>
            </w:pPr>
          </w:p>
        </w:tc>
        <w:tc>
          <w:tcPr>
            <w:tcW w:w="870" w:type="pct"/>
            <w:shd w:val="clear" w:color="auto" w:fill="FFFFFF" w:themeFill="background1"/>
            <w:noWrap/>
            <w:vAlign w:val="center"/>
            <w:hideMark/>
          </w:tcPr>
          <w:p w14:paraId="49F4A7AF" w14:textId="77777777" w:rsidR="00BB0222" w:rsidRPr="00A02F7C" w:rsidRDefault="004B0B5A">
            <w:pPr>
              <w:spacing w:line="0" w:lineRule="atLeast"/>
              <w:contextualSpacing/>
              <w:jc w:val="center"/>
              <w:rPr>
                <w:rFonts w:ascii="Arial" w:hAnsi="Arial" w:cs="Arial"/>
                <w:color w:val="000000"/>
                <w:sz w:val="20"/>
                <w:szCs w:val="20"/>
                <w:lang w:val="es-ES"/>
              </w:rPr>
            </w:pPr>
            <w:r w:rsidRPr="00A02F7C">
              <w:rPr>
                <w:rFonts w:ascii="Arial" w:hAnsi="Arial" w:cs="Arial"/>
                <w:color w:val="000000"/>
                <w:sz w:val="20"/>
                <w:szCs w:val="20"/>
                <w:lang w:val="es-ES"/>
              </w:rPr>
              <w:t>US$20.</w:t>
            </w:r>
            <w:r w:rsidR="00BB0222" w:rsidRPr="00A02F7C">
              <w:rPr>
                <w:rFonts w:ascii="Arial" w:hAnsi="Arial" w:cs="Arial"/>
                <w:color w:val="000000"/>
                <w:sz w:val="20"/>
                <w:szCs w:val="20"/>
                <w:lang w:val="es-ES"/>
              </w:rPr>
              <w:t>000</w:t>
            </w:r>
          </w:p>
        </w:tc>
      </w:tr>
      <w:tr w:rsidR="004B0B5A" w:rsidRPr="00A02F7C" w14:paraId="45A34FC8" w14:textId="77777777" w:rsidTr="00F01E59">
        <w:trPr>
          <w:trHeight w:val="394"/>
          <w:jc w:val="center"/>
        </w:trPr>
        <w:tc>
          <w:tcPr>
            <w:tcW w:w="4130" w:type="pct"/>
            <w:gridSpan w:val="5"/>
            <w:shd w:val="clear" w:color="auto" w:fill="auto"/>
            <w:noWrap/>
            <w:vAlign w:val="center"/>
          </w:tcPr>
          <w:p w14:paraId="0C85F113" w14:textId="77777777" w:rsidR="004B0B5A" w:rsidRPr="00A02F7C" w:rsidRDefault="004B0B5A" w:rsidP="00F64E64">
            <w:pPr>
              <w:spacing w:line="0" w:lineRule="atLeast"/>
              <w:contextualSpacing/>
              <w:jc w:val="right"/>
              <w:rPr>
                <w:rFonts w:ascii="Arial" w:hAnsi="Arial" w:cs="Arial"/>
                <w:b/>
                <w:bCs/>
                <w:color w:val="000000"/>
                <w:sz w:val="20"/>
                <w:szCs w:val="20"/>
                <w:lang w:val="es-ES"/>
              </w:rPr>
            </w:pPr>
            <w:r w:rsidRPr="00A02F7C">
              <w:rPr>
                <w:rFonts w:ascii="Arial" w:hAnsi="Arial" w:cs="Arial"/>
                <w:b/>
                <w:bCs/>
                <w:color w:val="000000"/>
                <w:sz w:val="20"/>
                <w:szCs w:val="20"/>
                <w:lang w:val="es-ES"/>
              </w:rPr>
              <w:t>Total</w:t>
            </w:r>
          </w:p>
        </w:tc>
        <w:tc>
          <w:tcPr>
            <w:tcW w:w="870" w:type="pct"/>
            <w:shd w:val="clear" w:color="auto" w:fill="FFFFFF" w:themeFill="background1"/>
            <w:noWrap/>
            <w:vAlign w:val="center"/>
          </w:tcPr>
          <w:p w14:paraId="097E1975" w14:textId="77777777" w:rsidR="004B0B5A" w:rsidRPr="00A02F7C" w:rsidRDefault="004B0B5A" w:rsidP="009B5E75">
            <w:pPr>
              <w:spacing w:line="0" w:lineRule="atLeast"/>
              <w:contextualSpacing/>
              <w:jc w:val="center"/>
              <w:rPr>
                <w:rFonts w:ascii="Arial" w:hAnsi="Arial" w:cs="Arial"/>
                <w:color w:val="000000"/>
                <w:sz w:val="20"/>
                <w:szCs w:val="20"/>
                <w:lang w:val="es-ES"/>
              </w:rPr>
            </w:pPr>
            <w:r w:rsidRPr="00A02F7C">
              <w:rPr>
                <w:rFonts w:ascii="Arial" w:hAnsi="Arial" w:cs="Arial"/>
                <w:color w:val="000000"/>
                <w:sz w:val="20"/>
                <w:szCs w:val="20"/>
                <w:lang w:val="es-ES"/>
              </w:rPr>
              <w:t>US$</w:t>
            </w:r>
            <w:r w:rsidR="00F01E59">
              <w:rPr>
                <w:rFonts w:ascii="Arial" w:hAnsi="Arial" w:cs="Arial"/>
                <w:color w:val="000000"/>
                <w:sz w:val="20"/>
                <w:szCs w:val="20"/>
                <w:lang w:val="es-ES"/>
              </w:rPr>
              <w:t>4</w:t>
            </w:r>
            <w:r w:rsidRPr="00A02F7C">
              <w:rPr>
                <w:rFonts w:ascii="Arial" w:hAnsi="Arial" w:cs="Arial"/>
                <w:color w:val="000000"/>
                <w:sz w:val="20"/>
                <w:szCs w:val="20"/>
                <w:lang w:val="es-ES"/>
              </w:rPr>
              <w:t>0.000</w:t>
            </w:r>
          </w:p>
        </w:tc>
      </w:tr>
    </w:tbl>
    <w:p w14:paraId="253880ED" w14:textId="77777777" w:rsidR="003C2E48" w:rsidRPr="00A02F7C" w:rsidRDefault="003C2E48" w:rsidP="00F32849">
      <w:pPr>
        <w:jc w:val="both"/>
        <w:textAlignment w:val="top"/>
        <w:rPr>
          <w:rFonts w:ascii="Arial" w:eastAsia="Times New Roman" w:hAnsi="Arial" w:cs="Arial"/>
          <w:color w:val="000000"/>
          <w:lang w:val="es-ES_tradnl"/>
        </w:rPr>
      </w:pPr>
    </w:p>
    <w:p w14:paraId="03B6D2B4" w14:textId="77777777" w:rsidR="003C2E48" w:rsidRPr="00A02F7C" w:rsidRDefault="003C2E48" w:rsidP="00F32849">
      <w:pPr>
        <w:jc w:val="both"/>
        <w:textAlignment w:val="top"/>
        <w:rPr>
          <w:rFonts w:ascii="Arial" w:eastAsia="Times New Roman" w:hAnsi="Arial" w:cs="Arial"/>
          <w:color w:val="000000"/>
          <w:lang w:val="es-ES"/>
        </w:rPr>
      </w:pPr>
    </w:p>
    <w:p w14:paraId="17BDE543" w14:textId="77777777" w:rsidR="003C2E48" w:rsidRPr="00A02F7C" w:rsidRDefault="003C2E48" w:rsidP="00EF4048">
      <w:pPr>
        <w:pStyle w:val="ColorfulList-Accent11"/>
        <w:tabs>
          <w:tab w:val="left" w:pos="540"/>
        </w:tabs>
        <w:spacing w:after="0"/>
        <w:ind w:left="0"/>
        <w:jc w:val="both"/>
        <w:outlineLvl w:val="0"/>
        <w:rPr>
          <w:rFonts w:ascii="Arial" w:hAnsi="Arial" w:cs="Arial"/>
          <w:b/>
          <w:sz w:val="24"/>
          <w:lang w:val="es-ES"/>
        </w:rPr>
      </w:pPr>
    </w:p>
    <w:sectPr w:rsidR="003C2E48" w:rsidRPr="00A02F7C" w:rsidSect="00F64E64">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01BA7" w14:textId="77777777" w:rsidR="00CD5438" w:rsidRDefault="00CD5438" w:rsidP="00C41116">
      <w:r>
        <w:separator/>
      </w:r>
    </w:p>
  </w:endnote>
  <w:endnote w:type="continuationSeparator" w:id="0">
    <w:p w14:paraId="37BF287E" w14:textId="77777777" w:rsidR="00CD5438" w:rsidRDefault="00CD5438" w:rsidP="00C41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04BBD" w14:textId="77777777" w:rsidR="00AA2594" w:rsidRDefault="00AA25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1606260"/>
      <w:docPartObj>
        <w:docPartGallery w:val="Page Numbers (Bottom of Page)"/>
        <w:docPartUnique/>
      </w:docPartObj>
    </w:sdtPr>
    <w:sdtEndPr>
      <w:rPr>
        <w:noProof/>
      </w:rPr>
    </w:sdtEndPr>
    <w:sdtContent>
      <w:p w14:paraId="676460B9" w14:textId="77777777" w:rsidR="00AA2594" w:rsidRDefault="00AA2594">
        <w:pPr>
          <w:pStyle w:val="Footer"/>
          <w:jc w:val="right"/>
        </w:pPr>
        <w:r w:rsidRPr="00BF5444">
          <w:rPr>
            <w:rFonts w:ascii="Arial" w:hAnsi="Arial" w:cs="Arial"/>
          </w:rPr>
          <w:fldChar w:fldCharType="begin"/>
        </w:r>
        <w:r w:rsidRPr="00BF5444">
          <w:rPr>
            <w:rFonts w:ascii="Arial" w:hAnsi="Arial" w:cs="Arial"/>
          </w:rPr>
          <w:instrText xml:space="preserve"> PAGE   \* MERGEFORMAT </w:instrText>
        </w:r>
        <w:r w:rsidRPr="00BF5444">
          <w:rPr>
            <w:rFonts w:ascii="Arial" w:hAnsi="Arial" w:cs="Arial"/>
          </w:rPr>
          <w:fldChar w:fldCharType="separate"/>
        </w:r>
        <w:r>
          <w:rPr>
            <w:rFonts w:ascii="Arial" w:hAnsi="Arial" w:cs="Arial"/>
            <w:noProof/>
          </w:rPr>
          <w:t>3</w:t>
        </w:r>
        <w:r w:rsidRPr="00BF5444">
          <w:rPr>
            <w:rFonts w:ascii="Arial" w:hAnsi="Arial" w:cs="Arial"/>
            <w:noProof/>
          </w:rPr>
          <w:fldChar w:fldCharType="end"/>
        </w:r>
      </w:p>
    </w:sdtContent>
  </w:sdt>
  <w:p w14:paraId="10DF7DD7" w14:textId="77777777" w:rsidR="00AA2594" w:rsidRDefault="00AA25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9FA87" w14:textId="77777777" w:rsidR="00AA2594" w:rsidRDefault="00AA2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0CDBE" w14:textId="77777777" w:rsidR="00CD5438" w:rsidRDefault="00CD5438" w:rsidP="00C41116">
      <w:r>
        <w:separator/>
      </w:r>
    </w:p>
  </w:footnote>
  <w:footnote w:type="continuationSeparator" w:id="0">
    <w:p w14:paraId="4AA59B3E" w14:textId="77777777" w:rsidR="00CD5438" w:rsidRDefault="00CD5438" w:rsidP="00C41116">
      <w:r>
        <w:continuationSeparator/>
      </w:r>
    </w:p>
  </w:footnote>
  <w:footnote w:id="1">
    <w:p w14:paraId="30535D3C" w14:textId="77777777" w:rsidR="00AA2594" w:rsidRPr="00F64E64" w:rsidRDefault="00AA2594" w:rsidP="00F64E64">
      <w:pPr>
        <w:pStyle w:val="Title"/>
        <w:tabs>
          <w:tab w:val="clear" w:pos="1440"/>
          <w:tab w:val="clear" w:pos="3060"/>
        </w:tabs>
        <w:spacing w:line="276" w:lineRule="auto"/>
        <w:jc w:val="both"/>
        <w:rPr>
          <w:rFonts w:ascii="Arial" w:hAnsi="Arial" w:cs="Arial"/>
          <w:lang w:val="es-ES"/>
        </w:rPr>
      </w:pPr>
      <w:r w:rsidRPr="00F64E64">
        <w:rPr>
          <w:rStyle w:val="FootnoteReference"/>
          <w:rFonts w:ascii="Arial" w:hAnsi="Arial" w:cs="Arial"/>
          <w:sz w:val="21"/>
          <w:szCs w:val="21"/>
        </w:rPr>
        <w:footnoteRef/>
      </w:r>
      <w:r w:rsidRPr="00F64E64">
        <w:rPr>
          <w:rFonts w:ascii="Arial" w:hAnsi="Arial" w:cs="Arial"/>
          <w:sz w:val="21"/>
          <w:szCs w:val="21"/>
          <w:lang w:val="es-ES"/>
        </w:rPr>
        <w:t xml:space="preserve"> </w:t>
      </w:r>
      <w:r w:rsidRPr="00912589">
        <w:rPr>
          <w:rFonts w:ascii="Arial" w:eastAsia="Calibri" w:hAnsi="Arial" w:cs="Arial"/>
          <w:sz w:val="18"/>
          <w:szCs w:val="18"/>
          <w:lang w:val="es-ES"/>
        </w:rPr>
        <w:t>El</w:t>
      </w:r>
      <w:r w:rsidRPr="00912589">
        <w:rPr>
          <w:rFonts w:ascii="Arial" w:hAnsi="Arial" w:cs="Arial"/>
          <w:sz w:val="18"/>
          <w:szCs w:val="18"/>
          <w:lang w:val="es-ES"/>
        </w:rPr>
        <w:t xml:space="preserve"> </w:t>
      </w:r>
      <w:r w:rsidRPr="00912589">
        <w:rPr>
          <w:rFonts w:ascii="Arial" w:eastAsia="Calibri" w:hAnsi="Arial" w:cs="Arial"/>
          <w:sz w:val="18"/>
          <w:szCs w:val="18"/>
          <w:lang w:val="es-ES"/>
        </w:rPr>
        <w:t>prestatario</w:t>
      </w:r>
      <w:r w:rsidRPr="00912589">
        <w:rPr>
          <w:rFonts w:ascii="Arial" w:hAnsi="Arial" w:cs="Arial"/>
          <w:sz w:val="18"/>
          <w:szCs w:val="18"/>
          <w:lang w:val="es-ES"/>
        </w:rPr>
        <w:t xml:space="preserve"> </w:t>
      </w:r>
      <w:r w:rsidRPr="00912589">
        <w:rPr>
          <w:rFonts w:ascii="Arial" w:eastAsia="Calibri" w:hAnsi="Arial" w:cs="Arial"/>
          <w:sz w:val="18"/>
          <w:szCs w:val="18"/>
          <w:lang w:val="es-ES"/>
        </w:rPr>
        <w:t>es la República de Honduras</w:t>
      </w:r>
      <w:r w:rsidRPr="00912589">
        <w:rPr>
          <w:rFonts w:ascii="Arial" w:hAnsi="Arial" w:cs="Arial"/>
          <w:sz w:val="18"/>
          <w:szCs w:val="18"/>
          <w:lang w:val="es-ES"/>
        </w:rPr>
        <w:t xml:space="preserve"> </w:t>
      </w:r>
      <w:r w:rsidRPr="00912589">
        <w:rPr>
          <w:rFonts w:ascii="Arial" w:eastAsia="Calibri" w:hAnsi="Arial" w:cs="Arial"/>
          <w:sz w:val="18"/>
          <w:szCs w:val="18"/>
          <w:lang w:val="es-ES"/>
        </w:rPr>
        <w:t>y</w:t>
      </w:r>
      <w:r w:rsidRPr="00912589">
        <w:rPr>
          <w:rFonts w:ascii="Arial" w:hAnsi="Arial" w:cs="Arial"/>
          <w:sz w:val="18"/>
          <w:szCs w:val="18"/>
          <w:lang w:val="es-ES"/>
        </w:rPr>
        <w:t xml:space="preserve"> </w:t>
      </w:r>
      <w:r w:rsidRPr="00912589">
        <w:rPr>
          <w:rFonts w:ascii="Arial" w:eastAsia="Calibri" w:hAnsi="Arial" w:cs="Arial"/>
          <w:sz w:val="18"/>
          <w:szCs w:val="18"/>
          <w:lang w:val="es-ES"/>
        </w:rPr>
        <w:t>el</w:t>
      </w:r>
      <w:r w:rsidRPr="00912589">
        <w:rPr>
          <w:rFonts w:ascii="Arial" w:hAnsi="Arial" w:cs="Arial"/>
          <w:sz w:val="18"/>
          <w:szCs w:val="18"/>
          <w:lang w:val="es-ES"/>
        </w:rPr>
        <w:t xml:space="preserve"> </w:t>
      </w:r>
      <w:r w:rsidRPr="00912589">
        <w:rPr>
          <w:rFonts w:ascii="Arial" w:eastAsia="Calibri" w:hAnsi="Arial" w:cs="Arial"/>
          <w:sz w:val="18"/>
          <w:szCs w:val="18"/>
          <w:lang w:val="es-ES"/>
        </w:rPr>
        <w:t>Organismo Ejecutor</w:t>
      </w:r>
      <w:r w:rsidRPr="00912589">
        <w:rPr>
          <w:rFonts w:ascii="Arial" w:hAnsi="Arial" w:cs="Arial"/>
          <w:sz w:val="18"/>
          <w:szCs w:val="18"/>
          <w:lang w:val="es-ES"/>
        </w:rPr>
        <w:t xml:space="preserve"> </w:t>
      </w:r>
      <w:r w:rsidRPr="00912589">
        <w:rPr>
          <w:rFonts w:ascii="Arial" w:eastAsia="Calibri" w:hAnsi="Arial" w:cs="Arial"/>
          <w:sz w:val="18"/>
          <w:szCs w:val="18"/>
          <w:lang w:val="es-ES"/>
        </w:rPr>
        <w:t>es la Secretaría de Finanzas (SEFIN)</w:t>
      </w:r>
      <w:r w:rsidRPr="00912589">
        <w:rPr>
          <w:rFonts w:ascii="Arial" w:hAnsi="Arial" w:cs="Arial"/>
          <w:sz w:val="18"/>
          <w:szCs w:val="18"/>
          <w:lang w:val="es-ES"/>
        </w:rPr>
        <w:t>.</w:t>
      </w:r>
    </w:p>
  </w:footnote>
  <w:footnote w:id="2">
    <w:p w14:paraId="092C9C72" w14:textId="77777777" w:rsidR="00AA2594" w:rsidRPr="00B240A7" w:rsidRDefault="00AA2594" w:rsidP="00A75541">
      <w:pPr>
        <w:pStyle w:val="FootnoteText"/>
        <w:rPr>
          <w:lang w:val="es-ES_tradnl"/>
        </w:rPr>
      </w:pPr>
      <w:r w:rsidRPr="00901ABD">
        <w:rPr>
          <w:rFonts w:ascii="Arial" w:hAnsi="Arial" w:cs="Arial"/>
          <w:sz w:val="18"/>
          <w:szCs w:val="18"/>
          <w:lang w:val="es-ES_tradnl"/>
        </w:rPr>
        <w:footnoteRef/>
      </w:r>
      <w:r w:rsidRPr="00901ABD">
        <w:rPr>
          <w:rFonts w:ascii="Arial" w:hAnsi="Arial" w:cs="Arial"/>
          <w:sz w:val="18"/>
          <w:szCs w:val="18"/>
          <w:lang w:val="es-ES_tradnl"/>
        </w:rPr>
        <w:t xml:space="preserve"> Registro de vehículos se define como es la inscripción de la titularidad de los vehículos nuevos y usados, así como los documentos relativos a la constitución, transmisión y transferencias de dominio.</w:t>
      </w:r>
      <w:r>
        <w:rPr>
          <w:rFonts w:ascii="Arial" w:hAnsi="Arial" w:cs="Arial"/>
          <w:sz w:val="18"/>
          <w:szCs w:val="18"/>
          <w:lang w:val="es-ES_tradnl"/>
        </w:rPr>
        <w:t xml:space="preserve"> Definición establecida por el Instituto de la Propiedad de Honduras</w:t>
      </w:r>
    </w:p>
  </w:footnote>
  <w:footnote w:id="3">
    <w:p w14:paraId="0F7A6622" w14:textId="77777777" w:rsidR="00AA2594" w:rsidRPr="00B240A7" w:rsidRDefault="00AA2594" w:rsidP="00C55227">
      <w:pPr>
        <w:pStyle w:val="FootnoteText"/>
        <w:rPr>
          <w:lang w:val="es-ES_tradnl"/>
        </w:rPr>
      </w:pPr>
      <w:r w:rsidRPr="00D316A0">
        <w:rPr>
          <w:rStyle w:val="FootnoteReference"/>
          <w:rFonts w:ascii="Arial" w:hAnsi="Arial" w:cs="Arial"/>
          <w:sz w:val="18"/>
        </w:rPr>
        <w:footnoteRef/>
      </w:r>
      <w:r w:rsidRPr="00B240A7">
        <w:rPr>
          <w:rFonts w:ascii="Arial" w:hAnsi="Arial" w:cs="Arial"/>
          <w:sz w:val="18"/>
          <w:lang w:val="es-ES_tradnl"/>
        </w:rPr>
        <w:t xml:space="preserve">Estimación realizada a partir de la contabilizando la cantidad de </w:t>
      </w:r>
      <w:r w:rsidRPr="00D316A0">
        <w:rPr>
          <w:rFonts w:ascii="Arial" w:hAnsi="Arial" w:cs="Arial"/>
          <w:sz w:val="18"/>
          <w:lang w:val="es-ES_tradnl"/>
        </w:rPr>
        <w:t>vehículos registrados bajo vieja modalidad de registro, al momento de la línea base y cuyo certificado se vencerán al 2022 y que por ende entrarán al nuevo sistema de registro de vehículos.</w:t>
      </w:r>
      <w:r w:rsidRPr="00D316A0">
        <w:rPr>
          <w:sz w:val="18"/>
          <w:lang w:val="es-ES_tradnl"/>
        </w:rPr>
        <w:t xml:space="preserve"> </w:t>
      </w:r>
    </w:p>
  </w:footnote>
  <w:footnote w:id="4">
    <w:p w14:paraId="65ACD9FA" w14:textId="77777777" w:rsidR="00AA2594" w:rsidRDefault="00AA2594" w:rsidP="00B240A7">
      <w:pPr>
        <w:pStyle w:val="FootnoteText"/>
        <w:spacing w:after="0"/>
        <w:ind w:left="90" w:hanging="90"/>
        <w:rPr>
          <w:rFonts w:ascii="Arial" w:hAnsi="Arial" w:cs="Arial"/>
          <w:sz w:val="18"/>
          <w:szCs w:val="18"/>
          <w:lang w:val="es-CO"/>
        </w:rPr>
      </w:pPr>
      <w:r w:rsidRPr="00BF3FBB">
        <w:rPr>
          <w:rStyle w:val="FootnoteReference"/>
          <w:rFonts w:ascii="Arial" w:hAnsi="Arial" w:cs="Arial"/>
          <w:sz w:val="18"/>
          <w:szCs w:val="18"/>
          <w:lang w:val="es-HN"/>
        </w:rPr>
        <w:t>6</w:t>
      </w:r>
      <w:r w:rsidRPr="00BF3FBB">
        <w:rPr>
          <w:rFonts w:ascii="Arial" w:hAnsi="Arial" w:cs="Arial"/>
          <w:sz w:val="18"/>
          <w:szCs w:val="18"/>
          <w:lang w:val="es-HN"/>
        </w:rPr>
        <w:t xml:space="preserve"> Prioridad establecida en el pilar 3 del Plan Estratégico de Gobierno</w:t>
      </w:r>
      <w:r>
        <w:rPr>
          <w:rFonts w:ascii="Arial" w:hAnsi="Arial" w:cs="Arial"/>
          <w:sz w:val="18"/>
          <w:szCs w:val="18"/>
          <w:lang w:val="es-ES"/>
        </w:rPr>
        <w:t xml:space="preserve"> 2014-2018 (PEG) “Convertir a Honduras en un centro logístico para Honduras, Centroamérica y el mundo”.</w:t>
      </w:r>
    </w:p>
  </w:footnote>
  <w:footnote w:id="5">
    <w:p w14:paraId="33332B6E" w14:textId="77777777" w:rsidR="00AA2594" w:rsidRDefault="00AA2594" w:rsidP="00B240A7">
      <w:pPr>
        <w:pStyle w:val="FootnoteText"/>
        <w:spacing w:after="0"/>
        <w:ind w:left="90" w:hanging="90"/>
        <w:rPr>
          <w:rFonts w:ascii="Arial" w:hAnsi="Arial" w:cs="Arial"/>
          <w:sz w:val="18"/>
          <w:szCs w:val="18"/>
          <w:lang w:val="es-CO"/>
        </w:rPr>
      </w:pPr>
      <w:r w:rsidRPr="00BF3FBB">
        <w:rPr>
          <w:rStyle w:val="FootnoteReference"/>
          <w:rFonts w:ascii="Arial" w:hAnsi="Arial" w:cs="Arial"/>
          <w:sz w:val="18"/>
          <w:szCs w:val="18"/>
          <w:lang w:val="es-HN"/>
        </w:rPr>
        <w:t>7</w:t>
      </w:r>
      <w:r w:rsidRPr="00BF3FBB">
        <w:rPr>
          <w:rFonts w:ascii="Arial" w:hAnsi="Arial" w:cs="Arial"/>
          <w:sz w:val="18"/>
          <w:szCs w:val="18"/>
          <w:lang w:val="es-HN"/>
        </w:rPr>
        <w:t xml:space="preserve"> Puerto Cortés transportó en el 2016 11,1 MM de Tonelada métrica (Tm), en tanto que los puertos del norte de Guatemala (Puerto Barrios y Santo Tomás de Castilla), entre los dos movilizaron 4,7 MM de Tm a pesar de que Guatemala es un país más grande y tiene una composición de exportaciones similar a Honduras. COCATRAM, 2016.</w:t>
      </w:r>
    </w:p>
  </w:footnote>
  <w:footnote w:id="6">
    <w:p w14:paraId="4D15EC1C" w14:textId="77777777" w:rsidR="00AA2594" w:rsidRDefault="00AA2594" w:rsidP="00B240A7">
      <w:pPr>
        <w:pStyle w:val="FootnoteText"/>
        <w:spacing w:after="0"/>
        <w:ind w:left="90" w:hanging="90"/>
        <w:rPr>
          <w:rFonts w:ascii="Arial" w:hAnsi="Arial" w:cs="Arial"/>
          <w:sz w:val="18"/>
          <w:szCs w:val="18"/>
          <w:lang w:val="es-CO"/>
        </w:rPr>
      </w:pPr>
      <w:r w:rsidRPr="00BF3FBB">
        <w:rPr>
          <w:rStyle w:val="FootnoteReference"/>
          <w:rFonts w:ascii="Arial" w:hAnsi="Arial" w:cs="Arial"/>
          <w:sz w:val="18"/>
          <w:szCs w:val="18"/>
          <w:lang w:val="es-HN"/>
        </w:rPr>
        <w:t>8</w:t>
      </w:r>
      <w:r w:rsidRPr="00BF3FBB">
        <w:rPr>
          <w:rFonts w:ascii="Arial" w:hAnsi="Arial" w:cs="Arial"/>
          <w:sz w:val="18"/>
          <w:szCs w:val="18"/>
          <w:lang w:val="es-HN"/>
        </w:rPr>
        <w:t xml:space="preserve"> Tiene como objetivo organizar el sistema logístico nacional en lo que respecta a los flujos de larga distancia entre los grandes generadores de viaje.</w:t>
      </w:r>
    </w:p>
  </w:footnote>
  <w:footnote w:id="7">
    <w:p w14:paraId="5D0FBD25" w14:textId="77777777" w:rsidR="00AA2594" w:rsidRDefault="00AA2594" w:rsidP="00B240A7">
      <w:pPr>
        <w:pStyle w:val="FootnoteText"/>
        <w:spacing w:after="0"/>
        <w:rPr>
          <w:sz w:val="24"/>
          <w:lang w:val="es-CO"/>
        </w:rPr>
      </w:pPr>
      <w:r w:rsidRPr="00BF3FBB">
        <w:rPr>
          <w:rStyle w:val="FootnoteReference"/>
          <w:rFonts w:ascii="Arial" w:hAnsi="Arial" w:cs="Arial"/>
          <w:sz w:val="18"/>
          <w:szCs w:val="18"/>
          <w:lang w:val="es-HN"/>
        </w:rPr>
        <w:t>9</w:t>
      </w:r>
      <w:r w:rsidRPr="00BF3FBB">
        <w:rPr>
          <w:rFonts w:ascii="Arial" w:hAnsi="Arial" w:cs="Arial"/>
          <w:sz w:val="18"/>
          <w:szCs w:val="18"/>
          <w:lang w:val="es-HN"/>
        </w:rPr>
        <w:t xml:space="preserve"> Subconjunto del PNLOG cuya implementación es priorizada y se puede efectuar en el corto plazo.</w:t>
      </w:r>
    </w:p>
  </w:footnote>
  <w:footnote w:id="8">
    <w:p w14:paraId="3FD81F84" w14:textId="77777777" w:rsidR="00AA2594" w:rsidRDefault="00AA2594" w:rsidP="00B240A7">
      <w:pPr>
        <w:pStyle w:val="FootnoteText"/>
        <w:spacing w:after="0"/>
        <w:rPr>
          <w:rFonts w:ascii="Arial" w:hAnsi="Arial" w:cs="Arial"/>
          <w:sz w:val="18"/>
          <w:szCs w:val="18"/>
          <w:lang w:val="es-CO"/>
        </w:rPr>
      </w:pPr>
      <w:r w:rsidRPr="00BF3FBB">
        <w:rPr>
          <w:rStyle w:val="FootnoteReference"/>
          <w:rFonts w:ascii="Arial" w:hAnsi="Arial" w:cs="Arial"/>
          <w:sz w:val="18"/>
          <w:szCs w:val="18"/>
          <w:lang w:val="es-HN"/>
        </w:rPr>
        <w:t>10</w:t>
      </w:r>
      <w:r w:rsidRPr="00BF3FBB">
        <w:rPr>
          <w:rFonts w:ascii="Arial" w:hAnsi="Arial" w:cs="Arial"/>
          <w:sz w:val="18"/>
          <w:szCs w:val="18"/>
          <w:lang w:val="es-HN"/>
        </w:rPr>
        <w:t xml:space="preserve"> Conformado por infraestructuras: Puerto Cortes-San Pedro Sula- Frontera Entre Ríos, el Aeropuerto Internacional de </w:t>
      </w:r>
      <w:proofErr w:type="spellStart"/>
      <w:r w:rsidRPr="00BF3FBB">
        <w:rPr>
          <w:rFonts w:ascii="Arial" w:hAnsi="Arial" w:cs="Arial"/>
          <w:sz w:val="18"/>
          <w:szCs w:val="18"/>
          <w:lang w:val="es-HN"/>
        </w:rPr>
        <w:t>Palmerola</w:t>
      </w:r>
      <w:proofErr w:type="spellEnd"/>
      <w:r w:rsidRPr="00BF3FBB">
        <w:rPr>
          <w:rFonts w:ascii="Arial" w:hAnsi="Arial" w:cs="Arial"/>
          <w:sz w:val="18"/>
          <w:szCs w:val="18"/>
          <w:lang w:val="es-HN"/>
        </w:rPr>
        <w:t>, puerto seco de La Barca, y el Puerto San Lorenzo. (PNLOG).</w:t>
      </w:r>
    </w:p>
  </w:footnote>
  <w:footnote w:id="9">
    <w:p w14:paraId="613DD415" w14:textId="77777777" w:rsidR="00AA2594" w:rsidRDefault="00AA2594" w:rsidP="00B240A7">
      <w:pPr>
        <w:pStyle w:val="FootnoteText"/>
        <w:spacing w:after="0"/>
        <w:rPr>
          <w:sz w:val="24"/>
          <w:lang w:val="es-HN"/>
        </w:rPr>
      </w:pPr>
      <w:r w:rsidRPr="00BF3FBB">
        <w:rPr>
          <w:rStyle w:val="FootnoteReference"/>
          <w:rFonts w:ascii="Arial" w:hAnsi="Arial" w:cs="Arial"/>
          <w:sz w:val="18"/>
          <w:szCs w:val="18"/>
          <w:lang w:val="es-HN"/>
        </w:rPr>
        <w:t>11</w:t>
      </w:r>
      <w:r w:rsidRPr="00BF3FBB">
        <w:rPr>
          <w:rFonts w:ascii="Arial" w:hAnsi="Arial" w:cs="Arial"/>
          <w:sz w:val="18"/>
          <w:szCs w:val="18"/>
          <w:lang w:val="es-HN"/>
        </w:rPr>
        <w:t xml:space="preserve"> El costo de exportación en Puerto Castilla (Honduras) es US$2.308. En Panamá es US$665. CDC Honduras.</w:t>
      </w:r>
    </w:p>
  </w:footnote>
  <w:footnote w:id="10">
    <w:p w14:paraId="1BFE0E43" w14:textId="77777777" w:rsidR="00AA2594" w:rsidRPr="00B240A7" w:rsidRDefault="00AA2594" w:rsidP="00B240A7">
      <w:pPr>
        <w:pStyle w:val="FootnoteText"/>
        <w:spacing w:after="0"/>
        <w:rPr>
          <w:rFonts w:ascii="Arial" w:hAnsi="Arial" w:cs="Arial"/>
          <w:sz w:val="18"/>
          <w:szCs w:val="18"/>
          <w:lang w:val="es-ES_tradnl"/>
        </w:rPr>
      </w:pPr>
      <w:r w:rsidRPr="00B240A7">
        <w:rPr>
          <w:rStyle w:val="FootnoteReference"/>
          <w:rFonts w:ascii="Arial" w:hAnsi="Arial" w:cs="Arial"/>
          <w:sz w:val="18"/>
          <w:szCs w:val="18"/>
        </w:rPr>
        <w:footnoteRef/>
      </w:r>
      <w:r w:rsidRPr="00B240A7">
        <w:rPr>
          <w:rFonts w:ascii="Arial" w:hAnsi="Arial" w:cs="Arial"/>
          <w:sz w:val="18"/>
          <w:szCs w:val="18"/>
          <w:lang w:val="es-HN"/>
        </w:rPr>
        <w:t xml:space="preserve"> El indicador corresponde a los tiempos de procesamiento de las exportaciones de ES a HO en canal rojo. La gestión coordinada de frontera en cabecera única, sin la necesidad que el conductor se baje de la unidad de transporte es una mejora que se estima reducirá el tiempo de procesamiento hasta en un 60% del tiempo en exportaciones en canal rojo.</w:t>
      </w:r>
    </w:p>
  </w:footnote>
  <w:footnote w:id="11">
    <w:p w14:paraId="7C75D1A4" w14:textId="77777777" w:rsidR="00AA2594" w:rsidRPr="00B240A7" w:rsidRDefault="00AA2594" w:rsidP="00B240A7">
      <w:pPr>
        <w:pStyle w:val="FootnoteText"/>
        <w:spacing w:after="0"/>
        <w:rPr>
          <w:sz w:val="18"/>
          <w:szCs w:val="18"/>
          <w:lang w:val="es-HN"/>
        </w:rPr>
      </w:pPr>
      <w:r w:rsidRPr="00B240A7">
        <w:rPr>
          <w:rStyle w:val="FootnoteReference"/>
          <w:rFonts w:ascii="Arial" w:hAnsi="Arial" w:cs="Arial"/>
          <w:sz w:val="18"/>
          <w:szCs w:val="18"/>
        </w:rPr>
        <w:footnoteRef/>
      </w:r>
      <w:r w:rsidRPr="00B240A7">
        <w:rPr>
          <w:rFonts w:ascii="Arial" w:hAnsi="Arial" w:cs="Arial"/>
          <w:sz w:val="18"/>
          <w:szCs w:val="18"/>
          <w:lang w:val="es-HN"/>
        </w:rPr>
        <w:t xml:space="preserve"> La programación de la segunda y tercera operación dependerá de los diálogos entre el Banco y SEFIN.</w:t>
      </w:r>
    </w:p>
  </w:footnote>
  <w:footnote w:id="12">
    <w:p w14:paraId="4EF86E59" w14:textId="77777777" w:rsidR="00AA2594" w:rsidRPr="006E79FA" w:rsidRDefault="00AA2594" w:rsidP="00B240A7">
      <w:pPr>
        <w:pStyle w:val="FootnoteText"/>
        <w:spacing w:after="0"/>
        <w:rPr>
          <w:rFonts w:ascii="Arial" w:hAnsi="Arial" w:cs="Arial"/>
          <w:lang w:val="es-BO"/>
        </w:rPr>
      </w:pPr>
      <w:r w:rsidRPr="00B240A7">
        <w:rPr>
          <w:rStyle w:val="FootnoteReference"/>
          <w:rFonts w:ascii="Arial" w:hAnsi="Arial" w:cs="Arial"/>
          <w:sz w:val="18"/>
          <w:szCs w:val="18"/>
        </w:rPr>
        <w:footnoteRef/>
      </w:r>
      <w:r w:rsidRPr="00B240A7">
        <w:rPr>
          <w:rFonts w:ascii="Arial" w:hAnsi="Arial" w:cs="Arial"/>
          <w:sz w:val="18"/>
          <w:szCs w:val="18"/>
          <w:lang w:val="es-BO"/>
        </w:rPr>
        <w:t xml:space="preserve"> </w:t>
      </w:r>
      <w:r w:rsidRPr="00B240A7">
        <w:rPr>
          <w:rFonts w:ascii="Arial" w:hAnsi="Arial" w:cs="Arial"/>
          <w:sz w:val="18"/>
          <w:szCs w:val="18"/>
          <w:lang w:val="es-ES" w:eastAsia="es-ES"/>
        </w:rPr>
        <w:t>En este caso, el criterio de eficiencia se evalúa, pero no se califica al ser un programático.</w:t>
      </w:r>
      <w:r w:rsidRPr="006E79FA">
        <w:rPr>
          <w:rFonts w:ascii="Arial" w:hAnsi="Arial" w:cs="Arial"/>
          <w:lang w:val="es-ES" w:eastAsia="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91395" w14:textId="77777777" w:rsidR="00AA2594" w:rsidRDefault="00AA25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853AD" w14:textId="77777777" w:rsidR="00AA2594" w:rsidRDefault="00AA2594">
    <w:pPr>
      <w:pStyle w:val="Header"/>
      <w:jc w:val="right"/>
    </w:pPr>
  </w:p>
  <w:p w14:paraId="03FEF782" w14:textId="77777777" w:rsidR="00AA2594" w:rsidRDefault="00AA25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318336367"/>
      <w:docPartObj>
        <w:docPartGallery w:val="Page Numbers (Top of Page)"/>
        <w:docPartUnique/>
      </w:docPartObj>
    </w:sdtPr>
    <w:sdtEndPr/>
    <w:sdtContent>
      <w:p w14:paraId="26C54D8E" w14:textId="77777777" w:rsidR="00AA2594" w:rsidRPr="00BB4522" w:rsidRDefault="00AA2594">
        <w:pPr>
          <w:pStyle w:val="Header"/>
          <w:jc w:val="right"/>
          <w:rPr>
            <w:rFonts w:ascii="Arial" w:hAnsi="Arial" w:cs="Arial"/>
            <w:sz w:val="20"/>
            <w:szCs w:val="20"/>
          </w:rPr>
        </w:pPr>
        <w:r>
          <w:rPr>
            <w:rFonts w:ascii="Arial" w:hAnsi="Arial" w:cs="Arial"/>
            <w:sz w:val="20"/>
            <w:szCs w:val="20"/>
          </w:rPr>
          <w:t xml:space="preserve">EEO#1 - </w:t>
        </w:r>
        <w:r w:rsidRPr="00BB4522">
          <w:rPr>
            <w:rFonts w:ascii="Arial" w:hAnsi="Arial" w:cs="Arial"/>
            <w:sz w:val="20"/>
            <w:szCs w:val="20"/>
          </w:rPr>
          <w:t>HO-L1198</w:t>
        </w:r>
      </w:p>
      <w:p w14:paraId="7A3CF808" w14:textId="77777777" w:rsidR="00AA2594" w:rsidRPr="00BB4522" w:rsidRDefault="00AA2594">
        <w:pPr>
          <w:pStyle w:val="Header"/>
          <w:jc w:val="right"/>
          <w:rPr>
            <w:rFonts w:ascii="Arial" w:hAnsi="Arial" w:cs="Arial"/>
            <w:sz w:val="20"/>
            <w:szCs w:val="20"/>
          </w:rPr>
        </w:pPr>
        <w:proofErr w:type="spellStart"/>
        <w:r w:rsidRPr="00BB4522">
          <w:rPr>
            <w:rFonts w:ascii="Arial" w:hAnsi="Arial" w:cs="Arial"/>
            <w:sz w:val="20"/>
            <w:szCs w:val="20"/>
          </w:rPr>
          <w:t>Página</w:t>
        </w:r>
        <w:proofErr w:type="spellEnd"/>
        <w:r w:rsidRPr="00BB4522">
          <w:rPr>
            <w:rFonts w:ascii="Arial" w:hAnsi="Arial" w:cs="Arial"/>
            <w:sz w:val="20"/>
            <w:szCs w:val="20"/>
          </w:rPr>
          <w:t xml:space="preserve"> </w:t>
        </w:r>
        <w:r w:rsidRPr="00BB4522">
          <w:rPr>
            <w:rFonts w:ascii="Arial" w:hAnsi="Arial" w:cs="Arial"/>
            <w:bCs/>
            <w:sz w:val="20"/>
            <w:szCs w:val="20"/>
          </w:rPr>
          <w:fldChar w:fldCharType="begin"/>
        </w:r>
        <w:r w:rsidRPr="00BB4522">
          <w:rPr>
            <w:rFonts w:ascii="Arial" w:hAnsi="Arial" w:cs="Arial"/>
            <w:bCs/>
            <w:sz w:val="20"/>
            <w:szCs w:val="20"/>
          </w:rPr>
          <w:instrText xml:space="preserve"> PAGE </w:instrText>
        </w:r>
        <w:r w:rsidRPr="00BB4522">
          <w:rPr>
            <w:rFonts w:ascii="Arial" w:hAnsi="Arial" w:cs="Arial"/>
            <w:bCs/>
            <w:sz w:val="20"/>
            <w:szCs w:val="20"/>
          </w:rPr>
          <w:fldChar w:fldCharType="separate"/>
        </w:r>
        <w:r w:rsidRPr="00BB4522">
          <w:rPr>
            <w:rFonts w:ascii="Arial" w:hAnsi="Arial" w:cs="Arial"/>
            <w:bCs/>
            <w:noProof/>
            <w:sz w:val="20"/>
            <w:szCs w:val="20"/>
          </w:rPr>
          <w:t>2</w:t>
        </w:r>
        <w:r w:rsidRPr="00BB4522">
          <w:rPr>
            <w:rFonts w:ascii="Arial" w:hAnsi="Arial" w:cs="Arial"/>
            <w:bCs/>
            <w:sz w:val="20"/>
            <w:szCs w:val="20"/>
          </w:rPr>
          <w:fldChar w:fldCharType="end"/>
        </w:r>
        <w:r w:rsidRPr="00BB4522">
          <w:rPr>
            <w:rFonts w:ascii="Arial" w:hAnsi="Arial" w:cs="Arial"/>
            <w:sz w:val="20"/>
            <w:szCs w:val="20"/>
          </w:rPr>
          <w:t xml:space="preserve"> de </w:t>
        </w:r>
        <w:r w:rsidRPr="00BB4522">
          <w:rPr>
            <w:rFonts w:ascii="Arial" w:hAnsi="Arial" w:cs="Arial"/>
            <w:bCs/>
            <w:sz w:val="20"/>
            <w:szCs w:val="20"/>
          </w:rPr>
          <w:fldChar w:fldCharType="begin"/>
        </w:r>
        <w:r w:rsidRPr="00BB4522">
          <w:rPr>
            <w:rFonts w:ascii="Arial" w:hAnsi="Arial" w:cs="Arial"/>
            <w:bCs/>
            <w:sz w:val="20"/>
            <w:szCs w:val="20"/>
          </w:rPr>
          <w:instrText xml:space="preserve"> NUMPAGES  </w:instrText>
        </w:r>
        <w:r w:rsidRPr="00BB4522">
          <w:rPr>
            <w:rFonts w:ascii="Arial" w:hAnsi="Arial" w:cs="Arial"/>
            <w:bCs/>
            <w:sz w:val="20"/>
            <w:szCs w:val="20"/>
          </w:rPr>
          <w:fldChar w:fldCharType="separate"/>
        </w:r>
        <w:r w:rsidRPr="00BB4522">
          <w:rPr>
            <w:rFonts w:ascii="Arial" w:hAnsi="Arial" w:cs="Arial"/>
            <w:bCs/>
            <w:noProof/>
            <w:sz w:val="20"/>
            <w:szCs w:val="20"/>
          </w:rPr>
          <w:t>2</w:t>
        </w:r>
        <w:r w:rsidRPr="00BB4522">
          <w:rPr>
            <w:rFonts w:ascii="Arial" w:hAnsi="Arial" w:cs="Arial"/>
            <w:bCs/>
            <w:sz w:val="20"/>
            <w:szCs w:val="20"/>
          </w:rPr>
          <w:fldChar w:fldCharType="end"/>
        </w:r>
      </w:p>
    </w:sdtContent>
  </w:sdt>
  <w:p w14:paraId="100434A2" w14:textId="77777777" w:rsidR="00AA2594" w:rsidRPr="00BB4522" w:rsidRDefault="00AA2594">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425A"/>
    <w:multiLevelType w:val="hybridMultilevel"/>
    <w:tmpl w:val="CB7834CA"/>
    <w:lvl w:ilvl="0" w:tplc="90929F66">
      <w:start w:val="1"/>
      <w:numFmt w:val="decimal"/>
      <w:lvlText w:val="%1."/>
      <w:lvlJc w:val="left"/>
      <w:pPr>
        <w:ind w:left="1800" w:hanging="36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696274"/>
    <w:multiLevelType w:val="hybridMultilevel"/>
    <w:tmpl w:val="9C0267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257C5026"/>
    <w:multiLevelType w:val="hybridMultilevel"/>
    <w:tmpl w:val="292CD8D0"/>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A111B86"/>
    <w:multiLevelType w:val="hybridMultilevel"/>
    <w:tmpl w:val="05C258F2"/>
    <w:lvl w:ilvl="0" w:tplc="2DC069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E64C7"/>
    <w:multiLevelType w:val="hybridMultilevel"/>
    <w:tmpl w:val="003686F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34D410D"/>
    <w:multiLevelType w:val="hybridMultilevel"/>
    <w:tmpl w:val="AE160B96"/>
    <w:lvl w:ilvl="0" w:tplc="01DCD712">
      <w:start w:val="3"/>
      <w:numFmt w:val="lowerRoman"/>
      <w:lvlText w:val="(%1)"/>
      <w:lvlJc w:val="left"/>
      <w:pPr>
        <w:ind w:left="374" w:hanging="360"/>
      </w:pPr>
      <w:rPr>
        <w:rFonts w:ascii="Arial" w:eastAsiaTheme="minorEastAsia" w:hAnsi="Arial" w:cs="Arial" w:hint="default"/>
        <w:b w:val="0"/>
        <w:i w:val="0"/>
      </w:rPr>
    </w:lvl>
    <w:lvl w:ilvl="1" w:tplc="240A0019" w:tentative="1">
      <w:start w:val="1"/>
      <w:numFmt w:val="lowerLetter"/>
      <w:lvlText w:val="%2."/>
      <w:lvlJc w:val="left"/>
      <w:pPr>
        <w:ind w:left="374" w:hanging="360"/>
      </w:pPr>
    </w:lvl>
    <w:lvl w:ilvl="2" w:tplc="240A001B" w:tentative="1">
      <w:start w:val="1"/>
      <w:numFmt w:val="lowerRoman"/>
      <w:lvlText w:val="%3."/>
      <w:lvlJc w:val="right"/>
      <w:pPr>
        <w:ind w:left="1094" w:hanging="180"/>
      </w:pPr>
    </w:lvl>
    <w:lvl w:ilvl="3" w:tplc="240A000F" w:tentative="1">
      <w:start w:val="1"/>
      <w:numFmt w:val="decimal"/>
      <w:lvlText w:val="%4."/>
      <w:lvlJc w:val="left"/>
      <w:pPr>
        <w:ind w:left="1814" w:hanging="360"/>
      </w:pPr>
    </w:lvl>
    <w:lvl w:ilvl="4" w:tplc="240A0019" w:tentative="1">
      <w:start w:val="1"/>
      <w:numFmt w:val="lowerLetter"/>
      <w:lvlText w:val="%5."/>
      <w:lvlJc w:val="left"/>
      <w:pPr>
        <w:ind w:left="2534" w:hanging="360"/>
      </w:pPr>
    </w:lvl>
    <w:lvl w:ilvl="5" w:tplc="240A001B" w:tentative="1">
      <w:start w:val="1"/>
      <w:numFmt w:val="lowerRoman"/>
      <w:lvlText w:val="%6."/>
      <w:lvlJc w:val="right"/>
      <w:pPr>
        <w:ind w:left="3254" w:hanging="180"/>
      </w:pPr>
    </w:lvl>
    <w:lvl w:ilvl="6" w:tplc="240A000F" w:tentative="1">
      <w:start w:val="1"/>
      <w:numFmt w:val="decimal"/>
      <w:lvlText w:val="%7."/>
      <w:lvlJc w:val="left"/>
      <w:pPr>
        <w:ind w:left="3974" w:hanging="360"/>
      </w:pPr>
    </w:lvl>
    <w:lvl w:ilvl="7" w:tplc="240A0019" w:tentative="1">
      <w:start w:val="1"/>
      <w:numFmt w:val="lowerLetter"/>
      <w:lvlText w:val="%8."/>
      <w:lvlJc w:val="left"/>
      <w:pPr>
        <w:ind w:left="4694" w:hanging="360"/>
      </w:pPr>
    </w:lvl>
    <w:lvl w:ilvl="8" w:tplc="240A001B" w:tentative="1">
      <w:start w:val="1"/>
      <w:numFmt w:val="lowerRoman"/>
      <w:lvlText w:val="%9."/>
      <w:lvlJc w:val="right"/>
      <w:pPr>
        <w:ind w:left="5414" w:hanging="180"/>
      </w:pPr>
    </w:lvl>
  </w:abstractNum>
  <w:abstractNum w:abstractNumId="7" w15:restartNumberingAfterBreak="0">
    <w:nsid w:val="359D0BFA"/>
    <w:multiLevelType w:val="hybridMultilevel"/>
    <w:tmpl w:val="3902676C"/>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AC83BE0"/>
    <w:multiLevelType w:val="hybridMultilevel"/>
    <w:tmpl w:val="5F0E36AE"/>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CAC5F34"/>
    <w:multiLevelType w:val="hybridMultilevel"/>
    <w:tmpl w:val="2AAEA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57377"/>
    <w:multiLevelType w:val="hybridMultilevel"/>
    <w:tmpl w:val="D20CA58A"/>
    <w:lvl w:ilvl="0" w:tplc="3DFEB0A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F6D7BA3"/>
    <w:multiLevelType w:val="hybridMultilevel"/>
    <w:tmpl w:val="D986A192"/>
    <w:lvl w:ilvl="0" w:tplc="3DFEB0AC">
      <w:start w:val="1"/>
      <w:numFmt w:val="lowerRoman"/>
      <w:lvlText w:val="(%1)"/>
      <w:lvlJc w:val="left"/>
      <w:pPr>
        <w:ind w:left="770" w:hanging="360"/>
      </w:pPr>
      <w:rPr>
        <w:rFonts w:hint="default"/>
      </w:rPr>
    </w:lvl>
    <w:lvl w:ilvl="1" w:tplc="240A0019" w:tentative="1">
      <w:start w:val="1"/>
      <w:numFmt w:val="lowerLetter"/>
      <w:lvlText w:val="%2."/>
      <w:lvlJc w:val="left"/>
      <w:pPr>
        <w:ind w:left="1490" w:hanging="360"/>
      </w:pPr>
    </w:lvl>
    <w:lvl w:ilvl="2" w:tplc="240A001B" w:tentative="1">
      <w:start w:val="1"/>
      <w:numFmt w:val="lowerRoman"/>
      <w:lvlText w:val="%3."/>
      <w:lvlJc w:val="right"/>
      <w:pPr>
        <w:ind w:left="2210" w:hanging="180"/>
      </w:pPr>
    </w:lvl>
    <w:lvl w:ilvl="3" w:tplc="240A000F" w:tentative="1">
      <w:start w:val="1"/>
      <w:numFmt w:val="decimal"/>
      <w:lvlText w:val="%4."/>
      <w:lvlJc w:val="left"/>
      <w:pPr>
        <w:ind w:left="2930" w:hanging="360"/>
      </w:pPr>
    </w:lvl>
    <w:lvl w:ilvl="4" w:tplc="240A0019" w:tentative="1">
      <w:start w:val="1"/>
      <w:numFmt w:val="lowerLetter"/>
      <w:lvlText w:val="%5."/>
      <w:lvlJc w:val="left"/>
      <w:pPr>
        <w:ind w:left="3650" w:hanging="360"/>
      </w:pPr>
    </w:lvl>
    <w:lvl w:ilvl="5" w:tplc="240A001B" w:tentative="1">
      <w:start w:val="1"/>
      <w:numFmt w:val="lowerRoman"/>
      <w:lvlText w:val="%6."/>
      <w:lvlJc w:val="right"/>
      <w:pPr>
        <w:ind w:left="4370" w:hanging="180"/>
      </w:pPr>
    </w:lvl>
    <w:lvl w:ilvl="6" w:tplc="240A000F" w:tentative="1">
      <w:start w:val="1"/>
      <w:numFmt w:val="decimal"/>
      <w:lvlText w:val="%7."/>
      <w:lvlJc w:val="left"/>
      <w:pPr>
        <w:ind w:left="5090" w:hanging="360"/>
      </w:pPr>
    </w:lvl>
    <w:lvl w:ilvl="7" w:tplc="240A0019" w:tentative="1">
      <w:start w:val="1"/>
      <w:numFmt w:val="lowerLetter"/>
      <w:lvlText w:val="%8."/>
      <w:lvlJc w:val="left"/>
      <w:pPr>
        <w:ind w:left="5810" w:hanging="360"/>
      </w:pPr>
    </w:lvl>
    <w:lvl w:ilvl="8" w:tplc="240A001B" w:tentative="1">
      <w:start w:val="1"/>
      <w:numFmt w:val="lowerRoman"/>
      <w:lvlText w:val="%9."/>
      <w:lvlJc w:val="right"/>
      <w:pPr>
        <w:ind w:left="6530" w:hanging="180"/>
      </w:pPr>
    </w:lvl>
  </w:abstractNum>
  <w:abstractNum w:abstractNumId="12" w15:restartNumberingAfterBreak="0">
    <w:nsid w:val="3FF9665C"/>
    <w:multiLevelType w:val="hybridMultilevel"/>
    <w:tmpl w:val="1DACC5D0"/>
    <w:lvl w:ilvl="0" w:tplc="6BEE00F4">
      <w:start w:val="1"/>
      <w:numFmt w:val="decimal"/>
      <w:lvlText w:val="%1."/>
      <w:lvlJc w:val="left"/>
      <w:pPr>
        <w:ind w:left="18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4" w15:restartNumberingAfterBreak="0">
    <w:nsid w:val="47B36F6A"/>
    <w:multiLevelType w:val="hybridMultilevel"/>
    <w:tmpl w:val="0B4A91EA"/>
    <w:lvl w:ilvl="0" w:tplc="08CCBB80">
      <w:start w:val="1"/>
      <w:numFmt w:val="lowerRoman"/>
      <w:lvlText w:val="(%1)"/>
      <w:lvlJc w:val="left"/>
      <w:pPr>
        <w:ind w:left="-392" w:hanging="360"/>
      </w:pPr>
      <w:rPr>
        <w:rFonts w:ascii="Arial" w:eastAsiaTheme="minorEastAsia" w:hAnsi="Arial" w:cs="Arial" w:hint="default"/>
        <w:b w:val="0"/>
      </w:rPr>
    </w:lvl>
    <w:lvl w:ilvl="1" w:tplc="040C0003" w:tentative="1">
      <w:start w:val="1"/>
      <w:numFmt w:val="bullet"/>
      <w:lvlText w:val="o"/>
      <w:lvlJc w:val="left"/>
      <w:pPr>
        <w:ind w:left="328" w:hanging="360"/>
      </w:pPr>
      <w:rPr>
        <w:rFonts w:ascii="Courier New" w:hAnsi="Courier New" w:hint="default"/>
      </w:rPr>
    </w:lvl>
    <w:lvl w:ilvl="2" w:tplc="040C0005" w:tentative="1">
      <w:start w:val="1"/>
      <w:numFmt w:val="bullet"/>
      <w:lvlText w:val=""/>
      <w:lvlJc w:val="left"/>
      <w:pPr>
        <w:ind w:left="1048" w:hanging="360"/>
      </w:pPr>
      <w:rPr>
        <w:rFonts w:ascii="Wingdings" w:hAnsi="Wingdings" w:hint="default"/>
      </w:rPr>
    </w:lvl>
    <w:lvl w:ilvl="3" w:tplc="040C0001" w:tentative="1">
      <w:start w:val="1"/>
      <w:numFmt w:val="bullet"/>
      <w:lvlText w:val=""/>
      <w:lvlJc w:val="left"/>
      <w:pPr>
        <w:ind w:left="1768" w:hanging="360"/>
      </w:pPr>
      <w:rPr>
        <w:rFonts w:ascii="Symbol" w:hAnsi="Symbol" w:hint="default"/>
      </w:rPr>
    </w:lvl>
    <w:lvl w:ilvl="4" w:tplc="040C0003" w:tentative="1">
      <w:start w:val="1"/>
      <w:numFmt w:val="bullet"/>
      <w:lvlText w:val="o"/>
      <w:lvlJc w:val="left"/>
      <w:pPr>
        <w:ind w:left="2488" w:hanging="360"/>
      </w:pPr>
      <w:rPr>
        <w:rFonts w:ascii="Courier New" w:hAnsi="Courier New" w:hint="default"/>
      </w:rPr>
    </w:lvl>
    <w:lvl w:ilvl="5" w:tplc="040C0005" w:tentative="1">
      <w:start w:val="1"/>
      <w:numFmt w:val="bullet"/>
      <w:lvlText w:val=""/>
      <w:lvlJc w:val="left"/>
      <w:pPr>
        <w:ind w:left="3208" w:hanging="360"/>
      </w:pPr>
      <w:rPr>
        <w:rFonts w:ascii="Wingdings" w:hAnsi="Wingdings" w:hint="default"/>
      </w:rPr>
    </w:lvl>
    <w:lvl w:ilvl="6" w:tplc="040C0001" w:tentative="1">
      <w:start w:val="1"/>
      <w:numFmt w:val="bullet"/>
      <w:lvlText w:val=""/>
      <w:lvlJc w:val="left"/>
      <w:pPr>
        <w:ind w:left="3928" w:hanging="360"/>
      </w:pPr>
      <w:rPr>
        <w:rFonts w:ascii="Symbol" w:hAnsi="Symbol" w:hint="default"/>
      </w:rPr>
    </w:lvl>
    <w:lvl w:ilvl="7" w:tplc="040C0003" w:tentative="1">
      <w:start w:val="1"/>
      <w:numFmt w:val="bullet"/>
      <w:lvlText w:val="o"/>
      <w:lvlJc w:val="left"/>
      <w:pPr>
        <w:ind w:left="4648" w:hanging="360"/>
      </w:pPr>
      <w:rPr>
        <w:rFonts w:ascii="Courier New" w:hAnsi="Courier New" w:hint="default"/>
      </w:rPr>
    </w:lvl>
    <w:lvl w:ilvl="8" w:tplc="040C0005" w:tentative="1">
      <w:start w:val="1"/>
      <w:numFmt w:val="bullet"/>
      <w:lvlText w:val=""/>
      <w:lvlJc w:val="left"/>
      <w:pPr>
        <w:ind w:left="5368" w:hanging="360"/>
      </w:pPr>
      <w:rPr>
        <w:rFonts w:ascii="Wingdings" w:hAnsi="Wingdings" w:hint="default"/>
      </w:rPr>
    </w:lvl>
  </w:abstractNum>
  <w:abstractNum w:abstractNumId="15" w15:restartNumberingAfterBreak="0">
    <w:nsid w:val="4E8C112C"/>
    <w:multiLevelType w:val="hybridMultilevel"/>
    <w:tmpl w:val="CD526A42"/>
    <w:lvl w:ilvl="0" w:tplc="C9008404">
      <w:start w:val="1"/>
      <w:numFmt w:val="decimal"/>
      <w:lvlText w:val="2.1%1"/>
      <w:lvlJc w:val="left"/>
      <w:pPr>
        <w:ind w:left="360" w:hanging="360"/>
      </w:pPr>
      <w:rPr>
        <w:rFonts w:hint="default"/>
        <w:b w:val="0"/>
        <w:sz w:val="18"/>
        <w:szCs w:val="18"/>
      </w:rPr>
    </w:lvl>
    <w:lvl w:ilvl="1" w:tplc="DF765596">
      <w:start w:val="1"/>
      <w:numFmt w:val="lowerRoman"/>
      <w:lvlText w:val="(%2)"/>
      <w:lvlJc w:val="left"/>
      <w:pPr>
        <w:ind w:left="1440" w:hanging="360"/>
      </w:pPr>
      <w:rPr>
        <w:rFonts w:ascii="Arial" w:eastAsiaTheme="minorEastAsia" w:hAnsi="Arial" w:cs="Arial"/>
        <w:b w:val="0"/>
        <w:i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5490BEE"/>
    <w:multiLevelType w:val="hybridMultilevel"/>
    <w:tmpl w:val="CF1AC1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9905A8"/>
    <w:multiLevelType w:val="multilevel"/>
    <w:tmpl w:val="853CDA62"/>
    <w:lvl w:ilvl="0">
      <w:start w:val="1"/>
      <w:numFmt w:val="upperRoman"/>
      <w:lvlText w:val="%1."/>
      <w:lvlJc w:val="center"/>
      <w:pPr>
        <w:tabs>
          <w:tab w:val="num" w:pos="630"/>
        </w:tabs>
        <w:ind w:left="-18" w:firstLine="288"/>
      </w:pPr>
      <w:rPr>
        <w:b/>
        <w:i w:val="0"/>
      </w:rPr>
    </w:lvl>
    <w:lvl w:ilvl="1">
      <w:start w:val="1"/>
      <w:numFmt w:val="decimal"/>
      <w:isLgl/>
      <w:lvlText w:val="%1.%2"/>
      <w:lvlJc w:val="left"/>
      <w:pPr>
        <w:tabs>
          <w:tab w:val="num" w:pos="2448"/>
        </w:tabs>
        <w:ind w:left="2448" w:hanging="1296"/>
      </w:pPr>
      <w:rPr>
        <w:rFonts w:ascii="Arial" w:hAnsi="Arial" w:cs="Arial" w:hint="default"/>
        <w:b w:val="0"/>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8" w15:restartNumberingAfterBreak="0">
    <w:nsid w:val="621E6447"/>
    <w:multiLevelType w:val="hybridMultilevel"/>
    <w:tmpl w:val="1F8A4D32"/>
    <w:lvl w:ilvl="0" w:tplc="B616F63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B1B27C4"/>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D54248"/>
    <w:multiLevelType w:val="hybridMultilevel"/>
    <w:tmpl w:val="2E8AEE0C"/>
    <w:lvl w:ilvl="0" w:tplc="2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9"/>
  </w:num>
  <w:num w:numId="4">
    <w:abstractNumId w:val="1"/>
  </w:num>
  <w:num w:numId="5">
    <w:abstractNumId w:val="4"/>
  </w:num>
  <w:num w:numId="6">
    <w:abstractNumId w:val="12"/>
  </w:num>
  <w:num w:numId="7">
    <w:abstractNumId w:val="0"/>
  </w:num>
  <w:num w:numId="8">
    <w:abstractNumId w:val="16"/>
  </w:num>
  <w:num w:numId="9">
    <w:abstractNumId w:val="20"/>
  </w:num>
  <w:num w:numId="10">
    <w:abstractNumId w:val="14"/>
  </w:num>
  <w:num w:numId="11">
    <w:abstractNumId w:val="5"/>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8"/>
  </w:num>
  <w:num w:numId="16">
    <w:abstractNumId w:val="8"/>
  </w:num>
  <w:num w:numId="17">
    <w:abstractNumId w:val="10"/>
  </w:num>
  <w:num w:numId="18">
    <w:abstractNumId w:val="3"/>
  </w:num>
  <w:num w:numId="19">
    <w:abstractNumId w:val="15"/>
  </w:num>
  <w:num w:numId="20">
    <w:abstractNumId w:val="11"/>
  </w:num>
  <w:num w:numId="2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16"/>
    <w:rsid w:val="00006CFD"/>
    <w:rsid w:val="00007405"/>
    <w:rsid w:val="00013BC5"/>
    <w:rsid w:val="0002720B"/>
    <w:rsid w:val="0003009B"/>
    <w:rsid w:val="000307C4"/>
    <w:rsid w:val="00035AE4"/>
    <w:rsid w:val="00036925"/>
    <w:rsid w:val="00037602"/>
    <w:rsid w:val="0004063D"/>
    <w:rsid w:val="000500BD"/>
    <w:rsid w:val="000519EA"/>
    <w:rsid w:val="000608CA"/>
    <w:rsid w:val="00070A1A"/>
    <w:rsid w:val="00072736"/>
    <w:rsid w:val="00081C44"/>
    <w:rsid w:val="00081C4A"/>
    <w:rsid w:val="00083ABD"/>
    <w:rsid w:val="00083D6C"/>
    <w:rsid w:val="0009282B"/>
    <w:rsid w:val="000967BE"/>
    <w:rsid w:val="00097951"/>
    <w:rsid w:val="000A38A9"/>
    <w:rsid w:val="000A4CFE"/>
    <w:rsid w:val="000A6E76"/>
    <w:rsid w:val="000B51BC"/>
    <w:rsid w:val="000B549E"/>
    <w:rsid w:val="000B7C64"/>
    <w:rsid w:val="000D0CBE"/>
    <w:rsid w:val="000E0043"/>
    <w:rsid w:val="000E3F19"/>
    <w:rsid w:val="000E6171"/>
    <w:rsid w:val="000E77A6"/>
    <w:rsid w:val="000F3237"/>
    <w:rsid w:val="000F3F24"/>
    <w:rsid w:val="000F747F"/>
    <w:rsid w:val="00100AEB"/>
    <w:rsid w:val="00101A19"/>
    <w:rsid w:val="0011104C"/>
    <w:rsid w:val="00111387"/>
    <w:rsid w:val="0011553C"/>
    <w:rsid w:val="0011748A"/>
    <w:rsid w:val="001208B4"/>
    <w:rsid w:val="00125CEF"/>
    <w:rsid w:val="00126BA3"/>
    <w:rsid w:val="00133B6E"/>
    <w:rsid w:val="0013435D"/>
    <w:rsid w:val="00135128"/>
    <w:rsid w:val="00140F3C"/>
    <w:rsid w:val="00142FBA"/>
    <w:rsid w:val="0014501C"/>
    <w:rsid w:val="00150F30"/>
    <w:rsid w:val="00151ACE"/>
    <w:rsid w:val="001608AF"/>
    <w:rsid w:val="0016288A"/>
    <w:rsid w:val="001640F5"/>
    <w:rsid w:val="00180D79"/>
    <w:rsid w:val="00184774"/>
    <w:rsid w:val="0018548E"/>
    <w:rsid w:val="00196BDB"/>
    <w:rsid w:val="00197BB1"/>
    <w:rsid w:val="001A78DC"/>
    <w:rsid w:val="001B0312"/>
    <w:rsid w:val="001B0E77"/>
    <w:rsid w:val="001B1520"/>
    <w:rsid w:val="001B49A9"/>
    <w:rsid w:val="001C347C"/>
    <w:rsid w:val="001C3BAE"/>
    <w:rsid w:val="001C560E"/>
    <w:rsid w:val="001D1D8F"/>
    <w:rsid w:val="001E04B7"/>
    <w:rsid w:val="001F12B0"/>
    <w:rsid w:val="001F59FE"/>
    <w:rsid w:val="001F7598"/>
    <w:rsid w:val="00203B75"/>
    <w:rsid w:val="00206198"/>
    <w:rsid w:val="0021148F"/>
    <w:rsid w:val="0021242B"/>
    <w:rsid w:val="00214A75"/>
    <w:rsid w:val="0022022B"/>
    <w:rsid w:val="00221467"/>
    <w:rsid w:val="0022266D"/>
    <w:rsid w:val="00227AE8"/>
    <w:rsid w:val="00232721"/>
    <w:rsid w:val="00235351"/>
    <w:rsid w:val="00236A62"/>
    <w:rsid w:val="00244A37"/>
    <w:rsid w:val="002459D1"/>
    <w:rsid w:val="00251B76"/>
    <w:rsid w:val="002618F6"/>
    <w:rsid w:val="0026544B"/>
    <w:rsid w:val="00265B89"/>
    <w:rsid w:val="002743B2"/>
    <w:rsid w:val="002755A1"/>
    <w:rsid w:val="00280BEE"/>
    <w:rsid w:val="0028117B"/>
    <w:rsid w:val="0028285A"/>
    <w:rsid w:val="00291207"/>
    <w:rsid w:val="00292FE5"/>
    <w:rsid w:val="00293010"/>
    <w:rsid w:val="002A057A"/>
    <w:rsid w:val="002A34B5"/>
    <w:rsid w:val="002A35BE"/>
    <w:rsid w:val="002A43EB"/>
    <w:rsid w:val="002A6F37"/>
    <w:rsid w:val="002B1BA1"/>
    <w:rsid w:val="002B20F3"/>
    <w:rsid w:val="002C1B3E"/>
    <w:rsid w:val="002D4685"/>
    <w:rsid w:val="002D5ACB"/>
    <w:rsid w:val="002D79D8"/>
    <w:rsid w:val="002F6FFB"/>
    <w:rsid w:val="0030047A"/>
    <w:rsid w:val="00305A19"/>
    <w:rsid w:val="00313E19"/>
    <w:rsid w:val="00314F92"/>
    <w:rsid w:val="003232EF"/>
    <w:rsid w:val="003276E1"/>
    <w:rsid w:val="0033048E"/>
    <w:rsid w:val="0033160B"/>
    <w:rsid w:val="00331CE9"/>
    <w:rsid w:val="00331D62"/>
    <w:rsid w:val="003346BA"/>
    <w:rsid w:val="00337D67"/>
    <w:rsid w:val="00343555"/>
    <w:rsid w:val="00343E2B"/>
    <w:rsid w:val="00350A4C"/>
    <w:rsid w:val="00353DED"/>
    <w:rsid w:val="00364B26"/>
    <w:rsid w:val="00373489"/>
    <w:rsid w:val="00375649"/>
    <w:rsid w:val="00377B9D"/>
    <w:rsid w:val="003805B4"/>
    <w:rsid w:val="0038448D"/>
    <w:rsid w:val="00384A98"/>
    <w:rsid w:val="00385F28"/>
    <w:rsid w:val="003879EE"/>
    <w:rsid w:val="00396E40"/>
    <w:rsid w:val="003A2346"/>
    <w:rsid w:val="003B4BE7"/>
    <w:rsid w:val="003B5000"/>
    <w:rsid w:val="003C251B"/>
    <w:rsid w:val="003C2E48"/>
    <w:rsid w:val="003D5638"/>
    <w:rsid w:val="003D5BAF"/>
    <w:rsid w:val="003E12DD"/>
    <w:rsid w:val="003E4CE2"/>
    <w:rsid w:val="003F1B5B"/>
    <w:rsid w:val="003F1CDE"/>
    <w:rsid w:val="00403CA7"/>
    <w:rsid w:val="00405414"/>
    <w:rsid w:val="00407209"/>
    <w:rsid w:val="00415D54"/>
    <w:rsid w:val="004178D7"/>
    <w:rsid w:val="0042015A"/>
    <w:rsid w:val="00434C66"/>
    <w:rsid w:val="004350BE"/>
    <w:rsid w:val="00441AA4"/>
    <w:rsid w:val="00442B97"/>
    <w:rsid w:val="00444365"/>
    <w:rsid w:val="004508F2"/>
    <w:rsid w:val="004640F1"/>
    <w:rsid w:val="004652EA"/>
    <w:rsid w:val="0047061F"/>
    <w:rsid w:val="00477E0A"/>
    <w:rsid w:val="004924E7"/>
    <w:rsid w:val="004927A6"/>
    <w:rsid w:val="004968CF"/>
    <w:rsid w:val="004B0B5A"/>
    <w:rsid w:val="004B0C31"/>
    <w:rsid w:val="004B3364"/>
    <w:rsid w:val="004B6646"/>
    <w:rsid w:val="004C2DF6"/>
    <w:rsid w:val="004C2E67"/>
    <w:rsid w:val="004D54A5"/>
    <w:rsid w:val="004D54B2"/>
    <w:rsid w:val="004D5DE5"/>
    <w:rsid w:val="004E4D40"/>
    <w:rsid w:val="004F2B20"/>
    <w:rsid w:val="00505B49"/>
    <w:rsid w:val="00510EDD"/>
    <w:rsid w:val="00515AFE"/>
    <w:rsid w:val="00522709"/>
    <w:rsid w:val="00524743"/>
    <w:rsid w:val="005341C4"/>
    <w:rsid w:val="005357B8"/>
    <w:rsid w:val="005372B1"/>
    <w:rsid w:val="005410F0"/>
    <w:rsid w:val="00545DAA"/>
    <w:rsid w:val="00547D5C"/>
    <w:rsid w:val="00560023"/>
    <w:rsid w:val="005701D6"/>
    <w:rsid w:val="005708DF"/>
    <w:rsid w:val="0057379B"/>
    <w:rsid w:val="00577A6E"/>
    <w:rsid w:val="00581FD3"/>
    <w:rsid w:val="005A109F"/>
    <w:rsid w:val="005A3847"/>
    <w:rsid w:val="005A3A17"/>
    <w:rsid w:val="005A56F6"/>
    <w:rsid w:val="005A6A5B"/>
    <w:rsid w:val="005B203E"/>
    <w:rsid w:val="005C2B56"/>
    <w:rsid w:val="005C69F5"/>
    <w:rsid w:val="005D263C"/>
    <w:rsid w:val="005D30B9"/>
    <w:rsid w:val="005D6848"/>
    <w:rsid w:val="005E0504"/>
    <w:rsid w:val="005E0954"/>
    <w:rsid w:val="005E2873"/>
    <w:rsid w:val="005E2F8C"/>
    <w:rsid w:val="005F711A"/>
    <w:rsid w:val="00602F53"/>
    <w:rsid w:val="0060350C"/>
    <w:rsid w:val="00614913"/>
    <w:rsid w:val="006279F0"/>
    <w:rsid w:val="00646F1C"/>
    <w:rsid w:val="00652E2B"/>
    <w:rsid w:val="00660352"/>
    <w:rsid w:val="006624FB"/>
    <w:rsid w:val="00665E67"/>
    <w:rsid w:val="00666520"/>
    <w:rsid w:val="00690D86"/>
    <w:rsid w:val="00690D97"/>
    <w:rsid w:val="00697D7C"/>
    <w:rsid w:val="006A3A11"/>
    <w:rsid w:val="006B3D89"/>
    <w:rsid w:val="006C2F30"/>
    <w:rsid w:val="006D1CD8"/>
    <w:rsid w:val="006D6A17"/>
    <w:rsid w:val="006D6E67"/>
    <w:rsid w:val="006E0437"/>
    <w:rsid w:val="006E1EBA"/>
    <w:rsid w:val="006E43A2"/>
    <w:rsid w:val="006E6CF6"/>
    <w:rsid w:val="006E79FA"/>
    <w:rsid w:val="006F25E7"/>
    <w:rsid w:val="006F6EF7"/>
    <w:rsid w:val="00701E82"/>
    <w:rsid w:val="0071758F"/>
    <w:rsid w:val="00720471"/>
    <w:rsid w:val="0072056C"/>
    <w:rsid w:val="00721121"/>
    <w:rsid w:val="0072125D"/>
    <w:rsid w:val="007223CD"/>
    <w:rsid w:val="00723001"/>
    <w:rsid w:val="00734EE1"/>
    <w:rsid w:val="007360D2"/>
    <w:rsid w:val="007410C2"/>
    <w:rsid w:val="00753360"/>
    <w:rsid w:val="00760C74"/>
    <w:rsid w:val="00764335"/>
    <w:rsid w:val="00764E3C"/>
    <w:rsid w:val="007652EE"/>
    <w:rsid w:val="007675CC"/>
    <w:rsid w:val="007726B5"/>
    <w:rsid w:val="00772CA7"/>
    <w:rsid w:val="00775E7E"/>
    <w:rsid w:val="007816C2"/>
    <w:rsid w:val="007854BC"/>
    <w:rsid w:val="00787AB6"/>
    <w:rsid w:val="00791439"/>
    <w:rsid w:val="007A1080"/>
    <w:rsid w:val="007A23EC"/>
    <w:rsid w:val="007A2F3E"/>
    <w:rsid w:val="007C2075"/>
    <w:rsid w:val="007D5899"/>
    <w:rsid w:val="007E028B"/>
    <w:rsid w:val="007E5B2E"/>
    <w:rsid w:val="007F0EA4"/>
    <w:rsid w:val="007F2382"/>
    <w:rsid w:val="007F4FF7"/>
    <w:rsid w:val="00805687"/>
    <w:rsid w:val="0081523F"/>
    <w:rsid w:val="00820D20"/>
    <w:rsid w:val="0083262E"/>
    <w:rsid w:val="0083682A"/>
    <w:rsid w:val="00844F4F"/>
    <w:rsid w:val="0084543F"/>
    <w:rsid w:val="008457A4"/>
    <w:rsid w:val="00851BDA"/>
    <w:rsid w:val="008667BB"/>
    <w:rsid w:val="008700A6"/>
    <w:rsid w:val="00870658"/>
    <w:rsid w:val="008716B6"/>
    <w:rsid w:val="0087230A"/>
    <w:rsid w:val="008728CB"/>
    <w:rsid w:val="00872E11"/>
    <w:rsid w:val="00891A2F"/>
    <w:rsid w:val="00892E03"/>
    <w:rsid w:val="008946DE"/>
    <w:rsid w:val="008A2ABA"/>
    <w:rsid w:val="008A51E8"/>
    <w:rsid w:val="008B14C7"/>
    <w:rsid w:val="008B2E22"/>
    <w:rsid w:val="008B4B70"/>
    <w:rsid w:val="008B4B77"/>
    <w:rsid w:val="008C3C29"/>
    <w:rsid w:val="008C45A5"/>
    <w:rsid w:val="008E3914"/>
    <w:rsid w:val="008F3F49"/>
    <w:rsid w:val="00907985"/>
    <w:rsid w:val="00912589"/>
    <w:rsid w:val="009308CE"/>
    <w:rsid w:val="00932324"/>
    <w:rsid w:val="009366BD"/>
    <w:rsid w:val="00937F53"/>
    <w:rsid w:val="00944842"/>
    <w:rsid w:val="00946AE9"/>
    <w:rsid w:val="009516F6"/>
    <w:rsid w:val="009527C4"/>
    <w:rsid w:val="00956576"/>
    <w:rsid w:val="0096287C"/>
    <w:rsid w:val="00980615"/>
    <w:rsid w:val="00990556"/>
    <w:rsid w:val="0099408D"/>
    <w:rsid w:val="009945AE"/>
    <w:rsid w:val="009A29AA"/>
    <w:rsid w:val="009B06DE"/>
    <w:rsid w:val="009B2BD7"/>
    <w:rsid w:val="009B5E75"/>
    <w:rsid w:val="009B679F"/>
    <w:rsid w:val="009C0BEF"/>
    <w:rsid w:val="009C627D"/>
    <w:rsid w:val="009F22D0"/>
    <w:rsid w:val="00A02F7C"/>
    <w:rsid w:val="00A1322D"/>
    <w:rsid w:val="00A1631A"/>
    <w:rsid w:val="00A1727D"/>
    <w:rsid w:val="00A251A4"/>
    <w:rsid w:val="00A31CEF"/>
    <w:rsid w:val="00A327C3"/>
    <w:rsid w:val="00A34EA6"/>
    <w:rsid w:val="00A367DD"/>
    <w:rsid w:val="00A37094"/>
    <w:rsid w:val="00A41244"/>
    <w:rsid w:val="00A42EB4"/>
    <w:rsid w:val="00A51570"/>
    <w:rsid w:val="00A60123"/>
    <w:rsid w:val="00A631C5"/>
    <w:rsid w:val="00A67367"/>
    <w:rsid w:val="00A75541"/>
    <w:rsid w:val="00A759A2"/>
    <w:rsid w:val="00A9119E"/>
    <w:rsid w:val="00A9542F"/>
    <w:rsid w:val="00AA2594"/>
    <w:rsid w:val="00AA2D34"/>
    <w:rsid w:val="00AA7AFB"/>
    <w:rsid w:val="00AB0510"/>
    <w:rsid w:val="00AB7886"/>
    <w:rsid w:val="00AC424E"/>
    <w:rsid w:val="00AC5425"/>
    <w:rsid w:val="00AD0087"/>
    <w:rsid w:val="00AD215F"/>
    <w:rsid w:val="00AD504C"/>
    <w:rsid w:val="00AE173E"/>
    <w:rsid w:val="00AE1D3D"/>
    <w:rsid w:val="00AE7808"/>
    <w:rsid w:val="00B04E9F"/>
    <w:rsid w:val="00B05125"/>
    <w:rsid w:val="00B109A7"/>
    <w:rsid w:val="00B11199"/>
    <w:rsid w:val="00B11EC8"/>
    <w:rsid w:val="00B15C2D"/>
    <w:rsid w:val="00B240A7"/>
    <w:rsid w:val="00B3271D"/>
    <w:rsid w:val="00B338BF"/>
    <w:rsid w:val="00B367D5"/>
    <w:rsid w:val="00B4131A"/>
    <w:rsid w:val="00B53EC3"/>
    <w:rsid w:val="00B63C31"/>
    <w:rsid w:val="00B64519"/>
    <w:rsid w:val="00B6474D"/>
    <w:rsid w:val="00B702BA"/>
    <w:rsid w:val="00B73BD5"/>
    <w:rsid w:val="00B74D12"/>
    <w:rsid w:val="00B816BD"/>
    <w:rsid w:val="00B83537"/>
    <w:rsid w:val="00B85331"/>
    <w:rsid w:val="00B86636"/>
    <w:rsid w:val="00B90726"/>
    <w:rsid w:val="00BA4881"/>
    <w:rsid w:val="00BB0222"/>
    <w:rsid w:val="00BB35A3"/>
    <w:rsid w:val="00BB4522"/>
    <w:rsid w:val="00BC17B8"/>
    <w:rsid w:val="00BC2FAB"/>
    <w:rsid w:val="00BC405B"/>
    <w:rsid w:val="00BC4D17"/>
    <w:rsid w:val="00BC6C91"/>
    <w:rsid w:val="00BD024F"/>
    <w:rsid w:val="00BD1A32"/>
    <w:rsid w:val="00BD456B"/>
    <w:rsid w:val="00BD4A12"/>
    <w:rsid w:val="00BD581E"/>
    <w:rsid w:val="00BD7978"/>
    <w:rsid w:val="00BE0E1A"/>
    <w:rsid w:val="00BE13E5"/>
    <w:rsid w:val="00BF1F66"/>
    <w:rsid w:val="00BF3FBB"/>
    <w:rsid w:val="00BF5444"/>
    <w:rsid w:val="00C03241"/>
    <w:rsid w:val="00C038AA"/>
    <w:rsid w:val="00C06060"/>
    <w:rsid w:val="00C07D9A"/>
    <w:rsid w:val="00C07E77"/>
    <w:rsid w:val="00C10784"/>
    <w:rsid w:val="00C107EE"/>
    <w:rsid w:val="00C11F47"/>
    <w:rsid w:val="00C14908"/>
    <w:rsid w:val="00C16ACD"/>
    <w:rsid w:val="00C22461"/>
    <w:rsid w:val="00C22824"/>
    <w:rsid w:val="00C22C8B"/>
    <w:rsid w:val="00C26E39"/>
    <w:rsid w:val="00C31043"/>
    <w:rsid w:val="00C32C28"/>
    <w:rsid w:val="00C355F0"/>
    <w:rsid w:val="00C41116"/>
    <w:rsid w:val="00C41B8C"/>
    <w:rsid w:val="00C42AAB"/>
    <w:rsid w:val="00C51774"/>
    <w:rsid w:val="00C5201B"/>
    <w:rsid w:val="00C55227"/>
    <w:rsid w:val="00C627BC"/>
    <w:rsid w:val="00C6408D"/>
    <w:rsid w:val="00C643FB"/>
    <w:rsid w:val="00C65D7B"/>
    <w:rsid w:val="00C66F3A"/>
    <w:rsid w:val="00C811FE"/>
    <w:rsid w:val="00C861F4"/>
    <w:rsid w:val="00C9362F"/>
    <w:rsid w:val="00CA1A1F"/>
    <w:rsid w:val="00CA4CDB"/>
    <w:rsid w:val="00CB2816"/>
    <w:rsid w:val="00CB5343"/>
    <w:rsid w:val="00CC0224"/>
    <w:rsid w:val="00CC02C7"/>
    <w:rsid w:val="00CC038E"/>
    <w:rsid w:val="00CD0EE7"/>
    <w:rsid w:val="00CD5438"/>
    <w:rsid w:val="00CE02E9"/>
    <w:rsid w:val="00CE0CD9"/>
    <w:rsid w:val="00CE30F9"/>
    <w:rsid w:val="00CE53F4"/>
    <w:rsid w:val="00CF1969"/>
    <w:rsid w:val="00CF2C38"/>
    <w:rsid w:val="00D014AC"/>
    <w:rsid w:val="00D05FCB"/>
    <w:rsid w:val="00D0724A"/>
    <w:rsid w:val="00D163A4"/>
    <w:rsid w:val="00D221F8"/>
    <w:rsid w:val="00D23722"/>
    <w:rsid w:val="00D30BB2"/>
    <w:rsid w:val="00D31B24"/>
    <w:rsid w:val="00D32024"/>
    <w:rsid w:val="00D33267"/>
    <w:rsid w:val="00D50E6C"/>
    <w:rsid w:val="00D577A2"/>
    <w:rsid w:val="00D64A3D"/>
    <w:rsid w:val="00D76983"/>
    <w:rsid w:val="00D8772D"/>
    <w:rsid w:val="00DA2367"/>
    <w:rsid w:val="00DA6B5C"/>
    <w:rsid w:val="00DA6FE8"/>
    <w:rsid w:val="00DB2644"/>
    <w:rsid w:val="00DC2EB2"/>
    <w:rsid w:val="00DC3A4A"/>
    <w:rsid w:val="00DC5CFF"/>
    <w:rsid w:val="00DD7184"/>
    <w:rsid w:val="00DE1E22"/>
    <w:rsid w:val="00DF224E"/>
    <w:rsid w:val="00DF2ED4"/>
    <w:rsid w:val="00DF5073"/>
    <w:rsid w:val="00DF6B0A"/>
    <w:rsid w:val="00E02037"/>
    <w:rsid w:val="00E047E6"/>
    <w:rsid w:val="00E0632C"/>
    <w:rsid w:val="00E06C1E"/>
    <w:rsid w:val="00E07978"/>
    <w:rsid w:val="00E254FB"/>
    <w:rsid w:val="00E26D76"/>
    <w:rsid w:val="00E31657"/>
    <w:rsid w:val="00E32009"/>
    <w:rsid w:val="00E36234"/>
    <w:rsid w:val="00E40AF5"/>
    <w:rsid w:val="00E57092"/>
    <w:rsid w:val="00E57E7D"/>
    <w:rsid w:val="00E57F9A"/>
    <w:rsid w:val="00E646E4"/>
    <w:rsid w:val="00E6661B"/>
    <w:rsid w:val="00E707E6"/>
    <w:rsid w:val="00E77C9C"/>
    <w:rsid w:val="00E8506D"/>
    <w:rsid w:val="00E850D7"/>
    <w:rsid w:val="00E91896"/>
    <w:rsid w:val="00E92358"/>
    <w:rsid w:val="00EA5229"/>
    <w:rsid w:val="00EB6C01"/>
    <w:rsid w:val="00EC2D90"/>
    <w:rsid w:val="00EC3150"/>
    <w:rsid w:val="00EE0C32"/>
    <w:rsid w:val="00EE2EC3"/>
    <w:rsid w:val="00EF02EB"/>
    <w:rsid w:val="00EF4048"/>
    <w:rsid w:val="00EF59ED"/>
    <w:rsid w:val="00EF5BC4"/>
    <w:rsid w:val="00EF72C5"/>
    <w:rsid w:val="00EF7F6E"/>
    <w:rsid w:val="00F01806"/>
    <w:rsid w:val="00F01E59"/>
    <w:rsid w:val="00F07B9F"/>
    <w:rsid w:val="00F131CA"/>
    <w:rsid w:val="00F13F8A"/>
    <w:rsid w:val="00F23766"/>
    <w:rsid w:val="00F24FD0"/>
    <w:rsid w:val="00F274A9"/>
    <w:rsid w:val="00F32849"/>
    <w:rsid w:val="00F32C85"/>
    <w:rsid w:val="00F6187A"/>
    <w:rsid w:val="00F64E4F"/>
    <w:rsid w:val="00F64E64"/>
    <w:rsid w:val="00F7295F"/>
    <w:rsid w:val="00F73D8E"/>
    <w:rsid w:val="00F7676B"/>
    <w:rsid w:val="00F802AA"/>
    <w:rsid w:val="00F80D5F"/>
    <w:rsid w:val="00F82E41"/>
    <w:rsid w:val="00F862A8"/>
    <w:rsid w:val="00F9146E"/>
    <w:rsid w:val="00F91562"/>
    <w:rsid w:val="00FA1CDD"/>
    <w:rsid w:val="00FB0F8E"/>
    <w:rsid w:val="00FB16A3"/>
    <w:rsid w:val="00FB747F"/>
    <w:rsid w:val="00FC2601"/>
    <w:rsid w:val="00FD0669"/>
    <w:rsid w:val="00FD0B7A"/>
    <w:rsid w:val="00FE2DE0"/>
    <w:rsid w:val="00FF05A3"/>
    <w:rsid w:val="00FF32FE"/>
    <w:rsid w:val="2A9C513E"/>
    <w:rsid w:val="3C87D50B"/>
    <w:rsid w:val="61035E3E"/>
    <w:rsid w:val="6BB8B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D5784"/>
  <w15:docId w15:val="{8A5E9755-3DCE-4D49-9C09-DE3C0480A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1520"/>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BF544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
    <w:unhideWhenUsed/>
    <w:qFormat/>
    <w:rsid w:val="00E3165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41116"/>
    <w:pPr>
      <w:spacing w:after="200" w:line="276" w:lineRule="auto"/>
      <w:ind w:left="720"/>
      <w:contextualSpacing/>
    </w:pPr>
    <w:rPr>
      <w:rFonts w:ascii="Calibri" w:eastAsia="Calibri" w:hAnsi="Calibri"/>
      <w:sz w:val="22"/>
      <w:szCs w:val="22"/>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
    <w:basedOn w:val="Normal"/>
    <w:link w:val="FootnoteTextChar"/>
    <w:uiPriority w:val="99"/>
    <w:unhideWhenUsed/>
    <w:rsid w:val="00C41116"/>
    <w:pPr>
      <w:keepNext/>
      <w:keepLines/>
      <w:spacing w:after="120"/>
      <w:ind w:left="288" w:hanging="288"/>
      <w:jc w:val="both"/>
    </w:pPr>
    <w:rPr>
      <w:rFonts w:eastAsia="Calibri"/>
      <w:spacing w:val="-3"/>
      <w:sz w:val="20"/>
    </w:rPr>
  </w:style>
  <w:style w:type="character" w:customStyle="1" w:styleId="FootnoteTextChar">
    <w:name w:val="Footnote Text Char"/>
    <w:aliases w:val="fn Char1,single space Char1,footnote text Char1,foottextfra Char,footnote Char,F Char,Texto nota pie Car Car Char,texto de nota al pie Char,Nota a pie/Bibliog Char,Texto nota pie Car Car Car Car Car Car Car Car Char,f Char1"/>
    <w:basedOn w:val="DefaultParagraphFont"/>
    <w:link w:val="FootnoteText"/>
    <w:uiPriority w:val="99"/>
    <w:rsid w:val="00C41116"/>
    <w:rPr>
      <w:rFonts w:ascii="Times New Roman" w:eastAsia="Calibri" w:hAnsi="Times New Roman" w:cs="Times New Roman"/>
      <w:spacing w:val="-3"/>
      <w:sz w:val="20"/>
      <w:szCs w:val="24"/>
    </w:rPr>
  </w:style>
  <w:style w:type="character" w:styleId="FootnoteReference">
    <w:name w:val="footnote reference"/>
    <w:aliases w:val="referencia nota al pie,ftref,16 Point,Superscript 6 Point,FC,Ref,de nota al pie,(Ref. de nota al pie),Fußnotenzeichen DISS,Style 24,Appel note de bas de page"/>
    <w:uiPriority w:val="99"/>
    <w:unhideWhenUsed/>
    <w:rsid w:val="00C41116"/>
    <w:rPr>
      <w:vertAlign w:val="superscript"/>
    </w:rPr>
  </w:style>
  <w:style w:type="paragraph" w:styleId="Title">
    <w:name w:val="Title"/>
    <w:basedOn w:val="Normal"/>
    <w:link w:val="TitleChar"/>
    <w:qFormat/>
    <w:rsid w:val="00C41116"/>
    <w:pPr>
      <w:tabs>
        <w:tab w:val="left" w:pos="1440"/>
        <w:tab w:val="left" w:pos="3060"/>
      </w:tabs>
      <w:jc w:val="center"/>
      <w:outlineLvl w:val="0"/>
    </w:pPr>
    <w:rPr>
      <w:rFonts w:eastAsia="Times New Roman"/>
      <w:szCs w:val="20"/>
    </w:rPr>
  </w:style>
  <w:style w:type="character" w:customStyle="1" w:styleId="TitleChar">
    <w:name w:val="Title Char"/>
    <w:basedOn w:val="DefaultParagraphFont"/>
    <w:link w:val="Title"/>
    <w:rsid w:val="00C41116"/>
    <w:rPr>
      <w:rFonts w:ascii="Times New Roman" w:eastAsia="Times New Roman" w:hAnsi="Times New Roman" w:cs="Times New Roman"/>
      <w:sz w:val="24"/>
      <w:szCs w:val="20"/>
    </w:rPr>
  </w:style>
  <w:style w:type="paragraph" w:customStyle="1" w:styleId="Newpage">
    <w:name w:val="Newpage"/>
    <w:basedOn w:val="Normal"/>
    <w:rsid w:val="00C41116"/>
    <w:pPr>
      <w:tabs>
        <w:tab w:val="left" w:pos="1440"/>
        <w:tab w:val="left" w:pos="3060"/>
      </w:tabs>
      <w:jc w:val="center"/>
    </w:pPr>
    <w:rPr>
      <w:rFonts w:eastAsia="Times New Roman" w:cs="Arial"/>
      <w:b/>
      <w:smallCaps/>
      <w:szCs w:val="20"/>
    </w:rPr>
  </w:style>
  <w:style w:type="paragraph" w:styleId="BodyText">
    <w:name w:val="Body Text"/>
    <w:basedOn w:val="Normal"/>
    <w:link w:val="BodyTextChar"/>
    <w:rsid w:val="00C41116"/>
    <w:pPr>
      <w:tabs>
        <w:tab w:val="left" w:pos="3060"/>
      </w:tabs>
      <w:jc w:val="center"/>
    </w:pPr>
    <w:rPr>
      <w:rFonts w:eastAsia="Times New Roman"/>
      <w:szCs w:val="20"/>
    </w:rPr>
  </w:style>
  <w:style w:type="character" w:customStyle="1" w:styleId="BodyTextChar">
    <w:name w:val="Body Text Char"/>
    <w:basedOn w:val="DefaultParagraphFont"/>
    <w:link w:val="BodyText"/>
    <w:rsid w:val="00C41116"/>
    <w:rPr>
      <w:rFonts w:ascii="Times New Roman" w:eastAsia="Times New Roman" w:hAnsi="Times New Roman" w:cs="Times New Roman"/>
      <w:sz w:val="24"/>
      <w:szCs w:val="20"/>
    </w:rPr>
  </w:style>
  <w:style w:type="character" w:customStyle="1" w:styleId="ColorfulList-Accent1Char">
    <w:name w:val="Colorful List - Accent 1 Char"/>
    <w:link w:val="ColorfulList-Accent11"/>
    <w:uiPriority w:val="34"/>
    <w:rsid w:val="00C41116"/>
    <w:rPr>
      <w:rFonts w:ascii="Calibri" w:eastAsia="Calibri" w:hAnsi="Calibri" w:cs="Times New Roman"/>
    </w:rPr>
  </w:style>
  <w:style w:type="character" w:styleId="Hyperlink">
    <w:name w:val="Hyperlink"/>
    <w:uiPriority w:val="99"/>
    <w:rsid w:val="00C41116"/>
    <w:rPr>
      <w:color w:val="0000FF"/>
      <w:u w:val="single"/>
    </w:rPr>
  </w:style>
  <w:style w:type="paragraph" w:styleId="ListParagraph">
    <w:name w:val="List Paragraph"/>
    <w:basedOn w:val="Normal"/>
    <w:link w:val="ListParagraphChar"/>
    <w:uiPriority w:val="34"/>
    <w:qFormat/>
    <w:rsid w:val="00C41116"/>
    <w:pPr>
      <w:spacing w:after="200" w:line="276" w:lineRule="auto"/>
      <w:ind w:left="708"/>
    </w:pPr>
    <w:rPr>
      <w:rFonts w:ascii="Calibri" w:eastAsia="Calibri" w:hAnsi="Calibri"/>
      <w:sz w:val="22"/>
      <w:szCs w:val="22"/>
    </w:rPr>
  </w:style>
  <w:style w:type="paragraph" w:customStyle="1" w:styleId="Paragraph">
    <w:name w:val="Paragraph"/>
    <w:aliases w:val="paragraph,p,PARAGRAPH,PG,pa,at"/>
    <w:basedOn w:val="BodyTextIndent"/>
    <w:link w:val="ParagraphChar"/>
    <w:qFormat/>
    <w:rsid w:val="007A2F3E"/>
    <w:pPr>
      <w:tabs>
        <w:tab w:val="num" w:pos="1440"/>
      </w:tabs>
      <w:spacing w:before="120" w:line="240" w:lineRule="auto"/>
      <w:ind w:left="1440" w:hanging="720"/>
      <w:jc w:val="both"/>
      <w:outlineLvl w:val="1"/>
    </w:pPr>
    <w:rPr>
      <w:rFonts w:ascii="Times New Roman" w:eastAsia="Times New Roman" w:hAnsi="Times New Roman"/>
      <w:sz w:val="24"/>
      <w:szCs w:val="20"/>
    </w:rPr>
  </w:style>
  <w:style w:type="character" w:customStyle="1" w:styleId="ParagraphChar">
    <w:name w:val="Paragraph Char"/>
    <w:basedOn w:val="DefaultParagraphFont"/>
    <w:link w:val="Paragraph"/>
    <w:locked/>
    <w:rsid w:val="007A2F3E"/>
    <w:rPr>
      <w:rFonts w:ascii="Times New Roman" w:eastAsia="Times New Roman" w:hAnsi="Times New Roman" w:cs="Times New Roman"/>
      <w:sz w:val="24"/>
      <w:szCs w:val="20"/>
    </w:rPr>
  </w:style>
  <w:style w:type="paragraph" w:customStyle="1" w:styleId="FirstHeading">
    <w:name w:val="FirstHeading"/>
    <w:basedOn w:val="Normal"/>
    <w:link w:val="FirstHeadingChar"/>
    <w:uiPriority w:val="99"/>
    <w:rsid w:val="007A2F3E"/>
    <w:pPr>
      <w:keepNext/>
      <w:numPr>
        <w:numId w:val="1"/>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7A2F3E"/>
    <w:pPr>
      <w:keepNext/>
      <w:numPr>
        <w:ilvl w:val="1"/>
        <w:numId w:val="1"/>
      </w:numPr>
      <w:spacing w:before="120" w:after="120"/>
    </w:pPr>
    <w:rPr>
      <w:rFonts w:eastAsia="Batang"/>
      <w:b/>
      <w:szCs w:val="20"/>
      <w:lang w:val="es-ES_tradnl"/>
    </w:rPr>
  </w:style>
  <w:style w:type="paragraph" w:customStyle="1" w:styleId="SubHeading1">
    <w:name w:val="SubHeading1"/>
    <w:basedOn w:val="SecHeading"/>
    <w:uiPriority w:val="99"/>
    <w:rsid w:val="007A2F3E"/>
    <w:pPr>
      <w:numPr>
        <w:ilvl w:val="2"/>
      </w:numPr>
    </w:pPr>
  </w:style>
  <w:style w:type="paragraph" w:customStyle="1" w:styleId="Subheading2">
    <w:name w:val="Subheading2"/>
    <w:basedOn w:val="SecHeading"/>
    <w:uiPriority w:val="99"/>
    <w:rsid w:val="007A2F3E"/>
    <w:pPr>
      <w:numPr>
        <w:ilvl w:val="3"/>
      </w:numPr>
    </w:pPr>
  </w:style>
  <w:style w:type="character" w:customStyle="1" w:styleId="FirstHeadingChar">
    <w:name w:val="FirstHeading Char"/>
    <w:link w:val="FirstHeading"/>
    <w:uiPriority w:val="99"/>
    <w:rsid w:val="007A2F3E"/>
    <w:rPr>
      <w:rFonts w:ascii="Times New Roman" w:eastAsia="Batang" w:hAnsi="Times New Roman" w:cs="Times New Roman"/>
      <w:b/>
      <w:sz w:val="24"/>
      <w:szCs w:val="20"/>
      <w:lang w:val="es-ES"/>
    </w:rPr>
  </w:style>
  <w:style w:type="paragraph" w:styleId="BodyTextIndent">
    <w:name w:val="Body Text Indent"/>
    <w:basedOn w:val="Normal"/>
    <w:link w:val="BodyTextIndentChar"/>
    <w:uiPriority w:val="99"/>
    <w:unhideWhenUsed/>
    <w:rsid w:val="007A2F3E"/>
    <w:pPr>
      <w:spacing w:after="120" w:line="276" w:lineRule="auto"/>
      <w:ind w:left="360"/>
    </w:pPr>
    <w:rPr>
      <w:rFonts w:ascii="Calibri" w:eastAsia="Calibri" w:hAnsi="Calibri"/>
      <w:sz w:val="22"/>
      <w:szCs w:val="22"/>
    </w:rPr>
  </w:style>
  <w:style w:type="character" w:customStyle="1" w:styleId="BodyTextIndentChar">
    <w:name w:val="Body Text Indent Char"/>
    <w:basedOn w:val="DefaultParagraphFont"/>
    <w:link w:val="BodyTextIndent"/>
    <w:uiPriority w:val="99"/>
    <w:rsid w:val="007A2F3E"/>
    <w:rPr>
      <w:rFonts w:ascii="Calibri" w:eastAsia="Calibri" w:hAnsi="Calibri" w:cs="Times New Roman"/>
    </w:rPr>
  </w:style>
  <w:style w:type="table" w:styleId="TableGrid">
    <w:name w:val="Table Grid"/>
    <w:basedOn w:val="TableNormal"/>
    <w:uiPriority w:val="59"/>
    <w:rsid w:val="007A2F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F544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F5444"/>
    <w:pPr>
      <w:outlineLvl w:val="9"/>
    </w:pPr>
    <w:rPr>
      <w:lang w:eastAsia="ja-JP"/>
    </w:rPr>
  </w:style>
  <w:style w:type="paragraph" w:styleId="TOC1">
    <w:name w:val="toc 1"/>
    <w:basedOn w:val="Normal"/>
    <w:next w:val="Normal"/>
    <w:autoRedefine/>
    <w:uiPriority w:val="39"/>
    <w:unhideWhenUsed/>
    <w:rsid w:val="00B109A7"/>
    <w:pPr>
      <w:tabs>
        <w:tab w:val="left" w:pos="360"/>
        <w:tab w:val="right" w:leader="dot" w:pos="9163"/>
      </w:tabs>
      <w:spacing w:after="100" w:line="276" w:lineRule="auto"/>
    </w:pPr>
    <w:rPr>
      <w:rFonts w:ascii="Calibri" w:eastAsia="Calibri" w:hAnsi="Calibri"/>
      <w:sz w:val="22"/>
      <w:szCs w:val="22"/>
    </w:rPr>
  </w:style>
  <w:style w:type="paragraph" w:styleId="TOC2">
    <w:name w:val="toc 2"/>
    <w:basedOn w:val="Normal"/>
    <w:next w:val="Normal"/>
    <w:autoRedefine/>
    <w:uiPriority w:val="39"/>
    <w:unhideWhenUsed/>
    <w:rsid w:val="00BF5444"/>
    <w:pPr>
      <w:spacing w:after="100" w:line="276" w:lineRule="auto"/>
      <w:ind w:left="220"/>
    </w:pPr>
    <w:rPr>
      <w:rFonts w:ascii="Calibri" w:eastAsia="Calibri" w:hAnsi="Calibri"/>
      <w:sz w:val="22"/>
      <w:szCs w:val="22"/>
    </w:rPr>
  </w:style>
  <w:style w:type="paragraph" w:styleId="BalloonText">
    <w:name w:val="Balloon Text"/>
    <w:basedOn w:val="Normal"/>
    <w:link w:val="BalloonTextChar"/>
    <w:uiPriority w:val="99"/>
    <w:semiHidden/>
    <w:unhideWhenUsed/>
    <w:rsid w:val="00BF5444"/>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F5444"/>
    <w:rPr>
      <w:rFonts w:ascii="Tahoma" w:eastAsia="Calibri" w:hAnsi="Tahoma" w:cs="Tahoma"/>
      <w:sz w:val="16"/>
      <w:szCs w:val="16"/>
    </w:rPr>
  </w:style>
  <w:style w:type="paragraph" w:styleId="Header">
    <w:name w:val="header"/>
    <w:basedOn w:val="Normal"/>
    <w:link w:val="HeaderChar"/>
    <w:uiPriority w:val="99"/>
    <w:unhideWhenUsed/>
    <w:rsid w:val="00BF5444"/>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BF5444"/>
    <w:rPr>
      <w:rFonts w:ascii="Calibri" w:eastAsia="Calibri" w:hAnsi="Calibri" w:cs="Times New Roman"/>
    </w:rPr>
  </w:style>
  <w:style w:type="paragraph" w:styleId="Footer">
    <w:name w:val="footer"/>
    <w:basedOn w:val="Normal"/>
    <w:link w:val="FooterChar"/>
    <w:uiPriority w:val="99"/>
    <w:unhideWhenUsed/>
    <w:rsid w:val="00BF5444"/>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BF5444"/>
    <w:rPr>
      <w:rFonts w:ascii="Calibri" w:eastAsia="Calibri" w:hAnsi="Calibri" w:cs="Times New Roman"/>
    </w:rPr>
  </w:style>
  <w:style w:type="character" w:styleId="CommentReference">
    <w:name w:val="annotation reference"/>
    <w:basedOn w:val="DefaultParagraphFont"/>
    <w:uiPriority w:val="99"/>
    <w:semiHidden/>
    <w:rsid w:val="00DA6FE8"/>
    <w:rPr>
      <w:sz w:val="16"/>
      <w:szCs w:val="16"/>
    </w:rPr>
  </w:style>
  <w:style w:type="paragraph" w:styleId="CommentText">
    <w:name w:val="annotation text"/>
    <w:basedOn w:val="Normal"/>
    <w:link w:val="CommentTextChar"/>
    <w:uiPriority w:val="99"/>
    <w:rsid w:val="00DA6FE8"/>
    <w:rPr>
      <w:rFonts w:eastAsia="Times New Roman"/>
      <w:sz w:val="20"/>
      <w:szCs w:val="20"/>
    </w:rPr>
  </w:style>
  <w:style w:type="character" w:customStyle="1" w:styleId="CommentTextChar">
    <w:name w:val="Comment Text Char"/>
    <w:basedOn w:val="DefaultParagraphFont"/>
    <w:link w:val="CommentText"/>
    <w:uiPriority w:val="99"/>
    <w:rsid w:val="00DA6FE8"/>
    <w:rPr>
      <w:rFonts w:ascii="Times New Roman" w:eastAsia="Times New Roman" w:hAnsi="Times New Roman" w:cs="Times New Roman"/>
      <w:sz w:val="20"/>
      <w:szCs w:val="20"/>
    </w:rPr>
  </w:style>
  <w:style w:type="paragraph" w:customStyle="1" w:styleId="Chapter">
    <w:name w:val="Chapter"/>
    <w:basedOn w:val="Normal"/>
    <w:next w:val="Normal"/>
    <w:rsid w:val="009A29AA"/>
    <w:pPr>
      <w:keepNext/>
      <w:tabs>
        <w:tab w:val="num" w:pos="648"/>
        <w:tab w:val="left" w:pos="1440"/>
      </w:tabs>
      <w:spacing w:before="240" w:after="240"/>
      <w:ind w:firstLine="288"/>
      <w:jc w:val="center"/>
    </w:pPr>
    <w:rPr>
      <w:rFonts w:eastAsia="Times New Roman"/>
      <w:b/>
      <w:smallCaps/>
      <w:szCs w:val="20"/>
      <w:lang w:val="es-ES"/>
    </w:rPr>
  </w:style>
  <w:style w:type="paragraph" w:customStyle="1" w:styleId="subpar">
    <w:name w:val="subpar"/>
    <w:basedOn w:val="BodyTextIndent3"/>
    <w:rsid w:val="009A29AA"/>
    <w:pPr>
      <w:tabs>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9A29AA"/>
    <w:pPr>
      <w:tabs>
        <w:tab w:val="clear" w:pos="1152"/>
        <w:tab w:val="left" w:pos="0"/>
        <w:tab w:val="num" w:pos="1296"/>
      </w:tabs>
      <w:ind w:left="1296"/>
    </w:pPr>
  </w:style>
  <w:style w:type="character" w:customStyle="1" w:styleId="ParagraphCar">
    <w:name w:val="Paragraph Car"/>
    <w:rsid w:val="009A29AA"/>
    <w:rPr>
      <w:rFonts w:ascii="Times New Roman" w:eastAsia="Times New Roman" w:hAnsi="Times New Roman" w:cs="Times New Roman"/>
      <w:sz w:val="24"/>
      <w:szCs w:val="20"/>
      <w:lang w:val="es-ES"/>
    </w:rPr>
  </w:style>
  <w:style w:type="paragraph" w:styleId="BodyTextIndent3">
    <w:name w:val="Body Text Indent 3"/>
    <w:basedOn w:val="Normal"/>
    <w:link w:val="BodyTextIndent3Char"/>
    <w:uiPriority w:val="99"/>
    <w:semiHidden/>
    <w:unhideWhenUsed/>
    <w:rsid w:val="009A29AA"/>
    <w:pPr>
      <w:spacing w:after="120" w:line="276" w:lineRule="auto"/>
      <w:ind w:left="360"/>
    </w:pPr>
    <w:rPr>
      <w:rFonts w:ascii="Calibri" w:eastAsia="Calibri" w:hAnsi="Calibri"/>
      <w:sz w:val="16"/>
      <w:szCs w:val="16"/>
    </w:rPr>
  </w:style>
  <w:style w:type="character" w:customStyle="1" w:styleId="BodyTextIndent3Char">
    <w:name w:val="Body Text Indent 3 Char"/>
    <w:basedOn w:val="DefaultParagraphFont"/>
    <w:link w:val="BodyTextIndent3"/>
    <w:uiPriority w:val="99"/>
    <w:semiHidden/>
    <w:rsid w:val="009A29AA"/>
    <w:rPr>
      <w:rFonts w:ascii="Calibri" w:eastAsia="Calibri" w:hAnsi="Calibri" w:cs="Times New Roman"/>
      <w:sz w:val="16"/>
      <w:szCs w:val="16"/>
    </w:rPr>
  </w:style>
  <w:style w:type="paragraph" w:styleId="Caption">
    <w:name w:val="caption"/>
    <w:basedOn w:val="Normal"/>
    <w:next w:val="Normal"/>
    <w:uiPriority w:val="35"/>
    <w:unhideWhenUsed/>
    <w:qFormat/>
    <w:rsid w:val="00DC3A4A"/>
    <w:pPr>
      <w:spacing w:after="200"/>
    </w:pPr>
    <w:rPr>
      <w:rFonts w:ascii="Calibri" w:eastAsia="Calibri" w:hAnsi="Calibri"/>
      <w:i/>
      <w:iCs/>
      <w:color w:val="1F497D" w:themeColor="text2"/>
      <w:sz w:val="18"/>
      <w:szCs w:val="18"/>
    </w:rPr>
  </w:style>
  <w:style w:type="character" w:customStyle="1" w:styleId="ListParagraphChar">
    <w:name w:val="List Paragraph Char"/>
    <w:link w:val="ListParagraph"/>
    <w:uiPriority w:val="34"/>
    <w:locked/>
    <w:rsid w:val="00937F53"/>
    <w:rPr>
      <w:rFonts w:ascii="Calibri" w:eastAsia="Calibri" w:hAnsi="Calibri" w:cs="Times New Roman"/>
    </w:rPr>
  </w:style>
  <w:style w:type="paragraph" w:styleId="NoSpacing">
    <w:name w:val="No Spacing"/>
    <w:link w:val="NoSpacingChar"/>
    <w:uiPriority w:val="1"/>
    <w:qFormat/>
    <w:rsid w:val="00DA2367"/>
    <w:pPr>
      <w:spacing w:after="0" w:line="240" w:lineRule="auto"/>
    </w:p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basedOn w:val="DefaultParagraphFont"/>
    <w:locked/>
    <w:rsid w:val="00DA2367"/>
    <w:rPr>
      <w:rFonts w:ascii="Times New Roman" w:eastAsia="Times New Roman" w:hAnsi="Times New Roman" w:cs="Times New Roman"/>
      <w:sz w:val="20"/>
      <w:szCs w:val="20"/>
    </w:rPr>
  </w:style>
  <w:style w:type="character" w:customStyle="1" w:styleId="NoSpacingChar">
    <w:name w:val="No Spacing Char"/>
    <w:link w:val="NoSpacing"/>
    <w:uiPriority w:val="1"/>
    <w:rsid w:val="00DA2367"/>
  </w:style>
  <w:style w:type="paragraph" w:styleId="CommentSubject">
    <w:name w:val="annotation subject"/>
    <w:basedOn w:val="CommentText"/>
    <w:next w:val="CommentText"/>
    <w:link w:val="CommentSubjectChar"/>
    <w:uiPriority w:val="99"/>
    <w:semiHidden/>
    <w:unhideWhenUsed/>
    <w:rsid w:val="003C2E48"/>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3C2E48"/>
    <w:rPr>
      <w:rFonts w:ascii="Calibri" w:eastAsia="Calibri" w:hAnsi="Calibri" w:cs="Times New Roman"/>
      <w:b/>
      <w:bCs/>
      <w:sz w:val="20"/>
      <w:szCs w:val="20"/>
    </w:rPr>
  </w:style>
  <w:style w:type="paragraph" w:customStyle="1" w:styleId="Default">
    <w:name w:val="Default"/>
    <w:rsid w:val="002D5ACB"/>
    <w:pPr>
      <w:widowControl w:val="0"/>
      <w:autoSpaceDE w:val="0"/>
      <w:autoSpaceDN w:val="0"/>
      <w:adjustRightInd w:val="0"/>
      <w:spacing w:after="0" w:line="240" w:lineRule="auto"/>
    </w:pPr>
    <w:rPr>
      <w:rFonts w:ascii="Arial" w:hAnsi="Arial" w:cs="Arial"/>
      <w:color w:val="000000"/>
      <w:sz w:val="24"/>
      <w:szCs w:val="24"/>
    </w:rPr>
  </w:style>
  <w:style w:type="paragraph" w:customStyle="1" w:styleId="p1">
    <w:name w:val="p1"/>
    <w:basedOn w:val="Normal"/>
    <w:rsid w:val="004D5DE5"/>
    <w:rPr>
      <w:rFonts w:ascii="Helvetica" w:eastAsia="Times New Roman" w:hAnsi="Helvetica"/>
      <w:sz w:val="14"/>
      <w:szCs w:val="14"/>
    </w:rPr>
  </w:style>
  <w:style w:type="paragraph" w:styleId="Revision">
    <w:name w:val="Revision"/>
    <w:hidden/>
    <w:uiPriority w:val="99"/>
    <w:semiHidden/>
    <w:rsid w:val="00F13F8A"/>
    <w:pPr>
      <w:spacing w:after="0" w:line="240" w:lineRule="auto"/>
    </w:pPr>
    <w:rPr>
      <w:rFonts w:ascii="Times New Roman" w:hAnsi="Times New Roman" w:cs="Times New Roman"/>
      <w:sz w:val="24"/>
      <w:szCs w:val="24"/>
    </w:rPr>
  </w:style>
  <w:style w:type="character" w:customStyle="1" w:styleId="s1">
    <w:name w:val="s1"/>
    <w:basedOn w:val="DefaultParagraphFont"/>
    <w:rsid w:val="008A51E8"/>
    <w:rPr>
      <w:rFonts w:ascii="Verdana" w:hAnsi="Verdana" w:hint="default"/>
      <w:sz w:val="27"/>
      <w:szCs w:val="27"/>
    </w:rPr>
  </w:style>
  <w:style w:type="paragraph" w:customStyle="1" w:styleId="p2">
    <w:name w:val="p2"/>
    <w:basedOn w:val="Normal"/>
    <w:rsid w:val="00221467"/>
    <w:rPr>
      <w:rFonts w:ascii="Helvetica" w:hAnsi="Helvetica"/>
      <w:sz w:val="15"/>
      <w:szCs w:val="15"/>
    </w:rPr>
  </w:style>
  <w:style w:type="paragraph" w:customStyle="1" w:styleId="p3">
    <w:name w:val="p3"/>
    <w:basedOn w:val="Normal"/>
    <w:rsid w:val="00221467"/>
    <w:rPr>
      <w:rFonts w:ascii="Helvetica" w:hAnsi="Helvetica"/>
      <w:sz w:val="13"/>
      <w:szCs w:val="13"/>
    </w:rPr>
  </w:style>
  <w:style w:type="paragraph" w:customStyle="1" w:styleId="p4">
    <w:name w:val="p4"/>
    <w:basedOn w:val="Normal"/>
    <w:rsid w:val="00221467"/>
    <w:rPr>
      <w:rFonts w:ascii="Helvetica" w:hAnsi="Helvetica"/>
      <w:color w:val="FFFFFF"/>
      <w:sz w:val="17"/>
      <w:szCs w:val="17"/>
    </w:rPr>
  </w:style>
  <w:style w:type="paragraph" w:customStyle="1" w:styleId="p5">
    <w:name w:val="p5"/>
    <w:basedOn w:val="Normal"/>
    <w:rsid w:val="00221467"/>
    <w:rPr>
      <w:rFonts w:ascii="Helvetica" w:hAnsi="Helvetica"/>
      <w:sz w:val="14"/>
      <w:szCs w:val="14"/>
    </w:rPr>
  </w:style>
  <w:style w:type="paragraph" w:customStyle="1" w:styleId="p6">
    <w:name w:val="p6"/>
    <w:basedOn w:val="Normal"/>
    <w:rsid w:val="00221467"/>
    <w:rPr>
      <w:rFonts w:ascii="Helvetica" w:hAnsi="Helvetica"/>
      <w:sz w:val="12"/>
      <w:szCs w:val="12"/>
    </w:rPr>
  </w:style>
  <w:style w:type="character" w:customStyle="1" w:styleId="Heading6Char">
    <w:name w:val="Heading 6 Char"/>
    <w:basedOn w:val="DefaultParagraphFont"/>
    <w:link w:val="Heading6"/>
    <w:rsid w:val="00E31657"/>
    <w:rPr>
      <w:rFonts w:asciiTheme="majorHAnsi" w:eastAsiaTheme="majorEastAsia" w:hAnsiTheme="majorHAnsi" w:cstheme="majorBidi"/>
      <w:i/>
      <w:iCs/>
      <w:color w:val="243F60" w:themeColor="accent1" w:themeShade="7F"/>
      <w:sz w:val="24"/>
      <w:szCs w:val="24"/>
    </w:rPr>
  </w:style>
  <w:style w:type="character" w:styleId="PlaceholderText">
    <w:name w:val="Placeholder Text"/>
    <w:basedOn w:val="DefaultParagraphFont"/>
    <w:uiPriority w:val="99"/>
    <w:semiHidden/>
    <w:rsid w:val="004652EA"/>
    <w:rPr>
      <w:color w:val="808080"/>
    </w:rPr>
  </w:style>
  <w:style w:type="character" w:styleId="FollowedHyperlink">
    <w:name w:val="FollowedHyperlink"/>
    <w:basedOn w:val="DefaultParagraphFont"/>
    <w:uiPriority w:val="99"/>
    <w:semiHidden/>
    <w:unhideWhenUsed/>
    <w:rsid w:val="002D4685"/>
    <w:rPr>
      <w:color w:val="800080" w:themeColor="followedHyperlink"/>
      <w:u w:val="single"/>
    </w:rPr>
  </w:style>
  <w:style w:type="character" w:customStyle="1" w:styleId="hps">
    <w:name w:val="hps"/>
    <w:basedOn w:val="DefaultParagraphFont"/>
    <w:rsid w:val="00BC4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76846">
      <w:bodyDiv w:val="1"/>
      <w:marLeft w:val="0"/>
      <w:marRight w:val="0"/>
      <w:marTop w:val="0"/>
      <w:marBottom w:val="0"/>
      <w:divBdr>
        <w:top w:val="none" w:sz="0" w:space="0" w:color="auto"/>
        <w:left w:val="none" w:sz="0" w:space="0" w:color="auto"/>
        <w:bottom w:val="none" w:sz="0" w:space="0" w:color="auto"/>
        <w:right w:val="none" w:sz="0" w:space="0" w:color="auto"/>
      </w:divBdr>
    </w:div>
    <w:div w:id="214389333">
      <w:bodyDiv w:val="1"/>
      <w:marLeft w:val="0"/>
      <w:marRight w:val="0"/>
      <w:marTop w:val="0"/>
      <w:marBottom w:val="0"/>
      <w:divBdr>
        <w:top w:val="none" w:sz="0" w:space="0" w:color="auto"/>
        <w:left w:val="none" w:sz="0" w:space="0" w:color="auto"/>
        <w:bottom w:val="none" w:sz="0" w:space="0" w:color="auto"/>
        <w:right w:val="none" w:sz="0" w:space="0" w:color="auto"/>
      </w:divBdr>
    </w:div>
    <w:div w:id="263922684">
      <w:bodyDiv w:val="1"/>
      <w:marLeft w:val="0"/>
      <w:marRight w:val="0"/>
      <w:marTop w:val="0"/>
      <w:marBottom w:val="0"/>
      <w:divBdr>
        <w:top w:val="none" w:sz="0" w:space="0" w:color="auto"/>
        <w:left w:val="none" w:sz="0" w:space="0" w:color="auto"/>
        <w:bottom w:val="none" w:sz="0" w:space="0" w:color="auto"/>
        <w:right w:val="none" w:sz="0" w:space="0" w:color="auto"/>
      </w:divBdr>
    </w:div>
    <w:div w:id="283467252">
      <w:bodyDiv w:val="1"/>
      <w:marLeft w:val="0"/>
      <w:marRight w:val="0"/>
      <w:marTop w:val="0"/>
      <w:marBottom w:val="0"/>
      <w:divBdr>
        <w:top w:val="none" w:sz="0" w:space="0" w:color="auto"/>
        <w:left w:val="none" w:sz="0" w:space="0" w:color="auto"/>
        <w:bottom w:val="none" w:sz="0" w:space="0" w:color="auto"/>
        <w:right w:val="none" w:sz="0" w:space="0" w:color="auto"/>
      </w:divBdr>
    </w:div>
    <w:div w:id="329062451">
      <w:bodyDiv w:val="1"/>
      <w:marLeft w:val="0"/>
      <w:marRight w:val="0"/>
      <w:marTop w:val="0"/>
      <w:marBottom w:val="0"/>
      <w:divBdr>
        <w:top w:val="none" w:sz="0" w:space="0" w:color="auto"/>
        <w:left w:val="none" w:sz="0" w:space="0" w:color="auto"/>
        <w:bottom w:val="none" w:sz="0" w:space="0" w:color="auto"/>
        <w:right w:val="none" w:sz="0" w:space="0" w:color="auto"/>
      </w:divBdr>
    </w:div>
    <w:div w:id="533689559">
      <w:bodyDiv w:val="1"/>
      <w:marLeft w:val="0"/>
      <w:marRight w:val="0"/>
      <w:marTop w:val="0"/>
      <w:marBottom w:val="0"/>
      <w:divBdr>
        <w:top w:val="none" w:sz="0" w:space="0" w:color="auto"/>
        <w:left w:val="none" w:sz="0" w:space="0" w:color="auto"/>
        <w:bottom w:val="none" w:sz="0" w:space="0" w:color="auto"/>
        <w:right w:val="none" w:sz="0" w:space="0" w:color="auto"/>
      </w:divBdr>
    </w:div>
    <w:div w:id="547835498">
      <w:bodyDiv w:val="1"/>
      <w:marLeft w:val="0"/>
      <w:marRight w:val="0"/>
      <w:marTop w:val="0"/>
      <w:marBottom w:val="0"/>
      <w:divBdr>
        <w:top w:val="none" w:sz="0" w:space="0" w:color="auto"/>
        <w:left w:val="none" w:sz="0" w:space="0" w:color="auto"/>
        <w:bottom w:val="none" w:sz="0" w:space="0" w:color="auto"/>
        <w:right w:val="none" w:sz="0" w:space="0" w:color="auto"/>
      </w:divBdr>
    </w:div>
    <w:div w:id="712848353">
      <w:bodyDiv w:val="1"/>
      <w:marLeft w:val="0"/>
      <w:marRight w:val="0"/>
      <w:marTop w:val="0"/>
      <w:marBottom w:val="0"/>
      <w:divBdr>
        <w:top w:val="none" w:sz="0" w:space="0" w:color="auto"/>
        <w:left w:val="none" w:sz="0" w:space="0" w:color="auto"/>
        <w:bottom w:val="none" w:sz="0" w:space="0" w:color="auto"/>
        <w:right w:val="none" w:sz="0" w:space="0" w:color="auto"/>
      </w:divBdr>
    </w:div>
    <w:div w:id="723791324">
      <w:bodyDiv w:val="1"/>
      <w:marLeft w:val="0"/>
      <w:marRight w:val="0"/>
      <w:marTop w:val="0"/>
      <w:marBottom w:val="0"/>
      <w:divBdr>
        <w:top w:val="none" w:sz="0" w:space="0" w:color="auto"/>
        <w:left w:val="none" w:sz="0" w:space="0" w:color="auto"/>
        <w:bottom w:val="none" w:sz="0" w:space="0" w:color="auto"/>
        <w:right w:val="none" w:sz="0" w:space="0" w:color="auto"/>
      </w:divBdr>
    </w:div>
    <w:div w:id="934093882">
      <w:bodyDiv w:val="1"/>
      <w:marLeft w:val="0"/>
      <w:marRight w:val="0"/>
      <w:marTop w:val="0"/>
      <w:marBottom w:val="0"/>
      <w:divBdr>
        <w:top w:val="none" w:sz="0" w:space="0" w:color="auto"/>
        <w:left w:val="none" w:sz="0" w:space="0" w:color="auto"/>
        <w:bottom w:val="none" w:sz="0" w:space="0" w:color="auto"/>
        <w:right w:val="none" w:sz="0" w:space="0" w:color="auto"/>
      </w:divBdr>
    </w:div>
    <w:div w:id="1403018104">
      <w:bodyDiv w:val="1"/>
      <w:marLeft w:val="0"/>
      <w:marRight w:val="0"/>
      <w:marTop w:val="0"/>
      <w:marBottom w:val="0"/>
      <w:divBdr>
        <w:top w:val="none" w:sz="0" w:space="0" w:color="auto"/>
        <w:left w:val="none" w:sz="0" w:space="0" w:color="auto"/>
        <w:bottom w:val="none" w:sz="0" w:space="0" w:color="auto"/>
        <w:right w:val="none" w:sz="0" w:space="0" w:color="auto"/>
      </w:divBdr>
    </w:div>
    <w:div w:id="1602179285">
      <w:bodyDiv w:val="1"/>
      <w:marLeft w:val="0"/>
      <w:marRight w:val="0"/>
      <w:marTop w:val="0"/>
      <w:marBottom w:val="0"/>
      <w:divBdr>
        <w:top w:val="none" w:sz="0" w:space="0" w:color="auto"/>
        <w:left w:val="none" w:sz="0" w:space="0" w:color="auto"/>
        <w:bottom w:val="none" w:sz="0" w:space="0" w:color="auto"/>
        <w:right w:val="none" w:sz="0" w:space="0" w:color="auto"/>
      </w:divBdr>
    </w:div>
    <w:div w:id="1705054113">
      <w:bodyDiv w:val="1"/>
      <w:marLeft w:val="0"/>
      <w:marRight w:val="0"/>
      <w:marTop w:val="0"/>
      <w:marBottom w:val="0"/>
      <w:divBdr>
        <w:top w:val="none" w:sz="0" w:space="0" w:color="auto"/>
        <w:left w:val="none" w:sz="0" w:space="0" w:color="auto"/>
        <w:bottom w:val="none" w:sz="0" w:space="0" w:color="auto"/>
        <w:right w:val="none" w:sz="0" w:space="0" w:color="auto"/>
      </w:divBdr>
    </w:div>
    <w:div w:id="1915584414">
      <w:bodyDiv w:val="1"/>
      <w:marLeft w:val="0"/>
      <w:marRight w:val="0"/>
      <w:marTop w:val="0"/>
      <w:marBottom w:val="0"/>
      <w:divBdr>
        <w:top w:val="none" w:sz="0" w:space="0" w:color="auto"/>
        <w:left w:val="none" w:sz="0" w:space="0" w:color="auto"/>
        <w:bottom w:val="none" w:sz="0" w:space="0" w:color="auto"/>
        <w:right w:val="none" w:sz="0" w:space="0" w:color="auto"/>
      </w:divBdr>
    </w:div>
    <w:div w:id="1974165594">
      <w:bodyDiv w:val="1"/>
      <w:marLeft w:val="0"/>
      <w:marRight w:val="0"/>
      <w:marTop w:val="0"/>
      <w:marBottom w:val="0"/>
      <w:divBdr>
        <w:top w:val="none" w:sz="0" w:space="0" w:color="auto"/>
        <w:left w:val="none" w:sz="0" w:space="0" w:color="auto"/>
        <w:bottom w:val="none" w:sz="0" w:space="0" w:color="auto"/>
        <w:right w:val="none" w:sz="0" w:space="0" w:color="auto"/>
      </w:divBdr>
    </w:div>
    <w:div w:id="2095586294">
      <w:bodyDiv w:val="1"/>
      <w:marLeft w:val="0"/>
      <w:marRight w:val="0"/>
      <w:marTop w:val="0"/>
      <w:marBottom w:val="0"/>
      <w:divBdr>
        <w:top w:val="none" w:sz="0" w:space="0" w:color="auto"/>
        <w:left w:val="none" w:sz="0" w:space="0" w:color="auto"/>
        <w:bottom w:val="none" w:sz="0" w:space="0" w:color="auto"/>
        <w:right w:val="none" w:sz="0" w:space="0" w:color="auto"/>
      </w:divBdr>
    </w:div>
    <w:div w:id="209816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0" Type="http://schemas.openxmlformats.org/officeDocument/2006/relationships/fontTable" Target="fontTable.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INE/TSP</Division_x0020_or_x0020_Unit>
    <Other_x0020_Author xmlns="cdc7663a-08f0-4737-9e8c-148ce897a09c" xsi:nil="true"/>
    <IDBDocs_x0020_Number xmlns="cdc7663a-08f0-4737-9e8c-148ce897a09c" xsi:nil="true"/>
    <Document_x0020_Author xmlns="cdc7663a-08f0-4737-9e8c-148ce897a09c">Baladi Rodriguez,Aziz</Document_x0020_Author>
    <Operation_x0020_Type xmlns="cdc7663a-08f0-4737-9e8c-148ce897a09c">Loan Operation</Operation_x0020_Type>
    <TaxCatchAll xmlns="cdc7663a-08f0-4737-9e8c-148ce897a09c">
      <Value>33</Value>
      <Value>25</Value>
      <Value>26</Value>
      <Value>32</Value>
      <Value>1</Value>
    </TaxCatchAll>
    <Fiscal_x0020_Year_x0020_IDB xmlns="cdc7663a-08f0-4737-9e8c-148ce897a09c">2018</Fiscal_x0020_Year_x0020_IDB>
    <Project_x0020_Number xmlns="cdc7663a-08f0-4737-9e8c-148ce897a09c">HO-L1198</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English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0f151751-6416-4989-96c6-78ae1be43d3a</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 xmlns="cdc7663a-08f0-4737-9e8c-148ce897a09c">EZSHARE-1644203697-49</_dlc_DocId>
    <_dlc_DocIdUrl xmlns="cdc7663a-08f0-4737-9e8c-148ce897a09c">
      <Url>https://idbg.sharepoint.com/teams/EZ-HO-LON/HO-L1198/_layouts/15/DocIdRedir.aspx?ID=EZSHARE-1644203697-49</Url>
      <Description>EZSHARE-1644203697-49</Description>
    </_dlc_DocIdUrl>
    <Record_x0020_Number xmlns="cdc7663a-08f0-4737-9e8c-148ce897a09c">R0002438512</Record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Related_x0020_SisCor_x0020_Number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9D38138A405E49B8796F005EC87222" ma:contentTypeVersion="346" ma:contentTypeDescription="A content type to manage public (operations) IDB documents" ma:contentTypeScope="" ma:versionID="d65a199e61ea74aa45d25422c657ec1f">
  <xsd:schema xmlns:xsd="http://www.w3.org/2001/XMLSchema" xmlns:xs="http://www.w3.org/2001/XMLSchema" xmlns:p="http://schemas.microsoft.com/office/2006/metadata/properties" xmlns:ns2="cdc7663a-08f0-4737-9e8c-148ce897a09c" targetNamespace="http://schemas.microsoft.com/office/2006/metadata/properties" ma:root="true" ma:fieldsID="07d0529ea2467e5778bf39222681e4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9D38138A405E49B8796F005EC87222" ma:contentTypeVersion="348" ma:contentTypeDescription="A content type to manage public (operations) IDB documents" ma:contentTypeScope="" ma:versionID="92deeef17ed5398a873b0fd5adbd11fc">
  <xsd:schema xmlns:xsd="http://www.w3.org/2001/XMLSchema" xmlns:xs="http://www.w3.org/2001/XMLSchema" xmlns:p="http://schemas.microsoft.com/office/2006/metadata/properties" xmlns:ns2="cdc7663a-08f0-4737-9e8c-148ce897a09c" targetNamespace="http://schemas.microsoft.com/office/2006/metadata/properties" ma:root="true" ma:fieldsID="07d0529ea2467e5778bf39222681e4f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D1FBB-6DE9-48EF-9136-82E5F561311E}">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449C6F1B-D07D-442D-99A0-DA3DEBB0E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8475A-882B-41E3-87D2-F9B73BA25851}"/>
</file>

<file path=customXml/itemProps4.xml><?xml version="1.0" encoding="utf-8"?>
<ds:datastoreItem xmlns:ds="http://schemas.openxmlformats.org/officeDocument/2006/customXml" ds:itemID="{3269D94E-7A98-4E68-B85C-EBA8B4D57C5D}">
  <ds:schemaRefs>
    <ds:schemaRef ds:uri="http://schemas.microsoft.com/sharepoint/events"/>
  </ds:schemaRefs>
</ds:datastoreItem>
</file>

<file path=customXml/itemProps5.xml><?xml version="1.0" encoding="utf-8"?>
<ds:datastoreItem xmlns:ds="http://schemas.openxmlformats.org/officeDocument/2006/customXml" ds:itemID="{70218DB2-45C9-4C22-81C2-FCF7B18BC2DD}">
  <ds:schemaRefs>
    <ds:schemaRef ds:uri="http://schemas.microsoft.com/sharepoint/v3/contenttype/forms"/>
  </ds:schemaRefs>
</ds:datastoreItem>
</file>

<file path=customXml/itemProps6.xml><?xml version="1.0" encoding="utf-8"?>
<ds:datastoreItem xmlns:ds="http://schemas.openxmlformats.org/officeDocument/2006/customXml" ds:itemID="{DB922D2F-2243-43EF-AC1C-AA8FAE114460}">
  <ds:schemaRefs>
    <ds:schemaRef ds:uri="Microsoft.SharePoint.Taxonomy.ContentTypeSync"/>
  </ds:schemaRefs>
</ds:datastoreItem>
</file>

<file path=customXml/itemProps7.xml><?xml version="1.0" encoding="utf-8"?>
<ds:datastoreItem xmlns:ds="http://schemas.openxmlformats.org/officeDocument/2006/customXml" ds:itemID="{2F152C98-1405-4133-8348-7CE80445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5110</Words>
  <Characters>28979</Characters>
  <Application>Microsoft Office Word</Application>
  <DocSecurity>0</DocSecurity>
  <Lines>546</Lines>
  <Paragraphs>152</Paragraphs>
  <ScaleCrop>false</ScaleCrop>
  <HeadingPairs>
    <vt:vector size="2" baseType="variant">
      <vt:variant>
        <vt:lpstr>Title</vt:lpstr>
      </vt:variant>
      <vt:variant>
        <vt:i4>1</vt:i4>
      </vt:variant>
    </vt:vector>
  </HeadingPairs>
  <TitlesOfParts>
    <vt:vector size="1" baseType="lpstr">
      <vt:lpstr>EER_5_ Plan de Monitoreo y Evaluación BO-L1112</vt:lpstr>
    </vt:vector>
  </TitlesOfParts>
  <Company>Inter-American Development Bank</Company>
  <LinksUpToDate>false</LinksUpToDate>
  <CharactersWithSpaces>33937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EER_5_ Plan de Monitoreo y Evaluación BO-L1112</dc:title>
  <dc:creator>Laureen Montes</dc:creator>
  <cp:keywords/>
  <cp:lastModifiedBy>Baladi Rodriguez, Aziz</cp:lastModifiedBy>
  <cp:revision>4</cp:revision>
  <dcterms:created xsi:type="dcterms:W3CDTF">2018-09-21T22:12:00Z</dcterms:created>
  <dcterms:modified xsi:type="dcterms:W3CDTF">2018-09-26T21:46:00Z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TaxKeywordTaxHTField">
    <vt:lpwstr/>
  </property>
  <property fmtid="{D5CDD505-2E9C-101B-9397-08002B2CF9AE}" pid="5" name="Sub-Sector">
    <vt:lpwstr>32;#TRANSPORT|0f151751-6416-4989-96c6-78ae1be43d3a</vt:lpwstr>
  </property>
  <property fmtid="{D5CDD505-2E9C-101B-9397-08002B2CF9AE}" pid="6" name="Country">
    <vt:lpwstr>26;#Honduras|0dd9f989-602d-4742-8212-5c1b8b0b74d5</vt:lpwstr>
  </property>
  <property fmtid="{D5CDD505-2E9C-101B-9397-08002B2CF9AE}" pid="7" name="Fund IDB">
    <vt:lpwstr/>
  </property>
  <property fmtid="{D5CDD505-2E9C-101B-9397-08002B2CF9AE}" pid="8" name="Series_x0020_Operations_x0020_IDB">
    <vt:lpwstr/>
  </property>
  <property fmtid="{D5CDD505-2E9C-101B-9397-08002B2CF9AE}" pid="9" name="Sector IDB">
    <vt:lpwstr/>
  </property>
  <property fmtid="{D5CDD505-2E9C-101B-9397-08002B2CF9AE}" pid="10" name="Issue_x0020_Date">
    <vt:lpwstr/>
  </property>
  <property fmtid="{D5CDD505-2E9C-101B-9397-08002B2CF9AE}" pid="11" name="Publication_x0020_Type">
    <vt:lpwstr/>
  </property>
  <property fmtid="{D5CDD505-2E9C-101B-9397-08002B2CF9AE}" pid="12" name="Publishing_x0020_House">
    <vt:lpwstr/>
  </property>
  <property fmtid="{D5CDD505-2E9C-101B-9397-08002B2CF9AE}" pid="13" name="Function_x0020_Operations_x0020_IDB">
    <vt:lpwstr/>
  </property>
  <property fmtid="{D5CDD505-2E9C-101B-9397-08002B2CF9AE}" pid="14" name="Disclosure_x0020_Activity">
    <vt:lpwstr>Proposal for Operation Development</vt:lpwstr>
  </property>
  <property fmtid="{D5CDD505-2E9C-101B-9397-08002B2CF9AE}" pid="15" name="Fund_x0020_IDB">
    <vt:lpwstr/>
  </property>
  <property fmtid="{D5CDD505-2E9C-101B-9397-08002B2CF9AE}" pid="16" name="_dlc_DocIdItemGuid">
    <vt:lpwstr>a9a775b5-43ef-484b-b255-ea494e76b3d0</vt:lpwstr>
  </property>
  <property fmtid="{D5CDD505-2E9C-101B-9397-08002B2CF9AE}" pid="17" name="KP_x0020_Topics">
    <vt:lpwstr/>
  </property>
  <property fmtid="{D5CDD505-2E9C-101B-9397-08002B2CF9AE}" pid="18" name="Sector_x0020_IDB">
    <vt:lpwstr/>
  </property>
  <property fmtid="{D5CDD505-2E9C-101B-9397-08002B2CF9AE}" pid="19" name="Function Operations IDB">
    <vt:lpwstr>1;#Project Preparation, Planning and Design|29ca0c72-1fc4-435f-a09c-28585cb5eac9</vt:lpwstr>
  </property>
  <property fmtid="{D5CDD505-2E9C-101B-9397-08002B2CF9AE}" pid="20" name="RecordStorageActiveId">
    <vt:lpwstr>49dd56a7-3d51-4ee9-b3e0-e2193a535484</vt:lpwstr>
  </property>
  <property fmtid="{D5CDD505-2E9C-101B-9397-08002B2CF9AE}" pid="21" name="To_x003A_">
    <vt:lpwstr/>
  </property>
  <property fmtid="{D5CDD505-2E9C-101B-9397-08002B2CF9AE}" pid="22" name="From_x003A_">
    <vt:lpwstr/>
  </property>
  <property fmtid="{D5CDD505-2E9C-101B-9397-08002B2CF9AE}" pid="23" name="From:">
    <vt:lpwstr/>
  </property>
  <property fmtid="{D5CDD505-2E9C-101B-9397-08002B2CF9AE}" pid="24" name="To:">
    <vt:lpwstr/>
  </property>
  <property fmtid="{D5CDD505-2E9C-101B-9397-08002B2CF9AE}" pid="26" name="Series Operations IDB">
    <vt:lpwstr/>
  </property>
  <property fmtid="{D5CDD505-2E9C-101B-9397-08002B2CF9AE}" pid="27" name="ContentTypeId">
    <vt:lpwstr>0x0101001A458A224826124E8B45B1D613300CFC006A9D38138A405E49B8796F005EC87222</vt:lpwstr>
  </property>
</Properties>
</file>