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90AAE" w14:textId="77777777" w:rsidR="00A763AE" w:rsidRPr="00AC7FB7" w:rsidRDefault="009A7AE3" w:rsidP="00AC7FB7">
      <w:pPr>
        <w:autoSpaceDE w:val="0"/>
        <w:autoSpaceDN w:val="0"/>
        <w:adjustRightInd w:val="0"/>
        <w:spacing w:before="240" w:after="240" w:line="240" w:lineRule="auto"/>
        <w:jc w:val="center"/>
        <w:rPr>
          <w:rFonts w:ascii="Arial" w:hAnsi="Arial" w:cs="Arial"/>
          <w:b/>
          <w:bCs/>
          <w:smallCaps/>
          <w:sz w:val="24"/>
          <w:szCs w:val="24"/>
        </w:rPr>
      </w:pPr>
      <w:r w:rsidRPr="00AC7FB7">
        <w:rPr>
          <w:rFonts w:ascii="Arial" w:hAnsi="Arial" w:cs="Arial"/>
          <w:b/>
          <w:bCs/>
          <w:smallCaps/>
          <w:sz w:val="24"/>
          <w:szCs w:val="24"/>
        </w:rPr>
        <w:t>Matriz d</w:t>
      </w:r>
      <w:r w:rsidR="00205AC6" w:rsidRPr="00AC7FB7">
        <w:rPr>
          <w:rFonts w:ascii="Arial" w:hAnsi="Arial" w:cs="Arial"/>
          <w:b/>
          <w:bCs/>
          <w:smallCaps/>
          <w:sz w:val="24"/>
          <w:szCs w:val="24"/>
        </w:rPr>
        <w:t>e Resultados</w:t>
      </w:r>
    </w:p>
    <w:tbl>
      <w:tblPr>
        <w:tblStyle w:val="TableGrid"/>
        <w:tblW w:w="13600" w:type="dxa"/>
        <w:tblLook w:val="04A0" w:firstRow="1" w:lastRow="0" w:firstColumn="1" w:lastColumn="0" w:noHBand="0" w:noVBand="1"/>
      </w:tblPr>
      <w:tblGrid>
        <w:gridCol w:w="2771"/>
        <w:gridCol w:w="10829"/>
      </w:tblGrid>
      <w:tr w:rsidR="00795640" w:rsidRPr="00AC7FB7" w14:paraId="4B406016" w14:textId="77777777" w:rsidTr="00DA32FA">
        <w:trPr>
          <w:trHeight w:val="2098"/>
        </w:trPr>
        <w:tc>
          <w:tcPr>
            <w:tcW w:w="2771" w:type="dxa"/>
          </w:tcPr>
          <w:p w14:paraId="769B6816" w14:textId="77777777" w:rsidR="00795640" w:rsidRPr="00BC4908" w:rsidRDefault="00205AC6" w:rsidP="00BF00CF">
            <w:pPr>
              <w:pStyle w:val="Paragraph"/>
              <w:numPr>
                <w:ilvl w:val="0"/>
                <w:numId w:val="0"/>
              </w:numPr>
              <w:jc w:val="left"/>
              <w:rPr>
                <w:rFonts w:ascii="Arial" w:hAnsi="Arial" w:cs="Arial"/>
                <w:b/>
                <w:sz w:val="20"/>
                <w:lang w:val="es-CO"/>
              </w:rPr>
            </w:pPr>
            <w:r>
              <w:rPr>
                <w:rFonts w:ascii="Arial" w:hAnsi="Arial" w:cs="Arial"/>
                <w:b/>
                <w:sz w:val="20"/>
              </w:rPr>
              <w:t>Objetivo del Proyecto</w:t>
            </w:r>
            <w:r w:rsidR="00795640" w:rsidRPr="00BC4908">
              <w:rPr>
                <w:rFonts w:ascii="Arial" w:hAnsi="Arial" w:cs="Arial"/>
                <w:b/>
                <w:sz w:val="20"/>
              </w:rPr>
              <w:t>:</w:t>
            </w:r>
          </w:p>
        </w:tc>
        <w:tc>
          <w:tcPr>
            <w:tcW w:w="10829" w:type="dxa"/>
          </w:tcPr>
          <w:p w14:paraId="42F4FAA5" w14:textId="22C977ED" w:rsidR="00192135" w:rsidRPr="00D3435D" w:rsidRDefault="00D3435D" w:rsidP="00D3435D">
            <w:pPr>
              <w:pStyle w:val="Paragraph"/>
              <w:numPr>
                <w:ilvl w:val="0"/>
                <w:numId w:val="0"/>
              </w:numPr>
              <w:tabs>
                <w:tab w:val="num" w:pos="7326"/>
              </w:tabs>
              <w:rPr>
                <w:rFonts w:ascii="Arial" w:hAnsi="Arial" w:cs="Arial"/>
                <w:sz w:val="22"/>
                <w:szCs w:val="22"/>
                <w:lang w:val="et-EE" w:eastAsia="es-ES_tradnl"/>
              </w:rPr>
            </w:pPr>
            <w:r w:rsidRPr="00F04D36">
              <w:rPr>
                <w:rFonts w:ascii="Arial" w:hAnsi="Arial" w:cs="Arial"/>
                <w:sz w:val="22"/>
                <w:szCs w:val="22"/>
                <w:lang w:eastAsia="es-ES_tradnl"/>
              </w:rPr>
              <w:t>El objetivo del programa es c</w:t>
            </w:r>
            <w:r w:rsidRPr="00F04D36">
              <w:rPr>
                <w:rFonts w:ascii="Arial" w:hAnsi="Arial" w:cs="Arial"/>
                <w:sz w:val="22"/>
                <w:szCs w:val="22"/>
                <w:lang w:val="et-EE" w:eastAsia="es-ES_tradnl"/>
              </w:rPr>
              <w:t>ontribuir a</w:t>
            </w:r>
            <w:r w:rsidR="00E95B00">
              <w:rPr>
                <w:rFonts w:ascii="Arial" w:hAnsi="Arial" w:cs="Arial"/>
                <w:sz w:val="22"/>
                <w:szCs w:val="22"/>
                <w:lang w:val="et-EE" w:eastAsia="es-ES_tradnl"/>
              </w:rPr>
              <w:t xml:space="preserve"> la</w:t>
            </w:r>
            <w:r w:rsidR="00BB382A">
              <w:rPr>
                <w:rFonts w:ascii="Arial" w:hAnsi="Arial" w:cs="Arial"/>
                <w:sz w:val="22"/>
                <w:szCs w:val="22"/>
                <w:lang w:val="et-EE" w:eastAsia="es-ES_tradnl"/>
              </w:rPr>
              <w:t xml:space="preserve"> mejora el</w:t>
            </w:r>
            <w:r w:rsidRPr="00F04D36">
              <w:rPr>
                <w:rFonts w:ascii="Arial" w:hAnsi="Arial" w:cs="Arial"/>
                <w:sz w:val="22"/>
                <w:szCs w:val="22"/>
                <w:lang w:val="et-EE" w:eastAsia="es-ES_tradnl"/>
              </w:rPr>
              <w:t xml:space="preserve"> desempeño </w:t>
            </w:r>
            <w:r w:rsidRPr="00F04D36">
              <w:rPr>
                <w:rFonts w:ascii="Arial" w:hAnsi="Arial" w:cs="Arial"/>
                <w:sz w:val="22"/>
                <w:szCs w:val="22"/>
                <w:lang w:eastAsia="es-ES_tradnl"/>
              </w:rPr>
              <w:t xml:space="preserve">logístico </w:t>
            </w:r>
            <w:r w:rsidRPr="00F04D36">
              <w:rPr>
                <w:rFonts w:ascii="Arial" w:hAnsi="Arial" w:cs="Arial"/>
                <w:sz w:val="22"/>
                <w:szCs w:val="22"/>
                <w:lang w:val="et-EE" w:eastAsia="es-ES_tradnl"/>
              </w:rPr>
              <w:t xml:space="preserve">de Honduras a través de reformas sectoriales en los ámbitos </w:t>
            </w:r>
            <w:r w:rsidR="00E95B00">
              <w:rPr>
                <w:rFonts w:ascii="Arial" w:hAnsi="Arial" w:cs="Arial"/>
                <w:sz w:val="22"/>
                <w:szCs w:val="22"/>
                <w:lang w:val="et-EE" w:eastAsia="es-ES_tradnl"/>
              </w:rPr>
              <w:t>regulatorio</w:t>
            </w:r>
            <w:r w:rsidRPr="00F04D36">
              <w:rPr>
                <w:rFonts w:ascii="Arial" w:hAnsi="Arial" w:cs="Arial"/>
                <w:sz w:val="22"/>
                <w:szCs w:val="22"/>
                <w:lang w:val="et-EE" w:eastAsia="es-ES_tradnl"/>
              </w:rPr>
              <w:t xml:space="preserve">, institucional, de planificación y de facilitación comercial, que permita ganancias en la competitividad e integración regional. Los objetivos específicos del programa son: (i) </w:t>
            </w:r>
            <w:r w:rsidR="00193EFB">
              <w:rPr>
                <w:rFonts w:ascii="Arial" w:hAnsi="Arial" w:cs="Arial"/>
                <w:sz w:val="22"/>
                <w:szCs w:val="22"/>
                <w:lang w:val="et-EE" w:eastAsia="es-ES_tradnl"/>
              </w:rPr>
              <w:t>consolidar</w:t>
            </w:r>
            <w:r w:rsidRPr="00F04D36">
              <w:rPr>
                <w:rFonts w:ascii="Arial" w:hAnsi="Arial" w:cs="Arial"/>
                <w:sz w:val="22"/>
                <w:szCs w:val="22"/>
                <w:lang w:val="et-EE" w:eastAsia="es-ES_tradnl"/>
              </w:rPr>
              <w:t xml:space="preserve"> de un marco normativo con reglamentos específicos para la mejora de servicios de logística de carga con visión de largo plazo; (ii) el fortalecimiento de la institucionalidad del sector logístico</w:t>
            </w:r>
            <w:r w:rsidR="00A818BE">
              <w:rPr>
                <w:rFonts w:ascii="Arial" w:hAnsi="Arial" w:cs="Arial"/>
                <w:sz w:val="22"/>
                <w:szCs w:val="22"/>
                <w:lang w:val="et-EE" w:eastAsia="es-ES_tradnl"/>
              </w:rPr>
              <w:t xml:space="preserve"> a traves de la creacion del Consejo Nacional </w:t>
            </w:r>
            <w:r w:rsidR="000426A8">
              <w:rPr>
                <w:rFonts w:ascii="Arial" w:hAnsi="Arial" w:cs="Arial"/>
                <w:sz w:val="22"/>
                <w:szCs w:val="22"/>
                <w:lang w:val="et-EE" w:eastAsia="es-ES_tradnl"/>
              </w:rPr>
              <w:t xml:space="preserve">de </w:t>
            </w:r>
            <w:r w:rsidR="00A818BE">
              <w:rPr>
                <w:rFonts w:ascii="Arial" w:hAnsi="Arial" w:cs="Arial"/>
                <w:sz w:val="22"/>
                <w:szCs w:val="22"/>
                <w:lang w:val="et-EE" w:eastAsia="es-ES_tradnl"/>
              </w:rPr>
              <w:t>Log</w:t>
            </w:r>
            <w:r w:rsidR="000426A8">
              <w:rPr>
                <w:rFonts w:ascii="Arial" w:hAnsi="Arial" w:cs="Arial"/>
                <w:sz w:val="22"/>
                <w:szCs w:val="22"/>
                <w:lang w:val="et-EE" w:eastAsia="es-ES_tradnl"/>
              </w:rPr>
              <w:t>í</w:t>
            </w:r>
            <w:r w:rsidR="00A818BE">
              <w:rPr>
                <w:rFonts w:ascii="Arial" w:hAnsi="Arial" w:cs="Arial"/>
                <w:sz w:val="22"/>
                <w:szCs w:val="22"/>
                <w:lang w:val="et-EE" w:eastAsia="es-ES_tradnl"/>
              </w:rPr>
              <w:t>stic</w:t>
            </w:r>
            <w:r w:rsidR="000426A8">
              <w:rPr>
                <w:rFonts w:ascii="Arial" w:hAnsi="Arial" w:cs="Arial"/>
                <w:sz w:val="22"/>
                <w:szCs w:val="22"/>
                <w:lang w:val="et-EE" w:eastAsia="es-ES_tradnl"/>
              </w:rPr>
              <w:t>a</w:t>
            </w:r>
            <w:r w:rsidR="00A818BE">
              <w:rPr>
                <w:rFonts w:ascii="Arial" w:hAnsi="Arial" w:cs="Arial"/>
                <w:sz w:val="22"/>
                <w:szCs w:val="22"/>
                <w:lang w:val="et-EE" w:eastAsia="es-ES_tradnl"/>
              </w:rPr>
              <w:t xml:space="preserve"> (CNL)</w:t>
            </w:r>
            <w:r w:rsidRPr="00F04D36">
              <w:rPr>
                <w:rFonts w:ascii="Arial" w:hAnsi="Arial" w:cs="Arial"/>
                <w:sz w:val="22"/>
                <w:szCs w:val="22"/>
                <w:lang w:val="et-EE" w:eastAsia="es-ES_tradnl"/>
              </w:rPr>
              <w:t xml:space="preserve">; (iii) la mejora de la planificación integral en el sector y la </w:t>
            </w:r>
            <w:r w:rsidRPr="00F04D36">
              <w:rPr>
                <w:rFonts w:ascii="Arial" w:hAnsi="Arial" w:cs="Arial"/>
                <w:sz w:val="22"/>
                <w:szCs w:val="22"/>
                <w:lang w:eastAsia="es-ES_tradnl"/>
              </w:rPr>
              <w:t>prestación</w:t>
            </w:r>
            <w:r w:rsidRPr="00F04D36">
              <w:rPr>
                <w:rFonts w:ascii="Arial" w:hAnsi="Arial" w:cs="Arial"/>
                <w:sz w:val="22"/>
                <w:szCs w:val="22"/>
                <w:lang w:val="et-EE" w:eastAsia="es-ES_tradnl"/>
              </w:rPr>
              <w:t xml:space="preserve"> de servicios asociados; y</w:t>
            </w:r>
            <w:bookmarkStart w:id="0" w:name="_GoBack"/>
            <w:bookmarkEnd w:id="0"/>
            <w:r w:rsidR="006A7344">
              <w:rPr>
                <w:rFonts w:ascii="Arial" w:hAnsi="Arial" w:cs="Arial"/>
                <w:sz w:val="22"/>
                <w:szCs w:val="22"/>
                <w:lang w:val="et-EE" w:eastAsia="es-ES_tradnl"/>
              </w:rPr>
              <w:t xml:space="preserve"> </w:t>
            </w:r>
            <w:r w:rsidRPr="00F04D36">
              <w:rPr>
                <w:rFonts w:ascii="Arial" w:hAnsi="Arial" w:cs="Arial"/>
                <w:sz w:val="22"/>
                <w:szCs w:val="22"/>
                <w:lang w:val="et-EE" w:eastAsia="es-ES_tradnl"/>
              </w:rPr>
              <w:t>(iv) la modernización y simplificación de los procesos y los sistemas tecnológicos</w:t>
            </w:r>
            <w:r w:rsidR="008F1C3A">
              <w:rPr>
                <w:rFonts w:ascii="Arial" w:hAnsi="Arial" w:cs="Arial"/>
                <w:sz w:val="22"/>
                <w:szCs w:val="22"/>
                <w:lang w:val="et-EE" w:eastAsia="es-ES_tradnl"/>
              </w:rPr>
              <w:t xml:space="preserve"> de facilitación comercial</w:t>
            </w:r>
            <w:r w:rsidRPr="00F04D36">
              <w:rPr>
                <w:rFonts w:ascii="Arial" w:hAnsi="Arial" w:cs="Arial"/>
                <w:sz w:val="22"/>
                <w:szCs w:val="22"/>
                <w:lang w:val="et-EE" w:eastAsia="es-ES_tradnl"/>
              </w:rPr>
              <w:t>.</w:t>
            </w:r>
          </w:p>
        </w:tc>
      </w:tr>
    </w:tbl>
    <w:p w14:paraId="11D9AF38" w14:textId="77777777" w:rsidR="00FE40E8" w:rsidRPr="00DA32FA" w:rsidRDefault="00FE40E8" w:rsidP="00AC7FB7">
      <w:pPr>
        <w:autoSpaceDE w:val="0"/>
        <w:autoSpaceDN w:val="0"/>
        <w:adjustRightInd w:val="0"/>
        <w:spacing w:before="240" w:after="240" w:line="240" w:lineRule="auto"/>
        <w:jc w:val="center"/>
        <w:rPr>
          <w:rFonts w:ascii="Arial" w:hAnsi="Arial" w:cs="Arial"/>
          <w:b/>
          <w:smallCaps/>
          <w:szCs w:val="20"/>
        </w:rPr>
      </w:pPr>
      <w:r w:rsidRPr="00DA32FA">
        <w:rPr>
          <w:rFonts w:ascii="Arial" w:hAnsi="Arial" w:cs="Arial"/>
          <w:b/>
          <w:smallCaps/>
          <w:szCs w:val="20"/>
        </w:rPr>
        <w:t>Impact</w:t>
      </w:r>
      <w:r w:rsidR="009A7AE3" w:rsidRPr="00DA32FA">
        <w:rPr>
          <w:rFonts w:ascii="Arial" w:hAnsi="Arial" w:cs="Arial"/>
          <w:b/>
          <w:smallCaps/>
          <w:szCs w:val="20"/>
        </w:rPr>
        <w:t>o Esperado</w:t>
      </w:r>
    </w:p>
    <w:tbl>
      <w:tblPr>
        <w:tblW w:w="13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7"/>
        <w:gridCol w:w="1688"/>
        <w:gridCol w:w="990"/>
        <w:gridCol w:w="20"/>
        <w:gridCol w:w="1080"/>
        <w:gridCol w:w="1170"/>
        <w:gridCol w:w="1780"/>
        <w:gridCol w:w="4860"/>
      </w:tblGrid>
      <w:tr w:rsidR="00192117" w14:paraId="5997DAC1" w14:textId="77777777" w:rsidTr="00192117">
        <w:trPr>
          <w:trHeight w:val="703"/>
          <w:tblHeader/>
        </w:trPr>
        <w:tc>
          <w:tcPr>
            <w:tcW w:w="19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23A92B" w14:textId="77777777" w:rsidR="00192117" w:rsidRDefault="00192117">
            <w:pPr>
              <w:spacing w:after="0" w:line="240" w:lineRule="auto"/>
              <w:jc w:val="center"/>
              <w:rPr>
                <w:rFonts w:ascii="Arial" w:hAnsi="Arial" w:cs="Arial"/>
                <w:b/>
                <w:sz w:val="20"/>
                <w:szCs w:val="20"/>
                <w:lang w:eastAsia="zh-CN"/>
              </w:rPr>
            </w:pPr>
            <w:r>
              <w:rPr>
                <w:rFonts w:ascii="Arial" w:hAnsi="Arial" w:cs="Arial"/>
                <w:b/>
                <w:sz w:val="20"/>
                <w:szCs w:val="20"/>
                <w:lang w:eastAsia="zh-CN"/>
              </w:rPr>
              <w:t>Indicadores</w:t>
            </w:r>
          </w:p>
        </w:tc>
        <w:tc>
          <w:tcPr>
            <w:tcW w:w="16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1DCECE" w14:textId="77777777" w:rsidR="00192117" w:rsidRDefault="00192117">
            <w:pPr>
              <w:spacing w:after="0" w:line="240" w:lineRule="auto"/>
              <w:jc w:val="center"/>
              <w:rPr>
                <w:rFonts w:ascii="Arial" w:hAnsi="Arial" w:cs="Arial"/>
                <w:b/>
                <w:sz w:val="20"/>
                <w:szCs w:val="20"/>
                <w:lang w:eastAsia="zh-CN"/>
              </w:rPr>
            </w:pPr>
            <w:r>
              <w:rPr>
                <w:rFonts w:ascii="Arial" w:hAnsi="Arial" w:cs="Arial"/>
                <w:b/>
                <w:sz w:val="20"/>
                <w:szCs w:val="20"/>
                <w:lang w:eastAsia="zh-CN"/>
              </w:rPr>
              <w:t>Unidad de Medida</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939C2A" w14:textId="77777777" w:rsidR="00192117" w:rsidRDefault="00192117">
            <w:pPr>
              <w:spacing w:after="0" w:line="240" w:lineRule="auto"/>
              <w:jc w:val="center"/>
              <w:rPr>
                <w:rFonts w:ascii="Arial" w:hAnsi="Arial" w:cs="Arial"/>
                <w:b/>
                <w:sz w:val="20"/>
                <w:szCs w:val="20"/>
                <w:lang w:eastAsia="zh-CN"/>
              </w:rPr>
            </w:pPr>
            <w:r>
              <w:rPr>
                <w:rFonts w:ascii="Arial" w:hAnsi="Arial" w:cs="Arial"/>
                <w:b/>
                <w:sz w:val="20"/>
                <w:szCs w:val="20"/>
                <w:lang w:eastAsia="zh-CN"/>
              </w:rPr>
              <w:t xml:space="preserve">Línea de Base </w:t>
            </w:r>
          </w:p>
        </w:tc>
        <w:tc>
          <w:tcPr>
            <w:tcW w:w="11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DABD3E" w14:textId="77777777" w:rsidR="00192117" w:rsidRDefault="00192117">
            <w:pPr>
              <w:spacing w:after="0" w:line="240" w:lineRule="auto"/>
              <w:jc w:val="center"/>
              <w:rPr>
                <w:rFonts w:ascii="Arial" w:hAnsi="Arial" w:cs="Arial"/>
                <w:b/>
                <w:sz w:val="20"/>
                <w:szCs w:val="20"/>
                <w:lang w:eastAsia="zh-CN"/>
              </w:rPr>
            </w:pPr>
            <w:r>
              <w:rPr>
                <w:rFonts w:ascii="Arial" w:hAnsi="Arial" w:cs="Arial"/>
                <w:b/>
                <w:sz w:val="20"/>
                <w:szCs w:val="20"/>
                <w:lang w:eastAsia="zh-CN"/>
              </w:rPr>
              <w:t xml:space="preserve">Año </w:t>
            </w:r>
          </w:p>
          <w:p w14:paraId="0F9AC007" w14:textId="77777777" w:rsidR="00192117" w:rsidRDefault="00192117">
            <w:pPr>
              <w:spacing w:after="0" w:line="240" w:lineRule="auto"/>
              <w:jc w:val="center"/>
              <w:rPr>
                <w:rFonts w:ascii="Arial" w:hAnsi="Arial" w:cs="Arial"/>
                <w:b/>
                <w:sz w:val="20"/>
                <w:szCs w:val="20"/>
                <w:lang w:eastAsia="zh-CN"/>
              </w:rPr>
            </w:pPr>
            <w:r>
              <w:rPr>
                <w:rFonts w:ascii="Arial" w:hAnsi="Arial" w:cs="Arial"/>
                <w:b/>
                <w:sz w:val="20"/>
                <w:szCs w:val="20"/>
                <w:lang w:eastAsia="zh-CN"/>
              </w:rPr>
              <w:t>Línea de Base</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C5917A" w14:textId="77777777" w:rsidR="00192117" w:rsidRDefault="00192117" w:rsidP="00CE5907">
            <w:pPr>
              <w:spacing w:after="0" w:line="240" w:lineRule="auto"/>
              <w:jc w:val="center"/>
              <w:rPr>
                <w:rFonts w:ascii="Arial" w:hAnsi="Arial" w:cs="Arial"/>
                <w:b/>
                <w:sz w:val="20"/>
                <w:szCs w:val="20"/>
                <w:lang w:eastAsia="zh-CN"/>
              </w:rPr>
            </w:pPr>
            <w:r>
              <w:rPr>
                <w:rFonts w:ascii="Arial" w:hAnsi="Arial" w:cs="Arial"/>
                <w:b/>
                <w:sz w:val="20"/>
                <w:szCs w:val="20"/>
                <w:lang w:eastAsia="zh-CN"/>
              </w:rPr>
              <w:t>Meta Final</w:t>
            </w:r>
            <w:r>
              <w:rPr>
                <w:rStyle w:val="FootnoteReference"/>
                <w:rFonts w:ascii="Arial" w:hAnsi="Arial" w:cs="Arial"/>
                <w:b/>
                <w:sz w:val="20"/>
                <w:szCs w:val="20"/>
                <w:lang w:eastAsia="zh-CN"/>
              </w:rPr>
              <w:footnoteReference w:id="2"/>
            </w:r>
          </w:p>
          <w:p w14:paraId="3C6AD35B" w14:textId="77777777" w:rsidR="00192117" w:rsidRDefault="00192117" w:rsidP="00E05EC5">
            <w:pPr>
              <w:spacing w:after="0" w:line="240" w:lineRule="auto"/>
              <w:jc w:val="center"/>
              <w:rPr>
                <w:rFonts w:ascii="Arial" w:hAnsi="Arial" w:cs="Arial"/>
                <w:b/>
                <w:sz w:val="20"/>
                <w:szCs w:val="20"/>
                <w:lang w:eastAsia="zh-CN"/>
              </w:rPr>
            </w:pPr>
            <w:r>
              <w:rPr>
                <w:rFonts w:ascii="Arial" w:hAnsi="Arial" w:cs="Arial"/>
                <w:b/>
                <w:sz w:val="20"/>
                <w:szCs w:val="20"/>
                <w:lang w:eastAsia="zh-CN"/>
              </w:rPr>
              <w:t>2022</w:t>
            </w:r>
          </w:p>
        </w:tc>
        <w:tc>
          <w:tcPr>
            <w:tcW w:w="17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3B2252" w14:textId="77777777" w:rsidR="00192117" w:rsidRDefault="00192117">
            <w:pPr>
              <w:spacing w:after="0" w:line="240" w:lineRule="auto"/>
              <w:jc w:val="center"/>
              <w:rPr>
                <w:rFonts w:ascii="Arial" w:hAnsi="Arial" w:cs="Arial"/>
                <w:b/>
                <w:sz w:val="20"/>
                <w:szCs w:val="20"/>
                <w:lang w:eastAsia="zh-CN"/>
              </w:rPr>
            </w:pPr>
            <w:r>
              <w:rPr>
                <w:rFonts w:ascii="Arial" w:hAnsi="Arial" w:cs="Arial"/>
                <w:b/>
                <w:sz w:val="20"/>
                <w:szCs w:val="20"/>
                <w:lang w:eastAsia="zh-CN"/>
              </w:rPr>
              <w:t>Medios de Verificación</w:t>
            </w:r>
          </w:p>
        </w:tc>
        <w:tc>
          <w:tcPr>
            <w:tcW w:w="48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A0A2F2" w14:textId="77777777" w:rsidR="00192117" w:rsidRDefault="00192117">
            <w:pPr>
              <w:spacing w:after="0" w:line="240" w:lineRule="auto"/>
              <w:jc w:val="center"/>
              <w:rPr>
                <w:rFonts w:ascii="Arial" w:hAnsi="Arial" w:cs="Arial"/>
                <w:b/>
                <w:sz w:val="20"/>
                <w:szCs w:val="20"/>
                <w:lang w:eastAsia="zh-CN"/>
              </w:rPr>
            </w:pPr>
            <w:r>
              <w:rPr>
                <w:rFonts w:ascii="Arial" w:hAnsi="Arial" w:cs="Arial"/>
                <w:b/>
                <w:sz w:val="20"/>
                <w:szCs w:val="20"/>
                <w:lang w:eastAsia="zh-CN"/>
              </w:rPr>
              <w:t>Comentarios</w:t>
            </w:r>
            <w:r>
              <w:rPr>
                <w:rStyle w:val="FootnoteReference"/>
                <w:rFonts w:ascii="Arial" w:hAnsi="Arial" w:cs="Arial"/>
                <w:b/>
                <w:sz w:val="20"/>
                <w:szCs w:val="20"/>
                <w:lang w:eastAsia="zh-CN"/>
              </w:rPr>
              <w:footnoteReference w:id="3"/>
            </w:r>
          </w:p>
        </w:tc>
      </w:tr>
      <w:tr w:rsidR="007F69B4" w:rsidRPr="001264CF" w14:paraId="499C7CB9" w14:textId="77777777" w:rsidTr="00192117">
        <w:trPr>
          <w:trHeight w:val="64"/>
        </w:trPr>
        <w:tc>
          <w:tcPr>
            <w:tcW w:w="13585" w:type="dxa"/>
            <w:gridSpan w:val="8"/>
            <w:tcBorders>
              <w:top w:val="single" w:sz="4" w:space="0" w:color="auto"/>
              <w:left w:val="single" w:sz="4" w:space="0" w:color="auto"/>
              <w:bottom w:val="single" w:sz="4" w:space="0" w:color="auto"/>
              <w:right w:val="single" w:sz="4" w:space="0" w:color="auto"/>
            </w:tcBorders>
            <w:vAlign w:val="center"/>
            <w:hideMark/>
          </w:tcPr>
          <w:p w14:paraId="31B00AD6" w14:textId="77777777" w:rsidR="007F69B4" w:rsidRPr="00F72E1B" w:rsidRDefault="007F69B4">
            <w:pPr>
              <w:spacing w:before="120" w:after="120" w:line="240" w:lineRule="auto"/>
              <w:rPr>
                <w:rFonts w:ascii="Arial" w:hAnsi="Arial" w:cs="Arial"/>
                <w:sz w:val="20"/>
                <w:szCs w:val="20"/>
                <w:lang w:val="es-ES_tradnl" w:eastAsia="zh-CN"/>
              </w:rPr>
            </w:pPr>
            <w:r w:rsidRPr="00F72E1B">
              <w:rPr>
                <w:rFonts w:ascii="Arial" w:hAnsi="Arial" w:cs="Arial"/>
                <w:b/>
                <w:caps/>
                <w:sz w:val="20"/>
                <w:szCs w:val="20"/>
                <w:u w:val="single"/>
                <w:lang w:val="es-ES_tradnl" w:eastAsia="zh-CN"/>
              </w:rPr>
              <w:t xml:space="preserve">Impacto #1: </w:t>
            </w:r>
            <w:r w:rsidR="00DA32FA">
              <w:rPr>
                <w:rFonts w:ascii="Arial" w:hAnsi="Arial" w:cs="Arial"/>
                <w:b/>
                <w:caps/>
                <w:sz w:val="20"/>
                <w:szCs w:val="20"/>
                <w:u w:val="single"/>
                <w:lang w:val="es-ES_tradnl" w:eastAsia="zh-CN"/>
              </w:rPr>
              <w:t>M</w:t>
            </w:r>
            <w:r w:rsidR="00DA32FA" w:rsidRPr="00F72E1B">
              <w:rPr>
                <w:rFonts w:ascii="Arial" w:hAnsi="Arial" w:cs="Arial"/>
                <w:b/>
                <w:sz w:val="20"/>
                <w:szCs w:val="20"/>
                <w:u w:val="single"/>
                <w:lang w:val="es-ES_tradnl" w:eastAsia="zh-CN"/>
              </w:rPr>
              <w:t xml:space="preserve">ejora del desempeño del </w:t>
            </w:r>
            <w:r w:rsidR="00DA32FA">
              <w:rPr>
                <w:rFonts w:ascii="Arial" w:hAnsi="Arial" w:cs="Arial"/>
                <w:b/>
                <w:sz w:val="20"/>
                <w:szCs w:val="20"/>
                <w:u w:val="single"/>
                <w:lang w:val="es-ES_tradnl" w:eastAsia="zh-CN"/>
              </w:rPr>
              <w:t>sector de logístico de honduras.</w:t>
            </w:r>
          </w:p>
        </w:tc>
      </w:tr>
      <w:tr w:rsidR="00192117" w:rsidRPr="001264CF" w14:paraId="39187457" w14:textId="77777777" w:rsidTr="00192117">
        <w:trPr>
          <w:trHeight w:val="64"/>
        </w:trPr>
        <w:tc>
          <w:tcPr>
            <w:tcW w:w="1997" w:type="dxa"/>
            <w:tcBorders>
              <w:top w:val="single" w:sz="4" w:space="0" w:color="auto"/>
              <w:left w:val="single" w:sz="4" w:space="0" w:color="auto"/>
              <w:bottom w:val="single" w:sz="4" w:space="0" w:color="auto"/>
              <w:right w:val="single" w:sz="4" w:space="0" w:color="auto"/>
            </w:tcBorders>
            <w:vAlign w:val="center"/>
            <w:hideMark/>
          </w:tcPr>
          <w:p w14:paraId="13699BE7" w14:textId="77777777" w:rsidR="00192117" w:rsidRPr="004E0543" w:rsidRDefault="00192117" w:rsidP="00F72E1B">
            <w:pPr>
              <w:pStyle w:val="ListParagraph"/>
              <w:spacing w:after="0" w:line="240" w:lineRule="auto"/>
              <w:ind w:left="0"/>
              <w:rPr>
                <w:rFonts w:ascii="Arial" w:hAnsi="Arial" w:cs="Arial"/>
                <w:sz w:val="20"/>
                <w:szCs w:val="20"/>
                <w:lang w:val="es-ES_tradnl" w:eastAsia="zh-CN"/>
              </w:rPr>
            </w:pPr>
            <w:r>
              <w:rPr>
                <w:rFonts w:ascii="Arial" w:hAnsi="Arial" w:cs="Arial"/>
                <w:sz w:val="20"/>
                <w:szCs w:val="20"/>
                <w:lang w:val="es-ES_tradnl"/>
              </w:rPr>
              <w:t>Índice de Desempeño en Logística (LPI)</w:t>
            </w:r>
            <w:r w:rsidR="00C26C60">
              <w:rPr>
                <w:rStyle w:val="FootnoteReference"/>
                <w:rFonts w:ascii="Arial" w:hAnsi="Arial" w:cs="Arial"/>
                <w:sz w:val="20"/>
                <w:szCs w:val="20"/>
                <w:lang w:val="es-ES_tradnl"/>
              </w:rPr>
              <w:footnoteReference w:id="4"/>
            </w:r>
          </w:p>
        </w:tc>
        <w:tc>
          <w:tcPr>
            <w:tcW w:w="1688" w:type="dxa"/>
            <w:tcBorders>
              <w:top w:val="single" w:sz="4" w:space="0" w:color="auto"/>
              <w:left w:val="single" w:sz="4" w:space="0" w:color="auto"/>
              <w:bottom w:val="single" w:sz="4" w:space="0" w:color="auto"/>
              <w:right w:val="single" w:sz="4" w:space="0" w:color="auto"/>
            </w:tcBorders>
            <w:vAlign w:val="center"/>
          </w:tcPr>
          <w:p w14:paraId="558EA676" w14:textId="77777777" w:rsidR="00192117" w:rsidRPr="004E0543" w:rsidRDefault="00192117" w:rsidP="00F72E1B">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Índice</w:t>
            </w:r>
          </w:p>
        </w:tc>
        <w:tc>
          <w:tcPr>
            <w:tcW w:w="1010" w:type="dxa"/>
            <w:gridSpan w:val="2"/>
            <w:tcBorders>
              <w:top w:val="single" w:sz="4" w:space="0" w:color="auto"/>
              <w:left w:val="single" w:sz="4" w:space="0" w:color="auto"/>
              <w:bottom w:val="single" w:sz="4" w:space="0" w:color="auto"/>
              <w:right w:val="single" w:sz="4" w:space="0" w:color="auto"/>
            </w:tcBorders>
          </w:tcPr>
          <w:p w14:paraId="5C94E9E3" w14:textId="77777777" w:rsidR="00192117" w:rsidRDefault="00192117" w:rsidP="00F72E1B">
            <w:pPr>
              <w:spacing w:after="0" w:line="240" w:lineRule="auto"/>
              <w:jc w:val="center"/>
              <w:rPr>
                <w:rFonts w:ascii="Arial" w:hAnsi="Arial" w:cs="Arial"/>
                <w:sz w:val="20"/>
                <w:szCs w:val="20"/>
                <w:lang w:val="es-ES_tradnl" w:eastAsia="zh-CN"/>
              </w:rPr>
            </w:pPr>
          </w:p>
          <w:p w14:paraId="57DD8E51" w14:textId="77777777" w:rsidR="00192117" w:rsidRDefault="00192117" w:rsidP="00F72E1B">
            <w:pPr>
              <w:spacing w:after="0" w:line="240" w:lineRule="auto"/>
              <w:jc w:val="center"/>
              <w:rPr>
                <w:rFonts w:ascii="Arial" w:hAnsi="Arial" w:cs="Arial"/>
                <w:sz w:val="20"/>
                <w:szCs w:val="20"/>
                <w:lang w:val="es-ES_tradnl" w:eastAsia="zh-CN"/>
              </w:rPr>
            </w:pPr>
          </w:p>
          <w:p w14:paraId="69A9A5FF" w14:textId="77777777" w:rsidR="00192117" w:rsidRDefault="00192117" w:rsidP="00F72E1B">
            <w:pPr>
              <w:spacing w:after="0" w:line="240" w:lineRule="auto"/>
              <w:jc w:val="center"/>
              <w:rPr>
                <w:rFonts w:ascii="Arial" w:hAnsi="Arial" w:cs="Arial"/>
                <w:sz w:val="20"/>
                <w:szCs w:val="20"/>
                <w:lang w:val="es-ES_tradnl" w:eastAsia="zh-CN"/>
              </w:rPr>
            </w:pPr>
          </w:p>
          <w:p w14:paraId="6231C9EE" w14:textId="77777777" w:rsidR="00192117" w:rsidRDefault="00192117" w:rsidP="00D12B69">
            <w:pPr>
              <w:spacing w:after="0" w:line="240" w:lineRule="auto"/>
              <w:jc w:val="center"/>
              <w:rPr>
                <w:rFonts w:ascii="Arial" w:hAnsi="Arial" w:cs="Arial"/>
                <w:sz w:val="20"/>
                <w:szCs w:val="20"/>
                <w:lang w:val="es-ES_tradnl" w:eastAsia="zh-CN"/>
              </w:rPr>
            </w:pPr>
          </w:p>
          <w:p w14:paraId="2B1C8E9F" w14:textId="77777777" w:rsidR="00192117" w:rsidRPr="004E0543" w:rsidRDefault="00192117" w:rsidP="00D12B69">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2.46</w:t>
            </w:r>
          </w:p>
        </w:tc>
        <w:tc>
          <w:tcPr>
            <w:tcW w:w="1080" w:type="dxa"/>
            <w:tcBorders>
              <w:top w:val="single" w:sz="4" w:space="0" w:color="auto"/>
              <w:left w:val="single" w:sz="4" w:space="0" w:color="auto"/>
              <w:bottom w:val="single" w:sz="4" w:space="0" w:color="auto"/>
              <w:right w:val="single" w:sz="4" w:space="0" w:color="auto"/>
            </w:tcBorders>
            <w:vAlign w:val="center"/>
          </w:tcPr>
          <w:p w14:paraId="01983777" w14:textId="77777777" w:rsidR="00192117" w:rsidRPr="004E0543" w:rsidRDefault="00192117" w:rsidP="00F72E1B">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1170" w:type="dxa"/>
            <w:tcBorders>
              <w:top w:val="single" w:sz="4" w:space="0" w:color="auto"/>
              <w:left w:val="single" w:sz="4" w:space="0" w:color="auto"/>
              <w:bottom w:val="single" w:sz="4" w:space="0" w:color="auto"/>
              <w:right w:val="single" w:sz="4" w:space="0" w:color="auto"/>
            </w:tcBorders>
          </w:tcPr>
          <w:p w14:paraId="47949191" w14:textId="77777777" w:rsidR="00192117" w:rsidRDefault="00192117" w:rsidP="00F72E1B">
            <w:pPr>
              <w:spacing w:after="0" w:line="240" w:lineRule="auto"/>
              <w:jc w:val="center"/>
              <w:rPr>
                <w:rFonts w:ascii="Arial" w:hAnsi="Arial" w:cs="Arial"/>
                <w:sz w:val="20"/>
                <w:szCs w:val="20"/>
                <w:lang w:val="es-ES_tradnl" w:eastAsia="zh-CN"/>
              </w:rPr>
            </w:pPr>
          </w:p>
          <w:p w14:paraId="29A15081" w14:textId="77777777" w:rsidR="00192117" w:rsidRDefault="00192117" w:rsidP="00F72E1B">
            <w:pPr>
              <w:spacing w:after="0" w:line="240" w:lineRule="auto"/>
              <w:jc w:val="center"/>
              <w:rPr>
                <w:rFonts w:ascii="Arial" w:hAnsi="Arial" w:cs="Arial"/>
                <w:sz w:val="20"/>
                <w:szCs w:val="20"/>
                <w:lang w:val="es-ES_tradnl" w:eastAsia="zh-CN"/>
              </w:rPr>
            </w:pPr>
          </w:p>
          <w:p w14:paraId="771B1848" w14:textId="77777777" w:rsidR="00192117" w:rsidRDefault="00192117" w:rsidP="00F72E1B">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2.82</w:t>
            </w:r>
          </w:p>
          <w:p w14:paraId="657F88F3" w14:textId="77777777" w:rsidR="00192117" w:rsidRPr="00F72E1B" w:rsidRDefault="00192117" w:rsidP="00CE5907">
            <w:pPr>
              <w:spacing w:after="0" w:line="240" w:lineRule="auto"/>
              <w:rPr>
                <w:rFonts w:ascii="Arial" w:hAnsi="Arial" w:cs="Arial"/>
                <w:sz w:val="20"/>
                <w:szCs w:val="20"/>
                <w:lang w:val="es-ES_tradnl" w:eastAsia="zh-CN"/>
              </w:rPr>
            </w:pPr>
          </w:p>
        </w:tc>
        <w:tc>
          <w:tcPr>
            <w:tcW w:w="1780" w:type="dxa"/>
            <w:tcBorders>
              <w:top w:val="single" w:sz="4" w:space="0" w:color="auto"/>
              <w:left w:val="single" w:sz="4" w:space="0" w:color="auto"/>
              <w:bottom w:val="single" w:sz="4" w:space="0" w:color="auto"/>
              <w:right w:val="single" w:sz="4" w:space="0" w:color="auto"/>
            </w:tcBorders>
          </w:tcPr>
          <w:p w14:paraId="68B5C9C9" w14:textId="77777777" w:rsidR="00192117" w:rsidRDefault="00192117" w:rsidP="00F72E1B">
            <w:pPr>
              <w:spacing w:after="0" w:line="240" w:lineRule="auto"/>
              <w:ind w:hanging="18"/>
              <w:jc w:val="center"/>
              <w:rPr>
                <w:rFonts w:ascii="Arial" w:hAnsi="Arial" w:cs="Arial"/>
                <w:sz w:val="20"/>
                <w:szCs w:val="20"/>
                <w:lang w:eastAsia="es-PA"/>
              </w:rPr>
            </w:pPr>
          </w:p>
          <w:p w14:paraId="210B195C" w14:textId="77777777" w:rsidR="00192117" w:rsidRDefault="00192117" w:rsidP="00F72E1B">
            <w:pPr>
              <w:spacing w:after="0" w:line="240" w:lineRule="auto"/>
              <w:ind w:hanging="18"/>
              <w:jc w:val="center"/>
              <w:rPr>
                <w:rFonts w:ascii="Arial" w:hAnsi="Arial" w:cs="Arial"/>
                <w:sz w:val="20"/>
                <w:szCs w:val="20"/>
                <w:lang w:eastAsia="es-PA"/>
              </w:rPr>
            </w:pPr>
          </w:p>
          <w:p w14:paraId="41D8A322" w14:textId="77777777" w:rsidR="00192117" w:rsidRDefault="00192117" w:rsidP="00F72E1B">
            <w:pPr>
              <w:spacing w:after="0" w:line="240" w:lineRule="auto"/>
              <w:ind w:hanging="18"/>
              <w:jc w:val="center"/>
              <w:rPr>
                <w:rFonts w:ascii="Arial" w:hAnsi="Arial" w:cs="Arial"/>
                <w:sz w:val="20"/>
                <w:szCs w:val="20"/>
                <w:lang w:eastAsia="es-PA"/>
              </w:rPr>
            </w:pPr>
          </w:p>
          <w:p w14:paraId="2EF7187C" w14:textId="77777777" w:rsidR="00192117" w:rsidRPr="007D4EC3" w:rsidRDefault="00192117" w:rsidP="00F72E1B">
            <w:pPr>
              <w:spacing w:after="0" w:line="240" w:lineRule="auto"/>
              <w:ind w:hanging="18"/>
              <w:jc w:val="center"/>
              <w:rPr>
                <w:rFonts w:ascii="Arial" w:hAnsi="Arial" w:cs="Arial"/>
                <w:sz w:val="20"/>
                <w:szCs w:val="20"/>
                <w:lang w:eastAsia="es-PA"/>
              </w:rPr>
            </w:pPr>
            <w:r w:rsidRPr="007D4EC3">
              <w:rPr>
                <w:rFonts w:ascii="Arial" w:hAnsi="Arial" w:cs="Arial"/>
                <w:sz w:val="20"/>
                <w:szCs w:val="20"/>
                <w:lang w:eastAsia="es-PA"/>
              </w:rPr>
              <w:t>Logistics Performance Index Report LPI – World Bank</w:t>
            </w:r>
          </w:p>
          <w:p w14:paraId="58730B50" w14:textId="77777777" w:rsidR="00192117" w:rsidRPr="00F72E1B" w:rsidRDefault="00192117" w:rsidP="00F72E1B">
            <w:pPr>
              <w:rPr>
                <w:rFonts w:ascii="Arial" w:hAnsi="Arial" w:cs="Arial"/>
                <w:sz w:val="20"/>
                <w:szCs w:val="20"/>
                <w:lang w:eastAsia="zh-CN"/>
              </w:rPr>
            </w:pPr>
          </w:p>
        </w:tc>
        <w:tc>
          <w:tcPr>
            <w:tcW w:w="4860" w:type="dxa"/>
            <w:tcBorders>
              <w:top w:val="single" w:sz="4" w:space="0" w:color="auto"/>
              <w:left w:val="single" w:sz="4" w:space="0" w:color="auto"/>
              <w:bottom w:val="single" w:sz="4" w:space="0" w:color="auto"/>
              <w:right w:val="single" w:sz="4" w:space="0" w:color="auto"/>
            </w:tcBorders>
          </w:tcPr>
          <w:p w14:paraId="5085D3BA" w14:textId="77777777" w:rsidR="00192117" w:rsidRPr="00382B6D" w:rsidRDefault="00192117" w:rsidP="00382B6D">
            <w:pPr>
              <w:spacing w:after="0" w:line="240" w:lineRule="auto"/>
              <w:ind w:hanging="18"/>
              <w:jc w:val="both"/>
              <w:rPr>
                <w:rFonts w:ascii="Arial" w:hAnsi="Arial" w:cs="Arial"/>
                <w:sz w:val="18"/>
                <w:szCs w:val="20"/>
                <w:lang w:val="es-ES_tradnl"/>
              </w:rPr>
            </w:pPr>
            <w:r>
              <w:rPr>
                <w:rFonts w:ascii="Arial" w:hAnsi="Arial" w:cs="Arial"/>
                <w:sz w:val="18"/>
                <w:szCs w:val="20"/>
                <w:lang w:val="es-ES_tradnl"/>
              </w:rPr>
              <w:t>El índice varía entre 1 (bajo)–5 (alto).</w:t>
            </w:r>
            <w:r w:rsidR="00382B6D">
              <w:rPr>
                <w:rFonts w:ascii="Arial" w:hAnsi="Arial" w:cs="Arial"/>
                <w:sz w:val="18"/>
                <w:szCs w:val="20"/>
                <w:lang w:val="es-ES_tradnl"/>
              </w:rPr>
              <w:t xml:space="preserve"> </w:t>
            </w:r>
            <w:r>
              <w:rPr>
                <w:rStyle w:val="hps"/>
                <w:rFonts w:ascii="Arial" w:hAnsi="Arial" w:cs="Arial"/>
                <w:color w:val="222222"/>
                <w:sz w:val="18"/>
                <w:szCs w:val="20"/>
                <w:lang w:val="es-ES"/>
              </w:rPr>
              <w:t>El Índice</w:t>
            </w:r>
            <w:r>
              <w:rPr>
                <w:rFonts w:ascii="Arial" w:hAnsi="Arial" w:cs="Arial"/>
                <w:color w:val="222222"/>
                <w:sz w:val="18"/>
                <w:szCs w:val="20"/>
                <w:lang w:val="es-ES"/>
              </w:rPr>
              <w:t xml:space="preserve"> </w:t>
            </w:r>
            <w:r>
              <w:rPr>
                <w:rStyle w:val="hps"/>
                <w:rFonts w:ascii="Arial" w:hAnsi="Arial" w:cs="Arial"/>
                <w:color w:val="222222"/>
                <w:sz w:val="18"/>
                <w:szCs w:val="20"/>
                <w:lang w:val="es-ES"/>
              </w:rPr>
              <w:t>de Desempeño Logístico</w:t>
            </w:r>
            <w:r>
              <w:rPr>
                <w:rFonts w:ascii="Arial" w:hAnsi="Arial" w:cs="Arial"/>
                <w:color w:val="222222"/>
                <w:sz w:val="18"/>
                <w:szCs w:val="20"/>
                <w:lang w:val="es-ES"/>
              </w:rPr>
              <w:t xml:space="preserve"> </w:t>
            </w:r>
            <w:r>
              <w:rPr>
                <w:rStyle w:val="hps"/>
                <w:rFonts w:ascii="Arial" w:hAnsi="Arial" w:cs="Arial"/>
                <w:color w:val="222222"/>
                <w:sz w:val="18"/>
                <w:szCs w:val="20"/>
                <w:lang w:val="es-ES"/>
              </w:rPr>
              <w:t>refleja</w:t>
            </w:r>
            <w:r>
              <w:rPr>
                <w:rFonts w:ascii="Arial" w:hAnsi="Arial" w:cs="Arial"/>
                <w:color w:val="222222"/>
                <w:sz w:val="18"/>
                <w:szCs w:val="20"/>
                <w:lang w:val="es-ES"/>
              </w:rPr>
              <w:t xml:space="preserve"> el desempeño </w:t>
            </w:r>
            <w:r>
              <w:rPr>
                <w:rStyle w:val="hps"/>
                <w:rFonts w:ascii="Arial" w:hAnsi="Arial" w:cs="Arial"/>
                <w:color w:val="222222"/>
                <w:sz w:val="18"/>
                <w:szCs w:val="20"/>
                <w:lang w:val="es-ES"/>
              </w:rPr>
              <w:t>del sector logístico</w:t>
            </w:r>
            <w:r>
              <w:rPr>
                <w:rFonts w:ascii="Arial" w:hAnsi="Arial" w:cs="Arial"/>
                <w:color w:val="222222"/>
                <w:sz w:val="18"/>
                <w:szCs w:val="20"/>
                <w:lang w:val="es-ES"/>
              </w:rPr>
              <w:t xml:space="preserve"> </w:t>
            </w:r>
            <w:r>
              <w:rPr>
                <w:rStyle w:val="hps"/>
                <w:rFonts w:ascii="Arial" w:hAnsi="Arial" w:cs="Arial"/>
                <w:color w:val="222222"/>
                <w:sz w:val="18"/>
                <w:szCs w:val="20"/>
                <w:lang w:val="es-ES"/>
              </w:rPr>
              <w:t xml:space="preserve">de un país, basado en: </w:t>
            </w:r>
            <w:r>
              <w:rPr>
                <w:rStyle w:val="hps"/>
                <w:rFonts w:ascii="Arial" w:hAnsi="Arial" w:cs="Arial"/>
                <w:b/>
                <w:color w:val="222222"/>
                <w:sz w:val="18"/>
                <w:szCs w:val="20"/>
                <w:lang w:val="es-ES"/>
              </w:rPr>
              <w:t>i.</w:t>
            </w:r>
            <w:r w:rsidR="007C3A83">
              <w:rPr>
                <w:rStyle w:val="hps"/>
                <w:rFonts w:ascii="Arial" w:hAnsi="Arial" w:cs="Arial"/>
                <w:b/>
                <w:color w:val="222222"/>
                <w:sz w:val="18"/>
                <w:szCs w:val="20"/>
                <w:lang w:val="es-ES"/>
              </w:rPr>
              <w:t xml:space="preserve"> </w:t>
            </w:r>
            <w:r>
              <w:rPr>
                <w:rStyle w:val="hps"/>
                <w:rFonts w:ascii="Arial" w:hAnsi="Arial" w:cs="Arial"/>
                <w:color w:val="222222"/>
                <w:sz w:val="18"/>
                <w:szCs w:val="20"/>
                <w:lang w:val="es-ES"/>
              </w:rPr>
              <w:t>la eficiencia</w:t>
            </w:r>
            <w:r>
              <w:rPr>
                <w:rFonts w:ascii="Arial" w:hAnsi="Arial" w:cs="Arial"/>
                <w:color w:val="222222"/>
                <w:sz w:val="18"/>
                <w:szCs w:val="20"/>
                <w:lang w:val="es-ES"/>
              </w:rPr>
              <w:t xml:space="preserve"> </w:t>
            </w:r>
            <w:r>
              <w:rPr>
                <w:rStyle w:val="hps"/>
                <w:rFonts w:ascii="Arial" w:hAnsi="Arial" w:cs="Arial"/>
                <w:color w:val="222222"/>
                <w:sz w:val="18"/>
                <w:szCs w:val="20"/>
                <w:lang w:val="es-ES"/>
              </w:rPr>
              <w:t>del</w:t>
            </w:r>
            <w:r>
              <w:rPr>
                <w:rFonts w:ascii="Arial" w:hAnsi="Arial" w:cs="Arial"/>
                <w:color w:val="222222"/>
                <w:sz w:val="18"/>
                <w:szCs w:val="20"/>
                <w:lang w:val="es-ES"/>
              </w:rPr>
              <w:t xml:space="preserve"> </w:t>
            </w:r>
            <w:r>
              <w:rPr>
                <w:rStyle w:val="hps"/>
                <w:rFonts w:ascii="Arial" w:hAnsi="Arial" w:cs="Arial"/>
                <w:color w:val="222222"/>
                <w:sz w:val="18"/>
                <w:szCs w:val="20"/>
                <w:lang w:val="es-ES"/>
              </w:rPr>
              <w:t>proceso de</w:t>
            </w:r>
            <w:r>
              <w:rPr>
                <w:rFonts w:ascii="Arial" w:hAnsi="Arial" w:cs="Arial"/>
                <w:color w:val="222222"/>
                <w:sz w:val="18"/>
                <w:szCs w:val="20"/>
                <w:lang w:val="es-ES"/>
              </w:rPr>
              <w:t xml:space="preserve"> </w:t>
            </w:r>
            <w:r>
              <w:rPr>
                <w:rStyle w:val="hps"/>
                <w:rFonts w:ascii="Arial" w:hAnsi="Arial" w:cs="Arial"/>
                <w:color w:val="222222"/>
                <w:sz w:val="18"/>
                <w:szCs w:val="20"/>
                <w:lang w:val="es-ES"/>
              </w:rPr>
              <w:t xml:space="preserve">despacho de aduanas y fronteras; </w:t>
            </w:r>
            <w:r>
              <w:rPr>
                <w:rStyle w:val="hps"/>
                <w:rFonts w:ascii="Arial" w:hAnsi="Arial" w:cs="Arial"/>
                <w:b/>
                <w:color w:val="222222"/>
                <w:sz w:val="18"/>
                <w:szCs w:val="20"/>
                <w:lang w:val="es-ES"/>
              </w:rPr>
              <w:t>ii.</w:t>
            </w:r>
            <w:r>
              <w:rPr>
                <w:rFonts w:ascii="Arial" w:hAnsi="Arial" w:cs="Arial"/>
                <w:color w:val="222222"/>
                <w:sz w:val="18"/>
                <w:szCs w:val="20"/>
                <w:lang w:val="es-ES"/>
              </w:rPr>
              <w:t xml:space="preserve"> la calidad </w:t>
            </w:r>
            <w:r>
              <w:rPr>
                <w:rStyle w:val="hps"/>
                <w:rFonts w:ascii="Arial" w:hAnsi="Arial" w:cs="Arial"/>
                <w:color w:val="222222"/>
                <w:sz w:val="18"/>
                <w:szCs w:val="20"/>
                <w:lang w:val="es-ES"/>
              </w:rPr>
              <w:t>del</w:t>
            </w:r>
            <w:r>
              <w:rPr>
                <w:rFonts w:ascii="Arial" w:hAnsi="Arial" w:cs="Arial"/>
                <w:color w:val="222222"/>
                <w:sz w:val="18"/>
                <w:szCs w:val="20"/>
                <w:lang w:val="es-ES"/>
              </w:rPr>
              <w:t xml:space="preserve"> </w:t>
            </w:r>
            <w:r>
              <w:rPr>
                <w:rStyle w:val="hps"/>
                <w:rFonts w:ascii="Arial" w:hAnsi="Arial" w:cs="Arial"/>
                <w:color w:val="222222"/>
                <w:sz w:val="18"/>
                <w:szCs w:val="20"/>
                <w:lang w:val="es-ES"/>
              </w:rPr>
              <w:t>comercio y</w:t>
            </w:r>
            <w:r>
              <w:rPr>
                <w:rFonts w:ascii="Arial" w:hAnsi="Arial" w:cs="Arial"/>
                <w:color w:val="222222"/>
                <w:sz w:val="18"/>
                <w:szCs w:val="20"/>
                <w:lang w:val="es-ES"/>
              </w:rPr>
              <w:t xml:space="preserve"> </w:t>
            </w:r>
            <w:r>
              <w:rPr>
                <w:rStyle w:val="hps"/>
                <w:rFonts w:ascii="Arial" w:hAnsi="Arial" w:cs="Arial"/>
                <w:color w:val="222222"/>
                <w:sz w:val="18"/>
                <w:szCs w:val="20"/>
                <w:lang w:val="es-ES"/>
              </w:rPr>
              <w:t>la infraestructura</w:t>
            </w:r>
            <w:r>
              <w:rPr>
                <w:rFonts w:ascii="Arial" w:hAnsi="Arial" w:cs="Arial"/>
                <w:color w:val="222222"/>
                <w:sz w:val="18"/>
                <w:szCs w:val="20"/>
                <w:lang w:val="es-ES"/>
              </w:rPr>
              <w:t xml:space="preserve"> </w:t>
            </w:r>
            <w:r>
              <w:rPr>
                <w:rStyle w:val="hps"/>
                <w:rFonts w:ascii="Arial" w:hAnsi="Arial" w:cs="Arial"/>
                <w:color w:val="222222"/>
                <w:sz w:val="18"/>
                <w:szCs w:val="20"/>
                <w:lang w:val="es-ES"/>
              </w:rPr>
              <w:t xml:space="preserve">relacionada con el transporte; </w:t>
            </w:r>
            <w:r>
              <w:rPr>
                <w:rStyle w:val="hps"/>
                <w:rFonts w:ascii="Arial" w:hAnsi="Arial" w:cs="Arial"/>
                <w:b/>
                <w:color w:val="222222"/>
                <w:sz w:val="18"/>
                <w:szCs w:val="20"/>
                <w:lang w:val="es-ES"/>
              </w:rPr>
              <w:t xml:space="preserve">iii. </w:t>
            </w:r>
            <w:r>
              <w:rPr>
                <w:rFonts w:ascii="Arial" w:hAnsi="Arial" w:cs="Arial"/>
                <w:color w:val="222222"/>
                <w:sz w:val="18"/>
                <w:szCs w:val="20"/>
                <w:lang w:val="es-ES"/>
              </w:rPr>
              <w:t xml:space="preserve">la facilidad de </w:t>
            </w:r>
            <w:r>
              <w:rPr>
                <w:rStyle w:val="hps"/>
                <w:rFonts w:ascii="Arial" w:hAnsi="Arial" w:cs="Arial"/>
                <w:color w:val="222222"/>
                <w:sz w:val="18"/>
                <w:szCs w:val="20"/>
                <w:lang w:val="es-ES"/>
              </w:rPr>
              <w:t>organizar</w:t>
            </w:r>
            <w:r>
              <w:rPr>
                <w:rFonts w:ascii="Arial" w:hAnsi="Arial" w:cs="Arial"/>
                <w:color w:val="222222"/>
                <w:sz w:val="18"/>
                <w:szCs w:val="20"/>
                <w:lang w:val="es-ES"/>
              </w:rPr>
              <w:t xml:space="preserve"> </w:t>
            </w:r>
            <w:r>
              <w:rPr>
                <w:rStyle w:val="hps"/>
                <w:rFonts w:ascii="Arial" w:hAnsi="Arial" w:cs="Arial"/>
                <w:color w:val="222222"/>
                <w:sz w:val="18"/>
                <w:szCs w:val="20"/>
                <w:lang w:val="es-ES"/>
              </w:rPr>
              <w:t>los envíos</w:t>
            </w:r>
            <w:r>
              <w:rPr>
                <w:rFonts w:ascii="Arial" w:hAnsi="Arial" w:cs="Arial"/>
                <w:color w:val="222222"/>
                <w:sz w:val="18"/>
                <w:szCs w:val="20"/>
                <w:lang w:val="es-ES"/>
              </w:rPr>
              <w:t xml:space="preserve"> </w:t>
            </w:r>
            <w:r>
              <w:rPr>
                <w:rStyle w:val="hps"/>
                <w:rFonts w:ascii="Arial" w:hAnsi="Arial" w:cs="Arial"/>
                <w:color w:val="222222"/>
                <w:sz w:val="18"/>
                <w:szCs w:val="20"/>
                <w:lang w:val="es-ES"/>
              </w:rPr>
              <w:t xml:space="preserve">a precios competitivos; </w:t>
            </w:r>
            <w:r>
              <w:rPr>
                <w:rStyle w:val="hps"/>
                <w:rFonts w:ascii="Arial" w:hAnsi="Arial" w:cs="Arial"/>
                <w:b/>
                <w:color w:val="222222"/>
                <w:sz w:val="18"/>
                <w:szCs w:val="20"/>
                <w:lang w:val="es-ES"/>
              </w:rPr>
              <w:t xml:space="preserve">iv. </w:t>
            </w:r>
            <w:r>
              <w:rPr>
                <w:rStyle w:val="hps"/>
                <w:rFonts w:ascii="Arial" w:hAnsi="Arial" w:cs="Arial"/>
                <w:color w:val="222222"/>
                <w:sz w:val="18"/>
                <w:szCs w:val="20"/>
                <w:lang w:val="es-ES"/>
              </w:rPr>
              <w:t>la calidad de los servicios</w:t>
            </w:r>
            <w:r>
              <w:rPr>
                <w:rFonts w:ascii="Arial" w:hAnsi="Arial" w:cs="Arial"/>
                <w:color w:val="222222"/>
                <w:sz w:val="18"/>
                <w:szCs w:val="20"/>
                <w:lang w:val="es-ES"/>
              </w:rPr>
              <w:t xml:space="preserve"> </w:t>
            </w:r>
            <w:r>
              <w:rPr>
                <w:rStyle w:val="hps"/>
                <w:rFonts w:ascii="Arial" w:hAnsi="Arial" w:cs="Arial"/>
                <w:color w:val="222222"/>
                <w:sz w:val="18"/>
                <w:szCs w:val="20"/>
                <w:lang w:val="es-ES"/>
              </w:rPr>
              <w:t xml:space="preserve">de logística; </w:t>
            </w:r>
            <w:r>
              <w:rPr>
                <w:rStyle w:val="hps"/>
                <w:rFonts w:ascii="Arial" w:hAnsi="Arial" w:cs="Arial"/>
                <w:b/>
                <w:color w:val="222222"/>
                <w:sz w:val="18"/>
                <w:szCs w:val="20"/>
                <w:lang w:val="es-ES"/>
              </w:rPr>
              <w:t>v.</w:t>
            </w:r>
            <w:r>
              <w:rPr>
                <w:rStyle w:val="hps"/>
                <w:rFonts w:ascii="Arial" w:hAnsi="Arial" w:cs="Arial"/>
                <w:color w:val="222222"/>
                <w:sz w:val="18"/>
                <w:szCs w:val="20"/>
                <w:lang w:val="es-ES"/>
              </w:rPr>
              <w:t xml:space="preserve"> la</w:t>
            </w:r>
            <w:r>
              <w:rPr>
                <w:rFonts w:ascii="Arial" w:hAnsi="Arial" w:cs="Arial"/>
                <w:color w:val="222222"/>
                <w:sz w:val="18"/>
                <w:szCs w:val="20"/>
                <w:lang w:val="es-ES"/>
              </w:rPr>
              <w:t xml:space="preserve"> </w:t>
            </w:r>
            <w:r>
              <w:rPr>
                <w:rStyle w:val="hps"/>
                <w:rFonts w:ascii="Arial" w:hAnsi="Arial" w:cs="Arial"/>
                <w:color w:val="222222"/>
                <w:sz w:val="18"/>
                <w:szCs w:val="20"/>
                <w:lang w:val="es-ES"/>
              </w:rPr>
              <w:t>capacidad de</w:t>
            </w:r>
            <w:r>
              <w:rPr>
                <w:rFonts w:ascii="Arial" w:hAnsi="Arial" w:cs="Arial"/>
                <w:color w:val="222222"/>
                <w:sz w:val="18"/>
                <w:szCs w:val="20"/>
                <w:lang w:val="es-ES"/>
              </w:rPr>
              <w:t xml:space="preserve"> </w:t>
            </w:r>
            <w:r>
              <w:rPr>
                <w:rStyle w:val="hps"/>
                <w:rFonts w:ascii="Arial" w:hAnsi="Arial" w:cs="Arial"/>
                <w:color w:val="222222"/>
                <w:sz w:val="18"/>
                <w:szCs w:val="20"/>
                <w:lang w:val="es-ES"/>
              </w:rPr>
              <w:t>seguimiento y rastreo de</w:t>
            </w:r>
            <w:r>
              <w:rPr>
                <w:rFonts w:ascii="Arial" w:hAnsi="Arial" w:cs="Arial"/>
                <w:color w:val="222222"/>
                <w:sz w:val="18"/>
                <w:szCs w:val="20"/>
                <w:lang w:val="es-ES"/>
              </w:rPr>
              <w:t xml:space="preserve"> </w:t>
            </w:r>
            <w:r>
              <w:rPr>
                <w:rStyle w:val="hps"/>
                <w:rFonts w:ascii="Arial" w:hAnsi="Arial" w:cs="Arial"/>
                <w:color w:val="222222"/>
                <w:sz w:val="18"/>
                <w:szCs w:val="20"/>
                <w:lang w:val="es-ES"/>
              </w:rPr>
              <w:t xml:space="preserve">envíos; y </w:t>
            </w:r>
            <w:r>
              <w:rPr>
                <w:rStyle w:val="hps"/>
                <w:rFonts w:ascii="Arial" w:hAnsi="Arial" w:cs="Arial"/>
                <w:b/>
                <w:color w:val="222222"/>
                <w:sz w:val="18"/>
                <w:szCs w:val="20"/>
                <w:lang w:val="es-ES"/>
              </w:rPr>
              <w:t xml:space="preserve">vi. </w:t>
            </w:r>
            <w:r>
              <w:rPr>
                <w:rStyle w:val="hps"/>
                <w:rFonts w:ascii="Arial" w:hAnsi="Arial" w:cs="Arial"/>
                <w:color w:val="222222"/>
                <w:sz w:val="18"/>
                <w:szCs w:val="20"/>
                <w:lang w:val="es-ES"/>
              </w:rPr>
              <w:t>la frecuencia</w:t>
            </w:r>
            <w:r>
              <w:rPr>
                <w:rFonts w:ascii="Arial" w:hAnsi="Arial" w:cs="Arial"/>
                <w:color w:val="222222"/>
                <w:sz w:val="18"/>
                <w:szCs w:val="20"/>
                <w:lang w:val="es-ES"/>
              </w:rPr>
              <w:t xml:space="preserve"> </w:t>
            </w:r>
            <w:r>
              <w:rPr>
                <w:rStyle w:val="hps"/>
                <w:rFonts w:ascii="Arial" w:hAnsi="Arial" w:cs="Arial"/>
                <w:color w:val="222222"/>
                <w:sz w:val="18"/>
                <w:szCs w:val="20"/>
                <w:lang w:val="es-ES"/>
              </w:rPr>
              <w:t>con la que</w:t>
            </w:r>
            <w:r>
              <w:rPr>
                <w:rFonts w:ascii="Arial" w:hAnsi="Arial" w:cs="Arial"/>
                <w:color w:val="222222"/>
                <w:sz w:val="18"/>
                <w:szCs w:val="20"/>
                <w:lang w:val="es-ES"/>
              </w:rPr>
              <w:t xml:space="preserve"> </w:t>
            </w:r>
            <w:r>
              <w:rPr>
                <w:rStyle w:val="hps"/>
                <w:rFonts w:ascii="Arial" w:hAnsi="Arial" w:cs="Arial"/>
                <w:color w:val="222222"/>
                <w:sz w:val="18"/>
                <w:szCs w:val="20"/>
                <w:lang w:val="es-ES"/>
              </w:rPr>
              <w:t>los envíos</w:t>
            </w:r>
            <w:r>
              <w:rPr>
                <w:rFonts w:ascii="Arial" w:hAnsi="Arial" w:cs="Arial"/>
                <w:color w:val="222222"/>
                <w:sz w:val="18"/>
                <w:szCs w:val="20"/>
                <w:lang w:val="es-ES"/>
              </w:rPr>
              <w:t xml:space="preserve"> </w:t>
            </w:r>
            <w:r>
              <w:rPr>
                <w:rStyle w:val="hps"/>
                <w:rFonts w:ascii="Arial" w:hAnsi="Arial" w:cs="Arial"/>
                <w:color w:val="222222"/>
                <w:sz w:val="18"/>
                <w:szCs w:val="20"/>
                <w:lang w:val="es-ES"/>
              </w:rPr>
              <w:t>llegan</w:t>
            </w:r>
            <w:r>
              <w:rPr>
                <w:rFonts w:ascii="Arial" w:hAnsi="Arial" w:cs="Arial"/>
                <w:color w:val="222222"/>
                <w:sz w:val="18"/>
                <w:szCs w:val="20"/>
                <w:lang w:val="es-ES"/>
              </w:rPr>
              <w:t xml:space="preserve"> </w:t>
            </w:r>
            <w:r>
              <w:rPr>
                <w:rStyle w:val="hps"/>
                <w:rFonts w:ascii="Arial" w:hAnsi="Arial" w:cs="Arial"/>
                <w:color w:val="222222"/>
                <w:sz w:val="18"/>
                <w:szCs w:val="20"/>
                <w:lang w:val="es-ES"/>
              </w:rPr>
              <w:t>al destinatario</w:t>
            </w:r>
            <w:r>
              <w:rPr>
                <w:rFonts w:ascii="Arial" w:hAnsi="Arial" w:cs="Arial"/>
                <w:color w:val="222222"/>
                <w:sz w:val="18"/>
                <w:szCs w:val="20"/>
                <w:lang w:val="es-ES"/>
              </w:rPr>
              <w:t xml:space="preserve"> </w:t>
            </w:r>
            <w:r>
              <w:rPr>
                <w:rStyle w:val="hps"/>
                <w:rFonts w:ascii="Arial" w:hAnsi="Arial" w:cs="Arial"/>
                <w:color w:val="222222"/>
                <w:sz w:val="18"/>
                <w:szCs w:val="20"/>
                <w:lang w:val="es-ES"/>
              </w:rPr>
              <w:t>dentro del tiempo</w:t>
            </w:r>
            <w:r>
              <w:rPr>
                <w:rFonts w:ascii="Arial" w:hAnsi="Arial" w:cs="Arial"/>
                <w:color w:val="222222"/>
                <w:sz w:val="18"/>
                <w:szCs w:val="20"/>
                <w:lang w:val="es-ES"/>
              </w:rPr>
              <w:t xml:space="preserve"> </w:t>
            </w:r>
            <w:r>
              <w:rPr>
                <w:rStyle w:val="hps"/>
                <w:rFonts w:ascii="Arial" w:hAnsi="Arial" w:cs="Arial"/>
                <w:color w:val="222222"/>
                <w:sz w:val="18"/>
                <w:szCs w:val="20"/>
                <w:lang w:val="es-ES"/>
              </w:rPr>
              <w:t>programado.</w:t>
            </w:r>
          </w:p>
        </w:tc>
      </w:tr>
      <w:tr w:rsidR="00B50236" w:rsidRPr="001264CF" w14:paraId="39A6CB3B" w14:textId="77777777" w:rsidTr="00192117">
        <w:trPr>
          <w:trHeight w:val="64"/>
        </w:trPr>
        <w:tc>
          <w:tcPr>
            <w:tcW w:w="13585" w:type="dxa"/>
            <w:gridSpan w:val="8"/>
            <w:tcBorders>
              <w:top w:val="single" w:sz="4" w:space="0" w:color="auto"/>
              <w:left w:val="single" w:sz="4" w:space="0" w:color="auto"/>
              <w:bottom w:val="single" w:sz="4" w:space="0" w:color="auto"/>
              <w:right w:val="single" w:sz="4" w:space="0" w:color="auto"/>
            </w:tcBorders>
          </w:tcPr>
          <w:p w14:paraId="7A340B6A" w14:textId="77777777" w:rsidR="00B50236" w:rsidRDefault="00B50236" w:rsidP="00B50236">
            <w:pPr>
              <w:spacing w:after="0" w:line="240" w:lineRule="auto"/>
              <w:ind w:hanging="18"/>
              <w:jc w:val="both"/>
              <w:rPr>
                <w:rFonts w:ascii="Arial" w:hAnsi="Arial" w:cs="Arial"/>
                <w:sz w:val="18"/>
                <w:szCs w:val="20"/>
                <w:lang w:val="es-ES_tradnl"/>
              </w:rPr>
            </w:pPr>
            <w:r w:rsidRPr="00DA32FA">
              <w:rPr>
                <w:rFonts w:ascii="Arial" w:hAnsi="Arial" w:cs="Arial"/>
                <w:b/>
                <w:sz w:val="20"/>
                <w:szCs w:val="20"/>
                <w:u w:val="single"/>
                <w:lang w:val="es-ES_tradnl"/>
              </w:rPr>
              <w:t>IMPACTO</w:t>
            </w:r>
            <w:r w:rsidR="00675757">
              <w:rPr>
                <w:rFonts w:ascii="Arial" w:hAnsi="Arial" w:cs="Arial"/>
                <w:b/>
                <w:sz w:val="20"/>
                <w:szCs w:val="20"/>
                <w:u w:val="single"/>
                <w:lang w:val="es-ES_tradnl"/>
              </w:rPr>
              <w:t xml:space="preserve"> # 2</w:t>
            </w:r>
            <w:r w:rsidRPr="00DA32FA">
              <w:rPr>
                <w:rFonts w:ascii="Arial" w:hAnsi="Arial" w:cs="Arial"/>
                <w:b/>
                <w:sz w:val="20"/>
                <w:szCs w:val="20"/>
                <w:u w:val="single"/>
                <w:lang w:val="es-ES_tradnl"/>
              </w:rPr>
              <w:t xml:space="preserve">: </w:t>
            </w:r>
            <w:r w:rsidR="00675757">
              <w:rPr>
                <w:rFonts w:ascii="Arial" w:hAnsi="Arial" w:cs="Arial"/>
                <w:b/>
                <w:sz w:val="20"/>
                <w:szCs w:val="20"/>
                <w:u w:val="single"/>
                <w:lang w:val="es-ES_tradnl"/>
              </w:rPr>
              <w:t xml:space="preserve">Incremento de </w:t>
            </w:r>
            <w:r w:rsidR="00675757" w:rsidRPr="00675757">
              <w:rPr>
                <w:rFonts w:ascii="Arial" w:hAnsi="Arial" w:cs="Arial"/>
                <w:b/>
                <w:sz w:val="20"/>
                <w:szCs w:val="20"/>
                <w:u w:val="single"/>
                <w:lang w:val="es-ES_tradnl"/>
              </w:rPr>
              <w:t>la importancia de la logística en la actividad económica nacional</w:t>
            </w:r>
          </w:p>
        </w:tc>
      </w:tr>
      <w:tr w:rsidR="00192117" w:rsidRPr="001264CF" w14:paraId="1E0BFA5F" w14:textId="77777777" w:rsidTr="00192117">
        <w:trPr>
          <w:trHeight w:val="64"/>
        </w:trPr>
        <w:tc>
          <w:tcPr>
            <w:tcW w:w="1997" w:type="dxa"/>
            <w:tcBorders>
              <w:top w:val="single" w:sz="4" w:space="0" w:color="auto"/>
              <w:left w:val="single" w:sz="4" w:space="0" w:color="auto"/>
              <w:bottom w:val="single" w:sz="4" w:space="0" w:color="auto"/>
              <w:right w:val="single" w:sz="4" w:space="0" w:color="auto"/>
            </w:tcBorders>
            <w:vAlign w:val="center"/>
          </w:tcPr>
          <w:p w14:paraId="4ECF7BA9" w14:textId="77777777" w:rsidR="00192117" w:rsidRDefault="00192117" w:rsidP="00B50236">
            <w:pPr>
              <w:pStyle w:val="ListParagraph"/>
              <w:spacing w:after="0" w:line="240" w:lineRule="auto"/>
              <w:ind w:left="0"/>
              <w:rPr>
                <w:rFonts w:ascii="Arial" w:hAnsi="Arial" w:cs="Arial"/>
                <w:sz w:val="20"/>
                <w:szCs w:val="20"/>
                <w:lang w:val="es-ES_tradnl"/>
              </w:rPr>
            </w:pPr>
            <w:r>
              <w:rPr>
                <w:rFonts w:ascii="Arial" w:hAnsi="Arial" w:cs="Arial"/>
                <w:sz w:val="20"/>
                <w:szCs w:val="20"/>
                <w:lang w:val="es-ES_tradnl" w:eastAsia="zh-CN"/>
              </w:rPr>
              <w:t>PIB logístico de Honduras/PIB nominal</w:t>
            </w:r>
          </w:p>
        </w:tc>
        <w:tc>
          <w:tcPr>
            <w:tcW w:w="1688" w:type="dxa"/>
            <w:tcBorders>
              <w:top w:val="single" w:sz="4" w:space="0" w:color="auto"/>
              <w:left w:val="single" w:sz="4" w:space="0" w:color="auto"/>
              <w:bottom w:val="single" w:sz="4" w:space="0" w:color="auto"/>
              <w:right w:val="single" w:sz="4" w:space="0" w:color="auto"/>
            </w:tcBorders>
            <w:vAlign w:val="center"/>
          </w:tcPr>
          <w:p w14:paraId="08C7EB73" w14:textId="77777777" w:rsidR="00192117" w:rsidRDefault="00192117" w:rsidP="00B50236">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w:t>
            </w:r>
          </w:p>
        </w:tc>
        <w:tc>
          <w:tcPr>
            <w:tcW w:w="1010" w:type="dxa"/>
            <w:gridSpan w:val="2"/>
            <w:tcBorders>
              <w:top w:val="single" w:sz="4" w:space="0" w:color="auto"/>
              <w:left w:val="single" w:sz="4" w:space="0" w:color="auto"/>
              <w:bottom w:val="single" w:sz="4" w:space="0" w:color="auto"/>
              <w:right w:val="single" w:sz="4" w:space="0" w:color="auto"/>
            </w:tcBorders>
          </w:tcPr>
          <w:p w14:paraId="78A04136" w14:textId="77777777" w:rsidR="00192117" w:rsidRDefault="00192117" w:rsidP="00B50236">
            <w:pPr>
              <w:spacing w:after="0" w:line="240" w:lineRule="auto"/>
              <w:jc w:val="center"/>
              <w:rPr>
                <w:rFonts w:ascii="Arial" w:hAnsi="Arial" w:cs="Arial"/>
                <w:sz w:val="20"/>
                <w:szCs w:val="20"/>
                <w:lang w:val="es-ES_tradnl" w:eastAsia="zh-CN"/>
              </w:rPr>
            </w:pPr>
          </w:p>
          <w:p w14:paraId="36F2BBCA" w14:textId="77777777" w:rsidR="00192117" w:rsidRDefault="00192117" w:rsidP="00B50236">
            <w:pPr>
              <w:spacing w:after="0" w:line="240" w:lineRule="auto"/>
              <w:jc w:val="center"/>
              <w:rPr>
                <w:rFonts w:ascii="Arial" w:hAnsi="Arial" w:cs="Arial"/>
                <w:sz w:val="20"/>
                <w:szCs w:val="20"/>
                <w:lang w:val="es-ES_tradnl" w:eastAsia="zh-CN"/>
              </w:rPr>
            </w:pPr>
          </w:p>
          <w:p w14:paraId="191B01F0" w14:textId="77777777" w:rsidR="00192117" w:rsidRDefault="00192117" w:rsidP="00B50236">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6.9</w:t>
            </w:r>
          </w:p>
        </w:tc>
        <w:tc>
          <w:tcPr>
            <w:tcW w:w="1080" w:type="dxa"/>
            <w:tcBorders>
              <w:top w:val="single" w:sz="4" w:space="0" w:color="auto"/>
              <w:left w:val="single" w:sz="4" w:space="0" w:color="auto"/>
              <w:bottom w:val="single" w:sz="4" w:space="0" w:color="auto"/>
              <w:right w:val="single" w:sz="4" w:space="0" w:color="auto"/>
            </w:tcBorders>
            <w:vAlign w:val="center"/>
          </w:tcPr>
          <w:p w14:paraId="3C260797" w14:textId="77777777" w:rsidR="00592146" w:rsidRDefault="00592146" w:rsidP="00B50236">
            <w:pPr>
              <w:spacing w:after="0" w:line="240" w:lineRule="auto"/>
              <w:jc w:val="center"/>
              <w:rPr>
                <w:rFonts w:ascii="Arial" w:hAnsi="Arial" w:cs="Arial"/>
                <w:sz w:val="20"/>
                <w:szCs w:val="20"/>
                <w:lang w:val="es-ES_tradnl" w:eastAsia="zh-CN"/>
              </w:rPr>
            </w:pPr>
          </w:p>
          <w:p w14:paraId="19FDF690" w14:textId="77777777" w:rsidR="00192117" w:rsidRDefault="00192117" w:rsidP="00B50236">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2017</w:t>
            </w:r>
          </w:p>
        </w:tc>
        <w:tc>
          <w:tcPr>
            <w:tcW w:w="1170" w:type="dxa"/>
            <w:tcBorders>
              <w:top w:val="single" w:sz="4" w:space="0" w:color="auto"/>
              <w:left w:val="single" w:sz="4" w:space="0" w:color="auto"/>
              <w:bottom w:val="single" w:sz="4" w:space="0" w:color="auto"/>
              <w:right w:val="single" w:sz="4" w:space="0" w:color="auto"/>
            </w:tcBorders>
          </w:tcPr>
          <w:p w14:paraId="3EE8A976" w14:textId="77777777" w:rsidR="00192117" w:rsidRDefault="00192117" w:rsidP="00B50236">
            <w:pPr>
              <w:spacing w:after="0" w:line="240" w:lineRule="auto"/>
              <w:jc w:val="center"/>
              <w:rPr>
                <w:rFonts w:ascii="Arial" w:hAnsi="Arial" w:cs="Arial"/>
                <w:sz w:val="20"/>
                <w:szCs w:val="20"/>
                <w:lang w:val="es-ES_tradnl" w:eastAsia="zh-CN"/>
              </w:rPr>
            </w:pPr>
          </w:p>
          <w:p w14:paraId="7EB9E1B7" w14:textId="77777777" w:rsidR="00192117" w:rsidRDefault="00192117" w:rsidP="00B50236">
            <w:pPr>
              <w:spacing w:after="0" w:line="240" w:lineRule="auto"/>
              <w:jc w:val="center"/>
              <w:rPr>
                <w:rFonts w:ascii="Arial" w:hAnsi="Arial" w:cs="Arial"/>
                <w:sz w:val="20"/>
                <w:szCs w:val="20"/>
                <w:lang w:val="es-ES_tradnl" w:eastAsia="zh-CN"/>
              </w:rPr>
            </w:pPr>
          </w:p>
          <w:p w14:paraId="3C151F1E" w14:textId="77777777" w:rsidR="00192117" w:rsidRDefault="00192117" w:rsidP="00B50236">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7.1</w:t>
            </w:r>
          </w:p>
        </w:tc>
        <w:tc>
          <w:tcPr>
            <w:tcW w:w="1780" w:type="dxa"/>
            <w:tcBorders>
              <w:top w:val="single" w:sz="4" w:space="0" w:color="auto"/>
              <w:left w:val="single" w:sz="4" w:space="0" w:color="auto"/>
              <w:bottom w:val="single" w:sz="4" w:space="0" w:color="auto"/>
              <w:right w:val="single" w:sz="4" w:space="0" w:color="auto"/>
            </w:tcBorders>
          </w:tcPr>
          <w:p w14:paraId="1157A2A2" w14:textId="77777777" w:rsidR="00192117" w:rsidRPr="00B50236" w:rsidRDefault="00192117" w:rsidP="00B50236">
            <w:pPr>
              <w:spacing w:after="0" w:line="240" w:lineRule="auto"/>
              <w:ind w:hanging="18"/>
              <w:jc w:val="center"/>
              <w:rPr>
                <w:rFonts w:ascii="Arial" w:hAnsi="Arial" w:cs="Arial"/>
                <w:sz w:val="20"/>
                <w:szCs w:val="20"/>
                <w:lang w:val="es-ES_tradnl" w:eastAsia="es-PA"/>
              </w:rPr>
            </w:pPr>
            <w:r>
              <w:rPr>
                <w:rFonts w:ascii="Arial" w:hAnsi="Arial" w:cs="Arial"/>
                <w:sz w:val="20"/>
                <w:szCs w:val="20"/>
                <w:lang w:val="es-ES_tradnl" w:eastAsia="es-PA"/>
              </w:rPr>
              <w:t>Estadísticas de las cuentas nacionales del BCH</w:t>
            </w:r>
          </w:p>
        </w:tc>
        <w:tc>
          <w:tcPr>
            <w:tcW w:w="4860" w:type="dxa"/>
            <w:tcBorders>
              <w:top w:val="single" w:sz="4" w:space="0" w:color="auto"/>
              <w:left w:val="single" w:sz="4" w:space="0" w:color="auto"/>
              <w:bottom w:val="single" w:sz="4" w:space="0" w:color="auto"/>
              <w:right w:val="single" w:sz="4" w:space="0" w:color="auto"/>
            </w:tcBorders>
          </w:tcPr>
          <w:p w14:paraId="6A06E76F" w14:textId="77777777" w:rsidR="00192117" w:rsidRPr="0016756A" w:rsidRDefault="00192117" w:rsidP="00210275">
            <w:pPr>
              <w:spacing w:after="0" w:line="240" w:lineRule="auto"/>
              <w:ind w:hanging="18"/>
              <w:jc w:val="both"/>
              <w:rPr>
                <w:rFonts w:ascii="Arial" w:hAnsi="Arial" w:cs="Arial"/>
                <w:b/>
                <w:sz w:val="18"/>
                <w:szCs w:val="18"/>
                <w:lang w:val="es-ES_tradnl"/>
              </w:rPr>
            </w:pPr>
            <w:r w:rsidRPr="0016756A">
              <w:rPr>
                <w:rFonts w:ascii="Arial" w:hAnsi="Arial" w:cs="Arial"/>
                <w:b/>
                <w:sz w:val="18"/>
                <w:szCs w:val="18"/>
                <w:lang w:val="es-ES_tradnl"/>
              </w:rPr>
              <w:t>Línea de Base:</w:t>
            </w:r>
          </w:p>
          <w:p w14:paraId="25E96B36" w14:textId="77777777" w:rsidR="00192117" w:rsidRPr="0016756A" w:rsidRDefault="00192117" w:rsidP="00210275">
            <w:pPr>
              <w:spacing w:after="0" w:line="240" w:lineRule="auto"/>
              <w:ind w:hanging="18"/>
              <w:jc w:val="both"/>
              <w:rPr>
                <w:rFonts w:ascii="Arial" w:hAnsi="Arial" w:cs="Arial"/>
                <w:sz w:val="18"/>
                <w:szCs w:val="18"/>
                <w:lang w:val="es-ES_tradnl"/>
              </w:rPr>
            </w:pPr>
            <w:r w:rsidRPr="0016756A">
              <w:rPr>
                <w:rFonts w:ascii="Arial" w:hAnsi="Arial" w:cs="Arial"/>
                <w:sz w:val="18"/>
                <w:szCs w:val="18"/>
                <w:lang w:val="es-ES_tradnl"/>
              </w:rPr>
              <w:t>PIB logístico = US$1.6 mil millones</w:t>
            </w:r>
          </w:p>
          <w:p w14:paraId="06C2C0F3" w14:textId="77777777" w:rsidR="00192117" w:rsidRPr="0016756A" w:rsidRDefault="00192117" w:rsidP="00210275">
            <w:pPr>
              <w:spacing w:after="0" w:line="240" w:lineRule="auto"/>
              <w:ind w:hanging="18"/>
              <w:jc w:val="both"/>
              <w:rPr>
                <w:rFonts w:ascii="Arial" w:hAnsi="Arial" w:cs="Arial"/>
                <w:sz w:val="18"/>
                <w:szCs w:val="18"/>
                <w:lang w:val="es-ES_tradnl"/>
              </w:rPr>
            </w:pPr>
            <w:r w:rsidRPr="0016756A">
              <w:rPr>
                <w:rFonts w:ascii="Arial" w:hAnsi="Arial" w:cs="Arial"/>
                <w:sz w:val="18"/>
                <w:szCs w:val="18"/>
                <w:lang w:val="es-ES_tradnl"/>
              </w:rPr>
              <w:t>PIB</w:t>
            </w:r>
            <w:r w:rsidR="00A021D3" w:rsidRPr="0016756A">
              <w:rPr>
                <w:rFonts w:ascii="Arial" w:hAnsi="Arial" w:cs="Arial"/>
                <w:sz w:val="18"/>
                <w:szCs w:val="18"/>
                <w:lang w:val="es-ES_tradnl"/>
              </w:rPr>
              <w:t xml:space="preserve"> nominal </w:t>
            </w:r>
            <w:r w:rsidRPr="0016756A">
              <w:rPr>
                <w:rFonts w:ascii="Arial" w:hAnsi="Arial" w:cs="Arial"/>
                <w:sz w:val="18"/>
                <w:szCs w:val="18"/>
                <w:lang w:val="es-ES_tradnl"/>
              </w:rPr>
              <w:t>= US$22.82 mil millones</w:t>
            </w:r>
          </w:p>
          <w:p w14:paraId="7870E4F1" w14:textId="77777777" w:rsidR="0016756A" w:rsidRPr="0016756A" w:rsidRDefault="0016756A" w:rsidP="00210275">
            <w:pPr>
              <w:spacing w:after="0" w:line="240" w:lineRule="auto"/>
              <w:ind w:hanging="18"/>
              <w:jc w:val="both"/>
              <w:rPr>
                <w:rFonts w:ascii="Arial" w:hAnsi="Arial" w:cs="Arial"/>
                <w:sz w:val="18"/>
                <w:szCs w:val="18"/>
                <w:lang w:val="es-ES_tradnl"/>
              </w:rPr>
            </w:pPr>
            <w:r w:rsidRPr="0016756A">
              <w:rPr>
                <w:rFonts w:ascii="Arial" w:hAnsi="Arial" w:cs="Arial"/>
                <w:sz w:val="18"/>
                <w:szCs w:val="18"/>
                <w:lang w:val="es-ES_tradnl"/>
              </w:rPr>
              <w:t xml:space="preserve">Se proyecta el peso del sector logístico usando la media móvil a 12 años y extrapolando el resultado a los datos </w:t>
            </w:r>
            <w:r w:rsidRPr="0016756A">
              <w:rPr>
                <w:rFonts w:ascii="Arial" w:hAnsi="Arial" w:cs="Arial"/>
                <w:sz w:val="18"/>
                <w:szCs w:val="18"/>
                <w:lang w:val="es-ES_tradnl"/>
              </w:rPr>
              <w:lastRenderedPageBreak/>
              <w:t xml:space="preserve">proyectados del PIB Nominal de Honduras que se toma de World Economic Outlook, WEO-IMF.  </w:t>
            </w:r>
          </w:p>
        </w:tc>
      </w:tr>
    </w:tbl>
    <w:p w14:paraId="4C90DC10" w14:textId="77777777" w:rsidR="00EB04A7" w:rsidRPr="00DA32FA" w:rsidRDefault="00EB04A7" w:rsidP="00EB04A7">
      <w:pPr>
        <w:spacing w:before="240" w:after="240" w:line="240" w:lineRule="auto"/>
        <w:jc w:val="center"/>
        <w:textAlignment w:val="baseline"/>
        <w:rPr>
          <w:rFonts w:ascii="Times New Roman" w:eastAsia="Times New Roman" w:hAnsi="Times New Roman"/>
          <w:sz w:val="28"/>
          <w:szCs w:val="24"/>
        </w:rPr>
      </w:pPr>
      <w:r w:rsidRPr="00DA32FA">
        <w:rPr>
          <w:rFonts w:ascii="Arial" w:eastAsia="Times New Roman" w:hAnsi="Arial" w:cs="Arial"/>
          <w:b/>
          <w:bCs/>
          <w:smallCaps/>
          <w:color w:val="000000"/>
          <w:szCs w:val="20"/>
        </w:rPr>
        <w:lastRenderedPageBreak/>
        <w:t>Resultados Esperados</w:t>
      </w:r>
    </w:p>
    <w:tbl>
      <w:tblPr>
        <w:tblW w:w="135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35"/>
        <w:gridCol w:w="1101"/>
        <w:gridCol w:w="1329"/>
        <w:gridCol w:w="1010"/>
        <w:gridCol w:w="1330"/>
        <w:gridCol w:w="1620"/>
        <w:gridCol w:w="4860"/>
      </w:tblGrid>
      <w:tr w:rsidR="00023330" w:rsidRPr="00F17A08" w14:paraId="3F19B7F7" w14:textId="77777777" w:rsidTr="00FC5BFE">
        <w:trPr>
          <w:trHeight w:val="791"/>
          <w:tblHeader/>
        </w:trPr>
        <w:tc>
          <w:tcPr>
            <w:tcW w:w="23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C572B93" w14:textId="77777777" w:rsidR="00023330" w:rsidRPr="00F17A08" w:rsidRDefault="00023330" w:rsidP="0010464B">
            <w:pPr>
              <w:spacing w:after="0" w:line="240" w:lineRule="auto"/>
              <w:jc w:val="center"/>
              <w:rPr>
                <w:rFonts w:ascii="Arial" w:hAnsi="Arial" w:cs="Arial"/>
                <w:b/>
                <w:sz w:val="20"/>
                <w:szCs w:val="20"/>
                <w:lang w:eastAsia="zh-CN"/>
              </w:rPr>
            </w:pPr>
            <w:r w:rsidRPr="00F17A08">
              <w:rPr>
                <w:rFonts w:ascii="Arial" w:hAnsi="Arial" w:cs="Arial"/>
                <w:b/>
                <w:sz w:val="20"/>
                <w:szCs w:val="20"/>
                <w:lang w:eastAsia="zh-CN"/>
              </w:rPr>
              <w:t>Indicadores</w:t>
            </w:r>
          </w:p>
        </w:tc>
        <w:tc>
          <w:tcPr>
            <w:tcW w:w="11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72F9778" w14:textId="77777777" w:rsidR="00023330" w:rsidRPr="00F17A08" w:rsidRDefault="00023330" w:rsidP="0010464B">
            <w:pPr>
              <w:spacing w:after="0" w:line="240" w:lineRule="auto"/>
              <w:jc w:val="center"/>
              <w:rPr>
                <w:rFonts w:ascii="Arial" w:hAnsi="Arial" w:cs="Arial"/>
                <w:b/>
                <w:sz w:val="20"/>
                <w:szCs w:val="20"/>
                <w:lang w:eastAsia="zh-CN"/>
              </w:rPr>
            </w:pPr>
            <w:r w:rsidRPr="00F17A08">
              <w:rPr>
                <w:rFonts w:ascii="Arial" w:hAnsi="Arial" w:cs="Arial"/>
                <w:b/>
                <w:sz w:val="20"/>
                <w:szCs w:val="20"/>
                <w:lang w:eastAsia="zh-CN"/>
              </w:rPr>
              <w:t>Unidad de Medida</w:t>
            </w:r>
          </w:p>
        </w:tc>
        <w:tc>
          <w:tcPr>
            <w:tcW w:w="13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7D2B42E" w14:textId="77777777" w:rsidR="00023330" w:rsidRPr="00F17A08" w:rsidRDefault="00023330" w:rsidP="0010464B">
            <w:pPr>
              <w:spacing w:after="0" w:line="240" w:lineRule="auto"/>
              <w:jc w:val="center"/>
              <w:rPr>
                <w:rFonts w:ascii="Arial" w:hAnsi="Arial" w:cs="Arial"/>
                <w:b/>
                <w:sz w:val="20"/>
                <w:szCs w:val="20"/>
                <w:lang w:eastAsia="zh-CN"/>
              </w:rPr>
            </w:pPr>
            <w:r w:rsidRPr="00F17A08">
              <w:rPr>
                <w:rFonts w:ascii="Arial" w:hAnsi="Arial" w:cs="Arial"/>
                <w:b/>
                <w:sz w:val="20"/>
                <w:szCs w:val="20"/>
                <w:lang w:eastAsia="zh-CN"/>
              </w:rPr>
              <w:t xml:space="preserve">Línea de Base </w:t>
            </w:r>
          </w:p>
        </w:tc>
        <w:tc>
          <w:tcPr>
            <w:tcW w:w="10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9571D87" w14:textId="77777777" w:rsidR="00023330" w:rsidRPr="00F17A08" w:rsidRDefault="00023330" w:rsidP="0010464B">
            <w:pPr>
              <w:spacing w:after="0" w:line="240" w:lineRule="auto"/>
              <w:jc w:val="center"/>
              <w:rPr>
                <w:rFonts w:ascii="Arial" w:hAnsi="Arial" w:cs="Arial"/>
                <w:b/>
                <w:sz w:val="20"/>
                <w:szCs w:val="20"/>
                <w:lang w:eastAsia="zh-CN"/>
              </w:rPr>
            </w:pPr>
            <w:r w:rsidRPr="00F17A08">
              <w:rPr>
                <w:rFonts w:ascii="Arial" w:hAnsi="Arial" w:cs="Arial"/>
                <w:b/>
                <w:sz w:val="20"/>
                <w:szCs w:val="20"/>
                <w:lang w:eastAsia="zh-CN"/>
              </w:rPr>
              <w:t xml:space="preserve">Año </w:t>
            </w:r>
          </w:p>
          <w:p w14:paraId="7E14B58E" w14:textId="77777777" w:rsidR="00023330" w:rsidRPr="00F17A08" w:rsidRDefault="00023330" w:rsidP="0010464B">
            <w:pPr>
              <w:spacing w:after="0" w:line="240" w:lineRule="auto"/>
              <w:jc w:val="center"/>
              <w:rPr>
                <w:rFonts w:ascii="Arial" w:hAnsi="Arial" w:cs="Arial"/>
                <w:b/>
                <w:sz w:val="20"/>
                <w:szCs w:val="20"/>
                <w:lang w:eastAsia="zh-CN"/>
              </w:rPr>
            </w:pPr>
            <w:r w:rsidRPr="00F17A08">
              <w:rPr>
                <w:rFonts w:ascii="Arial" w:hAnsi="Arial" w:cs="Arial"/>
                <w:b/>
                <w:sz w:val="20"/>
                <w:szCs w:val="20"/>
                <w:lang w:eastAsia="zh-CN"/>
              </w:rPr>
              <w:t>Línea de Base</w:t>
            </w:r>
          </w:p>
        </w:tc>
        <w:tc>
          <w:tcPr>
            <w:tcW w:w="13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B860FE7" w14:textId="77777777" w:rsidR="00023330" w:rsidRDefault="00023330" w:rsidP="002D1CF6">
            <w:pPr>
              <w:spacing w:after="0" w:line="240" w:lineRule="auto"/>
              <w:jc w:val="center"/>
              <w:rPr>
                <w:rFonts w:ascii="Arial" w:hAnsi="Arial" w:cs="Arial"/>
                <w:b/>
                <w:sz w:val="20"/>
                <w:szCs w:val="20"/>
                <w:lang w:eastAsia="zh-CN"/>
              </w:rPr>
            </w:pPr>
            <w:r w:rsidRPr="00F17A08">
              <w:rPr>
                <w:rFonts w:ascii="Arial" w:hAnsi="Arial" w:cs="Arial"/>
                <w:b/>
                <w:sz w:val="20"/>
                <w:szCs w:val="20"/>
                <w:lang w:eastAsia="zh-CN"/>
              </w:rPr>
              <w:t>Meta Final</w:t>
            </w:r>
          </w:p>
          <w:p w14:paraId="611D12EB" w14:textId="77777777" w:rsidR="00023330" w:rsidRPr="00F17A08" w:rsidRDefault="00023330" w:rsidP="002D1CF6">
            <w:pPr>
              <w:spacing w:after="0" w:line="240" w:lineRule="auto"/>
              <w:jc w:val="center"/>
              <w:rPr>
                <w:rFonts w:ascii="Arial" w:hAnsi="Arial" w:cs="Arial"/>
                <w:b/>
                <w:sz w:val="20"/>
                <w:szCs w:val="20"/>
                <w:lang w:eastAsia="zh-CN"/>
              </w:rPr>
            </w:pPr>
            <w:r>
              <w:rPr>
                <w:rFonts w:ascii="Arial" w:hAnsi="Arial" w:cs="Arial"/>
                <w:b/>
                <w:sz w:val="20"/>
                <w:szCs w:val="20"/>
                <w:lang w:eastAsia="zh-CN"/>
              </w:rPr>
              <w:t>2022</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36BA0E8" w14:textId="77777777" w:rsidR="00023330" w:rsidRPr="00F17A08" w:rsidRDefault="00023330" w:rsidP="0010464B">
            <w:pPr>
              <w:spacing w:after="0" w:line="240" w:lineRule="auto"/>
              <w:jc w:val="center"/>
              <w:rPr>
                <w:rFonts w:ascii="Arial" w:hAnsi="Arial" w:cs="Arial"/>
                <w:b/>
                <w:sz w:val="20"/>
                <w:szCs w:val="20"/>
                <w:lang w:eastAsia="zh-CN"/>
              </w:rPr>
            </w:pPr>
            <w:r w:rsidRPr="00F17A08">
              <w:rPr>
                <w:rFonts w:ascii="Arial" w:hAnsi="Arial" w:cs="Arial"/>
                <w:b/>
                <w:sz w:val="20"/>
                <w:szCs w:val="20"/>
                <w:lang w:eastAsia="zh-CN"/>
              </w:rPr>
              <w:t>Medios de Verificación</w:t>
            </w:r>
          </w:p>
        </w:tc>
        <w:tc>
          <w:tcPr>
            <w:tcW w:w="48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308AE76" w14:textId="77777777" w:rsidR="00023330" w:rsidRPr="00F17A08" w:rsidRDefault="00023330" w:rsidP="0010464B">
            <w:pPr>
              <w:spacing w:after="0" w:line="240" w:lineRule="auto"/>
              <w:jc w:val="center"/>
              <w:rPr>
                <w:rFonts w:ascii="Arial" w:hAnsi="Arial" w:cs="Arial"/>
                <w:b/>
                <w:sz w:val="20"/>
                <w:szCs w:val="20"/>
                <w:lang w:eastAsia="zh-CN"/>
              </w:rPr>
            </w:pPr>
            <w:r w:rsidRPr="00F17A08">
              <w:rPr>
                <w:rFonts w:ascii="Arial" w:hAnsi="Arial" w:cs="Arial"/>
                <w:b/>
                <w:sz w:val="20"/>
                <w:szCs w:val="20"/>
                <w:lang w:eastAsia="zh-CN"/>
              </w:rPr>
              <w:t>Comentarios</w:t>
            </w:r>
            <w:r w:rsidRPr="00F17A08">
              <w:rPr>
                <w:rStyle w:val="FootnoteReference"/>
                <w:rFonts w:ascii="Arial" w:hAnsi="Arial" w:cs="Arial"/>
                <w:b/>
                <w:sz w:val="20"/>
                <w:szCs w:val="20"/>
                <w:lang w:eastAsia="zh-CN"/>
              </w:rPr>
              <w:t>2</w:t>
            </w:r>
          </w:p>
        </w:tc>
      </w:tr>
      <w:tr w:rsidR="00FE75A2" w:rsidRPr="001264CF" w14:paraId="7020AFD3" w14:textId="77777777" w:rsidTr="002D1CF6">
        <w:trPr>
          <w:trHeight w:val="260"/>
        </w:trPr>
        <w:tc>
          <w:tcPr>
            <w:tcW w:w="13585" w:type="dxa"/>
            <w:gridSpan w:val="7"/>
            <w:tcBorders>
              <w:top w:val="single" w:sz="4" w:space="0" w:color="000000"/>
              <w:left w:val="single" w:sz="4" w:space="0" w:color="000000"/>
              <w:bottom w:val="single" w:sz="4" w:space="0" w:color="000000"/>
              <w:right w:val="single" w:sz="4" w:space="0" w:color="000000"/>
            </w:tcBorders>
            <w:vAlign w:val="center"/>
            <w:hideMark/>
          </w:tcPr>
          <w:p w14:paraId="58B34310" w14:textId="77777777" w:rsidR="00FE75A2" w:rsidRPr="00D36073" w:rsidRDefault="00FE75A2" w:rsidP="0010464B">
            <w:pPr>
              <w:spacing w:before="120" w:after="120" w:line="240" w:lineRule="auto"/>
              <w:rPr>
                <w:rFonts w:ascii="Arial" w:hAnsi="Arial" w:cs="Arial"/>
                <w:sz w:val="20"/>
                <w:szCs w:val="20"/>
                <w:lang w:val="es-ES_tradnl" w:eastAsia="zh-CN"/>
              </w:rPr>
            </w:pPr>
            <w:r w:rsidRPr="00D36073">
              <w:rPr>
                <w:rFonts w:ascii="Arial" w:hAnsi="Arial" w:cs="Arial"/>
                <w:b/>
                <w:caps/>
                <w:sz w:val="20"/>
                <w:szCs w:val="20"/>
                <w:u w:val="single"/>
                <w:lang w:val="es-ES_tradnl" w:eastAsia="zh-CN"/>
              </w:rPr>
              <w:t>resultado #1</w:t>
            </w:r>
            <w:r w:rsidRPr="00D36073">
              <w:rPr>
                <w:rFonts w:ascii="Arial" w:hAnsi="Arial" w:cs="Arial"/>
                <w:b/>
                <w:caps/>
                <w:sz w:val="20"/>
                <w:szCs w:val="20"/>
                <w:lang w:val="es-ES_tradnl" w:eastAsia="zh-CN"/>
              </w:rPr>
              <w:t>:</w:t>
            </w:r>
            <w:r w:rsidR="00B53CB4">
              <w:rPr>
                <w:rFonts w:ascii="Arial" w:hAnsi="Arial" w:cs="Arial"/>
                <w:b/>
                <w:sz w:val="20"/>
                <w:szCs w:val="20"/>
                <w:lang w:val="es-ES_tradnl" w:eastAsia="zh-CN"/>
              </w:rPr>
              <w:t xml:space="preserve"> </w:t>
            </w:r>
            <w:bookmarkStart w:id="1" w:name="_Hlk520914391"/>
            <w:r w:rsidR="004724BA">
              <w:rPr>
                <w:rFonts w:ascii="Arial" w:hAnsi="Arial" w:cs="Arial"/>
                <w:b/>
                <w:sz w:val="20"/>
                <w:szCs w:val="20"/>
                <w:lang w:val="es-ES_tradnl" w:eastAsia="zh-CN"/>
              </w:rPr>
              <w:t>Mejora de la eficacia en la p</w:t>
            </w:r>
            <w:r w:rsidR="00B53CB4">
              <w:rPr>
                <w:rFonts w:ascii="Arial" w:hAnsi="Arial" w:cs="Arial"/>
                <w:b/>
                <w:sz w:val="20"/>
                <w:szCs w:val="20"/>
                <w:lang w:val="es-ES_tradnl" w:eastAsia="zh-CN"/>
              </w:rPr>
              <w:t xml:space="preserve">riorización multisectorial </w:t>
            </w:r>
            <w:r w:rsidR="00557B09">
              <w:rPr>
                <w:rFonts w:ascii="Arial" w:hAnsi="Arial" w:cs="Arial"/>
                <w:b/>
                <w:sz w:val="20"/>
                <w:szCs w:val="20"/>
                <w:lang w:val="es-ES_tradnl" w:eastAsia="zh-CN"/>
              </w:rPr>
              <w:t xml:space="preserve">y multianual de acciones estratégicas para el sector </w:t>
            </w:r>
            <w:bookmarkEnd w:id="1"/>
            <w:r w:rsidR="007C3A83">
              <w:rPr>
                <w:rFonts w:ascii="Arial" w:hAnsi="Arial" w:cs="Arial"/>
                <w:b/>
                <w:sz w:val="20"/>
                <w:szCs w:val="20"/>
                <w:lang w:val="es-ES_tradnl" w:eastAsia="zh-CN"/>
              </w:rPr>
              <w:t>transporte y logística de carga</w:t>
            </w:r>
          </w:p>
        </w:tc>
      </w:tr>
      <w:tr w:rsidR="00023330" w:rsidRPr="001264CF" w14:paraId="63366CC7" w14:textId="77777777" w:rsidTr="00FC5BFE">
        <w:trPr>
          <w:trHeight w:val="64"/>
        </w:trPr>
        <w:tc>
          <w:tcPr>
            <w:tcW w:w="2335" w:type="dxa"/>
            <w:tcBorders>
              <w:top w:val="single" w:sz="4" w:space="0" w:color="000000"/>
              <w:left w:val="single" w:sz="4" w:space="0" w:color="000000"/>
              <w:bottom w:val="single" w:sz="4" w:space="0" w:color="000000"/>
              <w:right w:val="single" w:sz="4" w:space="0" w:color="000000"/>
            </w:tcBorders>
            <w:vAlign w:val="center"/>
            <w:hideMark/>
          </w:tcPr>
          <w:p w14:paraId="31062AE3" w14:textId="77777777" w:rsidR="0010464B" w:rsidRPr="00D36073" w:rsidRDefault="0021603D" w:rsidP="00A80E40">
            <w:pPr>
              <w:pStyle w:val="ListParagraph"/>
              <w:spacing w:after="0" w:line="240" w:lineRule="auto"/>
              <w:ind w:left="0"/>
              <w:rPr>
                <w:rFonts w:ascii="Arial" w:hAnsi="Arial" w:cs="Arial"/>
                <w:sz w:val="20"/>
                <w:szCs w:val="20"/>
                <w:lang w:val="es-ES_tradnl" w:eastAsia="zh-CN"/>
              </w:rPr>
            </w:pPr>
            <w:r>
              <w:rPr>
                <w:rFonts w:ascii="Arial" w:hAnsi="Arial" w:cs="Arial"/>
                <w:sz w:val="20"/>
                <w:szCs w:val="20"/>
                <w:lang w:val="es-ES_tradnl" w:eastAsia="zh-CN"/>
              </w:rPr>
              <w:t>Ejercicio presupuestario</w:t>
            </w:r>
            <w:r w:rsidR="004724BA">
              <w:rPr>
                <w:rFonts w:ascii="Arial" w:hAnsi="Arial" w:cs="Arial"/>
                <w:sz w:val="20"/>
                <w:szCs w:val="20"/>
                <w:lang w:val="es-ES_tradnl" w:eastAsia="zh-CN"/>
              </w:rPr>
              <w:t xml:space="preserve"> anual </w:t>
            </w:r>
            <w:r w:rsidR="004724BA" w:rsidRPr="004773BC">
              <w:rPr>
                <w:rFonts w:ascii="Arial" w:hAnsi="Arial" w:cs="Arial"/>
                <w:sz w:val="20"/>
                <w:szCs w:val="20"/>
                <w:lang w:val="es-ES_tradnl" w:eastAsia="zh-CN"/>
              </w:rPr>
              <w:t>tomando en cuenta</w:t>
            </w:r>
            <w:r w:rsidR="004724BA">
              <w:rPr>
                <w:rFonts w:ascii="Arial" w:hAnsi="Arial" w:cs="Arial"/>
                <w:sz w:val="20"/>
                <w:szCs w:val="20"/>
                <w:lang w:val="es-ES_tradnl" w:eastAsia="zh-CN"/>
              </w:rPr>
              <w:t xml:space="preserve"> las prioridades identificadas para el sector por CNL</w:t>
            </w:r>
          </w:p>
        </w:tc>
        <w:tc>
          <w:tcPr>
            <w:tcW w:w="1101" w:type="dxa"/>
            <w:tcBorders>
              <w:top w:val="single" w:sz="4" w:space="0" w:color="000000"/>
              <w:left w:val="single" w:sz="4" w:space="0" w:color="000000"/>
              <w:bottom w:val="single" w:sz="4" w:space="0" w:color="000000"/>
              <w:right w:val="single" w:sz="4" w:space="0" w:color="000000"/>
            </w:tcBorders>
            <w:vAlign w:val="center"/>
          </w:tcPr>
          <w:p w14:paraId="54A81C68" w14:textId="77777777" w:rsidR="00023330" w:rsidRPr="00943492" w:rsidRDefault="001939CB" w:rsidP="0010464B">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Documento</w:t>
            </w:r>
          </w:p>
        </w:tc>
        <w:tc>
          <w:tcPr>
            <w:tcW w:w="1329" w:type="dxa"/>
            <w:tcBorders>
              <w:top w:val="single" w:sz="4" w:space="0" w:color="000000"/>
              <w:left w:val="single" w:sz="4" w:space="0" w:color="000000"/>
              <w:bottom w:val="single" w:sz="4" w:space="0" w:color="000000"/>
              <w:right w:val="single" w:sz="4" w:space="0" w:color="000000"/>
            </w:tcBorders>
            <w:vAlign w:val="center"/>
          </w:tcPr>
          <w:p w14:paraId="5056A8BB" w14:textId="77777777" w:rsidR="00D36073" w:rsidRDefault="00D36073" w:rsidP="00D316A0">
            <w:pPr>
              <w:spacing w:after="0" w:line="240" w:lineRule="auto"/>
              <w:jc w:val="center"/>
              <w:rPr>
                <w:rFonts w:ascii="Arial" w:hAnsi="Arial" w:cs="Arial"/>
                <w:sz w:val="20"/>
                <w:szCs w:val="20"/>
                <w:lang w:val="es-ES_tradnl" w:eastAsia="zh-CN"/>
              </w:rPr>
            </w:pPr>
          </w:p>
          <w:p w14:paraId="2793FDCE" w14:textId="77777777" w:rsidR="00023330" w:rsidRPr="00D36073" w:rsidRDefault="00D36073" w:rsidP="00D316A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1010" w:type="dxa"/>
            <w:tcBorders>
              <w:top w:val="single" w:sz="4" w:space="0" w:color="000000"/>
              <w:left w:val="single" w:sz="4" w:space="0" w:color="000000"/>
              <w:bottom w:val="single" w:sz="4" w:space="0" w:color="000000"/>
              <w:right w:val="single" w:sz="4" w:space="0" w:color="000000"/>
            </w:tcBorders>
            <w:vAlign w:val="center"/>
          </w:tcPr>
          <w:p w14:paraId="737C8294" w14:textId="77777777" w:rsidR="00D36073" w:rsidRPr="00D36073" w:rsidRDefault="00D36073" w:rsidP="00A80E40">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2018</w:t>
            </w:r>
          </w:p>
        </w:tc>
        <w:tc>
          <w:tcPr>
            <w:tcW w:w="1330" w:type="dxa"/>
            <w:tcBorders>
              <w:top w:val="single" w:sz="4" w:space="0" w:color="000000"/>
              <w:left w:val="single" w:sz="4" w:space="0" w:color="000000"/>
              <w:bottom w:val="single" w:sz="4" w:space="0" w:color="000000"/>
              <w:right w:val="single" w:sz="4" w:space="0" w:color="000000"/>
            </w:tcBorders>
          </w:tcPr>
          <w:p w14:paraId="0AAA5131" w14:textId="77777777" w:rsidR="00984C1A" w:rsidRDefault="00984C1A" w:rsidP="00984C1A">
            <w:pPr>
              <w:spacing w:line="240" w:lineRule="auto"/>
              <w:rPr>
                <w:rFonts w:ascii="Arial" w:hAnsi="Arial" w:cs="Arial"/>
                <w:sz w:val="20"/>
                <w:szCs w:val="20"/>
                <w:lang w:val="es-ES_tradnl" w:eastAsia="zh-CN"/>
              </w:rPr>
            </w:pPr>
          </w:p>
          <w:p w14:paraId="42F98E28" w14:textId="77777777" w:rsidR="00D36073" w:rsidRDefault="00D36073" w:rsidP="00984C1A">
            <w:pPr>
              <w:spacing w:line="240" w:lineRule="auto"/>
              <w:rPr>
                <w:rFonts w:ascii="Arial" w:hAnsi="Arial" w:cs="Arial"/>
                <w:sz w:val="20"/>
                <w:szCs w:val="20"/>
                <w:lang w:val="es-ES_tradnl" w:eastAsia="zh-CN"/>
              </w:rPr>
            </w:pPr>
          </w:p>
          <w:p w14:paraId="7ACF67B3" w14:textId="77777777" w:rsidR="00D36073" w:rsidRPr="00D36073" w:rsidRDefault="00D36073" w:rsidP="00D316A0">
            <w:pPr>
              <w:spacing w:line="240" w:lineRule="auto"/>
              <w:jc w:val="center"/>
              <w:rPr>
                <w:rFonts w:ascii="Arial" w:hAnsi="Arial" w:cs="Arial"/>
                <w:sz w:val="20"/>
                <w:szCs w:val="20"/>
                <w:lang w:val="es-ES_tradnl" w:eastAsia="zh-CN"/>
              </w:rPr>
            </w:pPr>
            <w:r>
              <w:rPr>
                <w:rFonts w:ascii="Arial" w:hAnsi="Arial" w:cs="Arial"/>
                <w:sz w:val="20"/>
                <w:szCs w:val="20"/>
                <w:lang w:val="es-ES_tradnl" w:eastAsia="zh-CN"/>
              </w:rPr>
              <w:t>4</w:t>
            </w:r>
          </w:p>
        </w:tc>
        <w:tc>
          <w:tcPr>
            <w:tcW w:w="1620" w:type="dxa"/>
            <w:tcBorders>
              <w:top w:val="single" w:sz="4" w:space="0" w:color="000000"/>
              <w:left w:val="single" w:sz="4" w:space="0" w:color="000000"/>
              <w:bottom w:val="single" w:sz="4" w:space="0" w:color="000000"/>
              <w:right w:val="single" w:sz="4" w:space="0" w:color="000000"/>
            </w:tcBorders>
          </w:tcPr>
          <w:p w14:paraId="01CA2FB3" w14:textId="77777777" w:rsidR="00AB51C2" w:rsidRDefault="00AB51C2" w:rsidP="00AB51C2">
            <w:pPr>
              <w:spacing w:before="120" w:after="120" w:line="240" w:lineRule="auto"/>
              <w:rPr>
                <w:rFonts w:ascii="Arial" w:hAnsi="Arial" w:cs="Arial"/>
                <w:sz w:val="20"/>
                <w:szCs w:val="20"/>
                <w:lang w:val="es-ES_tradnl" w:eastAsia="zh-CN"/>
              </w:rPr>
            </w:pPr>
          </w:p>
          <w:p w14:paraId="44948845" w14:textId="77777777" w:rsidR="00D36073" w:rsidRPr="00D316A0" w:rsidRDefault="00D36073" w:rsidP="00A80E40">
            <w:pPr>
              <w:spacing w:before="120" w:after="120" w:line="240" w:lineRule="auto"/>
              <w:rPr>
                <w:rFonts w:ascii="Arial" w:hAnsi="Arial" w:cs="Arial"/>
                <w:sz w:val="20"/>
                <w:szCs w:val="20"/>
                <w:lang w:val="es-ES_tradnl" w:eastAsia="zh-CN"/>
              </w:rPr>
            </w:pPr>
            <w:r w:rsidRPr="00D316A0">
              <w:rPr>
                <w:rFonts w:ascii="Arial" w:hAnsi="Arial" w:cs="Arial"/>
                <w:sz w:val="20"/>
                <w:szCs w:val="20"/>
                <w:lang w:val="es-ES_tradnl" w:eastAsia="zh-CN"/>
              </w:rPr>
              <w:t xml:space="preserve">Informe del CNL adjuntando las prioridades remitidas a </w:t>
            </w:r>
            <w:r w:rsidR="004724BA">
              <w:rPr>
                <w:rFonts w:ascii="Arial" w:hAnsi="Arial" w:cs="Arial"/>
                <w:sz w:val="20"/>
                <w:szCs w:val="20"/>
                <w:lang w:val="es-ES_tradnl" w:eastAsia="zh-CN"/>
              </w:rPr>
              <w:t>INSEP</w:t>
            </w:r>
          </w:p>
        </w:tc>
        <w:tc>
          <w:tcPr>
            <w:tcW w:w="4860" w:type="dxa"/>
            <w:tcBorders>
              <w:top w:val="single" w:sz="4" w:space="0" w:color="000000"/>
              <w:left w:val="single" w:sz="4" w:space="0" w:color="000000"/>
              <w:bottom w:val="single" w:sz="4" w:space="0" w:color="000000"/>
              <w:right w:val="single" w:sz="4" w:space="0" w:color="000000"/>
            </w:tcBorders>
          </w:tcPr>
          <w:p w14:paraId="113C9949" w14:textId="77777777" w:rsidR="00023330" w:rsidRDefault="00023330" w:rsidP="00D316A0">
            <w:pPr>
              <w:spacing w:before="120" w:after="120" w:line="240" w:lineRule="auto"/>
              <w:jc w:val="both"/>
              <w:rPr>
                <w:rFonts w:ascii="Arial" w:hAnsi="Arial" w:cs="Arial"/>
                <w:sz w:val="20"/>
                <w:szCs w:val="20"/>
                <w:lang w:val="es-ES_tradnl" w:eastAsia="zh-CN"/>
              </w:rPr>
            </w:pPr>
          </w:p>
          <w:p w14:paraId="5CD1444F" w14:textId="6AA3E087" w:rsidR="004724BA" w:rsidRPr="00DB1A4D" w:rsidRDefault="00421FE8" w:rsidP="00D316A0">
            <w:pPr>
              <w:spacing w:before="120" w:after="120" w:line="240" w:lineRule="auto"/>
              <w:jc w:val="both"/>
              <w:rPr>
                <w:rFonts w:ascii="Arial" w:hAnsi="Arial" w:cs="Arial"/>
                <w:sz w:val="20"/>
                <w:szCs w:val="20"/>
                <w:lang w:val="es-ES_tradnl" w:eastAsia="zh-CN"/>
              </w:rPr>
            </w:pPr>
            <w:r>
              <w:rPr>
                <w:rFonts w:ascii="Arial" w:hAnsi="Arial" w:cs="Arial"/>
                <w:sz w:val="20"/>
                <w:szCs w:val="20"/>
                <w:lang w:val="es-ES_tradnl" w:eastAsia="zh-CN"/>
              </w:rPr>
              <w:t>El informe s</w:t>
            </w:r>
            <w:r w:rsidR="00943492">
              <w:rPr>
                <w:rFonts w:ascii="Arial" w:hAnsi="Arial" w:cs="Arial"/>
                <w:sz w:val="20"/>
                <w:szCs w:val="20"/>
                <w:lang w:val="es-ES_tradnl" w:eastAsia="zh-CN"/>
              </w:rPr>
              <w:t>e realiz</w:t>
            </w:r>
            <w:r w:rsidR="007C3A83">
              <w:rPr>
                <w:rFonts w:ascii="Arial" w:hAnsi="Arial" w:cs="Arial"/>
                <w:sz w:val="20"/>
                <w:szCs w:val="20"/>
                <w:lang w:val="es-ES_tradnl" w:eastAsia="zh-CN"/>
              </w:rPr>
              <w:t>a anualmente entre el</w:t>
            </w:r>
            <w:r w:rsidR="004724BA">
              <w:rPr>
                <w:rFonts w:ascii="Arial" w:hAnsi="Arial" w:cs="Arial"/>
                <w:sz w:val="20"/>
                <w:szCs w:val="20"/>
                <w:lang w:val="es-ES_tradnl" w:eastAsia="zh-CN"/>
              </w:rPr>
              <w:t xml:space="preserve"> </w:t>
            </w:r>
            <w:r w:rsidR="00E83A3C">
              <w:rPr>
                <w:rFonts w:ascii="Arial" w:hAnsi="Arial" w:cs="Arial"/>
                <w:sz w:val="20"/>
                <w:szCs w:val="20"/>
                <w:lang w:val="es-ES_tradnl" w:eastAsia="zh-CN"/>
              </w:rPr>
              <w:t>mes de</w:t>
            </w:r>
            <w:r w:rsidR="004724BA">
              <w:rPr>
                <w:rFonts w:ascii="Arial" w:hAnsi="Arial" w:cs="Arial"/>
                <w:sz w:val="20"/>
                <w:szCs w:val="20"/>
                <w:lang w:val="es-ES_tradnl" w:eastAsia="zh-CN"/>
              </w:rPr>
              <w:t xml:space="preserve"> julio</w:t>
            </w:r>
            <w:r w:rsidR="007C3A83">
              <w:rPr>
                <w:rFonts w:ascii="Arial" w:hAnsi="Arial" w:cs="Arial"/>
                <w:sz w:val="20"/>
                <w:szCs w:val="20"/>
                <w:lang w:val="es-ES_tradnl" w:eastAsia="zh-CN"/>
              </w:rPr>
              <w:t xml:space="preserve"> y</w:t>
            </w:r>
            <w:r w:rsidR="004724BA">
              <w:rPr>
                <w:rFonts w:ascii="Arial" w:hAnsi="Arial" w:cs="Arial"/>
                <w:sz w:val="20"/>
                <w:szCs w:val="20"/>
                <w:lang w:val="es-ES_tradnl" w:eastAsia="zh-CN"/>
              </w:rPr>
              <w:t xml:space="preserve"> septiembre. </w:t>
            </w:r>
            <w:r w:rsidR="007C3A83">
              <w:rPr>
                <w:rFonts w:ascii="Arial" w:hAnsi="Arial" w:cs="Arial"/>
                <w:sz w:val="20"/>
                <w:szCs w:val="20"/>
                <w:lang w:val="es-ES_tradnl" w:eastAsia="zh-CN"/>
              </w:rPr>
              <w:t xml:space="preserve">La </w:t>
            </w:r>
            <w:r w:rsidR="004724BA">
              <w:rPr>
                <w:rFonts w:ascii="Arial" w:hAnsi="Arial" w:cs="Arial"/>
                <w:sz w:val="20"/>
                <w:szCs w:val="20"/>
                <w:lang w:val="es-ES_tradnl" w:eastAsia="zh-CN"/>
              </w:rPr>
              <w:t xml:space="preserve">CNL remite </w:t>
            </w:r>
            <w:r w:rsidR="00D919C9">
              <w:rPr>
                <w:rFonts w:ascii="Arial" w:hAnsi="Arial" w:cs="Arial"/>
                <w:sz w:val="20"/>
                <w:szCs w:val="20"/>
                <w:lang w:val="es-ES_tradnl" w:eastAsia="zh-CN"/>
              </w:rPr>
              <w:t>un</w:t>
            </w:r>
            <w:r w:rsidR="00E83A3C">
              <w:rPr>
                <w:rFonts w:ascii="Arial" w:hAnsi="Arial" w:cs="Arial"/>
                <w:sz w:val="20"/>
                <w:szCs w:val="20"/>
                <w:lang w:val="es-ES_tradnl" w:eastAsia="zh-CN"/>
              </w:rPr>
              <w:t xml:space="preserve"> informe </w:t>
            </w:r>
            <w:r w:rsidR="00D919C9">
              <w:rPr>
                <w:rFonts w:ascii="Arial" w:hAnsi="Arial" w:cs="Arial"/>
                <w:sz w:val="20"/>
                <w:szCs w:val="20"/>
                <w:lang w:val="es-ES_tradnl" w:eastAsia="zh-CN"/>
              </w:rPr>
              <w:t xml:space="preserve">en ese periodo </w:t>
            </w:r>
            <w:r w:rsidR="00E83A3C">
              <w:rPr>
                <w:rFonts w:ascii="Arial" w:hAnsi="Arial" w:cs="Arial"/>
                <w:sz w:val="20"/>
                <w:szCs w:val="20"/>
                <w:lang w:val="es-ES_tradnl" w:eastAsia="zh-CN"/>
              </w:rPr>
              <w:t xml:space="preserve">que contiene el </w:t>
            </w:r>
            <w:r w:rsidR="004724BA">
              <w:rPr>
                <w:rFonts w:ascii="Arial" w:hAnsi="Arial" w:cs="Arial"/>
                <w:sz w:val="20"/>
                <w:szCs w:val="20"/>
                <w:lang w:val="es-ES_tradnl" w:eastAsia="zh-CN"/>
              </w:rPr>
              <w:t>listado priorizado</w:t>
            </w:r>
            <w:r w:rsidR="00D919C9">
              <w:rPr>
                <w:rFonts w:ascii="Arial" w:hAnsi="Arial" w:cs="Arial"/>
                <w:sz w:val="20"/>
                <w:szCs w:val="20"/>
                <w:lang w:val="es-ES_tradnl" w:eastAsia="zh-CN"/>
              </w:rPr>
              <w:t xml:space="preserve"> de intervenciones</w:t>
            </w:r>
            <w:r w:rsidR="004724BA">
              <w:rPr>
                <w:rFonts w:ascii="Arial" w:hAnsi="Arial" w:cs="Arial"/>
                <w:sz w:val="20"/>
                <w:szCs w:val="20"/>
                <w:lang w:val="es-ES_tradnl" w:eastAsia="zh-CN"/>
              </w:rPr>
              <w:t xml:space="preserve"> a INSEP, este último es el encargado de </w:t>
            </w:r>
            <w:r w:rsidR="007C3A83">
              <w:rPr>
                <w:rFonts w:ascii="Arial" w:hAnsi="Arial" w:cs="Arial"/>
                <w:sz w:val="20"/>
                <w:szCs w:val="20"/>
                <w:lang w:val="es-ES_tradnl" w:eastAsia="zh-CN"/>
              </w:rPr>
              <w:t>elevar la priorización</w:t>
            </w:r>
            <w:r w:rsidR="004724BA">
              <w:rPr>
                <w:rFonts w:ascii="Arial" w:hAnsi="Arial" w:cs="Arial"/>
                <w:sz w:val="20"/>
                <w:szCs w:val="20"/>
                <w:lang w:val="es-ES_tradnl" w:eastAsia="zh-CN"/>
              </w:rPr>
              <w:t xml:space="preserve"> a SEFIN.</w:t>
            </w:r>
            <w:r w:rsidR="00B92FC9">
              <w:rPr>
                <w:rFonts w:ascii="Arial" w:hAnsi="Arial" w:cs="Arial"/>
                <w:sz w:val="20"/>
                <w:szCs w:val="20"/>
                <w:lang w:val="es-ES_tradnl" w:eastAsia="zh-CN"/>
              </w:rPr>
              <w:t xml:space="preserve"> </w:t>
            </w:r>
            <w:r w:rsidR="002E5BD0">
              <w:rPr>
                <w:rFonts w:ascii="Arial" w:hAnsi="Arial" w:cs="Arial"/>
                <w:sz w:val="20"/>
                <w:szCs w:val="20"/>
                <w:lang w:val="es-ES_tradnl" w:eastAsia="zh-CN"/>
              </w:rPr>
              <w:t>Previo a la existencia de la institucionalidad logística (CNL)</w:t>
            </w:r>
            <w:r w:rsidR="00B92FC9">
              <w:rPr>
                <w:rFonts w:ascii="Arial" w:hAnsi="Arial" w:cs="Arial"/>
                <w:sz w:val="20"/>
                <w:szCs w:val="20"/>
                <w:lang w:val="es-ES_tradnl" w:eastAsia="zh-CN"/>
              </w:rPr>
              <w:t xml:space="preserve"> el ejercicio de programación presupuestaria se realiz</w:t>
            </w:r>
            <w:r w:rsidR="002E5BD0">
              <w:rPr>
                <w:rFonts w:ascii="Arial" w:hAnsi="Arial" w:cs="Arial"/>
                <w:sz w:val="20"/>
                <w:szCs w:val="20"/>
                <w:lang w:val="es-ES_tradnl" w:eastAsia="zh-CN"/>
              </w:rPr>
              <w:t>a</w:t>
            </w:r>
            <w:r w:rsidR="00B92FC9">
              <w:rPr>
                <w:rFonts w:ascii="Arial" w:hAnsi="Arial" w:cs="Arial"/>
                <w:sz w:val="20"/>
                <w:szCs w:val="20"/>
                <w:lang w:val="es-ES_tradnl" w:eastAsia="zh-CN"/>
              </w:rPr>
              <w:t xml:space="preserve"> sin priorización específica para el sector </w:t>
            </w:r>
            <w:r w:rsidR="002E5BD0">
              <w:rPr>
                <w:rFonts w:ascii="Arial" w:hAnsi="Arial" w:cs="Arial"/>
                <w:sz w:val="20"/>
                <w:szCs w:val="20"/>
                <w:lang w:val="es-ES_tradnl" w:eastAsia="zh-CN"/>
              </w:rPr>
              <w:t>por tanto la línea de base es cero</w:t>
            </w:r>
            <w:r w:rsidR="00B92FC9">
              <w:rPr>
                <w:rFonts w:ascii="Arial" w:hAnsi="Arial" w:cs="Arial"/>
                <w:sz w:val="20"/>
                <w:szCs w:val="20"/>
                <w:lang w:val="es-ES_tradnl" w:eastAsia="zh-CN"/>
              </w:rPr>
              <w:t xml:space="preserve">. </w:t>
            </w:r>
          </w:p>
        </w:tc>
      </w:tr>
      <w:tr w:rsidR="00DB1A4D" w:rsidRPr="001264CF" w14:paraId="7AFADF32" w14:textId="77777777" w:rsidTr="00D316A0">
        <w:trPr>
          <w:trHeight w:val="64"/>
        </w:trPr>
        <w:tc>
          <w:tcPr>
            <w:tcW w:w="13585"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F80594" w14:textId="10A95238" w:rsidR="00DB1A4D" w:rsidRPr="00D316A0" w:rsidRDefault="00DB1A4D" w:rsidP="00943492">
            <w:pPr>
              <w:spacing w:before="120" w:after="120" w:line="240" w:lineRule="auto"/>
              <w:rPr>
                <w:rFonts w:ascii="Arial" w:hAnsi="Arial" w:cs="Arial"/>
                <w:b/>
                <w:sz w:val="20"/>
                <w:szCs w:val="20"/>
                <w:lang w:val="es-ES_tradnl" w:eastAsia="zh-CN"/>
              </w:rPr>
            </w:pPr>
            <w:r w:rsidRPr="00AC7FB7">
              <w:rPr>
                <w:rFonts w:ascii="Arial" w:hAnsi="Arial" w:cs="Arial"/>
                <w:b/>
                <w:sz w:val="20"/>
                <w:szCs w:val="20"/>
                <w:u w:val="single"/>
                <w:lang w:val="es-ES_tradnl" w:eastAsia="zh-CN"/>
              </w:rPr>
              <w:t>RESULTADO #</w:t>
            </w:r>
            <w:r w:rsidR="00943492" w:rsidRPr="00AC7FB7">
              <w:rPr>
                <w:rFonts w:ascii="Arial" w:hAnsi="Arial" w:cs="Arial"/>
                <w:b/>
                <w:sz w:val="20"/>
                <w:szCs w:val="20"/>
                <w:u w:val="single"/>
                <w:lang w:val="es-ES_tradnl" w:eastAsia="zh-CN"/>
              </w:rPr>
              <w:t>2</w:t>
            </w:r>
            <w:r w:rsidRPr="00AC7FB7">
              <w:rPr>
                <w:rFonts w:ascii="Arial" w:hAnsi="Arial" w:cs="Arial"/>
                <w:b/>
                <w:sz w:val="20"/>
                <w:szCs w:val="20"/>
                <w:u w:val="single"/>
                <w:lang w:val="es-ES_tradnl" w:eastAsia="zh-CN"/>
              </w:rPr>
              <w:t>:</w:t>
            </w:r>
            <w:r w:rsidR="00BB382A">
              <w:rPr>
                <w:rFonts w:ascii="Arial" w:hAnsi="Arial" w:cs="Arial"/>
                <w:b/>
                <w:sz w:val="20"/>
                <w:szCs w:val="20"/>
                <w:lang w:val="es-ES_tradnl" w:eastAsia="zh-CN"/>
              </w:rPr>
              <w:t xml:space="preserve"> Aplicación de</w:t>
            </w:r>
            <w:r w:rsidR="00BB382A" w:rsidRPr="006872B2">
              <w:rPr>
                <w:rFonts w:ascii="Arial" w:hAnsi="Arial" w:cs="Arial"/>
                <w:b/>
                <w:sz w:val="20"/>
                <w:szCs w:val="20"/>
                <w:lang w:val="es-ES_tradnl" w:eastAsia="zh-CN"/>
              </w:rPr>
              <w:t xml:space="preserve"> reglamentos específicos para la mejora </w:t>
            </w:r>
            <w:r w:rsidR="00BB382A">
              <w:rPr>
                <w:rFonts w:ascii="Arial" w:hAnsi="Arial" w:cs="Arial"/>
                <w:b/>
                <w:sz w:val="20"/>
                <w:szCs w:val="20"/>
                <w:lang w:val="es-ES_tradnl" w:eastAsia="zh-CN"/>
              </w:rPr>
              <w:t>la seguridad de los</w:t>
            </w:r>
            <w:r w:rsidR="00BB382A" w:rsidRPr="006872B2">
              <w:rPr>
                <w:rFonts w:ascii="Arial" w:hAnsi="Arial" w:cs="Arial"/>
                <w:b/>
                <w:sz w:val="20"/>
                <w:szCs w:val="20"/>
                <w:lang w:val="es-ES_tradnl" w:eastAsia="zh-CN"/>
              </w:rPr>
              <w:t xml:space="preserve"> servicios de logística de carga</w:t>
            </w:r>
          </w:p>
        </w:tc>
      </w:tr>
      <w:tr w:rsidR="00DB1A4D" w:rsidRPr="001264CF" w14:paraId="4B4FE5D1" w14:textId="77777777" w:rsidTr="00FC5BFE">
        <w:trPr>
          <w:trHeight w:val="64"/>
        </w:trPr>
        <w:tc>
          <w:tcPr>
            <w:tcW w:w="2335" w:type="dxa"/>
            <w:tcBorders>
              <w:top w:val="single" w:sz="4" w:space="0" w:color="000000"/>
              <w:left w:val="single" w:sz="4" w:space="0" w:color="000000"/>
              <w:bottom w:val="single" w:sz="4" w:space="0" w:color="000000"/>
              <w:right w:val="single" w:sz="4" w:space="0" w:color="000000"/>
            </w:tcBorders>
            <w:vAlign w:val="center"/>
          </w:tcPr>
          <w:p w14:paraId="0551789B" w14:textId="395839BD" w:rsidR="00DB1A4D" w:rsidRPr="005643D5" w:rsidRDefault="005643D5" w:rsidP="0010464B">
            <w:pPr>
              <w:pStyle w:val="ListParagraph"/>
              <w:spacing w:after="0" w:line="240" w:lineRule="auto"/>
              <w:ind w:left="0"/>
              <w:rPr>
                <w:rFonts w:ascii="Arial" w:hAnsi="Arial" w:cs="Arial"/>
                <w:sz w:val="20"/>
                <w:szCs w:val="20"/>
                <w:lang w:val="es-ES_tradnl" w:eastAsia="zh-CN"/>
              </w:rPr>
            </w:pPr>
            <w:r w:rsidRPr="005643D5">
              <w:rPr>
                <w:rFonts w:ascii="Arial" w:hAnsi="Arial" w:cs="Arial"/>
                <w:sz w:val="20"/>
                <w:szCs w:val="20"/>
                <w:lang w:val="es-ES_tradnl" w:eastAsia="zh-CN"/>
              </w:rPr>
              <w:t xml:space="preserve">Porcentaje de vehículos </w:t>
            </w:r>
            <w:r>
              <w:rPr>
                <w:rFonts w:ascii="Arial" w:hAnsi="Arial" w:cs="Arial"/>
                <w:sz w:val="20"/>
                <w:szCs w:val="20"/>
                <w:lang w:val="es-ES_tradnl" w:eastAsia="zh-CN"/>
              </w:rPr>
              <w:t xml:space="preserve">de </w:t>
            </w:r>
            <w:r w:rsidRPr="005643D5">
              <w:rPr>
                <w:rFonts w:ascii="Arial" w:hAnsi="Arial" w:cs="Arial"/>
                <w:sz w:val="20"/>
                <w:szCs w:val="20"/>
                <w:lang w:val="es-ES_tradnl" w:eastAsia="zh-CN"/>
              </w:rPr>
              <w:t xml:space="preserve">carga o remolque </w:t>
            </w:r>
            <w:r>
              <w:rPr>
                <w:rFonts w:ascii="Arial" w:hAnsi="Arial" w:cs="Arial"/>
                <w:sz w:val="20"/>
                <w:szCs w:val="20"/>
                <w:lang w:val="es-ES_tradnl" w:eastAsia="zh-CN"/>
              </w:rPr>
              <w:t>registrados</w:t>
            </w:r>
            <w:r>
              <w:rPr>
                <w:rStyle w:val="FootnoteReference"/>
                <w:rFonts w:ascii="Arial" w:hAnsi="Arial" w:cs="Arial"/>
                <w:sz w:val="20"/>
                <w:szCs w:val="20"/>
                <w:lang w:val="es-ES_tradnl" w:eastAsia="zh-CN"/>
              </w:rPr>
              <w:footnoteReference w:id="5"/>
            </w:r>
            <w:r>
              <w:rPr>
                <w:rFonts w:ascii="Arial" w:hAnsi="Arial" w:cs="Arial"/>
                <w:sz w:val="20"/>
                <w:szCs w:val="20"/>
                <w:lang w:val="es-ES_tradnl" w:eastAsia="zh-CN"/>
              </w:rPr>
              <w:t xml:space="preserve">, </w:t>
            </w:r>
            <w:r w:rsidRPr="005643D5">
              <w:rPr>
                <w:rFonts w:ascii="Arial" w:hAnsi="Arial" w:cs="Arial"/>
                <w:sz w:val="20"/>
                <w:szCs w:val="20"/>
                <w:lang w:val="es-ES_tradnl" w:eastAsia="zh-CN"/>
              </w:rPr>
              <w:t xml:space="preserve">asegurados cubriendo daños a terceros </w:t>
            </w:r>
          </w:p>
        </w:tc>
        <w:tc>
          <w:tcPr>
            <w:tcW w:w="1101" w:type="dxa"/>
            <w:tcBorders>
              <w:top w:val="single" w:sz="4" w:space="0" w:color="000000"/>
              <w:left w:val="single" w:sz="4" w:space="0" w:color="000000"/>
              <w:bottom w:val="single" w:sz="4" w:space="0" w:color="000000"/>
              <w:right w:val="single" w:sz="4" w:space="0" w:color="000000"/>
            </w:tcBorders>
            <w:vAlign w:val="center"/>
          </w:tcPr>
          <w:p w14:paraId="218C741A" w14:textId="77777777" w:rsidR="00DB1A4D" w:rsidRPr="00A200EC" w:rsidRDefault="00943492" w:rsidP="0010464B">
            <w:pPr>
              <w:spacing w:after="0" w:line="240" w:lineRule="auto"/>
              <w:jc w:val="center"/>
              <w:rPr>
                <w:rFonts w:ascii="Arial" w:hAnsi="Arial" w:cs="Arial"/>
                <w:sz w:val="20"/>
                <w:szCs w:val="20"/>
                <w:highlight w:val="yellow"/>
                <w:lang w:val="es-ES_tradnl" w:eastAsia="zh-CN"/>
              </w:rPr>
            </w:pPr>
            <w:r w:rsidRPr="00D316A0">
              <w:rPr>
                <w:rFonts w:ascii="Arial" w:hAnsi="Arial" w:cs="Arial"/>
                <w:sz w:val="20"/>
                <w:szCs w:val="20"/>
                <w:lang w:val="es-ES_tradnl" w:eastAsia="zh-CN"/>
              </w:rPr>
              <w:t>Número</w:t>
            </w:r>
          </w:p>
        </w:tc>
        <w:tc>
          <w:tcPr>
            <w:tcW w:w="1329" w:type="dxa"/>
            <w:tcBorders>
              <w:top w:val="single" w:sz="4" w:space="0" w:color="000000"/>
              <w:left w:val="single" w:sz="4" w:space="0" w:color="000000"/>
              <w:bottom w:val="single" w:sz="4" w:space="0" w:color="000000"/>
              <w:right w:val="single" w:sz="4" w:space="0" w:color="000000"/>
            </w:tcBorders>
            <w:vAlign w:val="center"/>
          </w:tcPr>
          <w:p w14:paraId="244EE037" w14:textId="77777777" w:rsidR="00DB1A4D" w:rsidRPr="00D36073" w:rsidRDefault="00D919C9" w:rsidP="0010464B">
            <w:pPr>
              <w:spacing w:after="0" w:line="240" w:lineRule="auto"/>
              <w:jc w:val="center"/>
              <w:rPr>
                <w:rFonts w:ascii="Arial" w:hAnsi="Arial" w:cs="Arial"/>
                <w:sz w:val="20"/>
                <w:szCs w:val="20"/>
                <w:highlight w:val="yellow"/>
                <w:lang w:val="es-ES_tradnl" w:eastAsia="zh-CN"/>
              </w:rPr>
            </w:pPr>
            <w:r w:rsidRPr="00283DD8">
              <w:rPr>
                <w:rFonts w:ascii="Arial" w:hAnsi="Arial" w:cs="Arial"/>
                <w:sz w:val="20"/>
                <w:szCs w:val="20"/>
                <w:lang w:val="es-ES_tradnl" w:eastAsia="zh-CN"/>
              </w:rPr>
              <w:t>0</w:t>
            </w:r>
          </w:p>
        </w:tc>
        <w:tc>
          <w:tcPr>
            <w:tcW w:w="1010" w:type="dxa"/>
            <w:tcBorders>
              <w:top w:val="single" w:sz="4" w:space="0" w:color="000000"/>
              <w:left w:val="single" w:sz="4" w:space="0" w:color="000000"/>
              <w:bottom w:val="single" w:sz="4" w:space="0" w:color="000000"/>
              <w:right w:val="single" w:sz="4" w:space="0" w:color="000000"/>
            </w:tcBorders>
            <w:vAlign w:val="center"/>
          </w:tcPr>
          <w:p w14:paraId="00FC5E7F" w14:textId="77777777" w:rsidR="00DB1A4D" w:rsidRPr="00D36073" w:rsidRDefault="00A674B8" w:rsidP="0010464B">
            <w:pPr>
              <w:spacing w:after="0" w:line="240" w:lineRule="auto"/>
              <w:jc w:val="center"/>
              <w:rPr>
                <w:rFonts w:ascii="Arial" w:hAnsi="Arial" w:cs="Arial"/>
                <w:sz w:val="20"/>
                <w:szCs w:val="20"/>
                <w:highlight w:val="yellow"/>
                <w:lang w:val="es-ES_tradnl" w:eastAsia="zh-CN"/>
              </w:rPr>
            </w:pPr>
            <w:r w:rsidRPr="00D316A0">
              <w:rPr>
                <w:rFonts w:ascii="Arial" w:hAnsi="Arial" w:cs="Arial"/>
                <w:sz w:val="20"/>
                <w:szCs w:val="20"/>
                <w:lang w:val="es-ES_tradnl" w:eastAsia="zh-CN"/>
              </w:rPr>
              <w:t>2018</w:t>
            </w:r>
          </w:p>
        </w:tc>
        <w:tc>
          <w:tcPr>
            <w:tcW w:w="1330" w:type="dxa"/>
            <w:tcBorders>
              <w:top w:val="single" w:sz="4" w:space="0" w:color="000000"/>
              <w:left w:val="single" w:sz="4" w:space="0" w:color="000000"/>
              <w:bottom w:val="single" w:sz="4" w:space="0" w:color="000000"/>
              <w:right w:val="single" w:sz="4" w:space="0" w:color="000000"/>
            </w:tcBorders>
          </w:tcPr>
          <w:p w14:paraId="6CC1F0AC" w14:textId="77777777" w:rsidR="00DB1A4D" w:rsidRDefault="00DB1A4D" w:rsidP="00984C1A">
            <w:pPr>
              <w:spacing w:line="240" w:lineRule="auto"/>
              <w:rPr>
                <w:rFonts w:ascii="Arial" w:hAnsi="Arial" w:cs="Arial"/>
                <w:sz w:val="20"/>
                <w:szCs w:val="20"/>
                <w:highlight w:val="yellow"/>
                <w:lang w:val="es-ES_tradnl" w:eastAsia="zh-CN"/>
              </w:rPr>
            </w:pPr>
          </w:p>
          <w:p w14:paraId="673ADBB6" w14:textId="77777777" w:rsidR="00283DD8" w:rsidRDefault="00283DD8" w:rsidP="00984C1A">
            <w:pPr>
              <w:spacing w:line="240" w:lineRule="auto"/>
              <w:rPr>
                <w:rFonts w:ascii="Arial" w:hAnsi="Arial" w:cs="Arial"/>
                <w:sz w:val="20"/>
                <w:szCs w:val="20"/>
                <w:highlight w:val="yellow"/>
                <w:lang w:val="es-ES_tradnl" w:eastAsia="zh-CN"/>
              </w:rPr>
            </w:pPr>
          </w:p>
          <w:p w14:paraId="580BC9C8" w14:textId="08ABC8ED" w:rsidR="00D919C9" w:rsidRPr="00DB1A4D" w:rsidRDefault="00A7630C" w:rsidP="008E7495">
            <w:pPr>
              <w:spacing w:line="240" w:lineRule="auto"/>
              <w:jc w:val="center"/>
              <w:rPr>
                <w:rFonts w:ascii="Arial" w:hAnsi="Arial" w:cs="Arial"/>
                <w:sz w:val="20"/>
                <w:szCs w:val="20"/>
                <w:highlight w:val="yellow"/>
                <w:lang w:val="es-ES_tradnl" w:eastAsia="zh-CN"/>
              </w:rPr>
            </w:pPr>
            <w:r>
              <w:rPr>
                <w:rFonts w:ascii="Arial" w:hAnsi="Arial" w:cs="Arial"/>
                <w:sz w:val="20"/>
                <w:szCs w:val="20"/>
                <w:lang w:val="es-ES_tradnl" w:eastAsia="zh-CN"/>
              </w:rPr>
              <w:t>5</w:t>
            </w:r>
            <w:r w:rsidR="008E7495" w:rsidRPr="008E7495">
              <w:rPr>
                <w:rFonts w:ascii="Arial" w:hAnsi="Arial" w:cs="Arial"/>
                <w:sz w:val="20"/>
                <w:szCs w:val="20"/>
                <w:lang w:val="es-ES_tradnl" w:eastAsia="zh-CN"/>
              </w:rPr>
              <w:t>0%</w:t>
            </w:r>
          </w:p>
        </w:tc>
        <w:tc>
          <w:tcPr>
            <w:tcW w:w="1620" w:type="dxa"/>
            <w:tcBorders>
              <w:top w:val="single" w:sz="4" w:space="0" w:color="000000"/>
              <w:left w:val="single" w:sz="4" w:space="0" w:color="000000"/>
              <w:bottom w:val="single" w:sz="4" w:space="0" w:color="000000"/>
              <w:right w:val="single" w:sz="4" w:space="0" w:color="000000"/>
            </w:tcBorders>
          </w:tcPr>
          <w:p w14:paraId="5748D060" w14:textId="77777777" w:rsidR="00D97451" w:rsidRPr="00FC5BFE" w:rsidRDefault="00557DCB" w:rsidP="00D97451">
            <w:pPr>
              <w:spacing w:before="120" w:after="120" w:line="240" w:lineRule="auto"/>
              <w:rPr>
                <w:rFonts w:ascii="Arial" w:hAnsi="Arial" w:cs="Arial"/>
                <w:bCs/>
                <w:sz w:val="20"/>
                <w:szCs w:val="20"/>
                <w:lang w:val="es-HN" w:eastAsia="zh-CN"/>
              </w:rPr>
            </w:pPr>
            <w:r>
              <w:rPr>
                <w:rFonts w:ascii="Arial" w:hAnsi="Arial" w:cs="Arial"/>
                <w:bCs/>
                <w:sz w:val="20"/>
                <w:szCs w:val="20"/>
                <w:lang w:val="es-HN" w:eastAsia="zh-CN"/>
              </w:rPr>
              <w:t xml:space="preserve">Base de datos del </w:t>
            </w:r>
            <w:r w:rsidR="00401ADF">
              <w:rPr>
                <w:rFonts w:ascii="Arial" w:hAnsi="Arial" w:cs="Arial"/>
                <w:bCs/>
                <w:sz w:val="20"/>
                <w:szCs w:val="20"/>
                <w:lang w:val="es-HN" w:eastAsia="zh-CN"/>
              </w:rPr>
              <w:t>I</w:t>
            </w:r>
            <w:r w:rsidR="00D97451" w:rsidRPr="00FC5BFE">
              <w:rPr>
                <w:rFonts w:ascii="Arial" w:hAnsi="Arial" w:cs="Arial"/>
                <w:bCs/>
                <w:sz w:val="20"/>
                <w:szCs w:val="20"/>
                <w:lang w:val="es-HN" w:eastAsia="zh-CN"/>
              </w:rPr>
              <w:t xml:space="preserve">nstituto de la Propiedad </w:t>
            </w:r>
            <w:r w:rsidR="00401ADF">
              <w:rPr>
                <w:rFonts w:ascii="Arial" w:hAnsi="Arial" w:cs="Arial"/>
                <w:bCs/>
                <w:sz w:val="20"/>
                <w:szCs w:val="20"/>
                <w:lang w:val="es-HN" w:eastAsia="zh-CN"/>
              </w:rPr>
              <w:t>de Honduras</w:t>
            </w:r>
            <w:r>
              <w:rPr>
                <w:rFonts w:ascii="Arial" w:hAnsi="Arial" w:cs="Arial"/>
                <w:bCs/>
                <w:sz w:val="20"/>
                <w:szCs w:val="20"/>
                <w:lang w:val="es-HN" w:eastAsia="zh-CN"/>
              </w:rPr>
              <w:t xml:space="preserve"> a partir del </w:t>
            </w:r>
            <w:r w:rsidRPr="00BA1616">
              <w:rPr>
                <w:rFonts w:ascii="Arial" w:hAnsi="Arial" w:cs="Arial"/>
                <w:bCs/>
                <w:sz w:val="20"/>
                <w:szCs w:val="20"/>
                <w:lang w:val="es-HN" w:eastAsia="zh-CN"/>
              </w:rPr>
              <w:t>otorgamiento de revisiones vehiculares</w:t>
            </w:r>
            <w:r>
              <w:rPr>
                <w:rFonts w:ascii="Arial" w:hAnsi="Arial" w:cs="Arial"/>
                <w:bCs/>
                <w:sz w:val="20"/>
                <w:szCs w:val="20"/>
                <w:lang w:val="es-HN" w:eastAsia="zh-CN"/>
              </w:rPr>
              <w:t>.</w:t>
            </w:r>
          </w:p>
          <w:p w14:paraId="1F6EE119" w14:textId="4147E797" w:rsidR="00DB1A4D" w:rsidRPr="00943492" w:rsidRDefault="00DB1A4D" w:rsidP="008A072D">
            <w:pPr>
              <w:spacing w:before="120" w:after="120" w:line="240" w:lineRule="auto"/>
              <w:rPr>
                <w:rFonts w:ascii="Arial" w:hAnsi="Arial" w:cs="Arial"/>
                <w:sz w:val="20"/>
                <w:szCs w:val="20"/>
                <w:highlight w:val="yellow"/>
                <w:lang w:val="es-ES_tradnl" w:eastAsia="zh-CN"/>
              </w:rPr>
            </w:pPr>
          </w:p>
        </w:tc>
        <w:tc>
          <w:tcPr>
            <w:tcW w:w="4860" w:type="dxa"/>
            <w:tcBorders>
              <w:top w:val="single" w:sz="4" w:space="0" w:color="000000"/>
              <w:left w:val="single" w:sz="4" w:space="0" w:color="000000"/>
              <w:bottom w:val="single" w:sz="4" w:space="0" w:color="000000"/>
              <w:right w:val="single" w:sz="4" w:space="0" w:color="000000"/>
            </w:tcBorders>
            <w:shd w:val="clear" w:color="auto" w:fill="auto"/>
          </w:tcPr>
          <w:p w14:paraId="7BBE36F9" w14:textId="4E4DF72B" w:rsidR="00DD74B7" w:rsidRPr="005026D3" w:rsidRDefault="00A7630C" w:rsidP="00283DD8">
            <w:pPr>
              <w:spacing w:before="120" w:after="120" w:line="240" w:lineRule="auto"/>
              <w:jc w:val="both"/>
              <w:rPr>
                <w:rFonts w:ascii="Arial" w:hAnsi="Arial" w:cs="Arial"/>
                <w:sz w:val="20"/>
                <w:szCs w:val="20"/>
                <w:highlight w:val="yellow"/>
                <w:lang w:val="es-VE" w:eastAsia="zh-CN"/>
              </w:rPr>
            </w:pPr>
            <w:r w:rsidRPr="00A7630C">
              <w:rPr>
                <w:rFonts w:ascii="Arial" w:hAnsi="Arial" w:cs="Arial"/>
                <w:sz w:val="20"/>
                <w:szCs w:val="20"/>
                <w:lang w:val="es-ES_tradnl"/>
              </w:rPr>
              <w:t>De la proyección de crecimiento de la cantidad de vehículo de carga total, el IHTT estima que</w:t>
            </w:r>
            <w:r w:rsidR="000D4B11">
              <w:rPr>
                <w:rFonts w:ascii="Arial" w:hAnsi="Arial" w:cs="Arial"/>
                <w:sz w:val="20"/>
                <w:szCs w:val="20"/>
                <w:lang w:val="es-ES_tradnl"/>
              </w:rPr>
              <w:t xml:space="preserve"> al 2020 </w:t>
            </w:r>
            <w:r w:rsidRPr="00A7630C">
              <w:rPr>
                <w:rFonts w:ascii="Arial" w:hAnsi="Arial" w:cs="Arial"/>
                <w:sz w:val="20"/>
                <w:szCs w:val="20"/>
                <w:lang w:val="es-ES_tradnl"/>
              </w:rPr>
              <w:t>el reglamento se encontra</w:t>
            </w:r>
            <w:r w:rsidR="00401ADF">
              <w:rPr>
                <w:rFonts w:ascii="Arial" w:hAnsi="Arial" w:cs="Arial"/>
                <w:sz w:val="20"/>
                <w:szCs w:val="20"/>
                <w:lang w:val="es-ES_tradnl"/>
              </w:rPr>
              <w:t>r</w:t>
            </w:r>
            <w:r w:rsidRPr="00A7630C">
              <w:rPr>
                <w:rFonts w:ascii="Arial" w:hAnsi="Arial" w:cs="Arial"/>
                <w:sz w:val="20"/>
                <w:szCs w:val="20"/>
                <w:lang w:val="es-ES_tradnl"/>
              </w:rPr>
              <w:t>á aprobado y socializado</w:t>
            </w:r>
            <w:r w:rsidR="00D97451">
              <w:rPr>
                <w:rFonts w:ascii="Arial" w:hAnsi="Arial" w:cs="Arial"/>
                <w:sz w:val="20"/>
                <w:szCs w:val="20"/>
                <w:lang w:val="es-ES_tradnl"/>
              </w:rPr>
              <w:t>,</w:t>
            </w:r>
            <w:r w:rsidRPr="00A7630C">
              <w:rPr>
                <w:rFonts w:ascii="Arial" w:hAnsi="Arial" w:cs="Arial"/>
                <w:sz w:val="20"/>
                <w:szCs w:val="20"/>
                <w:lang w:val="es-ES_tradnl"/>
              </w:rPr>
              <w:t xml:space="preserve"> </w:t>
            </w:r>
            <w:r w:rsidR="000D4B11">
              <w:rPr>
                <w:rFonts w:ascii="Arial" w:hAnsi="Arial" w:cs="Arial"/>
                <w:sz w:val="20"/>
                <w:szCs w:val="20"/>
                <w:lang w:val="es-ES_tradnl"/>
              </w:rPr>
              <w:t xml:space="preserve">consecuentemente, </w:t>
            </w:r>
            <w:r w:rsidR="00223D02">
              <w:rPr>
                <w:rFonts w:ascii="Arial" w:hAnsi="Arial" w:cs="Arial"/>
                <w:sz w:val="20"/>
                <w:szCs w:val="20"/>
                <w:lang w:val="es-ES_tradnl"/>
              </w:rPr>
              <w:t xml:space="preserve">como meta; </w:t>
            </w:r>
            <w:r w:rsidRPr="00A7630C">
              <w:rPr>
                <w:rFonts w:ascii="Arial" w:hAnsi="Arial" w:cs="Arial"/>
                <w:sz w:val="20"/>
                <w:szCs w:val="20"/>
                <w:lang w:val="es-ES_tradnl"/>
              </w:rPr>
              <w:t>el 50% del total de vehículos de carga se encontrarán asegurados. Esto significa 31,961 vehículos de carga asegurados para el año 2022.</w:t>
            </w:r>
            <w:r w:rsidR="00223D02">
              <w:rPr>
                <w:rFonts w:ascii="Arial" w:hAnsi="Arial" w:cs="Arial"/>
                <w:sz w:val="20"/>
                <w:szCs w:val="20"/>
                <w:lang w:val="es-ES_tradnl"/>
              </w:rPr>
              <w:t xml:space="preserve"> La línea base es cero, debido a que antes de la promulgación de los reglamentos específicos, no existía obligatoriedad para obtener seguro con cobertura a daños a terceros para los vehículos de carga o remolque. </w:t>
            </w:r>
          </w:p>
        </w:tc>
      </w:tr>
      <w:tr w:rsidR="00FE75A2" w:rsidRPr="001264CF" w14:paraId="036EC557" w14:textId="77777777" w:rsidTr="002D1CF6">
        <w:trPr>
          <w:trHeight w:val="368"/>
        </w:trPr>
        <w:tc>
          <w:tcPr>
            <w:tcW w:w="13585" w:type="dxa"/>
            <w:gridSpan w:val="7"/>
            <w:tcBorders>
              <w:top w:val="single" w:sz="4" w:space="0" w:color="000000"/>
              <w:left w:val="single" w:sz="4" w:space="0" w:color="000000"/>
              <w:bottom w:val="single" w:sz="4" w:space="0" w:color="000000"/>
              <w:right w:val="single" w:sz="4" w:space="0" w:color="000000"/>
            </w:tcBorders>
            <w:vAlign w:val="center"/>
            <w:hideMark/>
          </w:tcPr>
          <w:p w14:paraId="53306A67" w14:textId="0E297AF2" w:rsidR="00FE75A2" w:rsidRPr="008B67B7" w:rsidRDefault="00FE75A2" w:rsidP="0010464B">
            <w:pPr>
              <w:spacing w:before="120" w:after="120" w:line="240" w:lineRule="auto"/>
              <w:rPr>
                <w:rFonts w:ascii="Arial" w:hAnsi="Arial" w:cs="Arial"/>
                <w:sz w:val="20"/>
                <w:szCs w:val="20"/>
                <w:lang w:val="es-ES_tradnl" w:eastAsia="zh-CN"/>
              </w:rPr>
            </w:pPr>
            <w:r w:rsidRPr="00B70F15">
              <w:rPr>
                <w:rFonts w:ascii="Arial" w:hAnsi="Arial" w:cs="Arial"/>
                <w:b/>
                <w:caps/>
                <w:sz w:val="20"/>
                <w:szCs w:val="20"/>
                <w:u w:val="single"/>
                <w:lang w:val="es-ES_tradnl" w:eastAsia="zh-CN"/>
              </w:rPr>
              <w:lastRenderedPageBreak/>
              <w:t>resultado #</w:t>
            </w:r>
            <w:r w:rsidR="001B114E">
              <w:rPr>
                <w:rFonts w:ascii="Arial" w:hAnsi="Arial" w:cs="Arial"/>
                <w:b/>
                <w:caps/>
                <w:sz w:val="20"/>
                <w:szCs w:val="20"/>
                <w:u w:val="single"/>
                <w:lang w:val="es-ES_tradnl" w:eastAsia="zh-CN"/>
              </w:rPr>
              <w:t>3</w:t>
            </w:r>
            <w:r w:rsidRPr="00B70F15">
              <w:rPr>
                <w:rFonts w:ascii="Arial" w:hAnsi="Arial" w:cs="Arial"/>
                <w:b/>
                <w:caps/>
                <w:sz w:val="20"/>
                <w:szCs w:val="20"/>
                <w:lang w:val="es-ES_tradnl" w:eastAsia="zh-CN"/>
              </w:rPr>
              <w:t>:</w:t>
            </w:r>
            <w:r w:rsidR="00D12B69" w:rsidRPr="00B70F15">
              <w:rPr>
                <w:rFonts w:ascii="Arial" w:hAnsi="Arial" w:cs="Arial"/>
                <w:b/>
                <w:caps/>
                <w:sz w:val="20"/>
                <w:szCs w:val="20"/>
                <w:lang w:val="es-ES_tradnl" w:eastAsia="zh-CN"/>
              </w:rPr>
              <w:t xml:space="preserve"> </w:t>
            </w:r>
            <w:r w:rsidR="00BB382A">
              <w:rPr>
                <w:rFonts w:ascii="Arial" w:hAnsi="Arial" w:cs="Arial"/>
                <w:b/>
                <w:sz w:val="20"/>
                <w:szCs w:val="20"/>
                <w:lang w:val="et-EE" w:eastAsia="zh-CN"/>
              </w:rPr>
              <w:t>F</w:t>
            </w:r>
            <w:r w:rsidR="008B67B7" w:rsidRPr="008B67B7">
              <w:rPr>
                <w:rFonts w:ascii="Arial" w:hAnsi="Arial" w:cs="Arial"/>
                <w:b/>
                <w:sz w:val="20"/>
                <w:szCs w:val="20"/>
                <w:lang w:val="et-EE" w:eastAsia="zh-CN"/>
              </w:rPr>
              <w:t xml:space="preserve">ortalecimiento de la institucionalidad del sector </w:t>
            </w:r>
            <w:r w:rsidR="008B67B7">
              <w:rPr>
                <w:rFonts w:ascii="Arial" w:hAnsi="Arial" w:cs="Arial"/>
                <w:b/>
                <w:sz w:val="20"/>
                <w:szCs w:val="20"/>
                <w:lang w:val="et-EE" w:eastAsia="zh-CN"/>
              </w:rPr>
              <w:t>de logística de cargas y transporte</w:t>
            </w:r>
            <w:r w:rsidR="00BB382A">
              <w:rPr>
                <w:rFonts w:ascii="Arial" w:hAnsi="Arial" w:cs="Arial"/>
                <w:b/>
                <w:sz w:val="20"/>
                <w:szCs w:val="20"/>
                <w:lang w:val="et-EE" w:eastAsia="zh-CN"/>
              </w:rPr>
              <w:t xml:space="preserve"> con la implementación de sistemas modernos de gestión de flota vehicular</w:t>
            </w:r>
            <w:r w:rsidR="008B67B7">
              <w:rPr>
                <w:rFonts w:ascii="Arial" w:hAnsi="Arial" w:cs="Arial"/>
                <w:b/>
                <w:sz w:val="20"/>
                <w:szCs w:val="20"/>
                <w:lang w:val="et-EE" w:eastAsia="zh-CN"/>
              </w:rPr>
              <w:t>.</w:t>
            </w:r>
          </w:p>
        </w:tc>
      </w:tr>
      <w:tr w:rsidR="00023330" w:rsidRPr="001264CF" w14:paraId="35851EA5" w14:textId="77777777" w:rsidTr="00FC5BFE">
        <w:trPr>
          <w:trHeight w:val="64"/>
        </w:trPr>
        <w:tc>
          <w:tcPr>
            <w:tcW w:w="2335" w:type="dxa"/>
            <w:tcBorders>
              <w:top w:val="single" w:sz="4" w:space="0" w:color="000000"/>
              <w:left w:val="single" w:sz="4" w:space="0" w:color="000000"/>
              <w:bottom w:val="single" w:sz="4" w:space="0" w:color="000000"/>
              <w:right w:val="single" w:sz="4" w:space="0" w:color="000000"/>
            </w:tcBorders>
            <w:vAlign w:val="center"/>
          </w:tcPr>
          <w:p w14:paraId="4B955EDD" w14:textId="77777777" w:rsidR="00023330" w:rsidRPr="00B70F15" w:rsidRDefault="00023330" w:rsidP="0010464B">
            <w:pPr>
              <w:pStyle w:val="ListParagraph"/>
              <w:spacing w:after="0" w:line="240" w:lineRule="auto"/>
              <w:ind w:left="0"/>
              <w:rPr>
                <w:rFonts w:ascii="Arial" w:hAnsi="Arial" w:cs="Arial"/>
                <w:sz w:val="20"/>
                <w:szCs w:val="20"/>
                <w:lang w:val="es-ES_tradnl" w:eastAsia="zh-CN"/>
              </w:rPr>
            </w:pPr>
            <w:r w:rsidRPr="00106374">
              <w:rPr>
                <w:rFonts w:ascii="Arial" w:hAnsi="Arial" w:cs="Arial"/>
                <w:sz w:val="20"/>
                <w:szCs w:val="20"/>
                <w:lang w:val="es-ES_tradnl" w:eastAsia="zh-CN"/>
              </w:rPr>
              <w:t>N</w:t>
            </w:r>
            <w:r>
              <w:rPr>
                <w:rFonts w:ascii="Arial" w:hAnsi="Arial" w:cs="Arial"/>
                <w:sz w:val="20"/>
                <w:szCs w:val="20"/>
                <w:lang w:val="es-ES_tradnl" w:eastAsia="zh-CN"/>
              </w:rPr>
              <w:t>ú</w:t>
            </w:r>
            <w:r w:rsidRPr="00106374">
              <w:rPr>
                <w:rFonts w:ascii="Arial" w:hAnsi="Arial" w:cs="Arial"/>
                <w:sz w:val="20"/>
                <w:szCs w:val="20"/>
                <w:lang w:val="es-ES_tradnl" w:eastAsia="zh-CN"/>
              </w:rPr>
              <w:t>m</w:t>
            </w:r>
            <w:r>
              <w:rPr>
                <w:rFonts w:ascii="Arial" w:hAnsi="Arial" w:cs="Arial"/>
                <w:sz w:val="20"/>
                <w:szCs w:val="20"/>
                <w:lang w:val="es-ES_tradnl" w:eastAsia="zh-CN"/>
              </w:rPr>
              <w:t>e</w:t>
            </w:r>
            <w:r w:rsidRPr="00106374">
              <w:rPr>
                <w:rFonts w:ascii="Arial" w:hAnsi="Arial" w:cs="Arial"/>
                <w:sz w:val="20"/>
                <w:szCs w:val="20"/>
                <w:lang w:val="es-ES_tradnl" w:eastAsia="zh-CN"/>
              </w:rPr>
              <w:t xml:space="preserve">ro de vehículos </w:t>
            </w:r>
            <w:r w:rsidR="00F44331">
              <w:rPr>
                <w:rFonts w:ascii="Arial" w:hAnsi="Arial" w:cs="Arial"/>
                <w:sz w:val="20"/>
                <w:szCs w:val="20"/>
                <w:lang w:val="es-ES_tradnl" w:eastAsia="zh-CN"/>
              </w:rPr>
              <w:t xml:space="preserve">de carga </w:t>
            </w:r>
            <w:r w:rsidRPr="00106374">
              <w:rPr>
                <w:rFonts w:ascii="Arial" w:hAnsi="Arial" w:cs="Arial"/>
                <w:sz w:val="20"/>
                <w:szCs w:val="20"/>
                <w:lang w:val="es-ES_tradnl" w:eastAsia="zh-CN"/>
              </w:rPr>
              <w:t>registrados usando la tarjeta inteligente</w:t>
            </w:r>
            <w:r w:rsidR="00382092">
              <w:rPr>
                <w:rStyle w:val="FootnoteReference"/>
                <w:rFonts w:ascii="Arial" w:hAnsi="Arial" w:cs="Arial"/>
                <w:sz w:val="20"/>
                <w:szCs w:val="20"/>
                <w:lang w:val="es-ES_tradnl" w:eastAsia="zh-CN"/>
              </w:rPr>
              <w:footnoteReference w:id="6"/>
            </w:r>
          </w:p>
        </w:tc>
        <w:tc>
          <w:tcPr>
            <w:tcW w:w="1101" w:type="dxa"/>
            <w:tcBorders>
              <w:top w:val="single" w:sz="4" w:space="0" w:color="000000"/>
              <w:left w:val="single" w:sz="4" w:space="0" w:color="000000"/>
              <w:bottom w:val="single" w:sz="4" w:space="0" w:color="000000"/>
              <w:right w:val="single" w:sz="4" w:space="0" w:color="000000"/>
            </w:tcBorders>
            <w:vAlign w:val="center"/>
          </w:tcPr>
          <w:p w14:paraId="3C653055" w14:textId="77777777" w:rsidR="00023330" w:rsidRPr="00B70F15" w:rsidRDefault="00023330" w:rsidP="0010464B">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Número</w:t>
            </w:r>
            <w:r w:rsidR="00653146">
              <w:rPr>
                <w:rFonts w:ascii="Arial" w:hAnsi="Arial" w:cs="Arial"/>
                <w:sz w:val="20"/>
                <w:szCs w:val="20"/>
                <w:lang w:val="es-ES_tradnl" w:eastAsia="zh-CN"/>
              </w:rPr>
              <w:t xml:space="preserve"> </w:t>
            </w:r>
          </w:p>
        </w:tc>
        <w:tc>
          <w:tcPr>
            <w:tcW w:w="1329" w:type="dxa"/>
            <w:tcBorders>
              <w:top w:val="single" w:sz="4" w:space="0" w:color="000000"/>
              <w:left w:val="single" w:sz="4" w:space="0" w:color="000000"/>
              <w:bottom w:val="single" w:sz="4" w:space="0" w:color="000000"/>
              <w:right w:val="single" w:sz="4" w:space="0" w:color="000000"/>
            </w:tcBorders>
            <w:vAlign w:val="center"/>
          </w:tcPr>
          <w:p w14:paraId="10FC03E0" w14:textId="77777777" w:rsidR="00023330" w:rsidRPr="00B70F15" w:rsidRDefault="0085610B" w:rsidP="0010464B">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29</w:t>
            </w:r>
          </w:p>
        </w:tc>
        <w:tc>
          <w:tcPr>
            <w:tcW w:w="1010" w:type="dxa"/>
            <w:tcBorders>
              <w:top w:val="single" w:sz="4" w:space="0" w:color="000000"/>
              <w:left w:val="single" w:sz="4" w:space="0" w:color="000000"/>
              <w:bottom w:val="single" w:sz="4" w:space="0" w:color="000000"/>
              <w:right w:val="single" w:sz="4" w:space="0" w:color="000000"/>
            </w:tcBorders>
            <w:vAlign w:val="center"/>
          </w:tcPr>
          <w:p w14:paraId="2F2D576E" w14:textId="77777777" w:rsidR="00023330" w:rsidRPr="00B70F15" w:rsidRDefault="00023330" w:rsidP="0010464B">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2018</w:t>
            </w:r>
          </w:p>
        </w:tc>
        <w:tc>
          <w:tcPr>
            <w:tcW w:w="1330" w:type="dxa"/>
            <w:tcBorders>
              <w:top w:val="single" w:sz="4" w:space="0" w:color="000000"/>
              <w:left w:val="single" w:sz="4" w:space="0" w:color="000000"/>
              <w:bottom w:val="single" w:sz="4" w:space="0" w:color="000000"/>
              <w:right w:val="single" w:sz="4" w:space="0" w:color="000000"/>
            </w:tcBorders>
            <w:vAlign w:val="center"/>
          </w:tcPr>
          <w:p w14:paraId="797FF37F" w14:textId="77777777" w:rsidR="00023330" w:rsidRPr="00B70F15" w:rsidRDefault="000C0D70" w:rsidP="00590D30">
            <w:pPr>
              <w:spacing w:after="0"/>
              <w:jc w:val="center"/>
              <w:rPr>
                <w:rFonts w:ascii="Arial" w:hAnsi="Arial" w:cs="Arial"/>
                <w:sz w:val="20"/>
                <w:szCs w:val="20"/>
                <w:lang w:val="es-ES_tradnl" w:eastAsia="zh-CN"/>
              </w:rPr>
            </w:pPr>
            <w:r w:rsidRPr="00D316A0">
              <w:rPr>
                <w:rFonts w:ascii="Arial" w:hAnsi="Arial" w:cs="Arial"/>
                <w:sz w:val="20"/>
                <w:szCs w:val="20"/>
                <w:lang w:val="es-ES_tradnl" w:eastAsia="zh-CN"/>
              </w:rPr>
              <w:t>20,000</w:t>
            </w:r>
          </w:p>
        </w:tc>
        <w:tc>
          <w:tcPr>
            <w:tcW w:w="1620" w:type="dxa"/>
            <w:tcBorders>
              <w:top w:val="single" w:sz="4" w:space="0" w:color="000000"/>
              <w:left w:val="single" w:sz="4" w:space="0" w:color="000000"/>
              <w:bottom w:val="single" w:sz="4" w:space="0" w:color="000000"/>
              <w:right w:val="single" w:sz="4" w:space="0" w:color="000000"/>
            </w:tcBorders>
          </w:tcPr>
          <w:p w14:paraId="3CAD357D" w14:textId="77777777" w:rsidR="00023330" w:rsidRPr="00D316A0" w:rsidRDefault="00023330" w:rsidP="0010464B">
            <w:pPr>
              <w:spacing w:before="120" w:after="120" w:line="240" w:lineRule="auto"/>
              <w:rPr>
                <w:rFonts w:ascii="Arial" w:hAnsi="Arial" w:cs="Arial"/>
                <w:sz w:val="20"/>
                <w:szCs w:val="20"/>
                <w:lang w:val="es-ES_tradnl" w:eastAsia="zh-CN"/>
              </w:rPr>
            </w:pPr>
            <w:r w:rsidRPr="00A60E60">
              <w:rPr>
                <w:rFonts w:ascii="Arial" w:hAnsi="Arial" w:cs="Arial"/>
                <w:sz w:val="20"/>
                <w:szCs w:val="20"/>
                <w:lang w:val="pt-BR" w:eastAsia="zh-CN"/>
              </w:rPr>
              <w:t xml:space="preserve">Reporte </w:t>
            </w:r>
            <w:r w:rsidR="00F44331">
              <w:rPr>
                <w:rFonts w:ascii="Arial" w:hAnsi="Arial" w:cs="Arial"/>
                <w:sz w:val="20"/>
                <w:szCs w:val="20"/>
                <w:lang w:val="pt-BR" w:eastAsia="zh-CN"/>
              </w:rPr>
              <w:t>del</w:t>
            </w:r>
            <w:r w:rsidRPr="00A60E60">
              <w:rPr>
                <w:rFonts w:ascii="Arial" w:hAnsi="Arial" w:cs="Arial"/>
                <w:sz w:val="20"/>
                <w:szCs w:val="20"/>
                <w:lang w:val="pt-BR" w:eastAsia="zh-CN"/>
              </w:rPr>
              <w:t xml:space="preserve"> IHTT</w:t>
            </w:r>
          </w:p>
        </w:tc>
        <w:tc>
          <w:tcPr>
            <w:tcW w:w="4860" w:type="dxa"/>
            <w:tcBorders>
              <w:top w:val="single" w:sz="4" w:space="0" w:color="000000"/>
              <w:left w:val="single" w:sz="4" w:space="0" w:color="000000"/>
              <w:bottom w:val="single" w:sz="4" w:space="0" w:color="000000"/>
              <w:right w:val="single" w:sz="4" w:space="0" w:color="000000"/>
            </w:tcBorders>
          </w:tcPr>
          <w:p w14:paraId="5BE9DB0B" w14:textId="00D4A5F4" w:rsidR="008C2A3C" w:rsidRPr="00D316A0" w:rsidRDefault="002B67A8" w:rsidP="002D3016">
            <w:pPr>
              <w:spacing w:before="120" w:after="120" w:line="240" w:lineRule="auto"/>
              <w:jc w:val="both"/>
              <w:rPr>
                <w:rFonts w:ascii="Arial" w:hAnsi="Arial" w:cs="Arial"/>
                <w:sz w:val="20"/>
                <w:szCs w:val="20"/>
                <w:lang w:val="es-ES_tradnl" w:eastAsia="zh-CN"/>
              </w:rPr>
            </w:pPr>
            <w:r w:rsidRPr="005026D3">
              <w:rPr>
                <w:rFonts w:ascii="Arial" w:hAnsi="Arial" w:cs="Arial"/>
                <w:sz w:val="20"/>
                <w:szCs w:val="20"/>
                <w:lang w:val="es-ES_tradnl"/>
              </w:rPr>
              <w:t xml:space="preserve">La línea base se toma de la información provista por el IHTT sobre la cantidad de vehículos que se encuentran usando la tarjeta inteligente en el </w:t>
            </w:r>
            <w:r w:rsidR="00223D02">
              <w:rPr>
                <w:rFonts w:ascii="Arial" w:hAnsi="Arial" w:cs="Arial"/>
                <w:sz w:val="20"/>
                <w:szCs w:val="20"/>
                <w:lang w:val="es-ES_tradnl"/>
              </w:rPr>
              <w:t xml:space="preserve">año </w:t>
            </w:r>
            <w:r w:rsidRPr="005026D3">
              <w:rPr>
                <w:rFonts w:ascii="Arial" w:hAnsi="Arial" w:cs="Arial"/>
                <w:sz w:val="20"/>
                <w:szCs w:val="20"/>
                <w:lang w:val="es-ES_tradnl"/>
              </w:rPr>
              <w:t xml:space="preserve">base. </w:t>
            </w:r>
            <w:r w:rsidR="005643D5" w:rsidRPr="005026D3">
              <w:rPr>
                <w:rFonts w:ascii="Arial" w:hAnsi="Arial" w:cs="Arial"/>
                <w:sz w:val="20"/>
                <w:szCs w:val="20"/>
                <w:lang w:val="es-ES_tradnl"/>
              </w:rPr>
              <w:t xml:space="preserve">La </w:t>
            </w:r>
            <w:r w:rsidRPr="005026D3">
              <w:rPr>
                <w:rFonts w:ascii="Arial" w:hAnsi="Arial" w:cs="Arial"/>
                <w:sz w:val="20"/>
                <w:szCs w:val="20"/>
                <w:lang w:val="es-ES_tradnl"/>
              </w:rPr>
              <w:t xml:space="preserve">estimación se realiza a partir de la </w:t>
            </w:r>
            <w:r w:rsidR="00223D02">
              <w:rPr>
                <w:rFonts w:ascii="Arial" w:hAnsi="Arial" w:cs="Arial"/>
                <w:sz w:val="20"/>
                <w:szCs w:val="20"/>
                <w:lang w:val="es-ES_tradnl"/>
              </w:rPr>
              <w:t>contabilización de</w:t>
            </w:r>
            <w:r w:rsidRPr="005026D3">
              <w:rPr>
                <w:rFonts w:ascii="Arial" w:hAnsi="Arial" w:cs="Arial"/>
                <w:sz w:val="20"/>
                <w:szCs w:val="20"/>
                <w:lang w:val="es-ES_tradnl"/>
              </w:rPr>
              <w:t xml:space="preserve"> la cantidad de vehículos registrados bajo la modalidad previa a la tarjeta inteligente, al momento de</w:t>
            </w:r>
            <w:r w:rsidRPr="00FC5BFE">
              <w:rPr>
                <w:rFonts w:ascii="Arial" w:hAnsi="Arial" w:cs="Arial"/>
                <w:sz w:val="20"/>
                <w:szCs w:val="20"/>
                <w:lang w:val="es-ES_tradnl"/>
              </w:rPr>
              <w:t xml:space="preserve"> la línea base y cuyo certificado se vencerán al 2022 y que por ende entrarán al nuevo sistema de registro de vehículos.</w:t>
            </w:r>
          </w:p>
        </w:tc>
      </w:tr>
      <w:tr w:rsidR="00E40171" w:rsidRPr="001264CF" w14:paraId="3AF477D4" w14:textId="77777777" w:rsidTr="002D1CF6">
        <w:trPr>
          <w:trHeight w:val="64"/>
        </w:trPr>
        <w:tc>
          <w:tcPr>
            <w:tcW w:w="13585" w:type="dxa"/>
            <w:gridSpan w:val="7"/>
            <w:tcBorders>
              <w:top w:val="single" w:sz="4" w:space="0" w:color="000000"/>
              <w:left w:val="single" w:sz="4" w:space="0" w:color="000000"/>
              <w:bottom w:val="single" w:sz="4" w:space="0" w:color="000000"/>
              <w:right w:val="single" w:sz="4" w:space="0" w:color="000000"/>
            </w:tcBorders>
            <w:vAlign w:val="center"/>
          </w:tcPr>
          <w:p w14:paraId="4EF57E20" w14:textId="4847C6F0" w:rsidR="0096527B" w:rsidRPr="0096527B" w:rsidRDefault="00261B13" w:rsidP="0010464B">
            <w:pPr>
              <w:spacing w:before="120" w:after="120" w:line="240" w:lineRule="auto"/>
              <w:rPr>
                <w:rFonts w:ascii="Arial" w:hAnsi="Arial" w:cs="Arial"/>
                <w:b/>
                <w:bCs/>
                <w:sz w:val="20"/>
                <w:szCs w:val="20"/>
                <w:lang w:val="es-ES"/>
              </w:rPr>
            </w:pPr>
            <w:r w:rsidRPr="00B70F15">
              <w:rPr>
                <w:rFonts w:ascii="Arial" w:hAnsi="Arial" w:cs="Arial"/>
                <w:b/>
                <w:caps/>
                <w:sz w:val="20"/>
                <w:szCs w:val="20"/>
                <w:u w:val="single"/>
                <w:lang w:val="es-ES_tradnl" w:eastAsia="zh-CN"/>
              </w:rPr>
              <w:t>resultado #</w:t>
            </w:r>
            <w:r w:rsidR="001B114E">
              <w:rPr>
                <w:rFonts w:ascii="Arial" w:hAnsi="Arial" w:cs="Arial"/>
                <w:b/>
                <w:caps/>
                <w:sz w:val="20"/>
                <w:szCs w:val="20"/>
                <w:u w:val="single"/>
                <w:lang w:val="es-ES_tradnl" w:eastAsia="zh-CN"/>
              </w:rPr>
              <w:t>4</w:t>
            </w:r>
            <w:r w:rsidRPr="00B70F15">
              <w:rPr>
                <w:rFonts w:ascii="Arial" w:hAnsi="Arial" w:cs="Arial"/>
                <w:b/>
                <w:caps/>
                <w:sz w:val="20"/>
                <w:szCs w:val="20"/>
                <w:lang w:val="es-ES_tradnl" w:eastAsia="zh-CN"/>
              </w:rPr>
              <w:t>:</w:t>
            </w:r>
            <w:r w:rsidR="00BB382A">
              <w:rPr>
                <w:rFonts w:ascii="Arial" w:hAnsi="Arial" w:cs="Arial"/>
                <w:b/>
                <w:caps/>
                <w:sz w:val="20"/>
                <w:szCs w:val="20"/>
                <w:lang w:val="es-ES_tradnl" w:eastAsia="zh-CN"/>
              </w:rPr>
              <w:t xml:space="preserve"> </w:t>
            </w:r>
            <w:r w:rsidR="00BB382A">
              <w:rPr>
                <w:rFonts w:ascii="Arial" w:hAnsi="Arial" w:cs="Arial"/>
                <w:b/>
                <w:bCs/>
                <w:sz w:val="20"/>
                <w:szCs w:val="20"/>
                <w:lang w:val="es-ES"/>
              </w:rPr>
              <w:t>Mejora en la calidad de la prestación de servicios de carga con una visión social inclusiva</w:t>
            </w:r>
            <w:r w:rsidR="00BB382A">
              <w:rPr>
                <w:rFonts w:ascii="Arial" w:hAnsi="Arial" w:cs="Arial"/>
                <w:b/>
                <w:caps/>
                <w:sz w:val="20"/>
                <w:szCs w:val="20"/>
                <w:lang w:val="es-ES_tradnl" w:eastAsia="zh-CN"/>
              </w:rPr>
              <w:t>.</w:t>
            </w:r>
          </w:p>
        </w:tc>
      </w:tr>
      <w:tr w:rsidR="000C0D70" w:rsidRPr="001264CF" w14:paraId="6A4D573A" w14:textId="77777777" w:rsidTr="00FC5BFE">
        <w:trPr>
          <w:trHeight w:val="64"/>
        </w:trPr>
        <w:tc>
          <w:tcPr>
            <w:tcW w:w="2335" w:type="dxa"/>
            <w:tcBorders>
              <w:top w:val="single" w:sz="4" w:space="0" w:color="000000"/>
              <w:left w:val="single" w:sz="4" w:space="0" w:color="000000"/>
              <w:bottom w:val="single" w:sz="4" w:space="0" w:color="000000"/>
              <w:right w:val="single" w:sz="4" w:space="0" w:color="000000"/>
            </w:tcBorders>
            <w:vAlign w:val="center"/>
            <w:hideMark/>
          </w:tcPr>
          <w:p w14:paraId="4FA5D090" w14:textId="77777777" w:rsidR="000C0D70" w:rsidRDefault="000C0D70" w:rsidP="000C0D70">
            <w:pPr>
              <w:pStyle w:val="ListParagraph"/>
              <w:spacing w:after="0" w:line="240" w:lineRule="auto"/>
              <w:ind w:left="0"/>
              <w:rPr>
                <w:rFonts w:ascii="Arial" w:hAnsi="Arial" w:cs="Arial"/>
                <w:sz w:val="20"/>
                <w:szCs w:val="20"/>
                <w:lang w:val="es-ES_tradnl" w:eastAsia="zh-CN"/>
              </w:rPr>
            </w:pPr>
            <w:r>
              <w:rPr>
                <w:rFonts w:ascii="Arial" w:hAnsi="Arial" w:cs="Arial"/>
                <w:sz w:val="20"/>
                <w:szCs w:val="20"/>
                <w:lang w:val="es-ES_tradnl" w:eastAsia="zh-CN"/>
              </w:rPr>
              <w:t>Número de certificaciones a pilotos otorgadas</w:t>
            </w:r>
            <w:r w:rsidR="00DF5B46">
              <w:rPr>
                <w:rFonts w:ascii="Arial" w:hAnsi="Arial" w:cs="Arial"/>
                <w:sz w:val="20"/>
                <w:szCs w:val="20"/>
                <w:lang w:val="es-ES_tradnl" w:eastAsia="zh-CN"/>
              </w:rPr>
              <w:t xml:space="preserve"> por la </w:t>
            </w:r>
            <w:r w:rsidR="00453E54">
              <w:rPr>
                <w:rFonts w:ascii="Arial" w:hAnsi="Arial" w:cs="Arial"/>
                <w:sz w:val="20"/>
                <w:szCs w:val="20"/>
                <w:lang w:val="es-ES_tradnl" w:eastAsia="zh-CN"/>
              </w:rPr>
              <w:t>Escuela</w:t>
            </w:r>
            <w:r w:rsidR="00046815">
              <w:rPr>
                <w:rFonts w:ascii="Arial" w:hAnsi="Arial" w:cs="Arial"/>
                <w:sz w:val="20"/>
                <w:szCs w:val="20"/>
                <w:lang w:val="es-ES_tradnl" w:eastAsia="zh-CN"/>
              </w:rPr>
              <w:t xml:space="preserve"> </w:t>
            </w:r>
            <w:r w:rsidR="00453E54">
              <w:rPr>
                <w:rFonts w:ascii="Arial" w:hAnsi="Arial" w:cs="Arial"/>
                <w:sz w:val="20"/>
                <w:szCs w:val="20"/>
                <w:lang w:val="es-ES_tradnl" w:eastAsia="zh-CN"/>
              </w:rPr>
              <w:t>Nacional de Transporte.</w:t>
            </w:r>
          </w:p>
          <w:p w14:paraId="273F0845" w14:textId="77777777" w:rsidR="000C0D70" w:rsidRPr="0096527B" w:rsidRDefault="000C0D70" w:rsidP="000C0D70">
            <w:pPr>
              <w:pStyle w:val="ListParagraph"/>
              <w:spacing w:after="0" w:line="240" w:lineRule="auto"/>
              <w:ind w:left="0"/>
              <w:rPr>
                <w:rFonts w:ascii="Arial" w:hAnsi="Arial" w:cs="Arial"/>
                <w:sz w:val="20"/>
                <w:szCs w:val="20"/>
                <w:lang w:val="es-ES_tradnl" w:eastAsia="zh-CN"/>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382CFE62" w14:textId="77777777" w:rsidR="000C0D70" w:rsidRPr="0096527B" w:rsidRDefault="000C0D70" w:rsidP="000C0D70">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Número</w:t>
            </w:r>
            <w:r w:rsidR="00653146">
              <w:rPr>
                <w:rFonts w:ascii="Arial" w:hAnsi="Arial" w:cs="Arial"/>
                <w:sz w:val="20"/>
                <w:szCs w:val="20"/>
                <w:lang w:val="es-ES_tradnl" w:eastAsia="zh-CN"/>
              </w:rPr>
              <w:t xml:space="preserve"> </w:t>
            </w:r>
          </w:p>
        </w:tc>
        <w:tc>
          <w:tcPr>
            <w:tcW w:w="1329" w:type="dxa"/>
            <w:tcBorders>
              <w:top w:val="single" w:sz="4" w:space="0" w:color="000000"/>
              <w:left w:val="single" w:sz="4" w:space="0" w:color="000000"/>
              <w:bottom w:val="single" w:sz="4" w:space="0" w:color="000000"/>
              <w:right w:val="single" w:sz="4" w:space="0" w:color="000000"/>
            </w:tcBorders>
            <w:vAlign w:val="center"/>
          </w:tcPr>
          <w:p w14:paraId="3127BBBC" w14:textId="77777777" w:rsidR="000C0D70" w:rsidRPr="0096527B" w:rsidRDefault="000C0D70" w:rsidP="000C0D70">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0</w:t>
            </w:r>
          </w:p>
        </w:tc>
        <w:tc>
          <w:tcPr>
            <w:tcW w:w="1010" w:type="dxa"/>
            <w:tcBorders>
              <w:top w:val="single" w:sz="4" w:space="0" w:color="000000"/>
              <w:left w:val="single" w:sz="4" w:space="0" w:color="000000"/>
              <w:bottom w:val="single" w:sz="4" w:space="0" w:color="000000"/>
              <w:right w:val="single" w:sz="4" w:space="0" w:color="000000"/>
            </w:tcBorders>
            <w:vAlign w:val="center"/>
          </w:tcPr>
          <w:p w14:paraId="5C59F5BC" w14:textId="77777777" w:rsidR="000C0D70" w:rsidRPr="0096527B" w:rsidRDefault="000C0D70" w:rsidP="000C0D70">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2018</w:t>
            </w:r>
          </w:p>
        </w:tc>
        <w:tc>
          <w:tcPr>
            <w:tcW w:w="1330" w:type="dxa"/>
            <w:tcBorders>
              <w:top w:val="single" w:sz="4" w:space="0" w:color="000000"/>
              <w:left w:val="single" w:sz="4" w:space="0" w:color="000000"/>
              <w:bottom w:val="single" w:sz="4" w:space="0" w:color="000000"/>
              <w:right w:val="single" w:sz="4" w:space="0" w:color="000000"/>
            </w:tcBorders>
            <w:vAlign w:val="center"/>
          </w:tcPr>
          <w:p w14:paraId="0235105B" w14:textId="690097A9" w:rsidR="000C0D70" w:rsidRPr="0096527B" w:rsidRDefault="00503CE1" w:rsidP="00590D30">
            <w:pPr>
              <w:spacing w:after="0"/>
              <w:jc w:val="center"/>
              <w:rPr>
                <w:rFonts w:ascii="Arial" w:hAnsi="Arial" w:cs="Arial"/>
                <w:sz w:val="20"/>
                <w:szCs w:val="20"/>
                <w:lang w:val="es-ES_tradnl" w:eastAsia="zh-CN"/>
              </w:rPr>
            </w:pPr>
            <w:r>
              <w:rPr>
                <w:rFonts w:ascii="Arial" w:hAnsi="Arial" w:cs="Arial"/>
                <w:sz w:val="20"/>
                <w:szCs w:val="20"/>
                <w:lang w:val="es-ES_tradnl" w:eastAsia="zh-CN"/>
              </w:rPr>
              <w:t>45</w:t>
            </w:r>
            <w:r w:rsidR="000C0D70" w:rsidRPr="00D316A0">
              <w:rPr>
                <w:rFonts w:ascii="Arial" w:hAnsi="Arial" w:cs="Arial"/>
                <w:sz w:val="20"/>
                <w:szCs w:val="20"/>
                <w:lang w:val="es-ES_tradnl" w:eastAsia="zh-CN"/>
              </w:rPr>
              <w:t>,000</w:t>
            </w:r>
          </w:p>
        </w:tc>
        <w:tc>
          <w:tcPr>
            <w:tcW w:w="1620" w:type="dxa"/>
            <w:tcBorders>
              <w:top w:val="single" w:sz="4" w:space="0" w:color="000000"/>
              <w:left w:val="single" w:sz="4" w:space="0" w:color="000000"/>
              <w:bottom w:val="single" w:sz="4" w:space="0" w:color="000000"/>
              <w:right w:val="single" w:sz="4" w:space="0" w:color="000000"/>
            </w:tcBorders>
          </w:tcPr>
          <w:p w14:paraId="48C12B7B" w14:textId="77777777" w:rsidR="000C0D70" w:rsidRPr="00453E54" w:rsidRDefault="00453E54" w:rsidP="000C0D70">
            <w:pPr>
              <w:spacing w:before="120" w:after="120" w:line="240" w:lineRule="auto"/>
              <w:rPr>
                <w:rFonts w:ascii="Arial" w:hAnsi="Arial" w:cs="Arial"/>
                <w:sz w:val="20"/>
                <w:szCs w:val="20"/>
                <w:lang w:val="es-ES_tradnl" w:eastAsia="zh-CN"/>
              </w:rPr>
            </w:pPr>
            <w:r w:rsidRPr="00453E54">
              <w:rPr>
                <w:rFonts w:ascii="Arial" w:hAnsi="Arial" w:cs="Arial"/>
                <w:sz w:val="20"/>
                <w:szCs w:val="20"/>
                <w:lang w:val="es-ES_tradnl" w:eastAsia="zh-CN"/>
              </w:rPr>
              <w:t xml:space="preserve">Registro de pilotos </w:t>
            </w:r>
            <w:r>
              <w:rPr>
                <w:rFonts w:ascii="Arial" w:hAnsi="Arial" w:cs="Arial"/>
                <w:sz w:val="20"/>
                <w:szCs w:val="20"/>
                <w:lang w:val="es-ES_tradnl" w:eastAsia="zh-CN"/>
              </w:rPr>
              <w:t>de la Escuela Nacional de Transporte</w:t>
            </w:r>
            <w:r w:rsidR="00046815">
              <w:rPr>
                <w:rFonts w:ascii="Arial" w:hAnsi="Arial" w:cs="Arial"/>
                <w:sz w:val="20"/>
                <w:szCs w:val="20"/>
                <w:lang w:val="es-ES_tradnl" w:eastAsia="zh-CN"/>
              </w:rPr>
              <w:t>. IHTT.</w:t>
            </w:r>
          </w:p>
        </w:tc>
        <w:tc>
          <w:tcPr>
            <w:tcW w:w="4860" w:type="dxa"/>
            <w:tcBorders>
              <w:top w:val="single" w:sz="4" w:space="0" w:color="000000"/>
              <w:left w:val="single" w:sz="4" w:space="0" w:color="000000"/>
              <w:bottom w:val="single" w:sz="4" w:space="0" w:color="000000"/>
              <w:right w:val="single" w:sz="4" w:space="0" w:color="000000"/>
            </w:tcBorders>
          </w:tcPr>
          <w:p w14:paraId="35ADDEE9" w14:textId="42CB0A1A" w:rsidR="000C0D70" w:rsidRPr="002B67A8" w:rsidRDefault="002B67A8" w:rsidP="002D3016">
            <w:pPr>
              <w:spacing w:before="120" w:after="120" w:line="240" w:lineRule="auto"/>
              <w:jc w:val="both"/>
              <w:rPr>
                <w:rFonts w:ascii="Arial" w:hAnsi="Arial" w:cs="Arial"/>
                <w:sz w:val="20"/>
                <w:szCs w:val="20"/>
                <w:lang w:val="es-ES_tradnl" w:eastAsia="zh-CN"/>
              </w:rPr>
            </w:pPr>
            <w:r>
              <w:rPr>
                <w:rFonts w:ascii="Arial" w:hAnsi="Arial" w:cs="Arial"/>
                <w:sz w:val="20"/>
                <w:szCs w:val="20"/>
                <w:lang w:val="es-ES_tradnl" w:eastAsia="zh-CN"/>
              </w:rPr>
              <w:t>El p</w:t>
            </w:r>
            <w:r w:rsidRPr="002B67A8">
              <w:rPr>
                <w:rFonts w:ascii="Arial" w:hAnsi="Arial" w:cs="Arial"/>
                <w:sz w:val="20"/>
                <w:szCs w:val="20"/>
                <w:lang w:val="es-ES_tradnl" w:eastAsia="zh-CN"/>
              </w:rPr>
              <w:t xml:space="preserve">ronóstico se realiza en base a la cuantificación de las renovaciones de licencias esperadas al 2022 ya que, de acuerdo </w:t>
            </w:r>
            <w:r w:rsidR="0045522C">
              <w:rPr>
                <w:rFonts w:ascii="Arial" w:hAnsi="Arial" w:cs="Arial"/>
                <w:sz w:val="20"/>
                <w:szCs w:val="20"/>
                <w:lang w:val="es-ES_tradnl" w:eastAsia="zh-CN"/>
              </w:rPr>
              <w:t>con</w:t>
            </w:r>
            <w:r w:rsidRPr="002B67A8">
              <w:rPr>
                <w:rFonts w:ascii="Arial" w:hAnsi="Arial" w:cs="Arial"/>
                <w:sz w:val="20"/>
                <w:szCs w:val="20"/>
                <w:lang w:val="es-ES_tradnl" w:eastAsia="zh-CN"/>
              </w:rPr>
              <w:t xml:space="preserve"> la </w:t>
            </w:r>
            <w:r w:rsidR="0045522C">
              <w:rPr>
                <w:rFonts w:ascii="Arial" w:hAnsi="Arial" w:cs="Arial"/>
                <w:sz w:val="20"/>
                <w:szCs w:val="20"/>
                <w:lang w:val="es-ES_tradnl" w:eastAsia="zh-CN"/>
              </w:rPr>
              <w:t xml:space="preserve">implementación </w:t>
            </w:r>
            <w:r w:rsidRPr="002B67A8">
              <w:rPr>
                <w:rFonts w:ascii="Arial" w:hAnsi="Arial" w:cs="Arial"/>
                <w:sz w:val="20"/>
                <w:szCs w:val="20"/>
                <w:lang w:val="es-ES_tradnl" w:eastAsia="zh-CN"/>
              </w:rPr>
              <w:t xml:space="preserve">normativa </w:t>
            </w:r>
            <w:r w:rsidR="00223D02">
              <w:rPr>
                <w:rFonts w:ascii="Arial" w:hAnsi="Arial" w:cs="Arial"/>
                <w:sz w:val="20"/>
                <w:szCs w:val="20"/>
                <w:lang w:val="es-ES_tradnl" w:eastAsia="zh-CN"/>
              </w:rPr>
              <w:t>relacionada</w:t>
            </w:r>
            <w:r w:rsidR="0045522C">
              <w:rPr>
                <w:rFonts w:ascii="Arial" w:hAnsi="Arial" w:cs="Arial"/>
                <w:sz w:val="20"/>
                <w:szCs w:val="20"/>
                <w:lang w:val="es-ES_tradnl" w:eastAsia="zh-CN"/>
              </w:rPr>
              <w:t xml:space="preserve"> a la puesta en </w:t>
            </w:r>
            <w:r w:rsidR="0045522C" w:rsidRPr="0045522C">
              <w:rPr>
                <w:rFonts w:ascii="Arial" w:hAnsi="Arial" w:cs="Arial"/>
                <w:sz w:val="20"/>
                <w:szCs w:val="20"/>
                <w:lang w:val="es-HN" w:eastAsia="zh-CN"/>
              </w:rPr>
              <w:t xml:space="preserve">operaciones la Escuela Nacional </w:t>
            </w:r>
            <w:r w:rsidR="00223D02">
              <w:rPr>
                <w:rFonts w:ascii="Arial" w:hAnsi="Arial" w:cs="Arial"/>
                <w:sz w:val="20"/>
                <w:szCs w:val="20"/>
                <w:lang w:val="es-HN" w:eastAsia="zh-CN"/>
              </w:rPr>
              <w:t>de Pilotos</w:t>
            </w:r>
            <w:r w:rsidRPr="002B67A8">
              <w:rPr>
                <w:rFonts w:ascii="Arial" w:hAnsi="Arial" w:cs="Arial"/>
                <w:sz w:val="20"/>
                <w:szCs w:val="20"/>
                <w:lang w:val="es-ES_tradnl" w:eastAsia="zh-CN"/>
              </w:rPr>
              <w:t>, no se puede emitir una nueva licencia si</w:t>
            </w:r>
            <w:r w:rsidR="00046815">
              <w:rPr>
                <w:rFonts w:ascii="Arial" w:hAnsi="Arial" w:cs="Arial"/>
                <w:sz w:val="20"/>
                <w:szCs w:val="20"/>
                <w:lang w:val="es-ES_tradnl" w:eastAsia="zh-CN"/>
              </w:rPr>
              <w:t>n</w:t>
            </w:r>
            <w:r w:rsidRPr="002B67A8">
              <w:rPr>
                <w:rFonts w:ascii="Arial" w:hAnsi="Arial" w:cs="Arial"/>
                <w:sz w:val="20"/>
                <w:szCs w:val="20"/>
                <w:lang w:val="es-ES_tradnl" w:eastAsia="zh-CN"/>
              </w:rPr>
              <w:t xml:space="preserve"> un certificado de capacitación. La proyección se basa en </w:t>
            </w:r>
            <w:r w:rsidR="00046815">
              <w:rPr>
                <w:rFonts w:ascii="Arial" w:hAnsi="Arial" w:cs="Arial"/>
                <w:sz w:val="20"/>
                <w:szCs w:val="20"/>
                <w:lang w:val="es-ES_tradnl" w:eastAsia="zh-CN"/>
              </w:rPr>
              <w:t>la</w:t>
            </w:r>
            <w:r w:rsidR="00223D02">
              <w:rPr>
                <w:rFonts w:ascii="Arial" w:hAnsi="Arial" w:cs="Arial"/>
                <w:sz w:val="20"/>
                <w:szCs w:val="20"/>
                <w:lang w:val="es-ES_tradnl" w:eastAsia="zh-CN"/>
              </w:rPr>
              <w:t>s</w:t>
            </w:r>
            <w:r w:rsidR="00046815">
              <w:rPr>
                <w:rFonts w:ascii="Arial" w:hAnsi="Arial" w:cs="Arial"/>
                <w:sz w:val="20"/>
                <w:szCs w:val="20"/>
                <w:lang w:val="es-ES_tradnl" w:eastAsia="zh-CN"/>
              </w:rPr>
              <w:t xml:space="preserve"> licencias </w:t>
            </w:r>
            <w:r w:rsidR="00223D02">
              <w:rPr>
                <w:rFonts w:ascii="Arial" w:hAnsi="Arial" w:cs="Arial"/>
                <w:sz w:val="20"/>
                <w:szCs w:val="20"/>
                <w:lang w:val="es-ES_tradnl" w:eastAsia="zh-CN"/>
              </w:rPr>
              <w:t>a</w:t>
            </w:r>
            <w:r w:rsidR="00046815">
              <w:rPr>
                <w:rFonts w:ascii="Arial" w:hAnsi="Arial" w:cs="Arial"/>
                <w:sz w:val="20"/>
                <w:szCs w:val="20"/>
                <w:lang w:val="es-ES_tradnl" w:eastAsia="zh-CN"/>
              </w:rPr>
              <w:t xml:space="preserve"> otorgarse al 2022 de las cuales el 25% de las acreditaciones serán otorgadas por la Escueta </w:t>
            </w:r>
            <w:r w:rsidR="00823D95">
              <w:rPr>
                <w:rFonts w:ascii="Arial" w:hAnsi="Arial" w:cs="Arial"/>
                <w:sz w:val="20"/>
                <w:szCs w:val="20"/>
                <w:lang w:val="es-ES_tradnl" w:eastAsia="zh-CN"/>
              </w:rPr>
              <w:t>N</w:t>
            </w:r>
            <w:r w:rsidR="00046815">
              <w:rPr>
                <w:rFonts w:ascii="Arial" w:hAnsi="Arial" w:cs="Arial"/>
                <w:sz w:val="20"/>
                <w:szCs w:val="20"/>
                <w:lang w:val="es-ES_tradnl" w:eastAsia="zh-CN"/>
              </w:rPr>
              <w:t>acional</w:t>
            </w:r>
            <w:r w:rsidR="00823D95">
              <w:rPr>
                <w:rFonts w:ascii="Arial" w:hAnsi="Arial" w:cs="Arial"/>
                <w:sz w:val="20"/>
                <w:szCs w:val="20"/>
                <w:lang w:val="es-ES_tradnl" w:eastAsia="zh-CN"/>
              </w:rPr>
              <w:t xml:space="preserve"> de Transporte. </w:t>
            </w:r>
            <w:r w:rsidR="00223D02">
              <w:rPr>
                <w:rFonts w:ascii="Arial" w:hAnsi="Arial" w:cs="Arial"/>
                <w:sz w:val="20"/>
                <w:szCs w:val="20"/>
                <w:lang w:val="es-ES_tradnl" w:eastAsia="zh-CN"/>
              </w:rPr>
              <w:t xml:space="preserve">En el año base, la Escuela Nacional de Transporte no existe por lo cual son cero las certificaciones otorgadas. </w:t>
            </w:r>
          </w:p>
        </w:tc>
      </w:tr>
      <w:tr w:rsidR="00453E54" w:rsidRPr="001264CF" w14:paraId="19D0AD0B" w14:textId="77777777" w:rsidTr="00FC5BFE">
        <w:trPr>
          <w:trHeight w:val="1448"/>
        </w:trPr>
        <w:tc>
          <w:tcPr>
            <w:tcW w:w="2335" w:type="dxa"/>
            <w:tcBorders>
              <w:top w:val="single" w:sz="4" w:space="0" w:color="000000"/>
              <w:left w:val="single" w:sz="4" w:space="0" w:color="000000"/>
              <w:bottom w:val="single" w:sz="4" w:space="0" w:color="000000"/>
              <w:right w:val="single" w:sz="4" w:space="0" w:color="000000"/>
            </w:tcBorders>
            <w:vAlign w:val="center"/>
          </w:tcPr>
          <w:p w14:paraId="341829F5" w14:textId="77777777" w:rsidR="00453E54" w:rsidRDefault="00453E54" w:rsidP="00453E54">
            <w:pPr>
              <w:pStyle w:val="ListParagraph"/>
              <w:spacing w:after="0" w:line="240" w:lineRule="auto"/>
              <w:ind w:left="0"/>
              <w:rPr>
                <w:rFonts w:ascii="Arial" w:hAnsi="Arial" w:cs="Arial"/>
                <w:sz w:val="20"/>
                <w:szCs w:val="20"/>
                <w:lang w:val="es-ES_tradnl" w:eastAsia="zh-CN"/>
              </w:rPr>
            </w:pPr>
            <w:r>
              <w:rPr>
                <w:rFonts w:ascii="Arial" w:hAnsi="Arial" w:cs="Arial"/>
                <w:sz w:val="20"/>
                <w:szCs w:val="20"/>
                <w:lang w:val="es-ES_tradnl" w:eastAsia="zh-CN"/>
              </w:rPr>
              <w:t xml:space="preserve">Número de certificaciones </w:t>
            </w:r>
            <w:r w:rsidR="00D757D7">
              <w:rPr>
                <w:rFonts w:ascii="Arial" w:hAnsi="Arial" w:cs="Arial"/>
                <w:sz w:val="20"/>
                <w:szCs w:val="20"/>
                <w:lang w:val="es-ES_tradnl" w:eastAsia="zh-CN"/>
              </w:rPr>
              <w:t>a</w:t>
            </w:r>
            <w:r>
              <w:rPr>
                <w:rFonts w:ascii="Arial" w:hAnsi="Arial" w:cs="Arial"/>
                <w:sz w:val="20"/>
                <w:szCs w:val="20"/>
                <w:lang w:val="es-ES_tradnl" w:eastAsia="zh-CN"/>
              </w:rPr>
              <w:t xml:space="preserve"> pilotos otorgadas </w:t>
            </w:r>
            <w:r w:rsidR="00D757D7">
              <w:rPr>
                <w:rFonts w:ascii="Arial" w:hAnsi="Arial" w:cs="Arial"/>
                <w:sz w:val="20"/>
                <w:szCs w:val="20"/>
                <w:lang w:val="es-ES_tradnl" w:eastAsia="zh-CN"/>
              </w:rPr>
              <w:t xml:space="preserve">a mujeres </w:t>
            </w:r>
            <w:r>
              <w:rPr>
                <w:rFonts w:ascii="Arial" w:hAnsi="Arial" w:cs="Arial"/>
                <w:sz w:val="20"/>
                <w:szCs w:val="20"/>
                <w:lang w:val="es-ES_tradnl" w:eastAsia="zh-CN"/>
              </w:rPr>
              <w:t>por la Escuela Nacional de Transporte.</w:t>
            </w:r>
          </w:p>
          <w:p w14:paraId="1E0E6656" w14:textId="77777777" w:rsidR="00453E54" w:rsidRDefault="00453E54" w:rsidP="00453E54">
            <w:pPr>
              <w:pStyle w:val="ListParagraph"/>
              <w:spacing w:after="0" w:line="240" w:lineRule="auto"/>
              <w:ind w:left="0"/>
              <w:rPr>
                <w:rFonts w:ascii="Arial" w:hAnsi="Arial" w:cs="Arial"/>
                <w:sz w:val="20"/>
                <w:szCs w:val="20"/>
                <w:lang w:val="es-ES_tradnl" w:eastAsia="zh-CN"/>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2978ABEA" w14:textId="77777777" w:rsidR="00453E54" w:rsidRDefault="00453E54" w:rsidP="00453E54">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Número</w:t>
            </w:r>
          </w:p>
        </w:tc>
        <w:tc>
          <w:tcPr>
            <w:tcW w:w="1329" w:type="dxa"/>
            <w:tcBorders>
              <w:top w:val="single" w:sz="4" w:space="0" w:color="000000"/>
              <w:left w:val="single" w:sz="4" w:space="0" w:color="000000"/>
              <w:bottom w:val="single" w:sz="4" w:space="0" w:color="000000"/>
              <w:right w:val="single" w:sz="4" w:space="0" w:color="000000"/>
            </w:tcBorders>
            <w:vAlign w:val="center"/>
          </w:tcPr>
          <w:p w14:paraId="1567EC1A" w14:textId="77777777" w:rsidR="00453E54" w:rsidRDefault="00453E54" w:rsidP="00453E54">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0</w:t>
            </w:r>
          </w:p>
        </w:tc>
        <w:tc>
          <w:tcPr>
            <w:tcW w:w="1010" w:type="dxa"/>
            <w:tcBorders>
              <w:top w:val="single" w:sz="4" w:space="0" w:color="000000"/>
              <w:left w:val="single" w:sz="4" w:space="0" w:color="000000"/>
              <w:bottom w:val="single" w:sz="4" w:space="0" w:color="000000"/>
              <w:right w:val="single" w:sz="4" w:space="0" w:color="000000"/>
            </w:tcBorders>
            <w:vAlign w:val="center"/>
          </w:tcPr>
          <w:p w14:paraId="4ED96ED8" w14:textId="77777777" w:rsidR="00453E54" w:rsidRDefault="00453E54" w:rsidP="00453E54">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2018</w:t>
            </w:r>
          </w:p>
        </w:tc>
        <w:tc>
          <w:tcPr>
            <w:tcW w:w="1330" w:type="dxa"/>
            <w:tcBorders>
              <w:top w:val="single" w:sz="4" w:space="0" w:color="000000"/>
              <w:left w:val="single" w:sz="4" w:space="0" w:color="000000"/>
              <w:bottom w:val="single" w:sz="4" w:space="0" w:color="000000"/>
              <w:right w:val="single" w:sz="4" w:space="0" w:color="000000"/>
            </w:tcBorders>
            <w:vAlign w:val="center"/>
          </w:tcPr>
          <w:p w14:paraId="067E46AA" w14:textId="3B00776F" w:rsidR="00453E54" w:rsidRPr="00D316A0" w:rsidRDefault="00503CE1" w:rsidP="00453E54">
            <w:pPr>
              <w:spacing w:after="0"/>
              <w:jc w:val="center"/>
              <w:rPr>
                <w:rFonts w:ascii="Arial" w:hAnsi="Arial" w:cs="Arial"/>
                <w:sz w:val="20"/>
                <w:szCs w:val="20"/>
                <w:lang w:val="es-ES_tradnl" w:eastAsia="zh-CN"/>
              </w:rPr>
            </w:pPr>
            <w:r>
              <w:rPr>
                <w:rFonts w:ascii="Arial" w:hAnsi="Arial" w:cs="Arial"/>
                <w:sz w:val="20"/>
                <w:szCs w:val="20"/>
                <w:lang w:val="es-ES_tradnl" w:eastAsia="zh-CN"/>
              </w:rPr>
              <w:t>4</w:t>
            </w:r>
            <w:r w:rsidR="00453E54">
              <w:rPr>
                <w:rFonts w:ascii="Arial" w:hAnsi="Arial" w:cs="Arial"/>
                <w:sz w:val="20"/>
                <w:szCs w:val="20"/>
                <w:lang w:val="es-ES_tradnl" w:eastAsia="zh-CN"/>
              </w:rPr>
              <w:t>,</w:t>
            </w:r>
            <w:r>
              <w:rPr>
                <w:rFonts w:ascii="Arial" w:hAnsi="Arial" w:cs="Arial"/>
                <w:sz w:val="20"/>
                <w:szCs w:val="20"/>
                <w:lang w:val="es-ES_tradnl" w:eastAsia="zh-CN"/>
              </w:rPr>
              <w:t>5</w:t>
            </w:r>
            <w:r w:rsidR="00453E54">
              <w:rPr>
                <w:rFonts w:ascii="Arial" w:hAnsi="Arial" w:cs="Arial"/>
                <w:sz w:val="20"/>
                <w:szCs w:val="20"/>
                <w:lang w:val="es-ES_tradnl" w:eastAsia="zh-CN"/>
              </w:rPr>
              <w:t>00</w:t>
            </w:r>
          </w:p>
        </w:tc>
        <w:tc>
          <w:tcPr>
            <w:tcW w:w="1620" w:type="dxa"/>
            <w:tcBorders>
              <w:top w:val="single" w:sz="4" w:space="0" w:color="000000"/>
              <w:left w:val="single" w:sz="4" w:space="0" w:color="000000"/>
              <w:bottom w:val="single" w:sz="4" w:space="0" w:color="000000"/>
              <w:right w:val="single" w:sz="4" w:space="0" w:color="000000"/>
            </w:tcBorders>
          </w:tcPr>
          <w:p w14:paraId="35699457" w14:textId="77777777" w:rsidR="00453E54" w:rsidRPr="00A60E60" w:rsidRDefault="00453E54" w:rsidP="00453E54">
            <w:pPr>
              <w:spacing w:before="120" w:after="120" w:line="240" w:lineRule="auto"/>
              <w:rPr>
                <w:rFonts w:ascii="Arial" w:hAnsi="Arial" w:cs="Arial"/>
                <w:sz w:val="20"/>
                <w:szCs w:val="20"/>
                <w:lang w:val="pt-BR" w:eastAsia="zh-CN"/>
              </w:rPr>
            </w:pPr>
            <w:r w:rsidRPr="00453E54">
              <w:rPr>
                <w:rFonts w:ascii="Arial" w:hAnsi="Arial" w:cs="Arial"/>
                <w:sz w:val="20"/>
                <w:szCs w:val="20"/>
                <w:lang w:val="es-ES_tradnl" w:eastAsia="zh-CN"/>
              </w:rPr>
              <w:t xml:space="preserve">Registro de pilotos </w:t>
            </w:r>
            <w:r>
              <w:rPr>
                <w:rFonts w:ascii="Arial" w:hAnsi="Arial" w:cs="Arial"/>
                <w:sz w:val="20"/>
                <w:szCs w:val="20"/>
                <w:lang w:val="es-ES_tradnl" w:eastAsia="zh-CN"/>
              </w:rPr>
              <w:t>de la Escuela Nacional de Transporte</w:t>
            </w:r>
            <w:r w:rsidR="00046815">
              <w:rPr>
                <w:rFonts w:ascii="Arial" w:hAnsi="Arial" w:cs="Arial"/>
                <w:sz w:val="20"/>
                <w:szCs w:val="20"/>
                <w:lang w:val="es-ES_tradnl" w:eastAsia="zh-CN"/>
              </w:rPr>
              <w:t xml:space="preserve"> IHTT.</w:t>
            </w:r>
          </w:p>
        </w:tc>
        <w:tc>
          <w:tcPr>
            <w:tcW w:w="4860" w:type="dxa"/>
            <w:tcBorders>
              <w:top w:val="single" w:sz="4" w:space="0" w:color="000000"/>
              <w:left w:val="single" w:sz="4" w:space="0" w:color="000000"/>
              <w:bottom w:val="single" w:sz="4" w:space="0" w:color="000000"/>
              <w:right w:val="single" w:sz="4" w:space="0" w:color="000000"/>
            </w:tcBorders>
          </w:tcPr>
          <w:p w14:paraId="2E6CAA5E" w14:textId="77777777" w:rsidR="00453E54" w:rsidRDefault="00453E54" w:rsidP="00453E54">
            <w:pPr>
              <w:spacing w:before="120" w:after="120" w:line="240" w:lineRule="auto"/>
              <w:jc w:val="both"/>
              <w:rPr>
                <w:rFonts w:ascii="Arial" w:hAnsi="Arial" w:cs="Arial"/>
                <w:sz w:val="20"/>
                <w:szCs w:val="20"/>
                <w:lang w:val="es-ES_tradnl" w:eastAsia="zh-CN"/>
              </w:rPr>
            </w:pPr>
            <w:r>
              <w:rPr>
                <w:rFonts w:ascii="Arial" w:hAnsi="Arial" w:cs="Arial"/>
                <w:sz w:val="20"/>
                <w:szCs w:val="20"/>
                <w:lang w:val="es-ES_tradnl" w:eastAsia="zh-CN"/>
              </w:rPr>
              <w:t xml:space="preserve">Como impactos del plan de incentivos a desarrollarse, se prevé </w:t>
            </w:r>
            <w:r w:rsidR="00401933">
              <w:rPr>
                <w:rFonts w:ascii="Arial" w:hAnsi="Arial" w:cs="Arial"/>
                <w:sz w:val="20"/>
                <w:szCs w:val="20"/>
                <w:lang w:val="es-ES_tradnl" w:eastAsia="zh-CN"/>
              </w:rPr>
              <w:t>que,</w:t>
            </w:r>
            <w:r>
              <w:rPr>
                <w:rFonts w:ascii="Arial" w:hAnsi="Arial" w:cs="Arial"/>
                <w:sz w:val="20"/>
                <w:szCs w:val="20"/>
                <w:lang w:val="es-ES_tradnl" w:eastAsia="zh-CN"/>
              </w:rPr>
              <w:t xml:space="preserve"> del total de certificaciones</w:t>
            </w:r>
            <w:r w:rsidR="00AE5BEA">
              <w:rPr>
                <w:rFonts w:ascii="Arial" w:hAnsi="Arial" w:cs="Arial"/>
                <w:sz w:val="20"/>
                <w:szCs w:val="20"/>
                <w:lang w:val="es-ES_tradnl" w:eastAsia="zh-CN"/>
              </w:rPr>
              <w:t xml:space="preserve"> a pilotos,</w:t>
            </w:r>
            <w:r>
              <w:rPr>
                <w:rFonts w:ascii="Arial" w:hAnsi="Arial" w:cs="Arial"/>
                <w:sz w:val="20"/>
                <w:szCs w:val="20"/>
                <w:lang w:val="es-ES_tradnl" w:eastAsia="zh-CN"/>
              </w:rPr>
              <w:t xml:space="preserve"> un 10% corresponderá a certificados otorgados a mujeres. </w:t>
            </w:r>
            <w:r w:rsidR="00223D02">
              <w:rPr>
                <w:rFonts w:ascii="Arial" w:hAnsi="Arial" w:cs="Arial"/>
                <w:sz w:val="20"/>
                <w:szCs w:val="20"/>
                <w:lang w:val="es-ES_tradnl" w:eastAsia="zh-CN"/>
              </w:rPr>
              <w:t>En el año base, la Escuela Nacional de Transporte no existe por lo cual son cero las certificaciones otorgadas.</w:t>
            </w:r>
          </w:p>
        </w:tc>
      </w:tr>
      <w:tr w:rsidR="00453E54" w:rsidRPr="001264CF" w14:paraId="7CB3C8BB" w14:textId="77777777" w:rsidTr="002D1CF6">
        <w:trPr>
          <w:trHeight w:val="64"/>
        </w:trPr>
        <w:tc>
          <w:tcPr>
            <w:tcW w:w="13585" w:type="dxa"/>
            <w:gridSpan w:val="7"/>
            <w:tcBorders>
              <w:top w:val="single" w:sz="4" w:space="0" w:color="000000"/>
              <w:left w:val="single" w:sz="4" w:space="0" w:color="000000"/>
              <w:bottom w:val="single" w:sz="4" w:space="0" w:color="000000"/>
              <w:right w:val="single" w:sz="4" w:space="0" w:color="000000"/>
            </w:tcBorders>
            <w:vAlign w:val="center"/>
          </w:tcPr>
          <w:p w14:paraId="758B511D" w14:textId="1BF2A5A3" w:rsidR="00453E54" w:rsidRPr="00A04169" w:rsidRDefault="00453E54" w:rsidP="00453E54">
            <w:pPr>
              <w:spacing w:before="120" w:after="120" w:line="240" w:lineRule="auto"/>
              <w:rPr>
                <w:rFonts w:ascii="Arial" w:hAnsi="Arial" w:cs="Arial"/>
                <w:b/>
                <w:lang w:val="es-ES_tradnl" w:eastAsia="zh-CN"/>
              </w:rPr>
            </w:pPr>
            <w:r w:rsidRPr="00A04169">
              <w:rPr>
                <w:rFonts w:ascii="Arial" w:hAnsi="Arial" w:cs="Arial"/>
                <w:b/>
                <w:u w:val="single"/>
                <w:lang w:val="es-ES_tradnl" w:eastAsia="zh-CN"/>
              </w:rPr>
              <w:lastRenderedPageBreak/>
              <w:t>RESULTADO #</w:t>
            </w:r>
            <w:r>
              <w:rPr>
                <w:rFonts w:ascii="Arial" w:hAnsi="Arial" w:cs="Arial"/>
                <w:b/>
                <w:u w:val="single"/>
                <w:lang w:val="es-ES_tradnl" w:eastAsia="zh-CN"/>
              </w:rPr>
              <w:t>5</w:t>
            </w:r>
            <w:r w:rsidRPr="00A04169">
              <w:rPr>
                <w:rFonts w:ascii="Arial" w:hAnsi="Arial" w:cs="Arial"/>
                <w:b/>
                <w:u w:val="single"/>
                <w:lang w:val="es-ES_tradnl" w:eastAsia="zh-CN"/>
              </w:rPr>
              <w:t>:</w:t>
            </w:r>
            <w:r w:rsidRPr="00A04169">
              <w:rPr>
                <w:rFonts w:ascii="Arial" w:hAnsi="Arial" w:cs="Arial"/>
                <w:b/>
                <w:lang w:val="es-ES_tradnl" w:eastAsia="zh-CN"/>
              </w:rPr>
              <w:t xml:space="preserve"> Diminución de los tiempos de cru</w:t>
            </w:r>
            <w:r>
              <w:rPr>
                <w:rFonts w:ascii="Arial" w:hAnsi="Arial" w:cs="Arial"/>
                <w:b/>
                <w:lang w:val="es-ES_tradnl" w:eastAsia="zh-CN"/>
              </w:rPr>
              <w:t>c</w:t>
            </w:r>
            <w:r w:rsidRPr="00A04169">
              <w:rPr>
                <w:rFonts w:ascii="Arial" w:hAnsi="Arial" w:cs="Arial"/>
                <w:b/>
                <w:lang w:val="es-ES_tradnl" w:eastAsia="zh-CN"/>
              </w:rPr>
              <w:t>e del puesto fronterizos en la Aduana el Amatillo</w:t>
            </w:r>
            <w:r w:rsidR="00E91425">
              <w:rPr>
                <w:rFonts w:ascii="Arial" w:hAnsi="Arial" w:cs="Arial"/>
                <w:b/>
                <w:lang w:val="es-ES_tradnl" w:eastAsia="zh-CN"/>
              </w:rPr>
              <w:t xml:space="preserve"> </w:t>
            </w:r>
            <w:r w:rsidR="002E5BD0">
              <w:rPr>
                <w:rFonts w:ascii="Arial" w:hAnsi="Arial" w:cs="Arial"/>
                <w:b/>
                <w:lang w:val="es-ES_tradnl" w:eastAsia="zh-CN"/>
              </w:rPr>
              <w:t>fruto de</w:t>
            </w:r>
            <w:r w:rsidR="00E91425">
              <w:rPr>
                <w:rFonts w:ascii="Arial" w:hAnsi="Arial" w:cs="Arial"/>
                <w:b/>
                <w:lang w:val="es-ES_tradnl" w:eastAsia="zh-CN"/>
              </w:rPr>
              <w:t xml:space="preserve"> </w:t>
            </w:r>
            <w:r w:rsidR="00E91425" w:rsidRPr="00E91425">
              <w:rPr>
                <w:rFonts w:ascii="Arial" w:hAnsi="Arial" w:cs="Arial"/>
                <w:b/>
                <w:lang w:val="et-EE" w:eastAsia="zh-CN"/>
              </w:rPr>
              <w:t>la</w:t>
            </w:r>
            <w:r w:rsidR="002E5BD0">
              <w:rPr>
                <w:rFonts w:ascii="Arial" w:hAnsi="Arial" w:cs="Arial"/>
                <w:b/>
                <w:lang w:val="et-EE" w:eastAsia="zh-CN"/>
              </w:rPr>
              <w:t xml:space="preserve"> aplicación de acuerdos de facilitación comercial para la</w:t>
            </w:r>
            <w:r w:rsidR="00E91425" w:rsidRPr="00E91425">
              <w:rPr>
                <w:rFonts w:ascii="Arial" w:hAnsi="Arial" w:cs="Arial"/>
                <w:b/>
                <w:lang w:val="et-EE" w:eastAsia="zh-CN"/>
              </w:rPr>
              <w:t xml:space="preserve"> modernización y simplificación de los procesos y los sistemas tecnológicos</w:t>
            </w:r>
            <w:r w:rsidR="00E91425">
              <w:rPr>
                <w:rFonts w:ascii="Arial" w:hAnsi="Arial" w:cs="Arial"/>
                <w:b/>
                <w:lang w:val="et-EE" w:eastAsia="zh-CN"/>
              </w:rPr>
              <w:t>.</w:t>
            </w:r>
          </w:p>
        </w:tc>
      </w:tr>
      <w:tr w:rsidR="00453E54" w:rsidRPr="001264CF" w14:paraId="76247A68" w14:textId="77777777" w:rsidTr="00FC5BFE">
        <w:trPr>
          <w:trHeight w:val="64"/>
        </w:trPr>
        <w:tc>
          <w:tcPr>
            <w:tcW w:w="2335" w:type="dxa"/>
            <w:tcBorders>
              <w:top w:val="single" w:sz="4" w:space="0" w:color="000000"/>
              <w:left w:val="single" w:sz="4" w:space="0" w:color="000000"/>
              <w:bottom w:val="single" w:sz="4" w:space="0" w:color="000000"/>
              <w:right w:val="single" w:sz="4" w:space="0" w:color="000000"/>
            </w:tcBorders>
            <w:vAlign w:val="center"/>
          </w:tcPr>
          <w:p w14:paraId="1828B03D" w14:textId="77777777" w:rsidR="00453E54" w:rsidRPr="007F60FD" w:rsidRDefault="00453E54" w:rsidP="00453E54">
            <w:pPr>
              <w:pStyle w:val="ListParagraph"/>
              <w:spacing w:after="0" w:line="240" w:lineRule="auto"/>
              <w:ind w:left="0"/>
              <w:rPr>
                <w:rFonts w:ascii="Arial" w:hAnsi="Arial" w:cs="Arial"/>
                <w:sz w:val="20"/>
                <w:szCs w:val="20"/>
                <w:lang w:val="es-ES_tradnl" w:eastAsia="zh-CN"/>
              </w:rPr>
            </w:pPr>
            <w:bookmarkStart w:id="2" w:name="_Hlk517357979"/>
            <w:r w:rsidRPr="007F60FD">
              <w:rPr>
                <w:rFonts w:ascii="Arial" w:hAnsi="Arial" w:cs="Arial"/>
                <w:sz w:val="20"/>
                <w:szCs w:val="20"/>
                <w:lang w:val="es-ES_tradnl" w:eastAsia="zh-CN"/>
              </w:rPr>
              <w:t>Tiempos de cruce del puesto fronterizos en la Aduana el Amatillo (HO-ES)</w:t>
            </w:r>
            <w:r w:rsidRPr="007F60FD">
              <w:rPr>
                <w:rStyle w:val="FootnoteReference"/>
                <w:rFonts w:ascii="Arial" w:hAnsi="Arial" w:cs="Arial"/>
                <w:sz w:val="20"/>
                <w:szCs w:val="20"/>
                <w:lang w:val="es-ES_tradnl" w:eastAsia="zh-CN"/>
              </w:rPr>
              <w:footnoteReference w:id="7"/>
            </w:r>
            <w:r w:rsidRPr="007F60FD">
              <w:rPr>
                <w:rFonts w:ascii="Arial" w:hAnsi="Arial" w:cs="Arial"/>
                <w:sz w:val="20"/>
                <w:szCs w:val="20"/>
                <w:lang w:val="es-ES_tradnl" w:eastAsia="zh-CN"/>
              </w:rPr>
              <w:t>.</w:t>
            </w:r>
            <w:bookmarkEnd w:id="2"/>
          </w:p>
        </w:tc>
        <w:tc>
          <w:tcPr>
            <w:tcW w:w="1101" w:type="dxa"/>
            <w:tcBorders>
              <w:top w:val="single" w:sz="4" w:space="0" w:color="000000"/>
              <w:left w:val="single" w:sz="4" w:space="0" w:color="000000"/>
              <w:bottom w:val="single" w:sz="4" w:space="0" w:color="000000"/>
              <w:right w:val="single" w:sz="4" w:space="0" w:color="000000"/>
            </w:tcBorders>
            <w:vAlign w:val="center"/>
          </w:tcPr>
          <w:p w14:paraId="6BFDC2D7" w14:textId="77777777" w:rsidR="00453E54" w:rsidRPr="007F60FD" w:rsidRDefault="00453E54" w:rsidP="00453E54">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hora:min</w:t>
            </w:r>
          </w:p>
        </w:tc>
        <w:tc>
          <w:tcPr>
            <w:tcW w:w="1329" w:type="dxa"/>
            <w:tcBorders>
              <w:top w:val="single" w:sz="4" w:space="0" w:color="000000"/>
              <w:left w:val="single" w:sz="4" w:space="0" w:color="000000"/>
              <w:bottom w:val="single" w:sz="4" w:space="0" w:color="000000"/>
              <w:right w:val="single" w:sz="4" w:space="0" w:color="000000"/>
            </w:tcBorders>
            <w:vAlign w:val="center"/>
          </w:tcPr>
          <w:p w14:paraId="0128922B" w14:textId="77777777" w:rsidR="00453E54" w:rsidRPr="007F60FD" w:rsidRDefault="00453E54" w:rsidP="00453E54">
            <w:pPr>
              <w:spacing w:after="0" w:line="240" w:lineRule="auto"/>
              <w:jc w:val="center"/>
              <w:rPr>
                <w:rFonts w:ascii="Arial" w:hAnsi="Arial" w:cs="Arial"/>
                <w:sz w:val="20"/>
                <w:szCs w:val="20"/>
                <w:lang w:val="es-ES_tradnl" w:eastAsia="zh-CN"/>
              </w:rPr>
            </w:pPr>
            <w:r>
              <w:rPr>
                <w:rFonts w:ascii="Arial" w:hAnsi="Arial" w:cs="Arial"/>
                <w:sz w:val="20"/>
                <w:szCs w:val="20"/>
                <w:lang w:val="es-ES_tradnl" w:eastAsia="zh-CN"/>
              </w:rPr>
              <w:t>74:35</w:t>
            </w:r>
          </w:p>
        </w:tc>
        <w:tc>
          <w:tcPr>
            <w:tcW w:w="1010" w:type="dxa"/>
            <w:tcBorders>
              <w:top w:val="single" w:sz="4" w:space="0" w:color="000000"/>
              <w:left w:val="single" w:sz="4" w:space="0" w:color="000000"/>
              <w:bottom w:val="single" w:sz="4" w:space="0" w:color="000000"/>
              <w:right w:val="single" w:sz="4" w:space="0" w:color="000000"/>
            </w:tcBorders>
            <w:vAlign w:val="center"/>
          </w:tcPr>
          <w:p w14:paraId="0C7C2A01" w14:textId="77777777" w:rsidR="00453E54" w:rsidRPr="007F60FD" w:rsidRDefault="00453E54" w:rsidP="00453E54">
            <w:pPr>
              <w:spacing w:after="0" w:line="240" w:lineRule="auto"/>
              <w:jc w:val="center"/>
              <w:rPr>
                <w:rFonts w:ascii="Arial" w:hAnsi="Arial" w:cs="Arial"/>
                <w:sz w:val="20"/>
                <w:szCs w:val="20"/>
                <w:lang w:val="es-ES_tradnl" w:eastAsia="zh-CN"/>
              </w:rPr>
            </w:pPr>
            <w:r w:rsidRPr="007F60FD">
              <w:rPr>
                <w:rFonts w:ascii="Arial" w:hAnsi="Arial" w:cs="Arial"/>
                <w:sz w:val="20"/>
                <w:szCs w:val="20"/>
                <w:lang w:val="es-ES_tradnl" w:eastAsia="zh-CN"/>
              </w:rPr>
              <w:t>2016</w:t>
            </w:r>
          </w:p>
        </w:tc>
        <w:tc>
          <w:tcPr>
            <w:tcW w:w="1330" w:type="dxa"/>
            <w:tcBorders>
              <w:top w:val="single" w:sz="4" w:space="0" w:color="000000"/>
              <w:left w:val="single" w:sz="4" w:space="0" w:color="000000"/>
              <w:bottom w:val="single" w:sz="4" w:space="0" w:color="000000"/>
              <w:right w:val="single" w:sz="4" w:space="0" w:color="000000"/>
            </w:tcBorders>
          </w:tcPr>
          <w:p w14:paraId="12642C8D" w14:textId="77777777" w:rsidR="00453E54" w:rsidRPr="007F60FD" w:rsidRDefault="00453E54" w:rsidP="00453E54">
            <w:pPr>
              <w:rPr>
                <w:rFonts w:ascii="Arial" w:hAnsi="Arial" w:cs="Arial"/>
                <w:sz w:val="20"/>
                <w:szCs w:val="20"/>
                <w:lang w:val="es-ES_tradnl" w:eastAsia="zh-CN"/>
              </w:rPr>
            </w:pPr>
          </w:p>
          <w:p w14:paraId="280DE771" w14:textId="77777777" w:rsidR="00453E54" w:rsidRDefault="00453E54" w:rsidP="00453E54">
            <w:pPr>
              <w:spacing w:after="0"/>
              <w:jc w:val="center"/>
              <w:rPr>
                <w:rFonts w:ascii="Arial" w:hAnsi="Arial" w:cs="Arial"/>
                <w:sz w:val="20"/>
                <w:szCs w:val="20"/>
                <w:lang w:val="es-ES_tradnl" w:eastAsia="zh-CN"/>
              </w:rPr>
            </w:pPr>
          </w:p>
          <w:p w14:paraId="38749D73" w14:textId="77777777" w:rsidR="00453E54" w:rsidRPr="007F60FD" w:rsidRDefault="00453E54" w:rsidP="00453E54">
            <w:pPr>
              <w:spacing w:after="0"/>
              <w:jc w:val="center"/>
              <w:rPr>
                <w:rFonts w:ascii="Arial" w:hAnsi="Arial" w:cs="Arial"/>
                <w:sz w:val="20"/>
                <w:szCs w:val="20"/>
                <w:lang w:val="es-ES_tradnl" w:eastAsia="zh-CN"/>
              </w:rPr>
            </w:pPr>
            <w:r>
              <w:rPr>
                <w:rFonts w:ascii="Arial" w:hAnsi="Arial" w:cs="Arial"/>
                <w:sz w:val="20"/>
                <w:szCs w:val="20"/>
                <w:lang w:val="es-ES_tradnl" w:eastAsia="zh-CN"/>
              </w:rPr>
              <w:t>29:74</w:t>
            </w:r>
          </w:p>
        </w:tc>
        <w:tc>
          <w:tcPr>
            <w:tcW w:w="1620" w:type="dxa"/>
            <w:tcBorders>
              <w:top w:val="single" w:sz="4" w:space="0" w:color="000000"/>
              <w:left w:val="single" w:sz="4" w:space="0" w:color="000000"/>
              <w:bottom w:val="single" w:sz="4" w:space="0" w:color="000000"/>
              <w:right w:val="single" w:sz="4" w:space="0" w:color="000000"/>
            </w:tcBorders>
          </w:tcPr>
          <w:p w14:paraId="6CC91A3B" w14:textId="77777777" w:rsidR="00453E54" w:rsidRPr="007F60FD" w:rsidRDefault="00453E54" w:rsidP="00453E54">
            <w:pPr>
              <w:spacing w:before="120" w:after="120" w:line="240" w:lineRule="auto"/>
              <w:rPr>
                <w:rFonts w:ascii="Arial" w:hAnsi="Arial" w:cs="Arial"/>
                <w:sz w:val="20"/>
                <w:szCs w:val="20"/>
                <w:lang w:val="es-ES_tradnl" w:eastAsia="zh-CN"/>
              </w:rPr>
            </w:pPr>
            <w:r w:rsidRPr="007F60FD">
              <w:rPr>
                <w:rFonts w:ascii="Arial" w:hAnsi="Arial" w:cs="Arial"/>
                <w:sz w:val="20"/>
                <w:szCs w:val="20"/>
                <w:lang w:val="es-ES_tradnl" w:eastAsia="zh-CN"/>
              </w:rPr>
              <w:t>Reporte de la Dirección General de Aduanas (DARA)</w:t>
            </w:r>
          </w:p>
        </w:tc>
        <w:tc>
          <w:tcPr>
            <w:tcW w:w="4860" w:type="dxa"/>
            <w:tcBorders>
              <w:top w:val="single" w:sz="4" w:space="0" w:color="000000"/>
              <w:left w:val="single" w:sz="4" w:space="0" w:color="000000"/>
              <w:bottom w:val="single" w:sz="4" w:space="0" w:color="000000"/>
              <w:right w:val="single" w:sz="4" w:space="0" w:color="000000"/>
            </w:tcBorders>
          </w:tcPr>
          <w:p w14:paraId="7A003CAC" w14:textId="77777777" w:rsidR="00453E54" w:rsidRPr="002B67A8" w:rsidRDefault="00453E54" w:rsidP="00453E54">
            <w:pPr>
              <w:autoSpaceDE w:val="0"/>
              <w:autoSpaceDN w:val="0"/>
              <w:adjustRightInd w:val="0"/>
              <w:spacing w:after="0" w:line="240" w:lineRule="auto"/>
              <w:jc w:val="both"/>
              <w:rPr>
                <w:rFonts w:ascii="Arial" w:hAnsi="Arial" w:cs="Arial"/>
                <w:color w:val="000000"/>
                <w:sz w:val="20"/>
                <w:szCs w:val="50"/>
                <w:lang w:val="es-ES_tradnl" w:eastAsia="zh-CN"/>
              </w:rPr>
            </w:pPr>
            <w:r w:rsidRPr="002B67A8">
              <w:rPr>
                <w:rFonts w:ascii="Arial" w:hAnsi="Arial" w:cs="Arial"/>
                <w:color w:val="000000"/>
                <w:sz w:val="20"/>
                <w:szCs w:val="50"/>
                <w:lang w:val="es-ES_tradnl" w:eastAsia="zh-CN"/>
              </w:rPr>
              <w:t>El indicador corresponde a los tiempos de procesamiento de las exportaciones de ES a HO en canal rojo. La gestión coordinada de frontera en cabecera única, sin la necesidad que el conductor se baje de la unidad de transporte es una mejora que se estima reducirá el tiempo de procesamiento hasta en un 60% del tiempo en exportaciones en canal rojo.</w:t>
            </w:r>
          </w:p>
        </w:tc>
      </w:tr>
    </w:tbl>
    <w:p w14:paraId="7078E595" w14:textId="77777777" w:rsidR="00712796" w:rsidRDefault="00712796" w:rsidP="00AA785E">
      <w:pPr>
        <w:spacing w:after="0"/>
        <w:jc w:val="center"/>
        <w:rPr>
          <w:rFonts w:ascii="Arial" w:hAnsi="Arial" w:cs="Arial"/>
          <w:b/>
          <w:smallCaps/>
          <w:color w:val="000000"/>
          <w:sz w:val="20"/>
          <w:szCs w:val="20"/>
          <w:lang w:val="es-ES_tradnl"/>
        </w:rPr>
      </w:pPr>
    </w:p>
    <w:p w14:paraId="0739E6CC" w14:textId="77777777" w:rsidR="00637F8D" w:rsidRPr="00592146" w:rsidRDefault="009A7AE3" w:rsidP="00205AC6">
      <w:pPr>
        <w:jc w:val="center"/>
        <w:rPr>
          <w:rFonts w:ascii="Arial" w:hAnsi="Arial" w:cs="Arial"/>
          <w:b/>
          <w:smallCaps/>
          <w:color w:val="000000"/>
          <w:sz w:val="24"/>
          <w:szCs w:val="20"/>
          <w:lang w:val="es-ES_tradnl"/>
        </w:rPr>
      </w:pPr>
      <w:r w:rsidRPr="00592146">
        <w:rPr>
          <w:rFonts w:ascii="Arial" w:hAnsi="Arial" w:cs="Arial"/>
          <w:b/>
          <w:smallCaps/>
          <w:color w:val="000000"/>
          <w:sz w:val="24"/>
          <w:szCs w:val="20"/>
          <w:lang w:val="es-ES_tradnl"/>
        </w:rPr>
        <w:t>Producto</w:t>
      </w:r>
      <w:r w:rsidR="00562D13" w:rsidRPr="00592146">
        <w:rPr>
          <w:rFonts w:ascii="Arial" w:hAnsi="Arial" w:cs="Arial"/>
          <w:b/>
          <w:smallCaps/>
          <w:color w:val="000000"/>
          <w:sz w:val="24"/>
          <w:szCs w:val="20"/>
          <w:lang w:val="es-ES_tradnl"/>
        </w:rPr>
        <w:t>s</w:t>
      </w:r>
    </w:p>
    <w:p w14:paraId="5357E5B8" w14:textId="77777777" w:rsidR="00792A9C" w:rsidRPr="00792A9C" w:rsidRDefault="00792A9C" w:rsidP="00792A9C">
      <w:pPr>
        <w:jc w:val="both"/>
        <w:rPr>
          <w:rFonts w:ascii="Arial" w:hAnsi="Arial" w:cs="Arial"/>
          <w:sz w:val="20"/>
          <w:szCs w:val="20"/>
          <w:lang w:val="es-ES_tradnl"/>
        </w:rPr>
      </w:pPr>
      <w:r w:rsidRPr="00792A9C">
        <w:rPr>
          <w:rFonts w:ascii="Arial" w:hAnsi="Arial" w:cs="Arial"/>
          <w:sz w:val="20"/>
          <w:szCs w:val="20"/>
          <w:lang w:val="es-ES_tradnl"/>
        </w:rPr>
        <w:t>Los productos corresponden a los compromisos establecidos y detallados en la Matriz de Política y la Matriz de Medios de Verificación. Considerando que esta operación es un PBP, todos los productos serán alcanzados al momento de realizarse el desembolso. Los productos descriptos en esta sección están en correspondencia con la Matriz de Políticas y la Matriz de Medios de Verificación.</w:t>
      </w:r>
    </w:p>
    <w:tbl>
      <w:tblPr>
        <w:tblW w:w="1404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0"/>
        <w:gridCol w:w="1350"/>
        <w:gridCol w:w="900"/>
        <w:gridCol w:w="1260"/>
        <w:gridCol w:w="4140"/>
        <w:gridCol w:w="3240"/>
      </w:tblGrid>
      <w:tr w:rsidR="0035308E" w:rsidRPr="00155747" w14:paraId="26798531" w14:textId="77777777" w:rsidTr="005F2049">
        <w:trPr>
          <w:trHeight w:val="233"/>
          <w:tblHeader/>
        </w:trPr>
        <w:tc>
          <w:tcPr>
            <w:tcW w:w="14040" w:type="dxa"/>
            <w:gridSpan w:val="6"/>
            <w:tcBorders>
              <w:top w:val="single" w:sz="4" w:space="0" w:color="000000"/>
              <w:left w:val="single" w:sz="4" w:space="0" w:color="000000"/>
              <w:bottom w:val="single" w:sz="4" w:space="0" w:color="000000"/>
              <w:right w:val="single" w:sz="4" w:space="0" w:color="000000"/>
            </w:tcBorders>
            <w:shd w:val="clear" w:color="auto" w:fill="C6D9F1"/>
            <w:vAlign w:val="center"/>
          </w:tcPr>
          <w:p w14:paraId="6E1493DD" w14:textId="77777777" w:rsidR="0035308E" w:rsidRPr="00155747" w:rsidRDefault="0035308E" w:rsidP="0010464B">
            <w:pPr>
              <w:pStyle w:val="ListParagraph"/>
              <w:suppressAutoHyphens/>
              <w:spacing w:before="60" w:after="60" w:line="240" w:lineRule="auto"/>
              <w:ind w:left="0"/>
              <w:contextualSpacing w:val="0"/>
              <w:jc w:val="center"/>
              <w:rPr>
                <w:rFonts w:ascii="Arial" w:hAnsi="Arial" w:cs="Arial"/>
                <w:b/>
                <w:sz w:val="20"/>
                <w:szCs w:val="18"/>
                <w:lang w:val="es-ES_tradnl"/>
              </w:rPr>
            </w:pPr>
            <w:r w:rsidRPr="00155747">
              <w:rPr>
                <w:rFonts w:ascii="Arial" w:hAnsi="Arial" w:cs="Arial"/>
                <w:b/>
                <w:sz w:val="20"/>
                <w:szCs w:val="18"/>
                <w:lang w:val="es-ES_tradnl"/>
              </w:rPr>
              <w:t>Productos Esperados</w:t>
            </w:r>
          </w:p>
        </w:tc>
      </w:tr>
      <w:tr w:rsidR="00360A4E" w:rsidRPr="00155747" w14:paraId="1D418C78" w14:textId="77777777" w:rsidTr="00D316A0">
        <w:trPr>
          <w:trHeight w:val="638"/>
          <w:tblHeader/>
        </w:trPr>
        <w:tc>
          <w:tcPr>
            <w:tcW w:w="31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EF75EAD" w14:textId="77777777" w:rsidR="005F2049" w:rsidRPr="00155747" w:rsidRDefault="005F2049" w:rsidP="0010464B">
            <w:pPr>
              <w:pStyle w:val="ListParagraph"/>
              <w:suppressAutoHyphens/>
              <w:spacing w:after="0" w:line="240" w:lineRule="auto"/>
              <w:ind w:left="0"/>
              <w:contextualSpacing w:val="0"/>
              <w:jc w:val="center"/>
              <w:rPr>
                <w:rFonts w:ascii="Arial" w:hAnsi="Arial" w:cs="Arial"/>
                <w:b/>
                <w:sz w:val="20"/>
                <w:szCs w:val="18"/>
                <w:lang w:val="es-ES_tradnl"/>
              </w:rPr>
            </w:pPr>
            <w:r w:rsidRPr="00155747">
              <w:rPr>
                <w:rFonts w:ascii="Arial" w:hAnsi="Arial" w:cs="Arial"/>
                <w:b/>
                <w:sz w:val="20"/>
                <w:szCs w:val="18"/>
                <w:lang w:val="es-ES_tradnl"/>
              </w:rPr>
              <w:t>Indicador de Producto</w:t>
            </w:r>
          </w:p>
          <w:p w14:paraId="12F7DD54" w14:textId="77777777" w:rsidR="005F2049" w:rsidRPr="00155747" w:rsidRDefault="005F2049" w:rsidP="0010464B">
            <w:pPr>
              <w:pStyle w:val="ListParagraph"/>
              <w:suppressAutoHyphens/>
              <w:spacing w:after="0" w:line="240" w:lineRule="auto"/>
              <w:ind w:left="0"/>
              <w:contextualSpacing w:val="0"/>
              <w:jc w:val="center"/>
              <w:rPr>
                <w:rFonts w:ascii="Arial" w:hAnsi="Arial" w:cs="Arial"/>
                <w:b/>
                <w:sz w:val="20"/>
                <w:szCs w:val="18"/>
                <w:lang w:val="es-ES_tradnl"/>
              </w:rPr>
            </w:pPr>
          </w:p>
        </w:tc>
        <w:tc>
          <w:tcPr>
            <w:tcW w:w="13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9F2A81F" w14:textId="77777777" w:rsidR="005F2049" w:rsidRPr="00155747" w:rsidRDefault="005F2049" w:rsidP="0010464B">
            <w:pPr>
              <w:pStyle w:val="ListParagraph"/>
              <w:suppressAutoHyphens/>
              <w:spacing w:after="0" w:line="240" w:lineRule="auto"/>
              <w:ind w:left="0"/>
              <w:contextualSpacing w:val="0"/>
              <w:jc w:val="center"/>
              <w:rPr>
                <w:rFonts w:ascii="Arial" w:hAnsi="Arial" w:cs="Arial"/>
                <w:b/>
                <w:sz w:val="20"/>
                <w:szCs w:val="18"/>
                <w:lang w:val="es-ES_tradnl"/>
              </w:rPr>
            </w:pPr>
            <w:r w:rsidRPr="00155747">
              <w:rPr>
                <w:rFonts w:ascii="Arial" w:hAnsi="Arial" w:cs="Arial"/>
                <w:b/>
                <w:sz w:val="20"/>
                <w:szCs w:val="18"/>
                <w:lang w:val="es-ES_tradnl"/>
              </w:rPr>
              <w:t>Unidad</w:t>
            </w:r>
          </w:p>
        </w:tc>
        <w:tc>
          <w:tcPr>
            <w:tcW w:w="90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D288779" w14:textId="77777777" w:rsidR="005F2049" w:rsidRPr="00155747" w:rsidRDefault="005F2049" w:rsidP="0010464B">
            <w:pPr>
              <w:pStyle w:val="ListParagraph"/>
              <w:suppressAutoHyphens/>
              <w:spacing w:after="0" w:line="240" w:lineRule="auto"/>
              <w:ind w:left="0"/>
              <w:contextualSpacing w:val="0"/>
              <w:jc w:val="center"/>
              <w:rPr>
                <w:rFonts w:ascii="Arial" w:hAnsi="Arial" w:cs="Arial"/>
                <w:b/>
                <w:sz w:val="20"/>
                <w:szCs w:val="18"/>
                <w:lang w:val="es-ES_tradnl"/>
              </w:rPr>
            </w:pPr>
            <w:r w:rsidRPr="00155747">
              <w:rPr>
                <w:rFonts w:ascii="Arial" w:hAnsi="Arial" w:cs="Arial"/>
                <w:b/>
                <w:sz w:val="20"/>
                <w:szCs w:val="18"/>
                <w:lang w:val="es-ES_tradnl"/>
              </w:rPr>
              <w:t>Línea de Base</w:t>
            </w:r>
          </w:p>
          <w:p w14:paraId="16E22179" w14:textId="77777777" w:rsidR="005F2049" w:rsidRPr="00155747" w:rsidRDefault="005F2049" w:rsidP="0010464B">
            <w:pPr>
              <w:pStyle w:val="ListParagraph"/>
              <w:suppressAutoHyphens/>
              <w:spacing w:after="0" w:line="240" w:lineRule="auto"/>
              <w:ind w:left="0"/>
              <w:contextualSpacing w:val="0"/>
              <w:jc w:val="center"/>
              <w:rPr>
                <w:rFonts w:ascii="Arial" w:hAnsi="Arial" w:cs="Arial"/>
                <w:b/>
                <w:sz w:val="20"/>
                <w:szCs w:val="18"/>
                <w:lang w:val="es-ES_tradnl"/>
              </w:rPr>
            </w:pPr>
            <w:r w:rsidRPr="00155747">
              <w:rPr>
                <w:rFonts w:ascii="Arial" w:hAnsi="Arial" w:cs="Arial"/>
                <w:b/>
                <w:sz w:val="20"/>
                <w:szCs w:val="18"/>
                <w:lang w:val="es-ES_tradnl"/>
              </w:rPr>
              <w:t>(201</w:t>
            </w:r>
            <w:r>
              <w:rPr>
                <w:rFonts w:ascii="Arial" w:hAnsi="Arial" w:cs="Arial"/>
                <w:b/>
                <w:sz w:val="20"/>
                <w:szCs w:val="18"/>
                <w:lang w:val="es-ES_tradnl"/>
              </w:rPr>
              <w:t>8</w:t>
            </w:r>
            <w:r w:rsidRPr="00155747">
              <w:rPr>
                <w:rFonts w:ascii="Arial" w:hAnsi="Arial" w:cs="Arial"/>
                <w:b/>
                <w:sz w:val="20"/>
                <w:szCs w:val="18"/>
                <w:lang w:val="es-ES_tradnl"/>
              </w:rPr>
              <w:t>)</w:t>
            </w:r>
          </w:p>
        </w:tc>
        <w:tc>
          <w:tcPr>
            <w:tcW w:w="126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C2AE3D0" w14:textId="77777777" w:rsidR="005F2049" w:rsidRPr="00155747" w:rsidRDefault="005F2049" w:rsidP="0010464B">
            <w:pPr>
              <w:pStyle w:val="ListParagraph"/>
              <w:suppressAutoHyphens/>
              <w:spacing w:after="0" w:line="240" w:lineRule="auto"/>
              <w:ind w:left="0"/>
              <w:contextualSpacing w:val="0"/>
              <w:jc w:val="center"/>
              <w:rPr>
                <w:rFonts w:ascii="Arial" w:hAnsi="Arial" w:cs="Arial"/>
                <w:b/>
                <w:sz w:val="20"/>
                <w:szCs w:val="18"/>
                <w:lang w:val="es-ES_tradnl"/>
              </w:rPr>
            </w:pPr>
            <w:r w:rsidRPr="00155747">
              <w:rPr>
                <w:rFonts w:ascii="Arial" w:hAnsi="Arial" w:cs="Arial"/>
                <w:b/>
                <w:sz w:val="20"/>
                <w:szCs w:val="18"/>
                <w:lang w:val="es-ES_tradnl"/>
              </w:rPr>
              <w:t>Meta</w:t>
            </w:r>
          </w:p>
          <w:p w14:paraId="14729FFF" w14:textId="77777777" w:rsidR="005F2049" w:rsidRPr="00155747" w:rsidRDefault="005F2049" w:rsidP="0010464B">
            <w:pPr>
              <w:pStyle w:val="ListParagraph"/>
              <w:suppressAutoHyphens/>
              <w:spacing w:after="0" w:line="240" w:lineRule="auto"/>
              <w:ind w:left="0"/>
              <w:contextualSpacing w:val="0"/>
              <w:jc w:val="center"/>
              <w:rPr>
                <w:rFonts w:ascii="Arial" w:hAnsi="Arial" w:cs="Arial"/>
                <w:b/>
                <w:sz w:val="20"/>
                <w:szCs w:val="18"/>
                <w:lang w:val="es-ES_tradnl"/>
              </w:rPr>
            </w:pPr>
            <w:r w:rsidRPr="00155747">
              <w:rPr>
                <w:rFonts w:ascii="Arial" w:hAnsi="Arial" w:cs="Arial"/>
                <w:b/>
                <w:sz w:val="20"/>
                <w:szCs w:val="18"/>
                <w:lang w:val="es-ES_tradnl"/>
              </w:rPr>
              <w:t>(20</w:t>
            </w:r>
            <w:r>
              <w:rPr>
                <w:rFonts w:ascii="Arial" w:hAnsi="Arial" w:cs="Arial"/>
                <w:b/>
                <w:sz w:val="20"/>
                <w:szCs w:val="18"/>
                <w:lang w:val="es-ES_tradnl"/>
              </w:rPr>
              <w:t>22</w:t>
            </w:r>
            <w:r w:rsidRPr="00155747">
              <w:rPr>
                <w:rFonts w:ascii="Arial" w:hAnsi="Arial" w:cs="Arial"/>
                <w:b/>
                <w:sz w:val="20"/>
                <w:szCs w:val="18"/>
                <w:lang w:val="es-ES_tradnl"/>
              </w:rPr>
              <w:t>)</w:t>
            </w:r>
          </w:p>
        </w:tc>
        <w:tc>
          <w:tcPr>
            <w:tcW w:w="414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A157E8D" w14:textId="15FCFF1C" w:rsidR="005F2049" w:rsidRPr="00155747" w:rsidRDefault="005F2049" w:rsidP="00FC5BFE">
            <w:pPr>
              <w:pStyle w:val="ListParagraph"/>
              <w:suppressAutoHyphens/>
              <w:spacing w:after="0" w:line="240" w:lineRule="auto"/>
              <w:ind w:left="0"/>
              <w:contextualSpacing w:val="0"/>
              <w:jc w:val="center"/>
              <w:rPr>
                <w:rFonts w:ascii="Arial" w:hAnsi="Arial" w:cs="Arial"/>
                <w:b/>
                <w:sz w:val="20"/>
                <w:szCs w:val="18"/>
                <w:lang w:val="es-ES_tradnl"/>
              </w:rPr>
            </w:pPr>
            <w:r w:rsidRPr="00155747">
              <w:rPr>
                <w:rFonts w:ascii="Arial" w:hAnsi="Arial" w:cs="Arial"/>
                <w:b/>
                <w:sz w:val="20"/>
                <w:szCs w:val="18"/>
                <w:lang w:val="es-ES_tradnl"/>
              </w:rPr>
              <w:t>Medios de Verificación</w:t>
            </w:r>
          </w:p>
        </w:tc>
        <w:tc>
          <w:tcPr>
            <w:tcW w:w="324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5A4C5B6" w14:textId="77777777" w:rsidR="005F2049" w:rsidRPr="00155747" w:rsidRDefault="005F2049" w:rsidP="0010464B">
            <w:pPr>
              <w:pStyle w:val="ListParagraph"/>
              <w:suppressAutoHyphens/>
              <w:spacing w:after="0" w:line="240" w:lineRule="auto"/>
              <w:ind w:left="0"/>
              <w:contextualSpacing w:val="0"/>
              <w:jc w:val="center"/>
              <w:rPr>
                <w:rFonts w:ascii="Arial" w:hAnsi="Arial" w:cs="Arial"/>
                <w:b/>
                <w:sz w:val="20"/>
                <w:szCs w:val="18"/>
                <w:lang w:val="es-ES_tradnl"/>
              </w:rPr>
            </w:pPr>
            <w:r w:rsidRPr="00155747">
              <w:rPr>
                <w:rFonts w:ascii="Arial" w:hAnsi="Arial" w:cs="Arial"/>
                <w:b/>
                <w:sz w:val="20"/>
                <w:szCs w:val="18"/>
                <w:lang w:val="es-ES_tradnl"/>
              </w:rPr>
              <w:t>Comentarios</w:t>
            </w:r>
          </w:p>
        </w:tc>
      </w:tr>
      <w:tr w:rsidR="0035308E" w:rsidRPr="001264CF" w14:paraId="55E4ED7C" w14:textId="77777777" w:rsidTr="005F2049">
        <w:trPr>
          <w:trHeight w:val="64"/>
        </w:trPr>
        <w:tc>
          <w:tcPr>
            <w:tcW w:w="14040" w:type="dxa"/>
            <w:gridSpan w:val="6"/>
            <w:shd w:val="clear" w:color="auto" w:fill="D9D9D9"/>
            <w:vAlign w:val="center"/>
          </w:tcPr>
          <w:p w14:paraId="76B697A8" w14:textId="5E74B01C" w:rsidR="0035308E" w:rsidRPr="00155747" w:rsidRDefault="0035308E" w:rsidP="0010464B">
            <w:pPr>
              <w:pStyle w:val="ListParagraph"/>
              <w:suppressAutoHyphens/>
              <w:spacing w:before="60" w:after="60" w:line="240" w:lineRule="auto"/>
              <w:ind w:left="0"/>
              <w:contextualSpacing w:val="0"/>
              <w:jc w:val="both"/>
              <w:rPr>
                <w:rFonts w:ascii="Arial" w:hAnsi="Arial" w:cs="Arial"/>
                <w:b/>
                <w:sz w:val="20"/>
                <w:szCs w:val="18"/>
                <w:lang w:val="es-ES_tradnl"/>
              </w:rPr>
            </w:pPr>
            <w:r w:rsidRPr="00155747">
              <w:rPr>
                <w:rFonts w:ascii="Arial" w:hAnsi="Arial" w:cs="Arial"/>
                <w:b/>
                <w:sz w:val="20"/>
                <w:szCs w:val="18"/>
                <w:lang w:val="es-ES_tradnl"/>
              </w:rPr>
              <w:t xml:space="preserve">Componente II. Reforma </w:t>
            </w:r>
            <w:r w:rsidR="008A6291">
              <w:rPr>
                <w:rFonts w:ascii="Arial" w:hAnsi="Arial" w:cs="Arial"/>
                <w:b/>
                <w:sz w:val="20"/>
                <w:szCs w:val="18"/>
                <w:lang w:val="es-ES_tradnl"/>
              </w:rPr>
              <w:t xml:space="preserve">del marco normativo </w:t>
            </w:r>
            <w:r w:rsidR="009456AF">
              <w:rPr>
                <w:rFonts w:ascii="Arial" w:hAnsi="Arial" w:cs="Arial"/>
                <w:b/>
                <w:sz w:val="20"/>
                <w:szCs w:val="18"/>
                <w:lang w:val="es-ES_tradnl"/>
              </w:rPr>
              <w:t xml:space="preserve">de logística de carga </w:t>
            </w:r>
            <w:r w:rsidRPr="00155747">
              <w:rPr>
                <w:rFonts w:ascii="Arial" w:hAnsi="Arial" w:cs="Arial"/>
                <w:b/>
                <w:sz w:val="20"/>
                <w:szCs w:val="18"/>
                <w:lang w:val="es-ES_tradnl"/>
              </w:rPr>
              <w:t xml:space="preserve">y </w:t>
            </w:r>
            <w:r w:rsidR="009456AF">
              <w:rPr>
                <w:rFonts w:ascii="Arial" w:hAnsi="Arial" w:cs="Arial"/>
                <w:b/>
                <w:sz w:val="20"/>
                <w:szCs w:val="18"/>
                <w:lang w:val="es-ES_tradnl"/>
              </w:rPr>
              <w:t>de facilitación comercial</w:t>
            </w:r>
          </w:p>
        </w:tc>
      </w:tr>
      <w:tr w:rsidR="00360A4E" w:rsidRPr="001264CF" w14:paraId="1694990A" w14:textId="77777777" w:rsidTr="00D316A0">
        <w:trPr>
          <w:trHeight w:val="710"/>
        </w:trPr>
        <w:tc>
          <w:tcPr>
            <w:tcW w:w="3150" w:type="dxa"/>
            <w:vAlign w:val="center"/>
          </w:tcPr>
          <w:p w14:paraId="4A7785CA" w14:textId="3D94FCC3" w:rsidR="005F2049" w:rsidRPr="004A4F7E" w:rsidRDefault="0006792B" w:rsidP="0010464B">
            <w:pPr>
              <w:spacing w:after="0" w:line="240" w:lineRule="auto"/>
              <w:ind w:hanging="18"/>
              <w:jc w:val="both"/>
              <w:rPr>
                <w:rFonts w:ascii="Arial" w:hAnsi="Arial" w:cs="Arial"/>
                <w:sz w:val="20"/>
                <w:szCs w:val="20"/>
                <w:lang w:val="es-ES_tradnl"/>
              </w:rPr>
            </w:pPr>
            <w:r w:rsidRPr="004A4F7E">
              <w:rPr>
                <w:rFonts w:ascii="Arial" w:hAnsi="Arial" w:cs="Arial"/>
                <w:sz w:val="20"/>
                <w:szCs w:val="20"/>
                <w:lang w:val="es-CO"/>
              </w:rPr>
              <w:t>2.1</w:t>
            </w:r>
            <w:r w:rsidR="00653146">
              <w:rPr>
                <w:rFonts w:ascii="Arial" w:hAnsi="Arial" w:cs="Arial"/>
                <w:sz w:val="20"/>
                <w:szCs w:val="20"/>
                <w:lang w:val="es-CO"/>
              </w:rPr>
              <w:t xml:space="preserve"> </w:t>
            </w:r>
            <w:r w:rsidR="007D7369">
              <w:rPr>
                <w:rFonts w:ascii="Arial" w:hAnsi="Arial" w:cs="Arial"/>
                <w:sz w:val="20"/>
                <w:szCs w:val="20"/>
                <w:lang w:val="es-CO"/>
              </w:rPr>
              <w:t xml:space="preserve">Aprobación </w:t>
            </w:r>
            <w:r w:rsidR="00436304" w:rsidRPr="004A4F7E">
              <w:rPr>
                <w:rFonts w:ascii="Arial" w:hAnsi="Arial" w:cs="Arial"/>
                <w:sz w:val="20"/>
                <w:szCs w:val="20"/>
                <w:lang w:val="es-CO"/>
              </w:rPr>
              <w:t xml:space="preserve">de gobierno 2018-2022 </w:t>
            </w:r>
            <w:r w:rsidR="00BB3171">
              <w:rPr>
                <w:rFonts w:ascii="Arial" w:hAnsi="Arial" w:cs="Arial"/>
                <w:sz w:val="20"/>
                <w:szCs w:val="20"/>
                <w:lang w:val="es-CO"/>
              </w:rPr>
              <w:t>defini</w:t>
            </w:r>
            <w:r w:rsidR="00880BAD">
              <w:rPr>
                <w:rFonts w:ascii="Arial" w:hAnsi="Arial" w:cs="Arial"/>
                <w:sz w:val="20"/>
                <w:szCs w:val="20"/>
                <w:lang w:val="es-CO"/>
              </w:rPr>
              <w:t>das</w:t>
            </w:r>
            <w:r w:rsidR="00653146">
              <w:rPr>
                <w:rFonts w:ascii="Arial" w:hAnsi="Arial" w:cs="Arial"/>
                <w:sz w:val="20"/>
                <w:szCs w:val="20"/>
                <w:lang w:val="es-CO"/>
              </w:rPr>
              <w:t xml:space="preserve">, </w:t>
            </w:r>
            <w:r w:rsidR="00436304" w:rsidRPr="004A4F7E">
              <w:rPr>
                <w:rFonts w:ascii="Arial" w:hAnsi="Arial" w:cs="Arial"/>
                <w:sz w:val="20"/>
                <w:szCs w:val="20"/>
                <w:lang w:val="es-CO"/>
              </w:rPr>
              <w:t>que incluyan al sector logístico como eje estratégico en el marco de la elaboración del Plan Estratégico de Gobierno 2018-2022</w:t>
            </w:r>
            <w:r w:rsidR="00653146">
              <w:rPr>
                <w:rFonts w:ascii="Arial" w:hAnsi="Arial" w:cs="Arial"/>
                <w:sz w:val="20"/>
                <w:szCs w:val="20"/>
                <w:lang w:val="es-CO"/>
              </w:rPr>
              <w:t>.</w:t>
            </w:r>
            <w:r w:rsidR="00436304" w:rsidRPr="004A4F7E">
              <w:rPr>
                <w:rFonts w:ascii="Arial" w:hAnsi="Arial" w:cs="Arial"/>
                <w:sz w:val="20"/>
                <w:szCs w:val="20"/>
                <w:lang w:val="es-CO"/>
              </w:rPr>
              <w:t xml:space="preserve"> </w:t>
            </w:r>
          </w:p>
        </w:tc>
        <w:tc>
          <w:tcPr>
            <w:tcW w:w="1350" w:type="dxa"/>
            <w:vAlign w:val="center"/>
          </w:tcPr>
          <w:p w14:paraId="665464C1" w14:textId="77777777" w:rsidR="005F2049" w:rsidRPr="004A4F7E" w:rsidRDefault="00436304" w:rsidP="0010464B">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Documento</w:t>
            </w:r>
            <w:r w:rsidR="0006792B" w:rsidRPr="004A4F7E">
              <w:rPr>
                <w:rFonts w:ascii="Arial" w:hAnsi="Arial" w:cs="Arial"/>
                <w:sz w:val="20"/>
                <w:szCs w:val="20"/>
                <w:lang w:val="es-ES_tradnl"/>
              </w:rPr>
              <w:t xml:space="preserve"> </w:t>
            </w:r>
          </w:p>
        </w:tc>
        <w:tc>
          <w:tcPr>
            <w:tcW w:w="900" w:type="dxa"/>
            <w:vAlign w:val="center"/>
          </w:tcPr>
          <w:p w14:paraId="4EAA402A" w14:textId="77777777" w:rsidR="005F2049" w:rsidRPr="004A4F7E" w:rsidRDefault="00436304" w:rsidP="0010464B">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0</w:t>
            </w:r>
          </w:p>
        </w:tc>
        <w:tc>
          <w:tcPr>
            <w:tcW w:w="1260" w:type="dxa"/>
            <w:vAlign w:val="center"/>
          </w:tcPr>
          <w:p w14:paraId="746C755A" w14:textId="77777777" w:rsidR="005F2049" w:rsidRPr="004A4F7E" w:rsidRDefault="00436304" w:rsidP="0010464B">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1</w:t>
            </w:r>
          </w:p>
        </w:tc>
        <w:tc>
          <w:tcPr>
            <w:tcW w:w="4140" w:type="dxa"/>
            <w:vAlign w:val="center"/>
          </w:tcPr>
          <w:p w14:paraId="7FDF05B0" w14:textId="25D3862D" w:rsidR="005F2049" w:rsidRPr="004A4F7E" w:rsidRDefault="003057A5" w:rsidP="0010464B">
            <w:pPr>
              <w:spacing w:after="0" w:line="240" w:lineRule="auto"/>
              <w:ind w:hanging="18"/>
              <w:jc w:val="both"/>
              <w:rPr>
                <w:rFonts w:ascii="Arial" w:hAnsi="Arial" w:cs="Arial"/>
                <w:sz w:val="20"/>
                <w:szCs w:val="20"/>
                <w:lang w:val="es-ES_tradnl"/>
              </w:rPr>
            </w:pPr>
            <w:r w:rsidRPr="003057A5">
              <w:rPr>
                <w:rFonts w:ascii="Arial" w:hAnsi="Arial" w:cs="Arial"/>
                <w:sz w:val="20"/>
                <w:szCs w:val="20"/>
                <w:lang w:val="es-ES"/>
              </w:rPr>
              <w:t xml:space="preserve">Oficio CGG-881-2018 </w:t>
            </w:r>
            <w:r w:rsidR="00436304" w:rsidRPr="004A4F7E">
              <w:rPr>
                <w:rFonts w:ascii="Arial" w:hAnsi="Arial" w:cs="Arial"/>
                <w:sz w:val="20"/>
                <w:szCs w:val="20"/>
                <w:lang w:val="es-ES"/>
              </w:rPr>
              <w:t>de la SCGG a la Secretaría de Finanzas (SEFIN) definiendo las prioridades de gobierno 2018-2022.</w:t>
            </w:r>
          </w:p>
        </w:tc>
        <w:tc>
          <w:tcPr>
            <w:tcW w:w="3240" w:type="dxa"/>
            <w:vAlign w:val="center"/>
          </w:tcPr>
          <w:p w14:paraId="29EA24DA" w14:textId="77777777" w:rsidR="005F2049" w:rsidRPr="004A4F7E" w:rsidRDefault="005F2049" w:rsidP="0010464B">
            <w:pPr>
              <w:spacing w:after="0" w:line="240" w:lineRule="auto"/>
              <w:ind w:hanging="18"/>
              <w:jc w:val="both"/>
              <w:rPr>
                <w:rFonts w:ascii="Arial" w:hAnsi="Arial" w:cs="Arial"/>
                <w:sz w:val="20"/>
                <w:szCs w:val="20"/>
                <w:lang w:val="es-ES_tradnl"/>
              </w:rPr>
            </w:pPr>
          </w:p>
        </w:tc>
      </w:tr>
      <w:tr w:rsidR="00360A4E" w:rsidRPr="001264CF" w14:paraId="7320EC08" w14:textId="77777777" w:rsidTr="00D316A0">
        <w:trPr>
          <w:trHeight w:val="890"/>
        </w:trPr>
        <w:tc>
          <w:tcPr>
            <w:tcW w:w="3150" w:type="dxa"/>
            <w:vAlign w:val="center"/>
          </w:tcPr>
          <w:p w14:paraId="5DBFBFF1" w14:textId="77777777" w:rsidR="005F2049" w:rsidRPr="004A4F7E" w:rsidRDefault="00266AB5" w:rsidP="0010464B">
            <w:pPr>
              <w:spacing w:after="0" w:line="240" w:lineRule="auto"/>
              <w:ind w:hanging="18"/>
              <w:jc w:val="both"/>
              <w:rPr>
                <w:rFonts w:ascii="Arial" w:hAnsi="Arial" w:cs="Arial"/>
                <w:sz w:val="20"/>
                <w:szCs w:val="20"/>
                <w:lang w:val="es-ES_tradnl"/>
              </w:rPr>
            </w:pPr>
            <w:r>
              <w:rPr>
                <w:rFonts w:ascii="Arial" w:hAnsi="Arial" w:cs="Arial"/>
                <w:sz w:val="20"/>
                <w:szCs w:val="20"/>
                <w:lang w:val="es-VE"/>
              </w:rPr>
              <w:t xml:space="preserve">2.2 </w:t>
            </w:r>
            <w:r w:rsidR="002F4E83">
              <w:rPr>
                <w:rFonts w:ascii="Arial" w:hAnsi="Arial" w:cs="Arial"/>
                <w:sz w:val="20"/>
                <w:szCs w:val="20"/>
                <w:lang w:val="es-VE"/>
              </w:rPr>
              <w:t xml:space="preserve">PNLOG aprobado por el </w:t>
            </w:r>
            <w:r w:rsidR="00880BAD" w:rsidRPr="00880BAD">
              <w:rPr>
                <w:rFonts w:ascii="Arial" w:hAnsi="Arial" w:cs="Arial"/>
                <w:sz w:val="20"/>
                <w:szCs w:val="20"/>
                <w:lang w:val="es-VE"/>
              </w:rPr>
              <w:t xml:space="preserve">Consejo Nacional Logístico, que refleja un acuerdo interinstitucional y multisectorial </w:t>
            </w:r>
            <w:r w:rsidR="00880BAD" w:rsidRPr="00880BAD">
              <w:rPr>
                <w:rFonts w:ascii="Arial" w:hAnsi="Arial" w:cs="Arial"/>
                <w:sz w:val="20"/>
                <w:szCs w:val="20"/>
                <w:lang w:val="es-VE"/>
              </w:rPr>
              <w:lastRenderedPageBreak/>
              <w:t>público-privado, sobre la orientación estratégica para la priorización de acciones y proyectos en el sector de logística de cargas.</w:t>
            </w:r>
          </w:p>
        </w:tc>
        <w:tc>
          <w:tcPr>
            <w:tcW w:w="1350" w:type="dxa"/>
            <w:vAlign w:val="center"/>
          </w:tcPr>
          <w:p w14:paraId="203359F1" w14:textId="77777777" w:rsidR="005F2049" w:rsidRPr="004A4F7E" w:rsidRDefault="00880BAD" w:rsidP="0010464B">
            <w:pPr>
              <w:spacing w:after="0" w:line="240" w:lineRule="auto"/>
              <w:ind w:hanging="18"/>
              <w:jc w:val="center"/>
              <w:rPr>
                <w:rFonts w:ascii="Arial" w:hAnsi="Arial" w:cs="Arial"/>
                <w:sz w:val="20"/>
                <w:szCs w:val="20"/>
                <w:lang w:val="es-ES_tradnl"/>
              </w:rPr>
            </w:pPr>
            <w:r>
              <w:rPr>
                <w:rFonts w:ascii="Arial" w:hAnsi="Arial" w:cs="Arial"/>
                <w:sz w:val="20"/>
                <w:szCs w:val="20"/>
                <w:lang w:val="es-ES_tradnl"/>
              </w:rPr>
              <w:lastRenderedPageBreak/>
              <w:t>Documento</w:t>
            </w:r>
          </w:p>
        </w:tc>
        <w:tc>
          <w:tcPr>
            <w:tcW w:w="900" w:type="dxa"/>
            <w:vAlign w:val="center"/>
          </w:tcPr>
          <w:p w14:paraId="6D0E40C6" w14:textId="77777777" w:rsidR="005F2049" w:rsidRPr="004A4F7E" w:rsidRDefault="0006792B" w:rsidP="0010464B">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0</w:t>
            </w:r>
          </w:p>
        </w:tc>
        <w:tc>
          <w:tcPr>
            <w:tcW w:w="1260" w:type="dxa"/>
            <w:vAlign w:val="center"/>
          </w:tcPr>
          <w:p w14:paraId="56D7DE0B" w14:textId="77777777" w:rsidR="005F2049" w:rsidRPr="004A4F7E" w:rsidRDefault="0006792B" w:rsidP="0010464B">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1</w:t>
            </w:r>
          </w:p>
        </w:tc>
        <w:tc>
          <w:tcPr>
            <w:tcW w:w="4140" w:type="dxa"/>
            <w:vAlign w:val="center"/>
          </w:tcPr>
          <w:p w14:paraId="326E3E6A" w14:textId="77777777" w:rsidR="005F2049" w:rsidRPr="004A4F7E" w:rsidRDefault="00C34A6D" w:rsidP="0010464B">
            <w:pPr>
              <w:spacing w:after="0" w:line="240" w:lineRule="auto"/>
              <w:ind w:hanging="18"/>
              <w:jc w:val="both"/>
              <w:rPr>
                <w:rFonts w:ascii="Arial" w:hAnsi="Arial" w:cs="Arial"/>
                <w:sz w:val="20"/>
                <w:szCs w:val="20"/>
                <w:lang w:val="es-ES"/>
              </w:rPr>
            </w:pPr>
            <w:r>
              <w:rPr>
                <w:rFonts w:ascii="Arial" w:hAnsi="Arial" w:cs="Arial"/>
                <w:sz w:val="20"/>
                <w:szCs w:val="20"/>
                <w:lang w:val="es-ES_tradnl"/>
              </w:rPr>
              <w:t xml:space="preserve">Certificación del punto del Acta del </w:t>
            </w:r>
            <w:r w:rsidR="0006792B" w:rsidRPr="004A4F7E">
              <w:rPr>
                <w:rFonts w:ascii="Arial" w:hAnsi="Arial" w:cs="Arial"/>
                <w:sz w:val="20"/>
                <w:szCs w:val="20"/>
                <w:lang w:val="es-ES_tradnl"/>
              </w:rPr>
              <w:t xml:space="preserve">Consejo </w:t>
            </w:r>
            <w:r w:rsidR="00103C03">
              <w:rPr>
                <w:rFonts w:ascii="Arial" w:hAnsi="Arial" w:cs="Arial"/>
                <w:sz w:val="20"/>
                <w:szCs w:val="20"/>
                <w:lang w:val="es-ES_tradnl"/>
              </w:rPr>
              <w:t>Nacional Logístico</w:t>
            </w:r>
            <w:r w:rsidR="0006792B" w:rsidRPr="004A4F7E">
              <w:rPr>
                <w:rFonts w:ascii="Arial" w:hAnsi="Arial" w:cs="Arial"/>
                <w:sz w:val="20"/>
                <w:szCs w:val="20"/>
                <w:lang w:val="es-ES_tradnl"/>
              </w:rPr>
              <w:t xml:space="preserve"> aprobando el </w:t>
            </w:r>
            <w:r w:rsidR="0006792B" w:rsidRPr="004A4F7E">
              <w:rPr>
                <w:rFonts w:ascii="Arial" w:hAnsi="Arial" w:cs="Arial"/>
                <w:sz w:val="20"/>
                <w:szCs w:val="20"/>
                <w:lang w:val="es-AR"/>
              </w:rPr>
              <w:t>PNLOG.</w:t>
            </w:r>
          </w:p>
        </w:tc>
        <w:tc>
          <w:tcPr>
            <w:tcW w:w="3240" w:type="dxa"/>
            <w:vAlign w:val="center"/>
          </w:tcPr>
          <w:p w14:paraId="4A5D29FF" w14:textId="77777777" w:rsidR="005F2049" w:rsidRPr="004A4F7E" w:rsidRDefault="0006792B" w:rsidP="0010464B">
            <w:pPr>
              <w:spacing w:after="0" w:line="240" w:lineRule="auto"/>
              <w:ind w:hanging="18"/>
              <w:jc w:val="both"/>
              <w:rPr>
                <w:rFonts w:ascii="Arial" w:hAnsi="Arial" w:cs="Arial"/>
                <w:sz w:val="20"/>
                <w:szCs w:val="20"/>
                <w:lang w:val="es-ES_tradnl"/>
              </w:rPr>
            </w:pPr>
            <w:r w:rsidRPr="004A4F7E">
              <w:rPr>
                <w:rFonts w:ascii="Arial" w:hAnsi="Arial" w:cs="Arial"/>
                <w:sz w:val="20"/>
                <w:szCs w:val="20"/>
                <w:lang w:val="es-ES_tradnl"/>
              </w:rPr>
              <w:t>El PNLOG refleja la orientación estratégica para la priorización de acciones y proyectos en el sector de logística de cargas</w:t>
            </w:r>
          </w:p>
        </w:tc>
      </w:tr>
      <w:tr w:rsidR="00360A4E" w:rsidRPr="001264CF" w14:paraId="4CADDA1A" w14:textId="77777777" w:rsidTr="00D316A0">
        <w:trPr>
          <w:trHeight w:val="1223"/>
        </w:trPr>
        <w:tc>
          <w:tcPr>
            <w:tcW w:w="3150" w:type="dxa"/>
            <w:vAlign w:val="center"/>
          </w:tcPr>
          <w:p w14:paraId="510BEB49" w14:textId="77777777" w:rsidR="005F2049" w:rsidRPr="004A4F7E" w:rsidRDefault="0006792B" w:rsidP="0010464B">
            <w:pPr>
              <w:spacing w:after="0" w:line="240" w:lineRule="auto"/>
              <w:ind w:hanging="18"/>
              <w:jc w:val="both"/>
              <w:rPr>
                <w:rFonts w:ascii="Arial" w:hAnsi="Arial" w:cs="Arial"/>
                <w:sz w:val="20"/>
                <w:szCs w:val="20"/>
                <w:lang w:val="es-ES_tradnl"/>
              </w:rPr>
            </w:pPr>
            <w:r w:rsidRPr="004A4F7E">
              <w:rPr>
                <w:rFonts w:ascii="Arial" w:hAnsi="Arial" w:cs="Arial"/>
                <w:sz w:val="20"/>
                <w:szCs w:val="20"/>
                <w:lang w:val="es-ES_tradnl"/>
              </w:rPr>
              <w:t>3.1</w:t>
            </w:r>
            <w:r w:rsidR="00CA34C1">
              <w:rPr>
                <w:rFonts w:ascii="Arial" w:hAnsi="Arial" w:cs="Arial"/>
                <w:sz w:val="20"/>
                <w:szCs w:val="20"/>
                <w:lang w:val="es-ES_tradnl"/>
              </w:rPr>
              <w:t xml:space="preserve"> </w:t>
            </w:r>
            <w:r w:rsidRPr="004A4F7E">
              <w:rPr>
                <w:rFonts w:ascii="Arial" w:hAnsi="Arial" w:cs="Arial"/>
                <w:sz w:val="20"/>
                <w:szCs w:val="20"/>
                <w:lang w:val="es-ES_tradnl"/>
              </w:rPr>
              <w:t xml:space="preserve">Marco Institucional del Consejo Nacional de Seguridad Vial actualizado al marco legal vigente, incluyendo a las instituciones con competencia en el sector de logística de carga y transporte.  </w:t>
            </w:r>
          </w:p>
        </w:tc>
        <w:tc>
          <w:tcPr>
            <w:tcW w:w="1350" w:type="dxa"/>
            <w:vAlign w:val="center"/>
          </w:tcPr>
          <w:p w14:paraId="514E3D70" w14:textId="520C4026" w:rsidR="005F2049" w:rsidRPr="004A4F7E" w:rsidRDefault="008D18D6" w:rsidP="0010464B">
            <w:pPr>
              <w:spacing w:after="0" w:line="240" w:lineRule="auto"/>
              <w:ind w:hanging="18"/>
              <w:jc w:val="center"/>
              <w:rPr>
                <w:rFonts w:ascii="Arial" w:hAnsi="Arial" w:cs="Arial"/>
                <w:sz w:val="20"/>
                <w:szCs w:val="20"/>
                <w:lang w:val="es-ES_tradnl"/>
              </w:rPr>
            </w:pPr>
            <w:r>
              <w:rPr>
                <w:rFonts w:ascii="Arial" w:hAnsi="Arial" w:cs="Arial"/>
                <w:sz w:val="20"/>
                <w:szCs w:val="20"/>
                <w:lang w:val="es-ES_tradnl"/>
              </w:rPr>
              <w:t>Docu</w:t>
            </w:r>
            <w:r w:rsidR="0037084E">
              <w:rPr>
                <w:rFonts w:ascii="Arial" w:hAnsi="Arial" w:cs="Arial"/>
                <w:sz w:val="20"/>
                <w:szCs w:val="20"/>
                <w:lang w:val="es-ES_tradnl"/>
              </w:rPr>
              <w:t>mento</w:t>
            </w:r>
          </w:p>
        </w:tc>
        <w:tc>
          <w:tcPr>
            <w:tcW w:w="900" w:type="dxa"/>
            <w:vAlign w:val="center"/>
          </w:tcPr>
          <w:p w14:paraId="4197DD6F" w14:textId="77777777" w:rsidR="005F2049" w:rsidRPr="004A4F7E" w:rsidRDefault="0006792B" w:rsidP="0010464B">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0</w:t>
            </w:r>
          </w:p>
        </w:tc>
        <w:tc>
          <w:tcPr>
            <w:tcW w:w="1260" w:type="dxa"/>
            <w:vAlign w:val="center"/>
          </w:tcPr>
          <w:p w14:paraId="7A16CCCD" w14:textId="77777777" w:rsidR="005F2049" w:rsidRPr="004A4F7E" w:rsidRDefault="0006792B" w:rsidP="0010464B">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1</w:t>
            </w:r>
          </w:p>
        </w:tc>
        <w:tc>
          <w:tcPr>
            <w:tcW w:w="4140" w:type="dxa"/>
            <w:vAlign w:val="center"/>
          </w:tcPr>
          <w:p w14:paraId="57BBE0BD" w14:textId="3B05E50C" w:rsidR="005F2049" w:rsidRPr="004A4F7E" w:rsidRDefault="0037084E" w:rsidP="0010464B">
            <w:pPr>
              <w:spacing w:after="0" w:line="240" w:lineRule="auto"/>
              <w:ind w:hanging="18"/>
              <w:jc w:val="both"/>
              <w:rPr>
                <w:rFonts w:ascii="Arial" w:hAnsi="Arial" w:cs="Arial"/>
                <w:sz w:val="20"/>
                <w:szCs w:val="20"/>
                <w:lang w:val="es-ES_tradnl"/>
              </w:rPr>
            </w:pPr>
            <w:r>
              <w:rPr>
                <w:rFonts w:ascii="Arial" w:hAnsi="Arial" w:cs="Arial"/>
                <w:sz w:val="20"/>
                <w:szCs w:val="20"/>
                <w:lang w:val="es-AR"/>
              </w:rPr>
              <w:t>Certificación d</w:t>
            </w:r>
            <w:r w:rsidR="00533455">
              <w:rPr>
                <w:rFonts w:ascii="Arial" w:hAnsi="Arial" w:cs="Arial"/>
                <w:sz w:val="20"/>
                <w:szCs w:val="20"/>
                <w:lang w:val="es-AR"/>
              </w:rPr>
              <w:t xml:space="preserve">el punto de </w:t>
            </w:r>
            <w:r w:rsidR="004B4069" w:rsidRPr="004A4F7E">
              <w:rPr>
                <w:rFonts w:ascii="Arial" w:hAnsi="Arial" w:cs="Arial"/>
                <w:sz w:val="20"/>
                <w:szCs w:val="20"/>
                <w:lang w:val="es-AR"/>
              </w:rPr>
              <w:t>Acta del Consejo Nacional de Seguridad Vial adaptando el marco institucional al marco legal vigente</w:t>
            </w:r>
            <w:r w:rsidR="003057A5">
              <w:rPr>
                <w:rFonts w:ascii="Arial" w:hAnsi="Arial" w:cs="Arial"/>
                <w:sz w:val="20"/>
                <w:szCs w:val="20"/>
                <w:lang w:val="es-AR"/>
              </w:rPr>
              <w:t xml:space="preserve">, </w:t>
            </w:r>
            <w:r w:rsidR="003057A5" w:rsidRPr="003057A5">
              <w:rPr>
                <w:rFonts w:ascii="Arial" w:hAnsi="Arial" w:cs="Arial"/>
                <w:sz w:val="20"/>
                <w:szCs w:val="20"/>
                <w:lang w:val="es-AR"/>
              </w:rPr>
              <w:t>con foco en la inclusión del IHTT como invitado permanente del CNSV.</w:t>
            </w:r>
          </w:p>
        </w:tc>
        <w:tc>
          <w:tcPr>
            <w:tcW w:w="3240" w:type="dxa"/>
            <w:vAlign w:val="center"/>
          </w:tcPr>
          <w:p w14:paraId="5DA98DB2" w14:textId="77777777" w:rsidR="005F2049" w:rsidRPr="004A4F7E" w:rsidRDefault="005F2049" w:rsidP="0010464B">
            <w:pPr>
              <w:spacing w:after="0" w:line="240" w:lineRule="auto"/>
              <w:ind w:hanging="18"/>
              <w:jc w:val="both"/>
              <w:rPr>
                <w:rFonts w:ascii="Arial" w:hAnsi="Arial" w:cs="Arial"/>
                <w:sz w:val="20"/>
                <w:szCs w:val="20"/>
                <w:lang w:val="es-ES_tradnl"/>
              </w:rPr>
            </w:pPr>
          </w:p>
        </w:tc>
      </w:tr>
      <w:tr w:rsidR="00360A4E" w:rsidRPr="001264CF" w14:paraId="1E41C6AA" w14:textId="77777777" w:rsidTr="00D316A0">
        <w:trPr>
          <w:trHeight w:val="1475"/>
        </w:trPr>
        <w:tc>
          <w:tcPr>
            <w:tcW w:w="3150" w:type="dxa"/>
            <w:vAlign w:val="center"/>
          </w:tcPr>
          <w:p w14:paraId="4494FBA0" w14:textId="77777777" w:rsidR="004B4069" w:rsidRPr="00CA34C1" w:rsidRDefault="00653146" w:rsidP="00CA34C1">
            <w:pPr>
              <w:spacing w:before="60" w:after="60" w:line="240" w:lineRule="auto"/>
              <w:jc w:val="both"/>
              <w:rPr>
                <w:rFonts w:ascii="Arial" w:hAnsi="Arial" w:cs="Arial"/>
                <w:sz w:val="20"/>
                <w:szCs w:val="20"/>
                <w:lang w:val="es-CO"/>
              </w:rPr>
            </w:pPr>
            <w:r w:rsidRPr="00CA34C1">
              <w:rPr>
                <w:rFonts w:ascii="Arial" w:hAnsi="Arial" w:cs="Arial"/>
                <w:sz w:val="20"/>
                <w:szCs w:val="20"/>
                <w:lang w:val="es-CO"/>
              </w:rPr>
              <w:t xml:space="preserve">3.2 </w:t>
            </w:r>
            <w:r w:rsidRPr="004A4F7E">
              <w:rPr>
                <w:rFonts w:ascii="Arial" w:hAnsi="Arial" w:cs="Arial"/>
                <w:sz w:val="20"/>
                <w:szCs w:val="20"/>
                <w:lang w:val="es-CO"/>
              </w:rPr>
              <w:t>Reglamento</w:t>
            </w:r>
            <w:r w:rsidR="002D75B7">
              <w:rPr>
                <w:rFonts w:ascii="Arial" w:hAnsi="Arial" w:cs="Arial"/>
                <w:sz w:val="20"/>
                <w:szCs w:val="20"/>
                <w:lang w:val="es-CO"/>
              </w:rPr>
              <w:t>s que fortalecen la seguridad del transporte de carga</w:t>
            </w:r>
            <w:r w:rsidR="0092073E">
              <w:rPr>
                <w:rFonts w:ascii="Arial" w:hAnsi="Arial" w:cs="Arial"/>
                <w:sz w:val="20"/>
                <w:szCs w:val="20"/>
                <w:lang w:val="es-CO"/>
              </w:rPr>
              <w:t xml:space="preserve"> elaborados. a) Reglamento de seguros del transporte terrestre de carga</w:t>
            </w:r>
            <w:r w:rsidR="00C30A0C">
              <w:rPr>
                <w:rFonts w:ascii="Arial" w:hAnsi="Arial" w:cs="Arial"/>
                <w:sz w:val="20"/>
                <w:szCs w:val="20"/>
                <w:lang w:val="es-CO"/>
              </w:rPr>
              <w:t>:</w:t>
            </w:r>
            <w:r w:rsidR="0092073E">
              <w:rPr>
                <w:rFonts w:ascii="Arial" w:hAnsi="Arial" w:cs="Arial"/>
                <w:sz w:val="20"/>
                <w:szCs w:val="20"/>
                <w:lang w:val="es-CO"/>
              </w:rPr>
              <w:t xml:space="preserve"> i)</w:t>
            </w:r>
            <w:r w:rsidRPr="00CA34C1">
              <w:rPr>
                <w:rFonts w:ascii="Arial" w:hAnsi="Arial" w:cs="Arial"/>
                <w:sz w:val="20"/>
                <w:szCs w:val="20"/>
                <w:lang w:val="es-CO"/>
              </w:rPr>
              <w:t>: responsabilidad civil;</w:t>
            </w:r>
            <w:r w:rsidR="0092073E">
              <w:rPr>
                <w:rFonts w:ascii="Arial" w:hAnsi="Arial" w:cs="Arial"/>
                <w:sz w:val="20"/>
                <w:szCs w:val="20"/>
                <w:lang w:val="es-CO"/>
              </w:rPr>
              <w:t xml:space="preserve"> ii</w:t>
            </w:r>
            <w:r w:rsidRPr="00CA34C1">
              <w:rPr>
                <w:rFonts w:ascii="Arial" w:hAnsi="Arial" w:cs="Arial"/>
                <w:sz w:val="20"/>
                <w:szCs w:val="20"/>
                <w:lang w:val="es-CO"/>
              </w:rPr>
              <w:t xml:space="preserve"> cobertura a medios de transporte;</w:t>
            </w:r>
            <w:r w:rsidR="0092073E">
              <w:rPr>
                <w:rFonts w:ascii="Arial" w:hAnsi="Arial" w:cs="Arial"/>
                <w:sz w:val="20"/>
                <w:szCs w:val="20"/>
                <w:lang w:val="es-CO"/>
              </w:rPr>
              <w:t xml:space="preserve"> iii)</w:t>
            </w:r>
            <w:r w:rsidRPr="00CA34C1">
              <w:rPr>
                <w:rFonts w:ascii="Arial" w:hAnsi="Arial" w:cs="Arial"/>
                <w:sz w:val="20"/>
                <w:szCs w:val="20"/>
                <w:lang w:val="es-CO"/>
              </w:rPr>
              <w:t xml:space="preserve"> y cobertura a la carga</w:t>
            </w:r>
            <w:r w:rsidR="0092073E">
              <w:rPr>
                <w:rFonts w:ascii="Arial" w:hAnsi="Arial" w:cs="Arial"/>
                <w:sz w:val="20"/>
                <w:szCs w:val="20"/>
                <w:lang w:val="es-CO"/>
              </w:rPr>
              <w:t>. b)</w:t>
            </w:r>
            <w:r w:rsidRPr="00CA34C1">
              <w:rPr>
                <w:rFonts w:ascii="Arial" w:hAnsi="Arial" w:cs="Arial"/>
                <w:sz w:val="20"/>
                <w:szCs w:val="20"/>
                <w:lang w:val="es-CO"/>
              </w:rPr>
              <w:t xml:space="preserve"> reglamento de pesos y dimensiones que incluye </w:t>
            </w:r>
            <w:r w:rsidR="0092073E">
              <w:rPr>
                <w:rFonts w:ascii="Arial" w:hAnsi="Arial" w:cs="Arial"/>
                <w:sz w:val="20"/>
                <w:szCs w:val="20"/>
                <w:lang w:val="es-CO"/>
              </w:rPr>
              <w:t xml:space="preserve">i) </w:t>
            </w:r>
            <w:r w:rsidRPr="00CA34C1">
              <w:rPr>
                <w:rFonts w:ascii="Arial" w:hAnsi="Arial" w:cs="Arial"/>
                <w:sz w:val="20"/>
                <w:szCs w:val="20"/>
                <w:lang w:val="es-CO"/>
              </w:rPr>
              <w:t xml:space="preserve">límites de pesos y dimensiones; y </w:t>
            </w:r>
            <w:r w:rsidR="0092073E">
              <w:rPr>
                <w:rFonts w:ascii="Arial" w:hAnsi="Arial" w:cs="Arial"/>
                <w:sz w:val="20"/>
                <w:szCs w:val="20"/>
                <w:lang w:val="es-CO"/>
              </w:rPr>
              <w:t xml:space="preserve">ii) </w:t>
            </w:r>
            <w:r w:rsidRPr="00CA34C1">
              <w:rPr>
                <w:rFonts w:ascii="Arial" w:hAnsi="Arial" w:cs="Arial"/>
                <w:sz w:val="20"/>
                <w:szCs w:val="20"/>
                <w:lang w:val="es-CO"/>
              </w:rPr>
              <w:t>penalidades, elaborado.</w:t>
            </w:r>
          </w:p>
          <w:p w14:paraId="2285FD59" w14:textId="77777777" w:rsidR="004B4069" w:rsidRPr="004A4F7E" w:rsidDel="00843E77" w:rsidRDefault="004B4069" w:rsidP="0010464B">
            <w:pPr>
              <w:spacing w:after="0" w:line="240" w:lineRule="auto"/>
              <w:ind w:hanging="18"/>
              <w:jc w:val="both"/>
              <w:rPr>
                <w:rFonts w:ascii="Arial" w:hAnsi="Arial" w:cs="Arial"/>
                <w:sz w:val="20"/>
                <w:szCs w:val="20"/>
                <w:lang w:val="es-CO"/>
              </w:rPr>
            </w:pPr>
          </w:p>
        </w:tc>
        <w:tc>
          <w:tcPr>
            <w:tcW w:w="1350" w:type="dxa"/>
            <w:vAlign w:val="center"/>
          </w:tcPr>
          <w:p w14:paraId="0954F91B" w14:textId="77777777" w:rsidR="004B4069" w:rsidRPr="004A4F7E" w:rsidDel="00F82513" w:rsidRDefault="0092073E" w:rsidP="0010464B">
            <w:pPr>
              <w:spacing w:after="0" w:line="240" w:lineRule="auto"/>
              <w:ind w:hanging="18"/>
              <w:jc w:val="center"/>
              <w:rPr>
                <w:rFonts w:ascii="Arial" w:hAnsi="Arial" w:cs="Arial"/>
                <w:sz w:val="20"/>
                <w:szCs w:val="20"/>
                <w:lang w:val="es-CO"/>
              </w:rPr>
            </w:pPr>
            <w:r>
              <w:rPr>
                <w:rFonts w:ascii="Arial" w:hAnsi="Arial" w:cs="Arial"/>
                <w:sz w:val="20"/>
                <w:szCs w:val="20"/>
                <w:lang w:val="es-CO"/>
              </w:rPr>
              <w:t>Oficio del Secretario General del IHTT</w:t>
            </w:r>
          </w:p>
        </w:tc>
        <w:tc>
          <w:tcPr>
            <w:tcW w:w="900" w:type="dxa"/>
            <w:vAlign w:val="center"/>
          </w:tcPr>
          <w:p w14:paraId="1BE53603" w14:textId="77777777" w:rsidR="004B4069" w:rsidRPr="004A4F7E" w:rsidRDefault="004B4069" w:rsidP="0010464B">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0</w:t>
            </w:r>
          </w:p>
        </w:tc>
        <w:tc>
          <w:tcPr>
            <w:tcW w:w="1260" w:type="dxa"/>
            <w:vAlign w:val="center"/>
          </w:tcPr>
          <w:p w14:paraId="4355C338" w14:textId="77777777" w:rsidR="004B4069" w:rsidRPr="004A4F7E" w:rsidRDefault="004B4069" w:rsidP="0010464B">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1</w:t>
            </w:r>
          </w:p>
        </w:tc>
        <w:tc>
          <w:tcPr>
            <w:tcW w:w="4140" w:type="dxa"/>
            <w:vAlign w:val="center"/>
          </w:tcPr>
          <w:p w14:paraId="4C2F02AD" w14:textId="77777777" w:rsidR="004B4069" w:rsidRPr="004A4F7E" w:rsidRDefault="004B4069" w:rsidP="00653DED">
            <w:pPr>
              <w:pStyle w:val="ListParagraph"/>
              <w:spacing w:before="60" w:after="60" w:line="240" w:lineRule="auto"/>
              <w:ind w:left="0"/>
              <w:contextualSpacing w:val="0"/>
              <w:jc w:val="both"/>
              <w:rPr>
                <w:rFonts w:ascii="Arial" w:hAnsi="Arial" w:cs="Arial"/>
                <w:sz w:val="20"/>
                <w:szCs w:val="20"/>
              </w:rPr>
            </w:pPr>
            <w:r w:rsidRPr="004A4F7E">
              <w:rPr>
                <w:rFonts w:ascii="Arial" w:hAnsi="Arial" w:cs="Arial"/>
                <w:sz w:val="20"/>
                <w:szCs w:val="20"/>
              </w:rPr>
              <w:t xml:space="preserve">Oficio </w:t>
            </w:r>
            <w:r w:rsidR="003057A5" w:rsidRPr="003057A5">
              <w:rPr>
                <w:rFonts w:ascii="Arial" w:hAnsi="Arial" w:cs="Arial"/>
                <w:sz w:val="20"/>
                <w:szCs w:val="20"/>
                <w:lang w:val="es-VE"/>
              </w:rPr>
              <w:t xml:space="preserve">SG-IHTT-01-2018 </w:t>
            </w:r>
            <w:r w:rsidRPr="004A4F7E">
              <w:rPr>
                <w:rFonts w:ascii="Arial" w:hAnsi="Arial" w:cs="Arial"/>
                <w:sz w:val="20"/>
                <w:szCs w:val="20"/>
              </w:rPr>
              <w:t>del Secretario General del Instituto Hondureño del Transporte Terrestre (IHTT) a la Comisión Directiva con la elaboración -en proceso inicial de socialización- de los siguientes reglamentos:</w:t>
            </w:r>
          </w:p>
          <w:p w14:paraId="42867DB1" w14:textId="77777777" w:rsidR="004B4069" w:rsidRPr="004A4F7E" w:rsidRDefault="004B4069" w:rsidP="00653DED">
            <w:pPr>
              <w:spacing w:before="60" w:after="60" w:line="240" w:lineRule="auto"/>
              <w:ind w:left="245" w:hanging="245"/>
              <w:rPr>
                <w:rFonts w:ascii="Arial" w:hAnsi="Arial" w:cs="Arial"/>
                <w:sz w:val="20"/>
                <w:szCs w:val="20"/>
                <w:lang w:val="es-ES_tradnl"/>
              </w:rPr>
            </w:pPr>
            <w:r w:rsidRPr="004A4F7E">
              <w:rPr>
                <w:rFonts w:ascii="Arial" w:hAnsi="Arial" w:cs="Arial"/>
                <w:sz w:val="20"/>
                <w:szCs w:val="20"/>
                <w:lang w:val="es-ES_tradnl"/>
              </w:rPr>
              <w:t xml:space="preserve">(a) del seguro del transporte terrestre de carga que incluye al menos: </w:t>
            </w:r>
          </w:p>
          <w:p w14:paraId="3C90B6C8" w14:textId="77777777" w:rsidR="004B4069" w:rsidRPr="004A4F7E" w:rsidRDefault="004B4069" w:rsidP="00653DED">
            <w:pPr>
              <w:pStyle w:val="ListParagraph"/>
              <w:numPr>
                <w:ilvl w:val="0"/>
                <w:numId w:val="22"/>
              </w:numPr>
              <w:spacing w:before="60" w:after="60" w:line="240" w:lineRule="auto"/>
              <w:ind w:left="331" w:hanging="270"/>
              <w:contextualSpacing w:val="0"/>
              <w:rPr>
                <w:rFonts w:ascii="Arial" w:hAnsi="Arial" w:cs="Arial"/>
                <w:sz w:val="20"/>
                <w:szCs w:val="20"/>
              </w:rPr>
            </w:pPr>
            <w:r w:rsidRPr="004A4F7E">
              <w:rPr>
                <w:rFonts w:ascii="Arial" w:hAnsi="Arial" w:cs="Arial"/>
                <w:sz w:val="20"/>
                <w:szCs w:val="20"/>
              </w:rPr>
              <w:t>responsabilidad civil;</w:t>
            </w:r>
          </w:p>
          <w:p w14:paraId="16C0FB70" w14:textId="77777777" w:rsidR="004B4069" w:rsidRPr="004A4F7E" w:rsidRDefault="004B4069" w:rsidP="00653DED">
            <w:pPr>
              <w:pStyle w:val="ListParagraph"/>
              <w:numPr>
                <w:ilvl w:val="0"/>
                <w:numId w:val="22"/>
              </w:numPr>
              <w:spacing w:before="60" w:after="60" w:line="240" w:lineRule="auto"/>
              <w:ind w:left="331" w:hanging="270"/>
              <w:contextualSpacing w:val="0"/>
              <w:rPr>
                <w:rFonts w:ascii="Arial" w:hAnsi="Arial" w:cs="Arial"/>
                <w:sz w:val="20"/>
                <w:szCs w:val="20"/>
              </w:rPr>
            </w:pPr>
            <w:r w:rsidRPr="004A4F7E">
              <w:rPr>
                <w:rFonts w:ascii="Arial" w:hAnsi="Arial" w:cs="Arial"/>
                <w:sz w:val="20"/>
                <w:szCs w:val="20"/>
              </w:rPr>
              <w:t>cobertura a medios de transporte; y</w:t>
            </w:r>
          </w:p>
          <w:p w14:paraId="047AB6EE" w14:textId="77777777" w:rsidR="004B4069" w:rsidRPr="004A4F7E" w:rsidRDefault="004B4069" w:rsidP="00653DED">
            <w:pPr>
              <w:pStyle w:val="ListParagraph"/>
              <w:numPr>
                <w:ilvl w:val="0"/>
                <w:numId w:val="22"/>
              </w:numPr>
              <w:spacing w:before="60" w:after="60" w:line="240" w:lineRule="auto"/>
              <w:ind w:left="331" w:hanging="270"/>
              <w:contextualSpacing w:val="0"/>
              <w:rPr>
                <w:rFonts w:ascii="Arial" w:hAnsi="Arial" w:cs="Arial"/>
                <w:sz w:val="20"/>
                <w:szCs w:val="20"/>
              </w:rPr>
            </w:pPr>
            <w:r w:rsidRPr="004A4F7E">
              <w:rPr>
                <w:rFonts w:ascii="Arial" w:hAnsi="Arial" w:cs="Arial"/>
                <w:sz w:val="20"/>
                <w:szCs w:val="20"/>
              </w:rPr>
              <w:t>cobertura a la carga.</w:t>
            </w:r>
          </w:p>
          <w:p w14:paraId="72C8879F" w14:textId="77777777" w:rsidR="004B4069" w:rsidRPr="004A4F7E" w:rsidRDefault="004B4069" w:rsidP="00653DED">
            <w:pPr>
              <w:spacing w:before="60" w:after="60" w:line="240" w:lineRule="auto"/>
              <w:ind w:left="241" w:hanging="241"/>
              <w:rPr>
                <w:rFonts w:ascii="Arial" w:hAnsi="Arial" w:cs="Arial"/>
                <w:sz w:val="20"/>
                <w:szCs w:val="20"/>
              </w:rPr>
            </w:pPr>
            <w:r w:rsidRPr="004A4F7E">
              <w:rPr>
                <w:rFonts w:ascii="Arial" w:hAnsi="Arial" w:cs="Arial"/>
                <w:sz w:val="20"/>
                <w:szCs w:val="20"/>
                <w:lang w:val="es-ES_tradnl"/>
              </w:rPr>
              <w:t xml:space="preserve">(b) de pesos y dimensiones. </w:t>
            </w:r>
            <w:r w:rsidRPr="004A4F7E">
              <w:rPr>
                <w:rFonts w:ascii="Arial" w:hAnsi="Arial" w:cs="Arial"/>
                <w:sz w:val="20"/>
                <w:szCs w:val="20"/>
              </w:rPr>
              <w:t>Que incluye al</w:t>
            </w:r>
            <w:r w:rsidR="0087657A">
              <w:rPr>
                <w:rFonts w:ascii="Arial" w:hAnsi="Arial" w:cs="Arial"/>
                <w:sz w:val="20"/>
                <w:szCs w:val="20"/>
              </w:rPr>
              <w:t xml:space="preserve"> </w:t>
            </w:r>
            <w:r w:rsidRPr="004A4F7E">
              <w:rPr>
                <w:rFonts w:ascii="Arial" w:hAnsi="Arial" w:cs="Arial"/>
                <w:sz w:val="20"/>
                <w:szCs w:val="20"/>
              </w:rPr>
              <w:t xml:space="preserve">menos: </w:t>
            </w:r>
          </w:p>
          <w:p w14:paraId="1207E3B0" w14:textId="77777777" w:rsidR="004B4069" w:rsidRPr="004A4F7E" w:rsidRDefault="004B4069" w:rsidP="0087657A">
            <w:pPr>
              <w:pStyle w:val="ListParagraph"/>
              <w:numPr>
                <w:ilvl w:val="0"/>
                <w:numId w:val="23"/>
              </w:numPr>
              <w:tabs>
                <w:tab w:val="left" w:pos="886"/>
              </w:tabs>
              <w:spacing w:before="60" w:after="60" w:line="240" w:lineRule="auto"/>
              <w:ind w:left="418" w:hanging="274"/>
              <w:contextualSpacing w:val="0"/>
              <w:rPr>
                <w:rFonts w:ascii="Arial" w:hAnsi="Arial" w:cs="Arial"/>
                <w:sz w:val="20"/>
                <w:szCs w:val="20"/>
                <w:lang w:val="es-ES_tradnl"/>
              </w:rPr>
            </w:pPr>
            <w:r w:rsidRPr="004A4F7E">
              <w:rPr>
                <w:rFonts w:ascii="Arial" w:hAnsi="Arial" w:cs="Arial"/>
                <w:sz w:val="20"/>
                <w:szCs w:val="20"/>
              </w:rPr>
              <w:t>límites de pesos y dimensiones; y</w:t>
            </w:r>
            <w:r w:rsidR="0087657A">
              <w:rPr>
                <w:rFonts w:ascii="Arial" w:hAnsi="Arial" w:cs="Arial"/>
                <w:sz w:val="20"/>
                <w:szCs w:val="20"/>
              </w:rPr>
              <w:t xml:space="preserve"> </w:t>
            </w:r>
            <w:r w:rsidRPr="004A4F7E">
              <w:rPr>
                <w:rFonts w:ascii="Arial" w:hAnsi="Arial" w:cs="Arial"/>
                <w:sz w:val="20"/>
                <w:szCs w:val="20"/>
              </w:rPr>
              <w:t>penalidades.</w:t>
            </w:r>
          </w:p>
        </w:tc>
        <w:tc>
          <w:tcPr>
            <w:tcW w:w="3240" w:type="dxa"/>
            <w:vAlign w:val="center"/>
          </w:tcPr>
          <w:p w14:paraId="53B69367" w14:textId="77777777" w:rsidR="004B4069" w:rsidRPr="004A4F7E" w:rsidRDefault="004B4069" w:rsidP="002C3AA9">
            <w:pPr>
              <w:spacing w:after="0" w:line="240" w:lineRule="auto"/>
              <w:jc w:val="both"/>
              <w:rPr>
                <w:rFonts w:ascii="Arial" w:hAnsi="Arial" w:cs="Arial"/>
                <w:sz w:val="20"/>
                <w:szCs w:val="20"/>
                <w:lang w:val="es-ES_tradnl"/>
              </w:rPr>
            </w:pPr>
          </w:p>
        </w:tc>
      </w:tr>
      <w:tr w:rsidR="00360A4E" w:rsidRPr="001264CF" w14:paraId="5593CC9C" w14:textId="77777777" w:rsidTr="00D316A0">
        <w:trPr>
          <w:trHeight w:val="1898"/>
        </w:trPr>
        <w:tc>
          <w:tcPr>
            <w:tcW w:w="3150" w:type="dxa"/>
            <w:tcBorders>
              <w:bottom w:val="single" w:sz="4" w:space="0" w:color="000000"/>
            </w:tcBorders>
            <w:vAlign w:val="center"/>
          </w:tcPr>
          <w:p w14:paraId="5C6F1EFB" w14:textId="77777777" w:rsidR="005F2049" w:rsidRPr="004A4F7E" w:rsidRDefault="004B4069" w:rsidP="0010464B">
            <w:pPr>
              <w:spacing w:after="0" w:line="240" w:lineRule="auto"/>
              <w:ind w:hanging="18"/>
              <w:jc w:val="both"/>
              <w:rPr>
                <w:rFonts w:ascii="Arial" w:hAnsi="Arial" w:cs="Arial"/>
                <w:sz w:val="20"/>
                <w:szCs w:val="20"/>
                <w:lang w:val="es-ES_tradnl"/>
              </w:rPr>
            </w:pPr>
            <w:r w:rsidRPr="004A4F7E">
              <w:rPr>
                <w:rFonts w:ascii="Arial" w:hAnsi="Arial" w:cs="Arial"/>
                <w:sz w:val="20"/>
                <w:szCs w:val="20"/>
                <w:lang w:val="es-ES_tradnl"/>
              </w:rPr>
              <w:lastRenderedPageBreak/>
              <w:t>4.</w:t>
            </w:r>
            <w:r w:rsidR="001A78B7" w:rsidRPr="004A4F7E">
              <w:rPr>
                <w:rFonts w:ascii="Arial" w:hAnsi="Arial" w:cs="Arial"/>
                <w:sz w:val="20"/>
                <w:szCs w:val="20"/>
                <w:lang w:val="es-ES_tradnl"/>
              </w:rPr>
              <w:t xml:space="preserve">1 </w:t>
            </w:r>
            <w:r w:rsidR="0092073E" w:rsidRPr="0092073E">
              <w:rPr>
                <w:rFonts w:ascii="Arial" w:eastAsiaTheme="minorEastAsia" w:hAnsi="Arial" w:cs="Arial"/>
                <w:sz w:val="18"/>
                <w:szCs w:val="18"/>
                <w:lang w:val="es-ES_tradnl"/>
              </w:rPr>
              <w:t xml:space="preserve"> </w:t>
            </w:r>
            <w:r w:rsidR="0092073E">
              <w:rPr>
                <w:rFonts w:ascii="Arial" w:hAnsi="Arial" w:cs="Arial"/>
                <w:sz w:val="20"/>
                <w:szCs w:val="20"/>
                <w:lang w:val="es-ES_tradnl"/>
              </w:rPr>
              <w:t>P</w:t>
            </w:r>
            <w:r w:rsidR="0092073E" w:rsidRPr="0092073E">
              <w:rPr>
                <w:rFonts w:ascii="Arial" w:hAnsi="Arial" w:cs="Arial"/>
                <w:sz w:val="20"/>
                <w:szCs w:val="20"/>
                <w:lang w:val="es-ES_tradnl"/>
              </w:rPr>
              <w:t>rimera etapa del proceso de Unión Aduanera -que incluye la creación y reglamentación del marco normativo- entre la República de Guatemala y la República de Honduras,</w:t>
            </w:r>
            <w:r w:rsidR="00407CDD">
              <w:rPr>
                <w:rFonts w:ascii="Arial" w:hAnsi="Arial" w:cs="Arial"/>
                <w:sz w:val="20"/>
                <w:szCs w:val="20"/>
                <w:lang w:val="es-ES_tradnl"/>
              </w:rPr>
              <w:t xml:space="preserve"> implementado</w:t>
            </w:r>
            <w:r w:rsidR="0092073E" w:rsidRPr="0092073E">
              <w:rPr>
                <w:rFonts w:ascii="Arial" w:hAnsi="Arial" w:cs="Arial"/>
                <w:sz w:val="20"/>
                <w:szCs w:val="20"/>
                <w:lang w:val="es-ES_tradnl"/>
              </w:rPr>
              <w:t xml:space="preserve"> de conformidad con lo establecido en el Protocolo Habilitante para el Proceso de Integración Profunda hacia el libre tránsito de mercancías y de personas naturales entre ambos países.</w:t>
            </w:r>
          </w:p>
        </w:tc>
        <w:tc>
          <w:tcPr>
            <w:tcW w:w="1350" w:type="dxa"/>
            <w:tcBorders>
              <w:bottom w:val="single" w:sz="4" w:space="0" w:color="000000"/>
            </w:tcBorders>
            <w:vAlign w:val="center"/>
          </w:tcPr>
          <w:p w14:paraId="2E045801" w14:textId="77777777" w:rsidR="005F2049" w:rsidRPr="004A4F7E" w:rsidRDefault="001B6723" w:rsidP="0010464B">
            <w:pPr>
              <w:spacing w:after="0" w:line="240" w:lineRule="auto"/>
              <w:ind w:hanging="18"/>
              <w:jc w:val="center"/>
              <w:rPr>
                <w:rFonts w:ascii="Arial" w:hAnsi="Arial" w:cs="Arial"/>
                <w:sz w:val="20"/>
                <w:szCs w:val="20"/>
                <w:lang w:val="es-ES_tradnl"/>
              </w:rPr>
            </w:pPr>
            <w:r>
              <w:rPr>
                <w:rFonts w:ascii="Arial" w:hAnsi="Arial" w:cs="Arial"/>
                <w:sz w:val="20"/>
                <w:szCs w:val="20"/>
                <w:lang w:val="es-ES_tradnl"/>
              </w:rPr>
              <w:t>Resolución</w:t>
            </w:r>
          </w:p>
        </w:tc>
        <w:tc>
          <w:tcPr>
            <w:tcW w:w="900" w:type="dxa"/>
            <w:tcBorders>
              <w:bottom w:val="single" w:sz="4" w:space="0" w:color="000000"/>
            </w:tcBorders>
            <w:vAlign w:val="center"/>
          </w:tcPr>
          <w:p w14:paraId="77B0E983" w14:textId="77777777" w:rsidR="005F2049" w:rsidRPr="004A4F7E" w:rsidRDefault="00FC7D1A" w:rsidP="0010464B">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 xml:space="preserve">0 </w:t>
            </w:r>
          </w:p>
        </w:tc>
        <w:tc>
          <w:tcPr>
            <w:tcW w:w="1260" w:type="dxa"/>
            <w:tcBorders>
              <w:bottom w:val="single" w:sz="4" w:space="0" w:color="000000"/>
            </w:tcBorders>
            <w:vAlign w:val="center"/>
          </w:tcPr>
          <w:p w14:paraId="58FB4DE9" w14:textId="77777777" w:rsidR="005F2049" w:rsidRPr="004A4F7E" w:rsidRDefault="00FC7D1A" w:rsidP="0010464B">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1</w:t>
            </w:r>
          </w:p>
        </w:tc>
        <w:tc>
          <w:tcPr>
            <w:tcW w:w="4140" w:type="dxa"/>
            <w:tcBorders>
              <w:bottom w:val="single" w:sz="4" w:space="0" w:color="000000"/>
            </w:tcBorders>
            <w:vAlign w:val="center"/>
          </w:tcPr>
          <w:p w14:paraId="3BE8BF48" w14:textId="77777777" w:rsidR="005F2049" w:rsidRPr="004A4F7E" w:rsidRDefault="004B4069" w:rsidP="0010464B">
            <w:pPr>
              <w:spacing w:after="0" w:line="240" w:lineRule="auto"/>
              <w:ind w:hanging="18"/>
              <w:jc w:val="both"/>
              <w:rPr>
                <w:rFonts w:ascii="Arial" w:hAnsi="Arial" w:cs="Arial"/>
                <w:sz w:val="20"/>
                <w:szCs w:val="20"/>
                <w:lang w:val="es-ES_tradnl"/>
              </w:rPr>
            </w:pPr>
            <w:r w:rsidRPr="004A4F7E">
              <w:rPr>
                <w:rFonts w:ascii="Arial" w:hAnsi="Arial" w:cs="Arial"/>
                <w:sz w:val="20"/>
                <w:szCs w:val="20"/>
                <w:lang w:val="es-ES_tradnl"/>
              </w:rPr>
              <w:t>Resolución implementando la primera etapa del proceso de Unión Aduanera entre la República de Guatemala y la República de Honduras, acompañando protocolo habilitante y reglamento operativo.</w:t>
            </w:r>
          </w:p>
        </w:tc>
        <w:tc>
          <w:tcPr>
            <w:tcW w:w="3240" w:type="dxa"/>
            <w:tcBorders>
              <w:bottom w:val="single" w:sz="4" w:space="0" w:color="000000"/>
            </w:tcBorders>
            <w:vAlign w:val="center"/>
          </w:tcPr>
          <w:p w14:paraId="6AFF0C9D" w14:textId="77777777" w:rsidR="005F2049" w:rsidRPr="004A4F7E" w:rsidRDefault="005F2049" w:rsidP="0010464B">
            <w:pPr>
              <w:spacing w:after="0" w:line="240" w:lineRule="auto"/>
              <w:ind w:hanging="18"/>
              <w:jc w:val="both"/>
              <w:rPr>
                <w:rFonts w:ascii="Arial" w:hAnsi="Arial" w:cs="Arial"/>
                <w:sz w:val="20"/>
                <w:szCs w:val="20"/>
                <w:lang w:val="es-ES_tradnl"/>
              </w:rPr>
            </w:pPr>
          </w:p>
        </w:tc>
      </w:tr>
      <w:tr w:rsidR="001B6723" w:rsidRPr="001264CF" w14:paraId="5A2AF5A8" w14:textId="77777777" w:rsidTr="005B6038">
        <w:trPr>
          <w:trHeight w:val="296"/>
        </w:trPr>
        <w:tc>
          <w:tcPr>
            <w:tcW w:w="14040" w:type="dxa"/>
            <w:gridSpan w:val="6"/>
            <w:tcBorders>
              <w:bottom w:val="single" w:sz="4" w:space="0" w:color="000000"/>
            </w:tcBorders>
            <w:shd w:val="clear" w:color="auto" w:fill="D9D9D9" w:themeFill="background1" w:themeFillShade="D9"/>
            <w:vAlign w:val="center"/>
          </w:tcPr>
          <w:p w14:paraId="221D53F7" w14:textId="77777777" w:rsidR="001B6723" w:rsidRPr="001B6723" w:rsidRDefault="001B6723" w:rsidP="0010464B">
            <w:pPr>
              <w:spacing w:after="0" w:line="240" w:lineRule="auto"/>
              <w:ind w:hanging="18"/>
              <w:jc w:val="both"/>
              <w:rPr>
                <w:rFonts w:ascii="Arial" w:hAnsi="Arial" w:cs="Arial"/>
                <w:sz w:val="20"/>
                <w:szCs w:val="20"/>
                <w:lang w:val="es-ES_tradnl"/>
              </w:rPr>
            </w:pPr>
            <w:r w:rsidRPr="001B6723">
              <w:rPr>
                <w:rFonts w:ascii="Arial" w:hAnsi="Arial" w:cs="Arial"/>
                <w:b/>
                <w:sz w:val="20"/>
                <w:szCs w:val="20"/>
                <w:lang w:val="es-VE"/>
              </w:rPr>
              <w:t>Componente III. Consolidación del marco institucional de logística de carga y transporte</w:t>
            </w:r>
          </w:p>
        </w:tc>
      </w:tr>
      <w:tr w:rsidR="00407CDD" w:rsidRPr="001264CF" w14:paraId="6C803D9F" w14:textId="77777777" w:rsidTr="00D316A0">
        <w:trPr>
          <w:trHeight w:val="1898"/>
        </w:trPr>
        <w:tc>
          <w:tcPr>
            <w:tcW w:w="3150" w:type="dxa"/>
            <w:tcBorders>
              <w:bottom w:val="single" w:sz="4" w:space="0" w:color="000000"/>
            </w:tcBorders>
          </w:tcPr>
          <w:p w14:paraId="3D1F2072" w14:textId="77777777" w:rsidR="00407CDD" w:rsidRPr="00D316A0" w:rsidRDefault="00407CDD" w:rsidP="00407CDD">
            <w:pPr>
              <w:pStyle w:val="CommentText"/>
              <w:spacing w:before="60" w:after="60"/>
              <w:ind w:left="274" w:hanging="274"/>
              <w:jc w:val="both"/>
              <w:rPr>
                <w:rFonts w:ascii="Arial" w:hAnsi="Arial" w:cs="Arial"/>
                <w:lang w:val="es-ES_tradnl"/>
              </w:rPr>
            </w:pPr>
            <w:r w:rsidRPr="00D316A0">
              <w:rPr>
                <w:rFonts w:ascii="Arial" w:hAnsi="Arial" w:cs="Arial"/>
                <w:lang w:val="es-ES_tradnl"/>
              </w:rPr>
              <w:t>5.1 Diseño institucional de la estructura organizacional para la gestión de la logística de cargas aprobado que incluya:</w:t>
            </w:r>
          </w:p>
          <w:p w14:paraId="6E2C9D43" w14:textId="77777777" w:rsidR="00407CDD" w:rsidRPr="00D316A0" w:rsidRDefault="00407CDD" w:rsidP="00407CDD">
            <w:pPr>
              <w:pStyle w:val="CommentText"/>
              <w:numPr>
                <w:ilvl w:val="0"/>
                <w:numId w:val="24"/>
              </w:numPr>
              <w:spacing w:before="60" w:after="60" w:line="240" w:lineRule="auto"/>
              <w:ind w:left="454"/>
              <w:jc w:val="both"/>
              <w:rPr>
                <w:rFonts w:ascii="Arial" w:hAnsi="Arial" w:cs="Arial"/>
                <w:lang w:val="es-ES_tradnl"/>
              </w:rPr>
            </w:pPr>
            <w:r w:rsidRPr="00D316A0">
              <w:rPr>
                <w:rFonts w:ascii="Arial" w:hAnsi="Arial" w:cs="Arial"/>
                <w:lang w:val="es-ES_tradnl"/>
              </w:rPr>
              <w:t>Una instancia de decisión de alto nivel, integrada por las principales instituciones públicas y privadas con competencias en el sector de logística de carga.</w:t>
            </w:r>
          </w:p>
          <w:p w14:paraId="409A0A1A" w14:textId="77777777" w:rsidR="00407CDD" w:rsidRPr="00D316A0" w:rsidRDefault="00407CDD" w:rsidP="00407CDD">
            <w:pPr>
              <w:pStyle w:val="CommentText"/>
              <w:numPr>
                <w:ilvl w:val="0"/>
                <w:numId w:val="24"/>
              </w:numPr>
              <w:spacing w:before="60" w:after="60" w:line="240" w:lineRule="auto"/>
              <w:ind w:left="463"/>
              <w:jc w:val="both"/>
              <w:rPr>
                <w:rFonts w:ascii="Arial" w:hAnsi="Arial" w:cs="Arial"/>
                <w:lang w:val="es-ES_tradnl"/>
              </w:rPr>
            </w:pPr>
            <w:r w:rsidRPr="00D316A0">
              <w:rPr>
                <w:rFonts w:ascii="Arial" w:hAnsi="Arial" w:cs="Arial"/>
                <w:lang w:val="es-ES_tradnl"/>
              </w:rPr>
              <w:t xml:space="preserve">Una instancia técnica integrada por los organismos ejecutores, responsable de la gestión de proyectos y la coordinación entre los distintos organismos. </w:t>
            </w:r>
          </w:p>
          <w:p w14:paraId="544B45A8" w14:textId="2B1C257F" w:rsidR="00344380" w:rsidRPr="00D316A0" w:rsidRDefault="00407CDD" w:rsidP="00BD601B">
            <w:pPr>
              <w:pStyle w:val="CommentText"/>
              <w:numPr>
                <w:ilvl w:val="0"/>
                <w:numId w:val="24"/>
              </w:numPr>
              <w:spacing w:before="60" w:after="60" w:line="240" w:lineRule="auto"/>
              <w:ind w:left="463"/>
              <w:jc w:val="both"/>
              <w:rPr>
                <w:rFonts w:ascii="Arial" w:hAnsi="Arial" w:cs="Arial"/>
                <w:lang w:val="es-ES_tradnl"/>
              </w:rPr>
            </w:pPr>
            <w:r w:rsidRPr="00BD601B">
              <w:rPr>
                <w:rFonts w:ascii="Arial" w:hAnsi="Arial" w:cs="Arial"/>
                <w:lang w:val="es-ES_tradnl"/>
              </w:rPr>
              <w:t xml:space="preserve">Mecanismos permanentes de monitoreo, análisis e inteligencia de mercados, que cuenten con la </w:t>
            </w:r>
            <w:r w:rsidRPr="00BD601B">
              <w:rPr>
                <w:rFonts w:ascii="Arial" w:hAnsi="Arial" w:cs="Arial"/>
                <w:lang w:val="es-ES_tradnl"/>
              </w:rPr>
              <w:lastRenderedPageBreak/>
              <w:t xml:space="preserve">participación de las instituciones públicas y privadas involucradas en la logística de cargas. </w:t>
            </w:r>
          </w:p>
          <w:p w14:paraId="5AFD7FE3" w14:textId="77777777" w:rsidR="00407CDD" w:rsidRPr="005A1818" w:rsidRDefault="00344380" w:rsidP="00FC5BFE">
            <w:pPr>
              <w:pStyle w:val="CommentText"/>
              <w:numPr>
                <w:ilvl w:val="0"/>
                <w:numId w:val="24"/>
              </w:numPr>
              <w:spacing w:before="60" w:after="60" w:line="240" w:lineRule="auto"/>
              <w:ind w:left="463"/>
              <w:jc w:val="both"/>
              <w:rPr>
                <w:rFonts w:ascii="Arial" w:hAnsi="Arial" w:cs="Arial"/>
                <w:lang w:val="es-ES_tradnl"/>
              </w:rPr>
            </w:pPr>
            <w:bookmarkStart w:id="3" w:name="_Hlk523828593"/>
            <w:r w:rsidRPr="00344380">
              <w:rPr>
                <w:rFonts w:ascii="Arial" w:hAnsi="Arial" w:cs="Arial"/>
                <w:lang w:val="es-VE"/>
              </w:rPr>
              <w:t>El mecanismo de asignación presupuestaria anual y de financiamiento para el cumplimiento de las funciones de la instancia técnica y los objetivos del CNL.</w:t>
            </w:r>
            <w:bookmarkEnd w:id="3"/>
          </w:p>
        </w:tc>
        <w:tc>
          <w:tcPr>
            <w:tcW w:w="1350" w:type="dxa"/>
            <w:tcBorders>
              <w:bottom w:val="single" w:sz="4" w:space="0" w:color="000000"/>
            </w:tcBorders>
            <w:vAlign w:val="center"/>
          </w:tcPr>
          <w:p w14:paraId="4A2009D8" w14:textId="77777777" w:rsidR="00407CDD" w:rsidRPr="004A4F7E" w:rsidRDefault="00407CDD" w:rsidP="00407CDD">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lastRenderedPageBreak/>
              <w:t>Decreto Ejecutivo</w:t>
            </w:r>
          </w:p>
        </w:tc>
        <w:tc>
          <w:tcPr>
            <w:tcW w:w="900" w:type="dxa"/>
            <w:tcBorders>
              <w:bottom w:val="single" w:sz="4" w:space="0" w:color="000000"/>
            </w:tcBorders>
            <w:vAlign w:val="center"/>
          </w:tcPr>
          <w:p w14:paraId="4A269044" w14:textId="77777777" w:rsidR="00407CDD" w:rsidRPr="004A4F7E" w:rsidRDefault="00407CDD" w:rsidP="00407CDD">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0</w:t>
            </w:r>
          </w:p>
        </w:tc>
        <w:tc>
          <w:tcPr>
            <w:tcW w:w="1260" w:type="dxa"/>
            <w:tcBorders>
              <w:bottom w:val="single" w:sz="4" w:space="0" w:color="000000"/>
            </w:tcBorders>
            <w:vAlign w:val="center"/>
          </w:tcPr>
          <w:p w14:paraId="447950A7" w14:textId="77777777" w:rsidR="00407CDD" w:rsidRPr="004A4F7E" w:rsidRDefault="00407CDD" w:rsidP="00407CDD">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1</w:t>
            </w:r>
          </w:p>
        </w:tc>
        <w:tc>
          <w:tcPr>
            <w:tcW w:w="4140" w:type="dxa"/>
            <w:tcBorders>
              <w:bottom w:val="single" w:sz="4" w:space="0" w:color="000000"/>
            </w:tcBorders>
            <w:vAlign w:val="center"/>
          </w:tcPr>
          <w:p w14:paraId="7D17E93C" w14:textId="77777777" w:rsidR="00407CDD" w:rsidRPr="004A4F7E" w:rsidRDefault="00407CDD" w:rsidP="00407CDD">
            <w:pPr>
              <w:spacing w:after="0" w:line="240" w:lineRule="auto"/>
              <w:ind w:hanging="18"/>
              <w:jc w:val="both"/>
              <w:rPr>
                <w:rFonts w:ascii="Arial" w:hAnsi="Arial" w:cs="Arial"/>
                <w:sz w:val="20"/>
                <w:szCs w:val="20"/>
                <w:lang w:val="es-ES_tradnl"/>
              </w:rPr>
            </w:pPr>
            <w:r w:rsidRPr="004A4F7E">
              <w:rPr>
                <w:rFonts w:ascii="Arial" w:hAnsi="Arial" w:cs="Arial"/>
                <w:sz w:val="20"/>
                <w:szCs w:val="20"/>
                <w:lang w:val="es-ES_tradnl"/>
              </w:rPr>
              <w:t xml:space="preserve">Decreto Ejecutivo </w:t>
            </w:r>
            <w:r w:rsidR="009D19D0" w:rsidRPr="009D19D0">
              <w:rPr>
                <w:rFonts w:ascii="Arial" w:hAnsi="Arial" w:cs="Arial"/>
                <w:sz w:val="20"/>
                <w:szCs w:val="20"/>
                <w:lang w:val="es-VE"/>
              </w:rPr>
              <w:t xml:space="preserve">(PCM-053-2018) </w:t>
            </w:r>
            <w:r w:rsidRPr="004A4F7E">
              <w:rPr>
                <w:rFonts w:ascii="Arial" w:hAnsi="Arial" w:cs="Arial"/>
                <w:sz w:val="20"/>
                <w:szCs w:val="20"/>
                <w:lang w:val="es-ES_tradnl"/>
              </w:rPr>
              <w:t xml:space="preserve">que aprueba el diseño institucional de la Comisión Nacional de Logística (CNL) y su Unidad Técnica de </w:t>
            </w:r>
            <w:r>
              <w:rPr>
                <w:rFonts w:ascii="Arial" w:hAnsi="Arial" w:cs="Arial"/>
                <w:sz w:val="20"/>
                <w:szCs w:val="20"/>
                <w:lang w:val="es-ES_tradnl"/>
              </w:rPr>
              <w:t>Ejecución Logística</w:t>
            </w:r>
            <w:r w:rsidR="00344380">
              <w:rPr>
                <w:rFonts w:ascii="Arial" w:hAnsi="Arial" w:cs="Arial"/>
                <w:sz w:val="20"/>
                <w:szCs w:val="20"/>
                <w:lang w:val="es-ES_tradnl"/>
              </w:rPr>
              <w:t xml:space="preserve"> </w:t>
            </w:r>
            <w:r w:rsidRPr="004A4F7E">
              <w:rPr>
                <w:rFonts w:ascii="Arial" w:hAnsi="Arial" w:cs="Arial"/>
                <w:sz w:val="20"/>
                <w:szCs w:val="20"/>
                <w:lang w:val="es-ES_tradnl"/>
              </w:rPr>
              <w:t>(UT</w:t>
            </w:r>
            <w:r>
              <w:rPr>
                <w:rFonts w:ascii="Arial" w:hAnsi="Arial" w:cs="Arial"/>
                <w:sz w:val="20"/>
                <w:szCs w:val="20"/>
                <w:lang w:val="es-ES_tradnl"/>
              </w:rPr>
              <w:t>EL</w:t>
            </w:r>
            <w:r w:rsidRPr="004A4F7E">
              <w:rPr>
                <w:rFonts w:ascii="Arial" w:hAnsi="Arial" w:cs="Arial"/>
                <w:sz w:val="20"/>
                <w:szCs w:val="20"/>
                <w:lang w:val="es-ES_tradnl"/>
              </w:rPr>
              <w:t>) publicado en la Gaceta Oficial.</w:t>
            </w:r>
          </w:p>
        </w:tc>
        <w:tc>
          <w:tcPr>
            <w:tcW w:w="3240" w:type="dxa"/>
            <w:tcBorders>
              <w:bottom w:val="single" w:sz="4" w:space="0" w:color="000000"/>
            </w:tcBorders>
            <w:vAlign w:val="center"/>
          </w:tcPr>
          <w:p w14:paraId="195BA972" w14:textId="77777777" w:rsidR="00407CDD" w:rsidRPr="004A4F7E" w:rsidRDefault="00407CDD" w:rsidP="00407CDD">
            <w:pPr>
              <w:spacing w:after="0" w:line="240" w:lineRule="auto"/>
              <w:ind w:hanging="18"/>
              <w:jc w:val="both"/>
              <w:rPr>
                <w:rFonts w:ascii="Arial" w:hAnsi="Arial" w:cs="Arial"/>
                <w:sz w:val="20"/>
                <w:szCs w:val="20"/>
                <w:lang w:val="es-ES_tradnl"/>
              </w:rPr>
            </w:pPr>
          </w:p>
        </w:tc>
      </w:tr>
      <w:tr w:rsidR="00407CDD" w:rsidRPr="001264CF" w14:paraId="4F38C5EE" w14:textId="77777777" w:rsidTr="00244822">
        <w:trPr>
          <w:trHeight w:val="377"/>
        </w:trPr>
        <w:tc>
          <w:tcPr>
            <w:tcW w:w="14040" w:type="dxa"/>
            <w:gridSpan w:val="6"/>
            <w:tcBorders>
              <w:bottom w:val="single" w:sz="4" w:space="0" w:color="000000"/>
            </w:tcBorders>
            <w:shd w:val="clear" w:color="auto" w:fill="D9D9D9" w:themeFill="background1" w:themeFillShade="D9"/>
          </w:tcPr>
          <w:p w14:paraId="0EC8FA58" w14:textId="77777777" w:rsidR="00407CDD" w:rsidRPr="00244822" w:rsidRDefault="00407CDD" w:rsidP="00407CDD">
            <w:pPr>
              <w:spacing w:after="0" w:line="240" w:lineRule="auto"/>
              <w:ind w:hanging="18"/>
              <w:jc w:val="both"/>
              <w:rPr>
                <w:rFonts w:ascii="Arial" w:hAnsi="Arial" w:cs="Arial"/>
                <w:sz w:val="20"/>
                <w:szCs w:val="20"/>
                <w:lang w:val="es-ES_tradnl"/>
              </w:rPr>
            </w:pPr>
            <w:r w:rsidRPr="00244822">
              <w:rPr>
                <w:rFonts w:ascii="Arial" w:hAnsi="Arial" w:cs="Arial"/>
                <w:b/>
                <w:sz w:val="20"/>
                <w:szCs w:val="20"/>
                <w:lang w:val="es-VE"/>
              </w:rPr>
              <w:t>Componente IV. Establecimiento y modernización de procesos de planificación integral, servicios de transporte y logística de carga y facilitación comercial</w:t>
            </w:r>
          </w:p>
        </w:tc>
      </w:tr>
      <w:tr w:rsidR="00407CDD" w:rsidRPr="001264CF" w14:paraId="45E12D54" w14:textId="77777777" w:rsidTr="00530EE6">
        <w:trPr>
          <w:trHeight w:val="269"/>
        </w:trPr>
        <w:tc>
          <w:tcPr>
            <w:tcW w:w="14040" w:type="dxa"/>
            <w:gridSpan w:val="6"/>
            <w:tcBorders>
              <w:bottom w:val="single" w:sz="4" w:space="0" w:color="000000"/>
            </w:tcBorders>
            <w:shd w:val="clear" w:color="auto" w:fill="D9D9D9" w:themeFill="background1" w:themeFillShade="D9"/>
          </w:tcPr>
          <w:p w14:paraId="500E0BA2" w14:textId="77777777" w:rsidR="00407CDD" w:rsidRPr="00244822" w:rsidRDefault="00407CDD" w:rsidP="00407CDD">
            <w:pPr>
              <w:spacing w:after="0" w:line="240" w:lineRule="auto"/>
              <w:ind w:hanging="18"/>
              <w:jc w:val="both"/>
              <w:rPr>
                <w:rFonts w:ascii="Arial" w:hAnsi="Arial" w:cs="Arial"/>
                <w:b/>
                <w:sz w:val="20"/>
                <w:szCs w:val="20"/>
                <w:lang w:val="es-VE"/>
              </w:rPr>
            </w:pPr>
            <w:r w:rsidRPr="00244822">
              <w:rPr>
                <w:rFonts w:ascii="Arial" w:hAnsi="Arial" w:cs="Arial"/>
                <w:b/>
                <w:sz w:val="20"/>
                <w:szCs w:val="20"/>
                <w:lang w:val="es-VE"/>
              </w:rPr>
              <w:t>Subcomponente IV.1. Establecimiento de procesos de planificación integral y mejora de servicios de transporte y logística de carga</w:t>
            </w:r>
          </w:p>
        </w:tc>
      </w:tr>
      <w:tr w:rsidR="00407CDD" w:rsidRPr="001264CF" w14:paraId="57936B15" w14:textId="77777777" w:rsidTr="00D316A0">
        <w:trPr>
          <w:trHeight w:val="998"/>
        </w:trPr>
        <w:tc>
          <w:tcPr>
            <w:tcW w:w="3150" w:type="dxa"/>
            <w:tcBorders>
              <w:top w:val="single" w:sz="4" w:space="0" w:color="000000"/>
              <w:bottom w:val="single" w:sz="4" w:space="0" w:color="000000"/>
            </w:tcBorders>
          </w:tcPr>
          <w:p w14:paraId="6A94C36F" w14:textId="77777777" w:rsidR="00407CDD" w:rsidRPr="00482E09" w:rsidRDefault="00407CDD" w:rsidP="00407CDD">
            <w:pPr>
              <w:spacing w:beforeLines="40" w:before="96" w:afterLines="60" w:after="144"/>
              <w:jc w:val="both"/>
              <w:rPr>
                <w:rFonts w:ascii="Arial" w:hAnsi="Arial" w:cs="Arial"/>
                <w:sz w:val="20"/>
                <w:szCs w:val="20"/>
                <w:lang w:val="es-ES_tradnl"/>
              </w:rPr>
            </w:pPr>
            <w:r w:rsidRPr="00482E09">
              <w:rPr>
                <w:rFonts w:ascii="Arial" w:hAnsi="Arial" w:cs="Arial"/>
                <w:sz w:val="20"/>
                <w:szCs w:val="20"/>
                <w:lang w:val="es-ES_tradnl"/>
              </w:rPr>
              <w:t>6.1 Acuerdo interinstitucional para la elaboración de un Plan Maestro del Conglomerado Logístico del Norte (PMCLN) aprobado</w:t>
            </w:r>
            <w:r w:rsidR="00A46329">
              <w:rPr>
                <w:rFonts w:ascii="Arial" w:hAnsi="Arial" w:cs="Arial"/>
                <w:sz w:val="20"/>
                <w:szCs w:val="20"/>
                <w:lang w:val="es-ES_tradnl"/>
              </w:rPr>
              <w:t>,</w:t>
            </w:r>
            <w:r w:rsidRPr="00482E09">
              <w:rPr>
                <w:rFonts w:ascii="Arial" w:hAnsi="Arial" w:cs="Arial"/>
                <w:sz w:val="20"/>
                <w:szCs w:val="20"/>
                <w:lang w:val="es-ES_tradnl"/>
              </w:rPr>
              <w:t xml:space="preserve"> incluyendo los siguientes lineamientos:</w:t>
            </w:r>
          </w:p>
          <w:p w14:paraId="681A63F2" w14:textId="77777777" w:rsidR="00407CDD" w:rsidRPr="004A4F7E" w:rsidRDefault="00407CDD" w:rsidP="00407CDD">
            <w:pPr>
              <w:pStyle w:val="ListParagraph"/>
              <w:numPr>
                <w:ilvl w:val="0"/>
                <w:numId w:val="26"/>
              </w:numPr>
              <w:spacing w:beforeLines="40" w:before="96" w:afterLines="60" w:after="144" w:line="240" w:lineRule="auto"/>
              <w:ind w:left="374"/>
              <w:contextualSpacing w:val="0"/>
              <w:jc w:val="both"/>
              <w:rPr>
                <w:rFonts w:ascii="Arial" w:hAnsi="Arial" w:cs="Arial"/>
                <w:sz w:val="20"/>
                <w:szCs w:val="20"/>
              </w:rPr>
            </w:pPr>
            <w:r w:rsidRPr="004A4F7E">
              <w:rPr>
                <w:rFonts w:ascii="Arial" w:hAnsi="Arial" w:cs="Arial"/>
                <w:sz w:val="20"/>
                <w:szCs w:val="20"/>
              </w:rPr>
              <w:t>análisis de la demanda actual y futura de carga por cadenas usuarias en toda el área de influencia del conglomerado, que permita planificar e identificar los servicios logísticos necesarios con una visión de largo plazo, considerando los efectos del PMCLN en el área de influencia, en particular en las redes urbanas;</w:t>
            </w:r>
          </w:p>
          <w:p w14:paraId="577926F6" w14:textId="77777777" w:rsidR="00407CDD" w:rsidRPr="004A4F7E" w:rsidRDefault="00407CDD" w:rsidP="00407CDD">
            <w:pPr>
              <w:pStyle w:val="ListParagraph"/>
              <w:numPr>
                <w:ilvl w:val="0"/>
                <w:numId w:val="26"/>
              </w:numPr>
              <w:spacing w:beforeLines="60" w:before="144" w:afterLines="60" w:after="144" w:line="240" w:lineRule="auto"/>
              <w:ind w:left="374"/>
              <w:contextualSpacing w:val="0"/>
              <w:jc w:val="both"/>
              <w:rPr>
                <w:rFonts w:ascii="Arial" w:hAnsi="Arial" w:cs="Arial"/>
                <w:sz w:val="20"/>
                <w:szCs w:val="20"/>
              </w:rPr>
            </w:pPr>
            <w:r w:rsidRPr="004A4F7E">
              <w:rPr>
                <w:rFonts w:ascii="Arial" w:hAnsi="Arial" w:cs="Arial"/>
                <w:sz w:val="20"/>
                <w:szCs w:val="20"/>
              </w:rPr>
              <w:lastRenderedPageBreak/>
              <w:t>elaboración de un plan de inversiones en infraestructura de transporte y logística, así como propuestas operacionales;</w:t>
            </w:r>
          </w:p>
          <w:p w14:paraId="5DD8825C" w14:textId="77777777" w:rsidR="00407CDD" w:rsidRPr="004A4F7E" w:rsidRDefault="00407CDD" w:rsidP="00407CDD">
            <w:pPr>
              <w:pStyle w:val="ListParagraph"/>
              <w:numPr>
                <w:ilvl w:val="0"/>
                <w:numId w:val="26"/>
              </w:numPr>
              <w:spacing w:beforeLines="60" w:before="144" w:afterLines="60" w:after="144" w:line="240" w:lineRule="auto"/>
              <w:ind w:left="374"/>
              <w:contextualSpacing w:val="0"/>
              <w:jc w:val="both"/>
              <w:rPr>
                <w:rFonts w:ascii="Arial" w:hAnsi="Arial" w:cs="Arial"/>
                <w:sz w:val="20"/>
                <w:szCs w:val="20"/>
              </w:rPr>
            </w:pPr>
            <w:r w:rsidRPr="004A4F7E">
              <w:rPr>
                <w:rFonts w:ascii="Arial" w:hAnsi="Arial" w:cs="Arial"/>
                <w:sz w:val="20"/>
                <w:szCs w:val="20"/>
              </w:rPr>
              <w:t xml:space="preserve">requerimientos de tecnologías de información para optimizar la logística integral del conglomerado; </w:t>
            </w:r>
          </w:p>
          <w:p w14:paraId="560DD8D7" w14:textId="77777777" w:rsidR="00407CDD" w:rsidRPr="004A4F7E" w:rsidRDefault="00407CDD" w:rsidP="00407CDD">
            <w:pPr>
              <w:pStyle w:val="ListParagraph"/>
              <w:numPr>
                <w:ilvl w:val="0"/>
                <w:numId w:val="26"/>
              </w:numPr>
              <w:spacing w:beforeLines="60" w:before="144" w:afterLines="60" w:after="144" w:line="240" w:lineRule="auto"/>
              <w:ind w:left="374"/>
              <w:contextualSpacing w:val="0"/>
              <w:jc w:val="both"/>
              <w:rPr>
                <w:rFonts w:ascii="Arial" w:hAnsi="Arial" w:cs="Arial"/>
                <w:sz w:val="20"/>
                <w:szCs w:val="20"/>
              </w:rPr>
            </w:pPr>
            <w:r w:rsidRPr="004A4F7E">
              <w:rPr>
                <w:rFonts w:ascii="Arial" w:hAnsi="Arial" w:cs="Arial"/>
                <w:sz w:val="20"/>
                <w:szCs w:val="20"/>
                <w:lang w:val="es-ES_tradnl"/>
              </w:rPr>
              <w:t>propuesta de modelos de colaboración logística para cadenas agrícolas usuarias.</w:t>
            </w:r>
          </w:p>
        </w:tc>
        <w:tc>
          <w:tcPr>
            <w:tcW w:w="1350" w:type="dxa"/>
            <w:tcBorders>
              <w:top w:val="single" w:sz="4" w:space="0" w:color="000000"/>
              <w:bottom w:val="single" w:sz="4" w:space="0" w:color="000000"/>
            </w:tcBorders>
            <w:vAlign w:val="center"/>
          </w:tcPr>
          <w:p w14:paraId="6C448CA4" w14:textId="77777777" w:rsidR="00407CDD" w:rsidRPr="004A4F7E" w:rsidRDefault="00407CDD" w:rsidP="00407CDD">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CO"/>
              </w:rPr>
              <w:lastRenderedPageBreak/>
              <w:t xml:space="preserve">Documento </w:t>
            </w:r>
          </w:p>
        </w:tc>
        <w:tc>
          <w:tcPr>
            <w:tcW w:w="900" w:type="dxa"/>
            <w:tcBorders>
              <w:top w:val="single" w:sz="4" w:space="0" w:color="000000"/>
              <w:bottom w:val="single" w:sz="4" w:space="0" w:color="000000"/>
            </w:tcBorders>
            <w:vAlign w:val="center"/>
          </w:tcPr>
          <w:p w14:paraId="1CD455EF" w14:textId="77777777" w:rsidR="00407CDD" w:rsidRPr="004A4F7E" w:rsidRDefault="00407CDD" w:rsidP="00407CDD">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0</w:t>
            </w:r>
          </w:p>
        </w:tc>
        <w:tc>
          <w:tcPr>
            <w:tcW w:w="1260" w:type="dxa"/>
            <w:tcBorders>
              <w:top w:val="single" w:sz="4" w:space="0" w:color="000000"/>
              <w:bottom w:val="single" w:sz="4" w:space="0" w:color="000000"/>
            </w:tcBorders>
            <w:vAlign w:val="center"/>
          </w:tcPr>
          <w:p w14:paraId="18F16A19" w14:textId="77777777" w:rsidR="00407CDD" w:rsidRPr="004A4F7E" w:rsidRDefault="00407CDD" w:rsidP="00407CDD">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1</w:t>
            </w:r>
          </w:p>
        </w:tc>
        <w:tc>
          <w:tcPr>
            <w:tcW w:w="4140" w:type="dxa"/>
            <w:tcBorders>
              <w:top w:val="single" w:sz="4" w:space="0" w:color="000000"/>
              <w:bottom w:val="single" w:sz="4" w:space="0" w:color="000000"/>
            </w:tcBorders>
            <w:vAlign w:val="center"/>
          </w:tcPr>
          <w:p w14:paraId="0080045F" w14:textId="77777777" w:rsidR="00407CDD" w:rsidRPr="004A4F7E" w:rsidRDefault="00407CDD" w:rsidP="00407CDD">
            <w:pPr>
              <w:spacing w:after="0" w:line="240" w:lineRule="auto"/>
              <w:ind w:hanging="18"/>
              <w:jc w:val="both"/>
              <w:rPr>
                <w:rFonts w:ascii="Arial" w:hAnsi="Arial" w:cs="Arial"/>
                <w:sz w:val="20"/>
                <w:szCs w:val="20"/>
                <w:lang w:val="es-ES_tradnl"/>
              </w:rPr>
            </w:pPr>
            <w:r w:rsidRPr="004A4F7E">
              <w:rPr>
                <w:rFonts w:ascii="Arial" w:hAnsi="Arial" w:cs="Arial"/>
                <w:sz w:val="20"/>
                <w:szCs w:val="20"/>
                <w:lang w:val="es-ES_tradnl"/>
              </w:rPr>
              <w:t>Acuerdo interinstitucional suscrito entre INSEP, el Instituto de Transporte, DARA, empresa nacional de puertos, IHTT y Servicio Nacional de Sanidad e Inocuidad Agroalimentaria (SENASA).</w:t>
            </w:r>
            <w:r>
              <w:rPr>
                <w:rFonts w:ascii="Arial" w:hAnsi="Arial" w:cs="Arial"/>
                <w:sz w:val="20"/>
                <w:szCs w:val="20"/>
                <w:lang w:val="es-ES_tradnl"/>
              </w:rPr>
              <w:t xml:space="preserve"> </w:t>
            </w:r>
          </w:p>
        </w:tc>
        <w:tc>
          <w:tcPr>
            <w:tcW w:w="3240" w:type="dxa"/>
            <w:tcBorders>
              <w:top w:val="single" w:sz="4" w:space="0" w:color="000000"/>
              <w:bottom w:val="single" w:sz="4" w:space="0" w:color="000000"/>
            </w:tcBorders>
            <w:vAlign w:val="center"/>
          </w:tcPr>
          <w:p w14:paraId="4A346855" w14:textId="77777777" w:rsidR="00407CDD" w:rsidRPr="004A4F7E" w:rsidRDefault="00407CDD" w:rsidP="00407CDD">
            <w:pPr>
              <w:spacing w:after="0" w:line="240" w:lineRule="auto"/>
              <w:ind w:hanging="18"/>
              <w:jc w:val="both"/>
              <w:rPr>
                <w:rFonts w:ascii="Arial" w:hAnsi="Arial" w:cs="Arial"/>
                <w:sz w:val="20"/>
                <w:szCs w:val="20"/>
                <w:lang w:val="es-ES_tradnl"/>
              </w:rPr>
            </w:pPr>
          </w:p>
        </w:tc>
      </w:tr>
      <w:tr w:rsidR="00407CDD" w:rsidRPr="001264CF" w14:paraId="22B35F0F" w14:textId="77777777" w:rsidTr="00D316A0">
        <w:trPr>
          <w:trHeight w:val="2195"/>
        </w:trPr>
        <w:tc>
          <w:tcPr>
            <w:tcW w:w="3150" w:type="dxa"/>
            <w:tcBorders>
              <w:top w:val="single" w:sz="4" w:space="0" w:color="000000"/>
              <w:bottom w:val="single" w:sz="4" w:space="0" w:color="000000"/>
            </w:tcBorders>
          </w:tcPr>
          <w:p w14:paraId="4D7FE0A4" w14:textId="77777777" w:rsidR="00407CDD" w:rsidRPr="00D316A0" w:rsidRDefault="00407CDD" w:rsidP="00407CDD">
            <w:pPr>
              <w:spacing w:beforeLines="40" w:before="96" w:afterLines="60" w:after="144" w:line="240" w:lineRule="auto"/>
              <w:jc w:val="both"/>
              <w:rPr>
                <w:rFonts w:ascii="Arial" w:hAnsi="Arial" w:cs="Arial"/>
                <w:szCs w:val="20"/>
                <w:lang w:val="es-ES_tradnl"/>
              </w:rPr>
            </w:pPr>
            <w:r w:rsidRPr="00D316A0">
              <w:rPr>
                <w:rFonts w:ascii="Arial" w:hAnsi="Arial" w:cs="Arial"/>
                <w:szCs w:val="20"/>
                <w:lang w:val="es-ES_tradnl"/>
              </w:rPr>
              <w:t xml:space="preserve">7.1 </w:t>
            </w:r>
            <w:r w:rsidR="00A46329" w:rsidRPr="00D316A0">
              <w:rPr>
                <w:rFonts w:ascii="Arial" w:hAnsi="Arial" w:cs="Arial"/>
                <w:szCs w:val="20"/>
                <w:lang w:val="es-ES_tradnl"/>
              </w:rPr>
              <w:t>Sistema</w:t>
            </w:r>
            <w:r w:rsidR="00A46329" w:rsidRPr="00D316A0">
              <w:rPr>
                <w:rFonts w:ascii="Arial" w:hAnsi="Arial" w:cs="Arial"/>
                <w:szCs w:val="20"/>
                <w:lang w:val="es-VE"/>
              </w:rPr>
              <w:t xml:space="preserve"> de registro de vehículos por medio de tarjetas inteligentes implementado, a fin de obtener un diagnóstico para la actualización de la flota de vehículos de transporte de carga terrestre</w:t>
            </w:r>
            <w:r w:rsidR="00A46329" w:rsidRPr="00D316A0">
              <w:rPr>
                <w:rFonts w:ascii="Arial" w:hAnsi="Arial" w:cs="Arial"/>
                <w:szCs w:val="20"/>
                <w:lang w:val="es-ES_tradnl"/>
              </w:rPr>
              <w:t>.</w:t>
            </w:r>
          </w:p>
          <w:p w14:paraId="3DD9CF84" w14:textId="77777777" w:rsidR="00407CDD" w:rsidRPr="00D316A0" w:rsidRDefault="00407CDD" w:rsidP="00407CDD">
            <w:pPr>
              <w:pStyle w:val="ListParagraph"/>
              <w:spacing w:beforeLines="40" w:before="96" w:afterLines="60" w:after="144" w:line="240" w:lineRule="auto"/>
              <w:ind w:left="271" w:hanging="271"/>
              <w:jc w:val="both"/>
              <w:rPr>
                <w:rFonts w:ascii="Arial" w:hAnsi="Arial" w:cs="Arial"/>
                <w:szCs w:val="20"/>
                <w:lang w:val="es-ES_tradnl"/>
              </w:rPr>
            </w:pPr>
          </w:p>
          <w:p w14:paraId="67FACFEB" w14:textId="77777777" w:rsidR="00407CDD" w:rsidRPr="00D316A0" w:rsidRDefault="00407CDD" w:rsidP="00407CDD">
            <w:pPr>
              <w:pStyle w:val="ListParagraph"/>
              <w:spacing w:beforeLines="40" w:before="96" w:afterLines="60" w:after="144" w:line="240" w:lineRule="auto"/>
              <w:ind w:left="271" w:hanging="271"/>
              <w:jc w:val="both"/>
              <w:rPr>
                <w:rFonts w:ascii="Arial" w:hAnsi="Arial" w:cs="Arial"/>
                <w:szCs w:val="20"/>
                <w:lang w:val="es-ES_tradnl"/>
              </w:rPr>
            </w:pPr>
          </w:p>
          <w:p w14:paraId="1C0769D4" w14:textId="77777777" w:rsidR="00407CDD" w:rsidRPr="00D316A0" w:rsidRDefault="00407CDD" w:rsidP="00407CDD">
            <w:pPr>
              <w:pStyle w:val="ListParagraph"/>
              <w:spacing w:beforeLines="40" w:before="96" w:afterLines="60" w:after="144" w:line="240" w:lineRule="auto"/>
              <w:ind w:left="271" w:hanging="271"/>
              <w:jc w:val="both"/>
              <w:rPr>
                <w:rFonts w:ascii="Arial" w:hAnsi="Arial" w:cs="Arial"/>
                <w:szCs w:val="20"/>
                <w:lang w:val="es-ES_tradnl"/>
              </w:rPr>
            </w:pPr>
          </w:p>
        </w:tc>
        <w:tc>
          <w:tcPr>
            <w:tcW w:w="1350" w:type="dxa"/>
            <w:tcBorders>
              <w:top w:val="single" w:sz="4" w:space="0" w:color="000000"/>
              <w:bottom w:val="single" w:sz="4" w:space="0" w:color="000000"/>
            </w:tcBorders>
            <w:vAlign w:val="center"/>
          </w:tcPr>
          <w:p w14:paraId="63739C5E" w14:textId="6E8F82EA" w:rsidR="00407CDD" w:rsidRPr="004A4F7E" w:rsidRDefault="0037084E" w:rsidP="00407CDD">
            <w:pPr>
              <w:spacing w:after="0" w:line="240" w:lineRule="auto"/>
              <w:ind w:hanging="18"/>
              <w:jc w:val="center"/>
              <w:rPr>
                <w:rFonts w:ascii="Arial" w:hAnsi="Arial" w:cs="Arial"/>
                <w:sz w:val="20"/>
                <w:szCs w:val="20"/>
                <w:lang w:val="es-ES_tradnl"/>
              </w:rPr>
            </w:pPr>
            <w:r>
              <w:rPr>
                <w:rFonts w:ascii="Arial" w:hAnsi="Arial" w:cs="Arial"/>
                <w:sz w:val="20"/>
                <w:szCs w:val="20"/>
                <w:lang w:val="es-ES_tradnl"/>
              </w:rPr>
              <w:t>Memorando</w:t>
            </w:r>
            <w:r w:rsidR="00407CDD">
              <w:rPr>
                <w:rFonts w:ascii="Arial" w:hAnsi="Arial" w:cs="Arial"/>
                <w:sz w:val="20"/>
                <w:szCs w:val="20"/>
                <w:lang w:val="es-ES_tradnl"/>
              </w:rPr>
              <w:t xml:space="preserve"> </w:t>
            </w:r>
            <w:r w:rsidR="00407CDD" w:rsidRPr="004A4F7E">
              <w:rPr>
                <w:rFonts w:ascii="Arial" w:hAnsi="Arial" w:cs="Arial"/>
                <w:sz w:val="20"/>
                <w:szCs w:val="20"/>
                <w:lang w:val="es-ES_tradnl"/>
              </w:rPr>
              <w:t xml:space="preserve"> </w:t>
            </w:r>
          </w:p>
        </w:tc>
        <w:tc>
          <w:tcPr>
            <w:tcW w:w="900" w:type="dxa"/>
            <w:tcBorders>
              <w:top w:val="single" w:sz="4" w:space="0" w:color="000000"/>
              <w:bottom w:val="single" w:sz="4" w:space="0" w:color="000000"/>
            </w:tcBorders>
            <w:vAlign w:val="center"/>
          </w:tcPr>
          <w:p w14:paraId="65429E62" w14:textId="77777777" w:rsidR="00407CDD" w:rsidRPr="004A4F7E" w:rsidRDefault="00407CDD" w:rsidP="00407CDD">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0</w:t>
            </w:r>
          </w:p>
        </w:tc>
        <w:tc>
          <w:tcPr>
            <w:tcW w:w="1260" w:type="dxa"/>
            <w:tcBorders>
              <w:top w:val="single" w:sz="4" w:space="0" w:color="000000"/>
              <w:bottom w:val="single" w:sz="4" w:space="0" w:color="000000"/>
            </w:tcBorders>
            <w:vAlign w:val="center"/>
          </w:tcPr>
          <w:p w14:paraId="47C30672" w14:textId="77777777" w:rsidR="00407CDD" w:rsidRPr="004A4F7E" w:rsidRDefault="00407CDD" w:rsidP="00407CDD">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1</w:t>
            </w:r>
          </w:p>
        </w:tc>
        <w:tc>
          <w:tcPr>
            <w:tcW w:w="4140" w:type="dxa"/>
            <w:tcBorders>
              <w:top w:val="single" w:sz="4" w:space="0" w:color="000000"/>
              <w:bottom w:val="single" w:sz="4" w:space="0" w:color="000000"/>
            </w:tcBorders>
            <w:vAlign w:val="center"/>
          </w:tcPr>
          <w:p w14:paraId="1FDB0C06" w14:textId="129E4F09" w:rsidR="00407CDD" w:rsidRPr="004A4F7E" w:rsidRDefault="009D19D0" w:rsidP="00407CDD">
            <w:pPr>
              <w:spacing w:after="0" w:line="240" w:lineRule="auto"/>
              <w:ind w:hanging="18"/>
              <w:jc w:val="both"/>
              <w:rPr>
                <w:rFonts w:ascii="Arial" w:hAnsi="Arial" w:cs="Arial"/>
                <w:sz w:val="20"/>
                <w:szCs w:val="20"/>
                <w:lang w:val="es-ES_tradnl"/>
              </w:rPr>
            </w:pPr>
            <w:r w:rsidRPr="009D19D0">
              <w:rPr>
                <w:rFonts w:ascii="Arial" w:hAnsi="Arial" w:cs="Arial"/>
                <w:sz w:val="20"/>
                <w:szCs w:val="20"/>
                <w:lang w:val="es-ES_tradnl"/>
              </w:rPr>
              <w:t xml:space="preserve">Memorando IHTT-01-2018 con fecha 13 de junio de 2018 </w:t>
            </w:r>
            <w:r>
              <w:rPr>
                <w:rFonts w:ascii="Arial" w:hAnsi="Arial" w:cs="Arial"/>
                <w:sz w:val="20"/>
                <w:szCs w:val="20"/>
                <w:lang w:val="es-ES_tradnl"/>
              </w:rPr>
              <w:t xml:space="preserve">informando el resultado </w:t>
            </w:r>
            <w:r w:rsidR="00A46329" w:rsidRPr="00A46329">
              <w:rPr>
                <w:rFonts w:ascii="Arial" w:hAnsi="Arial" w:cs="Arial"/>
                <w:sz w:val="20"/>
                <w:szCs w:val="20"/>
                <w:lang w:val="es-ES_tradnl"/>
              </w:rPr>
              <w:t>de la implementación de un sistema de registro de vehículos por medio de tarjetas inteligentes, incluyendo un diagnóstico preliminar para la actualización de la flota de vehículos de transporte de carga terrestre.</w:t>
            </w:r>
          </w:p>
        </w:tc>
        <w:tc>
          <w:tcPr>
            <w:tcW w:w="3240" w:type="dxa"/>
            <w:tcBorders>
              <w:top w:val="single" w:sz="4" w:space="0" w:color="000000"/>
              <w:bottom w:val="single" w:sz="4" w:space="0" w:color="000000"/>
            </w:tcBorders>
            <w:vAlign w:val="center"/>
          </w:tcPr>
          <w:p w14:paraId="3168F608" w14:textId="77777777" w:rsidR="00407CDD" w:rsidRPr="004A4F7E" w:rsidRDefault="00407CDD" w:rsidP="00407CDD">
            <w:pPr>
              <w:spacing w:after="0" w:line="240" w:lineRule="auto"/>
              <w:ind w:hanging="18"/>
              <w:jc w:val="both"/>
              <w:rPr>
                <w:rFonts w:ascii="Arial" w:hAnsi="Arial" w:cs="Arial"/>
                <w:sz w:val="20"/>
                <w:szCs w:val="20"/>
                <w:lang w:val="es-ES_tradnl"/>
              </w:rPr>
            </w:pPr>
          </w:p>
        </w:tc>
      </w:tr>
      <w:tr w:rsidR="00A46329" w:rsidRPr="001264CF" w14:paraId="6DAB2337" w14:textId="77777777" w:rsidTr="00D316A0">
        <w:trPr>
          <w:trHeight w:val="998"/>
        </w:trPr>
        <w:tc>
          <w:tcPr>
            <w:tcW w:w="3150" w:type="dxa"/>
            <w:tcBorders>
              <w:top w:val="single" w:sz="4" w:space="0" w:color="000000"/>
              <w:bottom w:val="single" w:sz="4" w:space="0" w:color="000000"/>
            </w:tcBorders>
          </w:tcPr>
          <w:p w14:paraId="5652873B" w14:textId="77777777" w:rsidR="00A46329" w:rsidRPr="00D316A0" w:rsidRDefault="00A46329" w:rsidP="00A46329">
            <w:pPr>
              <w:pStyle w:val="ListParagraph"/>
              <w:spacing w:before="60" w:after="60"/>
              <w:ind w:left="331" w:hanging="317"/>
              <w:contextualSpacing w:val="0"/>
              <w:rPr>
                <w:rFonts w:ascii="Arial" w:hAnsi="Arial" w:cs="Arial"/>
                <w:sz w:val="20"/>
                <w:szCs w:val="20"/>
              </w:rPr>
            </w:pPr>
            <w:r w:rsidRPr="00D316A0">
              <w:rPr>
                <w:rFonts w:ascii="Arial" w:hAnsi="Arial" w:cs="Arial"/>
                <w:sz w:val="20"/>
                <w:szCs w:val="20"/>
              </w:rPr>
              <w:t xml:space="preserve">7.2 Creación de un sistema nacional de capacitación para pilotos, incluyendo: </w:t>
            </w:r>
          </w:p>
          <w:p w14:paraId="371AD8E5" w14:textId="77777777" w:rsidR="00A46329" w:rsidRPr="00D316A0" w:rsidRDefault="00A46329" w:rsidP="00A46329">
            <w:pPr>
              <w:pStyle w:val="ListParagraph"/>
              <w:numPr>
                <w:ilvl w:val="0"/>
                <w:numId w:val="27"/>
              </w:numPr>
              <w:spacing w:before="60" w:after="60" w:line="240" w:lineRule="auto"/>
              <w:ind w:left="271" w:hanging="270"/>
              <w:contextualSpacing w:val="0"/>
              <w:jc w:val="both"/>
              <w:rPr>
                <w:rFonts w:ascii="Arial" w:hAnsi="Arial" w:cs="Arial"/>
                <w:sz w:val="20"/>
                <w:szCs w:val="20"/>
              </w:rPr>
            </w:pPr>
            <w:r w:rsidRPr="00D316A0">
              <w:rPr>
                <w:rFonts w:ascii="Arial" w:hAnsi="Arial" w:cs="Arial"/>
                <w:sz w:val="20"/>
                <w:szCs w:val="20"/>
              </w:rPr>
              <w:t xml:space="preserve">el Programa Nacional de Capacitación de Pilotos para las diferentes categorías de licencias de Honduras; </w:t>
            </w:r>
          </w:p>
          <w:p w14:paraId="1BFFA9B4" w14:textId="77777777" w:rsidR="00A46329" w:rsidRPr="00D316A0" w:rsidRDefault="00A46329" w:rsidP="00A46329">
            <w:pPr>
              <w:pStyle w:val="ListParagraph"/>
              <w:numPr>
                <w:ilvl w:val="0"/>
                <w:numId w:val="27"/>
              </w:numPr>
              <w:spacing w:before="60" w:after="60" w:line="240" w:lineRule="auto"/>
              <w:ind w:left="271" w:hanging="270"/>
              <w:contextualSpacing w:val="0"/>
              <w:jc w:val="both"/>
              <w:rPr>
                <w:rFonts w:ascii="Arial" w:hAnsi="Arial" w:cs="Arial"/>
                <w:sz w:val="20"/>
                <w:szCs w:val="20"/>
              </w:rPr>
            </w:pPr>
            <w:r w:rsidRPr="00D316A0">
              <w:rPr>
                <w:rFonts w:ascii="Arial" w:hAnsi="Arial" w:cs="Arial"/>
                <w:sz w:val="20"/>
                <w:szCs w:val="20"/>
              </w:rPr>
              <w:t xml:space="preserve">normas que regulan la operación de la Escuela </w:t>
            </w:r>
            <w:r w:rsidRPr="00D316A0">
              <w:rPr>
                <w:rFonts w:ascii="Arial" w:hAnsi="Arial" w:cs="Arial"/>
                <w:sz w:val="20"/>
                <w:szCs w:val="20"/>
              </w:rPr>
              <w:lastRenderedPageBreak/>
              <w:t>Nacional de Transporte Terrestre; y</w:t>
            </w:r>
          </w:p>
          <w:p w14:paraId="3A1E1012" w14:textId="77777777" w:rsidR="00A46329" w:rsidRPr="00D316A0" w:rsidRDefault="00A46329" w:rsidP="00A46329">
            <w:pPr>
              <w:pStyle w:val="ListParagraph"/>
              <w:numPr>
                <w:ilvl w:val="0"/>
                <w:numId w:val="27"/>
              </w:numPr>
              <w:spacing w:before="60" w:after="60" w:line="240" w:lineRule="auto"/>
              <w:ind w:left="271" w:hanging="270"/>
              <w:contextualSpacing w:val="0"/>
              <w:jc w:val="both"/>
              <w:rPr>
                <w:rFonts w:ascii="Arial" w:hAnsi="Arial" w:cs="Arial"/>
                <w:szCs w:val="20"/>
              </w:rPr>
            </w:pPr>
            <w:r w:rsidRPr="00D316A0">
              <w:rPr>
                <w:rFonts w:ascii="Arial" w:hAnsi="Arial" w:cs="Arial"/>
                <w:sz w:val="20"/>
                <w:szCs w:val="20"/>
                <w:lang w:val="es-ES_tradnl"/>
              </w:rPr>
              <w:t>normas que regulan la operación de las escuelas privadas, de acuerdo al mandato de la Ley de Transporte administrada por el Instituto Hondureño de Transporte Terrestre.</w:t>
            </w:r>
          </w:p>
        </w:tc>
        <w:tc>
          <w:tcPr>
            <w:tcW w:w="1350" w:type="dxa"/>
            <w:tcBorders>
              <w:top w:val="single" w:sz="4" w:space="0" w:color="000000"/>
              <w:bottom w:val="single" w:sz="4" w:space="0" w:color="000000"/>
            </w:tcBorders>
            <w:vAlign w:val="center"/>
          </w:tcPr>
          <w:p w14:paraId="2E5B466D" w14:textId="5E4AC1D7" w:rsidR="00A46329" w:rsidRPr="004A4F7E" w:rsidRDefault="0037084E" w:rsidP="00A46329">
            <w:pPr>
              <w:spacing w:after="0" w:line="240" w:lineRule="auto"/>
              <w:ind w:hanging="18"/>
              <w:jc w:val="center"/>
              <w:rPr>
                <w:rFonts w:ascii="Arial" w:hAnsi="Arial" w:cs="Arial"/>
                <w:sz w:val="20"/>
                <w:szCs w:val="20"/>
                <w:lang w:val="es-ES_tradnl"/>
              </w:rPr>
            </w:pPr>
            <w:r>
              <w:rPr>
                <w:rFonts w:ascii="Arial" w:hAnsi="Arial" w:cs="Arial"/>
                <w:sz w:val="20"/>
                <w:szCs w:val="20"/>
                <w:lang w:val="es-ES_tradnl"/>
              </w:rPr>
              <w:lastRenderedPageBreak/>
              <w:t>Memorando</w:t>
            </w:r>
            <w:r w:rsidR="00A46329">
              <w:rPr>
                <w:rFonts w:ascii="Arial" w:hAnsi="Arial" w:cs="Arial"/>
                <w:sz w:val="20"/>
                <w:szCs w:val="20"/>
                <w:lang w:val="es-ES_tradnl"/>
              </w:rPr>
              <w:t xml:space="preserve"> </w:t>
            </w:r>
          </w:p>
        </w:tc>
        <w:tc>
          <w:tcPr>
            <w:tcW w:w="900" w:type="dxa"/>
            <w:tcBorders>
              <w:top w:val="single" w:sz="4" w:space="0" w:color="000000"/>
              <w:bottom w:val="single" w:sz="4" w:space="0" w:color="000000"/>
            </w:tcBorders>
            <w:vAlign w:val="center"/>
          </w:tcPr>
          <w:p w14:paraId="7EA98CCD" w14:textId="77777777" w:rsidR="00A46329" w:rsidRPr="004A4F7E" w:rsidRDefault="00A46329" w:rsidP="00A46329">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0</w:t>
            </w:r>
          </w:p>
        </w:tc>
        <w:tc>
          <w:tcPr>
            <w:tcW w:w="1260" w:type="dxa"/>
            <w:tcBorders>
              <w:top w:val="single" w:sz="4" w:space="0" w:color="000000"/>
              <w:bottom w:val="single" w:sz="4" w:space="0" w:color="000000"/>
            </w:tcBorders>
            <w:vAlign w:val="center"/>
          </w:tcPr>
          <w:p w14:paraId="498B8012" w14:textId="77777777" w:rsidR="00A46329" w:rsidRPr="004A4F7E" w:rsidRDefault="00A46329" w:rsidP="00A46329">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1</w:t>
            </w:r>
          </w:p>
        </w:tc>
        <w:tc>
          <w:tcPr>
            <w:tcW w:w="4140" w:type="dxa"/>
            <w:tcBorders>
              <w:top w:val="single" w:sz="4" w:space="0" w:color="000000"/>
              <w:bottom w:val="single" w:sz="4" w:space="0" w:color="000000"/>
            </w:tcBorders>
            <w:vAlign w:val="center"/>
          </w:tcPr>
          <w:p w14:paraId="07BD0616" w14:textId="11D9C524" w:rsidR="00A46329" w:rsidRPr="004A4F7E" w:rsidRDefault="0037084E" w:rsidP="00A46329">
            <w:pPr>
              <w:spacing w:after="0" w:line="240" w:lineRule="auto"/>
              <w:ind w:hanging="18"/>
              <w:jc w:val="both"/>
              <w:rPr>
                <w:rFonts w:ascii="Arial" w:hAnsi="Arial" w:cs="Arial"/>
                <w:sz w:val="20"/>
                <w:szCs w:val="20"/>
                <w:lang w:val="es-ES_tradnl"/>
              </w:rPr>
            </w:pPr>
            <w:r>
              <w:rPr>
                <w:rFonts w:ascii="Arial" w:hAnsi="Arial" w:cs="Arial"/>
                <w:sz w:val="20"/>
                <w:szCs w:val="20"/>
                <w:lang w:val="es-VE"/>
              </w:rPr>
              <w:t>Memor</w:t>
            </w:r>
            <w:r w:rsidR="00EB21E3">
              <w:rPr>
                <w:rFonts w:ascii="Arial" w:hAnsi="Arial" w:cs="Arial"/>
                <w:sz w:val="20"/>
                <w:szCs w:val="20"/>
                <w:lang w:val="es-VE"/>
              </w:rPr>
              <w:t>á</w:t>
            </w:r>
            <w:r>
              <w:rPr>
                <w:rFonts w:ascii="Arial" w:hAnsi="Arial" w:cs="Arial"/>
                <w:sz w:val="20"/>
                <w:szCs w:val="20"/>
                <w:lang w:val="es-VE"/>
              </w:rPr>
              <w:t>nd</w:t>
            </w:r>
            <w:r w:rsidR="00EB21E3">
              <w:rPr>
                <w:rFonts w:ascii="Arial" w:hAnsi="Arial" w:cs="Arial"/>
                <w:sz w:val="20"/>
                <w:szCs w:val="20"/>
                <w:lang w:val="es-VE"/>
              </w:rPr>
              <w:t>um</w:t>
            </w:r>
            <w:r w:rsidRPr="00A46329">
              <w:rPr>
                <w:rFonts w:ascii="Arial" w:hAnsi="Arial" w:cs="Arial"/>
                <w:sz w:val="20"/>
                <w:szCs w:val="20"/>
                <w:lang w:val="es-VE"/>
              </w:rPr>
              <w:t xml:space="preserve"> </w:t>
            </w:r>
            <w:r w:rsidR="00A46329" w:rsidRPr="00A46329">
              <w:rPr>
                <w:rFonts w:ascii="Arial" w:hAnsi="Arial" w:cs="Arial"/>
                <w:sz w:val="20"/>
                <w:szCs w:val="20"/>
                <w:lang w:val="es-VE"/>
              </w:rPr>
              <w:t>de la Dirección Ejecutiva a la Comisión Directiva del IHTT</w:t>
            </w:r>
            <w:r w:rsidR="009D19D0">
              <w:rPr>
                <w:rFonts w:ascii="Arial" w:hAnsi="Arial" w:cs="Arial"/>
                <w:sz w:val="20"/>
                <w:szCs w:val="20"/>
                <w:lang w:val="es-VE"/>
              </w:rPr>
              <w:t xml:space="preserve"> </w:t>
            </w:r>
            <w:r w:rsidR="009D19D0" w:rsidRPr="009D19D0">
              <w:rPr>
                <w:rFonts w:ascii="Arial" w:hAnsi="Arial" w:cs="Arial"/>
                <w:sz w:val="20"/>
                <w:szCs w:val="20"/>
                <w:lang w:val="es-VE"/>
              </w:rPr>
              <w:t>(IHTT-DE-072-2018)</w:t>
            </w:r>
            <w:r w:rsidR="00A46329" w:rsidRPr="00A46329">
              <w:rPr>
                <w:rFonts w:ascii="Arial" w:hAnsi="Arial" w:cs="Arial"/>
                <w:sz w:val="20"/>
                <w:szCs w:val="20"/>
                <w:lang w:val="es-VE"/>
              </w:rPr>
              <w:t xml:space="preserve"> para la aprobación del sistema nacional de capacitación para pilotos incluyendo un programa de incentivos para la capacitación de mujeres, coordinado con Ciudad Mujer.  </w:t>
            </w:r>
          </w:p>
        </w:tc>
        <w:tc>
          <w:tcPr>
            <w:tcW w:w="3240" w:type="dxa"/>
            <w:tcBorders>
              <w:top w:val="single" w:sz="4" w:space="0" w:color="000000"/>
              <w:bottom w:val="single" w:sz="4" w:space="0" w:color="000000"/>
            </w:tcBorders>
            <w:vAlign w:val="center"/>
          </w:tcPr>
          <w:p w14:paraId="799F41C5" w14:textId="77777777" w:rsidR="00A46329" w:rsidRPr="004A4F7E" w:rsidRDefault="00A46329" w:rsidP="00A46329">
            <w:pPr>
              <w:spacing w:after="0" w:line="240" w:lineRule="auto"/>
              <w:ind w:hanging="18"/>
              <w:jc w:val="both"/>
              <w:rPr>
                <w:rFonts w:ascii="Arial" w:hAnsi="Arial" w:cs="Arial"/>
                <w:sz w:val="20"/>
                <w:szCs w:val="20"/>
                <w:lang w:val="es-ES_tradnl"/>
              </w:rPr>
            </w:pPr>
          </w:p>
        </w:tc>
      </w:tr>
      <w:tr w:rsidR="00A46329" w:rsidRPr="00AC7FB7" w14:paraId="2982A5D7" w14:textId="77777777" w:rsidTr="00244822">
        <w:trPr>
          <w:trHeight w:val="296"/>
        </w:trPr>
        <w:tc>
          <w:tcPr>
            <w:tcW w:w="14040" w:type="dxa"/>
            <w:gridSpan w:val="6"/>
            <w:tcBorders>
              <w:top w:val="single" w:sz="4" w:space="0" w:color="000000"/>
              <w:bottom w:val="single" w:sz="4" w:space="0" w:color="000000"/>
            </w:tcBorders>
            <w:shd w:val="clear" w:color="auto" w:fill="D9D9D9" w:themeFill="background1" w:themeFillShade="D9"/>
          </w:tcPr>
          <w:p w14:paraId="5972F089" w14:textId="77777777" w:rsidR="00A46329" w:rsidRPr="00244822" w:rsidRDefault="00A46329" w:rsidP="00A46329">
            <w:pPr>
              <w:spacing w:after="0" w:line="240" w:lineRule="auto"/>
              <w:ind w:hanging="18"/>
              <w:jc w:val="both"/>
              <w:rPr>
                <w:rFonts w:ascii="Arial" w:hAnsi="Arial" w:cs="Arial"/>
                <w:sz w:val="20"/>
                <w:szCs w:val="20"/>
                <w:lang w:val="es-ES_tradnl"/>
              </w:rPr>
            </w:pPr>
            <w:r w:rsidRPr="00244822">
              <w:rPr>
                <w:rFonts w:ascii="Arial" w:hAnsi="Arial" w:cs="Arial"/>
                <w:b/>
                <w:sz w:val="20"/>
                <w:szCs w:val="20"/>
                <w:lang w:val="es-VE"/>
              </w:rPr>
              <w:t>Subcomponente IV.2. Modernización de los procesos de facilitación comercial</w:t>
            </w:r>
          </w:p>
        </w:tc>
      </w:tr>
      <w:tr w:rsidR="00A46329" w:rsidRPr="00AC7FB7" w14:paraId="6F640E54" w14:textId="77777777" w:rsidTr="00D316A0">
        <w:trPr>
          <w:trHeight w:val="998"/>
        </w:trPr>
        <w:tc>
          <w:tcPr>
            <w:tcW w:w="3150" w:type="dxa"/>
            <w:tcBorders>
              <w:top w:val="single" w:sz="4" w:space="0" w:color="000000"/>
              <w:bottom w:val="single" w:sz="4" w:space="0" w:color="000000"/>
            </w:tcBorders>
          </w:tcPr>
          <w:p w14:paraId="1420FC6E" w14:textId="6483ABD6" w:rsidR="00A46329" w:rsidRPr="00622CC7" w:rsidRDefault="00A46329" w:rsidP="00A46329">
            <w:pPr>
              <w:spacing w:beforeLines="40" w:before="96" w:afterLines="60" w:after="144" w:line="240" w:lineRule="auto"/>
              <w:jc w:val="both"/>
              <w:rPr>
                <w:rFonts w:ascii="Arial" w:hAnsi="Arial" w:cs="Arial"/>
                <w:sz w:val="20"/>
                <w:szCs w:val="20"/>
                <w:lang w:val="es-ES_tradnl"/>
              </w:rPr>
            </w:pPr>
            <w:r>
              <w:rPr>
                <w:rFonts w:ascii="Arial" w:hAnsi="Arial" w:cs="Arial"/>
                <w:sz w:val="20"/>
                <w:szCs w:val="20"/>
                <w:lang w:val="es-ES_tradnl"/>
              </w:rPr>
              <w:t xml:space="preserve">8.1 </w:t>
            </w:r>
            <w:r w:rsidR="00E20081">
              <w:rPr>
                <w:rFonts w:ascii="Arial" w:hAnsi="Arial" w:cs="Arial"/>
                <w:sz w:val="20"/>
                <w:szCs w:val="20"/>
                <w:lang w:val="es-ES_tradnl"/>
              </w:rPr>
              <w:t>Inicio de la</w:t>
            </w:r>
            <w:r w:rsidRPr="004A4F7E">
              <w:rPr>
                <w:rFonts w:ascii="Arial" w:hAnsi="Arial" w:cs="Arial"/>
                <w:sz w:val="20"/>
                <w:szCs w:val="20"/>
                <w:lang w:val="es-ES_tradnl"/>
              </w:rPr>
              <w:t xml:space="preserve"> creación del Portal de Gestión</w:t>
            </w:r>
            <w:r>
              <w:rPr>
                <w:rFonts w:ascii="Arial" w:hAnsi="Arial" w:cs="Arial"/>
                <w:sz w:val="20"/>
                <w:szCs w:val="20"/>
                <w:lang w:val="es-ES_tradnl"/>
              </w:rPr>
              <w:t xml:space="preserve"> </w:t>
            </w:r>
            <w:r w:rsidRPr="004A4F7E">
              <w:rPr>
                <w:rFonts w:ascii="Arial" w:hAnsi="Arial" w:cs="Arial"/>
                <w:sz w:val="20"/>
                <w:szCs w:val="20"/>
                <w:lang w:val="es-ES_tradnl"/>
              </w:rPr>
              <w:t>Integral de Comercio Exterior (PGICE).</w:t>
            </w:r>
          </w:p>
        </w:tc>
        <w:tc>
          <w:tcPr>
            <w:tcW w:w="1350" w:type="dxa"/>
            <w:tcBorders>
              <w:top w:val="single" w:sz="4" w:space="0" w:color="000000"/>
              <w:bottom w:val="single" w:sz="4" w:space="0" w:color="000000"/>
            </w:tcBorders>
            <w:vAlign w:val="center"/>
          </w:tcPr>
          <w:p w14:paraId="5080BAD6" w14:textId="77777777" w:rsidR="00A46329" w:rsidRPr="004A4F7E" w:rsidRDefault="00A46329" w:rsidP="00A46329">
            <w:pPr>
              <w:spacing w:after="0" w:line="240" w:lineRule="auto"/>
              <w:ind w:hanging="18"/>
              <w:jc w:val="center"/>
              <w:rPr>
                <w:rFonts w:ascii="Arial" w:hAnsi="Arial" w:cs="Arial"/>
                <w:sz w:val="20"/>
                <w:szCs w:val="20"/>
                <w:lang w:val="es-ES_tradnl"/>
              </w:rPr>
            </w:pPr>
            <w:r>
              <w:rPr>
                <w:rFonts w:ascii="Arial" w:hAnsi="Arial" w:cs="Arial"/>
                <w:sz w:val="20"/>
                <w:szCs w:val="20"/>
                <w:lang w:val="es-ES_tradnl"/>
              </w:rPr>
              <w:t>Oficio del Gabinete</w:t>
            </w:r>
          </w:p>
        </w:tc>
        <w:tc>
          <w:tcPr>
            <w:tcW w:w="900" w:type="dxa"/>
            <w:tcBorders>
              <w:top w:val="single" w:sz="4" w:space="0" w:color="000000"/>
              <w:bottom w:val="single" w:sz="4" w:space="0" w:color="000000"/>
            </w:tcBorders>
            <w:vAlign w:val="center"/>
          </w:tcPr>
          <w:p w14:paraId="758C8A64" w14:textId="77777777" w:rsidR="00A46329" w:rsidRPr="004A4F7E" w:rsidRDefault="00A46329" w:rsidP="00A46329">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0</w:t>
            </w:r>
          </w:p>
        </w:tc>
        <w:tc>
          <w:tcPr>
            <w:tcW w:w="1260" w:type="dxa"/>
            <w:tcBorders>
              <w:top w:val="single" w:sz="4" w:space="0" w:color="000000"/>
              <w:bottom w:val="single" w:sz="4" w:space="0" w:color="000000"/>
            </w:tcBorders>
            <w:vAlign w:val="center"/>
          </w:tcPr>
          <w:p w14:paraId="2BA618B0" w14:textId="77777777" w:rsidR="00A46329" w:rsidRPr="004A4F7E" w:rsidRDefault="00A46329" w:rsidP="00A46329">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1</w:t>
            </w:r>
          </w:p>
        </w:tc>
        <w:tc>
          <w:tcPr>
            <w:tcW w:w="4140" w:type="dxa"/>
            <w:tcBorders>
              <w:top w:val="single" w:sz="4" w:space="0" w:color="000000"/>
              <w:bottom w:val="single" w:sz="4" w:space="0" w:color="000000"/>
            </w:tcBorders>
            <w:vAlign w:val="center"/>
          </w:tcPr>
          <w:p w14:paraId="1E0DE33E" w14:textId="4C0A87E2" w:rsidR="00A46329" w:rsidRPr="000270A2" w:rsidRDefault="00A46329" w:rsidP="00D316A0">
            <w:pPr>
              <w:spacing w:after="0" w:line="240" w:lineRule="auto"/>
              <w:jc w:val="both"/>
              <w:rPr>
                <w:rFonts w:ascii="Arial" w:hAnsi="Arial" w:cs="Arial"/>
                <w:sz w:val="20"/>
                <w:szCs w:val="20"/>
                <w:lang w:val="es-ES_tradnl"/>
              </w:rPr>
            </w:pPr>
            <w:r w:rsidRPr="00A46329">
              <w:rPr>
                <w:rFonts w:ascii="Arial" w:hAnsi="Arial" w:cs="Arial"/>
                <w:sz w:val="20"/>
                <w:szCs w:val="20"/>
                <w:lang w:val="es-VE"/>
              </w:rPr>
              <w:t xml:space="preserve">Oficio del Gabinete de Simplificación a la SCGG con el Proyecto de </w:t>
            </w:r>
            <w:r w:rsidR="009B78D0">
              <w:rPr>
                <w:rFonts w:ascii="Arial" w:hAnsi="Arial" w:cs="Arial"/>
                <w:sz w:val="20"/>
                <w:szCs w:val="20"/>
                <w:lang w:val="es-VE"/>
              </w:rPr>
              <w:t xml:space="preserve">Convenio Interinstitucional </w:t>
            </w:r>
            <w:r w:rsidR="00286242">
              <w:rPr>
                <w:rFonts w:ascii="Arial" w:hAnsi="Arial" w:cs="Arial"/>
                <w:sz w:val="20"/>
                <w:szCs w:val="20"/>
                <w:lang w:val="es-VE"/>
              </w:rPr>
              <w:t>para la creación del</w:t>
            </w:r>
            <w:r w:rsidRPr="00A46329">
              <w:rPr>
                <w:rFonts w:ascii="Arial" w:hAnsi="Arial" w:cs="Arial"/>
                <w:sz w:val="20"/>
                <w:szCs w:val="20"/>
                <w:lang w:val="es-VE"/>
              </w:rPr>
              <w:t xml:space="preserve">  PGICE.</w:t>
            </w:r>
          </w:p>
        </w:tc>
        <w:tc>
          <w:tcPr>
            <w:tcW w:w="3240" w:type="dxa"/>
            <w:tcBorders>
              <w:top w:val="single" w:sz="4" w:space="0" w:color="000000"/>
              <w:bottom w:val="single" w:sz="4" w:space="0" w:color="000000"/>
            </w:tcBorders>
            <w:vAlign w:val="center"/>
          </w:tcPr>
          <w:p w14:paraId="15D38A0F" w14:textId="77777777" w:rsidR="00A46329" w:rsidRPr="004A4F7E" w:rsidRDefault="00A46329" w:rsidP="00A46329">
            <w:pPr>
              <w:spacing w:after="0" w:line="240" w:lineRule="auto"/>
              <w:ind w:hanging="18"/>
              <w:jc w:val="both"/>
              <w:rPr>
                <w:rFonts w:ascii="Arial" w:hAnsi="Arial" w:cs="Arial"/>
                <w:sz w:val="20"/>
                <w:szCs w:val="20"/>
                <w:lang w:val="es-ES_tradnl"/>
              </w:rPr>
            </w:pPr>
          </w:p>
        </w:tc>
      </w:tr>
      <w:tr w:rsidR="00A46329" w:rsidRPr="001264CF" w14:paraId="71B1C7B9" w14:textId="77777777" w:rsidTr="00D316A0">
        <w:trPr>
          <w:trHeight w:val="998"/>
        </w:trPr>
        <w:tc>
          <w:tcPr>
            <w:tcW w:w="3150" w:type="dxa"/>
            <w:tcBorders>
              <w:top w:val="single" w:sz="4" w:space="0" w:color="000000"/>
              <w:bottom w:val="single" w:sz="4" w:space="0" w:color="000000"/>
            </w:tcBorders>
          </w:tcPr>
          <w:p w14:paraId="6C86A526" w14:textId="77777777" w:rsidR="00A46329" w:rsidRPr="00622CC7" w:rsidRDefault="00A46329" w:rsidP="00A46329">
            <w:pPr>
              <w:spacing w:beforeLines="40" w:before="96" w:afterLines="60" w:after="144" w:line="240" w:lineRule="auto"/>
              <w:jc w:val="both"/>
              <w:rPr>
                <w:rFonts w:ascii="Arial" w:hAnsi="Arial" w:cs="Arial"/>
                <w:sz w:val="20"/>
                <w:szCs w:val="20"/>
                <w:lang w:val="es-ES_tradnl"/>
              </w:rPr>
            </w:pPr>
            <w:r w:rsidRPr="00622CC7">
              <w:rPr>
                <w:rFonts w:ascii="Arial" w:hAnsi="Arial" w:cs="Arial"/>
                <w:sz w:val="20"/>
                <w:szCs w:val="20"/>
                <w:lang w:val="es-ES_tradnl"/>
              </w:rPr>
              <w:t xml:space="preserve">8.2 </w:t>
            </w:r>
            <w:r>
              <w:rPr>
                <w:rFonts w:ascii="Arial" w:hAnsi="Arial" w:cs="Arial"/>
                <w:sz w:val="20"/>
                <w:szCs w:val="20"/>
                <w:lang w:val="es-ES_tradnl"/>
              </w:rPr>
              <w:t>I</w:t>
            </w:r>
            <w:r w:rsidRPr="00622CC7">
              <w:rPr>
                <w:rFonts w:ascii="Arial" w:hAnsi="Arial" w:cs="Arial"/>
                <w:sz w:val="20"/>
                <w:szCs w:val="20"/>
                <w:lang w:val="es-ES_tradnl"/>
              </w:rPr>
              <w:t>mplementación</w:t>
            </w:r>
            <w:r>
              <w:rPr>
                <w:rFonts w:ascii="Arial" w:hAnsi="Arial" w:cs="Arial"/>
                <w:sz w:val="20"/>
                <w:szCs w:val="20"/>
                <w:lang w:val="es-ES_tradnl"/>
              </w:rPr>
              <w:t xml:space="preserve"> </w:t>
            </w:r>
            <w:r w:rsidRPr="00622CC7">
              <w:rPr>
                <w:rFonts w:ascii="Arial" w:hAnsi="Arial" w:cs="Arial"/>
                <w:sz w:val="20"/>
                <w:szCs w:val="20"/>
                <w:lang w:val="es-ES_tradnl"/>
              </w:rPr>
              <w:t>de la fase piloto del Programa de Operador Económico Autorizado (OEA)</w:t>
            </w:r>
            <w:r>
              <w:rPr>
                <w:rFonts w:ascii="Arial" w:hAnsi="Arial" w:cs="Arial"/>
                <w:sz w:val="20"/>
                <w:szCs w:val="20"/>
                <w:lang w:val="es-ES_tradnl"/>
              </w:rPr>
              <w:t>, iniciado.</w:t>
            </w:r>
          </w:p>
        </w:tc>
        <w:tc>
          <w:tcPr>
            <w:tcW w:w="1350" w:type="dxa"/>
            <w:tcBorders>
              <w:top w:val="single" w:sz="4" w:space="0" w:color="000000"/>
              <w:bottom w:val="single" w:sz="4" w:space="0" w:color="000000"/>
            </w:tcBorders>
            <w:vAlign w:val="center"/>
          </w:tcPr>
          <w:p w14:paraId="047A8DBB" w14:textId="77777777" w:rsidR="00A46329" w:rsidRPr="00D316A0" w:rsidRDefault="00025304" w:rsidP="00A46329">
            <w:pPr>
              <w:spacing w:after="0" w:line="240" w:lineRule="auto"/>
              <w:ind w:hanging="18"/>
              <w:jc w:val="center"/>
              <w:rPr>
                <w:rFonts w:ascii="Arial" w:hAnsi="Arial" w:cs="Arial"/>
                <w:sz w:val="20"/>
                <w:szCs w:val="20"/>
                <w:lang w:val="pt-BR"/>
              </w:rPr>
            </w:pPr>
            <w:r w:rsidRPr="00D316A0">
              <w:rPr>
                <w:rFonts w:ascii="Arial" w:hAnsi="Arial" w:cs="Arial"/>
                <w:sz w:val="20"/>
                <w:szCs w:val="20"/>
                <w:lang w:val="pt-BR"/>
              </w:rPr>
              <w:t xml:space="preserve">Carta de </w:t>
            </w:r>
            <w:r w:rsidR="005A1818" w:rsidRPr="008A072D">
              <w:rPr>
                <w:rFonts w:ascii="Arial" w:hAnsi="Arial" w:cs="Arial"/>
                <w:sz w:val="20"/>
                <w:szCs w:val="20"/>
                <w:lang w:val="pt-BR"/>
              </w:rPr>
              <w:t>com</w:t>
            </w:r>
            <w:r w:rsidR="005A1818">
              <w:rPr>
                <w:rFonts w:ascii="Arial" w:hAnsi="Arial" w:cs="Arial"/>
                <w:sz w:val="20"/>
                <w:szCs w:val="20"/>
                <w:lang w:val="pt-BR"/>
              </w:rPr>
              <w:t>promiso</w:t>
            </w:r>
          </w:p>
        </w:tc>
        <w:tc>
          <w:tcPr>
            <w:tcW w:w="900" w:type="dxa"/>
            <w:tcBorders>
              <w:top w:val="single" w:sz="4" w:space="0" w:color="000000"/>
              <w:bottom w:val="single" w:sz="4" w:space="0" w:color="000000"/>
            </w:tcBorders>
            <w:vAlign w:val="center"/>
          </w:tcPr>
          <w:p w14:paraId="6C9BFA33" w14:textId="77777777" w:rsidR="00A46329" w:rsidRPr="004A4F7E" w:rsidRDefault="00A46329" w:rsidP="00A46329">
            <w:pPr>
              <w:spacing w:after="0" w:line="240" w:lineRule="auto"/>
              <w:ind w:hanging="18"/>
              <w:jc w:val="center"/>
              <w:rPr>
                <w:rFonts w:ascii="Arial" w:hAnsi="Arial" w:cs="Arial"/>
                <w:sz w:val="20"/>
                <w:szCs w:val="20"/>
                <w:lang w:val="es-CO"/>
              </w:rPr>
            </w:pPr>
            <w:r w:rsidRPr="004A4F7E">
              <w:rPr>
                <w:rFonts w:ascii="Arial" w:hAnsi="Arial" w:cs="Arial"/>
                <w:sz w:val="20"/>
                <w:szCs w:val="20"/>
                <w:lang w:val="es-CO"/>
              </w:rPr>
              <w:t>0</w:t>
            </w:r>
          </w:p>
        </w:tc>
        <w:tc>
          <w:tcPr>
            <w:tcW w:w="1260" w:type="dxa"/>
            <w:tcBorders>
              <w:top w:val="single" w:sz="4" w:space="0" w:color="000000"/>
              <w:bottom w:val="single" w:sz="4" w:space="0" w:color="000000"/>
            </w:tcBorders>
            <w:vAlign w:val="center"/>
          </w:tcPr>
          <w:p w14:paraId="36DA6A5E" w14:textId="77777777" w:rsidR="00A46329" w:rsidRPr="004A4F7E" w:rsidRDefault="00A46329" w:rsidP="00A46329">
            <w:pPr>
              <w:spacing w:after="0" w:line="240" w:lineRule="auto"/>
              <w:ind w:hanging="18"/>
              <w:jc w:val="center"/>
              <w:rPr>
                <w:rFonts w:ascii="Arial" w:hAnsi="Arial" w:cs="Arial"/>
                <w:sz w:val="20"/>
                <w:szCs w:val="20"/>
                <w:lang w:val="es-CO"/>
              </w:rPr>
            </w:pPr>
            <w:r w:rsidRPr="004A4F7E">
              <w:rPr>
                <w:rFonts w:ascii="Arial" w:hAnsi="Arial" w:cs="Arial"/>
                <w:sz w:val="20"/>
                <w:szCs w:val="20"/>
                <w:lang w:val="es-CO"/>
              </w:rPr>
              <w:t>1</w:t>
            </w:r>
          </w:p>
        </w:tc>
        <w:tc>
          <w:tcPr>
            <w:tcW w:w="4140" w:type="dxa"/>
            <w:tcBorders>
              <w:top w:val="single" w:sz="4" w:space="0" w:color="000000"/>
              <w:bottom w:val="single" w:sz="4" w:space="0" w:color="000000"/>
            </w:tcBorders>
            <w:vAlign w:val="center"/>
          </w:tcPr>
          <w:p w14:paraId="742F6B17" w14:textId="77777777" w:rsidR="00A46329" w:rsidRPr="004A4F7E" w:rsidRDefault="00A46329" w:rsidP="00A46329">
            <w:pPr>
              <w:spacing w:after="0" w:line="240" w:lineRule="auto"/>
              <w:ind w:hanging="18"/>
              <w:jc w:val="both"/>
              <w:rPr>
                <w:rFonts w:ascii="Arial" w:hAnsi="Arial" w:cs="Arial"/>
                <w:sz w:val="20"/>
                <w:szCs w:val="20"/>
                <w:lang w:val="es-CO"/>
              </w:rPr>
            </w:pPr>
            <w:r w:rsidRPr="00A46329">
              <w:rPr>
                <w:rFonts w:ascii="Arial" w:hAnsi="Arial" w:cs="Arial"/>
                <w:sz w:val="20"/>
                <w:szCs w:val="20"/>
                <w:lang w:val="es-VE"/>
              </w:rPr>
              <w:t>Carta Compromiso de DARA dando inicio a la implementación del piloto del Programa de OEA.</w:t>
            </w:r>
          </w:p>
        </w:tc>
        <w:tc>
          <w:tcPr>
            <w:tcW w:w="3240" w:type="dxa"/>
            <w:tcBorders>
              <w:top w:val="single" w:sz="4" w:space="0" w:color="000000"/>
              <w:bottom w:val="single" w:sz="4" w:space="0" w:color="000000"/>
            </w:tcBorders>
            <w:vAlign w:val="center"/>
          </w:tcPr>
          <w:p w14:paraId="5A2C547B" w14:textId="77777777" w:rsidR="00A46329" w:rsidRPr="004A4F7E" w:rsidRDefault="00A46329" w:rsidP="00A46329">
            <w:pPr>
              <w:spacing w:after="0" w:line="240" w:lineRule="auto"/>
              <w:ind w:hanging="18"/>
              <w:jc w:val="both"/>
              <w:rPr>
                <w:rFonts w:ascii="Arial" w:hAnsi="Arial" w:cs="Arial"/>
                <w:sz w:val="20"/>
                <w:szCs w:val="20"/>
                <w:lang w:val="es-ES_tradnl"/>
              </w:rPr>
            </w:pPr>
          </w:p>
        </w:tc>
      </w:tr>
      <w:tr w:rsidR="00A46329" w:rsidRPr="00AC7FB7" w14:paraId="4FF59591" w14:textId="77777777" w:rsidTr="00D316A0">
        <w:trPr>
          <w:trHeight w:val="998"/>
        </w:trPr>
        <w:tc>
          <w:tcPr>
            <w:tcW w:w="3150" w:type="dxa"/>
            <w:tcBorders>
              <w:top w:val="single" w:sz="4" w:space="0" w:color="000000"/>
              <w:bottom w:val="single" w:sz="4" w:space="0" w:color="000000"/>
            </w:tcBorders>
          </w:tcPr>
          <w:p w14:paraId="4C480AA1" w14:textId="6E35F815" w:rsidR="00A46329" w:rsidRPr="00622CC7" w:rsidRDefault="00A46329" w:rsidP="00A46329">
            <w:pPr>
              <w:spacing w:beforeLines="40" w:before="96" w:afterLines="60" w:after="144" w:line="240" w:lineRule="auto"/>
              <w:jc w:val="both"/>
              <w:rPr>
                <w:rFonts w:ascii="Arial" w:hAnsi="Arial" w:cs="Arial"/>
                <w:sz w:val="20"/>
                <w:szCs w:val="20"/>
                <w:lang w:val="es-ES_tradnl"/>
              </w:rPr>
            </w:pPr>
            <w:r w:rsidRPr="00622CC7">
              <w:rPr>
                <w:rFonts w:ascii="Arial" w:hAnsi="Arial" w:cs="Arial"/>
                <w:sz w:val="20"/>
                <w:szCs w:val="20"/>
                <w:lang w:val="es-ES_tradnl"/>
              </w:rPr>
              <w:t xml:space="preserve">9.1 </w:t>
            </w:r>
            <w:r w:rsidR="00025304">
              <w:rPr>
                <w:rFonts w:ascii="Arial" w:hAnsi="Arial" w:cs="Arial"/>
                <w:sz w:val="20"/>
                <w:szCs w:val="20"/>
                <w:lang w:val="es-ES_tradnl"/>
              </w:rPr>
              <w:t>Requisitos</w:t>
            </w:r>
            <w:r w:rsidR="00025304" w:rsidRPr="00025304">
              <w:rPr>
                <w:rFonts w:ascii="Arial" w:hAnsi="Arial" w:cs="Arial"/>
                <w:sz w:val="20"/>
                <w:szCs w:val="20"/>
                <w:lang w:val="es-VE"/>
              </w:rPr>
              <w:t xml:space="preserve"> tecnológicos necesarios para la implementación de la primera fase de la Estrategia de Gestión Coordinada de Fronteras (GCF): RFID de trazabilidad</w:t>
            </w:r>
            <w:r w:rsidR="009D19D0">
              <w:rPr>
                <w:rFonts w:ascii="Arial" w:hAnsi="Arial" w:cs="Arial"/>
                <w:sz w:val="20"/>
                <w:szCs w:val="20"/>
                <w:lang w:val="es-VE"/>
              </w:rPr>
              <w:t>, adoptados.</w:t>
            </w:r>
          </w:p>
        </w:tc>
        <w:tc>
          <w:tcPr>
            <w:tcW w:w="1350" w:type="dxa"/>
            <w:tcBorders>
              <w:top w:val="single" w:sz="4" w:space="0" w:color="000000"/>
              <w:bottom w:val="single" w:sz="4" w:space="0" w:color="000000"/>
            </w:tcBorders>
            <w:vAlign w:val="center"/>
          </w:tcPr>
          <w:p w14:paraId="02CC973C" w14:textId="77777777" w:rsidR="00A46329" w:rsidRPr="004A4F7E" w:rsidRDefault="00A46329" w:rsidP="00A46329">
            <w:pPr>
              <w:spacing w:after="0" w:line="240" w:lineRule="auto"/>
              <w:ind w:hanging="18"/>
              <w:jc w:val="center"/>
              <w:rPr>
                <w:rFonts w:ascii="Arial" w:hAnsi="Arial" w:cs="Arial"/>
                <w:sz w:val="20"/>
                <w:szCs w:val="20"/>
                <w:lang w:val="es-CO"/>
              </w:rPr>
            </w:pPr>
            <w:r w:rsidRPr="004A4F7E">
              <w:rPr>
                <w:rFonts w:ascii="Arial" w:hAnsi="Arial" w:cs="Arial"/>
                <w:sz w:val="20"/>
                <w:szCs w:val="20"/>
                <w:lang w:val="es-CO"/>
              </w:rPr>
              <w:t xml:space="preserve">Acta </w:t>
            </w:r>
            <w:r w:rsidR="00025304">
              <w:rPr>
                <w:rFonts w:ascii="Arial" w:hAnsi="Arial" w:cs="Arial"/>
                <w:sz w:val="20"/>
                <w:szCs w:val="20"/>
                <w:lang w:val="es-CO"/>
              </w:rPr>
              <w:t>de recepción</w:t>
            </w:r>
          </w:p>
        </w:tc>
        <w:tc>
          <w:tcPr>
            <w:tcW w:w="900" w:type="dxa"/>
            <w:tcBorders>
              <w:top w:val="single" w:sz="4" w:space="0" w:color="000000"/>
              <w:bottom w:val="single" w:sz="4" w:space="0" w:color="000000"/>
            </w:tcBorders>
            <w:vAlign w:val="center"/>
          </w:tcPr>
          <w:p w14:paraId="7DD29CFA" w14:textId="77777777" w:rsidR="00A46329" w:rsidRPr="004A4F7E" w:rsidRDefault="00A46329" w:rsidP="00A46329">
            <w:pPr>
              <w:spacing w:after="0" w:line="240" w:lineRule="auto"/>
              <w:ind w:hanging="18"/>
              <w:jc w:val="center"/>
              <w:rPr>
                <w:rFonts w:ascii="Arial" w:hAnsi="Arial" w:cs="Arial"/>
                <w:sz w:val="20"/>
                <w:szCs w:val="20"/>
                <w:lang w:val="es-CO"/>
              </w:rPr>
            </w:pPr>
            <w:r w:rsidRPr="004A4F7E">
              <w:rPr>
                <w:rFonts w:ascii="Arial" w:hAnsi="Arial" w:cs="Arial"/>
                <w:sz w:val="20"/>
                <w:szCs w:val="20"/>
                <w:lang w:val="es-CO"/>
              </w:rPr>
              <w:t>0</w:t>
            </w:r>
          </w:p>
        </w:tc>
        <w:tc>
          <w:tcPr>
            <w:tcW w:w="1260" w:type="dxa"/>
            <w:tcBorders>
              <w:top w:val="single" w:sz="4" w:space="0" w:color="000000"/>
              <w:bottom w:val="single" w:sz="4" w:space="0" w:color="000000"/>
            </w:tcBorders>
            <w:vAlign w:val="center"/>
          </w:tcPr>
          <w:p w14:paraId="13DD2E44" w14:textId="77777777" w:rsidR="00A46329" w:rsidRPr="004A4F7E" w:rsidRDefault="00A46329" w:rsidP="00A46329">
            <w:pPr>
              <w:spacing w:after="0" w:line="240" w:lineRule="auto"/>
              <w:ind w:hanging="18"/>
              <w:jc w:val="center"/>
              <w:rPr>
                <w:rFonts w:ascii="Arial" w:hAnsi="Arial" w:cs="Arial"/>
                <w:sz w:val="20"/>
                <w:szCs w:val="20"/>
                <w:lang w:val="es-CO"/>
              </w:rPr>
            </w:pPr>
            <w:r w:rsidRPr="004A4F7E">
              <w:rPr>
                <w:rFonts w:ascii="Arial" w:hAnsi="Arial" w:cs="Arial"/>
                <w:sz w:val="20"/>
                <w:szCs w:val="20"/>
                <w:lang w:val="es-CO"/>
              </w:rPr>
              <w:t>1</w:t>
            </w:r>
          </w:p>
        </w:tc>
        <w:tc>
          <w:tcPr>
            <w:tcW w:w="4140" w:type="dxa"/>
            <w:tcBorders>
              <w:top w:val="single" w:sz="4" w:space="0" w:color="000000"/>
              <w:bottom w:val="single" w:sz="4" w:space="0" w:color="000000"/>
            </w:tcBorders>
            <w:vAlign w:val="center"/>
          </w:tcPr>
          <w:p w14:paraId="2744B275" w14:textId="77777777" w:rsidR="00A46329" w:rsidRPr="004A4F7E" w:rsidRDefault="00025304" w:rsidP="00A46329">
            <w:pPr>
              <w:spacing w:after="0" w:line="240" w:lineRule="auto"/>
              <w:ind w:hanging="18"/>
              <w:jc w:val="both"/>
              <w:rPr>
                <w:rFonts w:ascii="Arial" w:hAnsi="Arial" w:cs="Arial"/>
                <w:sz w:val="20"/>
                <w:szCs w:val="20"/>
                <w:lang w:val="es-CO"/>
              </w:rPr>
            </w:pPr>
            <w:r w:rsidRPr="00025304">
              <w:rPr>
                <w:rFonts w:ascii="Arial" w:hAnsi="Arial" w:cs="Arial"/>
                <w:sz w:val="20"/>
                <w:szCs w:val="20"/>
                <w:lang w:val="es-VE"/>
              </w:rPr>
              <w:t>Actas de recepción de los insumos tecnológicos instalados (RFID).</w:t>
            </w:r>
          </w:p>
        </w:tc>
        <w:tc>
          <w:tcPr>
            <w:tcW w:w="3240" w:type="dxa"/>
            <w:tcBorders>
              <w:top w:val="single" w:sz="4" w:space="0" w:color="000000"/>
              <w:bottom w:val="single" w:sz="4" w:space="0" w:color="000000"/>
            </w:tcBorders>
            <w:vAlign w:val="center"/>
          </w:tcPr>
          <w:p w14:paraId="117EFE7C" w14:textId="77777777" w:rsidR="00A46329" w:rsidRPr="004A4F7E" w:rsidRDefault="00A46329" w:rsidP="00A46329">
            <w:pPr>
              <w:spacing w:after="0" w:line="240" w:lineRule="auto"/>
              <w:ind w:hanging="18"/>
              <w:jc w:val="both"/>
              <w:rPr>
                <w:rFonts w:ascii="Arial" w:hAnsi="Arial" w:cs="Arial"/>
                <w:sz w:val="20"/>
                <w:szCs w:val="20"/>
                <w:lang w:val="es-ES_tradnl"/>
              </w:rPr>
            </w:pPr>
          </w:p>
        </w:tc>
      </w:tr>
      <w:tr w:rsidR="009D19D0" w:rsidRPr="00AC7FB7" w14:paraId="206CD7B2" w14:textId="77777777" w:rsidTr="00D316A0">
        <w:trPr>
          <w:trHeight w:val="998"/>
        </w:trPr>
        <w:tc>
          <w:tcPr>
            <w:tcW w:w="3150" w:type="dxa"/>
            <w:tcBorders>
              <w:top w:val="single" w:sz="4" w:space="0" w:color="000000"/>
              <w:bottom w:val="single" w:sz="4" w:space="0" w:color="000000"/>
            </w:tcBorders>
          </w:tcPr>
          <w:p w14:paraId="1B77B033" w14:textId="77777777" w:rsidR="009D19D0" w:rsidRPr="00622CC7" w:rsidRDefault="009D19D0" w:rsidP="00A46329">
            <w:pPr>
              <w:spacing w:beforeLines="40" w:before="96" w:afterLines="60" w:after="144" w:line="240" w:lineRule="auto"/>
              <w:jc w:val="both"/>
              <w:rPr>
                <w:rFonts w:ascii="Arial" w:hAnsi="Arial" w:cs="Arial"/>
                <w:sz w:val="20"/>
                <w:szCs w:val="20"/>
                <w:lang w:val="es-ES_tradnl"/>
              </w:rPr>
            </w:pPr>
            <w:r w:rsidRPr="00622CC7">
              <w:rPr>
                <w:rFonts w:ascii="Arial" w:hAnsi="Arial" w:cs="Arial"/>
                <w:sz w:val="20"/>
                <w:szCs w:val="20"/>
                <w:lang w:val="es-ES_tradnl"/>
              </w:rPr>
              <w:t>10.1</w:t>
            </w:r>
            <w:r w:rsidRPr="00025304">
              <w:rPr>
                <w:rFonts w:ascii="Arial" w:eastAsiaTheme="minorEastAsia" w:hAnsi="Arial" w:cs="Arial"/>
                <w:sz w:val="18"/>
                <w:szCs w:val="18"/>
                <w:lang w:val="es-ES_tradnl"/>
              </w:rPr>
              <w:t xml:space="preserve"> </w:t>
            </w:r>
            <w:r>
              <w:rPr>
                <w:rFonts w:ascii="Arial" w:eastAsiaTheme="minorEastAsia" w:hAnsi="Arial" w:cs="Arial"/>
                <w:sz w:val="18"/>
                <w:szCs w:val="18"/>
                <w:lang w:val="es-ES_tradnl"/>
              </w:rPr>
              <w:t>L</w:t>
            </w:r>
            <w:r w:rsidRPr="00025304">
              <w:rPr>
                <w:rFonts w:ascii="Arial" w:hAnsi="Arial" w:cs="Arial"/>
                <w:sz w:val="20"/>
                <w:szCs w:val="20"/>
                <w:lang w:val="es-ES_tradnl"/>
              </w:rPr>
              <w:t xml:space="preserve">a FYDUCA </w:t>
            </w:r>
            <w:r>
              <w:rPr>
                <w:rFonts w:ascii="Arial" w:hAnsi="Arial" w:cs="Arial"/>
                <w:sz w:val="20"/>
                <w:szCs w:val="20"/>
                <w:lang w:val="es-ES_tradnl"/>
              </w:rPr>
              <w:t xml:space="preserve">iniciada en su uso </w:t>
            </w:r>
            <w:r w:rsidRPr="00025304">
              <w:rPr>
                <w:rFonts w:ascii="Arial" w:hAnsi="Arial" w:cs="Arial"/>
                <w:sz w:val="20"/>
                <w:szCs w:val="20"/>
                <w:lang w:val="es-ES_tradnl"/>
              </w:rPr>
              <w:t>en la comercialización de mercancías en libre circulación en la Unión Aduanera Honduras – Guatemala, a través de un mecanismo electrónico/informático de emisión.</w:t>
            </w:r>
          </w:p>
          <w:p w14:paraId="59AF43CE" w14:textId="150B7A68" w:rsidR="009D19D0" w:rsidRPr="00622CC7" w:rsidRDefault="009D19D0" w:rsidP="00A46329">
            <w:pPr>
              <w:spacing w:beforeLines="40" w:before="96" w:afterLines="60" w:after="144" w:line="240" w:lineRule="auto"/>
              <w:jc w:val="both"/>
              <w:rPr>
                <w:rFonts w:ascii="Arial" w:hAnsi="Arial" w:cs="Arial"/>
                <w:sz w:val="20"/>
                <w:szCs w:val="20"/>
                <w:lang w:val="es-ES_tradnl"/>
              </w:rPr>
            </w:pPr>
          </w:p>
        </w:tc>
        <w:tc>
          <w:tcPr>
            <w:tcW w:w="1350" w:type="dxa"/>
            <w:tcBorders>
              <w:top w:val="single" w:sz="4" w:space="0" w:color="000000"/>
              <w:bottom w:val="single" w:sz="4" w:space="0" w:color="000000"/>
            </w:tcBorders>
            <w:vAlign w:val="center"/>
          </w:tcPr>
          <w:p w14:paraId="33C92747" w14:textId="7463A645" w:rsidR="009D19D0" w:rsidRPr="004A4F7E" w:rsidRDefault="009D19D0" w:rsidP="00A46329">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lastRenderedPageBreak/>
              <w:t>Resolución</w:t>
            </w:r>
          </w:p>
        </w:tc>
        <w:tc>
          <w:tcPr>
            <w:tcW w:w="900" w:type="dxa"/>
            <w:tcBorders>
              <w:top w:val="single" w:sz="4" w:space="0" w:color="000000"/>
              <w:bottom w:val="single" w:sz="4" w:space="0" w:color="000000"/>
            </w:tcBorders>
            <w:vAlign w:val="center"/>
          </w:tcPr>
          <w:p w14:paraId="46F4A8C8" w14:textId="2DEE91A4" w:rsidR="009D19D0" w:rsidRPr="004A4F7E" w:rsidRDefault="009D19D0" w:rsidP="00A46329">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0</w:t>
            </w:r>
          </w:p>
        </w:tc>
        <w:tc>
          <w:tcPr>
            <w:tcW w:w="1260" w:type="dxa"/>
            <w:tcBorders>
              <w:top w:val="single" w:sz="4" w:space="0" w:color="000000"/>
              <w:bottom w:val="single" w:sz="4" w:space="0" w:color="000000"/>
            </w:tcBorders>
            <w:vAlign w:val="center"/>
          </w:tcPr>
          <w:p w14:paraId="32FBE044" w14:textId="3455FBB3" w:rsidR="009D19D0" w:rsidRPr="004A4F7E" w:rsidRDefault="009D19D0" w:rsidP="00A46329">
            <w:pPr>
              <w:spacing w:after="0" w:line="240" w:lineRule="auto"/>
              <w:ind w:hanging="18"/>
              <w:jc w:val="center"/>
              <w:rPr>
                <w:rFonts w:ascii="Arial" w:hAnsi="Arial" w:cs="Arial"/>
                <w:sz w:val="20"/>
                <w:szCs w:val="20"/>
                <w:lang w:val="es-ES_tradnl"/>
              </w:rPr>
            </w:pPr>
            <w:r w:rsidRPr="004A4F7E">
              <w:rPr>
                <w:rFonts w:ascii="Arial" w:hAnsi="Arial" w:cs="Arial"/>
                <w:sz w:val="20"/>
                <w:szCs w:val="20"/>
                <w:lang w:val="es-ES_tradnl"/>
              </w:rPr>
              <w:t>1</w:t>
            </w:r>
          </w:p>
        </w:tc>
        <w:tc>
          <w:tcPr>
            <w:tcW w:w="4140" w:type="dxa"/>
            <w:tcBorders>
              <w:top w:val="single" w:sz="4" w:space="0" w:color="000000"/>
              <w:bottom w:val="single" w:sz="4" w:space="0" w:color="000000"/>
            </w:tcBorders>
            <w:vAlign w:val="center"/>
          </w:tcPr>
          <w:p w14:paraId="03D761DB" w14:textId="2EFFB2B7" w:rsidR="009D19D0" w:rsidRPr="004A4F7E" w:rsidRDefault="009D19D0" w:rsidP="00A46329">
            <w:pPr>
              <w:spacing w:after="0" w:line="240" w:lineRule="auto"/>
              <w:ind w:hanging="18"/>
              <w:jc w:val="both"/>
              <w:rPr>
                <w:rFonts w:ascii="Arial" w:hAnsi="Arial" w:cs="Arial"/>
                <w:sz w:val="20"/>
                <w:szCs w:val="20"/>
                <w:lang w:val="es-ES_tradnl"/>
              </w:rPr>
            </w:pPr>
            <w:r w:rsidRPr="004A4F7E">
              <w:rPr>
                <w:rFonts w:ascii="Arial" w:hAnsi="Arial" w:cs="Arial"/>
                <w:sz w:val="20"/>
                <w:szCs w:val="20"/>
                <w:lang w:val="es-ES_tradnl"/>
              </w:rPr>
              <w:t>Resolución No. 27-2017 Aprueba</w:t>
            </w:r>
            <w:r>
              <w:rPr>
                <w:rFonts w:ascii="Arial" w:hAnsi="Arial" w:cs="Arial"/>
                <w:sz w:val="20"/>
                <w:szCs w:val="20"/>
                <w:lang w:val="es-ES_tradnl"/>
              </w:rPr>
              <w:t xml:space="preserve"> </w:t>
            </w:r>
            <w:r w:rsidRPr="004A4F7E">
              <w:rPr>
                <w:rFonts w:ascii="Arial" w:hAnsi="Arial" w:cs="Arial"/>
                <w:sz w:val="20"/>
                <w:szCs w:val="20"/>
                <w:lang w:val="es-ES_tradnl"/>
              </w:rPr>
              <w:t>Implementación de la Primera Etapa de la</w:t>
            </w:r>
            <w:r>
              <w:rPr>
                <w:rFonts w:ascii="Arial" w:hAnsi="Arial" w:cs="Arial"/>
                <w:sz w:val="20"/>
                <w:szCs w:val="20"/>
                <w:lang w:val="es-ES_tradnl"/>
              </w:rPr>
              <w:t xml:space="preserve"> </w:t>
            </w:r>
            <w:r w:rsidRPr="004A4F7E">
              <w:rPr>
                <w:rFonts w:ascii="Arial" w:hAnsi="Arial" w:cs="Arial"/>
                <w:sz w:val="20"/>
                <w:szCs w:val="20"/>
                <w:lang w:val="es-ES_tradnl"/>
              </w:rPr>
              <w:t>Unión Aduanera       Resolución No. 32-</w:t>
            </w:r>
            <w:r>
              <w:rPr>
                <w:rFonts w:ascii="Arial" w:hAnsi="Arial" w:cs="Arial"/>
                <w:sz w:val="20"/>
                <w:szCs w:val="20"/>
                <w:lang w:val="es-ES_tradnl"/>
              </w:rPr>
              <w:t xml:space="preserve"> </w:t>
            </w:r>
            <w:r w:rsidRPr="004A4F7E">
              <w:rPr>
                <w:rFonts w:ascii="Arial" w:hAnsi="Arial" w:cs="Arial"/>
                <w:sz w:val="20"/>
                <w:szCs w:val="20"/>
                <w:lang w:val="es-ES_tradnl"/>
              </w:rPr>
              <w:t>2017 modifica párrafos 2 y 3 de la Resolución No. 27-2017 GUA-HON.</w:t>
            </w:r>
          </w:p>
        </w:tc>
        <w:tc>
          <w:tcPr>
            <w:tcW w:w="3240" w:type="dxa"/>
            <w:tcBorders>
              <w:top w:val="single" w:sz="4" w:space="0" w:color="000000"/>
              <w:bottom w:val="single" w:sz="4" w:space="0" w:color="000000"/>
            </w:tcBorders>
            <w:vAlign w:val="center"/>
          </w:tcPr>
          <w:p w14:paraId="78D1B72B" w14:textId="77777777" w:rsidR="009D19D0" w:rsidRPr="004A4F7E" w:rsidRDefault="009D19D0" w:rsidP="00A46329">
            <w:pPr>
              <w:spacing w:after="0" w:line="240" w:lineRule="auto"/>
              <w:ind w:hanging="18"/>
              <w:jc w:val="both"/>
              <w:rPr>
                <w:rFonts w:ascii="Arial" w:hAnsi="Arial" w:cs="Arial"/>
                <w:sz w:val="20"/>
                <w:szCs w:val="20"/>
                <w:lang w:val="es-ES_tradnl"/>
              </w:rPr>
            </w:pPr>
          </w:p>
        </w:tc>
      </w:tr>
      <w:tr w:rsidR="00AC64F2" w:rsidRPr="00AC7FB7" w14:paraId="0652515C" w14:textId="77777777" w:rsidTr="00D316A0">
        <w:trPr>
          <w:trHeight w:val="1475"/>
        </w:trPr>
        <w:tc>
          <w:tcPr>
            <w:tcW w:w="3150" w:type="dxa"/>
            <w:tcBorders>
              <w:top w:val="single" w:sz="4" w:space="0" w:color="000000"/>
              <w:bottom w:val="single" w:sz="4" w:space="0" w:color="000000"/>
            </w:tcBorders>
          </w:tcPr>
          <w:p w14:paraId="0D118040" w14:textId="77777777" w:rsidR="00AC64F2" w:rsidRPr="004A4F7E" w:rsidRDefault="00AC64F2" w:rsidP="00A46329">
            <w:pPr>
              <w:pStyle w:val="ListParagraph"/>
              <w:spacing w:beforeLines="40" w:before="96" w:afterLines="60" w:after="144"/>
              <w:ind w:left="271" w:hanging="271"/>
              <w:jc w:val="both"/>
              <w:rPr>
                <w:rFonts w:ascii="Arial" w:hAnsi="Arial" w:cs="Arial"/>
                <w:sz w:val="20"/>
                <w:szCs w:val="20"/>
              </w:rPr>
            </w:pPr>
          </w:p>
        </w:tc>
        <w:tc>
          <w:tcPr>
            <w:tcW w:w="1350" w:type="dxa"/>
            <w:tcBorders>
              <w:top w:val="single" w:sz="4" w:space="0" w:color="000000"/>
              <w:bottom w:val="single" w:sz="4" w:space="0" w:color="000000"/>
            </w:tcBorders>
            <w:vAlign w:val="center"/>
          </w:tcPr>
          <w:p w14:paraId="7371C46E" w14:textId="0E98F63B" w:rsidR="00AC64F2" w:rsidRPr="004A4F7E" w:rsidRDefault="00AC64F2" w:rsidP="00A46329">
            <w:pPr>
              <w:spacing w:after="0" w:line="240" w:lineRule="auto"/>
              <w:ind w:hanging="18"/>
              <w:jc w:val="center"/>
              <w:rPr>
                <w:rFonts w:ascii="Arial" w:hAnsi="Arial" w:cs="Arial"/>
                <w:sz w:val="20"/>
                <w:szCs w:val="20"/>
                <w:lang w:val="es-ES_tradnl"/>
              </w:rPr>
            </w:pPr>
          </w:p>
        </w:tc>
        <w:tc>
          <w:tcPr>
            <w:tcW w:w="900" w:type="dxa"/>
            <w:tcBorders>
              <w:top w:val="single" w:sz="4" w:space="0" w:color="000000"/>
              <w:bottom w:val="single" w:sz="4" w:space="0" w:color="000000"/>
            </w:tcBorders>
            <w:vAlign w:val="center"/>
          </w:tcPr>
          <w:p w14:paraId="6E899E1A" w14:textId="1D2ADC40" w:rsidR="00AC64F2" w:rsidRPr="004A4F7E" w:rsidRDefault="00AC64F2" w:rsidP="00A46329">
            <w:pPr>
              <w:spacing w:after="0" w:line="240" w:lineRule="auto"/>
              <w:ind w:hanging="18"/>
              <w:jc w:val="center"/>
              <w:rPr>
                <w:rFonts w:ascii="Arial" w:hAnsi="Arial" w:cs="Arial"/>
                <w:sz w:val="20"/>
                <w:szCs w:val="20"/>
                <w:lang w:val="es-ES_tradnl"/>
              </w:rPr>
            </w:pPr>
          </w:p>
        </w:tc>
        <w:tc>
          <w:tcPr>
            <w:tcW w:w="1260" w:type="dxa"/>
            <w:tcBorders>
              <w:top w:val="single" w:sz="4" w:space="0" w:color="000000"/>
              <w:bottom w:val="single" w:sz="4" w:space="0" w:color="000000"/>
            </w:tcBorders>
            <w:vAlign w:val="center"/>
          </w:tcPr>
          <w:p w14:paraId="30834C40" w14:textId="10503A2D" w:rsidR="00AC64F2" w:rsidRPr="004A4F7E" w:rsidRDefault="00AC64F2" w:rsidP="00A46329">
            <w:pPr>
              <w:spacing w:after="0" w:line="240" w:lineRule="auto"/>
              <w:ind w:hanging="18"/>
              <w:jc w:val="center"/>
              <w:rPr>
                <w:rFonts w:ascii="Arial" w:hAnsi="Arial" w:cs="Arial"/>
                <w:sz w:val="20"/>
                <w:szCs w:val="20"/>
                <w:lang w:val="es-ES_tradnl"/>
              </w:rPr>
            </w:pPr>
          </w:p>
        </w:tc>
        <w:tc>
          <w:tcPr>
            <w:tcW w:w="4140" w:type="dxa"/>
            <w:tcBorders>
              <w:top w:val="single" w:sz="4" w:space="0" w:color="000000"/>
              <w:bottom w:val="single" w:sz="4" w:space="0" w:color="000000"/>
            </w:tcBorders>
            <w:vAlign w:val="center"/>
          </w:tcPr>
          <w:p w14:paraId="3810F005" w14:textId="1BD9FA7F" w:rsidR="00AC64F2" w:rsidRPr="004A4F7E" w:rsidRDefault="00AC64F2" w:rsidP="00A46329">
            <w:pPr>
              <w:spacing w:beforeLines="40" w:before="96" w:afterLines="60" w:after="144" w:line="240" w:lineRule="auto"/>
              <w:jc w:val="both"/>
              <w:rPr>
                <w:rFonts w:ascii="Arial" w:hAnsi="Arial" w:cs="Arial"/>
                <w:sz w:val="20"/>
                <w:szCs w:val="20"/>
                <w:lang w:val="es-ES_tradnl"/>
              </w:rPr>
            </w:pPr>
          </w:p>
        </w:tc>
        <w:tc>
          <w:tcPr>
            <w:tcW w:w="3240" w:type="dxa"/>
            <w:tcBorders>
              <w:top w:val="single" w:sz="4" w:space="0" w:color="000000"/>
              <w:bottom w:val="single" w:sz="4" w:space="0" w:color="000000"/>
            </w:tcBorders>
            <w:vAlign w:val="center"/>
          </w:tcPr>
          <w:p w14:paraId="7CD4AF34" w14:textId="77777777" w:rsidR="00AC64F2" w:rsidRPr="004A4F7E" w:rsidRDefault="00AC64F2" w:rsidP="00A46329">
            <w:pPr>
              <w:spacing w:after="0" w:line="240" w:lineRule="auto"/>
              <w:ind w:hanging="18"/>
              <w:jc w:val="both"/>
              <w:rPr>
                <w:rFonts w:ascii="Arial" w:hAnsi="Arial" w:cs="Arial"/>
                <w:sz w:val="20"/>
                <w:szCs w:val="20"/>
                <w:lang w:val="es-ES_tradnl"/>
              </w:rPr>
            </w:pPr>
          </w:p>
        </w:tc>
      </w:tr>
    </w:tbl>
    <w:p w14:paraId="1F07E674" w14:textId="77777777" w:rsidR="00955D6B" w:rsidRPr="004A4F7E" w:rsidRDefault="00955D6B" w:rsidP="002952DD">
      <w:pPr>
        <w:rPr>
          <w:rFonts w:ascii="Arial" w:hAnsi="Arial" w:cs="Arial"/>
          <w:sz w:val="20"/>
          <w:szCs w:val="20"/>
          <w:lang w:val="es-ES_tradnl"/>
        </w:rPr>
      </w:pPr>
    </w:p>
    <w:sectPr w:rsidR="00955D6B" w:rsidRPr="004A4F7E" w:rsidSect="00205AC6">
      <w:headerReference w:type="even" r:id="rId17"/>
      <w:headerReference w:type="default" r:id="rId18"/>
      <w:footnotePr>
        <w:numRestart w:val="eachSect"/>
      </w:footnotePr>
      <w:type w:val="continuous"/>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D6A185" w14:textId="77777777" w:rsidR="00F2588C" w:rsidRDefault="00F2588C" w:rsidP="007B6ECD">
      <w:pPr>
        <w:spacing w:after="0" w:line="240" w:lineRule="auto"/>
      </w:pPr>
      <w:r>
        <w:separator/>
      </w:r>
    </w:p>
  </w:endnote>
  <w:endnote w:type="continuationSeparator" w:id="0">
    <w:p w14:paraId="3F21AE57" w14:textId="77777777" w:rsidR="00F2588C" w:rsidRDefault="00F2588C" w:rsidP="007B6ECD">
      <w:pPr>
        <w:spacing w:after="0" w:line="240" w:lineRule="auto"/>
      </w:pPr>
      <w:r>
        <w:continuationSeparator/>
      </w:r>
    </w:p>
  </w:endnote>
  <w:endnote w:type="continuationNotice" w:id="1">
    <w:p w14:paraId="091F7E9F" w14:textId="77777777" w:rsidR="00F2588C" w:rsidRDefault="00F258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23C1B" w14:textId="77777777" w:rsidR="00F2588C" w:rsidRDefault="00F2588C" w:rsidP="007B6ECD">
      <w:pPr>
        <w:spacing w:after="0" w:line="240" w:lineRule="auto"/>
      </w:pPr>
      <w:r>
        <w:separator/>
      </w:r>
    </w:p>
  </w:footnote>
  <w:footnote w:type="continuationSeparator" w:id="0">
    <w:p w14:paraId="28493C31" w14:textId="77777777" w:rsidR="00F2588C" w:rsidRDefault="00F2588C" w:rsidP="007B6ECD">
      <w:pPr>
        <w:spacing w:after="0" w:line="240" w:lineRule="auto"/>
      </w:pPr>
      <w:r>
        <w:continuationSeparator/>
      </w:r>
    </w:p>
  </w:footnote>
  <w:footnote w:type="continuationNotice" w:id="1">
    <w:p w14:paraId="6254AA62" w14:textId="77777777" w:rsidR="00F2588C" w:rsidRDefault="00F2588C">
      <w:pPr>
        <w:spacing w:after="0" w:line="240" w:lineRule="auto"/>
      </w:pPr>
    </w:p>
  </w:footnote>
  <w:footnote w:id="2">
    <w:p w14:paraId="6B46BFA6" w14:textId="77777777" w:rsidR="00192117" w:rsidRPr="00C26C60" w:rsidRDefault="00192117" w:rsidP="00C26C60">
      <w:pPr>
        <w:spacing w:after="0" w:line="240" w:lineRule="auto"/>
        <w:jc w:val="both"/>
        <w:rPr>
          <w:rFonts w:ascii="Arial" w:hAnsi="Arial" w:cs="Arial"/>
          <w:vanish/>
          <w:sz w:val="16"/>
          <w:szCs w:val="16"/>
        </w:rPr>
      </w:pPr>
    </w:p>
    <w:p w14:paraId="14332577" w14:textId="77777777" w:rsidR="00192117" w:rsidRPr="00C26C60" w:rsidRDefault="00192117" w:rsidP="00C26C60">
      <w:pPr>
        <w:pStyle w:val="FootnoteText"/>
        <w:ind w:left="90" w:hanging="180"/>
        <w:jc w:val="both"/>
        <w:rPr>
          <w:rFonts w:ascii="Arial" w:hAnsi="Arial" w:cs="Arial"/>
          <w:sz w:val="16"/>
          <w:szCs w:val="16"/>
          <w:lang w:val="es-ES_tradnl"/>
        </w:rPr>
      </w:pPr>
      <w:r w:rsidRPr="00C26C60">
        <w:rPr>
          <w:rStyle w:val="FootnoteReference"/>
          <w:rFonts w:ascii="Arial" w:hAnsi="Arial" w:cs="Arial"/>
          <w:sz w:val="16"/>
          <w:szCs w:val="16"/>
        </w:rPr>
        <w:footnoteRef/>
      </w:r>
      <w:r w:rsidRPr="00C26C60">
        <w:rPr>
          <w:rFonts w:ascii="Arial" w:hAnsi="Arial" w:cs="Arial"/>
          <w:sz w:val="16"/>
          <w:szCs w:val="16"/>
          <w:lang w:val="es-ES_tradnl"/>
        </w:rPr>
        <w:t xml:space="preserve"> Se deben eliminar los años correspondientes (columnas), si la operación no tiene metas intermedias de impacto o resultado para ninguno de los indicadores.</w:t>
      </w:r>
    </w:p>
  </w:footnote>
  <w:footnote w:id="3">
    <w:p w14:paraId="0930F7E9" w14:textId="77777777" w:rsidR="00192117" w:rsidRPr="00C26C60" w:rsidRDefault="00192117" w:rsidP="00C26C60">
      <w:pPr>
        <w:pStyle w:val="FootnoteText"/>
        <w:ind w:left="90" w:hanging="180"/>
        <w:jc w:val="both"/>
        <w:rPr>
          <w:rFonts w:ascii="Arial" w:hAnsi="Arial" w:cs="Arial"/>
          <w:sz w:val="16"/>
          <w:szCs w:val="16"/>
          <w:lang w:val="es-ES_tradnl"/>
        </w:rPr>
      </w:pPr>
      <w:r w:rsidRPr="00C26C60">
        <w:rPr>
          <w:rStyle w:val="FootnoteReference"/>
          <w:rFonts w:ascii="Arial" w:hAnsi="Arial" w:cs="Arial"/>
          <w:sz w:val="16"/>
          <w:szCs w:val="16"/>
        </w:rPr>
        <w:footnoteRef/>
      </w:r>
      <w:r w:rsidRPr="00C26C60">
        <w:rPr>
          <w:rFonts w:ascii="Arial" w:hAnsi="Arial" w:cs="Arial"/>
          <w:sz w:val="16"/>
          <w:szCs w:val="16"/>
          <w:lang w:val="es-ES_tradnl"/>
        </w:rPr>
        <w:t xml:space="preserve"> Si el indicador (impacto, resultado y/o producto) cumple con los criterios Pro-Gender, escriba "Pro-Gender" en esta columna. Si el indicador cumple con los criterios de seguimiento de género, escriba "Seguimiento de género" en esta columna. Si el indicador satisface los criterios de Seguimiento Etnicidad, escriba "Seguimiento Étnico" en esta columna. Estas definiciones están disponibles en el </w:t>
      </w:r>
      <w:hyperlink r:id="rId1" w:history="1">
        <w:r w:rsidRPr="00C26C60">
          <w:rPr>
            <w:rStyle w:val="Hyperlink"/>
            <w:rFonts w:ascii="Arial" w:hAnsi="Arial" w:cs="Arial"/>
            <w:sz w:val="16"/>
            <w:szCs w:val="16"/>
            <w:lang w:val="es-ES_tradnl"/>
          </w:rPr>
          <w:t xml:space="preserve"> DEM</w:t>
        </w:r>
      </w:hyperlink>
      <w:r w:rsidRPr="00C26C60">
        <w:rPr>
          <w:rStyle w:val="Hyperlink"/>
          <w:rFonts w:ascii="Arial" w:hAnsi="Arial" w:cs="Arial"/>
          <w:sz w:val="16"/>
          <w:szCs w:val="16"/>
        </w:rPr>
        <w:t xml:space="preserve"> Toolkit</w:t>
      </w:r>
      <w:r w:rsidRPr="00C26C60">
        <w:rPr>
          <w:rStyle w:val="Hyperlink"/>
          <w:rFonts w:ascii="Arial" w:hAnsi="Arial" w:cs="Arial"/>
          <w:sz w:val="16"/>
          <w:szCs w:val="16"/>
          <w:lang w:val="es-ES_tradnl"/>
        </w:rPr>
        <w:t>.</w:t>
      </w:r>
    </w:p>
  </w:footnote>
  <w:footnote w:id="4">
    <w:p w14:paraId="36A36988" w14:textId="4C875BC1" w:rsidR="00C26C60" w:rsidRPr="00C26C60" w:rsidRDefault="00C26C60" w:rsidP="00C26C60">
      <w:pPr>
        <w:pStyle w:val="FootnoteText"/>
        <w:jc w:val="both"/>
        <w:rPr>
          <w:rFonts w:ascii="Arial" w:hAnsi="Arial" w:cs="Arial"/>
          <w:sz w:val="16"/>
          <w:szCs w:val="16"/>
        </w:rPr>
      </w:pPr>
      <w:r w:rsidRPr="00C26C60">
        <w:rPr>
          <w:rStyle w:val="FootnoteReference"/>
          <w:rFonts w:ascii="Arial" w:hAnsi="Arial" w:cs="Arial"/>
          <w:sz w:val="16"/>
          <w:szCs w:val="16"/>
        </w:rPr>
        <w:footnoteRef/>
      </w:r>
      <w:r w:rsidRPr="00C26C60">
        <w:rPr>
          <w:rFonts w:ascii="Arial" w:hAnsi="Arial" w:cs="Arial"/>
          <w:sz w:val="16"/>
          <w:szCs w:val="16"/>
        </w:rPr>
        <w:t xml:space="preserve"> Al LPI del año 2016 (base) se le incorpora el cambio de 0.36 puntos de mejora en la percepción del sector. Este 0.36 corresponde a la mejora agregadas observada en el índice para los años 2010 y 2014 los cuales ha sido los año</w:t>
      </w:r>
      <w:r w:rsidR="00B92FC9">
        <w:rPr>
          <w:rFonts w:ascii="Arial" w:hAnsi="Arial" w:cs="Arial"/>
          <w:sz w:val="16"/>
          <w:szCs w:val="16"/>
        </w:rPr>
        <w:t>s</w:t>
      </w:r>
      <w:r w:rsidRPr="00C26C60">
        <w:rPr>
          <w:rFonts w:ascii="Arial" w:hAnsi="Arial" w:cs="Arial"/>
          <w:sz w:val="16"/>
          <w:szCs w:val="16"/>
        </w:rPr>
        <w:t xml:space="preserve"> observado en el cual Honduras presenta </w:t>
      </w:r>
      <w:r w:rsidR="00B92FC9">
        <w:rPr>
          <w:rFonts w:ascii="Arial" w:hAnsi="Arial" w:cs="Arial"/>
          <w:sz w:val="16"/>
          <w:szCs w:val="16"/>
        </w:rPr>
        <w:t>cambios</w:t>
      </w:r>
      <w:r w:rsidRPr="00C26C60">
        <w:rPr>
          <w:rFonts w:ascii="Arial" w:hAnsi="Arial" w:cs="Arial"/>
          <w:sz w:val="16"/>
          <w:szCs w:val="16"/>
        </w:rPr>
        <w:t xml:space="preserve"> positiv</w:t>
      </w:r>
      <w:r w:rsidR="00B92FC9">
        <w:rPr>
          <w:rFonts w:ascii="Arial" w:hAnsi="Arial" w:cs="Arial"/>
          <w:sz w:val="16"/>
          <w:szCs w:val="16"/>
        </w:rPr>
        <w:t>o</w:t>
      </w:r>
      <w:r w:rsidRPr="00C26C60">
        <w:rPr>
          <w:rFonts w:ascii="Arial" w:hAnsi="Arial" w:cs="Arial"/>
          <w:sz w:val="16"/>
          <w:szCs w:val="16"/>
        </w:rPr>
        <w:t>s en el índice.</w:t>
      </w:r>
    </w:p>
  </w:footnote>
  <w:footnote w:id="5">
    <w:p w14:paraId="36144F9D" w14:textId="14149D35" w:rsidR="005643D5" w:rsidRPr="005643D5" w:rsidRDefault="005643D5" w:rsidP="00F26978">
      <w:pPr>
        <w:pStyle w:val="FootnoteText"/>
        <w:jc w:val="both"/>
      </w:pPr>
      <w:r w:rsidRPr="00901ABD">
        <w:rPr>
          <w:rFonts w:ascii="Arial" w:hAnsi="Arial" w:cs="Arial"/>
          <w:sz w:val="18"/>
          <w:szCs w:val="18"/>
          <w:lang w:val="es-ES_tradnl"/>
        </w:rPr>
        <w:footnoteRef/>
      </w:r>
      <w:r w:rsidRPr="00901ABD">
        <w:rPr>
          <w:rFonts w:ascii="Arial" w:hAnsi="Arial" w:cs="Arial"/>
          <w:sz w:val="18"/>
          <w:szCs w:val="18"/>
          <w:lang w:val="es-ES_tradnl"/>
        </w:rPr>
        <w:t xml:space="preserve"> </w:t>
      </w:r>
      <w:r w:rsidR="00A12A60" w:rsidRPr="00901ABD">
        <w:rPr>
          <w:rFonts w:ascii="Arial" w:hAnsi="Arial" w:cs="Arial"/>
          <w:sz w:val="18"/>
          <w:szCs w:val="18"/>
          <w:lang w:val="es-ES_tradnl"/>
        </w:rPr>
        <w:t xml:space="preserve">Registro de vehículos se </w:t>
      </w:r>
      <w:r w:rsidR="00901ABD" w:rsidRPr="00901ABD">
        <w:rPr>
          <w:rFonts w:ascii="Arial" w:hAnsi="Arial" w:cs="Arial"/>
          <w:sz w:val="18"/>
          <w:szCs w:val="18"/>
          <w:lang w:val="es-ES_tradnl"/>
        </w:rPr>
        <w:t>define como es la inscripción de la titularidad de los vehículos nuevos y usados, así como los documentos relativos a la constitución, transmisión y transferencias de dominio.</w:t>
      </w:r>
      <w:r w:rsidR="00AF19FF">
        <w:rPr>
          <w:rFonts w:ascii="Arial" w:hAnsi="Arial" w:cs="Arial"/>
          <w:sz w:val="18"/>
          <w:szCs w:val="18"/>
          <w:lang w:val="es-ES_tradnl"/>
        </w:rPr>
        <w:t xml:space="preserve"> Definición establecida por el </w:t>
      </w:r>
      <w:r w:rsidR="004773BC">
        <w:rPr>
          <w:rFonts w:ascii="Arial" w:hAnsi="Arial" w:cs="Arial"/>
          <w:sz w:val="18"/>
          <w:szCs w:val="18"/>
          <w:lang w:val="es-ES_tradnl"/>
        </w:rPr>
        <w:t xml:space="preserve">Instituto de la </w:t>
      </w:r>
      <w:r w:rsidR="00551F6A">
        <w:rPr>
          <w:rFonts w:ascii="Arial" w:hAnsi="Arial" w:cs="Arial"/>
          <w:sz w:val="18"/>
          <w:szCs w:val="18"/>
          <w:lang w:val="es-ES_tradnl"/>
        </w:rPr>
        <w:t>Propiedad de Honduras</w:t>
      </w:r>
    </w:p>
  </w:footnote>
  <w:footnote w:id="6">
    <w:p w14:paraId="443EFF45" w14:textId="77777777" w:rsidR="00382092" w:rsidRPr="00D316A0" w:rsidRDefault="00382092" w:rsidP="00F26978">
      <w:pPr>
        <w:pStyle w:val="FootnoteText"/>
        <w:jc w:val="both"/>
      </w:pPr>
      <w:r w:rsidRPr="00D316A0">
        <w:rPr>
          <w:rStyle w:val="FootnoteReference"/>
          <w:rFonts w:ascii="Arial" w:hAnsi="Arial" w:cs="Arial"/>
          <w:sz w:val="18"/>
        </w:rPr>
        <w:footnoteRef/>
      </w:r>
      <w:r w:rsidRPr="00D316A0">
        <w:rPr>
          <w:rFonts w:ascii="Arial" w:hAnsi="Arial" w:cs="Arial"/>
          <w:sz w:val="18"/>
        </w:rPr>
        <w:t xml:space="preserve">Estimación realizada </w:t>
      </w:r>
      <w:r w:rsidR="00F91B25">
        <w:rPr>
          <w:rFonts w:ascii="Arial" w:hAnsi="Arial" w:cs="Arial"/>
          <w:sz w:val="18"/>
        </w:rPr>
        <w:t>a partir de la</w:t>
      </w:r>
      <w:r w:rsidRPr="00D316A0">
        <w:rPr>
          <w:rFonts w:ascii="Arial" w:hAnsi="Arial" w:cs="Arial"/>
          <w:sz w:val="18"/>
        </w:rPr>
        <w:t xml:space="preserve"> contabilizando la cantidad de </w:t>
      </w:r>
      <w:r w:rsidRPr="00D316A0">
        <w:rPr>
          <w:rFonts w:ascii="Arial" w:hAnsi="Arial" w:cs="Arial"/>
          <w:sz w:val="18"/>
          <w:lang w:val="es-ES_tradnl"/>
        </w:rPr>
        <w:t>vehículos registrados bajo vieja modalidad de registro, al momento de la línea base y cuyo certificado se vencerán al 2022 y que por ende entrarán al nuevo sistema de registro de vehículos.</w:t>
      </w:r>
      <w:r w:rsidRPr="00D316A0">
        <w:rPr>
          <w:sz w:val="18"/>
          <w:lang w:val="es-ES_tradnl"/>
        </w:rPr>
        <w:t xml:space="preserve"> </w:t>
      </w:r>
    </w:p>
  </w:footnote>
  <w:footnote w:id="7">
    <w:p w14:paraId="3FD3CD9D" w14:textId="77777777" w:rsidR="00453E54" w:rsidRPr="007F60FD" w:rsidRDefault="00453E54" w:rsidP="002B67A8">
      <w:pPr>
        <w:autoSpaceDE w:val="0"/>
        <w:autoSpaceDN w:val="0"/>
        <w:adjustRightInd w:val="0"/>
        <w:spacing w:after="0" w:line="240" w:lineRule="auto"/>
        <w:rPr>
          <w:rFonts w:ascii="Arial" w:hAnsi="Arial" w:cs="Arial"/>
          <w:color w:val="000000"/>
          <w:sz w:val="20"/>
          <w:szCs w:val="50"/>
          <w:lang w:val="es-ES_tradnl" w:eastAsia="zh-CN"/>
        </w:rPr>
      </w:pPr>
      <w:r w:rsidRPr="00D316A0">
        <w:rPr>
          <w:rStyle w:val="FootnoteReference"/>
          <w:sz w:val="18"/>
          <w:szCs w:val="18"/>
        </w:rPr>
        <w:footnoteRef/>
      </w:r>
      <w:r w:rsidRPr="002B67A8">
        <w:rPr>
          <w:sz w:val="18"/>
          <w:szCs w:val="18"/>
          <w:lang w:val="es-ES_tradnl"/>
        </w:rPr>
        <w:t xml:space="preserve"> </w:t>
      </w:r>
      <w:r w:rsidRPr="007F60FD">
        <w:rPr>
          <w:rFonts w:ascii="Arial" w:hAnsi="Arial" w:cs="Arial"/>
          <w:color w:val="000000"/>
          <w:sz w:val="20"/>
          <w:szCs w:val="50"/>
          <w:lang w:val="es-ES_tradnl" w:eastAsia="zh-CN"/>
        </w:rPr>
        <w:t xml:space="preserve">El análisis de las operaciones aduaneras está destinado a medir el tiempo promedio simple desde que se registran las declaraciones hasta que la aduana libera las mercancías. La fuente de la medición corresponde al </w:t>
      </w:r>
      <w:r w:rsidRPr="007F60FD">
        <w:rPr>
          <w:rFonts w:ascii="Arial" w:hAnsi="Arial" w:cs="Arial"/>
          <w:i/>
          <w:color w:val="000000"/>
          <w:sz w:val="20"/>
          <w:szCs w:val="50"/>
          <w:lang w:val="es-ES_tradnl" w:eastAsia="zh-CN"/>
        </w:rPr>
        <w:t>Análisis de tiempos de despacho para la automatización de procesos en El Amatillo, USAID, 2017.</w:t>
      </w:r>
    </w:p>
    <w:p w14:paraId="3B83C7D1" w14:textId="77777777" w:rsidR="00453E54" w:rsidRPr="00010DBF" w:rsidRDefault="00453E54">
      <w:pPr>
        <w:pStyle w:val="FootnoteText"/>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5FC36" w14:textId="78E1620C" w:rsidR="00242405" w:rsidRPr="00205AC6" w:rsidRDefault="00242405" w:rsidP="00604287">
    <w:pPr>
      <w:pStyle w:val="Header"/>
      <w:spacing w:after="120"/>
      <w:rPr>
        <w:rFonts w:ascii="Arial" w:hAnsi="Arial" w:cs="Arial"/>
        <w:sz w:val="18"/>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40FD1820" w14:textId="1EB90CB5" w:rsidR="002F4E83" w:rsidRPr="00FC5BFE" w:rsidRDefault="002F4E83" w:rsidP="00FC5BFE">
        <w:pPr>
          <w:pStyle w:val="Header"/>
          <w:jc w:val="right"/>
          <w:rPr>
            <w:rFonts w:ascii="Arial" w:hAnsi="Arial" w:cs="Arial"/>
            <w:sz w:val="20"/>
            <w:szCs w:val="20"/>
          </w:rPr>
        </w:pPr>
        <w:r w:rsidRPr="00FC5BFE">
          <w:rPr>
            <w:rFonts w:ascii="Arial" w:hAnsi="Arial" w:cs="Arial"/>
            <w:sz w:val="20"/>
            <w:szCs w:val="20"/>
          </w:rPr>
          <w:t>EER#</w:t>
        </w:r>
        <w:r w:rsidR="00AC7FB7">
          <w:rPr>
            <w:rFonts w:ascii="Arial" w:hAnsi="Arial" w:cs="Arial"/>
            <w:sz w:val="20"/>
            <w:szCs w:val="20"/>
          </w:rPr>
          <w:t>3</w:t>
        </w:r>
        <w:r w:rsidRPr="00FC5BFE">
          <w:rPr>
            <w:rFonts w:ascii="Arial" w:hAnsi="Arial" w:cs="Arial"/>
            <w:sz w:val="20"/>
            <w:szCs w:val="20"/>
          </w:rPr>
          <w:t xml:space="preserve"> – HO-L1198</w:t>
        </w:r>
      </w:p>
      <w:p w14:paraId="48936C73" w14:textId="77777777" w:rsidR="002F4E83" w:rsidRDefault="002F4E83" w:rsidP="00FC5BFE">
        <w:pPr>
          <w:pStyle w:val="Header"/>
          <w:jc w:val="right"/>
        </w:pPr>
        <w:r w:rsidRPr="00FC5BFE">
          <w:rPr>
            <w:rFonts w:ascii="Arial" w:hAnsi="Arial" w:cs="Arial"/>
            <w:sz w:val="20"/>
            <w:szCs w:val="20"/>
          </w:rPr>
          <w:t xml:space="preserve">Página </w:t>
        </w:r>
        <w:r w:rsidRPr="00FC5BFE">
          <w:rPr>
            <w:rFonts w:ascii="Arial" w:hAnsi="Arial" w:cs="Arial"/>
            <w:bCs/>
            <w:sz w:val="20"/>
            <w:szCs w:val="20"/>
          </w:rPr>
          <w:fldChar w:fldCharType="begin"/>
        </w:r>
        <w:r w:rsidRPr="00FC5BFE">
          <w:rPr>
            <w:rFonts w:ascii="Arial" w:hAnsi="Arial" w:cs="Arial"/>
            <w:bCs/>
            <w:sz w:val="20"/>
            <w:szCs w:val="20"/>
          </w:rPr>
          <w:instrText xml:space="preserve"> PAGE </w:instrText>
        </w:r>
        <w:r w:rsidRPr="00FC5BFE">
          <w:rPr>
            <w:rFonts w:ascii="Arial" w:hAnsi="Arial" w:cs="Arial"/>
            <w:bCs/>
            <w:sz w:val="20"/>
            <w:szCs w:val="20"/>
          </w:rPr>
          <w:fldChar w:fldCharType="separate"/>
        </w:r>
        <w:r w:rsidRPr="00FC5BFE">
          <w:rPr>
            <w:rFonts w:ascii="Arial" w:hAnsi="Arial" w:cs="Arial"/>
            <w:bCs/>
            <w:noProof/>
            <w:sz w:val="20"/>
            <w:szCs w:val="20"/>
          </w:rPr>
          <w:t>2</w:t>
        </w:r>
        <w:r w:rsidRPr="00FC5BFE">
          <w:rPr>
            <w:rFonts w:ascii="Arial" w:hAnsi="Arial" w:cs="Arial"/>
            <w:bCs/>
            <w:sz w:val="20"/>
            <w:szCs w:val="20"/>
          </w:rPr>
          <w:fldChar w:fldCharType="end"/>
        </w:r>
        <w:r w:rsidRPr="00FC5BFE">
          <w:rPr>
            <w:rFonts w:ascii="Arial" w:hAnsi="Arial" w:cs="Arial"/>
            <w:sz w:val="20"/>
            <w:szCs w:val="20"/>
          </w:rPr>
          <w:t xml:space="preserve"> de </w:t>
        </w:r>
        <w:r w:rsidRPr="00FC5BFE">
          <w:rPr>
            <w:rFonts w:ascii="Arial" w:hAnsi="Arial" w:cs="Arial"/>
            <w:bCs/>
            <w:sz w:val="20"/>
            <w:szCs w:val="20"/>
          </w:rPr>
          <w:fldChar w:fldCharType="begin"/>
        </w:r>
        <w:r w:rsidRPr="00FC5BFE">
          <w:rPr>
            <w:rFonts w:ascii="Arial" w:hAnsi="Arial" w:cs="Arial"/>
            <w:bCs/>
            <w:sz w:val="20"/>
            <w:szCs w:val="20"/>
          </w:rPr>
          <w:instrText xml:space="preserve"> NUMPAGES  </w:instrText>
        </w:r>
        <w:r w:rsidRPr="00FC5BFE">
          <w:rPr>
            <w:rFonts w:ascii="Arial" w:hAnsi="Arial" w:cs="Arial"/>
            <w:bCs/>
            <w:sz w:val="20"/>
            <w:szCs w:val="20"/>
          </w:rPr>
          <w:fldChar w:fldCharType="separate"/>
        </w:r>
        <w:r w:rsidRPr="00FC5BFE">
          <w:rPr>
            <w:rFonts w:ascii="Arial" w:hAnsi="Arial" w:cs="Arial"/>
            <w:bCs/>
            <w:noProof/>
            <w:sz w:val="20"/>
            <w:szCs w:val="20"/>
          </w:rPr>
          <w:t>2</w:t>
        </w:r>
        <w:r w:rsidRPr="00FC5BFE">
          <w:rPr>
            <w:rFonts w:ascii="Arial" w:hAnsi="Arial" w:cs="Arial"/>
            <w:bCs/>
            <w:sz w:val="20"/>
            <w:szCs w:val="20"/>
          </w:rPr>
          <w:fldChar w:fldCharType="end"/>
        </w:r>
      </w:p>
    </w:sdtContent>
  </w:sdt>
  <w:p w14:paraId="5AB45609" w14:textId="77777777" w:rsidR="00242405" w:rsidRPr="00FC5BFE" w:rsidRDefault="00242405" w:rsidP="00795640">
    <w:pPr>
      <w:pStyle w:val="Header"/>
      <w:spacing w:after="120"/>
      <w:jc w:val="right"/>
      <w:rPr>
        <w:rFonts w:ascii="Arial" w:hAnsi="Arial" w:cs="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C3391"/>
    <w:multiLevelType w:val="hybridMultilevel"/>
    <w:tmpl w:val="D9449F7C"/>
    <w:lvl w:ilvl="0" w:tplc="E516FBD8">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 w15:restartNumberingAfterBreak="0">
    <w:nsid w:val="101827BD"/>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5" w15:restartNumberingAfterBreak="0">
    <w:nsid w:val="234832F7"/>
    <w:multiLevelType w:val="hybridMultilevel"/>
    <w:tmpl w:val="DE001ED0"/>
    <w:lvl w:ilvl="0" w:tplc="8DD2164C">
      <w:start w:val="1"/>
      <w:numFmt w:val="decimal"/>
      <w:lvlText w:val="4.%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257C5026"/>
    <w:multiLevelType w:val="hybridMultilevel"/>
    <w:tmpl w:val="292CD8D0"/>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B1E64C7"/>
    <w:multiLevelType w:val="hybridMultilevel"/>
    <w:tmpl w:val="003686FE"/>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F4769D2"/>
    <w:multiLevelType w:val="hybridMultilevel"/>
    <w:tmpl w:val="F716D126"/>
    <w:lvl w:ilvl="0" w:tplc="14820AB0">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9" w15:restartNumberingAfterBreak="0">
    <w:nsid w:val="30BE168C"/>
    <w:multiLevelType w:val="hybridMultilevel"/>
    <w:tmpl w:val="64C8B162"/>
    <w:lvl w:ilvl="0" w:tplc="F87EACA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9B4991"/>
    <w:multiLevelType w:val="multilevel"/>
    <w:tmpl w:val="F7528CC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59D0BFA"/>
    <w:multiLevelType w:val="hybridMultilevel"/>
    <w:tmpl w:val="3902676C"/>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5B47BB0"/>
    <w:multiLevelType w:val="hybridMultilevel"/>
    <w:tmpl w:val="5D76D126"/>
    <w:lvl w:ilvl="0" w:tplc="971CA4DE">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C83BE0"/>
    <w:multiLevelType w:val="hybridMultilevel"/>
    <w:tmpl w:val="5F0E36AE"/>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E057377"/>
    <w:multiLevelType w:val="hybridMultilevel"/>
    <w:tmpl w:val="D20CA58A"/>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F6D7BA3"/>
    <w:multiLevelType w:val="hybridMultilevel"/>
    <w:tmpl w:val="D986A192"/>
    <w:lvl w:ilvl="0" w:tplc="3DFEB0AC">
      <w:start w:val="1"/>
      <w:numFmt w:val="lowerRoman"/>
      <w:lvlText w:val="(%1)"/>
      <w:lvlJc w:val="left"/>
      <w:pPr>
        <w:ind w:left="770" w:hanging="360"/>
      </w:pPr>
      <w:rPr>
        <w:rFonts w:hint="default"/>
      </w:rPr>
    </w:lvl>
    <w:lvl w:ilvl="1" w:tplc="240A0019" w:tentative="1">
      <w:start w:val="1"/>
      <w:numFmt w:val="lowerLetter"/>
      <w:lvlText w:val="%2."/>
      <w:lvlJc w:val="left"/>
      <w:pPr>
        <w:ind w:left="1490" w:hanging="360"/>
      </w:pPr>
    </w:lvl>
    <w:lvl w:ilvl="2" w:tplc="240A001B" w:tentative="1">
      <w:start w:val="1"/>
      <w:numFmt w:val="lowerRoman"/>
      <w:lvlText w:val="%3."/>
      <w:lvlJc w:val="right"/>
      <w:pPr>
        <w:ind w:left="2210" w:hanging="180"/>
      </w:pPr>
    </w:lvl>
    <w:lvl w:ilvl="3" w:tplc="240A000F" w:tentative="1">
      <w:start w:val="1"/>
      <w:numFmt w:val="decimal"/>
      <w:lvlText w:val="%4."/>
      <w:lvlJc w:val="left"/>
      <w:pPr>
        <w:ind w:left="2930" w:hanging="360"/>
      </w:pPr>
    </w:lvl>
    <w:lvl w:ilvl="4" w:tplc="240A0019" w:tentative="1">
      <w:start w:val="1"/>
      <w:numFmt w:val="lowerLetter"/>
      <w:lvlText w:val="%5."/>
      <w:lvlJc w:val="left"/>
      <w:pPr>
        <w:ind w:left="3650" w:hanging="360"/>
      </w:pPr>
    </w:lvl>
    <w:lvl w:ilvl="5" w:tplc="240A001B" w:tentative="1">
      <w:start w:val="1"/>
      <w:numFmt w:val="lowerRoman"/>
      <w:lvlText w:val="%6."/>
      <w:lvlJc w:val="right"/>
      <w:pPr>
        <w:ind w:left="4370" w:hanging="180"/>
      </w:pPr>
    </w:lvl>
    <w:lvl w:ilvl="6" w:tplc="240A000F" w:tentative="1">
      <w:start w:val="1"/>
      <w:numFmt w:val="decimal"/>
      <w:lvlText w:val="%7."/>
      <w:lvlJc w:val="left"/>
      <w:pPr>
        <w:ind w:left="5090" w:hanging="360"/>
      </w:pPr>
    </w:lvl>
    <w:lvl w:ilvl="7" w:tplc="240A0019" w:tentative="1">
      <w:start w:val="1"/>
      <w:numFmt w:val="lowerLetter"/>
      <w:lvlText w:val="%8."/>
      <w:lvlJc w:val="left"/>
      <w:pPr>
        <w:ind w:left="5810" w:hanging="360"/>
      </w:pPr>
    </w:lvl>
    <w:lvl w:ilvl="8" w:tplc="240A001B" w:tentative="1">
      <w:start w:val="1"/>
      <w:numFmt w:val="lowerRoman"/>
      <w:lvlText w:val="%9."/>
      <w:lvlJc w:val="right"/>
      <w:pPr>
        <w:ind w:left="6530" w:hanging="180"/>
      </w:pPr>
    </w:lvl>
  </w:abstractNum>
  <w:abstractNum w:abstractNumId="16"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7" w15:restartNumberingAfterBreak="0">
    <w:nsid w:val="47B36F6A"/>
    <w:multiLevelType w:val="hybridMultilevel"/>
    <w:tmpl w:val="0B4A91EA"/>
    <w:lvl w:ilvl="0" w:tplc="08CCBB80">
      <w:start w:val="1"/>
      <w:numFmt w:val="lowerRoman"/>
      <w:lvlText w:val="(%1)"/>
      <w:lvlJc w:val="left"/>
      <w:pPr>
        <w:ind w:left="-168" w:hanging="360"/>
      </w:pPr>
      <w:rPr>
        <w:rFonts w:ascii="Arial" w:eastAsiaTheme="minorEastAsia" w:hAnsi="Arial" w:cs="Arial" w:hint="default"/>
        <w:b w:val="0"/>
      </w:rPr>
    </w:lvl>
    <w:lvl w:ilvl="1" w:tplc="040C0003" w:tentative="1">
      <w:start w:val="1"/>
      <w:numFmt w:val="bullet"/>
      <w:lvlText w:val="o"/>
      <w:lvlJc w:val="left"/>
      <w:pPr>
        <w:ind w:left="328" w:hanging="360"/>
      </w:pPr>
      <w:rPr>
        <w:rFonts w:ascii="Courier New" w:hAnsi="Courier New" w:hint="default"/>
      </w:rPr>
    </w:lvl>
    <w:lvl w:ilvl="2" w:tplc="040C0005" w:tentative="1">
      <w:start w:val="1"/>
      <w:numFmt w:val="bullet"/>
      <w:lvlText w:val=""/>
      <w:lvlJc w:val="left"/>
      <w:pPr>
        <w:ind w:left="1048" w:hanging="360"/>
      </w:pPr>
      <w:rPr>
        <w:rFonts w:ascii="Wingdings" w:hAnsi="Wingdings" w:hint="default"/>
      </w:rPr>
    </w:lvl>
    <w:lvl w:ilvl="3" w:tplc="040C0001" w:tentative="1">
      <w:start w:val="1"/>
      <w:numFmt w:val="bullet"/>
      <w:lvlText w:val=""/>
      <w:lvlJc w:val="left"/>
      <w:pPr>
        <w:ind w:left="1768" w:hanging="360"/>
      </w:pPr>
      <w:rPr>
        <w:rFonts w:ascii="Symbol" w:hAnsi="Symbol" w:hint="default"/>
      </w:rPr>
    </w:lvl>
    <w:lvl w:ilvl="4" w:tplc="040C0003" w:tentative="1">
      <w:start w:val="1"/>
      <w:numFmt w:val="bullet"/>
      <w:lvlText w:val="o"/>
      <w:lvlJc w:val="left"/>
      <w:pPr>
        <w:ind w:left="2488" w:hanging="360"/>
      </w:pPr>
      <w:rPr>
        <w:rFonts w:ascii="Courier New" w:hAnsi="Courier New" w:hint="default"/>
      </w:rPr>
    </w:lvl>
    <w:lvl w:ilvl="5" w:tplc="040C0005" w:tentative="1">
      <w:start w:val="1"/>
      <w:numFmt w:val="bullet"/>
      <w:lvlText w:val=""/>
      <w:lvlJc w:val="left"/>
      <w:pPr>
        <w:ind w:left="3208" w:hanging="360"/>
      </w:pPr>
      <w:rPr>
        <w:rFonts w:ascii="Wingdings" w:hAnsi="Wingdings" w:hint="default"/>
      </w:rPr>
    </w:lvl>
    <w:lvl w:ilvl="6" w:tplc="040C0001" w:tentative="1">
      <w:start w:val="1"/>
      <w:numFmt w:val="bullet"/>
      <w:lvlText w:val=""/>
      <w:lvlJc w:val="left"/>
      <w:pPr>
        <w:ind w:left="3928" w:hanging="360"/>
      </w:pPr>
      <w:rPr>
        <w:rFonts w:ascii="Symbol" w:hAnsi="Symbol" w:hint="default"/>
      </w:rPr>
    </w:lvl>
    <w:lvl w:ilvl="7" w:tplc="040C0003" w:tentative="1">
      <w:start w:val="1"/>
      <w:numFmt w:val="bullet"/>
      <w:lvlText w:val="o"/>
      <w:lvlJc w:val="left"/>
      <w:pPr>
        <w:ind w:left="4648" w:hanging="360"/>
      </w:pPr>
      <w:rPr>
        <w:rFonts w:ascii="Courier New" w:hAnsi="Courier New" w:hint="default"/>
      </w:rPr>
    </w:lvl>
    <w:lvl w:ilvl="8" w:tplc="040C0005" w:tentative="1">
      <w:start w:val="1"/>
      <w:numFmt w:val="bullet"/>
      <w:lvlText w:val=""/>
      <w:lvlJc w:val="left"/>
      <w:pPr>
        <w:ind w:left="5368" w:hanging="360"/>
      </w:pPr>
      <w:rPr>
        <w:rFonts w:ascii="Wingdings" w:hAnsi="Wingdings" w:hint="default"/>
      </w:rPr>
    </w:lvl>
  </w:abstractNum>
  <w:abstractNum w:abstractNumId="18" w15:restartNumberingAfterBreak="0">
    <w:nsid w:val="4A211CDD"/>
    <w:multiLevelType w:val="multilevel"/>
    <w:tmpl w:val="DDA458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E8C112C"/>
    <w:multiLevelType w:val="hybridMultilevel"/>
    <w:tmpl w:val="CD526A42"/>
    <w:lvl w:ilvl="0" w:tplc="C9008404">
      <w:start w:val="1"/>
      <w:numFmt w:val="decimal"/>
      <w:lvlText w:val="2.1%1"/>
      <w:lvlJc w:val="left"/>
      <w:pPr>
        <w:ind w:left="360" w:hanging="360"/>
      </w:pPr>
      <w:rPr>
        <w:rFonts w:hint="default"/>
        <w:b w:val="0"/>
        <w:sz w:val="18"/>
        <w:szCs w:val="18"/>
      </w:rPr>
    </w:lvl>
    <w:lvl w:ilvl="1" w:tplc="DF765596">
      <w:start w:val="1"/>
      <w:numFmt w:val="lowerRoman"/>
      <w:lvlText w:val="(%2)"/>
      <w:lvlJc w:val="left"/>
      <w:pPr>
        <w:ind w:left="1440" w:hanging="360"/>
      </w:pPr>
      <w:rPr>
        <w:rFonts w:ascii="Arial" w:eastAsiaTheme="minorEastAsia" w:hAnsi="Arial" w:cs="Arial"/>
        <w:b w:val="0"/>
        <w:i w:val="0"/>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2" w15:restartNumberingAfterBreak="0">
    <w:nsid w:val="569905A8"/>
    <w:multiLevelType w:val="multilevel"/>
    <w:tmpl w:val="CBDC48A0"/>
    <w:lvl w:ilvl="0">
      <w:start w:val="1"/>
      <w:numFmt w:val="upperRoman"/>
      <w:lvlRestart w:val="0"/>
      <w:lvlText w:val="%1."/>
      <w:lvlJc w:val="center"/>
      <w:pPr>
        <w:tabs>
          <w:tab w:val="num" w:pos="1800"/>
        </w:tabs>
        <w:ind w:left="1152" w:firstLine="288"/>
      </w:pPr>
      <w:rPr>
        <w:rFonts w:ascii="Times New Roman" w:eastAsia="Times New Roman" w:hAnsi="Times New Roman" w:cs="Times New Roman" w:hint="default"/>
        <w:b/>
        <w:i w:val="0"/>
        <w:sz w:val="24"/>
        <w:szCs w:val="24"/>
      </w:rPr>
    </w:lvl>
    <w:lvl w:ilvl="1">
      <w:start w:val="1"/>
      <w:numFmt w:val="decimal"/>
      <w:isLgl/>
      <w:lvlText w:val="%1.%2"/>
      <w:lvlJc w:val="left"/>
      <w:pPr>
        <w:tabs>
          <w:tab w:val="num" w:pos="1386"/>
        </w:tabs>
        <w:ind w:left="1386" w:hanging="1296"/>
      </w:pPr>
      <w:rPr>
        <w:rFonts w:ascii="Arial" w:hAnsi="Arial" w:cs="Arial" w:hint="default"/>
        <w:b w:val="0"/>
        <w:i w:val="0"/>
        <w:color w:val="auto"/>
        <w:sz w:val="22"/>
        <w:szCs w:val="22"/>
      </w:rPr>
    </w:lvl>
    <w:lvl w:ilvl="2">
      <w:start w:val="1"/>
      <w:numFmt w:val="decimal"/>
      <w:lvlText w:val="2.%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none"/>
      <w:lvlText w:val=""/>
      <w:lvlJc w:val="left"/>
      <w:pPr>
        <w:tabs>
          <w:tab w:val="num" w:pos="4392"/>
        </w:tabs>
        <w:ind w:left="4032" w:firstLine="0"/>
      </w:pPr>
      <w:rPr>
        <w:rFonts w:hint="default"/>
      </w:rPr>
    </w:lvl>
    <w:lvl w:ilvl="5">
      <w:start w:val="1"/>
      <w:numFmt w:val="none"/>
      <w:lvlText w:val=""/>
      <w:lvlJc w:val="left"/>
      <w:pPr>
        <w:tabs>
          <w:tab w:val="num" w:pos="5112"/>
        </w:tabs>
        <w:ind w:left="4752" w:firstLine="0"/>
      </w:pPr>
      <w:rPr>
        <w:rFonts w:hint="default"/>
      </w:rPr>
    </w:lvl>
    <w:lvl w:ilvl="6">
      <w:start w:val="1"/>
      <w:numFmt w:val="none"/>
      <w:lvlText w:val=""/>
      <w:lvlJc w:val="left"/>
      <w:pPr>
        <w:tabs>
          <w:tab w:val="num" w:pos="5832"/>
        </w:tabs>
        <w:ind w:left="5472" w:firstLine="0"/>
      </w:pPr>
      <w:rPr>
        <w:rFonts w:hint="default"/>
      </w:rPr>
    </w:lvl>
    <w:lvl w:ilvl="7">
      <w:start w:val="1"/>
      <w:numFmt w:val="none"/>
      <w:lvlText w:val=""/>
      <w:lvlJc w:val="left"/>
      <w:pPr>
        <w:tabs>
          <w:tab w:val="num" w:pos="6552"/>
        </w:tabs>
        <w:ind w:left="6192" w:firstLine="0"/>
      </w:pPr>
      <w:rPr>
        <w:rFonts w:hint="default"/>
      </w:rPr>
    </w:lvl>
    <w:lvl w:ilvl="8">
      <w:start w:val="1"/>
      <w:numFmt w:val="none"/>
      <w:lvlText w:val=""/>
      <w:lvlJc w:val="left"/>
      <w:pPr>
        <w:tabs>
          <w:tab w:val="num" w:pos="7272"/>
        </w:tabs>
        <w:ind w:left="6912" w:firstLine="0"/>
      </w:pPr>
      <w:rPr>
        <w:rFonts w:hint="default"/>
      </w:rPr>
    </w:lvl>
  </w:abstractNum>
  <w:abstractNum w:abstractNumId="23" w15:restartNumberingAfterBreak="0">
    <w:nsid w:val="621E6447"/>
    <w:multiLevelType w:val="hybridMultilevel"/>
    <w:tmpl w:val="1F8A4D32"/>
    <w:lvl w:ilvl="0" w:tplc="B616F630">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25" w15:restartNumberingAfterBreak="0">
    <w:nsid w:val="6AA16422"/>
    <w:multiLevelType w:val="hybridMultilevel"/>
    <w:tmpl w:val="5AF6F62A"/>
    <w:lvl w:ilvl="0" w:tplc="D9E817B8">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6" w15:restartNumberingAfterBreak="0">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6"/>
  </w:num>
  <w:num w:numId="2">
    <w:abstractNumId w:val="3"/>
  </w:num>
  <w:num w:numId="3">
    <w:abstractNumId w:val="9"/>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2"/>
  </w:num>
  <w:num w:numId="12">
    <w:abstractNumId w:val="1"/>
  </w:num>
  <w:num w:numId="13">
    <w:abstractNumId w:val="26"/>
  </w:num>
  <w:num w:numId="14">
    <w:abstractNumId w:val="20"/>
  </w:num>
  <w:num w:numId="15">
    <w:abstractNumId w:val="24"/>
    <w:lvlOverride w:ilvl="0">
      <w:startOverride w:val="1"/>
    </w:lvlOverride>
    <w:lvlOverride w:ilvl="1"/>
    <w:lvlOverride w:ilvl="2"/>
    <w:lvlOverride w:ilvl="3"/>
    <w:lvlOverride w:ilvl="4"/>
    <w:lvlOverride w:ilvl="5"/>
    <w:lvlOverride w:ilvl="6"/>
    <w:lvlOverride w:ilvl="7"/>
    <w:lvlOverride w:ilvl="8"/>
  </w:num>
  <w:num w:numId="16">
    <w:abstractNumId w:val="21"/>
  </w:num>
  <w:num w:numId="17">
    <w:abstractNumId w:val="25"/>
  </w:num>
  <w:num w:numId="18">
    <w:abstractNumId w:val="22"/>
  </w:num>
  <w:num w:numId="19">
    <w:abstractNumId w:val="11"/>
  </w:num>
  <w:num w:numId="20">
    <w:abstractNumId w:val="23"/>
  </w:num>
  <w:num w:numId="21">
    <w:abstractNumId w:val="13"/>
  </w:num>
  <w:num w:numId="22">
    <w:abstractNumId w:val="14"/>
  </w:num>
  <w:num w:numId="23">
    <w:abstractNumId w:val="6"/>
  </w:num>
  <w:num w:numId="24">
    <w:abstractNumId w:val="17"/>
  </w:num>
  <w:num w:numId="25">
    <w:abstractNumId w:val="19"/>
  </w:num>
  <w:num w:numId="26">
    <w:abstractNumId w:val="15"/>
  </w:num>
  <w:num w:numId="27">
    <w:abstractNumId w:val="7"/>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evenAndOddHeaders/>
  <w:drawingGridHorizontalSpacing w:val="110"/>
  <w:displayHorizontalDrawingGridEvery w:val="2"/>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C59"/>
    <w:rsid w:val="00000A82"/>
    <w:rsid w:val="00002FBE"/>
    <w:rsid w:val="00005605"/>
    <w:rsid w:val="000066DB"/>
    <w:rsid w:val="00007303"/>
    <w:rsid w:val="00010DBF"/>
    <w:rsid w:val="00016F82"/>
    <w:rsid w:val="0002055E"/>
    <w:rsid w:val="0002076F"/>
    <w:rsid w:val="00022A27"/>
    <w:rsid w:val="00023330"/>
    <w:rsid w:val="00023C48"/>
    <w:rsid w:val="0002526D"/>
    <w:rsid w:val="00025304"/>
    <w:rsid w:val="00026183"/>
    <w:rsid w:val="000270A2"/>
    <w:rsid w:val="000326A5"/>
    <w:rsid w:val="00035ED9"/>
    <w:rsid w:val="000426A8"/>
    <w:rsid w:val="00042BE0"/>
    <w:rsid w:val="0004302D"/>
    <w:rsid w:val="00045C85"/>
    <w:rsid w:val="00046213"/>
    <w:rsid w:val="00046815"/>
    <w:rsid w:val="00051DF2"/>
    <w:rsid w:val="00056F4C"/>
    <w:rsid w:val="00060AE9"/>
    <w:rsid w:val="0006189B"/>
    <w:rsid w:val="000660DE"/>
    <w:rsid w:val="0006792B"/>
    <w:rsid w:val="000701B1"/>
    <w:rsid w:val="000751B3"/>
    <w:rsid w:val="00080701"/>
    <w:rsid w:val="00080A33"/>
    <w:rsid w:val="0009250F"/>
    <w:rsid w:val="000964C0"/>
    <w:rsid w:val="00097998"/>
    <w:rsid w:val="000A2132"/>
    <w:rsid w:val="000A3226"/>
    <w:rsid w:val="000A3C2C"/>
    <w:rsid w:val="000A55DE"/>
    <w:rsid w:val="000B219E"/>
    <w:rsid w:val="000B23E8"/>
    <w:rsid w:val="000B254C"/>
    <w:rsid w:val="000B4FB5"/>
    <w:rsid w:val="000B7EC5"/>
    <w:rsid w:val="000B7EE6"/>
    <w:rsid w:val="000C0515"/>
    <w:rsid w:val="000C0D70"/>
    <w:rsid w:val="000C128D"/>
    <w:rsid w:val="000D4B11"/>
    <w:rsid w:val="000E333F"/>
    <w:rsid w:val="000E5438"/>
    <w:rsid w:val="000E6016"/>
    <w:rsid w:val="000F26DB"/>
    <w:rsid w:val="000F44DF"/>
    <w:rsid w:val="000F5D84"/>
    <w:rsid w:val="00100D46"/>
    <w:rsid w:val="00103C03"/>
    <w:rsid w:val="0010464B"/>
    <w:rsid w:val="00106374"/>
    <w:rsid w:val="00110E29"/>
    <w:rsid w:val="00111FF8"/>
    <w:rsid w:val="001139F5"/>
    <w:rsid w:val="00113B4A"/>
    <w:rsid w:val="0011501A"/>
    <w:rsid w:val="00115379"/>
    <w:rsid w:val="001153A2"/>
    <w:rsid w:val="00117A23"/>
    <w:rsid w:val="00121C5B"/>
    <w:rsid w:val="0012516F"/>
    <w:rsid w:val="001264CF"/>
    <w:rsid w:val="00127CA3"/>
    <w:rsid w:val="00133489"/>
    <w:rsid w:val="00134095"/>
    <w:rsid w:val="00135F64"/>
    <w:rsid w:val="0014088A"/>
    <w:rsid w:val="00143BD3"/>
    <w:rsid w:val="00143CAC"/>
    <w:rsid w:val="00150D0B"/>
    <w:rsid w:val="001516C4"/>
    <w:rsid w:val="001539B9"/>
    <w:rsid w:val="0015401A"/>
    <w:rsid w:val="00154E58"/>
    <w:rsid w:val="001556EC"/>
    <w:rsid w:val="00157283"/>
    <w:rsid w:val="00163C04"/>
    <w:rsid w:val="0016756A"/>
    <w:rsid w:val="00167DD5"/>
    <w:rsid w:val="00171EAE"/>
    <w:rsid w:val="00175010"/>
    <w:rsid w:val="00175A07"/>
    <w:rsid w:val="00177249"/>
    <w:rsid w:val="00180BFF"/>
    <w:rsid w:val="0018147E"/>
    <w:rsid w:val="00184F20"/>
    <w:rsid w:val="00185F7B"/>
    <w:rsid w:val="00186711"/>
    <w:rsid w:val="0019073D"/>
    <w:rsid w:val="00191A42"/>
    <w:rsid w:val="00192117"/>
    <w:rsid w:val="00192135"/>
    <w:rsid w:val="001939CB"/>
    <w:rsid w:val="00193EFB"/>
    <w:rsid w:val="001941A1"/>
    <w:rsid w:val="00195981"/>
    <w:rsid w:val="00196DF5"/>
    <w:rsid w:val="001A1F0D"/>
    <w:rsid w:val="001A4F42"/>
    <w:rsid w:val="001A625A"/>
    <w:rsid w:val="001A78B7"/>
    <w:rsid w:val="001B114E"/>
    <w:rsid w:val="001B4109"/>
    <w:rsid w:val="001B4470"/>
    <w:rsid w:val="001B46BF"/>
    <w:rsid w:val="001B53CA"/>
    <w:rsid w:val="001B59EF"/>
    <w:rsid w:val="001B6723"/>
    <w:rsid w:val="001C148F"/>
    <w:rsid w:val="001C231B"/>
    <w:rsid w:val="001C2C33"/>
    <w:rsid w:val="001C5498"/>
    <w:rsid w:val="001C6460"/>
    <w:rsid w:val="001C7AA9"/>
    <w:rsid w:val="001C7B29"/>
    <w:rsid w:val="001D1B01"/>
    <w:rsid w:val="001D542B"/>
    <w:rsid w:val="001D5AD8"/>
    <w:rsid w:val="001E0C89"/>
    <w:rsid w:val="001E37F7"/>
    <w:rsid w:val="001E4B96"/>
    <w:rsid w:val="001E55F3"/>
    <w:rsid w:val="001E562E"/>
    <w:rsid w:val="001F5546"/>
    <w:rsid w:val="00200BB7"/>
    <w:rsid w:val="002010E1"/>
    <w:rsid w:val="002047F5"/>
    <w:rsid w:val="00205AC6"/>
    <w:rsid w:val="00205C50"/>
    <w:rsid w:val="00210275"/>
    <w:rsid w:val="00211716"/>
    <w:rsid w:val="0021583D"/>
    <w:rsid w:val="0021603D"/>
    <w:rsid w:val="0022009F"/>
    <w:rsid w:val="00220BBE"/>
    <w:rsid w:val="0022128F"/>
    <w:rsid w:val="00221E06"/>
    <w:rsid w:val="00223D02"/>
    <w:rsid w:val="0022498F"/>
    <w:rsid w:val="0022614F"/>
    <w:rsid w:val="0023014F"/>
    <w:rsid w:val="002319D9"/>
    <w:rsid w:val="00233600"/>
    <w:rsid w:val="00233A74"/>
    <w:rsid w:val="00236F51"/>
    <w:rsid w:val="00237E31"/>
    <w:rsid w:val="00240682"/>
    <w:rsid w:val="00242405"/>
    <w:rsid w:val="00244822"/>
    <w:rsid w:val="00251F1E"/>
    <w:rsid w:val="002603B8"/>
    <w:rsid w:val="00261B13"/>
    <w:rsid w:val="00263299"/>
    <w:rsid w:val="00266AB5"/>
    <w:rsid w:val="00266F4D"/>
    <w:rsid w:val="00270FED"/>
    <w:rsid w:val="0027411D"/>
    <w:rsid w:val="00276982"/>
    <w:rsid w:val="002805D5"/>
    <w:rsid w:val="002823DE"/>
    <w:rsid w:val="00283DD8"/>
    <w:rsid w:val="00284C6E"/>
    <w:rsid w:val="00284E26"/>
    <w:rsid w:val="00285D55"/>
    <w:rsid w:val="00286242"/>
    <w:rsid w:val="00286DFE"/>
    <w:rsid w:val="00287836"/>
    <w:rsid w:val="00291086"/>
    <w:rsid w:val="00292862"/>
    <w:rsid w:val="002952DD"/>
    <w:rsid w:val="002A2752"/>
    <w:rsid w:val="002A460D"/>
    <w:rsid w:val="002A4D3B"/>
    <w:rsid w:val="002B06E0"/>
    <w:rsid w:val="002B3707"/>
    <w:rsid w:val="002B5CA4"/>
    <w:rsid w:val="002B67A8"/>
    <w:rsid w:val="002B6A6F"/>
    <w:rsid w:val="002C3AA9"/>
    <w:rsid w:val="002C4790"/>
    <w:rsid w:val="002C5292"/>
    <w:rsid w:val="002C6ADB"/>
    <w:rsid w:val="002C7D1C"/>
    <w:rsid w:val="002D154A"/>
    <w:rsid w:val="002D1CF6"/>
    <w:rsid w:val="002D3016"/>
    <w:rsid w:val="002D75B7"/>
    <w:rsid w:val="002E12B2"/>
    <w:rsid w:val="002E5BD0"/>
    <w:rsid w:val="002E60DE"/>
    <w:rsid w:val="002E7890"/>
    <w:rsid w:val="002E7C35"/>
    <w:rsid w:val="002F08D6"/>
    <w:rsid w:val="002F1991"/>
    <w:rsid w:val="002F1F5B"/>
    <w:rsid w:val="002F2F27"/>
    <w:rsid w:val="002F481B"/>
    <w:rsid w:val="002F4E83"/>
    <w:rsid w:val="002F5FD4"/>
    <w:rsid w:val="002F6774"/>
    <w:rsid w:val="002F6A68"/>
    <w:rsid w:val="002F6F4C"/>
    <w:rsid w:val="00300472"/>
    <w:rsid w:val="00300C59"/>
    <w:rsid w:val="00302181"/>
    <w:rsid w:val="003057A5"/>
    <w:rsid w:val="00306655"/>
    <w:rsid w:val="00306AC0"/>
    <w:rsid w:val="00306D38"/>
    <w:rsid w:val="003158DF"/>
    <w:rsid w:val="00316598"/>
    <w:rsid w:val="003225C8"/>
    <w:rsid w:val="00326973"/>
    <w:rsid w:val="00333F6D"/>
    <w:rsid w:val="00341482"/>
    <w:rsid w:val="00341A7E"/>
    <w:rsid w:val="00342FBE"/>
    <w:rsid w:val="00344380"/>
    <w:rsid w:val="00344AA9"/>
    <w:rsid w:val="00347930"/>
    <w:rsid w:val="00347BBC"/>
    <w:rsid w:val="0035133B"/>
    <w:rsid w:val="0035308E"/>
    <w:rsid w:val="00354689"/>
    <w:rsid w:val="00354D7A"/>
    <w:rsid w:val="00355CDE"/>
    <w:rsid w:val="00360A4E"/>
    <w:rsid w:val="00361DF3"/>
    <w:rsid w:val="0037043C"/>
    <w:rsid w:val="0037084E"/>
    <w:rsid w:val="00372642"/>
    <w:rsid w:val="00373A4F"/>
    <w:rsid w:val="00374D90"/>
    <w:rsid w:val="00375F0F"/>
    <w:rsid w:val="00382092"/>
    <w:rsid w:val="00382B6D"/>
    <w:rsid w:val="00387E97"/>
    <w:rsid w:val="003901F3"/>
    <w:rsid w:val="003920ED"/>
    <w:rsid w:val="00392FDE"/>
    <w:rsid w:val="00395036"/>
    <w:rsid w:val="003A1F08"/>
    <w:rsid w:val="003A2482"/>
    <w:rsid w:val="003A273B"/>
    <w:rsid w:val="003A2ABD"/>
    <w:rsid w:val="003A4CEB"/>
    <w:rsid w:val="003B4026"/>
    <w:rsid w:val="003B6A72"/>
    <w:rsid w:val="003C12EB"/>
    <w:rsid w:val="003C1A3C"/>
    <w:rsid w:val="003C537C"/>
    <w:rsid w:val="003C652B"/>
    <w:rsid w:val="003C70EB"/>
    <w:rsid w:val="003C725D"/>
    <w:rsid w:val="003D1307"/>
    <w:rsid w:val="003D339A"/>
    <w:rsid w:val="003D3ACC"/>
    <w:rsid w:val="003D4B6F"/>
    <w:rsid w:val="003D5B36"/>
    <w:rsid w:val="003D6869"/>
    <w:rsid w:val="003E258D"/>
    <w:rsid w:val="003E33B3"/>
    <w:rsid w:val="003E4BDC"/>
    <w:rsid w:val="003E7308"/>
    <w:rsid w:val="003F58AE"/>
    <w:rsid w:val="004002FD"/>
    <w:rsid w:val="00401933"/>
    <w:rsid w:val="00401ADF"/>
    <w:rsid w:val="00404238"/>
    <w:rsid w:val="004051F3"/>
    <w:rsid w:val="004058FE"/>
    <w:rsid w:val="0040752D"/>
    <w:rsid w:val="00407CDD"/>
    <w:rsid w:val="00407E88"/>
    <w:rsid w:val="004139B5"/>
    <w:rsid w:val="00421FE8"/>
    <w:rsid w:val="00422543"/>
    <w:rsid w:val="004252EA"/>
    <w:rsid w:val="00432037"/>
    <w:rsid w:val="004321D9"/>
    <w:rsid w:val="00433EE9"/>
    <w:rsid w:val="00434F7D"/>
    <w:rsid w:val="00436304"/>
    <w:rsid w:val="00436377"/>
    <w:rsid w:val="00436E41"/>
    <w:rsid w:val="00453E54"/>
    <w:rsid w:val="004544B7"/>
    <w:rsid w:val="00454E5E"/>
    <w:rsid w:val="0045522C"/>
    <w:rsid w:val="00456C3D"/>
    <w:rsid w:val="0046310E"/>
    <w:rsid w:val="004632FE"/>
    <w:rsid w:val="00463EB0"/>
    <w:rsid w:val="00465853"/>
    <w:rsid w:val="004668B9"/>
    <w:rsid w:val="004674B2"/>
    <w:rsid w:val="0046791C"/>
    <w:rsid w:val="0047040C"/>
    <w:rsid w:val="00470D84"/>
    <w:rsid w:val="004719B2"/>
    <w:rsid w:val="004724BA"/>
    <w:rsid w:val="00472FC8"/>
    <w:rsid w:val="00476748"/>
    <w:rsid w:val="0047735D"/>
    <w:rsid w:val="004773BC"/>
    <w:rsid w:val="004811BC"/>
    <w:rsid w:val="00482784"/>
    <w:rsid w:val="00482E09"/>
    <w:rsid w:val="00483722"/>
    <w:rsid w:val="00484168"/>
    <w:rsid w:val="0048587F"/>
    <w:rsid w:val="00485C90"/>
    <w:rsid w:val="00491F1E"/>
    <w:rsid w:val="00492E01"/>
    <w:rsid w:val="00493B11"/>
    <w:rsid w:val="00493D21"/>
    <w:rsid w:val="004A10DB"/>
    <w:rsid w:val="004A2488"/>
    <w:rsid w:val="004A4F7E"/>
    <w:rsid w:val="004A68BA"/>
    <w:rsid w:val="004B032D"/>
    <w:rsid w:val="004B1A07"/>
    <w:rsid w:val="004B2CC6"/>
    <w:rsid w:val="004B4069"/>
    <w:rsid w:val="004B5AB1"/>
    <w:rsid w:val="004B6D3C"/>
    <w:rsid w:val="004B7EA8"/>
    <w:rsid w:val="004C2EFE"/>
    <w:rsid w:val="004C3CB3"/>
    <w:rsid w:val="004C3E64"/>
    <w:rsid w:val="004D5D3E"/>
    <w:rsid w:val="004D6AEE"/>
    <w:rsid w:val="004D6E96"/>
    <w:rsid w:val="004D7BD1"/>
    <w:rsid w:val="004E0543"/>
    <w:rsid w:val="004E604B"/>
    <w:rsid w:val="004F0521"/>
    <w:rsid w:val="004F0875"/>
    <w:rsid w:val="004F0C2A"/>
    <w:rsid w:val="004F40A1"/>
    <w:rsid w:val="004F55A0"/>
    <w:rsid w:val="004F5774"/>
    <w:rsid w:val="004F5EA1"/>
    <w:rsid w:val="004F6477"/>
    <w:rsid w:val="004F7ABB"/>
    <w:rsid w:val="004F7EEE"/>
    <w:rsid w:val="0050120F"/>
    <w:rsid w:val="005026D3"/>
    <w:rsid w:val="00503CE1"/>
    <w:rsid w:val="00505E46"/>
    <w:rsid w:val="00507157"/>
    <w:rsid w:val="00510EC1"/>
    <w:rsid w:val="005145CC"/>
    <w:rsid w:val="00514902"/>
    <w:rsid w:val="005153FE"/>
    <w:rsid w:val="00516F98"/>
    <w:rsid w:val="00522986"/>
    <w:rsid w:val="00523B0F"/>
    <w:rsid w:val="00524650"/>
    <w:rsid w:val="00524F25"/>
    <w:rsid w:val="00526B39"/>
    <w:rsid w:val="00527707"/>
    <w:rsid w:val="00530E5D"/>
    <w:rsid w:val="00530EE6"/>
    <w:rsid w:val="00533455"/>
    <w:rsid w:val="0053473D"/>
    <w:rsid w:val="00535810"/>
    <w:rsid w:val="00536BC4"/>
    <w:rsid w:val="005509E6"/>
    <w:rsid w:val="00551F6A"/>
    <w:rsid w:val="0055420A"/>
    <w:rsid w:val="00557B09"/>
    <w:rsid w:val="00557DCB"/>
    <w:rsid w:val="00560B63"/>
    <w:rsid w:val="00562981"/>
    <w:rsid w:val="00562D13"/>
    <w:rsid w:val="00562FBF"/>
    <w:rsid w:val="005640FF"/>
    <w:rsid w:val="005643D5"/>
    <w:rsid w:val="00566117"/>
    <w:rsid w:val="00576594"/>
    <w:rsid w:val="00577C26"/>
    <w:rsid w:val="005808DF"/>
    <w:rsid w:val="0058645A"/>
    <w:rsid w:val="00586AB5"/>
    <w:rsid w:val="00590D30"/>
    <w:rsid w:val="00591F0C"/>
    <w:rsid w:val="00592146"/>
    <w:rsid w:val="0059240D"/>
    <w:rsid w:val="00596969"/>
    <w:rsid w:val="00597251"/>
    <w:rsid w:val="005A07F9"/>
    <w:rsid w:val="005A0CDB"/>
    <w:rsid w:val="005A11A0"/>
    <w:rsid w:val="005A1818"/>
    <w:rsid w:val="005A4237"/>
    <w:rsid w:val="005A5CAF"/>
    <w:rsid w:val="005A6480"/>
    <w:rsid w:val="005A6B5F"/>
    <w:rsid w:val="005A6C85"/>
    <w:rsid w:val="005A70FC"/>
    <w:rsid w:val="005A7AFD"/>
    <w:rsid w:val="005A7EE1"/>
    <w:rsid w:val="005B1138"/>
    <w:rsid w:val="005B238B"/>
    <w:rsid w:val="005B2468"/>
    <w:rsid w:val="005B2B3A"/>
    <w:rsid w:val="005B474D"/>
    <w:rsid w:val="005B47E8"/>
    <w:rsid w:val="005B4808"/>
    <w:rsid w:val="005B6038"/>
    <w:rsid w:val="005B7039"/>
    <w:rsid w:val="005B780E"/>
    <w:rsid w:val="005C0113"/>
    <w:rsid w:val="005C1E8D"/>
    <w:rsid w:val="005C1F47"/>
    <w:rsid w:val="005C29E5"/>
    <w:rsid w:val="005C34EC"/>
    <w:rsid w:val="005D087F"/>
    <w:rsid w:val="005D3C08"/>
    <w:rsid w:val="005D4C84"/>
    <w:rsid w:val="005E23F8"/>
    <w:rsid w:val="005E464B"/>
    <w:rsid w:val="005E5075"/>
    <w:rsid w:val="005E7E65"/>
    <w:rsid w:val="005F095E"/>
    <w:rsid w:val="005F0F86"/>
    <w:rsid w:val="005F2049"/>
    <w:rsid w:val="005F33BE"/>
    <w:rsid w:val="005F7EAB"/>
    <w:rsid w:val="00604287"/>
    <w:rsid w:val="0061249A"/>
    <w:rsid w:val="006170A2"/>
    <w:rsid w:val="006224BC"/>
    <w:rsid w:val="00622CC7"/>
    <w:rsid w:val="00623016"/>
    <w:rsid w:val="00624474"/>
    <w:rsid w:val="006271E6"/>
    <w:rsid w:val="0063034D"/>
    <w:rsid w:val="00637DA5"/>
    <w:rsid w:val="00637F8D"/>
    <w:rsid w:val="006407D0"/>
    <w:rsid w:val="006416F5"/>
    <w:rsid w:val="00644772"/>
    <w:rsid w:val="00651678"/>
    <w:rsid w:val="00653146"/>
    <w:rsid w:val="00653DED"/>
    <w:rsid w:val="00655B39"/>
    <w:rsid w:val="0066047A"/>
    <w:rsid w:val="006617D1"/>
    <w:rsid w:val="00666567"/>
    <w:rsid w:val="00666C17"/>
    <w:rsid w:val="006740A4"/>
    <w:rsid w:val="0067482D"/>
    <w:rsid w:val="00674F2E"/>
    <w:rsid w:val="00675757"/>
    <w:rsid w:val="006771D0"/>
    <w:rsid w:val="00680301"/>
    <w:rsid w:val="00681A01"/>
    <w:rsid w:val="00684972"/>
    <w:rsid w:val="006867D7"/>
    <w:rsid w:val="00687723"/>
    <w:rsid w:val="0069599A"/>
    <w:rsid w:val="006974A7"/>
    <w:rsid w:val="00697BC0"/>
    <w:rsid w:val="006A062C"/>
    <w:rsid w:val="006A40A3"/>
    <w:rsid w:val="006A43E0"/>
    <w:rsid w:val="006A480C"/>
    <w:rsid w:val="006A70A8"/>
    <w:rsid w:val="006A72CB"/>
    <w:rsid w:val="006A7344"/>
    <w:rsid w:val="006B3F10"/>
    <w:rsid w:val="006B6810"/>
    <w:rsid w:val="006B7266"/>
    <w:rsid w:val="006B7DDD"/>
    <w:rsid w:val="006C05AE"/>
    <w:rsid w:val="006C41EE"/>
    <w:rsid w:val="006C6CE5"/>
    <w:rsid w:val="006D02BD"/>
    <w:rsid w:val="006D0A00"/>
    <w:rsid w:val="006D1FD2"/>
    <w:rsid w:val="006D3787"/>
    <w:rsid w:val="006D5012"/>
    <w:rsid w:val="006D7C50"/>
    <w:rsid w:val="006E45D5"/>
    <w:rsid w:val="006E4629"/>
    <w:rsid w:val="006E6637"/>
    <w:rsid w:val="006F3DC5"/>
    <w:rsid w:val="006F3E32"/>
    <w:rsid w:val="006F4B96"/>
    <w:rsid w:val="006F5BF6"/>
    <w:rsid w:val="006F5C64"/>
    <w:rsid w:val="007002E7"/>
    <w:rsid w:val="0070289E"/>
    <w:rsid w:val="00704028"/>
    <w:rsid w:val="00710A77"/>
    <w:rsid w:val="00712796"/>
    <w:rsid w:val="00713D10"/>
    <w:rsid w:val="00715517"/>
    <w:rsid w:val="00715868"/>
    <w:rsid w:val="00716A2E"/>
    <w:rsid w:val="007205D0"/>
    <w:rsid w:val="00720EF4"/>
    <w:rsid w:val="00721F21"/>
    <w:rsid w:val="00721F27"/>
    <w:rsid w:val="00722B27"/>
    <w:rsid w:val="00723D5B"/>
    <w:rsid w:val="00730197"/>
    <w:rsid w:val="007305F6"/>
    <w:rsid w:val="00730DBC"/>
    <w:rsid w:val="00732FFD"/>
    <w:rsid w:val="00733023"/>
    <w:rsid w:val="00736466"/>
    <w:rsid w:val="007364A3"/>
    <w:rsid w:val="00743411"/>
    <w:rsid w:val="00752338"/>
    <w:rsid w:val="007528F6"/>
    <w:rsid w:val="00752F32"/>
    <w:rsid w:val="00754CC9"/>
    <w:rsid w:val="00756C05"/>
    <w:rsid w:val="0076121D"/>
    <w:rsid w:val="00764B2C"/>
    <w:rsid w:val="00765098"/>
    <w:rsid w:val="00765C00"/>
    <w:rsid w:val="00766693"/>
    <w:rsid w:val="00767CDB"/>
    <w:rsid w:val="00770D03"/>
    <w:rsid w:val="00774118"/>
    <w:rsid w:val="00776DB6"/>
    <w:rsid w:val="00781455"/>
    <w:rsid w:val="00784B5E"/>
    <w:rsid w:val="00785013"/>
    <w:rsid w:val="007871F2"/>
    <w:rsid w:val="00792A9C"/>
    <w:rsid w:val="00795640"/>
    <w:rsid w:val="007964A7"/>
    <w:rsid w:val="007A1E69"/>
    <w:rsid w:val="007A2E03"/>
    <w:rsid w:val="007A4E9B"/>
    <w:rsid w:val="007A6184"/>
    <w:rsid w:val="007A657D"/>
    <w:rsid w:val="007A7220"/>
    <w:rsid w:val="007B6ECD"/>
    <w:rsid w:val="007B7C28"/>
    <w:rsid w:val="007C086F"/>
    <w:rsid w:val="007C2245"/>
    <w:rsid w:val="007C3A83"/>
    <w:rsid w:val="007C461C"/>
    <w:rsid w:val="007C4EB3"/>
    <w:rsid w:val="007C4FD6"/>
    <w:rsid w:val="007C5217"/>
    <w:rsid w:val="007C5CAB"/>
    <w:rsid w:val="007C784D"/>
    <w:rsid w:val="007C7878"/>
    <w:rsid w:val="007D1607"/>
    <w:rsid w:val="007D1A17"/>
    <w:rsid w:val="007D30F9"/>
    <w:rsid w:val="007D4EC3"/>
    <w:rsid w:val="007D7369"/>
    <w:rsid w:val="007E22A3"/>
    <w:rsid w:val="007E4F27"/>
    <w:rsid w:val="007E630F"/>
    <w:rsid w:val="007E63B9"/>
    <w:rsid w:val="007F0B43"/>
    <w:rsid w:val="007F1D51"/>
    <w:rsid w:val="007F60FD"/>
    <w:rsid w:val="007F69B4"/>
    <w:rsid w:val="007F7953"/>
    <w:rsid w:val="007F79E2"/>
    <w:rsid w:val="008106BD"/>
    <w:rsid w:val="00817B08"/>
    <w:rsid w:val="00817DE6"/>
    <w:rsid w:val="00817EC0"/>
    <w:rsid w:val="00821FAD"/>
    <w:rsid w:val="008234FA"/>
    <w:rsid w:val="00823D95"/>
    <w:rsid w:val="00831349"/>
    <w:rsid w:val="00834082"/>
    <w:rsid w:val="00834D4C"/>
    <w:rsid w:val="00842EB8"/>
    <w:rsid w:val="00847E02"/>
    <w:rsid w:val="00851ABF"/>
    <w:rsid w:val="0085448B"/>
    <w:rsid w:val="0085610B"/>
    <w:rsid w:val="00857D67"/>
    <w:rsid w:val="00867638"/>
    <w:rsid w:val="00870C92"/>
    <w:rsid w:val="00873F19"/>
    <w:rsid w:val="00873FD0"/>
    <w:rsid w:val="008745A8"/>
    <w:rsid w:val="00874FB2"/>
    <w:rsid w:val="008755DD"/>
    <w:rsid w:val="0087657A"/>
    <w:rsid w:val="00877287"/>
    <w:rsid w:val="00877CFA"/>
    <w:rsid w:val="00880BAD"/>
    <w:rsid w:val="00883361"/>
    <w:rsid w:val="00884F40"/>
    <w:rsid w:val="00885AB3"/>
    <w:rsid w:val="00886201"/>
    <w:rsid w:val="00891C03"/>
    <w:rsid w:val="00895C43"/>
    <w:rsid w:val="008A072D"/>
    <w:rsid w:val="008A41E7"/>
    <w:rsid w:val="008A4D30"/>
    <w:rsid w:val="008A6291"/>
    <w:rsid w:val="008B1D2A"/>
    <w:rsid w:val="008B438B"/>
    <w:rsid w:val="008B5B2C"/>
    <w:rsid w:val="008B67B7"/>
    <w:rsid w:val="008C2A3C"/>
    <w:rsid w:val="008C30B6"/>
    <w:rsid w:val="008C4556"/>
    <w:rsid w:val="008C46BC"/>
    <w:rsid w:val="008C765B"/>
    <w:rsid w:val="008D18D6"/>
    <w:rsid w:val="008E6F03"/>
    <w:rsid w:val="008E7495"/>
    <w:rsid w:val="008F1C3A"/>
    <w:rsid w:val="008F2E3F"/>
    <w:rsid w:val="008F782C"/>
    <w:rsid w:val="0090011B"/>
    <w:rsid w:val="00900135"/>
    <w:rsid w:val="00901604"/>
    <w:rsid w:val="00901707"/>
    <w:rsid w:val="00901ABD"/>
    <w:rsid w:val="009101D7"/>
    <w:rsid w:val="009102B2"/>
    <w:rsid w:val="00912ED1"/>
    <w:rsid w:val="00914313"/>
    <w:rsid w:val="0092073E"/>
    <w:rsid w:val="00922991"/>
    <w:rsid w:val="009237EB"/>
    <w:rsid w:val="009238BF"/>
    <w:rsid w:val="009249FE"/>
    <w:rsid w:val="00924ADD"/>
    <w:rsid w:val="00930EBF"/>
    <w:rsid w:val="00932BA6"/>
    <w:rsid w:val="00932D09"/>
    <w:rsid w:val="00940EEA"/>
    <w:rsid w:val="00943492"/>
    <w:rsid w:val="00943CCF"/>
    <w:rsid w:val="009456AF"/>
    <w:rsid w:val="00945826"/>
    <w:rsid w:val="0095185F"/>
    <w:rsid w:val="00952E20"/>
    <w:rsid w:val="00953774"/>
    <w:rsid w:val="00954A06"/>
    <w:rsid w:val="009559D9"/>
    <w:rsid w:val="00955D6B"/>
    <w:rsid w:val="00956385"/>
    <w:rsid w:val="00956EC7"/>
    <w:rsid w:val="00962137"/>
    <w:rsid w:val="0096527B"/>
    <w:rsid w:val="009676D9"/>
    <w:rsid w:val="00967DA8"/>
    <w:rsid w:val="00970666"/>
    <w:rsid w:val="0097748F"/>
    <w:rsid w:val="00983093"/>
    <w:rsid w:val="00984C1A"/>
    <w:rsid w:val="00984DA7"/>
    <w:rsid w:val="00985A94"/>
    <w:rsid w:val="00993D17"/>
    <w:rsid w:val="009962DF"/>
    <w:rsid w:val="00996C8B"/>
    <w:rsid w:val="009A30EA"/>
    <w:rsid w:val="009A4029"/>
    <w:rsid w:val="009A6506"/>
    <w:rsid w:val="009A7AE3"/>
    <w:rsid w:val="009A7DA5"/>
    <w:rsid w:val="009B0293"/>
    <w:rsid w:val="009B05D6"/>
    <w:rsid w:val="009B6433"/>
    <w:rsid w:val="009B78D0"/>
    <w:rsid w:val="009C0C7B"/>
    <w:rsid w:val="009C2619"/>
    <w:rsid w:val="009C2C88"/>
    <w:rsid w:val="009C3484"/>
    <w:rsid w:val="009C3DE6"/>
    <w:rsid w:val="009C47EE"/>
    <w:rsid w:val="009C52A2"/>
    <w:rsid w:val="009C79A5"/>
    <w:rsid w:val="009D0086"/>
    <w:rsid w:val="009D1552"/>
    <w:rsid w:val="009D19D0"/>
    <w:rsid w:val="009D1A1A"/>
    <w:rsid w:val="009D376C"/>
    <w:rsid w:val="009D5047"/>
    <w:rsid w:val="009D696D"/>
    <w:rsid w:val="009D72C1"/>
    <w:rsid w:val="009E1D56"/>
    <w:rsid w:val="009E3A64"/>
    <w:rsid w:val="009E3BD1"/>
    <w:rsid w:val="009E4142"/>
    <w:rsid w:val="009E4998"/>
    <w:rsid w:val="009F778C"/>
    <w:rsid w:val="00A0140D"/>
    <w:rsid w:val="00A021D3"/>
    <w:rsid w:val="00A04169"/>
    <w:rsid w:val="00A046D9"/>
    <w:rsid w:val="00A12A60"/>
    <w:rsid w:val="00A1327A"/>
    <w:rsid w:val="00A13929"/>
    <w:rsid w:val="00A15177"/>
    <w:rsid w:val="00A16624"/>
    <w:rsid w:val="00A17EC7"/>
    <w:rsid w:val="00A200EC"/>
    <w:rsid w:val="00A2161F"/>
    <w:rsid w:val="00A2577D"/>
    <w:rsid w:val="00A25833"/>
    <w:rsid w:val="00A32A31"/>
    <w:rsid w:val="00A33AB7"/>
    <w:rsid w:val="00A349DE"/>
    <w:rsid w:val="00A40300"/>
    <w:rsid w:val="00A431B5"/>
    <w:rsid w:val="00A43761"/>
    <w:rsid w:val="00A43A55"/>
    <w:rsid w:val="00A46329"/>
    <w:rsid w:val="00A46661"/>
    <w:rsid w:val="00A46CB3"/>
    <w:rsid w:val="00A4784C"/>
    <w:rsid w:val="00A52B58"/>
    <w:rsid w:val="00A53E24"/>
    <w:rsid w:val="00A55D59"/>
    <w:rsid w:val="00A5638D"/>
    <w:rsid w:val="00A60E60"/>
    <w:rsid w:val="00A61E8A"/>
    <w:rsid w:val="00A665DC"/>
    <w:rsid w:val="00A674B8"/>
    <w:rsid w:val="00A708A9"/>
    <w:rsid w:val="00A71582"/>
    <w:rsid w:val="00A7630C"/>
    <w:rsid w:val="00A763AE"/>
    <w:rsid w:val="00A773BA"/>
    <w:rsid w:val="00A80B02"/>
    <w:rsid w:val="00A80E40"/>
    <w:rsid w:val="00A818BE"/>
    <w:rsid w:val="00A82307"/>
    <w:rsid w:val="00A8295D"/>
    <w:rsid w:val="00A834D1"/>
    <w:rsid w:val="00A83ABD"/>
    <w:rsid w:val="00A850A4"/>
    <w:rsid w:val="00A87960"/>
    <w:rsid w:val="00A92B62"/>
    <w:rsid w:val="00A93C0D"/>
    <w:rsid w:val="00A95058"/>
    <w:rsid w:val="00A95DF4"/>
    <w:rsid w:val="00A96970"/>
    <w:rsid w:val="00AA36F0"/>
    <w:rsid w:val="00AA4B04"/>
    <w:rsid w:val="00AA4C42"/>
    <w:rsid w:val="00AA5B7B"/>
    <w:rsid w:val="00AA5FB7"/>
    <w:rsid w:val="00AA785E"/>
    <w:rsid w:val="00AB006E"/>
    <w:rsid w:val="00AB1301"/>
    <w:rsid w:val="00AB1710"/>
    <w:rsid w:val="00AB51C2"/>
    <w:rsid w:val="00AB7948"/>
    <w:rsid w:val="00AC0E00"/>
    <w:rsid w:val="00AC466A"/>
    <w:rsid w:val="00AC64F2"/>
    <w:rsid w:val="00AC7FB7"/>
    <w:rsid w:val="00AD0943"/>
    <w:rsid w:val="00AD2880"/>
    <w:rsid w:val="00AD59A0"/>
    <w:rsid w:val="00AE0E83"/>
    <w:rsid w:val="00AE2CFC"/>
    <w:rsid w:val="00AE371C"/>
    <w:rsid w:val="00AE5BEA"/>
    <w:rsid w:val="00AE617E"/>
    <w:rsid w:val="00AF0E13"/>
    <w:rsid w:val="00AF19FF"/>
    <w:rsid w:val="00AF4DDC"/>
    <w:rsid w:val="00AF4E66"/>
    <w:rsid w:val="00B0020A"/>
    <w:rsid w:val="00B027C4"/>
    <w:rsid w:val="00B033BD"/>
    <w:rsid w:val="00B03495"/>
    <w:rsid w:val="00B04319"/>
    <w:rsid w:val="00B04F01"/>
    <w:rsid w:val="00B062FA"/>
    <w:rsid w:val="00B137CB"/>
    <w:rsid w:val="00B137F8"/>
    <w:rsid w:val="00B145FB"/>
    <w:rsid w:val="00B1487D"/>
    <w:rsid w:val="00B161CA"/>
    <w:rsid w:val="00B16590"/>
    <w:rsid w:val="00B2657F"/>
    <w:rsid w:val="00B32010"/>
    <w:rsid w:val="00B36B75"/>
    <w:rsid w:val="00B407EC"/>
    <w:rsid w:val="00B43197"/>
    <w:rsid w:val="00B43FAE"/>
    <w:rsid w:val="00B47C8A"/>
    <w:rsid w:val="00B50236"/>
    <w:rsid w:val="00B51555"/>
    <w:rsid w:val="00B53CB4"/>
    <w:rsid w:val="00B60984"/>
    <w:rsid w:val="00B60C4C"/>
    <w:rsid w:val="00B60ECD"/>
    <w:rsid w:val="00B626F0"/>
    <w:rsid w:val="00B64291"/>
    <w:rsid w:val="00B65902"/>
    <w:rsid w:val="00B661F3"/>
    <w:rsid w:val="00B670E6"/>
    <w:rsid w:val="00B6757D"/>
    <w:rsid w:val="00B70F15"/>
    <w:rsid w:val="00B715AA"/>
    <w:rsid w:val="00B71CE2"/>
    <w:rsid w:val="00B73EE1"/>
    <w:rsid w:val="00B752D5"/>
    <w:rsid w:val="00B75835"/>
    <w:rsid w:val="00B77FF6"/>
    <w:rsid w:val="00B812E8"/>
    <w:rsid w:val="00B843E3"/>
    <w:rsid w:val="00B906ED"/>
    <w:rsid w:val="00B92FC9"/>
    <w:rsid w:val="00B95455"/>
    <w:rsid w:val="00B965B8"/>
    <w:rsid w:val="00BA0A10"/>
    <w:rsid w:val="00BA1485"/>
    <w:rsid w:val="00BB123C"/>
    <w:rsid w:val="00BB2032"/>
    <w:rsid w:val="00BB3171"/>
    <w:rsid w:val="00BB382A"/>
    <w:rsid w:val="00BB7815"/>
    <w:rsid w:val="00BC0335"/>
    <w:rsid w:val="00BC3386"/>
    <w:rsid w:val="00BC3D7B"/>
    <w:rsid w:val="00BC4908"/>
    <w:rsid w:val="00BC5588"/>
    <w:rsid w:val="00BC6E22"/>
    <w:rsid w:val="00BD313A"/>
    <w:rsid w:val="00BD39F0"/>
    <w:rsid w:val="00BD601B"/>
    <w:rsid w:val="00BD6FEB"/>
    <w:rsid w:val="00BE00D4"/>
    <w:rsid w:val="00BE520A"/>
    <w:rsid w:val="00BF00CF"/>
    <w:rsid w:val="00BF0EDD"/>
    <w:rsid w:val="00BF708C"/>
    <w:rsid w:val="00BF788C"/>
    <w:rsid w:val="00C01001"/>
    <w:rsid w:val="00C022E2"/>
    <w:rsid w:val="00C0357A"/>
    <w:rsid w:val="00C10A28"/>
    <w:rsid w:val="00C10FD9"/>
    <w:rsid w:val="00C15792"/>
    <w:rsid w:val="00C17DD1"/>
    <w:rsid w:val="00C22C8F"/>
    <w:rsid w:val="00C243AA"/>
    <w:rsid w:val="00C26C60"/>
    <w:rsid w:val="00C30A0C"/>
    <w:rsid w:val="00C30B23"/>
    <w:rsid w:val="00C30C70"/>
    <w:rsid w:val="00C3157D"/>
    <w:rsid w:val="00C3455E"/>
    <w:rsid w:val="00C34A6D"/>
    <w:rsid w:val="00C34BDB"/>
    <w:rsid w:val="00C37547"/>
    <w:rsid w:val="00C407D5"/>
    <w:rsid w:val="00C4082B"/>
    <w:rsid w:val="00C43E84"/>
    <w:rsid w:val="00C52A59"/>
    <w:rsid w:val="00C54CC9"/>
    <w:rsid w:val="00C55DB9"/>
    <w:rsid w:val="00C609A1"/>
    <w:rsid w:val="00C60EE2"/>
    <w:rsid w:val="00C64754"/>
    <w:rsid w:val="00C648F3"/>
    <w:rsid w:val="00C77CAE"/>
    <w:rsid w:val="00C77EB0"/>
    <w:rsid w:val="00C81324"/>
    <w:rsid w:val="00C849AC"/>
    <w:rsid w:val="00C85925"/>
    <w:rsid w:val="00C86439"/>
    <w:rsid w:val="00C91B93"/>
    <w:rsid w:val="00C928EC"/>
    <w:rsid w:val="00C92B26"/>
    <w:rsid w:val="00C95DC5"/>
    <w:rsid w:val="00C96046"/>
    <w:rsid w:val="00C9622A"/>
    <w:rsid w:val="00CA0A1D"/>
    <w:rsid w:val="00CA25B4"/>
    <w:rsid w:val="00CA3461"/>
    <w:rsid w:val="00CA34C1"/>
    <w:rsid w:val="00CA46CF"/>
    <w:rsid w:val="00CA610F"/>
    <w:rsid w:val="00CB0208"/>
    <w:rsid w:val="00CB26A2"/>
    <w:rsid w:val="00CB3963"/>
    <w:rsid w:val="00CB3F45"/>
    <w:rsid w:val="00CB6769"/>
    <w:rsid w:val="00CB67B0"/>
    <w:rsid w:val="00CC1E3B"/>
    <w:rsid w:val="00CC213E"/>
    <w:rsid w:val="00CC3B1F"/>
    <w:rsid w:val="00CC587B"/>
    <w:rsid w:val="00CD03FF"/>
    <w:rsid w:val="00CD6B46"/>
    <w:rsid w:val="00CD743B"/>
    <w:rsid w:val="00CE5880"/>
    <w:rsid w:val="00CE5907"/>
    <w:rsid w:val="00CE5970"/>
    <w:rsid w:val="00CF1633"/>
    <w:rsid w:val="00CF6712"/>
    <w:rsid w:val="00D00CD7"/>
    <w:rsid w:val="00D01744"/>
    <w:rsid w:val="00D02610"/>
    <w:rsid w:val="00D04F88"/>
    <w:rsid w:val="00D1137F"/>
    <w:rsid w:val="00D12B69"/>
    <w:rsid w:val="00D12C64"/>
    <w:rsid w:val="00D169CB"/>
    <w:rsid w:val="00D17366"/>
    <w:rsid w:val="00D17F85"/>
    <w:rsid w:val="00D2068E"/>
    <w:rsid w:val="00D23FA1"/>
    <w:rsid w:val="00D2462F"/>
    <w:rsid w:val="00D26C6F"/>
    <w:rsid w:val="00D27D23"/>
    <w:rsid w:val="00D3148B"/>
    <w:rsid w:val="00D316A0"/>
    <w:rsid w:val="00D317F4"/>
    <w:rsid w:val="00D32324"/>
    <w:rsid w:val="00D3435D"/>
    <w:rsid w:val="00D35C2E"/>
    <w:rsid w:val="00D36073"/>
    <w:rsid w:val="00D361CD"/>
    <w:rsid w:val="00D36394"/>
    <w:rsid w:val="00D37ACE"/>
    <w:rsid w:val="00D43EFD"/>
    <w:rsid w:val="00D43FF6"/>
    <w:rsid w:val="00D44FAB"/>
    <w:rsid w:val="00D45496"/>
    <w:rsid w:val="00D45B7D"/>
    <w:rsid w:val="00D53FD6"/>
    <w:rsid w:val="00D54A67"/>
    <w:rsid w:val="00D57B0B"/>
    <w:rsid w:val="00D605E8"/>
    <w:rsid w:val="00D62E88"/>
    <w:rsid w:val="00D6489F"/>
    <w:rsid w:val="00D741D3"/>
    <w:rsid w:val="00D74342"/>
    <w:rsid w:val="00D757D7"/>
    <w:rsid w:val="00D77189"/>
    <w:rsid w:val="00D813F4"/>
    <w:rsid w:val="00D82256"/>
    <w:rsid w:val="00D841C0"/>
    <w:rsid w:val="00D850F0"/>
    <w:rsid w:val="00D9004F"/>
    <w:rsid w:val="00D909AB"/>
    <w:rsid w:val="00D919C9"/>
    <w:rsid w:val="00D93B00"/>
    <w:rsid w:val="00D9454C"/>
    <w:rsid w:val="00D959B3"/>
    <w:rsid w:val="00D97451"/>
    <w:rsid w:val="00D97B13"/>
    <w:rsid w:val="00DA2B97"/>
    <w:rsid w:val="00DA32FA"/>
    <w:rsid w:val="00DA5D65"/>
    <w:rsid w:val="00DA75FB"/>
    <w:rsid w:val="00DB1987"/>
    <w:rsid w:val="00DB1A4D"/>
    <w:rsid w:val="00DB4CCB"/>
    <w:rsid w:val="00DB59AE"/>
    <w:rsid w:val="00DB6331"/>
    <w:rsid w:val="00DC02C9"/>
    <w:rsid w:val="00DD12A6"/>
    <w:rsid w:val="00DD1691"/>
    <w:rsid w:val="00DD3400"/>
    <w:rsid w:val="00DD40B6"/>
    <w:rsid w:val="00DD59CA"/>
    <w:rsid w:val="00DD74B7"/>
    <w:rsid w:val="00DD7FC2"/>
    <w:rsid w:val="00DE41F3"/>
    <w:rsid w:val="00DE7DF1"/>
    <w:rsid w:val="00DF2F8B"/>
    <w:rsid w:val="00DF4DA1"/>
    <w:rsid w:val="00DF5B46"/>
    <w:rsid w:val="00E01C28"/>
    <w:rsid w:val="00E0457D"/>
    <w:rsid w:val="00E046D0"/>
    <w:rsid w:val="00E05C22"/>
    <w:rsid w:val="00E05EC5"/>
    <w:rsid w:val="00E10B72"/>
    <w:rsid w:val="00E1626C"/>
    <w:rsid w:val="00E16BF0"/>
    <w:rsid w:val="00E20081"/>
    <w:rsid w:val="00E20A0D"/>
    <w:rsid w:val="00E2119F"/>
    <w:rsid w:val="00E2213D"/>
    <w:rsid w:val="00E2719A"/>
    <w:rsid w:val="00E33978"/>
    <w:rsid w:val="00E36DFD"/>
    <w:rsid w:val="00E40171"/>
    <w:rsid w:val="00E410B2"/>
    <w:rsid w:val="00E46733"/>
    <w:rsid w:val="00E50D57"/>
    <w:rsid w:val="00E52DD0"/>
    <w:rsid w:val="00E5562F"/>
    <w:rsid w:val="00E560A8"/>
    <w:rsid w:val="00E560B5"/>
    <w:rsid w:val="00E56CF9"/>
    <w:rsid w:val="00E576D4"/>
    <w:rsid w:val="00E64C9F"/>
    <w:rsid w:val="00E6632F"/>
    <w:rsid w:val="00E72628"/>
    <w:rsid w:val="00E7413C"/>
    <w:rsid w:val="00E74320"/>
    <w:rsid w:val="00E74E2A"/>
    <w:rsid w:val="00E764A0"/>
    <w:rsid w:val="00E817E5"/>
    <w:rsid w:val="00E81FDD"/>
    <w:rsid w:val="00E82204"/>
    <w:rsid w:val="00E83A3C"/>
    <w:rsid w:val="00E91107"/>
    <w:rsid w:val="00E91425"/>
    <w:rsid w:val="00E91FCD"/>
    <w:rsid w:val="00E92D07"/>
    <w:rsid w:val="00E93B45"/>
    <w:rsid w:val="00E94175"/>
    <w:rsid w:val="00E95B00"/>
    <w:rsid w:val="00E97EF2"/>
    <w:rsid w:val="00EA044B"/>
    <w:rsid w:val="00EA456F"/>
    <w:rsid w:val="00EA510F"/>
    <w:rsid w:val="00EB04A7"/>
    <w:rsid w:val="00EB21E3"/>
    <w:rsid w:val="00EB306B"/>
    <w:rsid w:val="00EC3981"/>
    <w:rsid w:val="00EC4C04"/>
    <w:rsid w:val="00EC529B"/>
    <w:rsid w:val="00ED2DBD"/>
    <w:rsid w:val="00ED4070"/>
    <w:rsid w:val="00ED44A2"/>
    <w:rsid w:val="00ED5B6F"/>
    <w:rsid w:val="00ED6D0E"/>
    <w:rsid w:val="00ED75A7"/>
    <w:rsid w:val="00EE20CC"/>
    <w:rsid w:val="00EE5764"/>
    <w:rsid w:val="00EF0FD4"/>
    <w:rsid w:val="00EF1434"/>
    <w:rsid w:val="00EF4283"/>
    <w:rsid w:val="00EF6CB0"/>
    <w:rsid w:val="00F0219F"/>
    <w:rsid w:val="00F022F3"/>
    <w:rsid w:val="00F0461C"/>
    <w:rsid w:val="00F06298"/>
    <w:rsid w:val="00F066F8"/>
    <w:rsid w:val="00F07531"/>
    <w:rsid w:val="00F078BA"/>
    <w:rsid w:val="00F1213B"/>
    <w:rsid w:val="00F12DA0"/>
    <w:rsid w:val="00F133CB"/>
    <w:rsid w:val="00F17A08"/>
    <w:rsid w:val="00F2144A"/>
    <w:rsid w:val="00F225E7"/>
    <w:rsid w:val="00F2588C"/>
    <w:rsid w:val="00F2603F"/>
    <w:rsid w:val="00F26978"/>
    <w:rsid w:val="00F27887"/>
    <w:rsid w:val="00F27E50"/>
    <w:rsid w:val="00F353D6"/>
    <w:rsid w:val="00F35D5A"/>
    <w:rsid w:val="00F42F9A"/>
    <w:rsid w:val="00F43DD0"/>
    <w:rsid w:val="00F44331"/>
    <w:rsid w:val="00F45011"/>
    <w:rsid w:val="00F45220"/>
    <w:rsid w:val="00F4544B"/>
    <w:rsid w:val="00F469E9"/>
    <w:rsid w:val="00F510E9"/>
    <w:rsid w:val="00F51376"/>
    <w:rsid w:val="00F51F1C"/>
    <w:rsid w:val="00F565E9"/>
    <w:rsid w:val="00F56DA7"/>
    <w:rsid w:val="00F57B2A"/>
    <w:rsid w:val="00F61D62"/>
    <w:rsid w:val="00F6272F"/>
    <w:rsid w:val="00F636F8"/>
    <w:rsid w:val="00F645E1"/>
    <w:rsid w:val="00F663DC"/>
    <w:rsid w:val="00F728BC"/>
    <w:rsid w:val="00F72E1B"/>
    <w:rsid w:val="00F73A57"/>
    <w:rsid w:val="00F74030"/>
    <w:rsid w:val="00F74F8A"/>
    <w:rsid w:val="00F82F17"/>
    <w:rsid w:val="00F91B25"/>
    <w:rsid w:val="00F96EE2"/>
    <w:rsid w:val="00F971DA"/>
    <w:rsid w:val="00FA247B"/>
    <w:rsid w:val="00FA4456"/>
    <w:rsid w:val="00FA69ED"/>
    <w:rsid w:val="00FA6B74"/>
    <w:rsid w:val="00FA758A"/>
    <w:rsid w:val="00FB1C95"/>
    <w:rsid w:val="00FB200A"/>
    <w:rsid w:val="00FB457E"/>
    <w:rsid w:val="00FB54AB"/>
    <w:rsid w:val="00FB555B"/>
    <w:rsid w:val="00FC19FF"/>
    <w:rsid w:val="00FC2A03"/>
    <w:rsid w:val="00FC3E88"/>
    <w:rsid w:val="00FC3F4C"/>
    <w:rsid w:val="00FC552D"/>
    <w:rsid w:val="00FC5988"/>
    <w:rsid w:val="00FC5BFE"/>
    <w:rsid w:val="00FC65DE"/>
    <w:rsid w:val="00FC7A5A"/>
    <w:rsid w:val="00FC7D1A"/>
    <w:rsid w:val="00FD0163"/>
    <w:rsid w:val="00FE1BA4"/>
    <w:rsid w:val="00FE40E8"/>
    <w:rsid w:val="00FE58C6"/>
    <w:rsid w:val="00FE615C"/>
    <w:rsid w:val="00FE75A2"/>
    <w:rsid w:val="00FF229D"/>
    <w:rsid w:val="00FF34CD"/>
    <w:rsid w:val="00FF604C"/>
    <w:rsid w:val="00FF7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BFFC1B"/>
  <w15:docId w15:val="{AC263813-EA9B-433A-98D2-B3FD77856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520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8E6F03"/>
    <w:rPr>
      <w:sz w:val="16"/>
      <w:szCs w:val="16"/>
    </w:rPr>
  </w:style>
  <w:style w:type="paragraph" w:styleId="CommentText">
    <w:name w:val="annotation text"/>
    <w:basedOn w:val="Normal"/>
    <w:link w:val="CommentTextChar"/>
    <w:uiPriority w:val="99"/>
    <w:unhideWhenUsed/>
    <w:rsid w:val="008E6F03"/>
    <w:rPr>
      <w:sz w:val="20"/>
      <w:szCs w:val="20"/>
    </w:rPr>
  </w:style>
  <w:style w:type="character" w:customStyle="1" w:styleId="CommentTextChar">
    <w:name w:val="Comment Text Char"/>
    <w:basedOn w:val="DefaultParagraphFont"/>
    <w:link w:val="CommentText"/>
    <w:uiPriority w:val="99"/>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link w:val="CommentSubject"/>
    <w:uiPriority w:val="99"/>
    <w:semiHidden/>
    <w:rsid w:val="008E6F03"/>
    <w:rPr>
      <w:b/>
      <w:bCs/>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6F03"/>
    <w:rPr>
      <w:rFonts w:ascii="Tahoma" w:hAnsi="Tahoma" w:cs="Tahoma"/>
      <w:sz w:val="16"/>
      <w:szCs w:val="16"/>
    </w:rPr>
  </w:style>
  <w:style w:type="paragraph" w:styleId="Header">
    <w:name w:val="header"/>
    <w:basedOn w:val="Normal"/>
    <w:link w:val="HeaderChar"/>
    <w:uiPriority w:val="99"/>
    <w:unhideWhenUsed/>
    <w:rsid w:val="007B6ECD"/>
    <w:pPr>
      <w:tabs>
        <w:tab w:val="center" w:pos="4513"/>
        <w:tab w:val="right" w:pos="9026"/>
      </w:tabs>
      <w:spacing w:after="0" w:line="240" w:lineRule="auto"/>
    </w:pPr>
  </w:style>
  <w:style w:type="character" w:customStyle="1" w:styleId="HeaderChar">
    <w:name w:val="Header Char"/>
    <w:link w:val="Header"/>
    <w:uiPriority w:val="99"/>
    <w:rsid w:val="007B6ECD"/>
    <w:rPr>
      <w:sz w:val="22"/>
      <w:szCs w:val="22"/>
    </w:rPr>
  </w:style>
  <w:style w:type="paragraph" w:styleId="Footer">
    <w:name w:val="footer"/>
    <w:basedOn w:val="Normal"/>
    <w:link w:val="FooterChar"/>
    <w:uiPriority w:val="99"/>
    <w:unhideWhenUsed/>
    <w:rsid w:val="007B6ECD"/>
    <w:pPr>
      <w:tabs>
        <w:tab w:val="center" w:pos="4513"/>
        <w:tab w:val="right" w:pos="9026"/>
      </w:tabs>
      <w:spacing w:after="0" w:line="240" w:lineRule="auto"/>
    </w:pPr>
  </w:style>
  <w:style w:type="character" w:customStyle="1" w:styleId="FooterChar">
    <w:name w:val="Footer Char"/>
    <w:link w:val="Footer"/>
    <w:uiPriority w:val="99"/>
    <w:rsid w:val="007B6ECD"/>
    <w:rPr>
      <w:sz w:val="22"/>
      <w:szCs w:val="22"/>
    </w:rPr>
  </w:style>
  <w:style w:type="paragraph" w:styleId="FootnoteText">
    <w:name w:val="footnote text"/>
    <w:aliases w:val="fn,single space,footnote text,foottextfra,footnote,F,Texto nota pie Car Car,texto de nota al pie,Nota a pie/Bibliog,Texto nota pie Car Car Car Car Car Car Car Car,Texto nota pie Car Car Car,f"/>
    <w:basedOn w:val="Normal"/>
    <w:link w:val="FootnoteTextChar"/>
    <w:uiPriority w:val="99"/>
    <w:rsid w:val="00110E29"/>
    <w:pPr>
      <w:spacing w:after="0" w:line="240" w:lineRule="auto"/>
    </w:pPr>
    <w:rPr>
      <w:rFonts w:ascii="Times New Roman" w:eastAsia="Times New Roman" w:hAnsi="Times New Roman"/>
      <w:sz w:val="20"/>
      <w:szCs w:val="20"/>
      <w:lang w:val="es-ES"/>
    </w:rPr>
  </w:style>
  <w:style w:type="character" w:customStyle="1" w:styleId="FootnoteTextChar">
    <w:name w:val="Footnote Text Char"/>
    <w:aliases w:val="fn Char,single space Char,footnote text Char,foottextfra Char,footnote Char,F Char,Texto nota pie Car Car Char,texto de nota al pie Char,Nota a pie/Bibliog Char,Texto nota pie Car Car Car Car Car Car Car Car Char,f Char"/>
    <w:link w:val="FootnoteText"/>
    <w:uiPriority w:val="99"/>
    <w:rsid w:val="00110E29"/>
    <w:rPr>
      <w:rFonts w:ascii="Times New Roman" w:eastAsia="Times New Roman" w:hAnsi="Times New Roman"/>
      <w:lang w:val="es-ES"/>
    </w:rPr>
  </w:style>
  <w:style w:type="paragraph" w:customStyle="1" w:styleId="Default">
    <w:name w:val="Default"/>
    <w:rsid w:val="00221E06"/>
    <w:pPr>
      <w:autoSpaceDE w:val="0"/>
      <w:autoSpaceDN w:val="0"/>
      <w:adjustRightInd w:val="0"/>
    </w:pPr>
    <w:rPr>
      <w:rFonts w:ascii="Times New Roman" w:hAnsi="Times New Roman"/>
      <w:color w:val="000000"/>
      <w:sz w:val="24"/>
      <w:szCs w:val="24"/>
      <w:lang w:eastAsia="en-US"/>
    </w:rPr>
  </w:style>
  <w:style w:type="paragraph" w:customStyle="1" w:styleId="TableText">
    <w:name w:val="Table Text"/>
    <w:basedOn w:val="Normal"/>
    <w:rsid w:val="00DF4DA1"/>
    <w:pPr>
      <w:spacing w:after="0" w:line="280" w:lineRule="atLeast"/>
      <w:jc w:val="both"/>
    </w:pPr>
    <w:rPr>
      <w:rFonts w:ascii="Arial" w:eastAsia="Times New Roman" w:hAnsi="Arial"/>
      <w:sz w:val="16"/>
      <w:szCs w:val="20"/>
      <w:lang w:val="en-GB" w:eastAsia="fr-FR"/>
    </w:rPr>
  </w:style>
  <w:style w:type="paragraph" w:styleId="ListParagraph">
    <w:name w:val="List Paragraph"/>
    <w:basedOn w:val="Normal"/>
    <w:link w:val="ListParagraphChar"/>
    <w:uiPriority w:val="34"/>
    <w:qFormat/>
    <w:rsid w:val="00E01C28"/>
    <w:pPr>
      <w:ind w:left="720"/>
      <w:contextualSpacing/>
    </w:pPr>
    <w:rPr>
      <w:lang w:val="es-CO"/>
    </w:rPr>
  </w:style>
  <w:style w:type="character" w:customStyle="1" w:styleId="ListParagraphChar">
    <w:name w:val="List Paragraph Char"/>
    <w:link w:val="ListParagraph"/>
    <w:uiPriority w:val="34"/>
    <w:locked/>
    <w:rsid w:val="00CB0208"/>
    <w:rPr>
      <w:sz w:val="22"/>
      <w:szCs w:val="22"/>
      <w:lang w:val="es-CO"/>
    </w:rPr>
  </w:style>
  <w:style w:type="character" w:styleId="FootnoteReference">
    <w:name w:val="footnote reference"/>
    <w:aliases w:val="referencia nota al pie,ftref,16 Point,Superscript 6 Point,FC,Ref,de nota al pie,(Ref. de nota al pie),Fußnotenzeichen DISS,Style 24,Appel note de bas de page"/>
    <w:uiPriority w:val="99"/>
    <w:unhideWhenUsed/>
    <w:rsid w:val="00B32010"/>
    <w:rPr>
      <w:vertAlign w:val="superscript"/>
    </w:rPr>
  </w:style>
  <w:style w:type="paragraph" w:customStyle="1" w:styleId="Chapter">
    <w:name w:val="Chapter"/>
    <w:basedOn w:val="Normal"/>
    <w:next w:val="Normal"/>
    <w:rsid w:val="00795640"/>
    <w:pPr>
      <w:keepNext/>
      <w:numPr>
        <w:numId w:val="16"/>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795640"/>
    <w:pPr>
      <w:numPr>
        <w:ilvl w:val="1"/>
        <w:numId w:val="16"/>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795640"/>
    <w:pPr>
      <w:numPr>
        <w:ilvl w:val="2"/>
        <w:numId w:val="16"/>
      </w:numPr>
      <w:tabs>
        <w:tab w:val="clear" w:pos="2304"/>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795640"/>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795640"/>
    <w:rPr>
      <w:rFonts w:ascii="Times New Roman" w:eastAsia="Times New Roman" w:hAnsi="Times New Roman"/>
      <w:sz w:val="24"/>
      <w:lang w:val="es-ES" w:eastAsia="en-US"/>
    </w:rPr>
  </w:style>
  <w:style w:type="character" w:customStyle="1" w:styleId="hps">
    <w:name w:val="hps"/>
    <w:basedOn w:val="DefaultParagraphFont"/>
    <w:rsid w:val="00795640"/>
  </w:style>
  <w:style w:type="paragraph" w:styleId="BodyTextIndent">
    <w:name w:val="Body Text Indent"/>
    <w:basedOn w:val="Normal"/>
    <w:link w:val="BodyTextIndentChar"/>
    <w:uiPriority w:val="99"/>
    <w:semiHidden/>
    <w:unhideWhenUsed/>
    <w:rsid w:val="00795640"/>
    <w:pPr>
      <w:spacing w:after="120"/>
      <w:ind w:left="360"/>
    </w:pPr>
  </w:style>
  <w:style w:type="character" w:customStyle="1" w:styleId="BodyTextIndentChar">
    <w:name w:val="Body Text Indent Char"/>
    <w:basedOn w:val="DefaultParagraphFont"/>
    <w:link w:val="BodyTextIndent"/>
    <w:uiPriority w:val="99"/>
    <w:semiHidden/>
    <w:rsid w:val="00795640"/>
    <w:rPr>
      <w:sz w:val="22"/>
      <w:szCs w:val="22"/>
      <w:lang w:eastAsia="en-US"/>
    </w:rPr>
  </w:style>
  <w:style w:type="paragraph" w:styleId="BodyTextIndent3">
    <w:name w:val="Body Text Indent 3"/>
    <w:basedOn w:val="Normal"/>
    <w:link w:val="BodyTextIndent3Char"/>
    <w:uiPriority w:val="99"/>
    <w:semiHidden/>
    <w:unhideWhenUsed/>
    <w:rsid w:val="0079564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5640"/>
    <w:rPr>
      <w:sz w:val="16"/>
      <w:szCs w:val="16"/>
      <w:lang w:eastAsia="en-US"/>
    </w:rPr>
  </w:style>
  <w:style w:type="character" w:styleId="Hyperlink">
    <w:name w:val="Hyperlink"/>
    <w:basedOn w:val="DefaultParagraphFont"/>
    <w:uiPriority w:val="99"/>
    <w:unhideWhenUsed/>
    <w:rsid w:val="00472FC8"/>
    <w:rPr>
      <w:color w:val="0000FF" w:themeColor="hyperlink"/>
      <w:u w:val="single"/>
    </w:rPr>
  </w:style>
  <w:style w:type="character" w:customStyle="1" w:styleId="spellingerror">
    <w:name w:val="spellingerror"/>
    <w:basedOn w:val="DefaultParagraphFont"/>
    <w:rsid w:val="00EB04A7"/>
  </w:style>
  <w:style w:type="character" w:customStyle="1" w:styleId="normaltextrun1">
    <w:name w:val="normaltextrun1"/>
    <w:basedOn w:val="DefaultParagraphFont"/>
    <w:rsid w:val="00EB04A7"/>
  </w:style>
  <w:style w:type="character" w:customStyle="1" w:styleId="eop">
    <w:name w:val="eop"/>
    <w:basedOn w:val="DefaultParagraphFont"/>
    <w:rsid w:val="00EB04A7"/>
  </w:style>
  <w:style w:type="character" w:styleId="FollowedHyperlink">
    <w:name w:val="FollowedHyperlink"/>
    <w:basedOn w:val="DefaultParagraphFont"/>
    <w:uiPriority w:val="99"/>
    <w:semiHidden/>
    <w:unhideWhenUsed/>
    <w:rsid w:val="00B43197"/>
    <w:rPr>
      <w:color w:val="800080" w:themeColor="followedHyperlink"/>
      <w:u w:val="single"/>
    </w:rPr>
  </w:style>
  <w:style w:type="paragraph" w:styleId="Revision">
    <w:name w:val="Revision"/>
    <w:hidden/>
    <w:uiPriority w:val="99"/>
    <w:semiHidden/>
    <w:rsid w:val="00484168"/>
    <w:rPr>
      <w:rFonts w:ascii="Arial" w:eastAsiaTheme="minorEastAsia" w:hAnsi="Arial" w:cstheme="minorBidi"/>
      <w:lang w:val="es-VE" w:eastAsia="en-US"/>
    </w:rPr>
  </w:style>
  <w:style w:type="character" w:customStyle="1" w:styleId="ParagraphCar">
    <w:name w:val="Paragraph Car"/>
    <w:rsid w:val="00D3435D"/>
    <w:rPr>
      <w:rFonts w:ascii="Times New Roman" w:eastAsia="Times New Roman" w:hAnsi="Times New Roman" w:cs="Times New Roman"/>
      <w:sz w:val="24"/>
      <w:szCs w:val="20"/>
      <w:lang w:val="es-ES"/>
    </w:rPr>
  </w:style>
  <w:style w:type="character" w:styleId="UnresolvedMention">
    <w:name w:val="Unresolved Mention"/>
    <w:basedOn w:val="DefaultParagraphFont"/>
    <w:uiPriority w:val="99"/>
    <w:semiHidden/>
    <w:unhideWhenUsed/>
    <w:rsid w:val="004773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58922">
      <w:bodyDiv w:val="1"/>
      <w:marLeft w:val="0"/>
      <w:marRight w:val="0"/>
      <w:marTop w:val="0"/>
      <w:marBottom w:val="0"/>
      <w:divBdr>
        <w:top w:val="none" w:sz="0" w:space="0" w:color="auto"/>
        <w:left w:val="none" w:sz="0" w:space="0" w:color="auto"/>
        <w:bottom w:val="none" w:sz="0" w:space="0" w:color="auto"/>
        <w:right w:val="none" w:sz="0" w:space="0" w:color="auto"/>
      </w:divBdr>
    </w:div>
    <w:div w:id="253251844">
      <w:bodyDiv w:val="1"/>
      <w:marLeft w:val="0"/>
      <w:marRight w:val="0"/>
      <w:marTop w:val="0"/>
      <w:marBottom w:val="0"/>
      <w:divBdr>
        <w:top w:val="none" w:sz="0" w:space="0" w:color="auto"/>
        <w:left w:val="none" w:sz="0" w:space="0" w:color="auto"/>
        <w:bottom w:val="none" w:sz="0" w:space="0" w:color="auto"/>
        <w:right w:val="none" w:sz="0" w:space="0" w:color="auto"/>
      </w:divBdr>
    </w:div>
    <w:div w:id="344602449">
      <w:bodyDiv w:val="1"/>
      <w:marLeft w:val="0"/>
      <w:marRight w:val="0"/>
      <w:marTop w:val="0"/>
      <w:marBottom w:val="0"/>
      <w:divBdr>
        <w:top w:val="none" w:sz="0" w:space="0" w:color="auto"/>
        <w:left w:val="none" w:sz="0" w:space="0" w:color="auto"/>
        <w:bottom w:val="none" w:sz="0" w:space="0" w:color="auto"/>
        <w:right w:val="none" w:sz="0" w:space="0" w:color="auto"/>
      </w:divBdr>
    </w:div>
    <w:div w:id="412095340">
      <w:bodyDiv w:val="1"/>
      <w:marLeft w:val="0"/>
      <w:marRight w:val="0"/>
      <w:marTop w:val="0"/>
      <w:marBottom w:val="0"/>
      <w:divBdr>
        <w:top w:val="none" w:sz="0" w:space="0" w:color="auto"/>
        <w:left w:val="none" w:sz="0" w:space="0" w:color="auto"/>
        <w:bottom w:val="none" w:sz="0" w:space="0" w:color="auto"/>
        <w:right w:val="none" w:sz="0" w:space="0" w:color="auto"/>
      </w:divBdr>
    </w:div>
    <w:div w:id="742029897">
      <w:bodyDiv w:val="1"/>
      <w:marLeft w:val="0"/>
      <w:marRight w:val="0"/>
      <w:marTop w:val="0"/>
      <w:marBottom w:val="0"/>
      <w:divBdr>
        <w:top w:val="none" w:sz="0" w:space="0" w:color="auto"/>
        <w:left w:val="none" w:sz="0" w:space="0" w:color="auto"/>
        <w:bottom w:val="none" w:sz="0" w:space="0" w:color="auto"/>
        <w:right w:val="none" w:sz="0" w:space="0" w:color="auto"/>
      </w:divBdr>
      <w:divsChild>
        <w:div w:id="1175605598">
          <w:marLeft w:val="0"/>
          <w:marRight w:val="0"/>
          <w:marTop w:val="0"/>
          <w:marBottom w:val="0"/>
          <w:divBdr>
            <w:top w:val="none" w:sz="0" w:space="0" w:color="auto"/>
            <w:left w:val="none" w:sz="0" w:space="0" w:color="auto"/>
            <w:bottom w:val="none" w:sz="0" w:space="0" w:color="auto"/>
            <w:right w:val="none" w:sz="0" w:space="0" w:color="auto"/>
          </w:divBdr>
          <w:divsChild>
            <w:div w:id="1528904490">
              <w:marLeft w:val="0"/>
              <w:marRight w:val="0"/>
              <w:marTop w:val="0"/>
              <w:marBottom w:val="0"/>
              <w:divBdr>
                <w:top w:val="none" w:sz="0" w:space="0" w:color="auto"/>
                <w:left w:val="none" w:sz="0" w:space="0" w:color="auto"/>
                <w:bottom w:val="none" w:sz="0" w:space="0" w:color="auto"/>
                <w:right w:val="none" w:sz="0" w:space="0" w:color="auto"/>
              </w:divBdr>
              <w:divsChild>
                <w:div w:id="1693603708">
                  <w:marLeft w:val="0"/>
                  <w:marRight w:val="0"/>
                  <w:marTop w:val="0"/>
                  <w:marBottom w:val="0"/>
                  <w:divBdr>
                    <w:top w:val="none" w:sz="0" w:space="0" w:color="auto"/>
                    <w:left w:val="none" w:sz="0" w:space="0" w:color="auto"/>
                    <w:bottom w:val="none" w:sz="0" w:space="0" w:color="auto"/>
                    <w:right w:val="none" w:sz="0" w:space="0" w:color="auto"/>
                  </w:divBdr>
                  <w:divsChild>
                    <w:div w:id="1630358336">
                      <w:marLeft w:val="0"/>
                      <w:marRight w:val="0"/>
                      <w:marTop w:val="0"/>
                      <w:marBottom w:val="0"/>
                      <w:divBdr>
                        <w:top w:val="none" w:sz="0" w:space="0" w:color="auto"/>
                        <w:left w:val="none" w:sz="0" w:space="0" w:color="auto"/>
                        <w:bottom w:val="none" w:sz="0" w:space="0" w:color="auto"/>
                        <w:right w:val="none" w:sz="0" w:space="0" w:color="auto"/>
                      </w:divBdr>
                      <w:divsChild>
                        <w:div w:id="2050059351">
                          <w:marLeft w:val="0"/>
                          <w:marRight w:val="0"/>
                          <w:marTop w:val="0"/>
                          <w:marBottom w:val="0"/>
                          <w:divBdr>
                            <w:top w:val="none" w:sz="0" w:space="0" w:color="auto"/>
                            <w:left w:val="none" w:sz="0" w:space="0" w:color="auto"/>
                            <w:bottom w:val="none" w:sz="0" w:space="0" w:color="auto"/>
                            <w:right w:val="none" w:sz="0" w:space="0" w:color="auto"/>
                          </w:divBdr>
                          <w:divsChild>
                            <w:div w:id="333917350">
                              <w:marLeft w:val="0"/>
                              <w:marRight w:val="0"/>
                              <w:marTop w:val="0"/>
                              <w:marBottom w:val="0"/>
                              <w:divBdr>
                                <w:top w:val="none" w:sz="0" w:space="0" w:color="auto"/>
                                <w:left w:val="none" w:sz="0" w:space="0" w:color="auto"/>
                                <w:bottom w:val="none" w:sz="0" w:space="0" w:color="auto"/>
                                <w:right w:val="none" w:sz="0" w:space="0" w:color="auto"/>
                              </w:divBdr>
                              <w:divsChild>
                                <w:div w:id="916672952">
                                  <w:marLeft w:val="0"/>
                                  <w:marRight w:val="0"/>
                                  <w:marTop w:val="0"/>
                                  <w:marBottom w:val="0"/>
                                  <w:divBdr>
                                    <w:top w:val="none" w:sz="0" w:space="0" w:color="auto"/>
                                    <w:left w:val="none" w:sz="0" w:space="0" w:color="auto"/>
                                    <w:bottom w:val="none" w:sz="0" w:space="0" w:color="auto"/>
                                    <w:right w:val="none" w:sz="0" w:space="0" w:color="auto"/>
                                  </w:divBdr>
                                  <w:divsChild>
                                    <w:div w:id="827676896">
                                      <w:marLeft w:val="0"/>
                                      <w:marRight w:val="0"/>
                                      <w:marTop w:val="0"/>
                                      <w:marBottom w:val="0"/>
                                      <w:divBdr>
                                        <w:top w:val="none" w:sz="0" w:space="0" w:color="auto"/>
                                        <w:left w:val="none" w:sz="0" w:space="0" w:color="auto"/>
                                        <w:bottom w:val="none" w:sz="0" w:space="0" w:color="auto"/>
                                        <w:right w:val="none" w:sz="0" w:space="0" w:color="auto"/>
                                      </w:divBdr>
                                      <w:divsChild>
                                        <w:div w:id="202058409">
                                          <w:marLeft w:val="0"/>
                                          <w:marRight w:val="0"/>
                                          <w:marTop w:val="0"/>
                                          <w:marBottom w:val="0"/>
                                          <w:divBdr>
                                            <w:top w:val="none" w:sz="0" w:space="0" w:color="auto"/>
                                            <w:left w:val="none" w:sz="0" w:space="0" w:color="auto"/>
                                            <w:bottom w:val="none" w:sz="0" w:space="0" w:color="auto"/>
                                            <w:right w:val="none" w:sz="0" w:space="0" w:color="auto"/>
                                          </w:divBdr>
                                          <w:divsChild>
                                            <w:div w:id="1153185312">
                                              <w:marLeft w:val="0"/>
                                              <w:marRight w:val="0"/>
                                              <w:marTop w:val="0"/>
                                              <w:marBottom w:val="0"/>
                                              <w:divBdr>
                                                <w:top w:val="none" w:sz="0" w:space="0" w:color="auto"/>
                                                <w:left w:val="none" w:sz="0" w:space="0" w:color="auto"/>
                                                <w:bottom w:val="none" w:sz="0" w:space="0" w:color="auto"/>
                                                <w:right w:val="none" w:sz="0" w:space="0" w:color="auto"/>
                                              </w:divBdr>
                                              <w:divsChild>
                                                <w:div w:id="543713446">
                                                  <w:marLeft w:val="0"/>
                                                  <w:marRight w:val="0"/>
                                                  <w:marTop w:val="0"/>
                                                  <w:marBottom w:val="0"/>
                                                  <w:divBdr>
                                                    <w:top w:val="none" w:sz="0" w:space="0" w:color="auto"/>
                                                    <w:left w:val="none" w:sz="0" w:space="0" w:color="auto"/>
                                                    <w:bottom w:val="none" w:sz="0" w:space="0" w:color="auto"/>
                                                    <w:right w:val="none" w:sz="0" w:space="0" w:color="auto"/>
                                                  </w:divBdr>
                                                  <w:divsChild>
                                                    <w:div w:id="1908685749">
                                                      <w:marLeft w:val="0"/>
                                                      <w:marRight w:val="0"/>
                                                      <w:marTop w:val="0"/>
                                                      <w:marBottom w:val="0"/>
                                                      <w:divBdr>
                                                        <w:top w:val="single" w:sz="6" w:space="0" w:color="ABABAB"/>
                                                        <w:left w:val="single" w:sz="6" w:space="0" w:color="ABABAB"/>
                                                        <w:bottom w:val="none" w:sz="0" w:space="0" w:color="auto"/>
                                                        <w:right w:val="single" w:sz="6" w:space="0" w:color="ABABAB"/>
                                                      </w:divBdr>
                                                      <w:divsChild>
                                                        <w:div w:id="322395542">
                                                          <w:marLeft w:val="0"/>
                                                          <w:marRight w:val="0"/>
                                                          <w:marTop w:val="0"/>
                                                          <w:marBottom w:val="0"/>
                                                          <w:divBdr>
                                                            <w:top w:val="none" w:sz="0" w:space="0" w:color="auto"/>
                                                            <w:left w:val="none" w:sz="0" w:space="0" w:color="auto"/>
                                                            <w:bottom w:val="none" w:sz="0" w:space="0" w:color="auto"/>
                                                            <w:right w:val="none" w:sz="0" w:space="0" w:color="auto"/>
                                                          </w:divBdr>
                                                          <w:divsChild>
                                                            <w:div w:id="2146922117">
                                                              <w:marLeft w:val="0"/>
                                                              <w:marRight w:val="0"/>
                                                              <w:marTop w:val="0"/>
                                                              <w:marBottom w:val="0"/>
                                                              <w:divBdr>
                                                                <w:top w:val="none" w:sz="0" w:space="0" w:color="auto"/>
                                                                <w:left w:val="none" w:sz="0" w:space="0" w:color="auto"/>
                                                                <w:bottom w:val="none" w:sz="0" w:space="0" w:color="auto"/>
                                                                <w:right w:val="none" w:sz="0" w:space="0" w:color="auto"/>
                                                              </w:divBdr>
                                                              <w:divsChild>
                                                                <w:div w:id="1302465493">
                                                                  <w:marLeft w:val="0"/>
                                                                  <w:marRight w:val="0"/>
                                                                  <w:marTop w:val="0"/>
                                                                  <w:marBottom w:val="0"/>
                                                                  <w:divBdr>
                                                                    <w:top w:val="none" w:sz="0" w:space="0" w:color="auto"/>
                                                                    <w:left w:val="none" w:sz="0" w:space="0" w:color="auto"/>
                                                                    <w:bottom w:val="none" w:sz="0" w:space="0" w:color="auto"/>
                                                                    <w:right w:val="none" w:sz="0" w:space="0" w:color="auto"/>
                                                                  </w:divBdr>
                                                                  <w:divsChild>
                                                                    <w:div w:id="1740250239">
                                                                      <w:marLeft w:val="0"/>
                                                                      <w:marRight w:val="0"/>
                                                                      <w:marTop w:val="0"/>
                                                                      <w:marBottom w:val="0"/>
                                                                      <w:divBdr>
                                                                        <w:top w:val="none" w:sz="0" w:space="0" w:color="auto"/>
                                                                        <w:left w:val="none" w:sz="0" w:space="0" w:color="auto"/>
                                                                        <w:bottom w:val="none" w:sz="0" w:space="0" w:color="auto"/>
                                                                        <w:right w:val="none" w:sz="0" w:space="0" w:color="auto"/>
                                                                      </w:divBdr>
                                                                      <w:divsChild>
                                                                        <w:div w:id="1609893077">
                                                                          <w:marLeft w:val="0"/>
                                                                          <w:marRight w:val="0"/>
                                                                          <w:marTop w:val="0"/>
                                                                          <w:marBottom w:val="0"/>
                                                                          <w:divBdr>
                                                                            <w:top w:val="none" w:sz="0" w:space="0" w:color="auto"/>
                                                                            <w:left w:val="none" w:sz="0" w:space="0" w:color="auto"/>
                                                                            <w:bottom w:val="none" w:sz="0" w:space="0" w:color="auto"/>
                                                                            <w:right w:val="none" w:sz="0" w:space="0" w:color="auto"/>
                                                                          </w:divBdr>
                                                                          <w:divsChild>
                                                                            <w:div w:id="1580820833">
                                                                              <w:marLeft w:val="0"/>
                                                                              <w:marRight w:val="0"/>
                                                                              <w:marTop w:val="0"/>
                                                                              <w:marBottom w:val="0"/>
                                                                              <w:divBdr>
                                                                                <w:top w:val="none" w:sz="0" w:space="0" w:color="auto"/>
                                                                                <w:left w:val="none" w:sz="0" w:space="0" w:color="auto"/>
                                                                                <w:bottom w:val="none" w:sz="0" w:space="0" w:color="auto"/>
                                                                                <w:right w:val="none" w:sz="0" w:space="0" w:color="auto"/>
                                                                              </w:divBdr>
                                                                              <w:divsChild>
                                                                                <w:div w:id="24256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8859449">
      <w:bodyDiv w:val="1"/>
      <w:marLeft w:val="0"/>
      <w:marRight w:val="0"/>
      <w:marTop w:val="0"/>
      <w:marBottom w:val="0"/>
      <w:divBdr>
        <w:top w:val="none" w:sz="0" w:space="0" w:color="auto"/>
        <w:left w:val="none" w:sz="0" w:space="0" w:color="auto"/>
        <w:bottom w:val="none" w:sz="0" w:space="0" w:color="auto"/>
        <w:right w:val="none" w:sz="0" w:space="0" w:color="auto"/>
      </w:divBdr>
    </w:div>
    <w:div w:id="1076325429">
      <w:bodyDiv w:val="1"/>
      <w:marLeft w:val="0"/>
      <w:marRight w:val="0"/>
      <w:marTop w:val="0"/>
      <w:marBottom w:val="0"/>
      <w:divBdr>
        <w:top w:val="none" w:sz="0" w:space="0" w:color="auto"/>
        <w:left w:val="none" w:sz="0" w:space="0" w:color="auto"/>
        <w:bottom w:val="none" w:sz="0" w:space="0" w:color="auto"/>
        <w:right w:val="none" w:sz="0" w:space="0" w:color="auto"/>
      </w:divBdr>
    </w:div>
    <w:div w:id="1127235356">
      <w:bodyDiv w:val="1"/>
      <w:marLeft w:val="0"/>
      <w:marRight w:val="0"/>
      <w:marTop w:val="0"/>
      <w:marBottom w:val="0"/>
      <w:divBdr>
        <w:top w:val="none" w:sz="0" w:space="0" w:color="auto"/>
        <w:left w:val="none" w:sz="0" w:space="0" w:color="auto"/>
        <w:bottom w:val="none" w:sz="0" w:space="0" w:color="auto"/>
        <w:right w:val="none" w:sz="0" w:space="0" w:color="auto"/>
      </w:divBdr>
    </w:div>
    <w:div w:id="1218973612">
      <w:bodyDiv w:val="1"/>
      <w:marLeft w:val="0"/>
      <w:marRight w:val="0"/>
      <w:marTop w:val="0"/>
      <w:marBottom w:val="0"/>
      <w:divBdr>
        <w:top w:val="none" w:sz="0" w:space="0" w:color="auto"/>
        <w:left w:val="none" w:sz="0" w:space="0" w:color="auto"/>
        <w:bottom w:val="none" w:sz="0" w:space="0" w:color="auto"/>
        <w:right w:val="none" w:sz="0" w:space="0" w:color="auto"/>
      </w:divBdr>
      <w:divsChild>
        <w:div w:id="143864032">
          <w:marLeft w:val="0"/>
          <w:marRight w:val="0"/>
          <w:marTop w:val="0"/>
          <w:marBottom w:val="0"/>
          <w:divBdr>
            <w:top w:val="none" w:sz="0" w:space="0" w:color="auto"/>
            <w:left w:val="none" w:sz="0" w:space="0" w:color="auto"/>
            <w:bottom w:val="none" w:sz="0" w:space="0" w:color="auto"/>
            <w:right w:val="none" w:sz="0" w:space="0" w:color="auto"/>
          </w:divBdr>
        </w:div>
        <w:div w:id="186213688">
          <w:marLeft w:val="0"/>
          <w:marRight w:val="0"/>
          <w:marTop w:val="0"/>
          <w:marBottom w:val="0"/>
          <w:divBdr>
            <w:top w:val="none" w:sz="0" w:space="0" w:color="auto"/>
            <w:left w:val="none" w:sz="0" w:space="0" w:color="auto"/>
            <w:bottom w:val="none" w:sz="0" w:space="0" w:color="auto"/>
            <w:right w:val="none" w:sz="0" w:space="0" w:color="auto"/>
          </w:divBdr>
        </w:div>
        <w:div w:id="324288202">
          <w:marLeft w:val="0"/>
          <w:marRight w:val="0"/>
          <w:marTop w:val="0"/>
          <w:marBottom w:val="0"/>
          <w:divBdr>
            <w:top w:val="none" w:sz="0" w:space="0" w:color="auto"/>
            <w:left w:val="none" w:sz="0" w:space="0" w:color="auto"/>
            <w:bottom w:val="none" w:sz="0" w:space="0" w:color="auto"/>
            <w:right w:val="none" w:sz="0" w:space="0" w:color="auto"/>
          </w:divBdr>
        </w:div>
        <w:div w:id="527107444">
          <w:marLeft w:val="0"/>
          <w:marRight w:val="0"/>
          <w:marTop w:val="0"/>
          <w:marBottom w:val="0"/>
          <w:divBdr>
            <w:top w:val="none" w:sz="0" w:space="0" w:color="auto"/>
            <w:left w:val="none" w:sz="0" w:space="0" w:color="auto"/>
            <w:bottom w:val="none" w:sz="0" w:space="0" w:color="auto"/>
            <w:right w:val="none" w:sz="0" w:space="0" w:color="auto"/>
          </w:divBdr>
        </w:div>
        <w:div w:id="595602768">
          <w:marLeft w:val="0"/>
          <w:marRight w:val="0"/>
          <w:marTop w:val="0"/>
          <w:marBottom w:val="0"/>
          <w:divBdr>
            <w:top w:val="none" w:sz="0" w:space="0" w:color="auto"/>
            <w:left w:val="none" w:sz="0" w:space="0" w:color="auto"/>
            <w:bottom w:val="none" w:sz="0" w:space="0" w:color="auto"/>
            <w:right w:val="none" w:sz="0" w:space="0" w:color="auto"/>
          </w:divBdr>
        </w:div>
        <w:div w:id="677586550">
          <w:marLeft w:val="0"/>
          <w:marRight w:val="0"/>
          <w:marTop w:val="0"/>
          <w:marBottom w:val="0"/>
          <w:divBdr>
            <w:top w:val="none" w:sz="0" w:space="0" w:color="auto"/>
            <w:left w:val="none" w:sz="0" w:space="0" w:color="auto"/>
            <w:bottom w:val="none" w:sz="0" w:space="0" w:color="auto"/>
            <w:right w:val="none" w:sz="0" w:space="0" w:color="auto"/>
          </w:divBdr>
        </w:div>
        <w:div w:id="805396634">
          <w:marLeft w:val="0"/>
          <w:marRight w:val="0"/>
          <w:marTop w:val="0"/>
          <w:marBottom w:val="0"/>
          <w:divBdr>
            <w:top w:val="none" w:sz="0" w:space="0" w:color="auto"/>
            <w:left w:val="none" w:sz="0" w:space="0" w:color="auto"/>
            <w:bottom w:val="none" w:sz="0" w:space="0" w:color="auto"/>
            <w:right w:val="none" w:sz="0" w:space="0" w:color="auto"/>
          </w:divBdr>
        </w:div>
        <w:div w:id="825509132">
          <w:marLeft w:val="0"/>
          <w:marRight w:val="0"/>
          <w:marTop w:val="0"/>
          <w:marBottom w:val="0"/>
          <w:divBdr>
            <w:top w:val="none" w:sz="0" w:space="0" w:color="auto"/>
            <w:left w:val="none" w:sz="0" w:space="0" w:color="auto"/>
            <w:bottom w:val="none" w:sz="0" w:space="0" w:color="auto"/>
            <w:right w:val="none" w:sz="0" w:space="0" w:color="auto"/>
          </w:divBdr>
        </w:div>
        <w:div w:id="1118840140">
          <w:marLeft w:val="0"/>
          <w:marRight w:val="0"/>
          <w:marTop w:val="0"/>
          <w:marBottom w:val="0"/>
          <w:divBdr>
            <w:top w:val="none" w:sz="0" w:space="0" w:color="auto"/>
            <w:left w:val="none" w:sz="0" w:space="0" w:color="auto"/>
            <w:bottom w:val="none" w:sz="0" w:space="0" w:color="auto"/>
            <w:right w:val="none" w:sz="0" w:space="0" w:color="auto"/>
          </w:divBdr>
        </w:div>
        <w:div w:id="1120805804">
          <w:marLeft w:val="0"/>
          <w:marRight w:val="0"/>
          <w:marTop w:val="0"/>
          <w:marBottom w:val="0"/>
          <w:divBdr>
            <w:top w:val="none" w:sz="0" w:space="0" w:color="auto"/>
            <w:left w:val="none" w:sz="0" w:space="0" w:color="auto"/>
            <w:bottom w:val="none" w:sz="0" w:space="0" w:color="auto"/>
            <w:right w:val="none" w:sz="0" w:space="0" w:color="auto"/>
          </w:divBdr>
        </w:div>
        <w:div w:id="1217425217">
          <w:marLeft w:val="0"/>
          <w:marRight w:val="0"/>
          <w:marTop w:val="0"/>
          <w:marBottom w:val="0"/>
          <w:divBdr>
            <w:top w:val="none" w:sz="0" w:space="0" w:color="auto"/>
            <w:left w:val="none" w:sz="0" w:space="0" w:color="auto"/>
            <w:bottom w:val="none" w:sz="0" w:space="0" w:color="auto"/>
            <w:right w:val="none" w:sz="0" w:space="0" w:color="auto"/>
          </w:divBdr>
        </w:div>
        <w:div w:id="1328290159">
          <w:marLeft w:val="0"/>
          <w:marRight w:val="0"/>
          <w:marTop w:val="0"/>
          <w:marBottom w:val="0"/>
          <w:divBdr>
            <w:top w:val="none" w:sz="0" w:space="0" w:color="auto"/>
            <w:left w:val="none" w:sz="0" w:space="0" w:color="auto"/>
            <w:bottom w:val="none" w:sz="0" w:space="0" w:color="auto"/>
            <w:right w:val="none" w:sz="0" w:space="0" w:color="auto"/>
          </w:divBdr>
        </w:div>
        <w:div w:id="1409578241">
          <w:marLeft w:val="0"/>
          <w:marRight w:val="0"/>
          <w:marTop w:val="0"/>
          <w:marBottom w:val="0"/>
          <w:divBdr>
            <w:top w:val="none" w:sz="0" w:space="0" w:color="auto"/>
            <w:left w:val="none" w:sz="0" w:space="0" w:color="auto"/>
            <w:bottom w:val="none" w:sz="0" w:space="0" w:color="auto"/>
            <w:right w:val="none" w:sz="0" w:space="0" w:color="auto"/>
          </w:divBdr>
        </w:div>
        <w:div w:id="1489903006">
          <w:marLeft w:val="0"/>
          <w:marRight w:val="0"/>
          <w:marTop w:val="0"/>
          <w:marBottom w:val="0"/>
          <w:divBdr>
            <w:top w:val="none" w:sz="0" w:space="0" w:color="auto"/>
            <w:left w:val="none" w:sz="0" w:space="0" w:color="auto"/>
            <w:bottom w:val="none" w:sz="0" w:space="0" w:color="auto"/>
            <w:right w:val="none" w:sz="0" w:space="0" w:color="auto"/>
          </w:divBdr>
        </w:div>
        <w:div w:id="1870364494">
          <w:marLeft w:val="0"/>
          <w:marRight w:val="0"/>
          <w:marTop w:val="0"/>
          <w:marBottom w:val="0"/>
          <w:divBdr>
            <w:top w:val="none" w:sz="0" w:space="0" w:color="auto"/>
            <w:left w:val="none" w:sz="0" w:space="0" w:color="auto"/>
            <w:bottom w:val="none" w:sz="0" w:space="0" w:color="auto"/>
            <w:right w:val="none" w:sz="0" w:space="0" w:color="auto"/>
          </w:divBdr>
        </w:div>
        <w:div w:id="1881286050">
          <w:marLeft w:val="0"/>
          <w:marRight w:val="0"/>
          <w:marTop w:val="0"/>
          <w:marBottom w:val="0"/>
          <w:divBdr>
            <w:top w:val="none" w:sz="0" w:space="0" w:color="auto"/>
            <w:left w:val="none" w:sz="0" w:space="0" w:color="auto"/>
            <w:bottom w:val="none" w:sz="0" w:space="0" w:color="auto"/>
            <w:right w:val="none" w:sz="0" w:space="0" w:color="auto"/>
          </w:divBdr>
        </w:div>
        <w:div w:id="1938096750">
          <w:marLeft w:val="0"/>
          <w:marRight w:val="0"/>
          <w:marTop w:val="0"/>
          <w:marBottom w:val="0"/>
          <w:divBdr>
            <w:top w:val="none" w:sz="0" w:space="0" w:color="auto"/>
            <w:left w:val="none" w:sz="0" w:space="0" w:color="auto"/>
            <w:bottom w:val="none" w:sz="0" w:space="0" w:color="auto"/>
            <w:right w:val="none" w:sz="0" w:space="0" w:color="auto"/>
          </w:divBdr>
        </w:div>
      </w:divsChild>
    </w:div>
    <w:div w:id="1343509629">
      <w:bodyDiv w:val="1"/>
      <w:marLeft w:val="0"/>
      <w:marRight w:val="0"/>
      <w:marTop w:val="0"/>
      <w:marBottom w:val="0"/>
      <w:divBdr>
        <w:top w:val="none" w:sz="0" w:space="0" w:color="auto"/>
        <w:left w:val="none" w:sz="0" w:space="0" w:color="auto"/>
        <w:bottom w:val="none" w:sz="0" w:space="0" w:color="auto"/>
        <w:right w:val="none" w:sz="0" w:space="0" w:color="auto"/>
      </w:divBdr>
    </w:div>
    <w:div w:id="1373463455">
      <w:bodyDiv w:val="1"/>
      <w:marLeft w:val="0"/>
      <w:marRight w:val="0"/>
      <w:marTop w:val="0"/>
      <w:marBottom w:val="0"/>
      <w:divBdr>
        <w:top w:val="none" w:sz="0" w:space="0" w:color="auto"/>
        <w:left w:val="none" w:sz="0" w:space="0" w:color="auto"/>
        <w:bottom w:val="none" w:sz="0" w:space="0" w:color="auto"/>
        <w:right w:val="none" w:sz="0" w:space="0" w:color="auto"/>
      </w:divBdr>
    </w:div>
    <w:div w:id="1440221157">
      <w:bodyDiv w:val="1"/>
      <w:marLeft w:val="0"/>
      <w:marRight w:val="0"/>
      <w:marTop w:val="0"/>
      <w:marBottom w:val="0"/>
      <w:divBdr>
        <w:top w:val="none" w:sz="0" w:space="0" w:color="auto"/>
        <w:left w:val="none" w:sz="0" w:space="0" w:color="auto"/>
        <w:bottom w:val="none" w:sz="0" w:space="0" w:color="auto"/>
        <w:right w:val="none" w:sz="0" w:space="0" w:color="auto"/>
      </w:divBdr>
    </w:div>
    <w:div w:id="1647976653">
      <w:bodyDiv w:val="1"/>
      <w:marLeft w:val="0"/>
      <w:marRight w:val="0"/>
      <w:marTop w:val="0"/>
      <w:marBottom w:val="0"/>
      <w:divBdr>
        <w:top w:val="none" w:sz="0" w:space="0" w:color="auto"/>
        <w:left w:val="none" w:sz="0" w:space="0" w:color="auto"/>
        <w:bottom w:val="none" w:sz="0" w:space="0" w:color="auto"/>
        <w:right w:val="none" w:sz="0" w:space="0" w:color="auto"/>
      </w:divBdr>
    </w:div>
    <w:div w:id="1704676054">
      <w:bodyDiv w:val="1"/>
      <w:marLeft w:val="0"/>
      <w:marRight w:val="0"/>
      <w:marTop w:val="0"/>
      <w:marBottom w:val="0"/>
      <w:divBdr>
        <w:top w:val="none" w:sz="0" w:space="0" w:color="auto"/>
        <w:left w:val="none" w:sz="0" w:space="0" w:color="auto"/>
        <w:bottom w:val="none" w:sz="0" w:space="0" w:color="auto"/>
        <w:right w:val="none" w:sz="0" w:space="0" w:color="auto"/>
      </w:divBdr>
    </w:div>
    <w:div w:id="181182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385627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Baladi Rodriguez,Aziz</Document_x0020_Author>
    <Document_x0020_Language_x0020_IDB xmlns="cdc7663a-08f0-4737-9e8c-148ce897a09c">Spanish</Document_x0020_Language_x0020_IDB>
    <TaxCatchAll xmlns="cdc7663a-08f0-4737-9e8c-148ce897a09c">
      <Value>33</Value>
      <Value>25</Value>
      <Value>26</Value>
      <Value>32</Value>
      <Value>1</Value>
    </TaxCatchAll>
    <Identifier xmlns="cdc7663a-08f0-4737-9e8c-148ce897a09c" xsi:nil="true"/>
    <_dlc_DocId xmlns="cdc7663a-08f0-4737-9e8c-148ce897a09c">EZSHARE-1644203697-51</_dlc_DocId>
    <_dlc_DocIdUrl xmlns="cdc7663a-08f0-4737-9e8c-148ce897a09c">
      <Url>https://idbg.sharepoint.com/teams/EZ-HO-LON/HO-L1198/_layouts/15/DocIdRedir.aspx?ID=EZSHARE-1644203697-51</Url>
      <Description>EZSHARE-1644203697-51</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0f151751-6416-4989-96c6-78ae1be43d3a</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Operation_x0020_Type xmlns="cdc7663a-08f0-4737-9e8c-148ce897a09c">Loan Operation</Operation_x0020_Type>
    <Package_x0020_Code xmlns="cdc7663a-08f0-4737-9e8c-148ce897a09c" xsi:nil="true"/>
    <Project_x0020_Number xmlns="cdc7663a-08f0-4737-9e8c-148ce897a09c">HO-L1198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R0002438755</Record_x0020_Numbe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A9D38138A405E49B8796F005EC87222" ma:contentTypeVersion="348" ma:contentTypeDescription="A content type to manage public (operations) IDB documents" ma:contentTypeScope="" ma:versionID="92deeef17ed5398a873b0fd5adbd11fc">
  <xsd:schema xmlns:xsd="http://www.w3.org/2001/XMLSchema" xmlns:xs="http://www.w3.org/2001/XMLSchema" xmlns:p="http://schemas.microsoft.com/office/2006/metadata/properties" xmlns:ns2="cdc7663a-08f0-4737-9e8c-148ce897a09c" targetNamespace="http://schemas.microsoft.com/office/2006/metadata/properties" ma:root="true" ma:fieldsID="07d0529ea2467e5778bf39222681e4f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L119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4B564-42B7-417E-A09C-8468903C27B9}">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cdc7663a-08f0-4737-9e8c-148ce897a09c"/>
    <ds:schemaRef ds:uri="http://www.w3.org/XML/1998/namespace"/>
    <ds:schemaRef ds:uri="http://purl.org/dc/dcmitype/"/>
  </ds:schemaRefs>
</ds:datastoreItem>
</file>

<file path=customXml/itemProps10.xml><?xml version="1.0" encoding="utf-8"?>
<ds:datastoreItem xmlns:ds="http://schemas.openxmlformats.org/officeDocument/2006/customXml" ds:itemID="{9DD59CA5-277B-4661-9B46-8C20870FA6FF}">
  <ds:schemaRefs>
    <ds:schemaRef ds:uri="http://schemas.openxmlformats.org/officeDocument/2006/bibliography"/>
  </ds:schemaRefs>
</ds:datastoreItem>
</file>

<file path=customXml/itemProps2.xml><?xml version="1.0" encoding="utf-8"?>
<ds:datastoreItem xmlns:ds="http://schemas.openxmlformats.org/officeDocument/2006/customXml" ds:itemID="{E1C95E2A-3350-4643-9E86-136D97323315}"/>
</file>

<file path=customXml/itemProps3.xml><?xml version="1.0" encoding="utf-8"?>
<ds:datastoreItem xmlns:ds="http://schemas.openxmlformats.org/officeDocument/2006/customXml" ds:itemID="{71137BCF-EDDE-447A-9102-467A6C899FCD}">
  <ds:schemaRefs>
    <ds:schemaRef ds:uri="http://schemas.microsoft.com/sharepoint/v3/contenttype/forms"/>
  </ds:schemaRefs>
</ds:datastoreItem>
</file>

<file path=customXml/itemProps4.xml><?xml version="1.0" encoding="utf-8"?>
<ds:datastoreItem xmlns:ds="http://schemas.openxmlformats.org/officeDocument/2006/customXml" ds:itemID="{B17BAB1E-6B48-4299-8A19-F308035A2A2A}"/>
</file>

<file path=customXml/itemProps5.xml><?xml version="1.0" encoding="utf-8"?>
<ds:datastoreItem xmlns:ds="http://schemas.openxmlformats.org/officeDocument/2006/customXml" ds:itemID="{30030DF9-F747-4BB8-8DB0-C312F8A0DF3E}"/>
</file>

<file path=customXml/itemProps6.xml><?xml version="1.0" encoding="utf-8"?>
<ds:datastoreItem xmlns:ds="http://schemas.openxmlformats.org/officeDocument/2006/customXml" ds:itemID="{613ED0EC-5CA4-4274-A428-7EB296DB6767}">
  <ds:schemaRefs>
    <ds:schemaRef ds:uri="http://schemas.microsoft.com/sharepoint/events"/>
  </ds:schemaRefs>
</ds:datastoreItem>
</file>

<file path=customXml/itemProps7.xml><?xml version="1.0" encoding="utf-8"?>
<ds:datastoreItem xmlns:ds="http://schemas.openxmlformats.org/officeDocument/2006/customXml" ds:itemID="{C717D06A-DB14-4548-A3A1-EC2BD0B4F02A}">
  <ds:schemaRefs>
    <ds:schemaRef ds:uri="http://schemas.openxmlformats.org/officeDocument/2006/bibliography"/>
  </ds:schemaRefs>
</ds:datastoreItem>
</file>

<file path=customXml/itemProps8.xml><?xml version="1.0" encoding="utf-8"?>
<ds:datastoreItem xmlns:ds="http://schemas.openxmlformats.org/officeDocument/2006/customXml" ds:itemID="{2336A465-F56B-4BAC-9325-E24152F7538B}">
  <ds:schemaRefs>
    <ds:schemaRef ds:uri="http://schemas.openxmlformats.org/officeDocument/2006/bibliography"/>
  </ds:schemaRefs>
</ds:datastoreItem>
</file>

<file path=customXml/itemProps9.xml><?xml version="1.0" encoding="utf-8"?>
<ds:datastoreItem xmlns:ds="http://schemas.openxmlformats.org/officeDocument/2006/customXml" ds:itemID="{050053E9-9BB9-4FFA-8F1F-09FC86AB5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2218</Words>
  <Characters>12582</Characters>
  <Application>Microsoft Office Word</Application>
  <DocSecurity>0</DocSecurity>
  <Lines>237</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TeodoroZ</dc:creator>
  <cp:keywords/>
  <dc:description/>
  <cp:lastModifiedBy>Baladi Rodriguez, Aziz</cp:lastModifiedBy>
  <cp:revision>4</cp:revision>
  <cp:lastPrinted>2013-12-02T21:23:00Z</cp:lastPrinted>
  <dcterms:created xsi:type="dcterms:W3CDTF">2018-09-21T22:07:00Z</dcterms:created>
  <dcterms:modified xsi:type="dcterms:W3CDTF">2018-09-26T21:52:00Z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29;#Guideline|b87520e0-9f78-4604-afc7-b360fd9c6e69</vt:lpwstr>
  </property>
  <property fmtid="{D5CDD505-2E9C-101B-9397-08002B2CF9AE}" pid="5" name="TaxKeywordTaxHTField">
    <vt:lpwstr/>
  </property>
  <property fmtid="{D5CDD505-2E9C-101B-9397-08002B2CF9AE}" pid="6" name="Country">
    <vt:lpwstr>26;#Honduras|0dd9f989-602d-4742-8212-5c1b8b0b74d5</vt:lpwstr>
  </property>
  <property fmtid="{D5CDD505-2E9C-101B-9397-08002B2CF9AE}" pid="7" name="Function Corporate IDB">
    <vt:lpwstr>4;#Guideline, Standard and Policy|55052825-ede1-4fc0-9b73-7b2230e7239d</vt:lpwstr>
  </property>
  <property fmtid="{D5CDD505-2E9C-101B-9397-08002B2CF9AE}" pid="8" name="_dlc_DocIdItemGuid">
    <vt:lpwstr>39b4c443-73cd-4069-b1ea-da5cd611b577</vt:lpwstr>
  </property>
  <property fmtid="{D5CDD505-2E9C-101B-9397-08002B2CF9AE}" pid="9" name="Sub-Sector">
    <vt:lpwstr>32;#TRANSPORT|0f151751-6416-4989-96c6-78ae1be43d3a</vt:lpwstr>
  </property>
  <property fmtid="{D5CDD505-2E9C-101B-9397-08002B2CF9AE}" pid="10" name="Series Operations IDB">
    <vt:lpwstr/>
  </property>
  <property fmtid="{D5CDD505-2E9C-101B-9397-08002B2CF9AE}" pid="11" name="Fund IDB">
    <vt:lpwstr>25;#BLD|60acb4c1-0ef3-40ba-9d70-f741cd9e6c23</vt:lpwstr>
  </property>
  <property fmtid="{D5CDD505-2E9C-101B-9397-08002B2CF9AE}" pid="12" name="Sector IDB">
    <vt:lpwstr>33;#TRANSPORT|5a25d1a8-4baf-41a8-9e3b-e167accda6ea</vt:lpwstr>
  </property>
  <property fmtid="{D5CDD505-2E9C-101B-9397-08002B2CF9AE}" pid="13" name="Function Operations IDB">
    <vt:lpwstr>1;#Project Preparation, Planning and Design|29ca0c72-1fc4-435f-a09c-28585cb5eac9</vt:lpwstr>
  </property>
  <property fmtid="{D5CDD505-2E9C-101B-9397-08002B2CF9AE}" pid="14" name="Disclosure Activity">
    <vt:lpwstr>Loan Proposal</vt:lpwstr>
  </property>
  <property fmtid="{D5CDD505-2E9C-101B-9397-08002B2CF9AE}" pid="15" name="ContentTypeId">
    <vt:lpwstr>0x0101001A458A224826124E8B45B1D613300CFC006A9D38138A405E49B8796F005EC87222</vt:lpwstr>
  </property>
</Properties>
</file>