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F245E" w14:textId="77777777" w:rsidR="00D365FF" w:rsidRPr="00C3216A" w:rsidRDefault="00D365FF" w:rsidP="00D365FF">
      <w:pPr>
        <w:tabs>
          <w:tab w:val="left" w:pos="1440"/>
          <w:tab w:val="left" w:pos="3060"/>
        </w:tabs>
        <w:jc w:val="center"/>
        <w:rPr>
          <w:rFonts w:cs="Arial"/>
          <w:b/>
          <w:smallCaps/>
          <w:szCs w:val="24"/>
          <w:lang w:val="es-ES"/>
        </w:rPr>
      </w:pPr>
      <w:bookmarkStart w:id="0" w:name="_Hlk495873104"/>
      <w:bookmarkEnd w:id="0"/>
      <w:r w:rsidRPr="00C3216A">
        <w:rPr>
          <w:rFonts w:cs="Arial"/>
          <w:b/>
          <w:smallCaps/>
          <w:szCs w:val="24"/>
          <w:lang w:val="es-ES"/>
        </w:rPr>
        <w:t>Documento del Banco Interamericano de Desarrollo</w:t>
      </w:r>
    </w:p>
    <w:p w14:paraId="3322CFC3" w14:textId="77777777" w:rsidR="00D365FF" w:rsidRPr="00C3216A" w:rsidRDefault="00D365FF" w:rsidP="00D365FF">
      <w:pPr>
        <w:jc w:val="center"/>
        <w:rPr>
          <w:rFonts w:cs="Arial"/>
          <w:b/>
          <w:lang w:val="es-ES"/>
        </w:rPr>
      </w:pPr>
    </w:p>
    <w:p w14:paraId="59894CB9" w14:textId="77777777" w:rsidR="00D365FF" w:rsidRPr="00C3216A" w:rsidRDefault="00D365FF" w:rsidP="00D365FF">
      <w:pPr>
        <w:tabs>
          <w:tab w:val="left" w:pos="1440"/>
          <w:tab w:val="left" w:pos="3060"/>
        </w:tabs>
        <w:jc w:val="center"/>
        <w:rPr>
          <w:rFonts w:cs="Arial"/>
          <w:b/>
          <w:smallCaps/>
          <w:lang w:val="es-ES"/>
        </w:rPr>
      </w:pPr>
    </w:p>
    <w:p w14:paraId="035129BB" w14:textId="77777777" w:rsidR="00D365FF" w:rsidRPr="00C3216A" w:rsidRDefault="00D365FF" w:rsidP="00D365FF">
      <w:pPr>
        <w:tabs>
          <w:tab w:val="left" w:pos="1440"/>
          <w:tab w:val="left" w:pos="3060"/>
        </w:tabs>
        <w:jc w:val="center"/>
        <w:rPr>
          <w:rFonts w:cs="Arial"/>
          <w:b/>
          <w:smallCaps/>
          <w:lang w:val="es-ES"/>
        </w:rPr>
      </w:pPr>
    </w:p>
    <w:p w14:paraId="5BBA9A36" w14:textId="77777777" w:rsidR="00D365FF" w:rsidRPr="00C3216A" w:rsidRDefault="00D365FF" w:rsidP="00D365FF">
      <w:pPr>
        <w:tabs>
          <w:tab w:val="left" w:pos="1440"/>
          <w:tab w:val="left" w:pos="3060"/>
        </w:tabs>
        <w:jc w:val="center"/>
        <w:rPr>
          <w:rFonts w:cs="Arial"/>
          <w:b/>
          <w:smallCaps/>
          <w:lang w:val="es-ES"/>
        </w:rPr>
      </w:pPr>
    </w:p>
    <w:p w14:paraId="20BAFB10" w14:textId="77777777" w:rsidR="00D365FF" w:rsidRPr="00C3216A" w:rsidRDefault="00D365FF" w:rsidP="00D365FF">
      <w:pPr>
        <w:tabs>
          <w:tab w:val="left" w:pos="1440"/>
          <w:tab w:val="left" w:pos="3060"/>
        </w:tabs>
        <w:jc w:val="center"/>
        <w:rPr>
          <w:rFonts w:cs="Arial"/>
          <w:b/>
          <w:smallCaps/>
          <w:lang w:val="es-ES"/>
        </w:rPr>
      </w:pPr>
    </w:p>
    <w:p w14:paraId="403E5F71" w14:textId="77777777" w:rsidR="00D365FF" w:rsidRPr="00C3216A" w:rsidRDefault="00D365FF" w:rsidP="00D365FF">
      <w:pPr>
        <w:tabs>
          <w:tab w:val="left" w:pos="1440"/>
          <w:tab w:val="left" w:pos="3060"/>
        </w:tabs>
        <w:jc w:val="center"/>
        <w:rPr>
          <w:rFonts w:cs="Arial"/>
          <w:b/>
          <w:smallCaps/>
          <w:lang w:val="es-ES"/>
        </w:rPr>
      </w:pPr>
    </w:p>
    <w:p w14:paraId="33E04898" w14:textId="77777777" w:rsidR="00D365FF" w:rsidRPr="00C3216A" w:rsidRDefault="00D365FF" w:rsidP="00D365FF">
      <w:pPr>
        <w:tabs>
          <w:tab w:val="left" w:pos="1440"/>
          <w:tab w:val="left" w:pos="3060"/>
        </w:tabs>
        <w:jc w:val="center"/>
        <w:rPr>
          <w:rFonts w:cs="Arial"/>
          <w:b/>
          <w:smallCaps/>
          <w:lang w:val="es-ES"/>
        </w:rPr>
      </w:pPr>
    </w:p>
    <w:p w14:paraId="3E4DC131" w14:textId="77777777" w:rsidR="00D365FF" w:rsidRPr="00C3216A" w:rsidRDefault="00D365FF" w:rsidP="00D365FF">
      <w:pPr>
        <w:tabs>
          <w:tab w:val="left" w:pos="1440"/>
          <w:tab w:val="left" w:pos="3060"/>
        </w:tabs>
        <w:jc w:val="center"/>
        <w:rPr>
          <w:rFonts w:cs="Arial"/>
          <w:b/>
          <w:smallCaps/>
          <w:lang w:val="es-ES"/>
        </w:rPr>
      </w:pPr>
    </w:p>
    <w:p w14:paraId="47F943B3" w14:textId="77777777" w:rsidR="00D365FF" w:rsidRPr="00C3216A" w:rsidRDefault="00D365FF" w:rsidP="00D365FF">
      <w:pPr>
        <w:tabs>
          <w:tab w:val="left" w:pos="1440"/>
          <w:tab w:val="left" w:pos="3060"/>
        </w:tabs>
        <w:jc w:val="center"/>
        <w:rPr>
          <w:rFonts w:cs="Arial"/>
          <w:b/>
          <w:smallCaps/>
          <w:lang w:val="es-ES"/>
        </w:rPr>
      </w:pPr>
    </w:p>
    <w:p w14:paraId="40A70E22" w14:textId="77777777" w:rsidR="00D365FF" w:rsidRPr="00C3216A" w:rsidRDefault="00D365FF" w:rsidP="00D365FF">
      <w:pPr>
        <w:tabs>
          <w:tab w:val="left" w:pos="1440"/>
          <w:tab w:val="left" w:pos="3060"/>
        </w:tabs>
        <w:jc w:val="center"/>
        <w:rPr>
          <w:rFonts w:cs="Arial"/>
          <w:b/>
          <w:smallCaps/>
          <w:lang w:val="es-ES"/>
        </w:rPr>
      </w:pPr>
    </w:p>
    <w:p w14:paraId="63D5FB9A" w14:textId="77777777" w:rsidR="00D365FF" w:rsidRPr="00DD27AA" w:rsidRDefault="00D365FF" w:rsidP="00D365FF">
      <w:pPr>
        <w:tabs>
          <w:tab w:val="left" w:pos="1440"/>
          <w:tab w:val="left" w:pos="3060"/>
        </w:tabs>
        <w:jc w:val="center"/>
        <w:rPr>
          <w:rFonts w:cs="Arial"/>
          <w:b/>
          <w:smallCaps/>
          <w:szCs w:val="24"/>
          <w:lang w:val="es-US"/>
        </w:rPr>
      </w:pPr>
      <w:r>
        <w:rPr>
          <w:rFonts w:cs="Arial"/>
          <w:b/>
          <w:smallCaps/>
          <w:szCs w:val="24"/>
          <w:lang w:val="es-ES"/>
        </w:rPr>
        <w:t>Honduras</w:t>
      </w:r>
    </w:p>
    <w:p w14:paraId="23222734" w14:textId="77777777" w:rsidR="00D365FF" w:rsidRPr="00C3216A" w:rsidRDefault="00D365FF" w:rsidP="00D365FF">
      <w:pPr>
        <w:tabs>
          <w:tab w:val="left" w:pos="1440"/>
          <w:tab w:val="left" w:pos="3060"/>
        </w:tabs>
        <w:jc w:val="center"/>
        <w:rPr>
          <w:rFonts w:cs="Arial"/>
          <w:smallCaps/>
          <w:highlight w:val="lightGray"/>
          <w:lang w:val="es-ES"/>
        </w:rPr>
      </w:pPr>
    </w:p>
    <w:p w14:paraId="7046AAB6" w14:textId="77777777" w:rsidR="00D365FF" w:rsidRPr="00C3216A" w:rsidRDefault="00D365FF" w:rsidP="00D365FF">
      <w:pPr>
        <w:tabs>
          <w:tab w:val="left" w:pos="1440"/>
          <w:tab w:val="left" w:pos="3060"/>
        </w:tabs>
        <w:jc w:val="center"/>
        <w:rPr>
          <w:rFonts w:cs="Arial"/>
          <w:b/>
          <w:smallCaps/>
          <w:highlight w:val="lightGray"/>
          <w:lang w:val="es-ES"/>
        </w:rPr>
      </w:pPr>
    </w:p>
    <w:p w14:paraId="62100A7E" w14:textId="77777777" w:rsidR="00D365FF" w:rsidRPr="00C3216A" w:rsidRDefault="00D365FF" w:rsidP="00D365FF">
      <w:pPr>
        <w:tabs>
          <w:tab w:val="left" w:pos="1440"/>
          <w:tab w:val="left" w:pos="3060"/>
        </w:tabs>
        <w:jc w:val="center"/>
        <w:rPr>
          <w:rFonts w:cs="Arial"/>
          <w:b/>
          <w:smallCaps/>
          <w:highlight w:val="lightGray"/>
          <w:lang w:val="es-ES"/>
        </w:rPr>
      </w:pPr>
    </w:p>
    <w:p w14:paraId="1C6F5FB7" w14:textId="77777777" w:rsidR="00D365FF" w:rsidRPr="00C3216A" w:rsidRDefault="00D365FF" w:rsidP="00D365FF">
      <w:pPr>
        <w:tabs>
          <w:tab w:val="left" w:pos="1440"/>
          <w:tab w:val="left" w:pos="3060"/>
        </w:tabs>
        <w:jc w:val="center"/>
        <w:rPr>
          <w:rFonts w:cs="Arial"/>
          <w:b/>
          <w:smallCaps/>
          <w:highlight w:val="lightGray"/>
          <w:lang w:val="es-ES"/>
        </w:rPr>
      </w:pPr>
    </w:p>
    <w:p w14:paraId="77B79E15" w14:textId="77777777" w:rsidR="00D365FF" w:rsidRPr="00C3216A" w:rsidRDefault="00D365FF" w:rsidP="00D365FF">
      <w:pPr>
        <w:tabs>
          <w:tab w:val="left" w:pos="1440"/>
          <w:tab w:val="left" w:pos="3060"/>
        </w:tabs>
        <w:jc w:val="center"/>
        <w:rPr>
          <w:rFonts w:cs="Arial"/>
          <w:b/>
          <w:smallCaps/>
          <w:highlight w:val="lightGray"/>
          <w:lang w:val="es-ES"/>
        </w:rPr>
      </w:pPr>
    </w:p>
    <w:p w14:paraId="5A388B15" w14:textId="77777777" w:rsidR="00D365FF" w:rsidRPr="00C3216A" w:rsidRDefault="00D365FF" w:rsidP="00D365FF">
      <w:pPr>
        <w:tabs>
          <w:tab w:val="left" w:pos="1440"/>
          <w:tab w:val="left" w:pos="3060"/>
        </w:tabs>
        <w:jc w:val="center"/>
        <w:rPr>
          <w:rFonts w:cs="Arial"/>
          <w:b/>
          <w:smallCaps/>
          <w:highlight w:val="lightGray"/>
          <w:lang w:val="es-ES"/>
        </w:rPr>
      </w:pPr>
    </w:p>
    <w:p w14:paraId="463C7D6B" w14:textId="77777777" w:rsidR="00D365FF" w:rsidRPr="00C3216A" w:rsidRDefault="00D365FF" w:rsidP="00D365FF">
      <w:pPr>
        <w:tabs>
          <w:tab w:val="left" w:pos="1440"/>
          <w:tab w:val="left" w:pos="3060"/>
        </w:tabs>
        <w:jc w:val="center"/>
        <w:rPr>
          <w:rFonts w:cs="Arial"/>
          <w:b/>
          <w:smallCaps/>
          <w:highlight w:val="lightGray"/>
          <w:lang w:val="es-ES"/>
        </w:rPr>
      </w:pPr>
    </w:p>
    <w:p w14:paraId="19A45514" w14:textId="77777777" w:rsidR="00D365FF" w:rsidRPr="00C3216A" w:rsidRDefault="00D365FF" w:rsidP="00D365FF">
      <w:pPr>
        <w:jc w:val="center"/>
        <w:rPr>
          <w:rFonts w:cs="Arial"/>
          <w:b/>
          <w:smallCaps/>
          <w:szCs w:val="24"/>
          <w:lang w:val="es-ES"/>
        </w:rPr>
      </w:pPr>
      <w:r w:rsidRPr="00C62491">
        <w:rPr>
          <w:rFonts w:cs="Arial"/>
          <w:b/>
          <w:smallCaps/>
          <w:szCs w:val="24"/>
          <w:lang w:val="es-ES"/>
        </w:rPr>
        <w:t>APOYO AL PROGRAMA NACIONAL DE TRANSMISIÓN</w:t>
      </w:r>
    </w:p>
    <w:p w14:paraId="5060A69F" w14:textId="77777777" w:rsidR="00D365FF" w:rsidRPr="00C3216A" w:rsidRDefault="00D365FF" w:rsidP="00D365FF">
      <w:pPr>
        <w:jc w:val="center"/>
        <w:rPr>
          <w:rFonts w:cs="Arial"/>
          <w:b/>
          <w:smallCaps/>
          <w:szCs w:val="24"/>
          <w:lang w:val="es-ES"/>
        </w:rPr>
      </w:pPr>
    </w:p>
    <w:p w14:paraId="26E5111B" w14:textId="77777777" w:rsidR="00D365FF" w:rsidRPr="00C3216A" w:rsidRDefault="00D365FF" w:rsidP="00D365FF">
      <w:pPr>
        <w:jc w:val="center"/>
        <w:rPr>
          <w:rFonts w:cs="Arial"/>
          <w:b/>
          <w:smallCaps/>
          <w:szCs w:val="24"/>
          <w:lang w:val="es-ES"/>
        </w:rPr>
      </w:pPr>
      <w:r>
        <w:rPr>
          <w:rFonts w:cs="Arial"/>
          <w:b/>
          <w:smallCaps/>
          <w:szCs w:val="24"/>
          <w:lang w:val="es-ES"/>
        </w:rPr>
        <w:t>HO-L1186</w:t>
      </w:r>
    </w:p>
    <w:p w14:paraId="3CCE0F80" w14:textId="77777777" w:rsidR="00D365FF" w:rsidRPr="00C3216A" w:rsidRDefault="00D365FF" w:rsidP="00D365FF">
      <w:pPr>
        <w:pStyle w:val="Newpage"/>
        <w:rPr>
          <w:b w:val="0"/>
          <w:caps/>
          <w:smallCaps w:val="0"/>
          <w:lang w:val="es-ES"/>
        </w:rPr>
      </w:pPr>
    </w:p>
    <w:p w14:paraId="48358168" w14:textId="77777777" w:rsidR="00D365FF" w:rsidRPr="00C3216A" w:rsidRDefault="00D365FF" w:rsidP="00D365FF">
      <w:pPr>
        <w:tabs>
          <w:tab w:val="left" w:pos="1440"/>
          <w:tab w:val="left" w:pos="3060"/>
        </w:tabs>
        <w:jc w:val="center"/>
        <w:rPr>
          <w:rFonts w:cs="Arial"/>
          <w:smallCaps/>
          <w:lang w:val="es-ES"/>
        </w:rPr>
      </w:pPr>
    </w:p>
    <w:p w14:paraId="47B25FCD" w14:textId="77777777" w:rsidR="00D365FF" w:rsidRPr="00C3216A" w:rsidRDefault="00D365FF" w:rsidP="00D365FF">
      <w:pPr>
        <w:tabs>
          <w:tab w:val="left" w:pos="1440"/>
          <w:tab w:val="left" w:pos="3060"/>
        </w:tabs>
        <w:jc w:val="center"/>
        <w:rPr>
          <w:rFonts w:cs="Arial"/>
          <w:smallCaps/>
          <w:lang w:val="es-ES"/>
        </w:rPr>
      </w:pPr>
    </w:p>
    <w:p w14:paraId="21122054" w14:textId="77777777" w:rsidR="00D365FF" w:rsidRPr="00C3216A" w:rsidRDefault="00D365FF" w:rsidP="00D365FF">
      <w:pPr>
        <w:tabs>
          <w:tab w:val="left" w:pos="1440"/>
          <w:tab w:val="left" w:pos="3060"/>
        </w:tabs>
        <w:jc w:val="center"/>
        <w:rPr>
          <w:rFonts w:cs="Arial"/>
          <w:smallCaps/>
          <w:lang w:val="es-ES"/>
        </w:rPr>
      </w:pPr>
    </w:p>
    <w:p w14:paraId="4F6EFCB9" w14:textId="77777777" w:rsidR="00D365FF" w:rsidRPr="00C3216A" w:rsidRDefault="00D365FF" w:rsidP="00D365FF">
      <w:pPr>
        <w:tabs>
          <w:tab w:val="left" w:pos="1440"/>
          <w:tab w:val="left" w:pos="3060"/>
        </w:tabs>
        <w:jc w:val="center"/>
        <w:rPr>
          <w:rFonts w:cs="Arial"/>
          <w:smallCaps/>
          <w:lang w:val="es-ES"/>
        </w:rPr>
      </w:pPr>
    </w:p>
    <w:p w14:paraId="6FE2269C" w14:textId="77777777" w:rsidR="00D365FF" w:rsidRPr="00C3216A" w:rsidRDefault="00D365FF" w:rsidP="00D365FF">
      <w:pPr>
        <w:tabs>
          <w:tab w:val="left" w:pos="1440"/>
          <w:tab w:val="left" w:pos="3060"/>
        </w:tabs>
        <w:jc w:val="center"/>
        <w:rPr>
          <w:rFonts w:cs="Arial"/>
          <w:smallCaps/>
          <w:lang w:val="es-ES"/>
        </w:rPr>
      </w:pPr>
    </w:p>
    <w:p w14:paraId="51F033F8" w14:textId="110B6DA7" w:rsidR="00D365FF" w:rsidRDefault="00D365FF" w:rsidP="00D365FF">
      <w:pPr>
        <w:tabs>
          <w:tab w:val="left" w:pos="1440"/>
          <w:tab w:val="left" w:pos="3060"/>
        </w:tabs>
        <w:jc w:val="center"/>
        <w:rPr>
          <w:rFonts w:cs="Arial"/>
          <w:smallCaps/>
          <w:lang w:val="es-ES"/>
        </w:rPr>
      </w:pPr>
    </w:p>
    <w:p w14:paraId="7E7A65DF" w14:textId="77777777" w:rsidR="00C007FC" w:rsidRPr="00C3216A" w:rsidRDefault="00C007FC" w:rsidP="00D365FF">
      <w:pPr>
        <w:tabs>
          <w:tab w:val="left" w:pos="1440"/>
          <w:tab w:val="left" w:pos="3060"/>
        </w:tabs>
        <w:jc w:val="center"/>
        <w:rPr>
          <w:rFonts w:cs="Arial"/>
          <w:smallCaps/>
          <w:lang w:val="es-ES"/>
        </w:rPr>
      </w:pPr>
    </w:p>
    <w:p w14:paraId="07069055" w14:textId="77777777" w:rsidR="00D365FF" w:rsidRPr="00C3216A" w:rsidRDefault="00D365FF" w:rsidP="00D365FF">
      <w:pPr>
        <w:tabs>
          <w:tab w:val="left" w:pos="1440"/>
          <w:tab w:val="left" w:pos="3060"/>
        </w:tabs>
        <w:jc w:val="center"/>
        <w:rPr>
          <w:rFonts w:cs="Arial"/>
          <w:smallCaps/>
          <w:lang w:val="es-ES"/>
        </w:rPr>
      </w:pPr>
    </w:p>
    <w:p w14:paraId="3A4C38DE" w14:textId="77777777" w:rsidR="00D365FF" w:rsidRPr="00C3216A" w:rsidRDefault="00D365FF" w:rsidP="00D365FF">
      <w:pPr>
        <w:tabs>
          <w:tab w:val="left" w:pos="1440"/>
          <w:tab w:val="left" w:pos="3060"/>
        </w:tabs>
        <w:jc w:val="center"/>
        <w:rPr>
          <w:rFonts w:cs="Arial"/>
          <w:b/>
          <w:smallCaps/>
          <w:szCs w:val="24"/>
          <w:lang w:val="es-ES"/>
        </w:rPr>
      </w:pPr>
      <w:r>
        <w:rPr>
          <w:rFonts w:cs="Arial"/>
          <w:b/>
          <w:smallCaps/>
          <w:szCs w:val="24"/>
          <w:lang w:val="es-ES"/>
        </w:rPr>
        <w:t>Evaluación Económica</w:t>
      </w:r>
    </w:p>
    <w:p w14:paraId="192E7764" w14:textId="77777777" w:rsidR="00D365FF" w:rsidRPr="00C3216A" w:rsidRDefault="00D365FF" w:rsidP="00D365FF">
      <w:pPr>
        <w:tabs>
          <w:tab w:val="left" w:pos="1440"/>
          <w:tab w:val="left" w:pos="3060"/>
        </w:tabs>
        <w:jc w:val="center"/>
        <w:outlineLvl w:val="0"/>
        <w:rPr>
          <w:rFonts w:cs="Arial"/>
          <w:b/>
          <w:smallCaps/>
          <w:lang w:val="es-ES"/>
        </w:rPr>
      </w:pPr>
    </w:p>
    <w:p w14:paraId="26A6E988" w14:textId="77777777" w:rsidR="00D365FF" w:rsidRPr="00C3216A" w:rsidRDefault="00D365FF" w:rsidP="00D365FF">
      <w:pPr>
        <w:jc w:val="center"/>
        <w:rPr>
          <w:rFonts w:cs="Arial"/>
          <w:b/>
          <w:lang w:val="es-ES"/>
        </w:rPr>
      </w:pPr>
    </w:p>
    <w:p w14:paraId="6C59D4B4" w14:textId="77777777" w:rsidR="00D365FF" w:rsidRPr="00C3216A" w:rsidRDefault="00D365FF" w:rsidP="00D365FF">
      <w:pPr>
        <w:jc w:val="center"/>
        <w:rPr>
          <w:rFonts w:cs="Arial"/>
          <w:b/>
          <w:lang w:val="es-ES"/>
        </w:rPr>
      </w:pPr>
    </w:p>
    <w:p w14:paraId="4D41F679" w14:textId="77777777" w:rsidR="00D365FF" w:rsidRPr="00C3216A" w:rsidRDefault="00D365FF" w:rsidP="00D365FF">
      <w:pPr>
        <w:jc w:val="center"/>
        <w:rPr>
          <w:rFonts w:cs="Arial"/>
          <w:b/>
          <w:lang w:val="es-ES"/>
        </w:rPr>
      </w:pPr>
    </w:p>
    <w:p w14:paraId="76996E2C" w14:textId="77777777" w:rsidR="00D365FF" w:rsidRPr="00C3216A" w:rsidRDefault="00D365FF" w:rsidP="00D365FF">
      <w:pPr>
        <w:jc w:val="center"/>
        <w:rPr>
          <w:rFonts w:cs="Arial"/>
          <w:b/>
          <w:lang w:val="es-ES"/>
        </w:rPr>
      </w:pPr>
    </w:p>
    <w:p w14:paraId="7724959A" w14:textId="77777777" w:rsidR="00D365FF" w:rsidRDefault="00D365FF" w:rsidP="00D365FF">
      <w:pPr>
        <w:jc w:val="center"/>
        <w:rPr>
          <w:rFonts w:cs="Arial"/>
          <w:b/>
          <w:lang w:val="es-ES"/>
        </w:rPr>
      </w:pPr>
    </w:p>
    <w:p w14:paraId="518C2C75" w14:textId="77777777" w:rsidR="00D365FF" w:rsidRDefault="00D365FF" w:rsidP="00D365FF">
      <w:pPr>
        <w:jc w:val="center"/>
        <w:rPr>
          <w:rFonts w:cs="Arial"/>
          <w:b/>
          <w:lang w:val="es-ES"/>
        </w:rPr>
      </w:pPr>
    </w:p>
    <w:p w14:paraId="0992538F" w14:textId="77777777" w:rsidR="00D365FF" w:rsidRPr="00DD27AA" w:rsidRDefault="00D365FF" w:rsidP="00D365FF">
      <w:pPr>
        <w:jc w:val="center"/>
        <w:rPr>
          <w:rFonts w:cs="Arial"/>
          <w:b/>
          <w:lang w:val="es-US"/>
        </w:rPr>
      </w:pPr>
    </w:p>
    <w:p w14:paraId="4D9C3A43" w14:textId="77777777" w:rsidR="00D365FF" w:rsidRPr="00C3216A" w:rsidRDefault="00D365FF" w:rsidP="00D365FF">
      <w:pPr>
        <w:jc w:val="center"/>
        <w:rPr>
          <w:rFonts w:cs="Arial"/>
          <w:b/>
          <w:lang w:val="es-ES"/>
        </w:rPr>
      </w:pPr>
    </w:p>
    <w:p w14:paraId="7D7407B5" w14:textId="77777777" w:rsidR="00D365FF" w:rsidRPr="00C3216A" w:rsidRDefault="00D365FF" w:rsidP="00D365FF">
      <w:pPr>
        <w:jc w:val="center"/>
        <w:rPr>
          <w:rFonts w:cs="Arial"/>
          <w:b/>
          <w:lang w:val="es-ES"/>
        </w:rPr>
      </w:pPr>
    </w:p>
    <w:p w14:paraId="6758B61E" w14:textId="77777777" w:rsidR="00D365FF" w:rsidRPr="00C3216A" w:rsidRDefault="00D365FF" w:rsidP="00D365FF">
      <w:pPr>
        <w:jc w:val="center"/>
        <w:rPr>
          <w:rFonts w:cs="Arial"/>
          <w:b/>
          <w:lang w:val="es-ES"/>
        </w:rPr>
      </w:pPr>
    </w:p>
    <w:p w14:paraId="514F9768" w14:textId="77777777" w:rsidR="00D365FF" w:rsidRPr="00C3216A" w:rsidRDefault="00D365FF" w:rsidP="00D365FF">
      <w:pPr>
        <w:tabs>
          <w:tab w:val="left" w:pos="1440"/>
          <w:tab w:val="left" w:pos="3060"/>
        </w:tabs>
        <w:jc w:val="center"/>
        <w:rPr>
          <w:rFonts w:cs="Arial"/>
          <w:lang w:val="es-ES"/>
        </w:rPr>
      </w:pPr>
    </w:p>
    <w:p w14:paraId="757049F1" w14:textId="77777777" w:rsidR="00D365FF" w:rsidRPr="009041D4" w:rsidRDefault="00D365FF" w:rsidP="00D365FF">
      <w:pPr>
        <w:pBdr>
          <w:top w:val="single" w:sz="4" w:space="1" w:color="auto"/>
          <w:left w:val="single" w:sz="4" w:space="4" w:color="auto"/>
          <w:bottom w:val="single" w:sz="4" w:space="1" w:color="auto"/>
          <w:right w:val="single" w:sz="4" w:space="4" w:color="auto"/>
        </w:pBdr>
        <w:tabs>
          <w:tab w:val="left" w:pos="1440"/>
          <w:tab w:val="left" w:pos="3060"/>
        </w:tabs>
        <w:jc w:val="both"/>
        <w:rPr>
          <w:rFonts w:cs="Arial"/>
          <w:sz w:val="20"/>
          <w:lang w:val="es-ES"/>
        </w:rPr>
      </w:pPr>
      <w:r w:rsidRPr="009041D4">
        <w:rPr>
          <w:rFonts w:cs="Arial"/>
          <w:sz w:val="20"/>
          <w:lang w:val="es-ES"/>
        </w:rPr>
        <w:t>Este documento fue preparado por Nancy Je</w:t>
      </w:r>
      <w:r>
        <w:rPr>
          <w:rFonts w:cs="Arial"/>
          <w:sz w:val="20"/>
          <w:lang w:val="es-ES"/>
        </w:rPr>
        <w:t>surun</w:t>
      </w:r>
      <w:r w:rsidRPr="009041D4">
        <w:rPr>
          <w:rFonts w:cs="Arial"/>
          <w:sz w:val="20"/>
          <w:lang w:val="es-ES"/>
        </w:rPr>
        <w:t xml:space="preserve">-Clements </w:t>
      </w:r>
      <w:r>
        <w:rPr>
          <w:rFonts w:cs="Arial"/>
          <w:sz w:val="20"/>
          <w:lang w:val="es-ES"/>
        </w:rPr>
        <w:t>(Consultora), con el apoyo d</w:t>
      </w:r>
      <w:r w:rsidRPr="009041D4">
        <w:rPr>
          <w:rFonts w:cs="Arial"/>
          <w:sz w:val="20"/>
          <w:lang w:val="es-ES"/>
        </w:rPr>
        <w:t xml:space="preserve">el </w:t>
      </w:r>
      <w:r w:rsidRPr="00C62491">
        <w:rPr>
          <w:rFonts w:cs="Arial"/>
          <w:sz w:val="20"/>
          <w:lang w:val="es-ES"/>
        </w:rPr>
        <w:t>Carlos Jácome (ENE/CHO) Líder de Equipo</w:t>
      </w:r>
      <w:r w:rsidR="00485B0C">
        <w:rPr>
          <w:rFonts w:cs="Arial"/>
          <w:sz w:val="20"/>
          <w:lang w:val="es-ES"/>
        </w:rPr>
        <w:t xml:space="preserve">; </w:t>
      </w:r>
      <w:r>
        <w:rPr>
          <w:rFonts w:cs="Arial"/>
          <w:sz w:val="20"/>
          <w:lang w:val="es-ES"/>
        </w:rPr>
        <w:t xml:space="preserve">y de documentación preparada por ENEE y Alberto </w:t>
      </w:r>
      <w:proofErr w:type="spellStart"/>
      <w:r>
        <w:rPr>
          <w:rFonts w:cs="Arial"/>
          <w:sz w:val="20"/>
          <w:lang w:val="es-ES"/>
        </w:rPr>
        <w:t>Brugman</w:t>
      </w:r>
      <w:proofErr w:type="spellEnd"/>
      <w:r>
        <w:rPr>
          <w:rFonts w:cs="Arial"/>
          <w:sz w:val="20"/>
          <w:lang w:val="es-ES"/>
        </w:rPr>
        <w:t xml:space="preserve"> (Consultor).</w:t>
      </w:r>
    </w:p>
    <w:sdt>
      <w:sdtPr>
        <w:rPr>
          <w:rFonts w:ascii="Arial" w:eastAsiaTheme="minorHAnsi" w:hAnsi="Arial" w:cstheme="minorBidi"/>
          <w:b w:val="0"/>
          <w:bCs w:val="0"/>
          <w:color w:val="auto"/>
          <w:sz w:val="22"/>
          <w:szCs w:val="22"/>
          <w:lang w:val="en-US" w:eastAsia="en-US"/>
        </w:rPr>
        <w:id w:val="-348174109"/>
        <w:docPartObj>
          <w:docPartGallery w:val="Table of Contents"/>
          <w:docPartUnique/>
        </w:docPartObj>
      </w:sdtPr>
      <w:sdtEndPr>
        <w:rPr>
          <w:noProof/>
        </w:rPr>
      </w:sdtEndPr>
      <w:sdtContent>
        <w:p w14:paraId="6FD1A898" w14:textId="77777777" w:rsidR="00D365FF" w:rsidRPr="00B407A8" w:rsidRDefault="00D365FF" w:rsidP="00D365FF">
          <w:pPr>
            <w:pStyle w:val="TOCHeading"/>
            <w:numPr>
              <w:ilvl w:val="0"/>
              <w:numId w:val="0"/>
            </w:numPr>
            <w:jc w:val="center"/>
            <w:rPr>
              <w:rFonts w:ascii="Arial" w:hAnsi="Arial" w:cs="Arial"/>
              <w:color w:val="auto"/>
            </w:rPr>
          </w:pPr>
          <w:r w:rsidRPr="00B407A8">
            <w:rPr>
              <w:rFonts w:ascii="Arial" w:hAnsi="Arial" w:cs="Arial"/>
              <w:color w:val="auto"/>
            </w:rPr>
            <w:t>Contenido</w:t>
          </w:r>
        </w:p>
        <w:p w14:paraId="0B73096A" w14:textId="568D6AFB" w:rsidR="008A41B3" w:rsidRDefault="00D365FF" w:rsidP="008A41B3">
          <w:pPr>
            <w:pStyle w:val="TOC1"/>
            <w:tabs>
              <w:tab w:val="left" w:pos="660"/>
              <w:tab w:val="right" w:leader="dot" w:pos="854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513626348" w:history="1">
            <w:r w:rsidR="008A41B3" w:rsidRPr="00796C9D">
              <w:rPr>
                <w:rStyle w:val="Hyperlink"/>
                <w:rFonts w:ascii="Arial" w:hAnsi="Arial" w:cs="Arial"/>
                <w:smallCaps/>
                <w:noProof/>
                <w:lang w:val="es-ES"/>
              </w:rPr>
              <w:t>I.</w:t>
            </w:r>
            <w:r w:rsidR="008A41B3">
              <w:rPr>
                <w:rFonts w:eastAsiaTheme="minorEastAsia" w:cstheme="minorBidi"/>
                <w:b w:val="0"/>
                <w:bCs w:val="0"/>
                <w:caps w:val="0"/>
                <w:noProof/>
                <w:sz w:val="22"/>
                <w:szCs w:val="22"/>
              </w:rPr>
              <w:tab/>
            </w:r>
            <w:r w:rsidR="008A41B3" w:rsidRPr="008A41B3">
              <w:rPr>
                <w:rStyle w:val="Hyperlink"/>
                <w:rFonts w:ascii="Arial" w:hAnsi="Arial" w:cs="Arial"/>
                <w:smallCaps/>
                <w:noProof/>
                <w:lang w:val="es-CO"/>
              </w:rPr>
              <w:t>Introducción</w:t>
            </w:r>
            <w:r w:rsidR="008A41B3">
              <w:rPr>
                <w:noProof/>
                <w:webHidden/>
              </w:rPr>
              <w:tab/>
            </w:r>
            <w:r w:rsidR="008A41B3">
              <w:rPr>
                <w:noProof/>
                <w:webHidden/>
              </w:rPr>
              <w:fldChar w:fldCharType="begin"/>
            </w:r>
            <w:r w:rsidR="008A41B3">
              <w:rPr>
                <w:noProof/>
                <w:webHidden/>
              </w:rPr>
              <w:instrText xml:space="preserve"> PAGEREF _Toc513626348 \h </w:instrText>
            </w:r>
            <w:r w:rsidR="008A41B3">
              <w:rPr>
                <w:noProof/>
                <w:webHidden/>
              </w:rPr>
            </w:r>
            <w:r w:rsidR="008A41B3">
              <w:rPr>
                <w:noProof/>
                <w:webHidden/>
              </w:rPr>
              <w:fldChar w:fldCharType="separate"/>
            </w:r>
            <w:r w:rsidR="008A41B3">
              <w:rPr>
                <w:noProof/>
                <w:webHidden/>
              </w:rPr>
              <w:t>3</w:t>
            </w:r>
            <w:r w:rsidR="008A41B3">
              <w:rPr>
                <w:noProof/>
                <w:webHidden/>
              </w:rPr>
              <w:fldChar w:fldCharType="end"/>
            </w:r>
          </w:hyperlink>
        </w:p>
        <w:p w14:paraId="573CE732" w14:textId="11E330D1" w:rsidR="008A41B3" w:rsidRDefault="00237CAD">
          <w:pPr>
            <w:pStyle w:val="TOC2"/>
            <w:tabs>
              <w:tab w:val="left" w:pos="660"/>
              <w:tab w:val="right" w:leader="dot" w:pos="8540"/>
            </w:tabs>
            <w:rPr>
              <w:rFonts w:eastAsiaTheme="minorEastAsia" w:cstheme="minorBidi"/>
              <w:smallCaps w:val="0"/>
              <w:noProof/>
              <w:sz w:val="22"/>
              <w:szCs w:val="22"/>
            </w:rPr>
          </w:pPr>
          <w:hyperlink w:anchor="_Toc513626349" w:history="1">
            <w:r w:rsidR="008A41B3" w:rsidRPr="00796C9D">
              <w:rPr>
                <w:rStyle w:val="Hyperlink"/>
                <w:noProof/>
              </w:rPr>
              <w:t>A.</w:t>
            </w:r>
            <w:r w:rsidR="008A41B3">
              <w:rPr>
                <w:rFonts w:eastAsiaTheme="minorEastAsia" w:cstheme="minorBidi"/>
                <w:smallCaps w:val="0"/>
                <w:noProof/>
                <w:sz w:val="22"/>
                <w:szCs w:val="22"/>
              </w:rPr>
              <w:tab/>
            </w:r>
            <w:r w:rsidR="008A41B3" w:rsidRPr="00796C9D">
              <w:rPr>
                <w:rStyle w:val="Hyperlink"/>
                <w:noProof/>
              </w:rPr>
              <w:t xml:space="preserve">El </w:t>
            </w:r>
            <w:r w:rsidR="008A41B3" w:rsidRPr="00796C9D">
              <w:rPr>
                <w:rStyle w:val="Hyperlink"/>
                <w:noProof/>
                <w:lang w:val="es-CO"/>
              </w:rPr>
              <w:t>Sistema</w:t>
            </w:r>
            <w:r w:rsidR="008A41B3" w:rsidRPr="00796C9D">
              <w:rPr>
                <w:rStyle w:val="Hyperlink"/>
                <w:noProof/>
              </w:rPr>
              <w:t xml:space="preserve"> de Transmisión Nacional (STN)</w:t>
            </w:r>
            <w:r w:rsidR="008A41B3">
              <w:rPr>
                <w:noProof/>
                <w:webHidden/>
              </w:rPr>
              <w:tab/>
            </w:r>
            <w:r w:rsidR="008A41B3">
              <w:rPr>
                <w:noProof/>
                <w:webHidden/>
              </w:rPr>
              <w:fldChar w:fldCharType="begin"/>
            </w:r>
            <w:r w:rsidR="008A41B3">
              <w:rPr>
                <w:noProof/>
                <w:webHidden/>
              </w:rPr>
              <w:instrText xml:space="preserve"> PAGEREF _Toc513626349 \h </w:instrText>
            </w:r>
            <w:r w:rsidR="008A41B3">
              <w:rPr>
                <w:noProof/>
                <w:webHidden/>
              </w:rPr>
            </w:r>
            <w:r w:rsidR="008A41B3">
              <w:rPr>
                <w:noProof/>
                <w:webHidden/>
              </w:rPr>
              <w:fldChar w:fldCharType="separate"/>
            </w:r>
            <w:r w:rsidR="008A41B3">
              <w:rPr>
                <w:noProof/>
                <w:webHidden/>
              </w:rPr>
              <w:t>3</w:t>
            </w:r>
            <w:r w:rsidR="008A41B3">
              <w:rPr>
                <w:noProof/>
                <w:webHidden/>
              </w:rPr>
              <w:fldChar w:fldCharType="end"/>
            </w:r>
          </w:hyperlink>
        </w:p>
        <w:p w14:paraId="567E5223" w14:textId="6A8F8895" w:rsidR="008A41B3" w:rsidRDefault="00237CAD">
          <w:pPr>
            <w:pStyle w:val="TOC2"/>
            <w:tabs>
              <w:tab w:val="left" w:pos="660"/>
              <w:tab w:val="right" w:leader="dot" w:pos="8540"/>
            </w:tabs>
            <w:rPr>
              <w:rFonts w:eastAsiaTheme="minorEastAsia" w:cstheme="minorBidi"/>
              <w:smallCaps w:val="0"/>
              <w:noProof/>
              <w:sz w:val="22"/>
              <w:szCs w:val="22"/>
            </w:rPr>
          </w:pPr>
          <w:hyperlink w:anchor="_Toc513626350" w:history="1">
            <w:r w:rsidR="008A41B3" w:rsidRPr="00796C9D">
              <w:rPr>
                <w:rStyle w:val="Hyperlink"/>
                <w:noProof/>
              </w:rPr>
              <w:t>B.</w:t>
            </w:r>
            <w:r w:rsidR="008A41B3">
              <w:rPr>
                <w:rFonts w:eastAsiaTheme="minorEastAsia" w:cstheme="minorBidi"/>
                <w:smallCaps w:val="0"/>
                <w:noProof/>
                <w:sz w:val="22"/>
                <w:szCs w:val="22"/>
              </w:rPr>
              <w:tab/>
            </w:r>
            <w:r w:rsidR="008A41B3" w:rsidRPr="00796C9D">
              <w:rPr>
                <w:rStyle w:val="Hyperlink"/>
                <w:noProof/>
              </w:rPr>
              <w:t>La integración de Honduras al mercado eléctrico regional (MER) del SIEPAC</w:t>
            </w:r>
            <w:r w:rsidR="008A41B3">
              <w:rPr>
                <w:noProof/>
                <w:webHidden/>
              </w:rPr>
              <w:tab/>
            </w:r>
            <w:r w:rsidR="008A41B3">
              <w:rPr>
                <w:noProof/>
                <w:webHidden/>
              </w:rPr>
              <w:fldChar w:fldCharType="begin"/>
            </w:r>
            <w:r w:rsidR="008A41B3">
              <w:rPr>
                <w:noProof/>
                <w:webHidden/>
              </w:rPr>
              <w:instrText xml:space="preserve"> PAGEREF _Toc513626350 \h </w:instrText>
            </w:r>
            <w:r w:rsidR="008A41B3">
              <w:rPr>
                <w:noProof/>
                <w:webHidden/>
              </w:rPr>
            </w:r>
            <w:r w:rsidR="008A41B3">
              <w:rPr>
                <w:noProof/>
                <w:webHidden/>
              </w:rPr>
              <w:fldChar w:fldCharType="separate"/>
            </w:r>
            <w:r w:rsidR="008A41B3">
              <w:rPr>
                <w:noProof/>
                <w:webHidden/>
              </w:rPr>
              <w:t>4</w:t>
            </w:r>
            <w:r w:rsidR="008A41B3">
              <w:rPr>
                <w:noProof/>
                <w:webHidden/>
              </w:rPr>
              <w:fldChar w:fldCharType="end"/>
            </w:r>
          </w:hyperlink>
        </w:p>
        <w:p w14:paraId="4721F4E9" w14:textId="1C673227" w:rsidR="008A41B3" w:rsidRDefault="00237CAD">
          <w:pPr>
            <w:pStyle w:val="TOC2"/>
            <w:tabs>
              <w:tab w:val="left" w:pos="660"/>
              <w:tab w:val="right" w:leader="dot" w:pos="8540"/>
            </w:tabs>
            <w:rPr>
              <w:rFonts w:eastAsiaTheme="minorEastAsia" w:cstheme="minorBidi"/>
              <w:smallCaps w:val="0"/>
              <w:noProof/>
              <w:sz w:val="22"/>
              <w:szCs w:val="22"/>
            </w:rPr>
          </w:pPr>
          <w:hyperlink w:anchor="_Toc513626351" w:history="1">
            <w:r w:rsidR="008A41B3" w:rsidRPr="00796C9D">
              <w:rPr>
                <w:rStyle w:val="Hyperlink"/>
                <w:noProof/>
              </w:rPr>
              <w:t>C.</w:t>
            </w:r>
            <w:r w:rsidR="008A41B3">
              <w:rPr>
                <w:rFonts w:eastAsiaTheme="minorEastAsia" w:cstheme="minorBidi"/>
                <w:smallCaps w:val="0"/>
                <w:noProof/>
                <w:sz w:val="22"/>
                <w:szCs w:val="22"/>
              </w:rPr>
              <w:tab/>
            </w:r>
            <w:r w:rsidR="008A41B3" w:rsidRPr="00796C9D">
              <w:rPr>
                <w:rStyle w:val="Hyperlink"/>
                <w:noProof/>
              </w:rPr>
              <w:t>Estrategia del Gobierno</w:t>
            </w:r>
            <w:r w:rsidR="008A41B3">
              <w:rPr>
                <w:noProof/>
                <w:webHidden/>
              </w:rPr>
              <w:tab/>
            </w:r>
            <w:r w:rsidR="008A41B3">
              <w:rPr>
                <w:noProof/>
                <w:webHidden/>
              </w:rPr>
              <w:fldChar w:fldCharType="begin"/>
            </w:r>
            <w:r w:rsidR="008A41B3">
              <w:rPr>
                <w:noProof/>
                <w:webHidden/>
              </w:rPr>
              <w:instrText xml:space="preserve"> PAGEREF _Toc513626351 \h </w:instrText>
            </w:r>
            <w:r w:rsidR="008A41B3">
              <w:rPr>
                <w:noProof/>
                <w:webHidden/>
              </w:rPr>
            </w:r>
            <w:r w:rsidR="008A41B3">
              <w:rPr>
                <w:noProof/>
                <w:webHidden/>
              </w:rPr>
              <w:fldChar w:fldCharType="separate"/>
            </w:r>
            <w:r w:rsidR="008A41B3">
              <w:rPr>
                <w:noProof/>
                <w:webHidden/>
              </w:rPr>
              <w:t>4</w:t>
            </w:r>
            <w:r w:rsidR="008A41B3">
              <w:rPr>
                <w:noProof/>
                <w:webHidden/>
              </w:rPr>
              <w:fldChar w:fldCharType="end"/>
            </w:r>
          </w:hyperlink>
        </w:p>
        <w:p w14:paraId="7CBD7392" w14:textId="4755E5D2" w:rsidR="008A41B3" w:rsidRDefault="00237CAD">
          <w:pPr>
            <w:pStyle w:val="TOC2"/>
            <w:tabs>
              <w:tab w:val="left" w:pos="660"/>
              <w:tab w:val="right" w:leader="dot" w:pos="8540"/>
            </w:tabs>
            <w:rPr>
              <w:rFonts w:eastAsiaTheme="minorEastAsia" w:cstheme="minorBidi"/>
              <w:smallCaps w:val="0"/>
              <w:noProof/>
              <w:sz w:val="22"/>
              <w:szCs w:val="22"/>
            </w:rPr>
          </w:pPr>
          <w:hyperlink w:anchor="_Toc513626352" w:history="1">
            <w:r w:rsidR="008A41B3" w:rsidRPr="00796C9D">
              <w:rPr>
                <w:rStyle w:val="Hyperlink"/>
                <w:noProof/>
              </w:rPr>
              <w:t>D.</w:t>
            </w:r>
            <w:r w:rsidR="008A41B3">
              <w:rPr>
                <w:rFonts w:eastAsiaTheme="minorEastAsia" w:cstheme="minorBidi"/>
                <w:smallCaps w:val="0"/>
                <w:noProof/>
                <w:sz w:val="22"/>
                <w:szCs w:val="22"/>
              </w:rPr>
              <w:tab/>
            </w:r>
            <w:r w:rsidR="008A41B3" w:rsidRPr="00796C9D">
              <w:rPr>
                <w:rStyle w:val="Hyperlink"/>
                <w:noProof/>
              </w:rPr>
              <w:t xml:space="preserve">Objetivos y </w:t>
            </w:r>
            <w:r w:rsidR="008A41B3" w:rsidRPr="00796C9D">
              <w:rPr>
                <w:rStyle w:val="Hyperlink"/>
                <w:noProof/>
                <w:lang w:val="es-ES"/>
              </w:rPr>
              <w:t>componentes</w:t>
            </w:r>
            <w:r w:rsidR="008A41B3" w:rsidRPr="00796C9D">
              <w:rPr>
                <w:rStyle w:val="Hyperlink"/>
                <w:noProof/>
              </w:rPr>
              <w:t xml:space="preserve"> del programa</w:t>
            </w:r>
            <w:r w:rsidR="008A41B3">
              <w:rPr>
                <w:noProof/>
                <w:webHidden/>
              </w:rPr>
              <w:tab/>
            </w:r>
            <w:r w:rsidR="008A41B3">
              <w:rPr>
                <w:noProof/>
                <w:webHidden/>
              </w:rPr>
              <w:fldChar w:fldCharType="begin"/>
            </w:r>
            <w:r w:rsidR="008A41B3">
              <w:rPr>
                <w:noProof/>
                <w:webHidden/>
              </w:rPr>
              <w:instrText xml:space="preserve"> PAGEREF _Toc513626352 \h </w:instrText>
            </w:r>
            <w:r w:rsidR="008A41B3">
              <w:rPr>
                <w:noProof/>
                <w:webHidden/>
              </w:rPr>
            </w:r>
            <w:r w:rsidR="008A41B3">
              <w:rPr>
                <w:noProof/>
                <w:webHidden/>
              </w:rPr>
              <w:fldChar w:fldCharType="separate"/>
            </w:r>
            <w:r w:rsidR="008A41B3">
              <w:rPr>
                <w:noProof/>
                <w:webHidden/>
              </w:rPr>
              <w:t>5</w:t>
            </w:r>
            <w:r w:rsidR="008A41B3">
              <w:rPr>
                <w:noProof/>
                <w:webHidden/>
              </w:rPr>
              <w:fldChar w:fldCharType="end"/>
            </w:r>
          </w:hyperlink>
        </w:p>
        <w:p w14:paraId="0B079B95" w14:textId="43C04B24" w:rsidR="008A41B3" w:rsidRDefault="00237CAD">
          <w:pPr>
            <w:pStyle w:val="TOC2"/>
            <w:tabs>
              <w:tab w:val="left" w:pos="660"/>
              <w:tab w:val="right" w:leader="dot" w:pos="8540"/>
            </w:tabs>
            <w:rPr>
              <w:rFonts w:eastAsiaTheme="minorEastAsia" w:cstheme="minorBidi"/>
              <w:smallCaps w:val="0"/>
              <w:noProof/>
              <w:sz w:val="22"/>
              <w:szCs w:val="22"/>
            </w:rPr>
          </w:pPr>
          <w:hyperlink w:anchor="_Toc513626353" w:history="1">
            <w:r w:rsidR="008A41B3" w:rsidRPr="00796C9D">
              <w:rPr>
                <w:rStyle w:val="Hyperlink"/>
                <w:noProof/>
                <w:lang w:val="es-CO"/>
              </w:rPr>
              <w:t>E.</w:t>
            </w:r>
            <w:r w:rsidR="008A41B3">
              <w:rPr>
                <w:rFonts w:eastAsiaTheme="minorEastAsia" w:cstheme="minorBidi"/>
                <w:smallCaps w:val="0"/>
                <w:noProof/>
                <w:sz w:val="22"/>
                <w:szCs w:val="22"/>
              </w:rPr>
              <w:tab/>
            </w:r>
            <w:r w:rsidR="008A41B3" w:rsidRPr="00796C9D">
              <w:rPr>
                <w:rStyle w:val="Hyperlink"/>
                <w:noProof/>
              </w:rPr>
              <w:t>Resultados esperados</w:t>
            </w:r>
            <w:r w:rsidR="008A41B3">
              <w:rPr>
                <w:noProof/>
                <w:webHidden/>
              </w:rPr>
              <w:tab/>
            </w:r>
            <w:r w:rsidR="008A41B3">
              <w:rPr>
                <w:noProof/>
                <w:webHidden/>
              </w:rPr>
              <w:fldChar w:fldCharType="begin"/>
            </w:r>
            <w:r w:rsidR="008A41B3">
              <w:rPr>
                <w:noProof/>
                <w:webHidden/>
              </w:rPr>
              <w:instrText xml:space="preserve"> PAGEREF _Toc513626353 \h </w:instrText>
            </w:r>
            <w:r w:rsidR="008A41B3">
              <w:rPr>
                <w:noProof/>
                <w:webHidden/>
              </w:rPr>
            </w:r>
            <w:r w:rsidR="008A41B3">
              <w:rPr>
                <w:noProof/>
                <w:webHidden/>
              </w:rPr>
              <w:fldChar w:fldCharType="separate"/>
            </w:r>
            <w:r w:rsidR="008A41B3">
              <w:rPr>
                <w:noProof/>
                <w:webHidden/>
              </w:rPr>
              <w:t>7</w:t>
            </w:r>
            <w:r w:rsidR="008A41B3">
              <w:rPr>
                <w:noProof/>
                <w:webHidden/>
              </w:rPr>
              <w:fldChar w:fldCharType="end"/>
            </w:r>
          </w:hyperlink>
        </w:p>
        <w:p w14:paraId="3DE85A34" w14:textId="12E8DCA9" w:rsidR="008A41B3" w:rsidRDefault="00237CAD" w:rsidP="008A41B3">
          <w:pPr>
            <w:pStyle w:val="TOC1"/>
            <w:tabs>
              <w:tab w:val="left" w:pos="660"/>
              <w:tab w:val="right" w:leader="dot" w:pos="8540"/>
            </w:tabs>
            <w:rPr>
              <w:rFonts w:eastAsiaTheme="minorEastAsia" w:cstheme="minorBidi"/>
              <w:b w:val="0"/>
              <w:bCs w:val="0"/>
              <w:caps w:val="0"/>
              <w:noProof/>
              <w:sz w:val="22"/>
              <w:szCs w:val="22"/>
            </w:rPr>
          </w:pPr>
          <w:hyperlink w:anchor="_Toc513626354" w:history="1">
            <w:r w:rsidR="008A41B3" w:rsidRPr="00796C9D">
              <w:rPr>
                <w:rStyle w:val="Hyperlink"/>
                <w:rFonts w:ascii="Arial" w:hAnsi="Arial" w:cs="Arial"/>
                <w:smallCaps/>
                <w:noProof/>
                <w:lang w:val="es-CO"/>
              </w:rPr>
              <w:t>II.</w:t>
            </w:r>
            <w:r w:rsidR="008A41B3">
              <w:rPr>
                <w:rFonts w:eastAsiaTheme="minorEastAsia" w:cstheme="minorBidi"/>
                <w:b w:val="0"/>
                <w:bCs w:val="0"/>
                <w:caps w:val="0"/>
                <w:noProof/>
                <w:sz w:val="22"/>
                <w:szCs w:val="22"/>
              </w:rPr>
              <w:tab/>
            </w:r>
            <w:r w:rsidR="008A41B3" w:rsidRPr="00796C9D">
              <w:rPr>
                <w:rStyle w:val="Hyperlink"/>
                <w:rFonts w:ascii="Arial" w:hAnsi="Arial" w:cs="Arial"/>
                <w:smallCaps/>
                <w:noProof/>
                <w:lang w:val="es-CO"/>
              </w:rPr>
              <w:t>Metodología y Supuestos</w:t>
            </w:r>
            <w:r w:rsidR="008A41B3">
              <w:rPr>
                <w:noProof/>
                <w:webHidden/>
              </w:rPr>
              <w:tab/>
            </w:r>
            <w:r w:rsidR="008A41B3">
              <w:rPr>
                <w:noProof/>
                <w:webHidden/>
              </w:rPr>
              <w:fldChar w:fldCharType="begin"/>
            </w:r>
            <w:r w:rsidR="008A41B3">
              <w:rPr>
                <w:noProof/>
                <w:webHidden/>
              </w:rPr>
              <w:instrText xml:space="preserve"> PAGEREF _Toc513626354 \h </w:instrText>
            </w:r>
            <w:r w:rsidR="008A41B3">
              <w:rPr>
                <w:noProof/>
                <w:webHidden/>
              </w:rPr>
            </w:r>
            <w:r w:rsidR="008A41B3">
              <w:rPr>
                <w:noProof/>
                <w:webHidden/>
              </w:rPr>
              <w:fldChar w:fldCharType="separate"/>
            </w:r>
            <w:r w:rsidR="008A41B3">
              <w:rPr>
                <w:noProof/>
                <w:webHidden/>
              </w:rPr>
              <w:t>7</w:t>
            </w:r>
            <w:r w:rsidR="008A41B3">
              <w:rPr>
                <w:noProof/>
                <w:webHidden/>
              </w:rPr>
              <w:fldChar w:fldCharType="end"/>
            </w:r>
          </w:hyperlink>
        </w:p>
        <w:p w14:paraId="15D943C7" w14:textId="0DD63F60" w:rsidR="008A41B3" w:rsidRDefault="00237CAD">
          <w:pPr>
            <w:pStyle w:val="TOC1"/>
            <w:tabs>
              <w:tab w:val="left" w:pos="660"/>
              <w:tab w:val="right" w:leader="dot" w:pos="8540"/>
            </w:tabs>
            <w:rPr>
              <w:rFonts w:eastAsiaTheme="minorEastAsia" w:cstheme="minorBidi"/>
              <w:b w:val="0"/>
              <w:bCs w:val="0"/>
              <w:caps w:val="0"/>
              <w:noProof/>
              <w:sz w:val="22"/>
              <w:szCs w:val="22"/>
            </w:rPr>
          </w:pPr>
          <w:hyperlink w:anchor="_Toc513626355" w:history="1">
            <w:r w:rsidR="008A41B3" w:rsidRPr="00796C9D">
              <w:rPr>
                <w:rStyle w:val="Hyperlink"/>
                <w:rFonts w:ascii="Arial" w:hAnsi="Arial" w:cs="Arial"/>
                <w:smallCaps/>
                <w:noProof/>
                <w:lang w:val="es-CO"/>
              </w:rPr>
              <w:t>III.</w:t>
            </w:r>
            <w:r w:rsidR="008A41B3">
              <w:rPr>
                <w:rFonts w:eastAsiaTheme="minorEastAsia" w:cstheme="minorBidi"/>
                <w:b w:val="0"/>
                <w:bCs w:val="0"/>
                <w:caps w:val="0"/>
                <w:noProof/>
                <w:sz w:val="22"/>
                <w:szCs w:val="22"/>
              </w:rPr>
              <w:tab/>
            </w:r>
            <w:r w:rsidR="008A41B3" w:rsidRPr="00796C9D">
              <w:rPr>
                <w:rStyle w:val="Hyperlink"/>
                <w:rFonts w:ascii="Arial" w:hAnsi="Arial" w:cs="Arial"/>
                <w:smallCaps/>
                <w:noProof/>
                <w:lang w:val="es-CO"/>
              </w:rPr>
              <w:t>Selección de la muestra</w:t>
            </w:r>
            <w:r w:rsidR="008A41B3">
              <w:rPr>
                <w:noProof/>
                <w:webHidden/>
              </w:rPr>
              <w:tab/>
            </w:r>
            <w:r w:rsidR="008A41B3">
              <w:rPr>
                <w:noProof/>
                <w:webHidden/>
              </w:rPr>
              <w:fldChar w:fldCharType="begin"/>
            </w:r>
            <w:r w:rsidR="008A41B3">
              <w:rPr>
                <w:noProof/>
                <w:webHidden/>
              </w:rPr>
              <w:instrText xml:space="preserve"> PAGEREF _Toc513626355 \h </w:instrText>
            </w:r>
            <w:r w:rsidR="008A41B3">
              <w:rPr>
                <w:noProof/>
                <w:webHidden/>
              </w:rPr>
            </w:r>
            <w:r w:rsidR="008A41B3">
              <w:rPr>
                <w:noProof/>
                <w:webHidden/>
              </w:rPr>
              <w:fldChar w:fldCharType="separate"/>
            </w:r>
            <w:r w:rsidR="008A41B3">
              <w:rPr>
                <w:noProof/>
                <w:webHidden/>
              </w:rPr>
              <w:t>9</w:t>
            </w:r>
            <w:r w:rsidR="008A41B3">
              <w:rPr>
                <w:noProof/>
                <w:webHidden/>
              </w:rPr>
              <w:fldChar w:fldCharType="end"/>
            </w:r>
          </w:hyperlink>
        </w:p>
        <w:p w14:paraId="4B09D653" w14:textId="02233931" w:rsidR="008A41B3" w:rsidRDefault="00237CAD">
          <w:pPr>
            <w:pStyle w:val="TOC1"/>
            <w:tabs>
              <w:tab w:val="left" w:pos="660"/>
              <w:tab w:val="right" w:leader="dot" w:pos="8540"/>
            </w:tabs>
            <w:rPr>
              <w:rFonts w:eastAsiaTheme="minorEastAsia" w:cstheme="minorBidi"/>
              <w:b w:val="0"/>
              <w:bCs w:val="0"/>
              <w:caps w:val="0"/>
              <w:noProof/>
              <w:sz w:val="22"/>
              <w:szCs w:val="22"/>
            </w:rPr>
          </w:pPr>
          <w:hyperlink w:anchor="_Toc513626356" w:history="1">
            <w:r w:rsidR="008A41B3" w:rsidRPr="00796C9D">
              <w:rPr>
                <w:rStyle w:val="Hyperlink"/>
                <w:rFonts w:ascii="Arial" w:hAnsi="Arial" w:cs="Arial"/>
                <w:smallCaps/>
                <w:noProof/>
                <w:lang w:val="es-CO"/>
              </w:rPr>
              <w:t>IV.</w:t>
            </w:r>
            <w:r w:rsidR="008A41B3">
              <w:rPr>
                <w:rFonts w:eastAsiaTheme="minorEastAsia" w:cstheme="minorBidi"/>
                <w:b w:val="0"/>
                <w:bCs w:val="0"/>
                <w:caps w:val="0"/>
                <w:noProof/>
                <w:sz w:val="22"/>
                <w:szCs w:val="22"/>
              </w:rPr>
              <w:tab/>
            </w:r>
            <w:r w:rsidR="008A41B3" w:rsidRPr="00796C9D">
              <w:rPr>
                <w:rStyle w:val="Hyperlink"/>
                <w:rFonts w:ascii="Arial" w:hAnsi="Arial" w:cs="Arial"/>
                <w:smallCaps/>
                <w:noProof/>
                <w:lang w:val="es-CO"/>
              </w:rPr>
              <w:t>Estimación de Costos y Beneficios</w:t>
            </w:r>
            <w:r w:rsidR="008A41B3">
              <w:rPr>
                <w:noProof/>
                <w:webHidden/>
              </w:rPr>
              <w:tab/>
            </w:r>
            <w:r w:rsidR="008A41B3">
              <w:rPr>
                <w:noProof/>
                <w:webHidden/>
              </w:rPr>
              <w:fldChar w:fldCharType="begin"/>
            </w:r>
            <w:r w:rsidR="008A41B3">
              <w:rPr>
                <w:noProof/>
                <w:webHidden/>
              </w:rPr>
              <w:instrText xml:space="preserve"> PAGEREF _Toc513626356 \h </w:instrText>
            </w:r>
            <w:r w:rsidR="008A41B3">
              <w:rPr>
                <w:noProof/>
                <w:webHidden/>
              </w:rPr>
            </w:r>
            <w:r w:rsidR="008A41B3">
              <w:rPr>
                <w:noProof/>
                <w:webHidden/>
              </w:rPr>
              <w:fldChar w:fldCharType="separate"/>
            </w:r>
            <w:r w:rsidR="008A41B3">
              <w:rPr>
                <w:noProof/>
                <w:webHidden/>
              </w:rPr>
              <w:t>10</w:t>
            </w:r>
            <w:r w:rsidR="008A41B3">
              <w:rPr>
                <w:noProof/>
                <w:webHidden/>
              </w:rPr>
              <w:fldChar w:fldCharType="end"/>
            </w:r>
          </w:hyperlink>
        </w:p>
        <w:p w14:paraId="53700E5C" w14:textId="705409F4" w:rsidR="008A41B3" w:rsidRDefault="00237CAD">
          <w:pPr>
            <w:pStyle w:val="TOC2"/>
            <w:tabs>
              <w:tab w:val="left" w:pos="660"/>
              <w:tab w:val="right" w:leader="dot" w:pos="8540"/>
            </w:tabs>
            <w:rPr>
              <w:rFonts w:eastAsiaTheme="minorEastAsia" w:cstheme="minorBidi"/>
              <w:smallCaps w:val="0"/>
              <w:noProof/>
              <w:sz w:val="22"/>
              <w:szCs w:val="22"/>
            </w:rPr>
          </w:pPr>
          <w:hyperlink w:anchor="_Toc513626357" w:history="1">
            <w:r w:rsidR="008A41B3" w:rsidRPr="00796C9D">
              <w:rPr>
                <w:rStyle w:val="Hyperlink"/>
                <w:noProof/>
              </w:rPr>
              <w:t>A.</w:t>
            </w:r>
            <w:r w:rsidR="008A41B3">
              <w:rPr>
                <w:rFonts w:eastAsiaTheme="minorEastAsia" w:cstheme="minorBidi"/>
                <w:smallCaps w:val="0"/>
                <w:noProof/>
                <w:sz w:val="22"/>
                <w:szCs w:val="22"/>
              </w:rPr>
              <w:tab/>
            </w:r>
            <w:r w:rsidR="008A41B3" w:rsidRPr="00796C9D">
              <w:rPr>
                <w:rStyle w:val="Hyperlink"/>
                <w:noProof/>
              </w:rPr>
              <w:t>Costos</w:t>
            </w:r>
            <w:r w:rsidR="008A41B3">
              <w:rPr>
                <w:noProof/>
                <w:webHidden/>
              </w:rPr>
              <w:tab/>
            </w:r>
            <w:r w:rsidR="008A41B3">
              <w:rPr>
                <w:noProof/>
                <w:webHidden/>
              </w:rPr>
              <w:fldChar w:fldCharType="begin"/>
            </w:r>
            <w:r w:rsidR="008A41B3">
              <w:rPr>
                <w:noProof/>
                <w:webHidden/>
              </w:rPr>
              <w:instrText xml:space="preserve"> PAGEREF _Toc513626357 \h </w:instrText>
            </w:r>
            <w:r w:rsidR="008A41B3">
              <w:rPr>
                <w:noProof/>
                <w:webHidden/>
              </w:rPr>
            </w:r>
            <w:r w:rsidR="008A41B3">
              <w:rPr>
                <w:noProof/>
                <w:webHidden/>
              </w:rPr>
              <w:fldChar w:fldCharType="separate"/>
            </w:r>
            <w:r w:rsidR="008A41B3">
              <w:rPr>
                <w:noProof/>
                <w:webHidden/>
              </w:rPr>
              <w:t>10</w:t>
            </w:r>
            <w:r w:rsidR="008A41B3">
              <w:rPr>
                <w:noProof/>
                <w:webHidden/>
              </w:rPr>
              <w:fldChar w:fldCharType="end"/>
            </w:r>
          </w:hyperlink>
        </w:p>
        <w:p w14:paraId="0CE3C1F5" w14:textId="26C715B8" w:rsidR="008A41B3" w:rsidRDefault="00237CAD">
          <w:pPr>
            <w:pStyle w:val="TOC2"/>
            <w:tabs>
              <w:tab w:val="left" w:pos="660"/>
              <w:tab w:val="right" w:leader="dot" w:pos="8540"/>
            </w:tabs>
            <w:rPr>
              <w:rFonts w:eastAsiaTheme="minorEastAsia" w:cstheme="minorBidi"/>
              <w:smallCaps w:val="0"/>
              <w:noProof/>
              <w:sz w:val="22"/>
              <w:szCs w:val="22"/>
            </w:rPr>
          </w:pPr>
          <w:hyperlink w:anchor="_Toc513626358" w:history="1">
            <w:r w:rsidR="008A41B3" w:rsidRPr="00796C9D">
              <w:rPr>
                <w:rStyle w:val="Hyperlink"/>
                <w:noProof/>
              </w:rPr>
              <w:t>B.</w:t>
            </w:r>
            <w:r w:rsidR="008A41B3">
              <w:rPr>
                <w:rFonts w:eastAsiaTheme="minorEastAsia" w:cstheme="minorBidi"/>
                <w:smallCaps w:val="0"/>
                <w:noProof/>
                <w:sz w:val="22"/>
                <w:szCs w:val="22"/>
              </w:rPr>
              <w:tab/>
            </w:r>
            <w:r w:rsidR="008A41B3" w:rsidRPr="00796C9D">
              <w:rPr>
                <w:rStyle w:val="Hyperlink"/>
                <w:noProof/>
              </w:rPr>
              <w:t>Beneficios</w:t>
            </w:r>
            <w:r w:rsidR="008A41B3" w:rsidRPr="00796C9D">
              <w:rPr>
                <w:rStyle w:val="Hyperlink"/>
                <w:rFonts w:eastAsia="Calibri"/>
                <w:noProof/>
              </w:rPr>
              <w:t xml:space="preserve"> </w:t>
            </w:r>
            <w:r w:rsidR="008A41B3" w:rsidRPr="00796C9D">
              <w:rPr>
                <w:rStyle w:val="Hyperlink"/>
                <w:noProof/>
              </w:rPr>
              <w:t>económicos</w:t>
            </w:r>
            <w:r w:rsidR="008A41B3">
              <w:rPr>
                <w:noProof/>
                <w:webHidden/>
              </w:rPr>
              <w:tab/>
            </w:r>
            <w:r w:rsidR="008A41B3">
              <w:rPr>
                <w:noProof/>
                <w:webHidden/>
              </w:rPr>
              <w:fldChar w:fldCharType="begin"/>
            </w:r>
            <w:r w:rsidR="008A41B3">
              <w:rPr>
                <w:noProof/>
                <w:webHidden/>
              </w:rPr>
              <w:instrText xml:space="preserve"> PAGEREF _Toc513626358 \h </w:instrText>
            </w:r>
            <w:r w:rsidR="008A41B3">
              <w:rPr>
                <w:noProof/>
                <w:webHidden/>
              </w:rPr>
            </w:r>
            <w:r w:rsidR="008A41B3">
              <w:rPr>
                <w:noProof/>
                <w:webHidden/>
              </w:rPr>
              <w:fldChar w:fldCharType="separate"/>
            </w:r>
            <w:r w:rsidR="008A41B3">
              <w:rPr>
                <w:noProof/>
                <w:webHidden/>
              </w:rPr>
              <w:t>11</w:t>
            </w:r>
            <w:r w:rsidR="008A41B3">
              <w:rPr>
                <w:noProof/>
                <w:webHidden/>
              </w:rPr>
              <w:fldChar w:fldCharType="end"/>
            </w:r>
          </w:hyperlink>
        </w:p>
        <w:p w14:paraId="18948203" w14:textId="37F18733" w:rsidR="008A41B3" w:rsidRDefault="00237CAD">
          <w:pPr>
            <w:pStyle w:val="TOC2"/>
            <w:tabs>
              <w:tab w:val="left" w:pos="660"/>
              <w:tab w:val="right" w:leader="dot" w:pos="8540"/>
            </w:tabs>
            <w:rPr>
              <w:rFonts w:eastAsiaTheme="minorEastAsia" w:cstheme="minorBidi"/>
              <w:smallCaps w:val="0"/>
              <w:noProof/>
              <w:sz w:val="22"/>
              <w:szCs w:val="22"/>
            </w:rPr>
          </w:pPr>
          <w:hyperlink w:anchor="_Toc513626359" w:history="1">
            <w:r w:rsidR="008A41B3" w:rsidRPr="00796C9D">
              <w:rPr>
                <w:rStyle w:val="Hyperlink"/>
                <w:noProof/>
              </w:rPr>
              <w:t>C.</w:t>
            </w:r>
            <w:r w:rsidR="008A41B3">
              <w:rPr>
                <w:rFonts w:eastAsiaTheme="minorEastAsia" w:cstheme="minorBidi"/>
                <w:smallCaps w:val="0"/>
                <w:noProof/>
                <w:sz w:val="22"/>
                <w:szCs w:val="22"/>
              </w:rPr>
              <w:tab/>
            </w:r>
            <w:r w:rsidR="008A41B3" w:rsidRPr="00796C9D">
              <w:rPr>
                <w:rStyle w:val="Hyperlink"/>
                <w:noProof/>
              </w:rPr>
              <w:t>Resultados obtenidos</w:t>
            </w:r>
            <w:r w:rsidR="008A41B3">
              <w:rPr>
                <w:noProof/>
                <w:webHidden/>
              </w:rPr>
              <w:tab/>
            </w:r>
            <w:r w:rsidR="008A41B3">
              <w:rPr>
                <w:noProof/>
                <w:webHidden/>
              </w:rPr>
              <w:fldChar w:fldCharType="begin"/>
            </w:r>
            <w:r w:rsidR="008A41B3">
              <w:rPr>
                <w:noProof/>
                <w:webHidden/>
              </w:rPr>
              <w:instrText xml:space="preserve"> PAGEREF _Toc513626359 \h </w:instrText>
            </w:r>
            <w:r w:rsidR="008A41B3">
              <w:rPr>
                <w:noProof/>
                <w:webHidden/>
              </w:rPr>
            </w:r>
            <w:r w:rsidR="008A41B3">
              <w:rPr>
                <w:noProof/>
                <w:webHidden/>
              </w:rPr>
              <w:fldChar w:fldCharType="separate"/>
            </w:r>
            <w:r w:rsidR="008A41B3">
              <w:rPr>
                <w:noProof/>
                <w:webHidden/>
              </w:rPr>
              <w:t>14</w:t>
            </w:r>
            <w:r w:rsidR="008A41B3">
              <w:rPr>
                <w:noProof/>
                <w:webHidden/>
              </w:rPr>
              <w:fldChar w:fldCharType="end"/>
            </w:r>
          </w:hyperlink>
        </w:p>
        <w:p w14:paraId="144C74CD" w14:textId="0CE18B5A" w:rsidR="008A41B3" w:rsidRDefault="00237CAD">
          <w:pPr>
            <w:pStyle w:val="TOC2"/>
            <w:tabs>
              <w:tab w:val="left" w:pos="660"/>
              <w:tab w:val="right" w:leader="dot" w:pos="8540"/>
            </w:tabs>
            <w:rPr>
              <w:rFonts w:eastAsiaTheme="minorEastAsia" w:cstheme="minorBidi"/>
              <w:smallCaps w:val="0"/>
              <w:noProof/>
              <w:sz w:val="22"/>
              <w:szCs w:val="22"/>
            </w:rPr>
          </w:pPr>
          <w:hyperlink w:anchor="_Toc513626360" w:history="1">
            <w:r w:rsidR="008A41B3" w:rsidRPr="00796C9D">
              <w:rPr>
                <w:rStyle w:val="Hyperlink"/>
                <w:noProof/>
              </w:rPr>
              <w:t>D.</w:t>
            </w:r>
            <w:r w:rsidR="008A41B3">
              <w:rPr>
                <w:rFonts w:eastAsiaTheme="minorEastAsia" w:cstheme="minorBidi"/>
                <w:smallCaps w:val="0"/>
                <w:noProof/>
                <w:sz w:val="22"/>
                <w:szCs w:val="22"/>
              </w:rPr>
              <w:tab/>
            </w:r>
            <w:r w:rsidR="008A41B3" w:rsidRPr="00796C9D">
              <w:rPr>
                <w:rStyle w:val="Hyperlink"/>
                <w:noProof/>
              </w:rPr>
              <w:t>Beneficiarios</w:t>
            </w:r>
            <w:r w:rsidR="008A41B3">
              <w:rPr>
                <w:noProof/>
                <w:webHidden/>
              </w:rPr>
              <w:tab/>
            </w:r>
            <w:r w:rsidR="008A41B3">
              <w:rPr>
                <w:noProof/>
                <w:webHidden/>
              </w:rPr>
              <w:fldChar w:fldCharType="begin"/>
            </w:r>
            <w:r w:rsidR="008A41B3">
              <w:rPr>
                <w:noProof/>
                <w:webHidden/>
              </w:rPr>
              <w:instrText xml:space="preserve"> PAGEREF _Toc513626360 \h </w:instrText>
            </w:r>
            <w:r w:rsidR="008A41B3">
              <w:rPr>
                <w:noProof/>
                <w:webHidden/>
              </w:rPr>
            </w:r>
            <w:r w:rsidR="008A41B3">
              <w:rPr>
                <w:noProof/>
                <w:webHidden/>
              </w:rPr>
              <w:fldChar w:fldCharType="separate"/>
            </w:r>
            <w:r w:rsidR="008A41B3">
              <w:rPr>
                <w:noProof/>
                <w:webHidden/>
              </w:rPr>
              <w:t>15</w:t>
            </w:r>
            <w:r w:rsidR="008A41B3">
              <w:rPr>
                <w:noProof/>
                <w:webHidden/>
              </w:rPr>
              <w:fldChar w:fldCharType="end"/>
            </w:r>
          </w:hyperlink>
        </w:p>
        <w:p w14:paraId="5429896E" w14:textId="6C026E91" w:rsidR="008A41B3" w:rsidRDefault="00237CAD" w:rsidP="008A41B3">
          <w:pPr>
            <w:pStyle w:val="TOC1"/>
            <w:tabs>
              <w:tab w:val="left" w:pos="660"/>
              <w:tab w:val="right" w:leader="dot" w:pos="8540"/>
            </w:tabs>
            <w:rPr>
              <w:rFonts w:eastAsiaTheme="minorEastAsia" w:cstheme="minorBidi"/>
              <w:b w:val="0"/>
              <w:bCs w:val="0"/>
              <w:caps w:val="0"/>
              <w:noProof/>
              <w:sz w:val="22"/>
              <w:szCs w:val="22"/>
            </w:rPr>
          </w:pPr>
          <w:hyperlink w:anchor="_Toc513626361" w:history="1">
            <w:r w:rsidR="008A41B3" w:rsidRPr="00796C9D">
              <w:rPr>
                <w:rStyle w:val="Hyperlink"/>
                <w:rFonts w:ascii="Arial" w:hAnsi="Arial" w:cs="Arial"/>
                <w:smallCaps/>
                <w:noProof/>
                <w:lang w:val="es-CO"/>
              </w:rPr>
              <w:t>V.</w:t>
            </w:r>
            <w:r w:rsidR="008A41B3">
              <w:rPr>
                <w:rFonts w:eastAsiaTheme="minorEastAsia" w:cstheme="minorBidi"/>
                <w:b w:val="0"/>
                <w:bCs w:val="0"/>
                <w:caps w:val="0"/>
                <w:noProof/>
                <w:sz w:val="22"/>
                <w:szCs w:val="22"/>
              </w:rPr>
              <w:tab/>
            </w:r>
            <w:r w:rsidR="008A41B3" w:rsidRPr="00796C9D">
              <w:rPr>
                <w:rStyle w:val="Hyperlink"/>
                <w:rFonts w:ascii="Arial" w:hAnsi="Arial" w:cs="Arial"/>
                <w:smallCaps/>
                <w:noProof/>
                <w:lang w:val="es-CO"/>
              </w:rPr>
              <w:t>Análisis de sensibilidad</w:t>
            </w:r>
            <w:r w:rsidR="008A41B3">
              <w:rPr>
                <w:noProof/>
                <w:webHidden/>
              </w:rPr>
              <w:tab/>
            </w:r>
            <w:r w:rsidR="008A41B3">
              <w:rPr>
                <w:noProof/>
                <w:webHidden/>
              </w:rPr>
              <w:fldChar w:fldCharType="begin"/>
            </w:r>
            <w:r w:rsidR="008A41B3">
              <w:rPr>
                <w:noProof/>
                <w:webHidden/>
              </w:rPr>
              <w:instrText xml:space="preserve"> PAGEREF _Toc513626361 \h </w:instrText>
            </w:r>
            <w:r w:rsidR="008A41B3">
              <w:rPr>
                <w:noProof/>
                <w:webHidden/>
              </w:rPr>
            </w:r>
            <w:r w:rsidR="008A41B3">
              <w:rPr>
                <w:noProof/>
                <w:webHidden/>
              </w:rPr>
              <w:fldChar w:fldCharType="separate"/>
            </w:r>
            <w:r w:rsidR="008A41B3">
              <w:rPr>
                <w:noProof/>
                <w:webHidden/>
              </w:rPr>
              <w:t>15</w:t>
            </w:r>
            <w:r w:rsidR="008A41B3">
              <w:rPr>
                <w:noProof/>
                <w:webHidden/>
              </w:rPr>
              <w:fldChar w:fldCharType="end"/>
            </w:r>
          </w:hyperlink>
        </w:p>
        <w:p w14:paraId="588A1A33" w14:textId="4D755444" w:rsidR="008A41B3" w:rsidRDefault="00237CAD">
          <w:pPr>
            <w:pStyle w:val="TOC1"/>
            <w:tabs>
              <w:tab w:val="left" w:pos="660"/>
              <w:tab w:val="right" w:leader="dot" w:pos="8540"/>
            </w:tabs>
            <w:rPr>
              <w:rFonts w:eastAsiaTheme="minorEastAsia" w:cstheme="minorBidi"/>
              <w:b w:val="0"/>
              <w:bCs w:val="0"/>
              <w:caps w:val="0"/>
              <w:noProof/>
              <w:sz w:val="22"/>
              <w:szCs w:val="22"/>
            </w:rPr>
          </w:pPr>
          <w:hyperlink w:anchor="_Toc513626362" w:history="1">
            <w:r w:rsidR="008A41B3" w:rsidRPr="00796C9D">
              <w:rPr>
                <w:rStyle w:val="Hyperlink"/>
                <w:rFonts w:ascii="Arial" w:hAnsi="Arial" w:cs="Arial"/>
                <w:smallCaps/>
                <w:noProof/>
                <w:lang w:val="es-CO"/>
              </w:rPr>
              <w:t>VI.</w:t>
            </w:r>
            <w:r w:rsidR="008A41B3">
              <w:rPr>
                <w:rFonts w:eastAsiaTheme="minorEastAsia" w:cstheme="minorBidi"/>
                <w:b w:val="0"/>
                <w:bCs w:val="0"/>
                <w:caps w:val="0"/>
                <w:noProof/>
                <w:sz w:val="22"/>
                <w:szCs w:val="22"/>
              </w:rPr>
              <w:tab/>
            </w:r>
            <w:r w:rsidR="008A41B3" w:rsidRPr="00796C9D">
              <w:rPr>
                <w:rStyle w:val="Hyperlink"/>
                <w:rFonts w:ascii="Arial" w:hAnsi="Arial" w:cs="Arial"/>
                <w:smallCaps/>
                <w:noProof/>
                <w:lang w:val="es-CO"/>
              </w:rPr>
              <w:t>Conclusiones</w:t>
            </w:r>
            <w:r w:rsidR="008A41B3">
              <w:rPr>
                <w:noProof/>
                <w:webHidden/>
              </w:rPr>
              <w:tab/>
            </w:r>
            <w:r w:rsidR="008A41B3">
              <w:rPr>
                <w:noProof/>
                <w:webHidden/>
              </w:rPr>
              <w:fldChar w:fldCharType="begin"/>
            </w:r>
            <w:r w:rsidR="008A41B3">
              <w:rPr>
                <w:noProof/>
                <w:webHidden/>
              </w:rPr>
              <w:instrText xml:space="preserve"> PAGEREF _Toc513626362 \h </w:instrText>
            </w:r>
            <w:r w:rsidR="008A41B3">
              <w:rPr>
                <w:noProof/>
                <w:webHidden/>
              </w:rPr>
            </w:r>
            <w:r w:rsidR="008A41B3">
              <w:rPr>
                <w:noProof/>
                <w:webHidden/>
              </w:rPr>
              <w:fldChar w:fldCharType="separate"/>
            </w:r>
            <w:r w:rsidR="008A41B3">
              <w:rPr>
                <w:noProof/>
                <w:webHidden/>
              </w:rPr>
              <w:t>17</w:t>
            </w:r>
            <w:r w:rsidR="008A41B3">
              <w:rPr>
                <w:noProof/>
                <w:webHidden/>
              </w:rPr>
              <w:fldChar w:fldCharType="end"/>
            </w:r>
          </w:hyperlink>
        </w:p>
        <w:p w14:paraId="451BFD2E" w14:textId="2A139AF7" w:rsidR="008A41B3" w:rsidRDefault="00237CAD">
          <w:pPr>
            <w:pStyle w:val="TOC1"/>
            <w:tabs>
              <w:tab w:val="left" w:pos="660"/>
              <w:tab w:val="right" w:leader="dot" w:pos="8540"/>
            </w:tabs>
            <w:rPr>
              <w:rFonts w:eastAsiaTheme="minorEastAsia" w:cstheme="minorBidi"/>
              <w:b w:val="0"/>
              <w:bCs w:val="0"/>
              <w:caps w:val="0"/>
              <w:noProof/>
              <w:sz w:val="22"/>
              <w:szCs w:val="22"/>
            </w:rPr>
          </w:pPr>
          <w:hyperlink w:anchor="_Toc513626363" w:history="1">
            <w:r w:rsidR="008A41B3" w:rsidRPr="00796C9D">
              <w:rPr>
                <w:rStyle w:val="Hyperlink"/>
                <w:rFonts w:ascii="Arial" w:hAnsi="Arial" w:cs="Arial"/>
                <w:smallCaps/>
                <w:noProof/>
                <w:lang w:val="es-CO"/>
              </w:rPr>
              <w:t>VII.</w:t>
            </w:r>
            <w:r w:rsidR="008A41B3">
              <w:rPr>
                <w:rFonts w:eastAsiaTheme="minorEastAsia" w:cstheme="minorBidi"/>
                <w:b w:val="0"/>
                <w:bCs w:val="0"/>
                <w:caps w:val="0"/>
                <w:noProof/>
                <w:sz w:val="22"/>
                <w:szCs w:val="22"/>
              </w:rPr>
              <w:tab/>
            </w:r>
            <w:r w:rsidR="008A41B3" w:rsidRPr="00796C9D">
              <w:rPr>
                <w:rStyle w:val="Hyperlink"/>
                <w:rFonts w:ascii="Arial" w:hAnsi="Arial" w:cs="Arial"/>
                <w:smallCaps/>
                <w:noProof/>
                <w:lang w:val="es-CO"/>
              </w:rPr>
              <w:t>Anexos</w:t>
            </w:r>
            <w:r w:rsidR="008A41B3">
              <w:rPr>
                <w:noProof/>
                <w:webHidden/>
              </w:rPr>
              <w:tab/>
            </w:r>
            <w:r w:rsidR="008A41B3">
              <w:rPr>
                <w:noProof/>
                <w:webHidden/>
              </w:rPr>
              <w:fldChar w:fldCharType="begin"/>
            </w:r>
            <w:r w:rsidR="008A41B3">
              <w:rPr>
                <w:noProof/>
                <w:webHidden/>
              </w:rPr>
              <w:instrText xml:space="preserve"> PAGEREF _Toc513626363 \h </w:instrText>
            </w:r>
            <w:r w:rsidR="008A41B3">
              <w:rPr>
                <w:noProof/>
                <w:webHidden/>
              </w:rPr>
            </w:r>
            <w:r w:rsidR="008A41B3">
              <w:rPr>
                <w:noProof/>
                <w:webHidden/>
              </w:rPr>
              <w:fldChar w:fldCharType="separate"/>
            </w:r>
            <w:r w:rsidR="008A41B3">
              <w:rPr>
                <w:noProof/>
                <w:webHidden/>
              </w:rPr>
              <w:t>18</w:t>
            </w:r>
            <w:r w:rsidR="008A41B3">
              <w:rPr>
                <w:noProof/>
                <w:webHidden/>
              </w:rPr>
              <w:fldChar w:fldCharType="end"/>
            </w:r>
          </w:hyperlink>
        </w:p>
        <w:p w14:paraId="5DCCA1B4" w14:textId="1A48CE71" w:rsidR="008A41B3" w:rsidRDefault="00237CAD">
          <w:pPr>
            <w:pStyle w:val="TOC2"/>
            <w:tabs>
              <w:tab w:val="left" w:pos="660"/>
              <w:tab w:val="right" w:leader="dot" w:pos="8540"/>
            </w:tabs>
            <w:rPr>
              <w:rFonts w:eastAsiaTheme="minorEastAsia" w:cstheme="minorBidi"/>
              <w:smallCaps w:val="0"/>
              <w:noProof/>
              <w:sz w:val="22"/>
              <w:szCs w:val="22"/>
            </w:rPr>
          </w:pPr>
          <w:hyperlink w:anchor="_Toc513626364" w:history="1">
            <w:r w:rsidR="008A41B3" w:rsidRPr="00796C9D">
              <w:rPr>
                <w:rStyle w:val="Hyperlink"/>
                <w:noProof/>
              </w:rPr>
              <w:t>A.</w:t>
            </w:r>
            <w:r w:rsidR="008A41B3">
              <w:rPr>
                <w:rFonts w:eastAsiaTheme="minorEastAsia" w:cstheme="minorBidi"/>
                <w:smallCaps w:val="0"/>
                <w:noProof/>
                <w:sz w:val="22"/>
                <w:szCs w:val="22"/>
              </w:rPr>
              <w:tab/>
            </w:r>
            <w:r w:rsidR="008A41B3" w:rsidRPr="00796C9D">
              <w:rPr>
                <w:rStyle w:val="Hyperlink"/>
                <w:noProof/>
              </w:rPr>
              <w:t>Perfil Técnico-Financiero de los proyectos de la muestra (Evaluación de mínimo costo)</w:t>
            </w:r>
            <w:r w:rsidR="008A41B3">
              <w:rPr>
                <w:noProof/>
                <w:webHidden/>
              </w:rPr>
              <w:tab/>
            </w:r>
            <w:r w:rsidR="008A41B3">
              <w:rPr>
                <w:noProof/>
                <w:webHidden/>
              </w:rPr>
              <w:fldChar w:fldCharType="begin"/>
            </w:r>
            <w:r w:rsidR="008A41B3">
              <w:rPr>
                <w:noProof/>
                <w:webHidden/>
              </w:rPr>
              <w:instrText xml:space="preserve"> PAGEREF _Toc513626364 \h </w:instrText>
            </w:r>
            <w:r w:rsidR="008A41B3">
              <w:rPr>
                <w:noProof/>
                <w:webHidden/>
              </w:rPr>
            </w:r>
            <w:r w:rsidR="008A41B3">
              <w:rPr>
                <w:noProof/>
                <w:webHidden/>
              </w:rPr>
              <w:fldChar w:fldCharType="separate"/>
            </w:r>
            <w:r w:rsidR="008A41B3">
              <w:rPr>
                <w:noProof/>
                <w:webHidden/>
              </w:rPr>
              <w:t>18</w:t>
            </w:r>
            <w:r w:rsidR="008A41B3">
              <w:rPr>
                <w:noProof/>
                <w:webHidden/>
              </w:rPr>
              <w:fldChar w:fldCharType="end"/>
            </w:r>
          </w:hyperlink>
        </w:p>
        <w:p w14:paraId="0E6467FC" w14:textId="1D42FF28" w:rsidR="008A41B3" w:rsidRDefault="00237CAD">
          <w:pPr>
            <w:pStyle w:val="TOC2"/>
            <w:tabs>
              <w:tab w:val="left" w:pos="660"/>
              <w:tab w:val="right" w:leader="dot" w:pos="8540"/>
            </w:tabs>
            <w:rPr>
              <w:rFonts w:eastAsiaTheme="minorEastAsia" w:cstheme="minorBidi"/>
              <w:smallCaps w:val="0"/>
              <w:noProof/>
              <w:sz w:val="22"/>
              <w:szCs w:val="22"/>
            </w:rPr>
          </w:pPr>
          <w:hyperlink w:anchor="_Toc513626365" w:history="1">
            <w:r w:rsidR="008A41B3" w:rsidRPr="00796C9D">
              <w:rPr>
                <w:rStyle w:val="Hyperlink"/>
                <w:noProof/>
              </w:rPr>
              <w:t>B.</w:t>
            </w:r>
            <w:r w:rsidR="008A41B3">
              <w:rPr>
                <w:rFonts w:eastAsiaTheme="minorEastAsia" w:cstheme="minorBidi"/>
                <w:smallCaps w:val="0"/>
                <w:noProof/>
                <w:sz w:val="22"/>
                <w:szCs w:val="22"/>
              </w:rPr>
              <w:tab/>
            </w:r>
            <w:r w:rsidR="008A41B3" w:rsidRPr="00796C9D">
              <w:rPr>
                <w:rStyle w:val="Hyperlink"/>
                <w:noProof/>
              </w:rPr>
              <w:t>Proyecciones de demanda</w:t>
            </w:r>
            <w:r w:rsidR="008A41B3">
              <w:rPr>
                <w:noProof/>
                <w:webHidden/>
              </w:rPr>
              <w:tab/>
            </w:r>
            <w:r w:rsidR="008A41B3">
              <w:rPr>
                <w:noProof/>
                <w:webHidden/>
              </w:rPr>
              <w:fldChar w:fldCharType="begin"/>
            </w:r>
            <w:r w:rsidR="008A41B3">
              <w:rPr>
                <w:noProof/>
                <w:webHidden/>
              </w:rPr>
              <w:instrText xml:space="preserve"> PAGEREF _Toc513626365 \h </w:instrText>
            </w:r>
            <w:r w:rsidR="008A41B3">
              <w:rPr>
                <w:noProof/>
                <w:webHidden/>
              </w:rPr>
            </w:r>
            <w:r w:rsidR="008A41B3">
              <w:rPr>
                <w:noProof/>
                <w:webHidden/>
              </w:rPr>
              <w:fldChar w:fldCharType="separate"/>
            </w:r>
            <w:r w:rsidR="008A41B3">
              <w:rPr>
                <w:noProof/>
                <w:webHidden/>
              </w:rPr>
              <w:t>19</w:t>
            </w:r>
            <w:r w:rsidR="008A41B3">
              <w:rPr>
                <w:noProof/>
                <w:webHidden/>
              </w:rPr>
              <w:fldChar w:fldCharType="end"/>
            </w:r>
          </w:hyperlink>
        </w:p>
        <w:p w14:paraId="3CF5F01C" w14:textId="2EAC527A" w:rsidR="008A41B3" w:rsidRDefault="00237CAD">
          <w:pPr>
            <w:pStyle w:val="TOC2"/>
            <w:tabs>
              <w:tab w:val="left" w:pos="660"/>
              <w:tab w:val="right" w:leader="dot" w:pos="8540"/>
            </w:tabs>
            <w:rPr>
              <w:rFonts w:eastAsiaTheme="minorEastAsia" w:cstheme="minorBidi"/>
              <w:smallCaps w:val="0"/>
              <w:noProof/>
              <w:sz w:val="22"/>
              <w:szCs w:val="22"/>
            </w:rPr>
          </w:pPr>
          <w:hyperlink w:anchor="_Toc513626366" w:history="1">
            <w:r w:rsidR="008A41B3" w:rsidRPr="00796C9D">
              <w:rPr>
                <w:rStyle w:val="Hyperlink"/>
                <w:noProof/>
              </w:rPr>
              <w:t>C.</w:t>
            </w:r>
            <w:r w:rsidR="008A41B3">
              <w:rPr>
                <w:rFonts w:eastAsiaTheme="minorEastAsia" w:cstheme="minorBidi"/>
                <w:smallCaps w:val="0"/>
                <w:noProof/>
                <w:sz w:val="22"/>
                <w:szCs w:val="22"/>
              </w:rPr>
              <w:tab/>
            </w:r>
            <w:r w:rsidR="008A41B3" w:rsidRPr="00796C9D">
              <w:rPr>
                <w:rStyle w:val="Hyperlink"/>
                <w:noProof/>
              </w:rPr>
              <w:t>Costos Unitarios Vigentes del Servicio</w:t>
            </w:r>
            <w:r w:rsidR="008A41B3">
              <w:rPr>
                <w:noProof/>
                <w:webHidden/>
              </w:rPr>
              <w:tab/>
            </w:r>
            <w:r w:rsidR="008A41B3">
              <w:rPr>
                <w:noProof/>
                <w:webHidden/>
              </w:rPr>
              <w:fldChar w:fldCharType="begin"/>
            </w:r>
            <w:r w:rsidR="008A41B3">
              <w:rPr>
                <w:noProof/>
                <w:webHidden/>
              </w:rPr>
              <w:instrText xml:space="preserve"> PAGEREF _Toc513626366 \h </w:instrText>
            </w:r>
            <w:r w:rsidR="008A41B3">
              <w:rPr>
                <w:noProof/>
                <w:webHidden/>
              </w:rPr>
            </w:r>
            <w:r w:rsidR="008A41B3">
              <w:rPr>
                <w:noProof/>
                <w:webHidden/>
              </w:rPr>
              <w:fldChar w:fldCharType="separate"/>
            </w:r>
            <w:r w:rsidR="008A41B3">
              <w:rPr>
                <w:noProof/>
                <w:webHidden/>
              </w:rPr>
              <w:t>22</w:t>
            </w:r>
            <w:r w:rsidR="008A41B3">
              <w:rPr>
                <w:noProof/>
                <w:webHidden/>
              </w:rPr>
              <w:fldChar w:fldCharType="end"/>
            </w:r>
          </w:hyperlink>
        </w:p>
        <w:p w14:paraId="4209398A" w14:textId="3D72DB3E" w:rsidR="008A41B3" w:rsidRDefault="00237CAD">
          <w:pPr>
            <w:pStyle w:val="TOC2"/>
            <w:tabs>
              <w:tab w:val="left" w:pos="660"/>
              <w:tab w:val="right" w:leader="dot" w:pos="8540"/>
            </w:tabs>
            <w:rPr>
              <w:rFonts w:eastAsiaTheme="minorEastAsia" w:cstheme="minorBidi"/>
              <w:smallCaps w:val="0"/>
              <w:noProof/>
              <w:sz w:val="22"/>
              <w:szCs w:val="22"/>
            </w:rPr>
          </w:pPr>
          <w:hyperlink w:anchor="_Toc513626367" w:history="1">
            <w:r w:rsidR="008A41B3" w:rsidRPr="00796C9D">
              <w:rPr>
                <w:rStyle w:val="Hyperlink"/>
                <w:noProof/>
              </w:rPr>
              <w:t>D.</w:t>
            </w:r>
            <w:r w:rsidR="008A41B3">
              <w:rPr>
                <w:rFonts w:eastAsiaTheme="minorEastAsia" w:cstheme="minorBidi"/>
                <w:smallCaps w:val="0"/>
                <w:noProof/>
                <w:sz w:val="22"/>
                <w:szCs w:val="22"/>
              </w:rPr>
              <w:tab/>
            </w:r>
            <w:r w:rsidR="008A41B3" w:rsidRPr="00796C9D">
              <w:rPr>
                <w:rStyle w:val="Hyperlink"/>
                <w:noProof/>
              </w:rPr>
              <w:t>Razones de precio cuenta (RPC)</w:t>
            </w:r>
            <w:r w:rsidR="008A41B3">
              <w:rPr>
                <w:noProof/>
                <w:webHidden/>
              </w:rPr>
              <w:tab/>
            </w:r>
            <w:r w:rsidR="008A41B3">
              <w:rPr>
                <w:noProof/>
                <w:webHidden/>
              </w:rPr>
              <w:fldChar w:fldCharType="begin"/>
            </w:r>
            <w:r w:rsidR="008A41B3">
              <w:rPr>
                <w:noProof/>
                <w:webHidden/>
              </w:rPr>
              <w:instrText xml:space="preserve"> PAGEREF _Toc513626367 \h </w:instrText>
            </w:r>
            <w:r w:rsidR="008A41B3">
              <w:rPr>
                <w:noProof/>
                <w:webHidden/>
              </w:rPr>
            </w:r>
            <w:r w:rsidR="008A41B3">
              <w:rPr>
                <w:noProof/>
                <w:webHidden/>
              </w:rPr>
              <w:fldChar w:fldCharType="separate"/>
            </w:r>
            <w:r w:rsidR="008A41B3">
              <w:rPr>
                <w:noProof/>
                <w:webHidden/>
              </w:rPr>
              <w:t>23</w:t>
            </w:r>
            <w:r w:rsidR="008A41B3">
              <w:rPr>
                <w:noProof/>
                <w:webHidden/>
              </w:rPr>
              <w:fldChar w:fldCharType="end"/>
            </w:r>
          </w:hyperlink>
        </w:p>
        <w:p w14:paraId="76F13507" w14:textId="44B57E45" w:rsidR="008A41B3" w:rsidRDefault="00237CAD">
          <w:pPr>
            <w:pStyle w:val="TOC2"/>
            <w:tabs>
              <w:tab w:val="left" w:pos="660"/>
              <w:tab w:val="right" w:leader="dot" w:pos="8540"/>
            </w:tabs>
            <w:rPr>
              <w:rFonts w:eastAsiaTheme="minorEastAsia" w:cstheme="minorBidi"/>
              <w:smallCaps w:val="0"/>
              <w:noProof/>
              <w:sz w:val="22"/>
              <w:szCs w:val="22"/>
            </w:rPr>
          </w:pPr>
          <w:hyperlink w:anchor="_Toc513626368" w:history="1">
            <w:r w:rsidR="008A41B3" w:rsidRPr="00796C9D">
              <w:rPr>
                <w:rStyle w:val="Hyperlink"/>
                <w:rFonts w:eastAsia="Calibri"/>
                <w:noProof/>
              </w:rPr>
              <w:t>E.</w:t>
            </w:r>
            <w:r w:rsidR="008A41B3">
              <w:rPr>
                <w:rFonts w:eastAsiaTheme="minorEastAsia" w:cstheme="minorBidi"/>
                <w:smallCaps w:val="0"/>
                <w:noProof/>
                <w:sz w:val="22"/>
                <w:szCs w:val="22"/>
              </w:rPr>
              <w:tab/>
            </w:r>
            <w:r w:rsidR="008A41B3" w:rsidRPr="00796C9D">
              <w:rPr>
                <w:rStyle w:val="Hyperlink"/>
                <w:rFonts w:eastAsia="Calibri"/>
                <w:noProof/>
              </w:rPr>
              <w:t xml:space="preserve">Costo </w:t>
            </w:r>
            <w:r w:rsidR="008A41B3" w:rsidRPr="00796C9D">
              <w:rPr>
                <w:rStyle w:val="Hyperlink"/>
                <w:noProof/>
              </w:rPr>
              <w:t>Marginal</w:t>
            </w:r>
            <w:r w:rsidR="008A41B3" w:rsidRPr="00796C9D">
              <w:rPr>
                <w:rStyle w:val="Hyperlink"/>
                <w:rFonts w:eastAsia="Calibri"/>
                <w:noProof/>
              </w:rPr>
              <w:t xml:space="preserve"> de Corto Plazo 2017</w:t>
            </w:r>
            <w:r w:rsidR="008A41B3">
              <w:rPr>
                <w:noProof/>
                <w:webHidden/>
              </w:rPr>
              <w:tab/>
            </w:r>
            <w:r w:rsidR="008A41B3">
              <w:rPr>
                <w:noProof/>
                <w:webHidden/>
              </w:rPr>
              <w:fldChar w:fldCharType="begin"/>
            </w:r>
            <w:r w:rsidR="008A41B3">
              <w:rPr>
                <w:noProof/>
                <w:webHidden/>
              </w:rPr>
              <w:instrText xml:space="preserve"> PAGEREF _Toc513626368 \h </w:instrText>
            </w:r>
            <w:r w:rsidR="008A41B3">
              <w:rPr>
                <w:noProof/>
                <w:webHidden/>
              </w:rPr>
            </w:r>
            <w:r w:rsidR="008A41B3">
              <w:rPr>
                <w:noProof/>
                <w:webHidden/>
              </w:rPr>
              <w:fldChar w:fldCharType="separate"/>
            </w:r>
            <w:r w:rsidR="008A41B3">
              <w:rPr>
                <w:noProof/>
                <w:webHidden/>
              </w:rPr>
              <w:t>26</w:t>
            </w:r>
            <w:r w:rsidR="008A41B3">
              <w:rPr>
                <w:noProof/>
                <w:webHidden/>
              </w:rPr>
              <w:fldChar w:fldCharType="end"/>
            </w:r>
          </w:hyperlink>
        </w:p>
        <w:p w14:paraId="1E8C3BD7" w14:textId="508FAB2A" w:rsidR="008A41B3" w:rsidRDefault="00237CAD">
          <w:pPr>
            <w:pStyle w:val="TOC2"/>
            <w:tabs>
              <w:tab w:val="left" w:pos="660"/>
              <w:tab w:val="right" w:leader="dot" w:pos="8540"/>
            </w:tabs>
            <w:rPr>
              <w:rFonts w:eastAsiaTheme="minorEastAsia" w:cstheme="minorBidi"/>
              <w:smallCaps w:val="0"/>
              <w:noProof/>
              <w:sz w:val="22"/>
              <w:szCs w:val="22"/>
            </w:rPr>
          </w:pPr>
          <w:hyperlink w:anchor="_Toc513626369" w:history="1">
            <w:r w:rsidR="008A41B3" w:rsidRPr="00796C9D">
              <w:rPr>
                <w:rStyle w:val="Hyperlink"/>
                <w:rFonts w:eastAsia="Calibri"/>
                <w:noProof/>
              </w:rPr>
              <w:t>F.</w:t>
            </w:r>
            <w:r w:rsidR="008A41B3">
              <w:rPr>
                <w:rFonts w:eastAsiaTheme="minorEastAsia" w:cstheme="minorBidi"/>
                <w:smallCaps w:val="0"/>
                <w:noProof/>
                <w:sz w:val="22"/>
                <w:szCs w:val="22"/>
              </w:rPr>
              <w:tab/>
            </w:r>
            <w:r w:rsidR="008A41B3" w:rsidRPr="00796C9D">
              <w:rPr>
                <w:rStyle w:val="Hyperlink"/>
                <w:rFonts w:eastAsia="Calibri"/>
                <w:noProof/>
              </w:rPr>
              <w:t>Resumen de supuestos adoptados para la evaluación económica</w:t>
            </w:r>
            <w:r w:rsidR="008A41B3">
              <w:rPr>
                <w:noProof/>
                <w:webHidden/>
              </w:rPr>
              <w:tab/>
            </w:r>
            <w:r w:rsidR="008A41B3">
              <w:rPr>
                <w:noProof/>
                <w:webHidden/>
              </w:rPr>
              <w:fldChar w:fldCharType="begin"/>
            </w:r>
            <w:r w:rsidR="008A41B3">
              <w:rPr>
                <w:noProof/>
                <w:webHidden/>
              </w:rPr>
              <w:instrText xml:space="preserve"> PAGEREF _Toc513626369 \h </w:instrText>
            </w:r>
            <w:r w:rsidR="008A41B3">
              <w:rPr>
                <w:noProof/>
                <w:webHidden/>
              </w:rPr>
            </w:r>
            <w:r w:rsidR="008A41B3">
              <w:rPr>
                <w:noProof/>
                <w:webHidden/>
              </w:rPr>
              <w:fldChar w:fldCharType="separate"/>
            </w:r>
            <w:r w:rsidR="008A41B3">
              <w:rPr>
                <w:noProof/>
                <w:webHidden/>
              </w:rPr>
              <w:t>27</w:t>
            </w:r>
            <w:r w:rsidR="008A41B3">
              <w:rPr>
                <w:noProof/>
                <w:webHidden/>
              </w:rPr>
              <w:fldChar w:fldCharType="end"/>
            </w:r>
          </w:hyperlink>
        </w:p>
        <w:p w14:paraId="04E068F9" w14:textId="4EE73AD0" w:rsidR="008A41B3" w:rsidRDefault="00237CAD">
          <w:pPr>
            <w:pStyle w:val="TOC2"/>
            <w:tabs>
              <w:tab w:val="left" w:pos="660"/>
              <w:tab w:val="right" w:leader="dot" w:pos="8540"/>
            </w:tabs>
            <w:rPr>
              <w:rFonts w:eastAsiaTheme="minorEastAsia" w:cstheme="minorBidi"/>
              <w:smallCaps w:val="0"/>
              <w:noProof/>
              <w:sz w:val="22"/>
              <w:szCs w:val="22"/>
            </w:rPr>
          </w:pPr>
          <w:hyperlink w:anchor="_Toc513626370" w:history="1">
            <w:r w:rsidR="008A41B3" w:rsidRPr="00796C9D">
              <w:rPr>
                <w:rStyle w:val="Hyperlink"/>
                <w:rFonts w:eastAsia="Calibri"/>
                <w:noProof/>
              </w:rPr>
              <w:t>G.</w:t>
            </w:r>
            <w:r w:rsidR="008A41B3">
              <w:rPr>
                <w:rFonts w:eastAsiaTheme="minorEastAsia" w:cstheme="minorBidi"/>
                <w:smallCaps w:val="0"/>
                <w:noProof/>
                <w:sz w:val="22"/>
                <w:szCs w:val="22"/>
              </w:rPr>
              <w:tab/>
            </w:r>
            <w:r w:rsidR="008A41B3" w:rsidRPr="00796C9D">
              <w:rPr>
                <w:rStyle w:val="Hyperlink"/>
                <w:rFonts w:eastAsia="Calibri"/>
                <w:noProof/>
              </w:rPr>
              <w:t>Resumen de flujos financieros y económicos caso base</w:t>
            </w:r>
            <w:r w:rsidR="008A41B3">
              <w:rPr>
                <w:noProof/>
                <w:webHidden/>
              </w:rPr>
              <w:tab/>
            </w:r>
            <w:r w:rsidR="008A41B3">
              <w:rPr>
                <w:noProof/>
                <w:webHidden/>
              </w:rPr>
              <w:fldChar w:fldCharType="begin"/>
            </w:r>
            <w:r w:rsidR="008A41B3">
              <w:rPr>
                <w:noProof/>
                <w:webHidden/>
              </w:rPr>
              <w:instrText xml:space="preserve"> PAGEREF _Toc513626370 \h </w:instrText>
            </w:r>
            <w:r w:rsidR="008A41B3">
              <w:rPr>
                <w:noProof/>
                <w:webHidden/>
              </w:rPr>
            </w:r>
            <w:r w:rsidR="008A41B3">
              <w:rPr>
                <w:noProof/>
                <w:webHidden/>
              </w:rPr>
              <w:fldChar w:fldCharType="separate"/>
            </w:r>
            <w:r w:rsidR="008A41B3">
              <w:rPr>
                <w:noProof/>
                <w:webHidden/>
              </w:rPr>
              <w:t>30</w:t>
            </w:r>
            <w:r w:rsidR="008A41B3">
              <w:rPr>
                <w:noProof/>
                <w:webHidden/>
              </w:rPr>
              <w:fldChar w:fldCharType="end"/>
            </w:r>
          </w:hyperlink>
        </w:p>
        <w:p w14:paraId="5AC0A35C" w14:textId="4ABE8EA4" w:rsidR="00D365FF" w:rsidRDefault="00D365FF" w:rsidP="00D365FF">
          <w:r>
            <w:rPr>
              <w:b/>
              <w:bCs/>
              <w:noProof/>
            </w:rPr>
            <w:fldChar w:fldCharType="end"/>
          </w:r>
        </w:p>
      </w:sdtContent>
    </w:sdt>
    <w:p w14:paraId="2B47F40A" w14:textId="77777777" w:rsidR="00D365FF" w:rsidRPr="00C3216A" w:rsidRDefault="00D365FF" w:rsidP="00D365FF">
      <w:pPr>
        <w:rPr>
          <w:rFonts w:cs="Arial"/>
          <w:b/>
          <w:szCs w:val="24"/>
          <w:lang w:val="es-ES"/>
        </w:rPr>
      </w:pPr>
      <w:r w:rsidRPr="00C3216A">
        <w:rPr>
          <w:rFonts w:cs="Arial"/>
          <w:b/>
          <w:szCs w:val="24"/>
          <w:lang w:val="es-ES"/>
        </w:rPr>
        <w:br w:type="page"/>
      </w:r>
    </w:p>
    <w:p w14:paraId="0269E187" w14:textId="77777777" w:rsidR="00D365FF" w:rsidRPr="00E4165A" w:rsidRDefault="00D365FF" w:rsidP="00D365FF">
      <w:pPr>
        <w:pStyle w:val="Heading1"/>
        <w:numPr>
          <w:ilvl w:val="0"/>
          <w:numId w:val="3"/>
        </w:numPr>
        <w:ind w:left="0" w:firstLine="0"/>
        <w:jc w:val="center"/>
        <w:rPr>
          <w:rFonts w:ascii="Arial" w:hAnsi="Arial" w:cs="Arial"/>
          <w:smallCaps/>
          <w:noProof/>
          <w:color w:val="000000" w:themeColor="text1"/>
          <w:sz w:val="22"/>
          <w:szCs w:val="22"/>
          <w:lang w:val="es-ES"/>
        </w:rPr>
      </w:pPr>
      <w:bookmarkStart w:id="1" w:name="_Toc513626348"/>
      <w:r w:rsidRPr="00E4165A">
        <w:rPr>
          <w:rFonts w:ascii="Arial" w:hAnsi="Arial" w:cs="Arial"/>
          <w:smallCaps/>
          <w:noProof/>
          <w:color w:val="000000" w:themeColor="text1"/>
          <w:sz w:val="22"/>
          <w:szCs w:val="22"/>
          <w:lang w:val="es-ES"/>
        </w:rPr>
        <w:lastRenderedPageBreak/>
        <w:t>Introducción</w:t>
      </w:r>
      <w:bookmarkEnd w:id="1"/>
    </w:p>
    <w:p w14:paraId="32FDACDE" w14:textId="77777777" w:rsidR="00D365FF" w:rsidRPr="00E4165A" w:rsidRDefault="00D365FF" w:rsidP="005C2329">
      <w:pPr>
        <w:pStyle w:val="Heading2"/>
      </w:pPr>
      <w:bookmarkStart w:id="2" w:name="_Toc513626349"/>
      <w:r w:rsidRPr="00E4165A">
        <w:t xml:space="preserve">El </w:t>
      </w:r>
      <w:r w:rsidRPr="00E4165A">
        <w:rPr>
          <w:lang w:val="es-CO"/>
        </w:rPr>
        <w:t>Sistema</w:t>
      </w:r>
      <w:r w:rsidRPr="00E4165A">
        <w:t xml:space="preserve"> de Transmisión Nacional (STN)</w:t>
      </w:r>
      <w:bookmarkEnd w:id="2"/>
      <w:r w:rsidRPr="00E4165A">
        <w:t xml:space="preserve"> </w:t>
      </w:r>
    </w:p>
    <w:p w14:paraId="48DD9CAA" w14:textId="77777777" w:rsidR="00D365FF" w:rsidRPr="00C04642" w:rsidRDefault="00D365FF" w:rsidP="00D365FF">
      <w:pPr>
        <w:pStyle w:val="ListParagraph"/>
        <w:numPr>
          <w:ilvl w:val="1"/>
          <w:numId w:val="3"/>
        </w:numPr>
        <w:spacing w:before="120"/>
        <w:ind w:left="720" w:hanging="720"/>
        <w:jc w:val="both"/>
        <w:rPr>
          <w:rFonts w:cs="Arial"/>
          <w:lang w:val="es-ES"/>
        </w:rPr>
      </w:pPr>
      <w:r w:rsidRPr="00E97226">
        <w:rPr>
          <w:rFonts w:cs="Arial"/>
          <w:lang w:val="es-ES"/>
        </w:rPr>
        <w:t>La transmisión de electricidad</w:t>
      </w:r>
      <w:r>
        <w:rPr>
          <w:rFonts w:cs="Arial"/>
          <w:lang w:val="es-ES"/>
        </w:rPr>
        <w:t xml:space="preserve"> en Honduras</w:t>
      </w:r>
      <w:r w:rsidRPr="00E97226">
        <w:rPr>
          <w:rFonts w:cs="Arial"/>
          <w:lang w:val="es-ES"/>
        </w:rPr>
        <w:t xml:space="preserve"> ha experimentado rezagos de inversiones </w:t>
      </w:r>
      <w:r>
        <w:rPr>
          <w:rFonts w:cs="Arial"/>
          <w:lang w:val="es-ES"/>
        </w:rPr>
        <w:t>resultantes de</w:t>
      </w:r>
      <w:r w:rsidRPr="00E97226">
        <w:rPr>
          <w:rFonts w:cs="Arial"/>
          <w:lang w:val="es-ES"/>
        </w:rPr>
        <w:t xml:space="preserve"> restricciones financieras de la Empresa Nacio</w:t>
      </w:r>
      <w:r>
        <w:rPr>
          <w:rFonts w:cs="Arial"/>
          <w:lang w:val="es-ES"/>
        </w:rPr>
        <w:t>nal de Energía Eléctrica (ENEE)</w:t>
      </w:r>
      <w:r w:rsidRPr="00E97226">
        <w:rPr>
          <w:rFonts w:cs="Arial"/>
          <w:lang w:val="es-ES"/>
        </w:rPr>
        <w:t xml:space="preserve">, lo que ha limitado la atención a las crecientes necesidades de expansión del STN, la confiabilidad del suministro eléctrico, la calidad del servicio, mayor contribución a la reducción de pérdidas eléctricas y el cumplimiento oportuno de los compromisos de inversión en el </w:t>
      </w:r>
      <w:r>
        <w:rPr>
          <w:rFonts w:cs="Arial"/>
          <w:lang w:val="es-ES"/>
        </w:rPr>
        <w:t>Sistema Eléctrico Interconectado para América Central (</w:t>
      </w:r>
      <w:r w:rsidRPr="00E97226">
        <w:rPr>
          <w:rFonts w:cs="Arial"/>
          <w:lang w:val="es-ES"/>
        </w:rPr>
        <w:t>SIEPAC</w:t>
      </w:r>
      <w:r>
        <w:rPr>
          <w:rFonts w:cs="Arial"/>
          <w:lang w:val="es-ES"/>
        </w:rPr>
        <w:t>)</w:t>
      </w:r>
      <w:r w:rsidRPr="00E97226">
        <w:rPr>
          <w:rFonts w:cs="Arial"/>
          <w:lang w:val="es-ES"/>
        </w:rPr>
        <w:t xml:space="preserve">. </w:t>
      </w:r>
      <w:r>
        <w:rPr>
          <w:rFonts w:cs="Arial"/>
          <w:lang w:val="es-ES"/>
        </w:rPr>
        <w:t xml:space="preserve">El rezago en la </w:t>
      </w:r>
      <w:r w:rsidRPr="00E97226">
        <w:rPr>
          <w:rFonts w:cs="Arial"/>
          <w:lang w:val="es-ES"/>
        </w:rPr>
        <w:t xml:space="preserve">expansión y desarrollo de nueva infraestructura de transmisión constituye, </w:t>
      </w:r>
      <w:r>
        <w:rPr>
          <w:rFonts w:cs="Arial"/>
          <w:lang w:val="es-ES"/>
        </w:rPr>
        <w:t xml:space="preserve">además, </w:t>
      </w:r>
      <w:r w:rsidRPr="00E97226">
        <w:rPr>
          <w:rFonts w:cs="Arial"/>
          <w:lang w:val="es-ES"/>
        </w:rPr>
        <w:t xml:space="preserve">uno de los principales obstáculos para la conexión de nuevas fuentes de </w:t>
      </w:r>
      <w:r w:rsidRPr="00413FC1">
        <w:rPr>
          <w:rFonts w:cs="Arial"/>
          <w:lang w:val="es-ES"/>
        </w:rPr>
        <w:t xml:space="preserve">Energía Renovable No Convencional </w:t>
      </w:r>
      <w:r>
        <w:rPr>
          <w:rFonts w:cs="Arial"/>
          <w:lang w:val="es-ES"/>
        </w:rPr>
        <w:t>(</w:t>
      </w:r>
      <w:r w:rsidRPr="00E97226">
        <w:rPr>
          <w:rFonts w:cs="Arial"/>
          <w:lang w:val="es-ES"/>
        </w:rPr>
        <w:t>ERNC</w:t>
      </w:r>
      <w:r>
        <w:rPr>
          <w:rFonts w:cs="Arial"/>
          <w:lang w:val="es-ES"/>
        </w:rPr>
        <w:t>)</w:t>
      </w:r>
      <w:r w:rsidRPr="00E97226">
        <w:rPr>
          <w:rFonts w:cs="Arial"/>
          <w:lang w:val="es-ES"/>
        </w:rPr>
        <w:t xml:space="preserve"> al STN</w:t>
      </w:r>
      <w:r>
        <w:rPr>
          <w:rFonts w:cs="Arial"/>
          <w:lang w:val="es-ES"/>
        </w:rPr>
        <w:t xml:space="preserve"> hondureño</w:t>
      </w:r>
      <w:r w:rsidRPr="00E97226">
        <w:rPr>
          <w:rFonts w:cs="Arial"/>
          <w:lang w:val="es-ES"/>
        </w:rPr>
        <w:t>.</w:t>
      </w:r>
      <w:r>
        <w:rPr>
          <w:rFonts w:cs="Arial"/>
          <w:lang w:val="es-ES"/>
        </w:rPr>
        <w:t xml:space="preserve"> Estas deficiencias presentes en el </w:t>
      </w:r>
      <w:proofErr w:type="gramStart"/>
      <w:r>
        <w:rPr>
          <w:rFonts w:cs="Arial"/>
          <w:lang w:val="es-ES"/>
        </w:rPr>
        <w:t>STN,</w:t>
      </w:r>
      <w:proofErr w:type="gramEnd"/>
      <w:r>
        <w:rPr>
          <w:rFonts w:cs="Arial"/>
          <w:lang w:val="es-ES"/>
        </w:rPr>
        <w:t xml:space="preserve"> </w:t>
      </w:r>
      <w:r w:rsidRPr="00A6765A">
        <w:rPr>
          <w:rFonts w:cs="Arial"/>
          <w:lang w:val="es-ES"/>
        </w:rPr>
        <w:t xml:space="preserve">provocan </w:t>
      </w:r>
      <w:r>
        <w:rPr>
          <w:rFonts w:cs="Arial"/>
          <w:lang w:val="es-ES"/>
        </w:rPr>
        <w:t>disminuciones</w:t>
      </w:r>
      <w:r w:rsidRPr="00A6765A">
        <w:rPr>
          <w:rFonts w:cs="Arial"/>
          <w:lang w:val="es-ES"/>
        </w:rPr>
        <w:t xml:space="preserve"> en los ingresos de la </w:t>
      </w:r>
      <w:r>
        <w:rPr>
          <w:rFonts w:cs="Arial"/>
          <w:lang w:val="es-ES"/>
        </w:rPr>
        <w:t>ENEE, debido tanto a pé</w:t>
      </w:r>
      <w:r w:rsidRPr="00A6765A">
        <w:rPr>
          <w:rFonts w:cs="Arial"/>
          <w:lang w:val="es-ES"/>
        </w:rPr>
        <w:t xml:space="preserve">rdidas económicas por el servicio </w:t>
      </w:r>
      <w:r>
        <w:rPr>
          <w:rFonts w:cs="Arial"/>
          <w:lang w:val="es-ES"/>
        </w:rPr>
        <w:t>dejado de</w:t>
      </w:r>
      <w:r w:rsidRPr="00A6765A">
        <w:rPr>
          <w:rFonts w:cs="Arial"/>
          <w:lang w:val="es-ES"/>
        </w:rPr>
        <w:t xml:space="preserve"> presta</w:t>
      </w:r>
      <w:r>
        <w:rPr>
          <w:rFonts w:cs="Arial"/>
          <w:lang w:val="es-ES"/>
        </w:rPr>
        <w:t>r</w:t>
      </w:r>
      <w:r w:rsidRPr="00A6765A">
        <w:rPr>
          <w:rFonts w:cs="Arial"/>
          <w:lang w:val="es-ES"/>
        </w:rPr>
        <w:t xml:space="preserve"> a los consumidores finales</w:t>
      </w:r>
      <w:r>
        <w:rPr>
          <w:rFonts w:cs="Arial"/>
          <w:lang w:val="es-ES"/>
        </w:rPr>
        <w:t xml:space="preserve"> por interrupciones</w:t>
      </w:r>
      <w:r w:rsidRPr="00A6765A">
        <w:rPr>
          <w:rFonts w:cs="Arial"/>
          <w:lang w:val="es-ES"/>
        </w:rPr>
        <w:t>, como por p</w:t>
      </w:r>
      <w:r>
        <w:rPr>
          <w:rFonts w:cs="Arial"/>
          <w:lang w:val="es-ES"/>
        </w:rPr>
        <w:t>é</w:t>
      </w:r>
      <w:r w:rsidRPr="00A6765A">
        <w:rPr>
          <w:rFonts w:cs="Arial"/>
          <w:lang w:val="es-ES"/>
        </w:rPr>
        <w:t>rdidas en los flujos de energía que se presentan eventualmente para evitar sobrecargas en los sistemas</w:t>
      </w:r>
      <w:r>
        <w:rPr>
          <w:rFonts w:cs="Arial"/>
          <w:lang w:val="es-ES"/>
        </w:rPr>
        <w:t xml:space="preserve"> de</w:t>
      </w:r>
      <w:r w:rsidRPr="00A6765A">
        <w:rPr>
          <w:rFonts w:cs="Arial"/>
          <w:lang w:val="es-ES"/>
        </w:rPr>
        <w:t xml:space="preserve"> transformación o la saturación de carga en los sistemas de </w:t>
      </w:r>
      <w:r w:rsidRPr="00C04642">
        <w:rPr>
          <w:rFonts w:cs="Arial"/>
          <w:lang w:val="es-ES"/>
        </w:rPr>
        <w:t xml:space="preserve">transmisión. </w:t>
      </w:r>
      <w:r w:rsidRPr="00B902AA">
        <w:rPr>
          <w:rFonts w:cs="Arial"/>
          <w:lang w:val="es-ES"/>
        </w:rPr>
        <w:t xml:space="preserve">También se limita la cobertura, pese a que los pasos de servidumbre se encuentran próximos </w:t>
      </w:r>
      <w:r>
        <w:rPr>
          <w:rFonts w:cs="Arial"/>
          <w:lang w:val="es-ES"/>
        </w:rPr>
        <w:t>a los consumidores</w:t>
      </w:r>
      <w:r w:rsidRPr="00B902AA">
        <w:rPr>
          <w:rFonts w:cs="Arial"/>
          <w:lang w:val="es-ES"/>
        </w:rPr>
        <w:t>, no es posible realizar la distribución debido a los niveles actuale</w:t>
      </w:r>
      <w:r>
        <w:rPr>
          <w:rFonts w:cs="Arial"/>
          <w:lang w:val="es-ES"/>
        </w:rPr>
        <w:t xml:space="preserve">s </w:t>
      </w:r>
      <w:r w:rsidRPr="00B902AA">
        <w:rPr>
          <w:rFonts w:cs="Arial"/>
          <w:lang w:val="es-ES"/>
        </w:rPr>
        <w:t>de capacidad de transporte que soporta la infraestructura existente</w:t>
      </w:r>
      <w:r>
        <w:rPr>
          <w:rFonts w:cs="Arial"/>
          <w:lang w:val="es-ES"/>
        </w:rPr>
        <w:t xml:space="preserve">. </w:t>
      </w:r>
      <w:r w:rsidRPr="00C04642">
        <w:rPr>
          <w:rFonts w:cs="Arial"/>
          <w:lang w:val="es-ES"/>
        </w:rPr>
        <w:t xml:space="preserve">Los consumidores productivos y comerciales enfrentan </w:t>
      </w:r>
      <w:r>
        <w:rPr>
          <w:rFonts w:cs="Arial"/>
          <w:lang w:val="es-ES"/>
        </w:rPr>
        <w:t xml:space="preserve">además </w:t>
      </w:r>
      <w:r w:rsidRPr="00C04642">
        <w:rPr>
          <w:rFonts w:cs="Arial"/>
          <w:lang w:val="es-ES"/>
        </w:rPr>
        <w:t xml:space="preserve">incertidumbre por </w:t>
      </w:r>
      <w:r>
        <w:rPr>
          <w:rFonts w:cs="Arial"/>
          <w:lang w:val="es-ES"/>
        </w:rPr>
        <w:t>la estabilidad d</w:t>
      </w:r>
      <w:r w:rsidRPr="00C04642">
        <w:rPr>
          <w:rFonts w:cs="Arial"/>
          <w:lang w:val="es-ES"/>
        </w:rPr>
        <w:t>el servicio, ante la cual recurren a contratar servicios alternos privados, dado que su actividad económica depende enteramente del servicio de energía como insumo productivo.</w:t>
      </w:r>
    </w:p>
    <w:p w14:paraId="78CFF255" w14:textId="77777777" w:rsidR="00D365FF" w:rsidRPr="00E97226" w:rsidRDefault="00D365FF" w:rsidP="00D365FF">
      <w:pPr>
        <w:pStyle w:val="ListParagraph"/>
        <w:numPr>
          <w:ilvl w:val="1"/>
          <w:numId w:val="3"/>
        </w:numPr>
        <w:spacing w:before="120"/>
        <w:ind w:left="720" w:hanging="720"/>
        <w:jc w:val="both"/>
        <w:rPr>
          <w:rFonts w:cs="Arial"/>
          <w:lang w:val="es-ES"/>
        </w:rPr>
      </w:pPr>
      <w:r w:rsidRPr="00C04642">
        <w:rPr>
          <w:rFonts w:cs="Arial"/>
          <w:lang w:val="es-ES"/>
        </w:rPr>
        <w:t xml:space="preserve">De acuerdo con el Plan Indicativo de Expansión de Transmisión de la ENEE, detallado en el documento “Inversiones Priorizadas para el Fortalecimiento del Sistema Interconectado Nacional” de junio 2017, actualmente los requerimientos de inversión en infraestructura de transmisión </w:t>
      </w:r>
      <w:r w:rsidRPr="003D07A5">
        <w:rPr>
          <w:rFonts w:cs="Arial"/>
          <w:lang w:val="es-ES"/>
        </w:rPr>
        <w:t>superan US$425 millones, equivalentes al 2,3% del PIB. La vulnerabilidad en que se encuentra la</w:t>
      </w:r>
      <w:r w:rsidRPr="00C04642">
        <w:rPr>
          <w:rFonts w:cs="Arial"/>
          <w:lang w:val="es-ES"/>
        </w:rPr>
        <w:t xml:space="preserve"> red de transmisión afecta particularmente</w:t>
      </w:r>
      <w:r w:rsidRPr="00E97226">
        <w:rPr>
          <w:rFonts w:cs="Arial"/>
          <w:lang w:val="es-ES"/>
        </w:rPr>
        <w:t xml:space="preserve"> regiones como la zona norte, la zona de mayor desarrollo económico y comercial del país</w:t>
      </w:r>
      <w:r>
        <w:rPr>
          <w:rFonts w:cs="Arial"/>
          <w:lang w:val="es-ES"/>
        </w:rPr>
        <w:t>, con</w:t>
      </w:r>
      <w:r w:rsidRPr="00E97226">
        <w:rPr>
          <w:rFonts w:cs="Arial"/>
          <w:lang w:val="es-ES"/>
        </w:rPr>
        <w:t xml:space="preserve"> territorios donde se reportan altos índices de interrupc</w:t>
      </w:r>
      <w:r>
        <w:rPr>
          <w:rFonts w:cs="Arial"/>
          <w:lang w:val="es-ES"/>
        </w:rPr>
        <w:t>iones,</w:t>
      </w:r>
      <w:r w:rsidRPr="00E97226">
        <w:rPr>
          <w:rFonts w:cs="Arial"/>
          <w:lang w:val="es-ES"/>
        </w:rPr>
        <w:t xml:space="preserve"> que concentra</w:t>
      </w:r>
      <w:r>
        <w:rPr>
          <w:rFonts w:cs="Arial"/>
          <w:lang w:val="es-ES"/>
        </w:rPr>
        <w:t>n</w:t>
      </w:r>
      <w:r w:rsidRPr="00E97226">
        <w:rPr>
          <w:rFonts w:cs="Arial"/>
          <w:lang w:val="es-ES"/>
        </w:rPr>
        <w:t xml:space="preserve"> municipios de </w:t>
      </w:r>
      <w:r>
        <w:rPr>
          <w:rFonts w:cs="Arial"/>
          <w:lang w:val="es-ES"/>
        </w:rPr>
        <w:t xml:space="preserve">potenciales </w:t>
      </w:r>
      <w:r w:rsidRPr="00E97226">
        <w:rPr>
          <w:rFonts w:cs="Arial"/>
          <w:lang w:val="es-ES"/>
        </w:rPr>
        <w:t>migrantes</w:t>
      </w:r>
      <w:r>
        <w:rPr>
          <w:rFonts w:cs="Arial"/>
          <w:lang w:val="es-ES"/>
        </w:rPr>
        <w:t>,</w:t>
      </w:r>
      <w:r w:rsidRPr="00E97226">
        <w:rPr>
          <w:rFonts w:cs="Arial"/>
          <w:lang w:val="es-ES"/>
        </w:rPr>
        <w:t xml:space="preserve"> identificados en el Plan de Alianza para la prosperid</w:t>
      </w:r>
      <w:r>
        <w:rPr>
          <w:rFonts w:cs="Arial"/>
          <w:lang w:val="es-ES"/>
        </w:rPr>
        <w:t>ad para el triángulo del norte.</w:t>
      </w:r>
    </w:p>
    <w:p w14:paraId="5C909925" w14:textId="77777777" w:rsidR="00D365FF" w:rsidRDefault="00D365FF" w:rsidP="00D365FF">
      <w:pPr>
        <w:pStyle w:val="ListParagraph"/>
        <w:numPr>
          <w:ilvl w:val="1"/>
          <w:numId w:val="3"/>
        </w:numPr>
        <w:spacing w:before="120"/>
        <w:ind w:left="720" w:hanging="720"/>
        <w:jc w:val="both"/>
        <w:rPr>
          <w:rFonts w:cs="Arial"/>
          <w:lang w:val="es-ES"/>
        </w:rPr>
      </w:pPr>
      <w:r w:rsidRPr="00C04642">
        <w:rPr>
          <w:rFonts w:cs="Arial"/>
          <w:lang w:val="es-ES"/>
        </w:rPr>
        <w:t>Aunque</w:t>
      </w:r>
      <w:r>
        <w:rPr>
          <w:rFonts w:cs="Arial"/>
          <w:lang w:val="es-ES"/>
        </w:rPr>
        <w:t xml:space="preserve"> </w:t>
      </w:r>
      <w:r w:rsidRPr="00C04642">
        <w:rPr>
          <w:rFonts w:cs="Arial"/>
          <w:lang w:val="es-ES"/>
        </w:rPr>
        <w:t xml:space="preserve">la </w:t>
      </w:r>
      <w:r>
        <w:rPr>
          <w:rFonts w:cs="Arial"/>
          <w:lang w:val="es-ES"/>
        </w:rPr>
        <w:t xml:space="preserve">demanda de </w:t>
      </w:r>
      <w:r w:rsidRPr="006A7E90">
        <w:rPr>
          <w:rFonts w:cs="Arial"/>
          <w:lang w:val="es-ES"/>
        </w:rPr>
        <w:t xml:space="preserve">energía comercial e industrial se concentra mayormente en la zona norte del país, recientemente la diversificación de la generación con ERNC, principalmente eólica y solar, ha tenido mayor concentración en la zona sur. </w:t>
      </w:r>
      <w:r w:rsidRPr="006A7E90">
        <w:rPr>
          <w:lang w:val="es-HN"/>
        </w:rPr>
        <w:t xml:space="preserve">En la misma zona se ubica la central térmica </w:t>
      </w:r>
      <w:proofErr w:type="spellStart"/>
      <w:r w:rsidRPr="006A7E90">
        <w:rPr>
          <w:lang w:val="es-HN"/>
        </w:rPr>
        <w:t>Lufussa</w:t>
      </w:r>
      <w:proofErr w:type="spellEnd"/>
      <w:r w:rsidRPr="006A7E90">
        <w:rPr>
          <w:lang w:val="es-HN"/>
        </w:rPr>
        <w:t xml:space="preserve"> III, siendo esta central térmica más eficiente y económica del parque térmico instalado en el país</w:t>
      </w:r>
      <w:r w:rsidRPr="006A7E90">
        <w:rPr>
          <w:rFonts w:cs="Arial"/>
          <w:lang w:val="es-ES"/>
        </w:rPr>
        <w:t>. Para evacuar la electricidad de sur a norte,</w:t>
      </w:r>
      <w:r w:rsidRPr="00E97226">
        <w:rPr>
          <w:rFonts w:cs="Arial"/>
          <w:lang w:val="es-ES"/>
        </w:rPr>
        <w:t xml:space="preserve"> existe una única línea de transmisión con capacidad de 230 </w:t>
      </w:r>
      <w:proofErr w:type="gramStart"/>
      <w:r w:rsidRPr="00E97226">
        <w:rPr>
          <w:rFonts w:cs="Arial"/>
          <w:lang w:val="es-ES"/>
        </w:rPr>
        <w:t>kilo-Voltio</w:t>
      </w:r>
      <w:proofErr w:type="gramEnd"/>
      <w:r w:rsidRPr="00E97226">
        <w:rPr>
          <w:rFonts w:cs="Arial"/>
          <w:lang w:val="es-ES"/>
        </w:rPr>
        <w:t xml:space="preserve"> (KV), conectando la Subestación Eléctrica (SE) Agua Caliente en el sur y la SE Progreso en el norte</w:t>
      </w:r>
      <w:r>
        <w:rPr>
          <w:rFonts w:cs="Arial"/>
          <w:lang w:val="es-ES"/>
        </w:rPr>
        <w:t>,</w:t>
      </w:r>
      <w:r w:rsidRPr="00E77413">
        <w:rPr>
          <w:lang w:val="es-US"/>
        </w:rPr>
        <w:t xml:space="preserve"> </w:t>
      </w:r>
      <w:r w:rsidRPr="00BA65A7">
        <w:rPr>
          <w:rFonts w:cs="Arial"/>
          <w:lang w:val="es-ES"/>
        </w:rPr>
        <w:t>la cual pasa por los departamentos Choluteca, Francisco Morazán, Comayagua, Siguatepeque y Cortes</w:t>
      </w:r>
      <w:r w:rsidRPr="00E97226">
        <w:rPr>
          <w:rFonts w:cs="Arial"/>
          <w:lang w:val="es-ES"/>
        </w:rPr>
        <w:t xml:space="preserve">. Esta limitada capacidad en infraestructura eléctrica presenta restricciones adicionales de transmisión en la zona norte, en donde las líneas de mayor capacidad llegan hasta 138 KV. </w:t>
      </w:r>
      <w:r>
        <w:rPr>
          <w:rFonts w:cs="Arial"/>
          <w:lang w:val="es-ES"/>
        </w:rPr>
        <w:t xml:space="preserve"> </w:t>
      </w:r>
    </w:p>
    <w:p w14:paraId="324FFA6E" w14:textId="77777777" w:rsidR="00D365FF" w:rsidRPr="00E97226" w:rsidRDefault="00D365FF" w:rsidP="00D365FF">
      <w:pPr>
        <w:pStyle w:val="ListParagraph"/>
        <w:numPr>
          <w:ilvl w:val="1"/>
          <w:numId w:val="3"/>
        </w:numPr>
        <w:spacing w:before="120"/>
        <w:ind w:left="720" w:hanging="720"/>
        <w:jc w:val="both"/>
        <w:rPr>
          <w:rFonts w:cs="Arial"/>
          <w:lang w:val="es-ES"/>
        </w:rPr>
      </w:pPr>
      <w:r w:rsidRPr="002471B0">
        <w:rPr>
          <w:rFonts w:cs="Arial"/>
          <w:lang w:val="es-ES"/>
        </w:rPr>
        <w:lastRenderedPageBreak/>
        <w:t xml:space="preserve">La capacidad de transformación y de transmisión del </w:t>
      </w:r>
      <w:r>
        <w:rPr>
          <w:rFonts w:cs="Arial"/>
          <w:lang w:val="es-ES"/>
        </w:rPr>
        <w:t>SNT</w:t>
      </w:r>
      <w:r w:rsidRPr="002471B0">
        <w:rPr>
          <w:rFonts w:cs="Arial"/>
          <w:lang w:val="es-ES"/>
        </w:rPr>
        <w:t xml:space="preserve"> para brindar eficientemente el servicio de energía eléctrica en la zona centro del país se ha visto </w:t>
      </w:r>
      <w:r>
        <w:rPr>
          <w:rFonts w:cs="Arial"/>
          <w:lang w:val="es-ES"/>
        </w:rPr>
        <w:t xml:space="preserve">también </w:t>
      </w:r>
      <w:r w:rsidRPr="002471B0">
        <w:rPr>
          <w:rFonts w:cs="Arial"/>
          <w:lang w:val="es-ES"/>
        </w:rPr>
        <w:t>disminuida</w:t>
      </w:r>
      <w:r>
        <w:rPr>
          <w:rFonts w:cs="Arial"/>
          <w:lang w:val="es-ES"/>
        </w:rPr>
        <w:t>,</w:t>
      </w:r>
      <w:r w:rsidRPr="002471B0">
        <w:rPr>
          <w:rFonts w:cs="Arial"/>
          <w:lang w:val="es-ES"/>
        </w:rPr>
        <w:t xml:space="preserve"> en gran parte</w:t>
      </w:r>
      <w:r>
        <w:rPr>
          <w:rFonts w:cs="Arial"/>
          <w:lang w:val="es-ES"/>
        </w:rPr>
        <w:t>,</w:t>
      </w:r>
      <w:r w:rsidRPr="002471B0">
        <w:rPr>
          <w:rFonts w:cs="Arial"/>
          <w:lang w:val="es-ES"/>
        </w:rPr>
        <w:t xml:space="preserve"> por el incremento de la demanda de energía eléctrica, tanto de consumidores residenciales como de comerciales, afectando de forma indirecta al desarrollo productivo </w:t>
      </w:r>
      <w:r>
        <w:rPr>
          <w:rFonts w:cs="Arial"/>
          <w:lang w:val="es-ES"/>
        </w:rPr>
        <w:t>na</w:t>
      </w:r>
      <w:r w:rsidRPr="002471B0">
        <w:rPr>
          <w:rFonts w:cs="Arial"/>
          <w:lang w:val="es-ES"/>
        </w:rPr>
        <w:t>cional</w:t>
      </w:r>
      <w:r>
        <w:rPr>
          <w:rFonts w:cs="Arial"/>
          <w:lang w:val="es-ES"/>
        </w:rPr>
        <w:t xml:space="preserve">. </w:t>
      </w:r>
      <w:r w:rsidRPr="00E97226">
        <w:rPr>
          <w:rFonts w:cs="Arial"/>
          <w:lang w:val="es-ES"/>
        </w:rPr>
        <w:t>Las limitaciones en capacidad de transmisión y transformación provocan saturación en las instalaciones de transmisión del STN, dando lugar a interrupciones en el servicio, daños en las instalaciones y pérdidas económicas, tanto a la ENEE, como al sistema productivo nacional.</w:t>
      </w:r>
    </w:p>
    <w:p w14:paraId="41472D92" w14:textId="77777777" w:rsidR="00D365FF" w:rsidRPr="00E4165A" w:rsidRDefault="00D365FF" w:rsidP="005C2329">
      <w:pPr>
        <w:pStyle w:val="Heading2"/>
      </w:pPr>
      <w:bookmarkStart w:id="3" w:name="_Toc513626350"/>
      <w:r w:rsidRPr="00E4165A">
        <w:t>La integración de Honduras al mercado eléctrico regional (MER) del SIEPAC</w:t>
      </w:r>
      <w:bookmarkEnd w:id="3"/>
    </w:p>
    <w:p w14:paraId="62AC0B2F" w14:textId="77777777" w:rsidR="00D365FF" w:rsidRPr="00C81F9B" w:rsidRDefault="00D365FF" w:rsidP="00D365FF">
      <w:pPr>
        <w:pStyle w:val="ListParagraph"/>
        <w:numPr>
          <w:ilvl w:val="1"/>
          <w:numId w:val="3"/>
        </w:numPr>
        <w:spacing w:before="120"/>
        <w:ind w:left="720" w:hanging="720"/>
        <w:jc w:val="both"/>
        <w:rPr>
          <w:rFonts w:cs="Arial"/>
          <w:lang w:val="es-US"/>
        </w:rPr>
      </w:pPr>
      <w:r w:rsidRPr="00C81F9B">
        <w:rPr>
          <w:rFonts w:cs="Arial"/>
          <w:lang w:val="es-ES"/>
        </w:rPr>
        <w:t xml:space="preserve"> Honduras es el segundo país de la región que más compra energía en el MER. El promedio de energía comprada en el MER, tanto en el mercado de contratos como de oportunidad, durante 2014-2016 versus 2013, se incrementó en 90%.  Durante 2016 se enviaron 553.43 GWh y se recibieron 606.62 GWh de las interconexiones. El interc</w:t>
      </w:r>
      <w:r>
        <w:rPr>
          <w:rFonts w:cs="Arial"/>
          <w:lang w:val="es-ES"/>
        </w:rPr>
        <w:t>ambio neto global de energía es</w:t>
      </w:r>
      <w:r w:rsidRPr="00C81F9B">
        <w:rPr>
          <w:rFonts w:cs="Arial"/>
          <w:lang w:val="es-ES"/>
        </w:rPr>
        <w:t>e año fue de 171.66 GWh recibidos al sistema centroamericano</w:t>
      </w:r>
      <w:r>
        <w:rPr>
          <w:rFonts w:cs="Arial"/>
          <w:lang w:val="es-ES"/>
        </w:rPr>
        <w:t>.</w:t>
      </w:r>
      <w:r w:rsidRPr="00C81F9B">
        <w:rPr>
          <w:rFonts w:cs="Arial"/>
          <w:lang w:val="es-ES"/>
        </w:rPr>
        <w:t xml:space="preserve"> El intercambio neto con el bloque norte (El Salvador, Guatemala) fue de 188.41 GWh enviados hacia el sistema regional eléctrico centroamericano, como resultado del programa de intercambio y desviaciones de energía. El intercambio neto con el bloque sur (Nicaragua, Costa Rica y Panamá) fue de 16.74 GWh recibidos desde el sistema eléctrico centroamericano, como resultado del programa de intercambio y desviaciones de energía</w:t>
      </w:r>
      <w:r>
        <w:rPr>
          <w:rFonts w:cs="Arial"/>
          <w:lang w:val="es-ES"/>
        </w:rPr>
        <w:t>.</w:t>
      </w:r>
    </w:p>
    <w:p w14:paraId="7D35FF69" w14:textId="77777777" w:rsidR="00D365FF" w:rsidRPr="00E77413" w:rsidRDefault="00D365FF" w:rsidP="00D365FF">
      <w:pPr>
        <w:pStyle w:val="ListParagraph"/>
        <w:numPr>
          <w:ilvl w:val="1"/>
          <w:numId w:val="3"/>
        </w:numPr>
        <w:spacing w:before="120"/>
        <w:ind w:left="720" w:hanging="720"/>
        <w:jc w:val="both"/>
        <w:rPr>
          <w:rFonts w:cs="Arial"/>
          <w:lang w:val="es-US"/>
        </w:rPr>
      </w:pPr>
      <w:r w:rsidRPr="00E97226">
        <w:rPr>
          <w:rFonts w:cs="Arial"/>
          <w:lang w:val="es-ES"/>
        </w:rPr>
        <w:t>Asegurar las transacciones de energía entre Honduras y el MER depende de la ejecución de las obras de refuerzo en transmisión nacional, de conformidad con las condiciones y estándares para el que fue diseñado el SIEPAC. Actualmente, en Honduras esa capacidad es inferior al 50%. Honduras tiene el compromiso de financiamiento de refuerzos nacionales del 66% de las inversiones requeridas en todos los sistemas de transmisión nacional para potenciar el uso del SIEPAC. No contar con esta infraestructura, afecta</w:t>
      </w:r>
      <w:r>
        <w:rPr>
          <w:rFonts w:cs="Arial"/>
          <w:lang w:val="es-ES"/>
        </w:rPr>
        <w:t xml:space="preserve"> adicionalmente,</w:t>
      </w:r>
      <w:r w:rsidRPr="00E97226">
        <w:rPr>
          <w:rFonts w:cs="Arial"/>
          <w:lang w:val="es-ES"/>
        </w:rPr>
        <w:t xml:space="preserve"> el intercambio de energía entre los demás países del SIEPAC.</w:t>
      </w:r>
      <w:r w:rsidRPr="00D30679">
        <w:rPr>
          <w:rFonts w:cs="Arial"/>
          <w:lang w:val="es-ES"/>
        </w:rPr>
        <w:t xml:space="preserve"> </w:t>
      </w:r>
    </w:p>
    <w:p w14:paraId="1B944A38" w14:textId="77777777" w:rsidR="00D365FF" w:rsidRPr="00E4165A" w:rsidRDefault="00D365FF" w:rsidP="005C2329">
      <w:pPr>
        <w:pStyle w:val="Heading2"/>
      </w:pPr>
      <w:bookmarkStart w:id="4" w:name="_Toc513626351"/>
      <w:r w:rsidRPr="00E4165A">
        <w:t>Estrategia del Gobierno</w:t>
      </w:r>
      <w:bookmarkEnd w:id="4"/>
    </w:p>
    <w:p w14:paraId="22F00F8D" w14:textId="77777777" w:rsidR="00D365FF" w:rsidRPr="008D3AA3" w:rsidRDefault="00D365FF" w:rsidP="00D365FF">
      <w:pPr>
        <w:pStyle w:val="ListParagraph"/>
        <w:numPr>
          <w:ilvl w:val="1"/>
          <w:numId w:val="3"/>
        </w:numPr>
        <w:spacing w:before="120"/>
        <w:ind w:left="720" w:hanging="720"/>
        <w:jc w:val="both"/>
        <w:rPr>
          <w:rFonts w:cs="Arial"/>
          <w:lang w:val="es-US"/>
        </w:rPr>
      </w:pPr>
      <w:r w:rsidRPr="008D3AA3">
        <w:rPr>
          <w:rFonts w:cs="Arial"/>
          <w:lang w:val="es-US"/>
        </w:rPr>
        <w:t xml:space="preserve"> A finales de 2013 el Gobierno de Honduras (GHO) inició un proceso de reforma del sector, adoptando medidas para asegurar su sostenibilidad financiera, eficiencia operativa y suficiencia del suministro eléctrico; incrementar la participación de ERNC en la matriz energética; y reafirmar su compromiso de impulsar la integración energética mesoamericana. Estas medidas se alinean con la estrategia del país de fortalecer la infraestructura de transmisión de la ENEE para potenciar el uso del SIEPAC, mejorar la sostenibilidad financiera de la ENEE, mejorar la confiabilidad del sistema y contribuir a evacuar la energía de proyectos de ERNC en operación y desarrollo, y mejorar la productividad de los centros más poblados del país.</w:t>
      </w:r>
    </w:p>
    <w:p w14:paraId="6E915974" w14:textId="77777777" w:rsidR="00D365FF" w:rsidRPr="008D3AA3" w:rsidRDefault="00D365FF" w:rsidP="00D365FF">
      <w:pPr>
        <w:pStyle w:val="ListParagraph"/>
        <w:numPr>
          <w:ilvl w:val="1"/>
          <w:numId w:val="3"/>
        </w:numPr>
        <w:spacing w:before="120"/>
        <w:ind w:left="720" w:hanging="720"/>
        <w:jc w:val="both"/>
        <w:rPr>
          <w:rFonts w:cs="Arial"/>
          <w:lang w:val="es-US"/>
        </w:rPr>
      </w:pPr>
      <w:r w:rsidRPr="008D3AA3">
        <w:rPr>
          <w:rFonts w:cs="Arial"/>
          <w:lang w:val="es-US"/>
        </w:rPr>
        <w:t xml:space="preserve">Como parte de esta estrategia, el GHO decidió llevar a cabo un programa financiado con un préstamo del BID de hasta US$150 millones para inversión, </w:t>
      </w:r>
      <w:r w:rsidRPr="008D3AA3">
        <w:rPr>
          <w:rFonts w:cs="Arial"/>
          <w:lang w:val="es-US"/>
        </w:rPr>
        <w:lastRenderedPageBreak/>
        <w:t>bajo la modalidad de obras múltiples</w:t>
      </w:r>
      <w:r w:rsidRPr="008D3AA3">
        <w:rPr>
          <w:rStyle w:val="FootnoteReference"/>
          <w:rFonts w:cs="Arial"/>
          <w:lang w:val="es-US"/>
        </w:rPr>
        <w:footnoteReference w:id="1"/>
      </w:r>
      <w:r w:rsidRPr="008D3AA3">
        <w:rPr>
          <w:rFonts w:cs="Arial"/>
          <w:lang w:val="es-US"/>
        </w:rPr>
        <w:t>.  El programa formará parte del Programa de Fortalecimiento a la Transmisión de Energía Renovable en el Sistema Interconectado Nacional (SIN), que junto con otros proyectos buscan el robustecimiento del SIN, enfocándose en Subestaciones y Líneas de Transmisión estratégicas para la habilitación y aprovechamiento de los flujos de energías renovables producidas en la zona sur del país. Estos proyectos en conjunto favorecerán en parte a los proyectos solares fotovoltaicos (613.5 MW de capacidad instalada) que se localizarán en la zona sur del país, dado que ampliará la capacidad de transmisión de la región norte, permitiendo así la transmisión de los flujos de potencia y energía asociada a los proyectos fotovoltaicos hacia la zona norte del país.</w:t>
      </w:r>
    </w:p>
    <w:p w14:paraId="5921B10C" w14:textId="77777777" w:rsidR="00D365FF" w:rsidRPr="00E4165A" w:rsidRDefault="00D365FF" w:rsidP="005C2329">
      <w:pPr>
        <w:pStyle w:val="Heading2"/>
      </w:pPr>
      <w:bookmarkStart w:id="5" w:name="_Toc513626352"/>
      <w:r w:rsidRPr="00E4165A">
        <w:t xml:space="preserve">Objetivos y </w:t>
      </w:r>
      <w:r w:rsidRPr="00E4165A">
        <w:rPr>
          <w:lang w:val="es-ES"/>
        </w:rPr>
        <w:t>componentes</w:t>
      </w:r>
      <w:r w:rsidRPr="00E4165A">
        <w:t xml:space="preserve"> del programa</w:t>
      </w:r>
      <w:bookmarkEnd w:id="5"/>
      <w:r w:rsidRPr="00E4165A">
        <w:t xml:space="preserve"> </w:t>
      </w:r>
    </w:p>
    <w:p w14:paraId="7C920793" w14:textId="77777777" w:rsidR="00D365FF" w:rsidRPr="008D3AA3" w:rsidRDefault="00D365FF" w:rsidP="00D365FF">
      <w:pPr>
        <w:pStyle w:val="ListParagraph"/>
        <w:numPr>
          <w:ilvl w:val="1"/>
          <w:numId w:val="3"/>
        </w:numPr>
        <w:spacing w:before="120"/>
        <w:ind w:left="720" w:hanging="720"/>
        <w:jc w:val="both"/>
        <w:rPr>
          <w:rFonts w:cs="Arial"/>
          <w:lang w:val="es-US"/>
        </w:rPr>
      </w:pPr>
      <w:r w:rsidRPr="008D3AA3">
        <w:rPr>
          <w:rFonts w:cs="Arial"/>
          <w:lang w:val="es-US"/>
        </w:rPr>
        <w:t>El objetivo general es reforzar el S</w:t>
      </w:r>
      <w:r w:rsidR="00194658">
        <w:rPr>
          <w:rFonts w:cs="Arial"/>
          <w:lang w:val="es-US"/>
        </w:rPr>
        <w:t>NT</w:t>
      </w:r>
      <w:r w:rsidRPr="008D3AA3">
        <w:rPr>
          <w:rFonts w:cs="Arial"/>
          <w:lang w:val="es-US"/>
        </w:rPr>
        <w:t xml:space="preserve"> mediante financiamiento de obras prioritarias del plan de expansión de la ENEE. Los objetivos específicos son: (i) fortalecer la capacidad de interconexión con el MER para potenciar el uso del SIEPAC; (ii) mejorar la sostenibilidad financiera y capacidad institucional de la ENEE; (iii) mejorar la calidad de la transmisión aumentando la confiabilidad del servicio eléctrico; y (iv) facilitar el transporte al STN de electricidad generada con proyectos de ERNC.  El programa comprende los siguientes componentes:</w:t>
      </w:r>
    </w:p>
    <w:p w14:paraId="09399A07" w14:textId="77777777" w:rsidR="004356E7" w:rsidRDefault="00D365FF" w:rsidP="004356E7">
      <w:pPr>
        <w:pStyle w:val="ListParagraph"/>
        <w:numPr>
          <w:ilvl w:val="1"/>
          <w:numId w:val="3"/>
        </w:numPr>
        <w:spacing w:before="120"/>
        <w:ind w:left="720" w:hanging="720"/>
        <w:jc w:val="both"/>
        <w:rPr>
          <w:rFonts w:cs="Arial"/>
          <w:lang w:val="es-US"/>
        </w:rPr>
      </w:pPr>
      <w:bookmarkStart w:id="6" w:name="_Ref494207669"/>
      <w:r w:rsidRPr="008D3AA3">
        <w:rPr>
          <w:rFonts w:cs="Arial"/>
          <w:b/>
          <w:lang w:val="es-US"/>
        </w:rPr>
        <w:t>Componente 1: Expansión de infraestructura de transmisión (US$1</w:t>
      </w:r>
      <w:r>
        <w:rPr>
          <w:rFonts w:cs="Arial"/>
          <w:b/>
          <w:lang w:val="es-US"/>
        </w:rPr>
        <w:t>46.</w:t>
      </w:r>
      <w:r w:rsidRPr="008D3AA3">
        <w:rPr>
          <w:rFonts w:cs="Arial"/>
          <w:b/>
          <w:lang w:val="es-US"/>
        </w:rPr>
        <w:t>42 millones)</w:t>
      </w:r>
      <w:r w:rsidRPr="008D3AA3">
        <w:rPr>
          <w:rFonts w:cs="Arial"/>
          <w:lang w:val="es-US"/>
        </w:rPr>
        <w:t xml:space="preserve">. Este componente financiará actividades encaminadas a reforzar la infraestructura del STN y mejorar la sostenibilidad financiera de la ENEE mediante la construcción y conversión de líneas de transmisión (LT), y construcción y ampliación de Subestaciones (SE). </w:t>
      </w:r>
      <w:r w:rsidR="004356E7" w:rsidRPr="004356E7">
        <w:rPr>
          <w:rFonts w:cs="Arial"/>
          <w:lang w:val="es-US"/>
        </w:rPr>
        <w:t>Las obras permitirán: (i) fortalecer la capacidad del STN logrando descongestionar la sobrecarga de diferentes subestaciones a nivel nacional y mejorar la calidad de servicio; (ii) atender la demanda creciente de energía y contribuir con el desarrollo económico del país; (iii) optimizar el STN hacia un despacho económico y eficiente; (iv) incrementar la participación de ER en la matriz de generación; y (v) dar cumplimiento parcial a los compromisos de Honduras para el financiamiento de los refuerzos del STN para potenciar el uso del SIEPAC.</w:t>
      </w:r>
    </w:p>
    <w:p w14:paraId="01D6A955" w14:textId="77777777" w:rsidR="00D365FF" w:rsidRPr="008D3AA3" w:rsidRDefault="00D365FF" w:rsidP="00D365FF">
      <w:pPr>
        <w:pStyle w:val="ListParagraph"/>
        <w:numPr>
          <w:ilvl w:val="1"/>
          <w:numId w:val="3"/>
        </w:numPr>
        <w:spacing w:before="120"/>
        <w:ind w:left="720" w:hanging="720"/>
        <w:jc w:val="both"/>
        <w:rPr>
          <w:rFonts w:cs="Arial"/>
          <w:lang w:val="es-US"/>
        </w:rPr>
      </w:pPr>
      <w:r w:rsidRPr="008D3AA3">
        <w:rPr>
          <w:rFonts w:cs="Arial"/>
          <w:lang w:val="es-US"/>
        </w:rPr>
        <w:t>Se financiarán obras prioritariamente en las zonas norte y centro del país, entre las cuales se tienen identificadas y en estado avanzado de preparación, las siguientes</w:t>
      </w:r>
      <w:r>
        <w:rPr>
          <w:rFonts w:cs="Arial"/>
          <w:lang w:val="es-US"/>
        </w:rPr>
        <w:t xml:space="preserve"> obras</w:t>
      </w:r>
      <w:r w:rsidRPr="008D3AA3">
        <w:rPr>
          <w:rFonts w:cs="Arial"/>
          <w:lang w:val="es-US"/>
        </w:rPr>
        <w:t>, las cuales constituirán la muestra de proyectos a ser evaluada</w:t>
      </w:r>
      <w:r>
        <w:rPr>
          <w:rFonts w:cs="Arial"/>
          <w:lang w:val="es-US"/>
        </w:rPr>
        <w:t>, como representativa del tipo de proyectos sujeto de financiamiento</w:t>
      </w:r>
      <w:r w:rsidRPr="008D3AA3">
        <w:rPr>
          <w:rFonts w:cs="Arial"/>
          <w:lang w:val="es-US"/>
        </w:rPr>
        <w:t xml:space="preserve">: (i) </w:t>
      </w:r>
      <w:bookmarkStart w:id="7" w:name="_Hlk494210314"/>
      <w:r w:rsidRPr="008D3AA3">
        <w:rPr>
          <w:rFonts w:cs="Arial"/>
          <w:lang w:val="es-US"/>
        </w:rPr>
        <w:t>ampliación de las SE San Buenaventura (SB</w:t>
      </w:r>
      <w:r>
        <w:rPr>
          <w:rFonts w:cs="Arial"/>
          <w:lang w:val="es-US"/>
        </w:rPr>
        <w:t>V</w:t>
      </w:r>
      <w:r w:rsidRPr="008D3AA3">
        <w:rPr>
          <w:rFonts w:cs="Arial"/>
          <w:lang w:val="es-US"/>
        </w:rPr>
        <w:t>) 230kV y San Pedro de Sula Sur (SPSS) 230/138kV con 150MVA</w:t>
      </w:r>
      <w:r>
        <w:rPr>
          <w:rFonts w:cs="Arial"/>
          <w:lang w:val="es-US"/>
        </w:rPr>
        <w:t>;</w:t>
      </w:r>
      <w:r w:rsidRPr="008D3AA3">
        <w:rPr>
          <w:rFonts w:cs="Arial"/>
          <w:lang w:val="es-US"/>
        </w:rPr>
        <w:t xml:space="preserve"> y </w:t>
      </w:r>
      <w:bookmarkStart w:id="8" w:name="_Hlk512946113"/>
      <w:r>
        <w:rPr>
          <w:rFonts w:cs="Arial"/>
          <w:lang w:val="es-US"/>
        </w:rPr>
        <w:t>reconstrucción</w:t>
      </w:r>
      <w:r w:rsidRPr="008D3AA3">
        <w:rPr>
          <w:rFonts w:cs="Arial"/>
          <w:lang w:val="es-US"/>
        </w:rPr>
        <w:t xml:space="preserve"> de la LT SB</w:t>
      </w:r>
      <w:r>
        <w:rPr>
          <w:rFonts w:cs="Arial"/>
          <w:lang w:val="es-US"/>
        </w:rPr>
        <w:t>V</w:t>
      </w:r>
      <w:r w:rsidRPr="008D3AA3">
        <w:rPr>
          <w:rFonts w:cs="Arial"/>
          <w:lang w:val="es-US"/>
        </w:rPr>
        <w:t xml:space="preserve">-SPSS de 138kV </w:t>
      </w:r>
      <w:r>
        <w:rPr>
          <w:rFonts w:cs="Arial"/>
          <w:lang w:val="es-US"/>
        </w:rPr>
        <w:t>sobre nueva estructura e instalación</w:t>
      </w:r>
      <w:r w:rsidRPr="00077568">
        <w:rPr>
          <w:rFonts w:cs="Arial"/>
          <w:lang w:val="es-US"/>
        </w:rPr>
        <w:t xml:space="preserve"> simultáneamente </w:t>
      </w:r>
      <w:r>
        <w:rPr>
          <w:rFonts w:cs="Arial"/>
          <w:lang w:val="es-US"/>
        </w:rPr>
        <w:t xml:space="preserve">de </w:t>
      </w:r>
      <w:r w:rsidRPr="00077568">
        <w:rPr>
          <w:rFonts w:cs="Arial"/>
          <w:lang w:val="es-US"/>
        </w:rPr>
        <w:t>un nuevo circuito en 230 kV</w:t>
      </w:r>
      <w:r w:rsidRPr="008D3AA3">
        <w:rPr>
          <w:rFonts w:cs="Arial"/>
          <w:lang w:val="es-US"/>
        </w:rPr>
        <w:t xml:space="preserve"> 230kV (48km.);</w:t>
      </w:r>
      <w:bookmarkEnd w:id="7"/>
      <w:bookmarkEnd w:id="8"/>
      <w:r w:rsidRPr="008D3AA3">
        <w:rPr>
          <w:rFonts w:cs="Arial"/>
          <w:lang w:val="es-US"/>
        </w:rPr>
        <w:t xml:space="preserve"> </w:t>
      </w:r>
      <w:r>
        <w:rPr>
          <w:rFonts w:cs="Arial"/>
          <w:lang w:val="es-US"/>
        </w:rPr>
        <w:t xml:space="preserve">y </w:t>
      </w:r>
      <w:r w:rsidRPr="008D3AA3">
        <w:rPr>
          <w:rFonts w:cs="Arial"/>
          <w:lang w:val="es-US"/>
        </w:rPr>
        <w:t>(ii) a</w:t>
      </w:r>
      <w:bookmarkStart w:id="9" w:name="_Hlk494210574"/>
      <w:r w:rsidRPr="008D3AA3">
        <w:rPr>
          <w:rFonts w:cs="Arial"/>
          <w:lang w:val="es-US"/>
        </w:rPr>
        <w:t xml:space="preserve">mpliación de las SE Laínez y Miraflores con 50MVA cada una y </w:t>
      </w:r>
      <w:bookmarkStart w:id="10" w:name="_Hlk494210672"/>
      <w:r w:rsidRPr="008D3AA3">
        <w:rPr>
          <w:rFonts w:cs="Arial"/>
          <w:lang w:val="es-US"/>
        </w:rPr>
        <w:t>construcción de la LT de Laínez a Miraflores en 138kV (5km)</w:t>
      </w:r>
      <w:bookmarkEnd w:id="9"/>
      <w:bookmarkEnd w:id="10"/>
      <w:r>
        <w:rPr>
          <w:rFonts w:cs="Arial"/>
          <w:lang w:val="es-US"/>
        </w:rPr>
        <w:t>.</w:t>
      </w:r>
      <w:r w:rsidRPr="008D3AA3">
        <w:rPr>
          <w:rFonts w:cs="Arial"/>
          <w:lang w:val="es-US"/>
        </w:rPr>
        <w:t xml:space="preserve"> </w:t>
      </w:r>
      <w:bookmarkEnd w:id="6"/>
    </w:p>
    <w:p w14:paraId="232ACA7E" w14:textId="77777777" w:rsidR="00D365FF" w:rsidRDefault="00D365FF" w:rsidP="00D365FF">
      <w:pPr>
        <w:pStyle w:val="ListParagraph"/>
        <w:numPr>
          <w:ilvl w:val="1"/>
          <w:numId w:val="3"/>
        </w:numPr>
        <w:spacing w:before="120"/>
        <w:ind w:left="720" w:hanging="720"/>
        <w:jc w:val="both"/>
        <w:rPr>
          <w:rFonts w:cs="Arial"/>
          <w:lang w:val="es-US"/>
        </w:rPr>
      </w:pPr>
      <w:r w:rsidRPr="008D3AA3">
        <w:rPr>
          <w:rFonts w:cs="Arial"/>
          <w:lang w:val="es-US"/>
        </w:rPr>
        <w:t xml:space="preserve">Estos proyectos forman parte del Programa de Fortalecimiento a la Transmisión de Energía Renovable en el Sistema Interconectado Nacional (SIN), que junto </w:t>
      </w:r>
      <w:r w:rsidRPr="008D3AA3">
        <w:rPr>
          <w:rFonts w:cs="Arial"/>
          <w:lang w:val="es-US"/>
        </w:rPr>
        <w:lastRenderedPageBreak/>
        <w:t xml:space="preserve">con otros proyectos buscan el robustecimiento del SIN, enfocándose en SE y LT estratégicas para la habilitación y aprovechamiento de los flujos de energías renovables producidas en la zona sur del país. Estos proyectos en conjunto favorecerán, en parte, a proyectos </w:t>
      </w:r>
      <w:r>
        <w:rPr>
          <w:rFonts w:cs="Arial"/>
          <w:lang w:val="es-US"/>
        </w:rPr>
        <w:t xml:space="preserve">de energía renovable variable </w:t>
      </w:r>
      <w:r w:rsidRPr="008D3AA3">
        <w:rPr>
          <w:rFonts w:cs="Arial"/>
          <w:lang w:val="es-US"/>
        </w:rPr>
        <w:t xml:space="preserve">solares fotovoltaicos </w:t>
      </w:r>
      <w:r>
        <w:rPr>
          <w:rFonts w:cs="Arial"/>
          <w:lang w:val="es-US"/>
        </w:rPr>
        <w:t>y eólicos, y la generación térmica que reporta los precios más bajos de la región y</w:t>
      </w:r>
      <w:r w:rsidRPr="008D3AA3">
        <w:rPr>
          <w:rFonts w:cs="Arial"/>
          <w:lang w:val="es-US"/>
        </w:rPr>
        <w:t xml:space="preserve"> se localizan en la zona sur del país, dado que ampliará la capacidad de transmisión de la región norte, permitiendo así la transmisión de los flujos de potencia y energía asociada a los proyectos </w:t>
      </w:r>
      <w:r>
        <w:rPr>
          <w:rFonts w:cs="Arial"/>
          <w:lang w:val="es-US"/>
        </w:rPr>
        <w:t xml:space="preserve">de generación en la zona sur </w:t>
      </w:r>
      <w:r w:rsidRPr="008D3AA3">
        <w:rPr>
          <w:rFonts w:cs="Arial"/>
          <w:lang w:val="es-US"/>
        </w:rPr>
        <w:t>hacia la zona norte del país. Asimismo, ayudará a aliviar las cargas en los transformadores de la SE “Progreso”.</w:t>
      </w:r>
    </w:p>
    <w:p w14:paraId="3BA7087C" w14:textId="77777777" w:rsidR="00CC4A0A" w:rsidRPr="008D3AA3" w:rsidRDefault="00CC4A0A" w:rsidP="00D365FF">
      <w:pPr>
        <w:pStyle w:val="ListParagraph"/>
        <w:numPr>
          <w:ilvl w:val="1"/>
          <w:numId w:val="3"/>
        </w:numPr>
        <w:spacing w:before="120"/>
        <w:ind w:left="720" w:hanging="720"/>
        <w:jc w:val="both"/>
        <w:rPr>
          <w:rFonts w:cs="Arial"/>
          <w:lang w:val="es-US"/>
        </w:rPr>
      </w:pPr>
      <w:bookmarkStart w:id="11" w:name="_Ref512955096"/>
      <w:r w:rsidRPr="00CC4A0A">
        <w:rPr>
          <w:rFonts w:cs="Arial"/>
          <w:lang w:val="es-US"/>
        </w:rPr>
        <w:t xml:space="preserve">Como resultado del análisis de la muestra se determinó que las obras adicionales a ser financiadas bajo este componente deberán cumplir con los siguientes criterios de selección, además de su consistencia con los objetivos del programa: (i) que el análisis económico-financiero demuestre la obtención de una TIRE superior al 12%; (ii) reunir los requerimientos establecidos en el </w:t>
      </w:r>
      <w:hyperlink r:id="rId8" w:history="1">
        <w:r w:rsidRPr="00CC4A0A">
          <w:rPr>
            <w:rStyle w:val="Hyperlink"/>
            <w:rFonts w:cs="Arial"/>
            <w:lang w:val="es-US"/>
          </w:rPr>
          <w:t>Marco de Gestión Ambiental y Social (MGAS)</w:t>
        </w:r>
      </w:hyperlink>
      <w:r w:rsidRPr="00CC4A0A">
        <w:rPr>
          <w:rFonts w:cs="Arial"/>
          <w:lang w:val="es-US"/>
        </w:rPr>
        <w:t xml:space="preserve"> del programa incluido en el Informe de Gestión Ambiental y Social (IGAS); (iii) tener calificación socioambiental B o C; (iii) estar localizadas en las zonas centro y norte del país; (iv) clasificarse como obra de construcción de una nueva SE, ampliación de una SE existente o repotenciación de LT; y (iv) que hagan parte de las obras prioritarias del plan de expansión de transmisión del gobierno nacional. Se cuenta con un listado de obras prioritarias pre-identificadas que podrían ser objeto de financiamiento y que son parte del plan de expansión de la ENEE.</w:t>
      </w:r>
      <w:bookmarkEnd w:id="11"/>
    </w:p>
    <w:p w14:paraId="11FD5D2F" w14:textId="77777777" w:rsidR="00D365FF" w:rsidRPr="008D3AA3" w:rsidRDefault="00D365FF" w:rsidP="00D365FF">
      <w:pPr>
        <w:pStyle w:val="ListParagraph"/>
        <w:numPr>
          <w:ilvl w:val="1"/>
          <w:numId w:val="3"/>
        </w:numPr>
        <w:spacing w:before="120"/>
        <w:ind w:left="720" w:hanging="720"/>
        <w:jc w:val="both"/>
        <w:rPr>
          <w:rFonts w:cs="Arial"/>
          <w:lang w:val="es-US"/>
        </w:rPr>
      </w:pPr>
      <w:r w:rsidRPr="008D3AA3">
        <w:rPr>
          <w:rFonts w:cs="Arial"/>
          <w:b/>
          <w:lang w:val="es-US"/>
        </w:rPr>
        <w:t>Componente 2: Fortalecimiento institucional de la ENEE (US$6.</w:t>
      </w:r>
      <w:r>
        <w:rPr>
          <w:rFonts w:cs="Arial"/>
          <w:b/>
          <w:lang w:val="es-US"/>
        </w:rPr>
        <w:t>46</w:t>
      </w:r>
      <w:r w:rsidRPr="008D3AA3">
        <w:rPr>
          <w:rFonts w:cs="Arial"/>
          <w:b/>
          <w:lang w:val="es-US"/>
        </w:rPr>
        <w:t xml:space="preserve"> millones)</w:t>
      </w:r>
      <w:r w:rsidRPr="008D3AA3">
        <w:rPr>
          <w:rFonts w:cs="Arial"/>
          <w:lang w:val="es-US"/>
        </w:rPr>
        <w:t xml:space="preserve">.  </w:t>
      </w:r>
      <w:r w:rsidR="00195E8F" w:rsidRPr="00195E8F">
        <w:rPr>
          <w:rFonts w:cs="Arial"/>
          <w:bCs/>
          <w:lang w:val="es-US"/>
        </w:rPr>
        <w:t> Se financiarán actividades destinadas a</w:t>
      </w:r>
      <w:r w:rsidR="00195E8F" w:rsidRPr="00195E8F">
        <w:rPr>
          <w:rFonts w:cs="Arial"/>
          <w:lang w:val="es-US"/>
        </w:rPr>
        <w:t>: (i) elaboración e implementación de una estrategia de comunicación e imagen corporativa,</w:t>
      </w:r>
      <w:r w:rsidR="00195E8F" w:rsidRPr="00195E8F">
        <w:rPr>
          <w:rFonts w:cs="Arial"/>
          <w:bCs/>
          <w:color w:val="000000" w:themeColor="text1"/>
          <w:lang w:val="es-US"/>
        </w:rPr>
        <w:t xml:space="preserve"> adoptando buenas prácticas implementadas exitosamente en la región</w:t>
      </w:r>
      <w:r w:rsidR="00195E8F" w:rsidRPr="00195E8F">
        <w:rPr>
          <w:rFonts w:cs="Arial"/>
          <w:lang w:val="es-US"/>
        </w:rPr>
        <w:t>; (ii); fortalecimiento de la Dirección de Medio Ambiente (DMA)</w:t>
      </w:r>
      <w:r w:rsidR="00195E8F">
        <w:rPr>
          <w:rStyle w:val="FootnoteReference"/>
          <w:rFonts w:cs="Arial"/>
        </w:rPr>
        <w:footnoteReference w:id="2"/>
      </w:r>
      <w:r w:rsidR="00195E8F" w:rsidRPr="00195E8F">
        <w:rPr>
          <w:rFonts w:cs="Arial"/>
          <w:lang w:val="es-US"/>
        </w:rPr>
        <w:t xml:space="preserve">,  a través del diseño de una plan para el fortalecimiento de la Dirección Ambiental,  adquisición y capacitación en el manejo de equipos y </w:t>
      </w:r>
      <w:r w:rsidR="00195E8F" w:rsidRPr="00195E8F">
        <w:rPr>
          <w:rFonts w:cs="Arial"/>
          <w:i/>
          <w:lang w:val="es-US"/>
        </w:rPr>
        <w:t>software</w:t>
      </w:r>
      <w:r w:rsidR="00195E8F" w:rsidRPr="00195E8F">
        <w:rPr>
          <w:rFonts w:cs="Arial"/>
          <w:lang w:val="es-US"/>
        </w:rPr>
        <w:t>, desarrollo de guías para el análisis socioambiental de proyectos de la ENEE, diseño de una política social</w:t>
      </w:r>
      <w:r w:rsidR="00195E8F">
        <w:rPr>
          <w:rStyle w:val="FootnoteReference"/>
          <w:rFonts w:cs="Arial"/>
        </w:rPr>
        <w:footnoteReference w:id="3"/>
      </w:r>
      <w:r w:rsidR="00195E8F" w:rsidRPr="00195E8F">
        <w:rPr>
          <w:rFonts w:cs="Arial"/>
          <w:lang w:val="es-US"/>
        </w:rPr>
        <w:t xml:space="preserve"> que defina mecanismos de compensación y de atención a quejas y reclamos, contratación de asesoría especializada en temas socioambientales y compra de vehículos para la supervisión ambiental de los proyectos; (i</w:t>
      </w:r>
      <w:r w:rsidR="00195E8F">
        <w:rPr>
          <w:rFonts w:cs="Arial"/>
          <w:lang w:val="es-US"/>
        </w:rPr>
        <w:t>ii</w:t>
      </w:r>
      <w:r w:rsidR="00195E8F" w:rsidRPr="00195E8F">
        <w:rPr>
          <w:rFonts w:cs="Arial"/>
          <w:lang w:val="es-US"/>
        </w:rPr>
        <w:t xml:space="preserve">) </w:t>
      </w:r>
      <w:r w:rsidR="00195E8F" w:rsidRPr="00764CF5">
        <w:rPr>
          <w:rFonts w:cs="Arial"/>
          <w:lang w:val="es-ES_tradnl"/>
        </w:rPr>
        <w:t xml:space="preserve">desarrollo de una “Política Corporativa de Género para la ENEE” </w:t>
      </w:r>
      <w:r w:rsidR="00195E8F">
        <w:rPr>
          <w:rFonts w:cs="Arial"/>
          <w:lang w:val="es-ES_tradnl"/>
        </w:rPr>
        <w:t>para</w:t>
      </w:r>
      <w:r w:rsidR="00195E8F" w:rsidRPr="00764CF5">
        <w:rPr>
          <w:rFonts w:cs="Arial"/>
          <w:lang w:val="es-ES_tradnl"/>
        </w:rPr>
        <w:t xml:space="preserve"> promover la igualdad de género dentro de las prioridades, estructura y metas de la institución</w:t>
      </w:r>
      <w:r w:rsidR="00195E8F">
        <w:rPr>
          <w:rFonts w:cs="Arial"/>
          <w:lang w:val="es-ES_tradnl"/>
        </w:rPr>
        <w:t>;</w:t>
      </w:r>
      <w:r w:rsidR="00195E8F" w:rsidRPr="00195E8F">
        <w:rPr>
          <w:rFonts w:cs="Arial"/>
          <w:lang w:val="es-US"/>
        </w:rPr>
        <w:t xml:space="preserve">  (iv) fortalecer la capacidad de gestión en planificación, ejecución de la expansión, operación y mantenimiento de la infraestructura que permita mejorar la sostenibilidad financiera y operativa de la Empresa ENEE Transmisión como actor calificado para participar activamente y competir en el mercado eléctrico nacional.  Se desarrollarán capacidades de gestión financiera y contable para la transparencia y rendición de cuentas a través de asesoría técnica especializada, adquisición y desarrollo de software, valoración de activos fijos y contratación de </w:t>
      </w:r>
      <w:r w:rsidR="00195E8F" w:rsidRPr="00195E8F">
        <w:rPr>
          <w:rFonts w:cs="Arial"/>
          <w:lang w:val="es-US"/>
        </w:rPr>
        <w:lastRenderedPageBreak/>
        <w:t>auditorías financieras de la ENEE; (v) capacitaciones en gerencia, administración, operación y logística de proyectos, comunicación efectiva y conceptos de energía; y (vi) asesoría técnica especializada para contrataciones, monitoreo y administración de contratos</w:t>
      </w:r>
      <w:r w:rsidR="00195E8F">
        <w:rPr>
          <w:rFonts w:cs="Arial"/>
          <w:lang w:val="es-US"/>
        </w:rPr>
        <w:t>.</w:t>
      </w:r>
    </w:p>
    <w:p w14:paraId="3FEC8946" w14:textId="77777777" w:rsidR="00D365FF" w:rsidRPr="008D3AA3" w:rsidRDefault="00D365FF" w:rsidP="00D365FF">
      <w:pPr>
        <w:pStyle w:val="ListParagraph"/>
        <w:numPr>
          <w:ilvl w:val="1"/>
          <w:numId w:val="3"/>
        </w:numPr>
        <w:spacing w:before="120"/>
        <w:ind w:left="720" w:hanging="720"/>
        <w:jc w:val="both"/>
        <w:rPr>
          <w:rFonts w:cs="Arial"/>
          <w:lang w:val="es-US"/>
        </w:rPr>
      </w:pPr>
      <w:r w:rsidRPr="008D3AA3">
        <w:rPr>
          <w:rFonts w:cs="Arial"/>
          <w:b/>
          <w:lang w:val="es-US"/>
        </w:rPr>
        <w:t>Otros costos (US$</w:t>
      </w:r>
      <w:r>
        <w:rPr>
          <w:rFonts w:cs="Arial"/>
          <w:b/>
          <w:lang w:val="es-US"/>
        </w:rPr>
        <w:t xml:space="preserve">2.12 </w:t>
      </w:r>
      <w:r w:rsidRPr="008D3AA3">
        <w:rPr>
          <w:rFonts w:cs="Arial"/>
          <w:b/>
          <w:lang w:val="es-US"/>
        </w:rPr>
        <w:t>millones)</w:t>
      </w:r>
      <w:r w:rsidRPr="008D3AA3">
        <w:rPr>
          <w:rFonts w:cs="Arial"/>
          <w:lang w:val="es-US"/>
        </w:rPr>
        <w:t>. Se financiará el personal de la Unidad Coordinadora del Proyecto (UCP), auditorías externa y ambiental, y las evaluaciones de medio término y final.</w:t>
      </w:r>
    </w:p>
    <w:p w14:paraId="705B1AEB" w14:textId="77777777" w:rsidR="00D365FF" w:rsidRPr="00E4165A" w:rsidRDefault="00D365FF" w:rsidP="005C2329">
      <w:pPr>
        <w:pStyle w:val="Heading2"/>
        <w:rPr>
          <w:lang w:val="es-CO"/>
        </w:rPr>
      </w:pPr>
      <w:bookmarkStart w:id="12" w:name="_Toc513626353"/>
      <w:r w:rsidRPr="00E4165A">
        <w:t>Resultados esperados</w:t>
      </w:r>
      <w:bookmarkEnd w:id="12"/>
    </w:p>
    <w:p w14:paraId="72249710" w14:textId="77777777" w:rsidR="00D365FF" w:rsidRPr="009B373B" w:rsidRDefault="00D365FF" w:rsidP="00D365FF">
      <w:pPr>
        <w:pStyle w:val="ListParagraph"/>
        <w:numPr>
          <w:ilvl w:val="1"/>
          <w:numId w:val="3"/>
        </w:numPr>
        <w:spacing w:before="120"/>
        <w:ind w:left="720" w:hanging="720"/>
        <w:jc w:val="both"/>
        <w:rPr>
          <w:rFonts w:cs="Arial"/>
          <w:lang w:val="es-CO"/>
        </w:rPr>
      </w:pPr>
      <w:r w:rsidRPr="009358B7">
        <w:rPr>
          <w:rFonts w:cs="Arial"/>
          <w:lang w:val="es-US"/>
        </w:rPr>
        <w:t xml:space="preserve"> </w:t>
      </w:r>
      <w:r w:rsidRPr="009B373B">
        <w:rPr>
          <w:rFonts w:cs="Arial"/>
          <w:lang w:val="es-US"/>
        </w:rPr>
        <w:t xml:space="preserve">Los resultados esperados son: </w:t>
      </w:r>
      <w:r w:rsidRPr="009B373B">
        <w:rPr>
          <w:rFonts w:eastAsia="Times New Roman" w:cs="Arial"/>
          <w:lang w:val="es-ES"/>
        </w:rPr>
        <w:t>(i) incremento de la capacidad del STN para evacuar electricidad de proyectos de ERNC y optimizar el despacho de generación; (ii) mejora en la confiabilidad del STN; (iii) incremento de las ERNC en la matriz de generación nacional; (iv) mejora en la capacidad de transmisión regional; (v) mejora en la situación financiera de la ENEE; y (v) fortalecimiento de la ENEE en la gestión de la gerencia de transmisión. temas de transparencia, gestión socioambiental y equidad de género.</w:t>
      </w:r>
      <w:r w:rsidRPr="009B373B">
        <w:rPr>
          <w:rFonts w:eastAsia="Times New Roman" w:cs="Arial"/>
          <w:lang w:val="es-ES_tradnl"/>
        </w:rPr>
        <w:t> </w:t>
      </w:r>
    </w:p>
    <w:p w14:paraId="00C43E06" w14:textId="77777777" w:rsidR="00D365FF" w:rsidRPr="009B373B" w:rsidRDefault="00D365FF" w:rsidP="00D365FF">
      <w:pPr>
        <w:pStyle w:val="ListParagraph"/>
        <w:numPr>
          <w:ilvl w:val="1"/>
          <w:numId w:val="3"/>
        </w:numPr>
        <w:spacing w:before="120"/>
        <w:ind w:left="720" w:hanging="720"/>
        <w:jc w:val="both"/>
        <w:rPr>
          <w:rFonts w:cs="Arial"/>
          <w:lang w:val="es-CO"/>
        </w:rPr>
      </w:pPr>
      <w:r w:rsidRPr="009B373B">
        <w:rPr>
          <w:rFonts w:cs="Arial"/>
          <w:lang w:val="es-CO"/>
        </w:rPr>
        <w:t>El Cuadro 1 presenta los resultados esperados y sus Indicadores:</w:t>
      </w:r>
    </w:p>
    <w:tbl>
      <w:tblPr>
        <w:tblpPr w:leftFromText="180" w:rightFromText="180" w:vertAnchor="text" w:horzAnchor="margin" w:tblpXSpec="right" w:tblpY="189"/>
        <w:tblW w:w="8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90"/>
        <w:gridCol w:w="4320"/>
      </w:tblGrid>
      <w:tr w:rsidR="001A164B" w:rsidRPr="00324A9B" w14:paraId="66FC0B9B" w14:textId="77777777" w:rsidTr="00E00A6E">
        <w:tc>
          <w:tcPr>
            <w:tcW w:w="8010" w:type="dxa"/>
            <w:gridSpan w:val="2"/>
            <w:tcBorders>
              <w:top w:val="nil"/>
              <w:left w:val="nil"/>
              <w:bottom w:val="single" w:sz="6" w:space="0" w:color="auto"/>
              <w:right w:val="nil"/>
            </w:tcBorders>
            <w:shd w:val="clear" w:color="auto" w:fill="auto"/>
            <w:hideMark/>
          </w:tcPr>
          <w:p w14:paraId="57D6D025" w14:textId="6A9F7F01" w:rsidR="001A164B" w:rsidRPr="001A164B" w:rsidRDefault="001A164B" w:rsidP="00E00A6E">
            <w:pPr>
              <w:spacing w:after="40"/>
              <w:jc w:val="center"/>
              <w:textAlignment w:val="baseline"/>
              <w:rPr>
                <w:rFonts w:cs="Arial"/>
                <w:szCs w:val="18"/>
                <w:lang w:val="pt-BR"/>
              </w:rPr>
            </w:pPr>
            <w:proofErr w:type="spellStart"/>
            <w:r w:rsidRPr="001A164B">
              <w:rPr>
                <w:rFonts w:cs="Arial"/>
                <w:b/>
                <w:bCs/>
                <w:szCs w:val="18"/>
                <w:lang w:val="pt-BR"/>
              </w:rPr>
              <w:t>Cuadro</w:t>
            </w:r>
            <w:proofErr w:type="spellEnd"/>
            <w:r w:rsidRPr="001A164B">
              <w:rPr>
                <w:rFonts w:cs="Arial"/>
                <w:b/>
                <w:bCs/>
                <w:szCs w:val="18"/>
                <w:lang w:val="pt-BR"/>
              </w:rPr>
              <w:t> </w:t>
            </w:r>
            <w:r w:rsidRPr="001A164B">
              <w:rPr>
                <w:rFonts w:cs="Arial"/>
                <w:b/>
                <w:bCs/>
                <w:szCs w:val="18"/>
                <w:lang w:val="pt-BR"/>
              </w:rPr>
              <w:t>1</w:t>
            </w:r>
            <w:r w:rsidRPr="001A164B">
              <w:rPr>
                <w:rFonts w:cs="Arial"/>
                <w:b/>
                <w:bCs/>
                <w:szCs w:val="18"/>
                <w:lang w:val="pt-BR"/>
              </w:rPr>
              <w:t>.  Resultados Esperados e Indicadores</w:t>
            </w:r>
            <w:r w:rsidRPr="001A164B">
              <w:rPr>
                <w:rFonts w:cs="Arial"/>
                <w:szCs w:val="18"/>
                <w:lang w:val="pt-BR"/>
              </w:rPr>
              <w:t> </w:t>
            </w:r>
          </w:p>
        </w:tc>
      </w:tr>
      <w:tr w:rsidR="001A164B" w:rsidRPr="00570623" w14:paraId="11E6A282" w14:textId="77777777" w:rsidTr="00E00A6E">
        <w:tc>
          <w:tcPr>
            <w:tcW w:w="3690" w:type="dxa"/>
            <w:tcBorders>
              <w:top w:val="outset" w:sz="6" w:space="0" w:color="auto"/>
              <w:left w:val="single" w:sz="6" w:space="0" w:color="auto"/>
              <w:bottom w:val="single" w:sz="6" w:space="0" w:color="auto"/>
              <w:right w:val="single" w:sz="6" w:space="0" w:color="auto"/>
            </w:tcBorders>
            <w:shd w:val="clear" w:color="auto" w:fill="DBE5F1" w:themeFill="accent1" w:themeFillTint="33"/>
            <w:vAlign w:val="center"/>
            <w:hideMark/>
          </w:tcPr>
          <w:p w14:paraId="6E563649" w14:textId="77777777" w:rsidR="001A164B" w:rsidRPr="001A164B" w:rsidRDefault="001A164B" w:rsidP="00E00A6E">
            <w:pPr>
              <w:spacing w:beforeAutospacing="1" w:afterAutospacing="1"/>
              <w:ind w:left="360"/>
              <w:jc w:val="center"/>
              <w:textAlignment w:val="baseline"/>
              <w:rPr>
                <w:rFonts w:cs="Arial"/>
                <w:sz w:val="20"/>
                <w:szCs w:val="18"/>
              </w:rPr>
            </w:pPr>
            <w:r w:rsidRPr="001A164B">
              <w:rPr>
                <w:rFonts w:cs="Arial"/>
                <w:b/>
                <w:bCs/>
                <w:sz w:val="20"/>
                <w:szCs w:val="18"/>
                <w:lang w:val="es-ES"/>
              </w:rPr>
              <w:t>Resultados</w:t>
            </w:r>
            <w:r w:rsidRPr="001A164B">
              <w:rPr>
                <w:rFonts w:cs="Arial"/>
                <w:sz w:val="20"/>
                <w:szCs w:val="18"/>
              </w:rPr>
              <w:t> </w:t>
            </w:r>
          </w:p>
        </w:tc>
        <w:tc>
          <w:tcPr>
            <w:tcW w:w="4320" w:type="dxa"/>
            <w:tcBorders>
              <w:top w:val="outset"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7C6D8DD2" w14:textId="77777777" w:rsidR="001A164B" w:rsidRPr="001A164B" w:rsidRDefault="001A164B" w:rsidP="00E00A6E">
            <w:pPr>
              <w:spacing w:beforeAutospacing="1" w:afterAutospacing="1"/>
              <w:ind w:left="360"/>
              <w:jc w:val="center"/>
              <w:textAlignment w:val="baseline"/>
              <w:rPr>
                <w:rFonts w:cs="Arial"/>
                <w:sz w:val="20"/>
                <w:szCs w:val="18"/>
              </w:rPr>
            </w:pPr>
            <w:r w:rsidRPr="001A164B">
              <w:rPr>
                <w:rFonts w:cs="Arial"/>
                <w:b/>
                <w:bCs/>
                <w:sz w:val="20"/>
                <w:szCs w:val="18"/>
                <w:lang w:val="es-ES"/>
              </w:rPr>
              <w:t>Indicador</w:t>
            </w:r>
            <w:r w:rsidRPr="001A164B">
              <w:rPr>
                <w:rFonts w:cs="Arial"/>
                <w:sz w:val="20"/>
                <w:szCs w:val="18"/>
              </w:rPr>
              <w:t> </w:t>
            </w:r>
          </w:p>
        </w:tc>
      </w:tr>
      <w:tr w:rsidR="001A164B" w:rsidRPr="001A164B" w14:paraId="77DAE465" w14:textId="77777777" w:rsidTr="00E00A6E">
        <w:tc>
          <w:tcPr>
            <w:tcW w:w="3690" w:type="dxa"/>
            <w:vMerge w:val="restart"/>
            <w:tcBorders>
              <w:top w:val="outset" w:sz="6" w:space="0" w:color="auto"/>
              <w:left w:val="single" w:sz="6" w:space="0" w:color="auto"/>
              <w:bottom w:val="single" w:sz="6" w:space="0" w:color="auto"/>
              <w:right w:val="single" w:sz="6" w:space="0" w:color="auto"/>
            </w:tcBorders>
            <w:shd w:val="clear" w:color="auto" w:fill="auto"/>
            <w:vAlign w:val="center"/>
          </w:tcPr>
          <w:p w14:paraId="57F51A62" w14:textId="77777777" w:rsidR="001A164B" w:rsidRPr="001A164B" w:rsidRDefault="001A164B" w:rsidP="00E00A6E">
            <w:pPr>
              <w:spacing w:beforeAutospacing="1" w:afterAutospacing="1"/>
              <w:ind w:left="90"/>
              <w:textAlignment w:val="baseline"/>
              <w:rPr>
                <w:rFonts w:cs="Arial"/>
                <w:sz w:val="18"/>
                <w:szCs w:val="18"/>
                <w:lang w:val="es-ES_tradnl"/>
              </w:rPr>
            </w:pPr>
            <w:r w:rsidRPr="00570623">
              <w:rPr>
                <w:rFonts w:cs="Arial"/>
                <w:color w:val="000000"/>
                <w:sz w:val="18"/>
                <w:szCs w:val="18"/>
                <w:lang w:val="es-HN"/>
              </w:rPr>
              <w:t>Mejora en la calidad y confiabilidad de la red de trasmisión de las zonas centro y norte del país.</w:t>
            </w:r>
          </w:p>
        </w:tc>
        <w:tc>
          <w:tcPr>
            <w:tcW w:w="4320" w:type="dxa"/>
            <w:tcBorders>
              <w:top w:val="outset" w:sz="6" w:space="0" w:color="auto"/>
              <w:left w:val="outset" w:sz="6" w:space="0" w:color="auto"/>
              <w:bottom w:val="single" w:sz="6" w:space="0" w:color="auto"/>
              <w:right w:val="single" w:sz="6" w:space="0" w:color="auto"/>
            </w:tcBorders>
            <w:shd w:val="clear" w:color="auto" w:fill="auto"/>
            <w:vAlign w:val="center"/>
          </w:tcPr>
          <w:p w14:paraId="7102148A" w14:textId="77777777" w:rsidR="001A164B" w:rsidRPr="001A164B" w:rsidRDefault="001A164B" w:rsidP="00E00A6E">
            <w:pPr>
              <w:spacing w:beforeAutospacing="1" w:afterAutospacing="1"/>
              <w:ind w:left="84"/>
              <w:textAlignment w:val="baseline"/>
              <w:rPr>
                <w:rFonts w:cs="Arial"/>
                <w:sz w:val="18"/>
                <w:szCs w:val="18"/>
                <w:lang w:val="es-ES_tradnl"/>
              </w:rPr>
            </w:pPr>
            <w:r w:rsidRPr="00570623">
              <w:rPr>
                <w:rFonts w:cs="Arial"/>
                <w:color w:val="000000"/>
                <w:sz w:val="18"/>
                <w:szCs w:val="18"/>
                <w:lang w:val="es-HN"/>
              </w:rPr>
              <w:t>Energía no suministrada por fallas en el sistema de transmisión en la zona norte en un año.</w:t>
            </w:r>
          </w:p>
        </w:tc>
      </w:tr>
      <w:tr w:rsidR="001A164B" w:rsidRPr="001A164B" w14:paraId="08802B55" w14:textId="77777777" w:rsidTr="00E00A6E">
        <w:trPr>
          <w:trHeight w:val="53"/>
        </w:trPr>
        <w:tc>
          <w:tcPr>
            <w:tcW w:w="3690" w:type="dxa"/>
            <w:vMerge/>
            <w:tcBorders>
              <w:top w:val="outset" w:sz="6" w:space="0" w:color="auto"/>
              <w:left w:val="single" w:sz="6" w:space="0" w:color="auto"/>
              <w:bottom w:val="single" w:sz="6" w:space="0" w:color="auto"/>
              <w:right w:val="single" w:sz="6" w:space="0" w:color="auto"/>
            </w:tcBorders>
            <w:shd w:val="clear" w:color="auto" w:fill="auto"/>
            <w:vAlign w:val="center"/>
          </w:tcPr>
          <w:p w14:paraId="2378F70C" w14:textId="77777777" w:rsidR="001A164B" w:rsidRPr="001A164B" w:rsidRDefault="001A164B" w:rsidP="00E00A6E">
            <w:pPr>
              <w:ind w:left="90"/>
              <w:rPr>
                <w:rFonts w:cs="Arial"/>
                <w:sz w:val="18"/>
                <w:szCs w:val="18"/>
                <w:lang w:val="es-ES_tradnl"/>
              </w:rPr>
            </w:pPr>
          </w:p>
        </w:tc>
        <w:tc>
          <w:tcPr>
            <w:tcW w:w="4320" w:type="dxa"/>
            <w:tcBorders>
              <w:top w:val="outset" w:sz="6" w:space="0" w:color="auto"/>
              <w:left w:val="outset" w:sz="6" w:space="0" w:color="auto"/>
              <w:right w:val="single" w:sz="6" w:space="0" w:color="auto"/>
            </w:tcBorders>
            <w:shd w:val="clear" w:color="auto" w:fill="auto"/>
            <w:vAlign w:val="center"/>
          </w:tcPr>
          <w:p w14:paraId="72AA40AD" w14:textId="77777777" w:rsidR="001A164B" w:rsidRPr="001A164B" w:rsidRDefault="001A164B" w:rsidP="00E00A6E">
            <w:pPr>
              <w:spacing w:beforeAutospacing="1" w:afterAutospacing="1"/>
              <w:ind w:left="84"/>
              <w:textAlignment w:val="baseline"/>
              <w:rPr>
                <w:rFonts w:cs="Arial"/>
                <w:sz w:val="18"/>
                <w:szCs w:val="18"/>
                <w:lang w:val="es-ES_tradnl"/>
              </w:rPr>
            </w:pPr>
            <w:r w:rsidRPr="00570623">
              <w:rPr>
                <w:rFonts w:cs="Arial"/>
                <w:color w:val="000000"/>
                <w:sz w:val="18"/>
                <w:szCs w:val="18"/>
                <w:lang w:val="es-HN"/>
              </w:rPr>
              <w:t>Energía no suministrada por fallas en el sistema de transmisión en la zona centro del país en un año.</w:t>
            </w:r>
          </w:p>
        </w:tc>
      </w:tr>
      <w:tr w:rsidR="001A164B" w:rsidRPr="00570623" w14:paraId="15BC1031" w14:textId="77777777" w:rsidTr="00E00A6E">
        <w:tc>
          <w:tcPr>
            <w:tcW w:w="3690" w:type="dxa"/>
            <w:tcBorders>
              <w:top w:val="outset" w:sz="6" w:space="0" w:color="auto"/>
              <w:left w:val="single" w:sz="6" w:space="0" w:color="auto"/>
              <w:bottom w:val="single" w:sz="6" w:space="0" w:color="auto"/>
              <w:right w:val="single" w:sz="6" w:space="0" w:color="auto"/>
            </w:tcBorders>
            <w:shd w:val="clear" w:color="auto" w:fill="auto"/>
            <w:vAlign w:val="center"/>
          </w:tcPr>
          <w:p w14:paraId="380B005F" w14:textId="77777777" w:rsidR="001A164B" w:rsidRPr="001A164B" w:rsidRDefault="001A164B" w:rsidP="00E00A6E">
            <w:pPr>
              <w:spacing w:beforeAutospacing="1" w:afterAutospacing="1"/>
              <w:ind w:left="90"/>
              <w:textAlignment w:val="baseline"/>
              <w:rPr>
                <w:rFonts w:cs="Arial"/>
                <w:sz w:val="18"/>
                <w:szCs w:val="18"/>
                <w:lang w:val="es-ES_tradnl"/>
              </w:rPr>
            </w:pPr>
            <w:r w:rsidRPr="00570623">
              <w:rPr>
                <w:rFonts w:cs="Arial"/>
                <w:color w:val="000000"/>
                <w:sz w:val="18"/>
                <w:szCs w:val="18"/>
                <w:lang w:val="es-HN"/>
              </w:rPr>
              <w:t>Incremento de la capacidad instalada de energía eléctrica renovable.</w:t>
            </w:r>
          </w:p>
        </w:tc>
        <w:tc>
          <w:tcPr>
            <w:tcW w:w="4320" w:type="dxa"/>
            <w:tcBorders>
              <w:top w:val="outset" w:sz="6" w:space="0" w:color="auto"/>
              <w:left w:val="outset" w:sz="6" w:space="0" w:color="auto"/>
              <w:bottom w:val="single" w:sz="6" w:space="0" w:color="auto"/>
              <w:right w:val="single" w:sz="6" w:space="0" w:color="auto"/>
            </w:tcBorders>
            <w:shd w:val="clear" w:color="auto" w:fill="auto"/>
            <w:vAlign w:val="center"/>
          </w:tcPr>
          <w:p w14:paraId="191A0199" w14:textId="77777777" w:rsidR="001A164B" w:rsidRPr="00570623" w:rsidRDefault="001A164B" w:rsidP="00E00A6E">
            <w:pPr>
              <w:spacing w:before="100" w:beforeAutospacing="1" w:after="100" w:afterAutospacing="1"/>
              <w:ind w:left="84"/>
              <w:textAlignment w:val="baseline"/>
              <w:rPr>
                <w:rFonts w:cs="Arial"/>
                <w:sz w:val="18"/>
                <w:szCs w:val="18"/>
              </w:rPr>
            </w:pPr>
            <w:r w:rsidRPr="00570623">
              <w:rPr>
                <w:rFonts w:cs="Arial"/>
                <w:color w:val="000000"/>
                <w:sz w:val="18"/>
                <w:szCs w:val="18"/>
                <w:lang w:val="es-HN"/>
              </w:rPr>
              <w:t>Capacidad instalada de ER.</w:t>
            </w:r>
          </w:p>
        </w:tc>
      </w:tr>
      <w:tr w:rsidR="001A164B" w:rsidRPr="001A164B" w14:paraId="59D5BB09" w14:textId="77777777" w:rsidTr="00E00A6E">
        <w:tc>
          <w:tcPr>
            <w:tcW w:w="3690" w:type="dxa"/>
            <w:tcBorders>
              <w:top w:val="outset" w:sz="6" w:space="0" w:color="auto"/>
              <w:left w:val="single" w:sz="6" w:space="0" w:color="auto"/>
              <w:bottom w:val="single" w:sz="6" w:space="0" w:color="auto"/>
              <w:right w:val="single" w:sz="6" w:space="0" w:color="auto"/>
            </w:tcBorders>
            <w:shd w:val="clear" w:color="auto" w:fill="auto"/>
            <w:vAlign w:val="center"/>
          </w:tcPr>
          <w:p w14:paraId="6AC5F7D2" w14:textId="77777777" w:rsidR="001A164B" w:rsidRPr="00570623" w:rsidRDefault="001A164B" w:rsidP="00E00A6E">
            <w:pPr>
              <w:spacing w:beforeAutospacing="1" w:afterAutospacing="1"/>
              <w:ind w:left="90"/>
              <w:textAlignment w:val="baseline"/>
              <w:rPr>
                <w:rFonts w:cs="Arial"/>
                <w:color w:val="000000"/>
                <w:sz w:val="18"/>
                <w:szCs w:val="18"/>
                <w:lang w:val="es-HN"/>
              </w:rPr>
            </w:pPr>
            <w:r w:rsidRPr="00570623">
              <w:rPr>
                <w:rFonts w:cs="Arial"/>
                <w:color w:val="000000"/>
                <w:sz w:val="18"/>
                <w:szCs w:val="18"/>
                <w:lang w:val="es-HN"/>
              </w:rPr>
              <w:t>Incremento de la energía renovable generada / total energía</w:t>
            </w:r>
          </w:p>
        </w:tc>
        <w:tc>
          <w:tcPr>
            <w:tcW w:w="4320" w:type="dxa"/>
            <w:tcBorders>
              <w:top w:val="outset" w:sz="6" w:space="0" w:color="auto"/>
              <w:left w:val="outset" w:sz="6" w:space="0" w:color="auto"/>
              <w:bottom w:val="single" w:sz="6" w:space="0" w:color="auto"/>
              <w:right w:val="single" w:sz="6" w:space="0" w:color="auto"/>
            </w:tcBorders>
            <w:shd w:val="clear" w:color="auto" w:fill="auto"/>
            <w:vAlign w:val="center"/>
          </w:tcPr>
          <w:p w14:paraId="47C13331" w14:textId="77777777" w:rsidR="001A164B" w:rsidRPr="00570623" w:rsidRDefault="001A164B" w:rsidP="00E00A6E">
            <w:pPr>
              <w:spacing w:before="100" w:beforeAutospacing="1" w:after="100" w:afterAutospacing="1"/>
              <w:ind w:left="84"/>
              <w:textAlignment w:val="baseline"/>
              <w:rPr>
                <w:rFonts w:cs="Arial"/>
                <w:color w:val="000000"/>
                <w:sz w:val="18"/>
                <w:szCs w:val="18"/>
                <w:lang w:val="es-HN"/>
              </w:rPr>
            </w:pPr>
            <w:r w:rsidRPr="00570623">
              <w:rPr>
                <w:rFonts w:cs="Arial"/>
                <w:color w:val="000000"/>
                <w:sz w:val="18"/>
                <w:szCs w:val="18"/>
                <w:lang w:val="es-HN"/>
              </w:rPr>
              <w:t>Participación de energía renovable en la matriz de generación</w:t>
            </w:r>
          </w:p>
        </w:tc>
      </w:tr>
      <w:tr w:rsidR="001A164B" w:rsidRPr="001A164B" w14:paraId="584FFD5E" w14:textId="77777777" w:rsidTr="00E00A6E">
        <w:tc>
          <w:tcPr>
            <w:tcW w:w="3690" w:type="dxa"/>
            <w:tcBorders>
              <w:top w:val="outset" w:sz="6" w:space="0" w:color="auto"/>
              <w:left w:val="single" w:sz="6" w:space="0" w:color="auto"/>
              <w:bottom w:val="single" w:sz="6" w:space="0" w:color="auto"/>
              <w:right w:val="single" w:sz="6" w:space="0" w:color="auto"/>
            </w:tcBorders>
            <w:shd w:val="clear" w:color="auto" w:fill="auto"/>
            <w:vAlign w:val="center"/>
          </w:tcPr>
          <w:p w14:paraId="7775391C" w14:textId="77777777" w:rsidR="001A164B" w:rsidRPr="00570623" w:rsidRDefault="001A164B" w:rsidP="00E00A6E">
            <w:pPr>
              <w:spacing w:beforeAutospacing="1" w:afterAutospacing="1"/>
              <w:ind w:left="90"/>
              <w:textAlignment w:val="baseline"/>
              <w:rPr>
                <w:rFonts w:cs="Arial"/>
                <w:color w:val="000000"/>
                <w:sz w:val="18"/>
                <w:szCs w:val="18"/>
                <w:lang w:val="es-HN"/>
              </w:rPr>
            </w:pPr>
            <w:r w:rsidRPr="00570623">
              <w:rPr>
                <w:rFonts w:cs="Arial"/>
                <w:color w:val="000000"/>
                <w:sz w:val="18"/>
                <w:szCs w:val="18"/>
                <w:lang w:val="es-HN"/>
              </w:rPr>
              <w:t>Incremento en el suministro de energía debido a reducción de no despacho</w:t>
            </w:r>
          </w:p>
        </w:tc>
        <w:tc>
          <w:tcPr>
            <w:tcW w:w="4320" w:type="dxa"/>
            <w:tcBorders>
              <w:top w:val="outset" w:sz="6" w:space="0" w:color="auto"/>
              <w:left w:val="outset" w:sz="6" w:space="0" w:color="auto"/>
              <w:bottom w:val="single" w:sz="6" w:space="0" w:color="auto"/>
              <w:right w:val="single" w:sz="6" w:space="0" w:color="auto"/>
            </w:tcBorders>
            <w:shd w:val="clear" w:color="auto" w:fill="auto"/>
            <w:vAlign w:val="center"/>
          </w:tcPr>
          <w:p w14:paraId="671CD623" w14:textId="77777777" w:rsidR="001A164B" w:rsidRPr="00570623" w:rsidRDefault="001A164B" w:rsidP="00E00A6E">
            <w:pPr>
              <w:spacing w:beforeAutospacing="1" w:afterAutospacing="1"/>
              <w:ind w:left="84"/>
              <w:textAlignment w:val="baseline"/>
              <w:rPr>
                <w:rFonts w:cs="Arial"/>
                <w:color w:val="000000"/>
                <w:sz w:val="18"/>
                <w:szCs w:val="18"/>
                <w:lang w:val="es-HN"/>
              </w:rPr>
            </w:pPr>
            <w:r w:rsidRPr="00570623">
              <w:rPr>
                <w:rFonts w:cs="Arial"/>
                <w:color w:val="000000"/>
                <w:sz w:val="18"/>
                <w:szCs w:val="18"/>
                <w:lang w:val="es-HN"/>
              </w:rPr>
              <w:t>Energía adicionada en el sistema de transmisión anteriormente no despachada</w:t>
            </w:r>
          </w:p>
        </w:tc>
      </w:tr>
      <w:tr w:rsidR="001A164B" w:rsidRPr="001A164B" w14:paraId="1ACFA569" w14:textId="77777777" w:rsidTr="00E00A6E">
        <w:tc>
          <w:tcPr>
            <w:tcW w:w="3690" w:type="dxa"/>
            <w:tcBorders>
              <w:top w:val="outset" w:sz="6" w:space="0" w:color="auto"/>
              <w:left w:val="single" w:sz="6" w:space="0" w:color="auto"/>
              <w:bottom w:val="single" w:sz="6" w:space="0" w:color="auto"/>
              <w:right w:val="single" w:sz="6" w:space="0" w:color="auto"/>
            </w:tcBorders>
            <w:shd w:val="clear" w:color="auto" w:fill="auto"/>
            <w:vAlign w:val="center"/>
          </w:tcPr>
          <w:p w14:paraId="0FB7D445" w14:textId="77777777" w:rsidR="001A164B" w:rsidRPr="001A164B" w:rsidRDefault="001A164B" w:rsidP="00E00A6E">
            <w:pPr>
              <w:spacing w:beforeAutospacing="1" w:afterAutospacing="1"/>
              <w:ind w:left="90"/>
              <w:textAlignment w:val="baseline"/>
              <w:rPr>
                <w:rFonts w:cs="Arial"/>
                <w:sz w:val="18"/>
                <w:szCs w:val="18"/>
                <w:lang w:val="es-ES_tradnl"/>
              </w:rPr>
            </w:pPr>
            <w:r w:rsidRPr="00570623">
              <w:rPr>
                <w:rFonts w:cs="Arial"/>
                <w:color w:val="000000"/>
                <w:sz w:val="18"/>
                <w:szCs w:val="18"/>
                <w:lang w:val="es-HN"/>
              </w:rPr>
              <w:t>Incremento de Energía disponible para comercialización en el MER</w:t>
            </w:r>
          </w:p>
        </w:tc>
        <w:tc>
          <w:tcPr>
            <w:tcW w:w="4320" w:type="dxa"/>
            <w:tcBorders>
              <w:top w:val="outset" w:sz="6" w:space="0" w:color="auto"/>
              <w:left w:val="outset" w:sz="6" w:space="0" w:color="auto"/>
              <w:bottom w:val="single" w:sz="6" w:space="0" w:color="auto"/>
              <w:right w:val="single" w:sz="6" w:space="0" w:color="auto"/>
            </w:tcBorders>
            <w:shd w:val="clear" w:color="auto" w:fill="auto"/>
            <w:vAlign w:val="center"/>
          </w:tcPr>
          <w:p w14:paraId="1A571BBB" w14:textId="77777777" w:rsidR="001A164B" w:rsidRPr="001A164B" w:rsidRDefault="001A164B" w:rsidP="00E00A6E">
            <w:pPr>
              <w:spacing w:beforeAutospacing="1" w:afterAutospacing="1"/>
              <w:ind w:left="84"/>
              <w:textAlignment w:val="baseline"/>
              <w:rPr>
                <w:rFonts w:cs="Arial"/>
                <w:sz w:val="18"/>
                <w:szCs w:val="18"/>
                <w:lang w:val="es-ES_tradnl"/>
              </w:rPr>
            </w:pPr>
            <w:r w:rsidRPr="00570623">
              <w:rPr>
                <w:rFonts w:cs="Arial"/>
                <w:color w:val="000000"/>
                <w:sz w:val="18"/>
                <w:szCs w:val="18"/>
                <w:lang w:val="es-HN"/>
              </w:rPr>
              <w:t>Capacidad de importación del MER de Guatemala hacia Honduras.</w:t>
            </w:r>
          </w:p>
        </w:tc>
      </w:tr>
      <w:tr w:rsidR="001A164B" w:rsidRPr="001A164B" w14:paraId="55B52C1F" w14:textId="77777777" w:rsidTr="00E00A6E">
        <w:tc>
          <w:tcPr>
            <w:tcW w:w="3690" w:type="dxa"/>
            <w:tcBorders>
              <w:top w:val="outset" w:sz="6" w:space="0" w:color="auto"/>
              <w:left w:val="single" w:sz="6" w:space="0" w:color="auto"/>
              <w:bottom w:val="single" w:sz="6" w:space="0" w:color="auto"/>
              <w:right w:val="single" w:sz="6" w:space="0" w:color="auto"/>
            </w:tcBorders>
            <w:shd w:val="clear" w:color="auto" w:fill="auto"/>
          </w:tcPr>
          <w:p w14:paraId="2B0963C5" w14:textId="77777777" w:rsidR="001A164B" w:rsidRPr="00570623" w:rsidRDefault="001A164B" w:rsidP="00E00A6E">
            <w:pPr>
              <w:spacing w:beforeAutospacing="1" w:afterAutospacing="1"/>
              <w:ind w:left="90"/>
              <w:textAlignment w:val="baseline"/>
              <w:rPr>
                <w:rFonts w:cs="Arial"/>
                <w:color w:val="000000"/>
                <w:sz w:val="18"/>
                <w:szCs w:val="18"/>
                <w:lang w:val="es-HN"/>
              </w:rPr>
            </w:pPr>
            <w:r w:rsidRPr="00570623">
              <w:rPr>
                <w:rFonts w:cs="Arial"/>
                <w:color w:val="000000"/>
                <w:sz w:val="18"/>
                <w:szCs w:val="18"/>
                <w:lang w:val="es-HN"/>
              </w:rPr>
              <w:t>Mejora de la capacidad operativa y financiera de la Empresa de Transmisión de la ENEE</w:t>
            </w:r>
          </w:p>
        </w:tc>
        <w:tc>
          <w:tcPr>
            <w:tcW w:w="4320" w:type="dxa"/>
            <w:tcBorders>
              <w:top w:val="outset" w:sz="6" w:space="0" w:color="auto"/>
              <w:left w:val="outset" w:sz="6" w:space="0" w:color="auto"/>
              <w:bottom w:val="single" w:sz="6" w:space="0" w:color="auto"/>
              <w:right w:val="single" w:sz="6" w:space="0" w:color="auto"/>
            </w:tcBorders>
            <w:shd w:val="clear" w:color="auto" w:fill="auto"/>
          </w:tcPr>
          <w:p w14:paraId="22454001" w14:textId="77777777" w:rsidR="001A164B" w:rsidRPr="00570623" w:rsidRDefault="001A164B" w:rsidP="00E00A6E">
            <w:pPr>
              <w:spacing w:beforeAutospacing="1" w:afterAutospacing="1"/>
              <w:ind w:left="84"/>
              <w:textAlignment w:val="baseline"/>
              <w:rPr>
                <w:rFonts w:cs="Arial"/>
                <w:color w:val="000000"/>
                <w:sz w:val="18"/>
                <w:szCs w:val="18"/>
                <w:lang w:val="es-HN"/>
              </w:rPr>
            </w:pPr>
            <w:r w:rsidRPr="00570623">
              <w:rPr>
                <w:rFonts w:cs="Arial"/>
                <w:color w:val="000000"/>
                <w:sz w:val="18"/>
                <w:szCs w:val="18"/>
                <w:lang w:val="es-HN"/>
              </w:rPr>
              <w:t>Estados financieros EF sin abstención de opinión</w:t>
            </w:r>
          </w:p>
        </w:tc>
      </w:tr>
    </w:tbl>
    <w:p w14:paraId="5E274147" w14:textId="2940B9D6" w:rsidR="00D365FF" w:rsidRPr="00F91C3E" w:rsidRDefault="00D365FF" w:rsidP="002B0DD1">
      <w:pPr>
        <w:pStyle w:val="ListParagraph"/>
        <w:numPr>
          <w:ilvl w:val="1"/>
          <w:numId w:val="3"/>
        </w:numPr>
        <w:spacing w:before="240"/>
        <w:ind w:left="720" w:hanging="720"/>
        <w:jc w:val="both"/>
        <w:rPr>
          <w:rFonts w:cs="Arial"/>
          <w:lang w:val="es-CO"/>
        </w:rPr>
      </w:pPr>
      <w:r w:rsidRPr="00F91C3E">
        <w:rPr>
          <w:rFonts w:cs="Arial"/>
          <w:lang w:val="es-CO"/>
        </w:rPr>
        <w:t>Este documento contiene los resultados principales del análisis costo-beneficio para los proyectos de la muestra.</w:t>
      </w:r>
    </w:p>
    <w:p w14:paraId="23002ABE" w14:textId="77777777" w:rsidR="00D365FF" w:rsidRPr="00F91C3E" w:rsidRDefault="00D365FF" w:rsidP="00D365FF">
      <w:pPr>
        <w:pStyle w:val="Heading1"/>
        <w:numPr>
          <w:ilvl w:val="0"/>
          <w:numId w:val="3"/>
        </w:numPr>
        <w:ind w:left="0" w:firstLine="0"/>
        <w:jc w:val="center"/>
        <w:rPr>
          <w:rFonts w:ascii="Arial" w:hAnsi="Arial" w:cs="Arial"/>
          <w:smallCaps/>
          <w:noProof/>
          <w:color w:val="000000" w:themeColor="text1"/>
          <w:sz w:val="22"/>
          <w:szCs w:val="22"/>
          <w:lang w:val="es-CO"/>
        </w:rPr>
      </w:pPr>
      <w:bookmarkStart w:id="13" w:name="_Toc513626354"/>
      <w:r w:rsidRPr="00F91C3E">
        <w:rPr>
          <w:rFonts w:ascii="Arial" w:hAnsi="Arial" w:cs="Arial"/>
          <w:smallCaps/>
          <w:noProof/>
          <w:color w:val="000000" w:themeColor="text1"/>
          <w:sz w:val="22"/>
          <w:szCs w:val="22"/>
          <w:lang w:val="es-CO"/>
        </w:rPr>
        <w:t>Metodología y Sup</w:t>
      </w:r>
      <w:r>
        <w:rPr>
          <w:rFonts w:ascii="Arial" w:hAnsi="Arial" w:cs="Arial"/>
          <w:smallCaps/>
          <w:noProof/>
          <w:color w:val="000000" w:themeColor="text1"/>
          <w:sz w:val="22"/>
          <w:szCs w:val="22"/>
          <w:lang w:val="es-CO"/>
        </w:rPr>
        <w:t>u</w:t>
      </w:r>
      <w:r w:rsidRPr="00F91C3E">
        <w:rPr>
          <w:rFonts w:ascii="Arial" w:hAnsi="Arial" w:cs="Arial"/>
          <w:smallCaps/>
          <w:noProof/>
          <w:color w:val="000000" w:themeColor="text1"/>
          <w:sz w:val="22"/>
          <w:szCs w:val="22"/>
          <w:lang w:val="es-CO"/>
        </w:rPr>
        <w:t>estos</w:t>
      </w:r>
      <w:bookmarkEnd w:id="13"/>
      <w:r w:rsidRPr="00F91C3E">
        <w:rPr>
          <w:rFonts w:ascii="Arial" w:hAnsi="Arial" w:cs="Arial"/>
          <w:smallCaps/>
          <w:noProof/>
          <w:color w:val="000000" w:themeColor="text1"/>
          <w:sz w:val="22"/>
          <w:szCs w:val="22"/>
          <w:lang w:val="es-CO"/>
        </w:rPr>
        <w:t xml:space="preserve"> </w:t>
      </w:r>
    </w:p>
    <w:p w14:paraId="58748EB8" w14:textId="77777777" w:rsidR="008A20AE" w:rsidRPr="008A20AE" w:rsidRDefault="00D365FF" w:rsidP="00D365FF">
      <w:pPr>
        <w:pStyle w:val="ListParagraph"/>
        <w:numPr>
          <w:ilvl w:val="1"/>
          <w:numId w:val="3"/>
        </w:numPr>
        <w:spacing w:before="120"/>
        <w:ind w:left="720" w:hanging="720"/>
        <w:jc w:val="both"/>
        <w:rPr>
          <w:rFonts w:cs="Arial"/>
          <w:lang w:val="es-CO"/>
        </w:rPr>
      </w:pPr>
      <w:r w:rsidRPr="002027C8">
        <w:rPr>
          <w:rFonts w:cs="Arial"/>
          <w:lang w:val="es-CO"/>
        </w:rPr>
        <w:t xml:space="preserve">El programa desarrollará obras contenidas en el Plan de Expansión de la Transmisión de la ENEE, </w:t>
      </w:r>
      <w:r w:rsidRPr="002027C8">
        <w:rPr>
          <w:rFonts w:eastAsia="Calibri" w:cs="Arial"/>
          <w:lang w:val="es-CO"/>
        </w:rPr>
        <w:t>seleccionadas</w:t>
      </w:r>
      <w:r w:rsidRPr="002027C8">
        <w:rPr>
          <w:rFonts w:cs="Arial"/>
          <w:lang w:val="es-CO"/>
        </w:rPr>
        <w:t xml:space="preserve"> según los criterios técnicos, económicos y socioambientales </w:t>
      </w:r>
      <w:r w:rsidR="00156DEB">
        <w:rPr>
          <w:rFonts w:cs="Arial"/>
          <w:lang w:val="es-CO"/>
        </w:rPr>
        <w:t xml:space="preserve">y </w:t>
      </w:r>
      <w:r w:rsidR="00156DEB" w:rsidRPr="002027C8">
        <w:rPr>
          <w:rFonts w:cs="Arial"/>
          <w:lang w:val="es-CO"/>
        </w:rPr>
        <w:t xml:space="preserve">de elegibilidad </w:t>
      </w:r>
      <w:r>
        <w:rPr>
          <w:rFonts w:cs="Arial"/>
          <w:lang w:val="es-CO"/>
        </w:rPr>
        <w:t xml:space="preserve">establecidos para el programa y con base en </w:t>
      </w:r>
      <w:r w:rsidRPr="002027C8">
        <w:rPr>
          <w:rFonts w:cs="Arial"/>
          <w:lang w:val="es-CO"/>
        </w:rPr>
        <w:t>el análisis de la muestra de proyectos</w:t>
      </w:r>
      <w:r w:rsidRPr="002027C8">
        <w:rPr>
          <w:rFonts w:cs="Arial"/>
          <w:lang w:val="es-ES_tradnl"/>
        </w:rPr>
        <w:t xml:space="preserve">. </w:t>
      </w:r>
      <w:bookmarkStart w:id="14" w:name="_Hlk512959910"/>
      <w:r w:rsidR="008A20AE">
        <w:rPr>
          <w:rFonts w:cs="Arial"/>
          <w:lang w:val="es-ES_tradnl"/>
        </w:rPr>
        <w:t xml:space="preserve">Para realizar la evaluación del programa se requiere contar con una muestra de proyectos elegibles a financiamiento que se encuentren en estado avanzado de elaboración para poder contar con la información para su análisis y tener suficiente nivel de preparación para ejecutarlos. </w:t>
      </w:r>
    </w:p>
    <w:p w14:paraId="0A93FE91" w14:textId="77777777" w:rsidR="00D365FF" w:rsidRDefault="00D365FF" w:rsidP="00D365FF">
      <w:pPr>
        <w:pStyle w:val="ListParagraph"/>
        <w:numPr>
          <w:ilvl w:val="1"/>
          <w:numId w:val="3"/>
        </w:numPr>
        <w:spacing w:before="120"/>
        <w:ind w:left="720" w:hanging="720"/>
        <w:jc w:val="both"/>
        <w:rPr>
          <w:rFonts w:cs="Arial"/>
          <w:lang w:val="es-CO"/>
        </w:rPr>
      </w:pPr>
      <w:r w:rsidRPr="002027C8">
        <w:rPr>
          <w:rFonts w:cs="Arial"/>
          <w:lang w:val="es-CO"/>
        </w:rPr>
        <w:lastRenderedPageBreak/>
        <w:t xml:space="preserve">La ENEE realizó un análisis de alternativas de solución técnica para cada uno de los proyectos identificados como </w:t>
      </w:r>
      <w:r w:rsidR="008A20AE">
        <w:rPr>
          <w:rFonts w:cs="Arial"/>
          <w:lang w:val="es-CO"/>
        </w:rPr>
        <w:t xml:space="preserve">los </w:t>
      </w:r>
      <w:r w:rsidR="00D35093">
        <w:rPr>
          <w:rFonts w:cs="Arial"/>
          <w:lang w:val="es-CO"/>
        </w:rPr>
        <w:t xml:space="preserve">más </w:t>
      </w:r>
      <w:r w:rsidRPr="002027C8">
        <w:rPr>
          <w:rFonts w:cs="Arial"/>
          <w:lang w:val="es-CO"/>
        </w:rPr>
        <w:t xml:space="preserve">críticos para asegurar </w:t>
      </w:r>
      <w:r>
        <w:rPr>
          <w:rFonts w:cs="Arial"/>
          <w:lang w:val="es-CO"/>
        </w:rPr>
        <w:t xml:space="preserve">la calidad, seguridad y confiabilidad </w:t>
      </w:r>
      <w:r w:rsidRPr="002027C8">
        <w:rPr>
          <w:rFonts w:cs="Arial"/>
          <w:lang w:val="es-CO"/>
        </w:rPr>
        <w:t xml:space="preserve">el suministro </w:t>
      </w:r>
      <w:r>
        <w:rPr>
          <w:rFonts w:cs="Arial"/>
          <w:lang w:val="es-CO"/>
        </w:rPr>
        <w:t>eléctrico</w:t>
      </w:r>
      <w:r w:rsidRPr="002027C8">
        <w:rPr>
          <w:rFonts w:cs="Arial"/>
          <w:lang w:val="es-CO"/>
        </w:rPr>
        <w:t xml:space="preserve"> en las zonas de influencia</w:t>
      </w:r>
      <w:r>
        <w:rPr>
          <w:rFonts w:cs="Arial"/>
          <w:lang w:val="es-CO"/>
        </w:rPr>
        <w:t>, en el corto plazo</w:t>
      </w:r>
      <w:r w:rsidRPr="002027C8">
        <w:rPr>
          <w:rFonts w:cs="Arial"/>
          <w:lang w:val="es-CO"/>
        </w:rPr>
        <w:t xml:space="preserve">. </w:t>
      </w:r>
      <w:r>
        <w:rPr>
          <w:rFonts w:cs="Arial"/>
          <w:lang w:val="es-CO"/>
        </w:rPr>
        <w:t xml:space="preserve"> Se evaluó el costo y</w:t>
      </w:r>
      <w:r w:rsidR="00156DEB">
        <w:rPr>
          <w:rFonts w:cs="Arial"/>
          <w:lang w:val="es-CO"/>
        </w:rPr>
        <w:t xml:space="preserve"> la</w:t>
      </w:r>
      <w:r>
        <w:rPr>
          <w:rFonts w:cs="Arial"/>
          <w:lang w:val="es-CO"/>
        </w:rPr>
        <w:t xml:space="preserve"> rentabilidad de cada una, seleccionando la alternativa </w:t>
      </w:r>
      <w:r w:rsidR="00B76390">
        <w:rPr>
          <w:rFonts w:cs="Arial"/>
          <w:lang w:val="es-CO"/>
        </w:rPr>
        <w:t xml:space="preserve">de </w:t>
      </w:r>
      <w:r w:rsidR="008A20AE">
        <w:rPr>
          <w:rFonts w:cs="Arial"/>
          <w:lang w:val="es-CO"/>
        </w:rPr>
        <w:t xml:space="preserve">menor costo </w:t>
      </w:r>
      <w:r>
        <w:rPr>
          <w:rFonts w:cs="Arial"/>
          <w:lang w:val="es-CO"/>
        </w:rPr>
        <w:t xml:space="preserve">entre las que logran la solución técnica que se busca. </w:t>
      </w:r>
      <w:bookmarkEnd w:id="14"/>
      <w:r w:rsidRPr="002027C8">
        <w:rPr>
          <w:rFonts w:cs="Arial"/>
          <w:lang w:val="es-CO"/>
        </w:rPr>
        <w:t>E</w:t>
      </w:r>
      <w:r>
        <w:rPr>
          <w:rFonts w:cs="Arial"/>
          <w:lang w:val="es-CO"/>
        </w:rPr>
        <w:t>ste</w:t>
      </w:r>
      <w:r w:rsidRPr="002027C8">
        <w:rPr>
          <w:rFonts w:cs="Arial"/>
          <w:lang w:val="es-CO"/>
        </w:rPr>
        <w:t xml:space="preserve"> análisis</w:t>
      </w:r>
      <w:r>
        <w:rPr>
          <w:rFonts w:cs="Arial"/>
          <w:lang w:val="es-CO"/>
        </w:rPr>
        <w:t xml:space="preserve"> de mínimo costo</w:t>
      </w:r>
      <w:r w:rsidRPr="002027C8">
        <w:rPr>
          <w:rFonts w:cs="Arial"/>
          <w:lang w:val="es-CO"/>
        </w:rPr>
        <w:t xml:space="preserve"> se presenta en </w:t>
      </w:r>
      <w:r>
        <w:rPr>
          <w:rFonts w:cs="Arial"/>
          <w:lang w:val="es-CO"/>
        </w:rPr>
        <w:t xml:space="preserve">los perfiles técnicos de cada proyecto de la muestra, en </w:t>
      </w:r>
      <w:r w:rsidRPr="002027C8">
        <w:rPr>
          <w:rFonts w:cs="Arial"/>
          <w:lang w:val="es-CO"/>
        </w:rPr>
        <w:t xml:space="preserve">el Anexo </w:t>
      </w:r>
      <w:r>
        <w:rPr>
          <w:rFonts w:cs="Arial"/>
          <w:lang w:val="es-CO"/>
        </w:rPr>
        <w:t>A.</w:t>
      </w:r>
      <w:r w:rsidRPr="002027C8">
        <w:rPr>
          <w:rFonts w:cs="Arial"/>
          <w:lang w:val="es-CO"/>
        </w:rPr>
        <w:t xml:space="preserve"> </w:t>
      </w:r>
    </w:p>
    <w:p w14:paraId="6A99AC5B" w14:textId="77777777" w:rsidR="00D365FF" w:rsidRPr="002027C8" w:rsidRDefault="00D365FF" w:rsidP="00D365FF">
      <w:pPr>
        <w:pStyle w:val="ListParagraph"/>
        <w:numPr>
          <w:ilvl w:val="1"/>
          <w:numId w:val="3"/>
        </w:numPr>
        <w:spacing w:before="120"/>
        <w:ind w:left="720" w:hanging="720"/>
        <w:jc w:val="both"/>
        <w:rPr>
          <w:rFonts w:cs="Arial"/>
          <w:lang w:val="es-CO"/>
        </w:rPr>
      </w:pPr>
      <w:r w:rsidRPr="002027C8">
        <w:rPr>
          <w:rFonts w:cs="Arial"/>
          <w:lang w:val="es-CO"/>
        </w:rPr>
        <w:t xml:space="preserve">Como resultado de </w:t>
      </w:r>
      <w:r>
        <w:rPr>
          <w:rFonts w:cs="Arial"/>
          <w:lang w:val="es-CO"/>
        </w:rPr>
        <w:t>l</w:t>
      </w:r>
      <w:r w:rsidRPr="002027C8">
        <w:rPr>
          <w:rFonts w:cs="Arial"/>
          <w:lang w:val="es-CO"/>
        </w:rPr>
        <w:t>a evaluación de mínimo costo de las obras identificadas</w:t>
      </w:r>
      <w:r w:rsidR="008A20AE">
        <w:rPr>
          <w:rFonts w:cs="Arial"/>
          <w:lang w:val="es-CO"/>
        </w:rPr>
        <w:t xml:space="preserve"> realizada por la ENEE</w:t>
      </w:r>
      <w:r w:rsidRPr="002027C8">
        <w:rPr>
          <w:rFonts w:cs="Arial"/>
          <w:lang w:val="es-CO"/>
        </w:rPr>
        <w:t>, para cada proyecto se seleccionaron las alternativas que representan la mejor opción de rentabilidad financiera en cada caso</w:t>
      </w:r>
      <w:r>
        <w:rPr>
          <w:rFonts w:cs="Arial"/>
          <w:lang w:val="es-CO"/>
        </w:rPr>
        <w:t xml:space="preserve">. </w:t>
      </w:r>
      <w:bookmarkStart w:id="15" w:name="_Hlk512959971"/>
      <w:r>
        <w:rPr>
          <w:rFonts w:cs="Arial"/>
          <w:lang w:val="es-CO"/>
        </w:rPr>
        <w:t>A estas soluciones de mínimo costo seleccionadas</w:t>
      </w:r>
      <w:r w:rsidRPr="002027C8">
        <w:rPr>
          <w:rFonts w:cs="Arial"/>
          <w:lang w:val="es-CO"/>
        </w:rPr>
        <w:t xml:space="preserve"> se les realizó la evaluación económica para verificar su viabilidad</w:t>
      </w:r>
      <w:bookmarkEnd w:id="15"/>
      <w:r w:rsidRPr="002027C8">
        <w:rPr>
          <w:rFonts w:cs="Arial"/>
          <w:lang w:val="es-CO"/>
        </w:rPr>
        <w:t>. La muestra la constituyen los proyectos mencionados en ¶</w:t>
      </w:r>
      <w:r w:rsidRPr="002027C8">
        <w:rPr>
          <w:rFonts w:cs="Arial"/>
          <w:lang w:val="es-CO"/>
        </w:rPr>
        <w:fldChar w:fldCharType="begin"/>
      </w:r>
      <w:r w:rsidRPr="002027C8">
        <w:rPr>
          <w:rFonts w:cs="Arial"/>
          <w:lang w:val="es-CO"/>
        </w:rPr>
        <w:instrText xml:space="preserve"> REF _Ref494207669 \r \h  \* MERGEFORMAT </w:instrText>
      </w:r>
      <w:r w:rsidRPr="002027C8">
        <w:rPr>
          <w:rFonts w:cs="Arial"/>
          <w:lang w:val="es-CO"/>
        </w:rPr>
      </w:r>
      <w:r w:rsidRPr="002027C8">
        <w:rPr>
          <w:rFonts w:cs="Arial"/>
          <w:lang w:val="es-CO"/>
        </w:rPr>
        <w:fldChar w:fldCharType="separate"/>
      </w:r>
      <w:r w:rsidR="008A20AE">
        <w:rPr>
          <w:rFonts w:cs="Arial"/>
          <w:lang w:val="es-CO"/>
        </w:rPr>
        <w:t>1.10</w:t>
      </w:r>
      <w:r w:rsidRPr="002027C8">
        <w:rPr>
          <w:rFonts w:cs="Arial"/>
          <w:lang w:val="es-CO"/>
        </w:rPr>
        <w:fldChar w:fldCharType="end"/>
      </w:r>
      <w:r w:rsidRPr="002027C8">
        <w:rPr>
          <w:rFonts w:cs="Arial"/>
          <w:lang w:val="es-CO"/>
        </w:rPr>
        <w:t>, los cuales cuentan con diseños técnicos de ingeniería</w:t>
      </w:r>
      <w:r>
        <w:rPr>
          <w:rFonts w:cs="Arial"/>
          <w:lang w:val="es-CO"/>
        </w:rPr>
        <w:t xml:space="preserve"> y</w:t>
      </w:r>
      <w:r w:rsidRPr="002027C8">
        <w:rPr>
          <w:rFonts w:cs="Arial"/>
          <w:lang w:val="es-CO"/>
        </w:rPr>
        <w:t xml:space="preserve"> evaluaciones ambiental y social. El costo</w:t>
      </w:r>
      <w:r w:rsidR="008A20AE">
        <w:rPr>
          <w:rFonts w:cs="Arial"/>
          <w:lang w:val="es-CO"/>
        </w:rPr>
        <w:t xml:space="preserve"> estimado</w:t>
      </w:r>
      <w:r w:rsidRPr="002027C8">
        <w:rPr>
          <w:rFonts w:cs="Arial"/>
          <w:lang w:val="es-CO"/>
        </w:rPr>
        <w:t xml:space="preserve"> de inversión de la muestra es de </w:t>
      </w:r>
      <w:r w:rsidRPr="00E4032A">
        <w:rPr>
          <w:rFonts w:cs="Arial"/>
          <w:lang w:val="es-CO"/>
        </w:rPr>
        <w:t>aproximadamente 3</w:t>
      </w:r>
      <w:r>
        <w:rPr>
          <w:rFonts w:cs="Arial"/>
          <w:lang w:val="es-CO"/>
        </w:rPr>
        <w:t>1</w:t>
      </w:r>
      <w:r w:rsidRPr="00E4032A">
        <w:rPr>
          <w:rFonts w:cs="Arial"/>
          <w:lang w:val="es-CO"/>
        </w:rPr>
        <w:t>% del</w:t>
      </w:r>
      <w:r w:rsidRPr="002027C8">
        <w:rPr>
          <w:rFonts w:cs="Arial"/>
          <w:lang w:val="es-CO"/>
        </w:rPr>
        <w:t xml:space="preserve"> monto total del programa</w:t>
      </w:r>
      <w:r>
        <w:rPr>
          <w:rFonts w:cs="Arial"/>
          <w:lang w:val="es-CO"/>
        </w:rPr>
        <w:t xml:space="preserve"> y 33% del monto del componente de inversión</w:t>
      </w:r>
      <w:r w:rsidRPr="002027C8">
        <w:rPr>
          <w:rFonts w:cs="Arial"/>
          <w:lang w:val="es-CO"/>
        </w:rPr>
        <w:t xml:space="preserve">. </w:t>
      </w:r>
    </w:p>
    <w:p w14:paraId="24761B4B" w14:textId="77777777" w:rsidR="00D365FF" w:rsidRPr="00441478" w:rsidRDefault="00D365FF" w:rsidP="00D365FF">
      <w:pPr>
        <w:pStyle w:val="ListParagraph"/>
        <w:numPr>
          <w:ilvl w:val="1"/>
          <w:numId w:val="3"/>
        </w:numPr>
        <w:spacing w:before="120"/>
        <w:ind w:left="720" w:hanging="720"/>
        <w:jc w:val="both"/>
        <w:rPr>
          <w:rFonts w:cs="Arial"/>
          <w:lang w:val="es-CO"/>
        </w:rPr>
      </w:pPr>
      <w:r w:rsidRPr="00F91C3E">
        <w:rPr>
          <w:rFonts w:cs="Arial"/>
          <w:lang w:val="es-CO"/>
        </w:rPr>
        <w:t xml:space="preserve">Se evaluaron los costos y beneficios de los proyectos de la muestra, expresados inicialmente en precios de mercado </w:t>
      </w:r>
      <w:r>
        <w:rPr>
          <w:rFonts w:cs="Arial"/>
          <w:lang w:val="es-CO"/>
        </w:rPr>
        <w:t>para la evaluación financiera.  L</w:t>
      </w:r>
      <w:r w:rsidRPr="00F91C3E">
        <w:rPr>
          <w:rFonts w:cs="Arial"/>
          <w:lang w:val="es-CO"/>
        </w:rPr>
        <w:t>uego</w:t>
      </w:r>
      <w:r>
        <w:rPr>
          <w:rFonts w:cs="Arial"/>
          <w:lang w:val="es-CO"/>
        </w:rPr>
        <w:t xml:space="preserve"> se realizó el análisis para la evaluación económica con</w:t>
      </w:r>
      <w:r w:rsidRPr="00F91C3E">
        <w:rPr>
          <w:rFonts w:cs="Arial"/>
          <w:lang w:val="es-CO"/>
        </w:rPr>
        <w:t xml:space="preserve"> precios de eficiencia</w:t>
      </w:r>
      <w:r>
        <w:rPr>
          <w:rFonts w:cs="Arial"/>
          <w:lang w:val="es-CO"/>
        </w:rPr>
        <w:t>,</w:t>
      </w:r>
      <w:r w:rsidRPr="00F91C3E">
        <w:rPr>
          <w:rFonts w:cs="Arial"/>
          <w:lang w:val="es-CO"/>
        </w:rPr>
        <w:t xml:space="preserve"> utilizando </w:t>
      </w:r>
      <w:r>
        <w:rPr>
          <w:rFonts w:cs="Arial"/>
          <w:lang w:val="es-CO"/>
        </w:rPr>
        <w:t xml:space="preserve">las Razones de Precio de Cuenta (RPC) para Honduras, presentadas en el Anexo </w:t>
      </w:r>
      <w:r w:rsidR="00ED596E">
        <w:rPr>
          <w:rFonts w:cs="Arial"/>
          <w:lang w:val="es-CO"/>
        </w:rPr>
        <w:t>D</w:t>
      </w:r>
      <w:r>
        <w:rPr>
          <w:rFonts w:cs="Arial"/>
          <w:lang w:val="es-CO"/>
        </w:rPr>
        <w:t xml:space="preserve">. </w:t>
      </w:r>
      <w:r w:rsidRPr="00F91C3E">
        <w:rPr>
          <w:rFonts w:cs="Arial"/>
          <w:lang w:val="es-CO"/>
        </w:rPr>
        <w:t xml:space="preserve"> El análisis se llevó a cabo</w:t>
      </w:r>
      <w:r>
        <w:rPr>
          <w:rFonts w:cs="Arial"/>
          <w:lang w:val="es-CO"/>
        </w:rPr>
        <w:t xml:space="preserve"> con</w:t>
      </w:r>
      <w:r w:rsidRPr="00F91C3E">
        <w:rPr>
          <w:rFonts w:cs="Arial"/>
          <w:lang w:val="es-CO"/>
        </w:rPr>
        <w:t xml:space="preserve"> en el fin de determinar el atractivo finan</w:t>
      </w:r>
      <w:r>
        <w:rPr>
          <w:rFonts w:cs="Arial"/>
          <w:lang w:val="es-CO"/>
        </w:rPr>
        <w:t xml:space="preserve">ciero (a precios de mercado) y </w:t>
      </w:r>
      <w:r w:rsidRPr="00F91C3E">
        <w:rPr>
          <w:rFonts w:cs="Arial"/>
          <w:lang w:val="es-CO"/>
        </w:rPr>
        <w:t xml:space="preserve">el económico (a precios de eficiencia) de </w:t>
      </w:r>
      <w:r>
        <w:rPr>
          <w:rFonts w:cs="Arial"/>
          <w:lang w:val="es-CO"/>
        </w:rPr>
        <w:t>los proyectos</w:t>
      </w:r>
      <w:r w:rsidRPr="00F91C3E">
        <w:rPr>
          <w:rFonts w:cs="Arial"/>
          <w:lang w:val="es-CO"/>
        </w:rPr>
        <w:t>, mediante la comparación de los correspondientes costos y beneficios.</w:t>
      </w:r>
      <w:r w:rsidRPr="00DE36F3">
        <w:rPr>
          <w:lang w:val="es-US"/>
        </w:rPr>
        <w:t xml:space="preserve"> </w:t>
      </w:r>
      <w:r>
        <w:rPr>
          <w:rFonts w:cs="Arial"/>
          <w:lang w:val="es-CO"/>
        </w:rPr>
        <w:t>Los flujos netos de l</w:t>
      </w:r>
      <w:r w:rsidRPr="00DE36F3">
        <w:rPr>
          <w:rFonts w:cs="Arial"/>
          <w:lang w:val="es-CO"/>
        </w:rPr>
        <w:t xml:space="preserve">os costos y beneficios se </w:t>
      </w:r>
      <w:r w:rsidRPr="00441478">
        <w:rPr>
          <w:rFonts w:cs="Arial"/>
          <w:lang w:val="es-CO"/>
        </w:rPr>
        <w:t xml:space="preserve">utilizaron para calcular el valor presente neto financiero (VPN) y el económico (VPNE), utilizando una tasa de descuento de referencia del 12% y un horizonte de </w:t>
      </w:r>
      <w:r w:rsidR="00ED596E">
        <w:rPr>
          <w:rFonts w:cs="Arial"/>
          <w:lang w:val="es-CO"/>
        </w:rPr>
        <w:t>2</w:t>
      </w:r>
      <w:r w:rsidRPr="00441478">
        <w:rPr>
          <w:rFonts w:cs="Arial"/>
          <w:lang w:val="es-CO"/>
        </w:rPr>
        <w:t xml:space="preserve">0 años. </w:t>
      </w:r>
    </w:p>
    <w:p w14:paraId="6201C5DD" w14:textId="77777777" w:rsidR="00D365FF" w:rsidRDefault="00D365FF" w:rsidP="00D365FF">
      <w:pPr>
        <w:pStyle w:val="ListParagraph"/>
        <w:numPr>
          <w:ilvl w:val="1"/>
          <w:numId w:val="3"/>
        </w:numPr>
        <w:spacing w:before="120"/>
        <w:ind w:left="720" w:hanging="720"/>
        <w:jc w:val="both"/>
        <w:rPr>
          <w:rFonts w:cs="Arial"/>
          <w:lang w:val="es-CO"/>
        </w:rPr>
      </w:pPr>
      <w:r w:rsidRPr="00441478">
        <w:rPr>
          <w:rFonts w:cs="Arial"/>
          <w:lang w:val="es-CO"/>
        </w:rPr>
        <w:t>Para verificar la robustez de los resultados de las medidas</w:t>
      </w:r>
      <w:r w:rsidRPr="00F91C3E">
        <w:rPr>
          <w:rFonts w:cs="Arial"/>
          <w:lang w:val="es-CO"/>
        </w:rPr>
        <w:t xml:space="preserve"> bajo el programa, se h</w:t>
      </w:r>
      <w:r>
        <w:rPr>
          <w:rFonts w:cs="Arial"/>
          <w:lang w:val="es-CO"/>
        </w:rPr>
        <w:t>izo</w:t>
      </w:r>
      <w:r w:rsidRPr="00F91C3E">
        <w:rPr>
          <w:rFonts w:cs="Arial"/>
          <w:lang w:val="es-CO"/>
        </w:rPr>
        <w:t xml:space="preserve"> una valoración de </w:t>
      </w:r>
      <w:r>
        <w:rPr>
          <w:rFonts w:cs="Arial"/>
          <w:lang w:val="es-CO"/>
        </w:rPr>
        <w:t xml:space="preserve">sus </w:t>
      </w:r>
      <w:r w:rsidRPr="00F91C3E">
        <w:rPr>
          <w:rFonts w:cs="Arial"/>
          <w:lang w:val="es-CO"/>
        </w:rPr>
        <w:t>sensibilidades a los principales parámetros y metas alcanzables con su implementación.</w:t>
      </w:r>
    </w:p>
    <w:p w14:paraId="7910A345" w14:textId="6007734F" w:rsidR="00195E8F" w:rsidRDefault="00D365FF" w:rsidP="00195E8F">
      <w:pPr>
        <w:pStyle w:val="ListParagraph"/>
        <w:numPr>
          <w:ilvl w:val="1"/>
          <w:numId w:val="3"/>
        </w:numPr>
        <w:spacing w:before="120"/>
        <w:ind w:left="720" w:hanging="720"/>
        <w:jc w:val="both"/>
        <w:rPr>
          <w:rFonts w:cs="Arial"/>
          <w:lang w:val="es-CO"/>
        </w:rPr>
      </w:pPr>
      <w:r>
        <w:rPr>
          <w:rFonts w:cs="Arial"/>
          <w:lang w:val="es-CO"/>
        </w:rPr>
        <w:t xml:space="preserve">Supuestos adicionales, específicos al análisis económico, </w:t>
      </w:r>
      <w:r w:rsidR="00731F9A">
        <w:rPr>
          <w:rFonts w:cs="Arial"/>
          <w:lang w:val="es-CO"/>
        </w:rPr>
        <w:t xml:space="preserve">relacionados con la identificación de </w:t>
      </w:r>
      <w:r w:rsidR="0072682F">
        <w:rPr>
          <w:rFonts w:cs="Arial"/>
          <w:lang w:val="es-CO"/>
        </w:rPr>
        <w:t xml:space="preserve">costos y de los </w:t>
      </w:r>
      <w:r w:rsidR="00731F9A">
        <w:rPr>
          <w:rFonts w:cs="Arial"/>
          <w:lang w:val="es-CO"/>
        </w:rPr>
        <w:t>beneficios esperados</w:t>
      </w:r>
      <w:r w:rsidR="00023085">
        <w:rPr>
          <w:rFonts w:cs="Arial"/>
          <w:lang w:val="es-CO"/>
        </w:rPr>
        <w:t>,</w:t>
      </w:r>
      <w:r w:rsidR="00731F9A">
        <w:rPr>
          <w:rFonts w:cs="Arial"/>
          <w:lang w:val="es-CO"/>
        </w:rPr>
        <w:t xml:space="preserve"> </w:t>
      </w:r>
      <w:r>
        <w:rPr>
          <w:rFonts w:cs="Arial"/>
          <w:lang w:val="es-CO"/>
        </w:rPr>
        <w:t>se exponen en la</w:t>
      </w:r>
      <w:r w:rsidR="001A164B">
        <w:rPr>
          <w:rFonts w:cs="Arial"/>
          <w:lang w:val="es-CO"/>
        </w:rPr>
        <w:t xml:space="preserve"> </w:t>
      </w:r>
      <w:bookmarkStart w:id="16" w:name="_GoBack"/>
      <w:bookmarkEnd w:id="16"/>
      <w:r w:rsidR="009867B3">
        <w:rPr>
          <w:rFonts w:cs="Arial"/>
          <w:lang w:val="es-CO"/>
        </w:rPr>
        <w:t>Sección</w:t>
      </w:r>
      <w:r w:rsidR="001A164B">
        <w:rPr>
          <w:rFonts w:cs="Arial"/>
          <w:lang w:val="es-CO"/>
        </w:rPr>
        <w:t> </w:t>
      </w:r>
      <w:r w:rsidR="009867B3">
        <w:rPr>
          <w:rFonts w:cs="Arial"/>
          <w:lang w:val="es-CO"/>
        </w:rPr>
        <w:t>IV.</w:t>
      </w:r>
    </w:p>
    <w:p w14:paraId="0E54952A" w14:textId="77777777" w:rsidR="00A746C4" w:rsidRDefault="00195E8F">
      <w:pPr>
        <w:spacing w:after="200" w:line="276" w:lineRule="auto"/>
        <w:rPr>
          <w:rFonts w:cs="Arial"/>
          <w:lang w:val="es-CO"/>
        </w:rPr>
      </w:pPr>
      <w:r>
        <w:rPr>
          <w:rFonts w:cs="Arial"/>
          <w:lang w:val="es-CO"/>
        </w:rPr>
        <w:br w:type="page"/>
      </w:r>
    </w:p>
    <w:p w14:paraId="5DEB32EA" w14:textId="77777777" w:rsidR="00D365FF" w:rsidRPr="00D26DBA" w:rsidRDefault="00D365FF" w:rsidP="00D365FF">
      <w:pPr>
        <w:pStyle w:val="Heading1"/>
        <w:numPr>
          <w:ilvl w:val="0"/>
          <w:numId w:val="3"/>
        </w:numPr>
        <w:ind w:left="0" w:firstLine="0"/>
        <w:jc w:val="center"/>
        <w:rPr>
          <w:rFonts w:ascii="Arial" w:hAnsi="Arial" w:cs="Arial"/>
          <w:smallCaps/>
          <w:noProof/>
          <w:color w:val="000000" w:themeColor="text1"/>
          <w:sz w:val="22"/>
          <w:szCs w:val="22"/>
          <w:lang w:val="es-CO"/>
        </w:rPr>
      </w:pPr>
      <w:bookmarkStart w:id="17" w:name="_Toc513626355"/>
      <w:r w:rsidRPr="00D26DBA">
        <w:rPr>
          <w:rFonts w:ascii="Arial" w:hAnsi="Arial" w:cs="Arial"/>
          <w:smallCaps/>
          <w:noProof/>
          <w:color w:val="000000" w:themeColor="text1"/>
          <w:sz w:val="22"/>
          <w:szCs w:val="22"/>
          <w:lang w:val="es-CO"/>
        </w:rPr>
        <w:lastRenderedPageBreak/>
        <w:t>Selección de la muestra</w:t>
      </w:r>
      <w:bookmarkEnd w:id="17"/>
      <w:r w:rsidRPr="00D26DBA">
        <w:rPr>
          <w:rFonts w:ascii="Arial" w:hAnsi="Arial" w:cs="Arial"/>
          <w:smallCaps/>
          <w:noProof/>
          <w:color w:val="000000" w:themeColor="text1"/>
          <w:sz w:val="22"/>
          <w:szCs w:val="22"/>
          <w:lang w:val="es-CO"/>
        </w:rPr>
        <w:t xml:space="preserve"> </w:t>
      </w:r>
    </w:p>
    <w:p w14:paraId="230D1FDD" w14:textId="77777777" w:rsidR="00D365FF" w:rsidRPr="00A05164" w:rsidRDefault="00D365FF" w:rsidP="00D365FF">
      <w:pPr>
        <w:pStyle w:val="ListParagraph"/>
        <w:numPr>
          <w:ilvl w:val="1"/>
          <w:numId w:val="3"/>
        </w:numPr>
        <w:spacing w:before="120"/>
        <w:ind w:left="720" w:hanging="720"/>
        <w:jc w:val="both"/>
        <w:rPr>
          <w:rFonts w:cs="Arial"/>
          <w:lang w:val="es-CO"/>
        </w:rPr>
      </w:pPr>
      <w:r w:rsidRPr="00A05164">
        <w:rPr>
          <w:rFonts w:cs="Arial"/>
          <w:lang w:val="es-CO"/>
        </w:rPr>
        <w:t>El Anexo A presenta el Perfil Técnico de los</w:t>
      </w:r>
      <w:r>
        <w:rPr>
          <w:rFonts w:cs="Arial"/>
          <w:lang w:val="es-CO"/>
        </w:rPr>
        <w:t xml:space="preserve"> dos</w:t>
      </w:r>
      <w:r w:rsidRPr="00A05164">
        <w:rPr>
          <w:rFonts w:cs="Arial"/>
          <w:lang w:val="es-CO"/>
        </w:rPr>
        <w:t xml:space="preserve"> proyectos seleccionados para conformar la muestra del tipo de inversiones que se realizarán bajo el programa, cuya descripción se resume a continuación:</w:t>
      </w:r>
    </w:p>
    <w:p w14:paraId="498C277E" w14:textId="77777777" w:rsidR="00612146" w:rsidRPr="00612146" w:rsidRDefault="00D365FF" w:rsidP="00D365FF">
      <w:pPr>
        <w:numPr>
          <w:ilvl w:val="1"/>
          <w:numId w:val="3"/>
        </w:numPr>
        <w:spacing w:before="240"/>
        <w:ind w:left="720" w:hanging="720"/>
        <w:jc w:val="both"/>
        <w:rPr>
          <w:rFonts w:cs="Arial"/>
          <w:lang w:val="es-CO"/>
        </w:rPr>
      </w:pPr>
      <w:r>
        <w:rPr>
          <w:rFonts w:cs="Arial"/>
          <w:b/>
          <w:lang w:val="es-CO"/>
        </w:rPr>
        <w:t xml:space="preserve">Proyecto 1: </w:t>
      </w:r>
      <w:r w:rsidRPr="00D26DBA">
        <w:rPr>
          <w:rFonts w:cs="Arial"/>
          <w:b/>
          <w:lang w:val="es-CO"/>
        </w:rPr>
        <w:t>Conversión LT SB</w:t>
      </w:r>
      <w:r>
        <w:rPr>
          <w:rFonts w:cs="Arial"/>
          <w:b/>
          <w:lang w:val="es-CO"/>
        </w:rPr>
        <w:t>V</w:t>
      </w:r>
      <w:r w:rsidRPr="00D26DBA">
        <w:rPr>
          <w:rFonts w:cs="Arial"/>
          <w:b/>
          <w:lang w:val="es-CO"/>
        </w:rPr>
        <w:t xml:space="preserve">-SPSS de 138kV a 230kV (48km). Ampliación SE </w:t>
      </w:r>
      <w:r w:rsidRPr="00D26DBA">
        <w:rPr>
          <w:rFonts w:eastAsia="Times New Roman" w:cs="Arial"/>
          <w:b/>
          <w:lang w:val="es-CO"/>
        </w:rPr>
        <w:t>San</w:t>
      </w:r>
      <w:r w:rsidRPr="00D26DBA">
        <w:rPr>
          <w:rFonts w:cs="Arial"/>
          <w:b/>
          <w:lang w:val="es-CO"/>
        </w:rPr>
        <w:t xml:space="preserve"> Pedro de Sula Sur (SPSS) 230/138kV con 150MVA y SE San </w:t>
      </w:r>
      <w:r w:rsidRPr="00D26DBA">
        <w:rPr>
          <w:rFonts w:eastAsia="Times New Roman" w:cs="Arial"/>
          <w:b/>
          <w:lang w:val="es-CO"/>
        </w:rPr>
        <w:t>Buenaventura</w:t>
      </w:r>
      <w:r w:rsidRPr="00D26DBA">
        <w:rPr>
          <w:rFonts w:cs="Arial"/>
          <w:b/>
          <w:lang w:val="es-CO"/>
        </w:rPr>
        <w:t xml:space="preserve"> (SB</w:t>
      </w:r>
      <w:r>
        <w:rPr>
          <w:rFonts w:cs="Arial"/>
          <w:b/>
          <w:lang w:val="es-CO"/>
        </w:rPr>
        <w:t>V</w:t>
      </w:r>
      <w:r w:rsidRPr="00D26DBA">
        <w:rPr>
          <w:rFonts w:cs="Arial"/>
          <w:b/>
          <w:lang w:val="es-CO"/>
        </w:rPr>
        <w:t xml:space="preserve">) 230kV. </w:t>
      </w:r>
    </w:p>
    <w:p w14:paraId="20D3EE2F" w14:textId="77777777" w:rsidR="00612146" w:rsidRPr="00612146" w:rsidRDefault="00612146" w:rsidP="00612146">
      <w:pPr>
        <w:numPr>
          <w:ilvl w:val="1"/>
          <w:numId w:val="3"/>
        </w:numPr>
        <w:spacing w:before="120"/>
        <w:ind w:left="720" w:hanging="720"/>
        <w:jc w:val="both"/>
        <w:rPr>
          <w:rFonts w:cs="Arial"/>
          <w:lang w:val="es-CO"/>
        </w:rPr>
      </w:pPr>
      <w:r w:rsidRPr="00612146">
        <w:rPr>
          <w:rFonts w:cs="Arial"/>
          <w:lang w:val="es-CO"/>
        </w:rPr>
        <w:t xml:space="preserve">Los objetivos específicos de este proyecto son: </w:t>
      </w:r>
      <w:r w:rsidRPr="00612146">
        <w:rPr>
          <w:lang w:val="es-US"/>
        </w:rPr>
        <w:t xml:space="preserve"> </w:t>
      </w:r>
      <w:r w:rsidRPr="00612146">
        <w:rPr>
          <w:rFonts w:cs="Arial"/>
          <w:lang w:val="es-CO"/>
        </w:rPr>
        <w:t>Ampliar la capacidad de transmisión de la zona norte del país; aprovechar la capacidad de producción de potencia y energía de las centrales y proyectos de generación solar-fotovoltaicos localizados en la zona sur del país; mejorar la calidad, seguridad, y confiabilidad del servicio de suministro de energía eléctrica; y satisfacer apropiadamente la demanda incremental nacional.</w:t>
      </w:r>
    </w:p>
    <w:p w14:paraId="7D6539A4" w14:textId="77777777" w:rsidR="00D365FF" w:rsidRPr="00D26DBA" w:rsidRDefault="00D365FF" w:rsidP="00D365FF">
      <w:pPr>
        <w:numPr>
          <w:ilvl w:val="1"/>
          <w:numId w:val="3"/>
        </w:numPr>
        <w:spacing w:before="240"/>
        <w:ind w:left="720" w:hanging="720"/>
        <w:jc w:val="both"/>
        <w:rPr>
          <w:rFonts w:cs="Arial"/>
          <w:lang w:val="es-CO"/>
        </w:rPr>
      </w:pPr>
      <w:r w:rsidRPr="00D26DBA">
        <w:rPr>
          <w:rFonts w:cs="Arial"/>
          <w:lang w:val="es-CO"/>
        </w:rPr>
        <w:t>El proyecto consiste en:</w:t>
      </w:r>
    </w:p>
    <w:p w14:paraId="2F614E1A" w14:textId="77777777" w:rsidR="00D365FF" w:rsidRPr="00D26DBA" w:rsidRDefault="00D365FF" w:rsidP="00D365FF">
      <w:pPr>
        <w:numPr>
          <w:ilvl w:val="0"/>
          <w:numId w:val="6"/>
        </w:numPr>
        <w:tabs>
          <w:tab w:val="left" w:pos="1260"/>
        </w:tabs>
        <w:spacing w:before="120"/>
        <w:ind w:left="1260" w:hanging="540"/>
        <w:jc w:val="both"/>
        <w:rPr>
          <w:rFonts w:cs="Arial"/>
          <w:lang w:val="es-CO"/>
        </w:rPr>
      </w:pPr>
      <w:r w:rsidRPr="00D26DBA">
        <w:rPr>
          <w:rFonts w:cs="Arial"/>
          <w:lang w:val="es-CO"/>
        </w:rPr>
        <w:t>Construcción LT en 230 kV San Pedro Sula Sur-San Buenaventura (LT SPSS-SBA) y obras asociadas. Involucra construcción de aproximadamente 52 km de LT, la cual consistirá en suministro e instalación de 48 km de línea en arreglo de doble terna con doble conductor 477MCM/fase en torres de tipo celosía y 4 km en postes de concreto auto soportados en configuración de terna sencilla, hilo de guarda tipo OPGW con 36 hilos de fibra óptica, estructuras tipo vertical con aisladores rígidos con hule siliconado</w:t>
      </w:r>
    </w:p>
    <w:p w14:paraId="42FE094C" w14:textId="77777777" w:rsidR="00D365FF" w:rsidRPr="00D26DBA" w:rsidRDefault="00D365FF" w:rsidP="00D365FF">
      <w:pPr>
        <w:numPr>
          <w:ilvl w:val="0"/>
          <w:numId w:val="6"/>
        </w:numPr>
        <w:tabs>
          <w:tab w:val="left" w:pos="1260"/>
        </w:tabs>
        <w:spacing w:before="120"/>
        <w:ind w:left="1260" w:hanging="540"/>
        <w:jc w:val="both"/>
        <w:rPr>
          <w:rFonts w:cs="Arial"/>
          <w:lang w:val="es-CO"/>
        </w:rPr>
      </w:pPr>
      <w:r w:rsidRPr="00D26DBA">
        <w:rPr>
          <w:rFonts w:cs="Arial"/>
          <w:lang w:val="es-CO"/>
        </w:rPr>
        <w:t>Ampliación de las bahías de la SE San Pedro Sula Sur en 138 kV y 230 kV para (a) la recepción de la futura LT SPSS-SBV y (b) la instalación de dos transformadores de potencia con capacidad nominal de 150/120/90 MVA, en 230/138 kV cada uno, con salida hacia San Buenaventura.</w:t>
      </w:r>
    </w:p>
    <w:p w14:paraId="26B777E3" w14:textId="77777777" w:rsidR="00D365FF" w:rsidRPr="00D26DBA" w:rsidRDefault="00D365FF" w:rsidP="00D365FF">
      <w:pPr>
        <w:numPr>
          <w:ilvl w:val="0"/>
          <w:numId w:val="6"/>
        </w:numPr>
        <w:tabs>
          <w:tab w:val="left" w:pos="1260"/>
        </w:tabs>
        <w:spacing w:before="120"/>
        <w:ind w:left="1260" w:hanging="540"/>
        <w:jc w:val="both"/>
        <w:rPr>
          <w:rFonts w:cs="Arial"/>
          <w:lang w:val="es-CO"/>
        </w:rPr>
      </w:pPr>
      <w:r w:rsidRPr="00D26DBA">
        <w:rPr>
          <w:rFonts w:cs="Arial"/>
          <w:lang w:val="es-CO"/>
        </w:rPr>
        <w:t>Ampliación de la SE San Buenaventura construyendo una nueva bahía en 138kV para un alimentador arreglo de interruptor y medio para una salida de línea hacia la SE San Pedro Sula Sur, para recepción de la nueva LT SPSS-SBV.</w:t>
      </w:r>
    </w:p>
    <w:p w14:paraId="677EF9AF" w14:textId="77777777" w:rsidR="00D365FF" w:rsidRPr="00D26DBA" w:rsidRDefault="00D365FF" w:rsidP="00D365FF">
      <w:pPr>
        <w:numPr>
          <w:ilvl w:val="1"/>
          <w:numId w:val="3"/>
        </w:numPr>
        <w:spacing w:before="120"/>
        <w:ind w:left="720" w:hanging="720"/>
        <w:jc w:val="both"/>
        <w:rPr>
          <w:rFonts w:cs="Arial"/>
          <w:lang w:val="es-CO"/>
        </w:rPr>
      </w:pPr>
      <w:r w:rsidRPr="00D26DBA">
        <w:rPr>
          <w:rFonts w:cs="Arial"/>
          <w:lang w:val="es-CO"/>
        </w:rPr>
        <w:t xml:space="preserve">Ambos circuitos de transmisión de 138 kV y 230 kV se tenderán sobre una misma infraestructura, aprovechando la servidumbre existente de la </w:t>
      </w:r>
      <w:r>
        <w:rPr>
          <w:rFonts w:cs="Arial"/>
          <w:lang w:val="es-CO"/>
        </w:rPr>
        <w:t>LT</w:t>
      </w:r>
      <w:r w:rsidRPr="00D26DBA">
        <w:rPr>
          <w:rFonts w:cs="Arial"/>
          <w:lang w:val="es-CO"/>
        </w:rPr>
        <w:t xml:space="preserve"> “Rio Lindo-San Pedro Sula Sur”.</w:t>
      </w:r>
    </w:p>
    <w:p w14:paraId="0D3D8D96" w14:textId="77777777" w:rsidR="00D365FF" w:rsidRPr="00D26DBA" w:rsidRDefault="00D365FF" w:rsidP="00D365FF">
      <w:pPr>
        <w:numPr>
          <w:ilvl w:val="1"/>
          <w:numId w:val="3"/>
        </w:numPr>
        <w:spacing w:before="120"/>
        <w:ind w:left="720" w:hanging="720"/>
        <w:jc w:val="both"/>
        <w:rPr>
          <w:rFonts w:cs="Arial"/>
          <w:lang w:val="es-CO"/>
        </w:rPr>
      </w:pPr>
      <w:r w:rsidRPr="00D26DBA">
        <w:rPr>
          <w:rFonts w:cs="Arial"/>
          <w:lang w:val="es-CO"/>
        </w:rPr>
        <w:t>El proyecto favorecerá a las centrales de generación solar fotovoltaicas que se localizan en la zona sur del país, dado que ampliará la capacidad de transmisión de la región norte, lo que permitirá la transmisión de flujos de potencia y energía asociada proveniente de las centrales y futuros proyectos fotovoltaicos hacia la zona norte del pa</w:t>
      </w:r>
      <w:r w:rsidR="00F17608">
        <w:rPr>
          <w:rFonts w:cs="Arial"/>
          <w:lang w:val="es-CO"/>
        </w:rPr>
        <w:t xml:space="preserve">ís. El proyecto </w:t>
      </w:r>
      <w:r w:rsidRPr="00D26DBA">
        <w:rPr>
          <w:rFonts w:cs="Arial"/>
          <w:lang w:val="es-CO"/>
        </w:rPr>
        <w:t xml:space="preserve">ayudará a aliviar las cargas en los transformadores de la </w:t>
      </w:r>
      <w:r w:rsidR="00F17608">
        <w:rPr>
          <w:rFonts w:cs="Arial"/>
          <w:lang w:val="es-CO"/>
        </w:rPr>
        <w:t>SE</w:t>
      </w:r>
      <w:r w:rsidRPr="00D26DBA">
        <w:rPr>
          <w:rFonts w:cs="Arial"/>
          <w:lang w:val="es-CO"/>
        </w:rPr>
        <w:t xml:space="preserve"> Progreso</w:t>
      </w:r>
      <w:r w:rsidR="00F17608">
        <w:rPr>
          <w:rFonts w:cs="Arial"/>
          <w:lang w:val="es-CO"/>
        </w:rPr>
        <w:t>,</w:t>
      </w:r>
      <w:r w:rsidRPr="00D26DBA">
        <w:rPr>
          <w:rFonts w:cs="Arial"/>
          <w:lang w:val="es-CO"/>
        </w:rPr>
        <w:t xml:space="preserve"> lo que redundará en una mayor confiabilidad y seguridad del servicio de suministro de energía eléctrica en el país.</w:t>
      </w:r>
    </w:p>
    <w:p w14:paraId="0D6D7342" w14:textId="77777777" w:rsidR="00D365FF" w:rsidRPr="00006262" w:rsidRDefault="00D365FF" w:rsidP="00D365FF">
      <w:pPr>
        <w:numPr>
          <w:ilvl w:val="1"/>
          <w:numId w:val="3"/>
        </w:numPr>
        <w:spacing w:before="120"/>
        <w:ind w:left="720" w:hanging="720"/>
        <w:jc w:val="both"/>
        <w:rPr>
          <w:rFonts w:cs="Arial"/>
          <w:b/>
          <w:lang w:val="es-CO"/>
        </w:rPr>
      </w:pPr>
      <w:r w:rsidRPr="00D26DBA">
        <w:rPr>
          <w:rFonts w:cs="Arial"/>
          <w:lang w:val="es-CO"/>
        </w:rPr>
        <w:t>La realización de las obras será en el Departamento de Cortés, Municipio de San Pedro Sula, en donde se ubica actualmente la SE San Buenaventura.</w:t>
      </w:r>
    </w:p>
    <w:p w14:paraId="3AEB748F" w14:textId="77777777" w:rsidR="00006262" w:rsidRPr="00D26DBA" w:rsidRDefault="00006262" w:rsidP="00006262">
      <w:pPr>
        <w:spacing w:before="120"/>
        <w:ind w:left="720"/>
        <w:jc w:val="both"/>
        <w:rPr>
          <w:rFonts w:cs="Arial"/>
          <w:b/>
          <w:lang w:val="es-CO"/>
        </w:rPr>
      </w:pPr>
    </w:p>
    <w:p w14:paraId="75E353A9" w14:textId="77777777" w:rsidR="00D365FF" w:rsidRPr="00D26DBA" w:rsidRDefault="00D365FF" w:rsidP="00D365FF">
      <w:pPr>
        <w:numPr>
          <w:ilvl w:val="1"/>
          <w:numId w:val="3"/>
        </w:numPr>
        <w:spacing w:before="120"/>
        <w:ind w:left="720" w:hanging="720"/>
        <w:jc w:val="both"/>
        <w:rPr>
          <w:rFonts w:eastAsia="Calibri" w:cs="Arial"/>
          <w:lang w:val="es-CO"/>
        </w:rPr>
      </w:pPr>
      <w:r>
        <w:rPr>
          <w:rFonts w:eastAsia="Calibri" w:cs="Arial"/>
          <w:b/>
          <w:lang w:val="es-CO"/>
        </w:rPr>
        <w:lastRenderedPageBreak/>
        <w:t xml:space="preserve">Proyecto 2: </w:t>
      </w:r>
      <w:r w:rsidRPr="00D26DBA">
        <w:rPr>
          <w:rFonts w:eastAsia="Calibri" w:cs="Arial"/>
          <w:b/>
          <w:lang w:val="es-CO"/>
        </w:rPr>
        <w:t>Ampliación</w:t>
      </w:r>
      <w:r w:rsidRPr="00D26DBA">
        <w:rPr>
          <w:rFonts w:cs="Arial"/>
          <w:b/>
          <w:lang w:val="es-CO"/>
        </w:rPr>
        <w:t xml:space="preserve"> SE Laínez y Miraflores con 50MVA. Construcción LT de Laínez a Miraflores en 138kV (5km). </w:t>
      </w:r>
      <w:r w:rsidRPr="00D26DBA">
        <w:rPr>
          <w:rFonts w:eastAsia="Calibri" w:cs="Arial"/>
          <w:lang w:val="es-CO"/>
        </w:rPr>
        <w:t>El proyecto consiste en</w:t>
      </w:r>
      <w:r w:rsidRPr="00D26DBA">
        <w:rPr>
          <w:lang w:val="es-CO"/>
        </w:rPr>
        <w:t>:</w:t>
      </w:r>
    </w:p>
    <w:p w14:paraId="2D0D5FB3" w14:textId="77777777" w:rsidR="00D365FF" w:rsidRPr="00D26DBA" w:rsidRDefault="00D365FF" w:rsidP="00D365FF">
      <w:pPr>
        <w:numPr>
          <w:ilvl w:val="0"/>
          <w:numId w:val="7"/>
        </w:numPr>
        <w:spacing w:before="120"/>
        <w:jc w:val="both"/>
        <w:rPr>
          <w:rFonts w:eastAsia="Calibri" w:cs="Arial"/>
          <w:lang w:val="es-CO"/>
        </w:rPr>
      </w:pPr>
      <w:r w:rsidRPr="00D26DBA">
        <w:rPr>
          <w:rFonts w:cs="Arial"/>
          <w:lang w:val="es-CO"/>
        </w:rPr>
        <w:t>Conver</w:t>
      </w:r>
      <w:r>
        <w:rPr>
          <w:rFonts w:cs="Arial"/>
          <w:lang w:val="es-CO"/>
        </w:rPr>
        <w:t>sión d</w:t>
      </w:r>
      <w:r w:rsidRPr="00D26DBA">
        <w:rPr>
          <w:rFonts w:eastAsia="Calibri" w:cs="Arial"/>
          <w:lang w:val="es-CO"/>
        </w:rPr>
        <w:t>el nivel de tensión de la SE Laínez de 69 kV a 138 kV, sustituir los dos transformadores existentes de 25 MVA cada uno por dos de 50 MVA cada uno.</w:t>
      </w:r>
    </w:p>
    <w:p w14:paraId="751D1FAE" w14:textId="77777777" w:rsidR="00D365FF" w:rsidRPr="00D26DBA" w:rsidRDefault="00D365FF" w:rsidP="00D365FF">
      <w:pPr>
        <w:numPr>
          <w:ilvl w:val="0"/>
          <w:numId w:val="7"/>
        </w:numPr>
        <w:spacing w:before="120"/>
        <w:jc w:val="both"/>
        <w:rPr>
          <w:rFonts w:eastAsia="Calibri" w:cs="Arial"/>
          <w:lang w:val="es-CO"/>
        </w:rPr>
      </w:pPr>
      <w:r w:rsidRPr="00D26DBA">
        <w:rPr>
          <w:rFonts w:eastAsia="Calibri" w:cs="Arial"/>
          <w:lang w:val="es-CO"/>
        </w:rPr>
        <w:t xml:space="preserve">Construcción de una LT de 5 km en 138 kV, terna sencilla, cable 477 MCM, entre las SE de Miraflores y Laínez. </w:t>
      </w:r>
    </w:p>
    <w:p w14:paraId="79554540" w14:textId="77777777" w:rsidR="00D365FF" w:rsidRPr="00D26DBA" w:rsidRDefault="00D365FF" w:rsidP="00D365FF">
      <w:pPr>
        <w:numPr>
          <w:ilvl w:val="0"/>
          <w:numId w:val="7"/>
        </w:numPr>
        <w:spacing w:before="120"/>
        <w:jc w:val="both"/>
        <w:rPr>
          <w:rFonts w:eastAsia="Calibri" w:cs="Arial"/>
          <w:lang w:val="es-CO"/>
        </w:rPr>
      </w:pPr>
      <w:r w:rsidRPr="00D26DBA">
        <w:rPr>
          <w:rFonts w:eastAsia="Calibri" w:cs="Arial"/>
          <w:lang w:val="es-CO"/>
        </w:rPr>
        <w:t>Ampliación del lado de alta tensión 138 kV de la SE Miraflores en arreglo de anillo.</w:t>
      </w:r>
    </w:p>
    <w:p w14:paraId="574EAFF2" w14:textId="77777777" w:rsidR="00D365FF" w:rsidRDefault="00D365FF" w:rsidP="00D365FF">
      <w:pPr>
        <w:numPr>
          <w:ilvl w:val="1"/>
          <w:numId w:val="3"/>
        </w:numPr>
        <w:spacing w:before="120"/>
        <w:ind w:left="720" w:hanging="720"/>
        <w:jc w:val="both"/>
        <w:rPr>
          <w:rFonts w:eastAsia="Calibri" w:cs="Arial"/>
          <w:lang w:val="es-CO"/>
        </w:rPr>
      </w:pPr>
      <w:r w:rsidRPr="00D26DBA">
        <w:rPr>
          <w:rFonts w:eastAsia="Calibri" w:cs="Arial"/>
          <w:lang w:val="es-CO"/>
        </w:rPr>
        <w:t>El proyecto favorecerá a las centrales de generación solar fotovoltaicas que se localizan en la zona sur del país, dado que ampliará la capacidad</w:t>
      </w:r>
      <w:r>
        <w:rPr>
          <w:rFonts w:eastAsia="Calibri" w:cs="Arial"/>
          <w:lang w:val="es-CO"/>
        </w:rPr>
        <w:t>,</w:t>
      </w:r>
      <w:r w:rsidRPr="00D26DBA">
        <w:rPr>
          <w:rFonts w:eastAsia="Calibri" w:cs="Arial"/>
          <w:lang w:val="es-CO"/>
        </w:rPr>
        <w:t xml:space="preserve"> tanto de transformación como de transmisión</w:t>
      </w:r>
      <w:r>
        <w:rPr>
          <w:rFonts w:eastAsia="Calibri" w:cs="Arial"/>
          <w:lang w:val="es-CO"/>
        </w:rPr>
        <w:t>,</w:t>
      </w:r>
      <w:r w:rsidRPr="00D26DBA">
        <w:rPr>
          <w:rFonts w:eastAsia="Calibri" w:cs="Arial"/>
          <w:lang w:val="es-CO"/>
        </w:rPr>
        <w:t xml:space="preserve"> de la zona centro, permitiendo el aprovechamiento de flujos de potencia y energía asociada proveniente de dichas centrales fotovoltaicas. Con la implementación del proyecto se espera evitar futuros problemas de transformación de energía y prestar un servicio eficiente y continuo. La zona centro del país podrá continuar diversificando sus actividades económicas, lo que redundará en nuevas fuentes de empleo, mejores ingresos, incremento de los niveles de alfabetización y por ende mejoramiento de la calidad de la mano de obra, entre otros</w:t>
      </w:r>
      <w:r>
        <w:rPr>
          <w:rFonts w:eastAsia="Calibri" w:cs="Arial"/>
          <w:lang w:val="es-CO"/>
        </w:rPr>
        <w:t>.</w:t>
      </w:r>
    </w:p>
    <w:p w14:paraId="00C0AEF6" w14:textId="77777777" w:rsidR="00D365FF" w:rsidRPr="00D26DBA" w:rsidRDefault="00D365FF" w:rsidP="00D365FF">
      <w:pPr>
        <w:numPr>
          <w:ilvl w:val="1"/>
          <w:numId w:val="3"/>
        </w:numPr>
        <w:spacing w:before="120"/>
        <w:ind w:left="720" w:hanging="720"/>
        <w:jc w:val="both"/>
        <w:rPr>
          <w:rFonts w:eastAsia="Calibri" w:cs="Arial"/>
          <w:lang w:val="es-CO"/>
        </w:rPr>
      </w:pPr>
      <w:r w:rsidRPr="00D26DBA">
        <w:rPr>
          <w:rFonts w:eastAsia="Calibri" w:cs="Arial"/>
          <w:lang w:val="es-CO"/>
        </w:rPr>
        <w:t>La realización de las obras será en el Departamento de Francisco Morazán, Municipio del Distrito Central.</w:t>
      </w:r>
    </w:p>
    <w:p w14:paraId="7B04B0E3" w14:textId="77777777" w:rsidR="00D365FF" w:rsidRPr="00F91C3E" w:rsidRDefault="00D365FF" w:rsidP="00D365FF">
      <w:pPr>
        <w:pStyle w:val="Heading1"/>
        <w:numPr>
          <w:ilvl w:val="0"/>
          <w:numId w:val="3"/>
        </w:numPr>
        <w:ind w:left="0" w:firstLine="0"/>
        <w:jc w:val="center"/>
        <w:rPr>
          <w:rFonts w:ascii="Arial" w:hAnsi="Arial" w:cs="Arial"/>
          <w:smallCaps/>
          <w:noProof/>
          <w:color w:val="000000" w:themeColor="text1"/>
          <w:sz w:val="22"/>
          <w:szCs w:val="22"/>
          <w:lang w:val="es-CO"/>
        </w:rPr>
      </w:pPr>
      <w:bookmarkStart w:id="18" w:name="_Toc513626356"/>
      <w:r w:rsidRPr="00F91C3E">
        <w:rPr>
          <w:rFonts w:ascii="Arial" w:hAnsi="Arial" w:cs="Arial"/>
          <w:smallCaps/>
          <w:noProof/>
          <w:color w:val="000000" w:themeColor="text1"/>
          <w:sz w:val="22"/>
          <w:szCs w:val="22"/>
          <w:lang w:val="es-CO"/>
        </w:rPr>
        <w:t>Estimación de Costos y Beneficios</w:t>
      </w:r>
      <w:bookmarkEnd w:id="18"/>
    </w:p>
    <w:p w14:paraId="7E02E408" w14:textId="77777777" w:rsidR="00D365FF" w:rsidRPr="00F91C3E" w:rsidRDefault="00D365FF" w:rsidP="00D365FF">
      <w:pPr>
        <w:pStyle w:val="ListParagraph"/>
        <w:numPr>
          <w:ilvl w:val="1"/>
          <w:numId w:val="3"/>
        </w:numPr>
        <w:spacing w:before="120"/>
        <w:ind w:left="720" w:hanging="720"/>
        <w:jc w:val="both"/>
        <w:rPr>
          <w:rFonts w:cs="Arial"/>
          <w:lang w:val="es-CO"/>
        </w:rPr>
      </w:pPr>
      <w:r w:rsidRPr="00F91C3E">
        <w:rPr>
          <w:rFonts w:eastAsia="Calibri" w:cs="Arial"/>
          <w:lang w:val="es-CO"/>
        </w:rPr>
        <w:t>Se consideraron los siguientes conceptos de costos y beneficios asociados a cada proyecto de la muestra:</w:t>
      </w:r>
    </w:p>
    <w:p w14:paraId="4FF2FE1E" w14:textId="77777777" w:rsidR="00D365FF" w:rsidRPr="00F91C3E" w:rsidRDefault="00D365FF" w:rsidP="005C2329">
      <w:pPr>
        <w:pStyle w:val="Heading2"/>
        <w:numPr>
          <w:ilvl w:val="1"/>
          <w:numId w:val="11"/>
        </w:numPr>
      </w:pPr>
      <w:bookmarkStart w:id="19" w:name="_Toc513626357"/>
      <w:r w:rsidRPr="00F91C3E">
        <w:t>Costos</w:t>
      </w:r>
      <w:bookmarkEnd w:id="19"/>
    </w:p>
    <w:p w14:paraId="380B9E70" w14:textId="77777777" w:rsidR="00D365FF" w:rsidRDefault="00D365FF" w:rsidP="00002C72">
      <w:pPr>
        <w:pStyle w:val="ListParagraph"/>
        <w:numPr>
          <w:ilvl w:val="1"/>
          <w:numId w:val="3"/>
        </w:numPr>
        <w:spacing w:before="120"/>
        <w:ind w:left="720" w:hanging="720"/>
        <w:jc w:val="both"/>
        <w:rPr>
          <w:rFonts w:eastAsia="Calibri" w:cs="Arial"/>
          <w:lang w:val="es-CO"/>
        </w:rPr>
      </w:pPr>
      <w:r w:rsidRPr="00A05164">
        <w:rPr>
          <w:rFonts w:eastAsia="Calibri" w:cs="Arial"/>
          <w:u w:val="single"/>
          <w:lang w:val="es-CO"/>
        </w:rPr>
        <w:t>Costos de la inversión</w:t>
      </w:r>
      <w:r w:rsidRPr="00A05164">
        <w:rPr>
          <w:rFonts w:eastAsia="Calibri" w:cs="Arial"/>
          <w:lang w:val="es-CO"/>
        </w:rPr>
        <w:t xml:space="preserve">.  </w:t>
      </w:r>
      <w:bookmarkStart w:id="20" w:name="_Hlk512960060"/>
      <w:r w:rsidRPr="00A05164">
        <w:rPr>
          <w:rFonts w:eastAsia="Calibri" w:cs="Arial"/>
          <w:lang w:val="es-CO"/>
        </w:rPr>
        <w:t xml:space="preserve">Se toman los valores de las inversiones de acuerdo con los estimados derivados del análisis de </w:t>
      </w:r>
      <w:r w:rsidRPr="00601970">
        <w:rPr>
          <w:rFonts w:eastAsia="Calibri" w:cs="Arial"/>
          <w:lang w:val="es-CO"/>
        </w:rPr>
        <w:t>factibilidad realizado por la</w:t>
      </w:r>
      <w:r w:rsidRPr="00A05164">
        <w:rPr>
          <w:rFonts w:eastAsia="Calibri" w:cs="Arial"/>
          <w:lang w:val="es-CO"/>
        </w:rPr>
        <w:t xml:space="preserve"> ENEE</w:t>
      </w:r>
      <w:r>
        <w:rPr>
          <w:rFonts w:eastAsia="Calibri" w:cs="Arial"/>
          <w:lang w:val="es-CO"/>
        </w:rPr>
        <w:t xml:space="preserve"> y evaluados por consultores independientes, reflejado</w:t>
      </w:r>
      <w:r w:rsidRPr="00A05164">
        <w:rPr>
          <w:rFonts w:eastAsia="Calibri" w:cs="Arial"/>
          <w:lang w:val="es-CO"/>
        </w:rPr>
        <w:t xml:space="preserve"> en los perfiles técnicos de cada proyecto </w:t>
      </w:r>
      <w:bookmarkEnd w:id="20"/>
      <w:r w:rsidRPr="00A05164">
        <w:rPr>
          <w:rFonts w:eastAsia="Calibri" w:cs="Arial"/>
          <w:lang w:val="es-CO"/>
        </w:rPr>
        <w:t>en el Anexo A</w:t>
      </w:r>
      <w:r w:rsidR="00D85877">
        <w:rPr>
          <w:rFonts w:eastAsia="Calibri" w:cs="Arial"/>
          <w:lang w:val="es-CO"/>
        </w:rPr>
        <w:t xml:space="preserve"> y en los documentos de préstamo del Banco.</w:t>
      </w:r>
      <w:r>
        <w:rPr>
          <w:rFonts w:eastAsia="Calibri" w:cs="Arial"/>
          <w:lang w:val="es-CO"/>
        </w:rPr>
        <w:t xml:space="preserve"> El Cuadro 2 resume los costos estimados de inversión para cada proyecto de la muestra.</w:t>
      </w:r>
    </w:p>
    <w:p w14:paraId="30CA0ADA" w14:textId="77777777" w:rsidR="00DA7A98" w:rsidRDefault="00002C72" w:rsidP="00002C72">
      <w:pPr>
        <w:pStyle w:val="ListParagraph"/>
        <w:numPr>
          <w:ilvl w:val="1"/>
          <w:numId w:val="3"/>
        </w:numPr>
        <w:spacing w:before="120"/>
        <w:ind w:left="720" w:hanging="720"/>
        <w:jc w:val="both"/>
        <w:rPr>
          <w:rFonts w:eastAsia="Calibri" w:cs="Arial"/>
          <w:lang w:val="es-CO"/>
        </w:rPr>
      </w:pPr>
      <w:bookmarkStart w:id="21" w:name="_Hlk513320349"/>
      <w:r w:rsidRPr="00671562">
        <w:rPr>
          <w:rFonts w:eastAsia="Calibri" w:cs="Arial"/>
          <w:u w:val="single"/>
          <w:lang w:val="es-CO"/>
        </w:rPr>
        <w:t>Costos de operación y mantenimiento (O&amp;M)</w:t>
      </w:r>
      <w:bookmarkEnd w:id="21"/>
      <w:r w:rsidRPr="00002C72">
        <w:rPr>
          <w:rFonts w:eastAsia="Calibri" w:cs="Arial"/>
          <w:lang w:val="es-CO"/>
        </w:rPr>
        <w:t xml:space="preserve">. Los costos anuales de operación y mantenimiento de los nuevos sistemas de transmisión y subtransmisión que se instalarán </w:t>
      </w:r>
      <w:bookmarkStart w:id="22" w:name="_Hlk513320336"/>
      <w:r w:rsidRPr="00002C72">
        <w:rPr>
          <w:rFonts w:eastAsia="Calibri" w:cs="Arial"/>
          <w:lang w:val="es-CO"/>
        </w:rPr>
        <w:t>se estiman en un 3% de la inversión</w:t>
      </w:r>
      <w:bookmarkEnd w:id="22"/>
      <w:r w:rsidRPr="00002C72">
        <w:rPr>
          <w:rFonts w:eastAsia="Calibri" w:cs="Arial"/>
          <w:lang w:val="es-CO"/>
        </w:rPr>
        <w:t xml:space="preserve">. </w:t>
      </w:r>
    </w:p>
    <w:p w14:paraId="520F10B4" w14:textId="77777777" w:rsidR="00002C72" w:rsidRPr="00002C72" w:rsidRDefault="00002C72" w:rsidP="00002C72">
      <w:pPr>
        <w:pStyle w:val="ListParagraph"/>
        <w:numPr>
          <w:ilvl w:val="1"/>
          <w:numId w:val="3"/>
        </w:numPr>
        <w:spacing w:before="120"/>
        <w:ind w:left="720" w:hanging="720"/>
        <w:jc w:val="both"/>
        <w:rPr>
          <w:rFonts w:eastAsia="Calibri" w:cs="Arial"/>
          <w:lang w:val="es-CO"/>
        </w:rPr>
      </w:pPr>
      <w:bookmarkStart w:id="23" w:name="_Hlk513320424"/>
      <w:r w:rsidRPr="00002C72">
        <w:rPr>
          <w:rFonts w:eastAsia="Calibri" w:cs="Arial"/>
          <w:lang w:val="es-CO"/>
        </w:rPr>
        <w:t>Para el cálculo del costo de transmisión de energía eléctrica en alta tensión</w:t>
      </w:r>
      <w:bookmarkEnd w:id="23"/>
      <w:r w:rsidRPr="00002C72">
        <w:rPr>
          <w:rFonts w:eastAsia="Calibri" w:cs="Arial"/>
          <w:lang w:val="es-CO"/>
        </w:rPr>
        <w:t xml:space="preserve">, a través de las futuras líneas de transmisión 230 kV “SPSS-San Buenaventura” y “SPSS-Nueva Progreso”, </w:t>
      </w:r>
      <w:bookmarkStart w:id="24" w:name="_Hlk513320446"/>
      <w:r w:rsidRPr="00002C72">
        <w:rPr>
          <w:rFonts w:eastAsia="Calibri" w:cs="Arial"/>
          <w:lang w:val="es-CO"/>
        </w:rPr>
        <w:t>se utilizó el Costo Unitario Monómico del Servicio de Transmisión en Alta Tensión con base en el pliego tarifario vigente: 0</w:t>
      </w:r>
      <w:r>
        <w:rPr>
          <w:rFonts w:eastAsia="Calibri" w:cs="Arial"/>
          <w:lang w:val="es-CO"/>
        </w:rPr>
        <w:t>,</w:t>
      </w:r>
      <w:r w:rsidRPr="00002C72">
        <w:rPr>
          <w:rFonts w:eastAsia="Calibri" w:cs="Arial"/>
          <w:lang w:val="es-CO"/>
        </w:rPr>
        <w:t>3072L/kWh, o su equivalente 12</w:t>
      </w:r>
      <w:r>
        <w:rPr>
          <w:rFonts w:eastAsia="Calibri" w:cs="Arial"/>
          <w:lang w:val="es-CO"/>
        </w:rPr>
        <w:t>,</w:t>
      </w:r>
      <w:r w:rsidRPr="00002C72">
        <w:rPr>
          <w:rFonts w:eastAsia="Calibri" w:cs="Arial"/>
          <w:lang w:val="es-CO"/>
        </w:rPr>
        <w:t xml:space="preserve">9321 US$/MWh (Anexo C). </w:t>
      </w:r>
    </w:p>
    <w:bookmarkEnd w:id="24"/>
    <w:p w14:paraId="2700BC7B" w14:textId="77777777" w:rsidR="00002C72" w:rsidRDefault="00002C72" w:rsidP="00002C72">
      <w:pPr>
        <w:pStyle w:val="ListParagraph"/>
        <w:spacing w:before="120"/>
        <w:ind w:left="1080"/>
        <w:jc w:val="both"/>
        <w:rPr>
          <w:rFonts w:eastAsia="Calibri" w:cs="Arial"/>
          <w:lang w:val="es-CO"/>
        </w:rPr>
      </w:pPr>
    </w:p>
    <w:p w14:paraId="624B9485" w14:textId="77777777" w:rsidR="00002C72" w:rsidRDefault="00002C72" w:rsidP="00002C72">
      <w:pPr>
        <w:pStyle w:val="ListParagraph"/>
        <w:spacing w:before="120"/>
        <w:ind w:left="1080"/>
        <w:jc w:val="both"/>
        <w:rPr>
          <w:rFonts w:eastAsia="Calibri" w:cs="Arial"/>
          <w:lang w:val="es-CO"/>
        </w:rPr>
      </w:pPr>
    </w:p>
    <w:p w14:paraId="088DAA5B" w14:textId="77777777" w:rsidR="00002C72" w:rsidRPr="00A05164" w:rsidRDefault="00002C72" w:rsidP="00002C72">
      <w:pPr>
        <w:pStyle w:val="ListParagraph"/>
        <w:spacing w:before="120"/>
        <w:ind w:left="1080"/>
        <w:jc w:val="both"/>
        <w:rPr>
          <w:rFonts w:eastAsia="Calibri" w:cs="Arial"/>
          <w:lang w:val="es-CO"/>
        </w:rPr>
      </w:pPr>
    </w:p>
    <w:tbl>
      <w:tblPr>
        <w:tblStyle w:val="TableGrid"/>
        <w:tblW w:w="8640" w:type="dxa"/>
        <w:tblLook w:val="04A0" w:firstRow="1" w:lastRow="0" w:firstColumn="1" w:lastColumn="0" w:noHBand="0" w:noVBand="1"/>
      </w:tblPr>
      <w:tblGrid>
        <w:gridCol w:w="522"/>
        <w:gridCol w:w="5058"/>
        <w:gridCol w:w="1620"/>
        <w:gridCol w:w="1440"/>
      </w:tblGrid>
      <w:tr w:rsidR="00D365FF" w:rsidRPr="001A164B" w14:paraId="2C8A7A19" w14:textId="77777777" w:rsidTr="00194658">
        <w:tc>
          <w:tcPr>
            <w:tcW w:w="522" w:type="dxa"/>
            <w:tcBorders>
              <w:top w:val="nil"/>
              <w:left w:val="nil"/>
              <w:right w:val="nil"/>
            </w:tcBorders>
          </w:tcPr>
          <w:p w14:paraId="3DCD1816" w14:textId="77777777" w:rsidR="00D365FF" w:rsidRPr="008A3FD3" w:rsidRDefault="00D365FF" w:rsidP="00194658">
            <w:pPr>
              <w:spacing w:before="120"/>
              <w:jc w:val="center"/>
              <w:rPr>
                <w:rFonts w:cs="Arial"/>
                <w:b/>
                <w:lang w:val="es-CO"/>
              </w:rPr>
            </w:pPr>
          </w:p>
        </w:tc>
        <w:tc>
          <w:tcPr>
            <w:tcW w:w="8118" w:type="dxa"/>
            <w:gridSpan w:val="3"/>
            <w:tcBorders>
              <w:top w:val="nil"/>
              <w:left w:val="nil"/>
              <w:right w:val="nil"/>
            </w:tcBorders>
          </w:tcPr>
          <w:p w14:paraId="0021D239" w14:textId="77777777" w:rsidR="00D365FF" w:rsidRPr="008A3FD3" w:rsidRDefault="00D365FF" w:rsidP="00194658">
            <w:pPr>
              <w:spacing w:before="120"/>
              <w:jc w:val="center"/>
              <w:rPr>
                <w:rFonts w:cs="Arial"/>
                <w:b/>
                <w:lang w:val="es-CO"/>
              </w:rPr>
            </w:pPr>
            <w:r w:rsidRPr="008A3FD3">
              <w:rPr>
                <w:rFonts w:cs="Arial"/>
                <w:b/>
                <w:lang w:val="es-CO"/>
              </w:rPr>
              <w:t xml:space="preserve">Cuadro </w:t>
            </w:r>
            <w:r>
              <w:rPr>
                <w:rFonts w:cs="Arial"/>
                <w:b/>
                <w:lang w:val="es-CO"/>
              </w:rPr>
              <w:t>2</w:t>
            </w:r>
            <w:r w:rsidRPr="008A3FD3">
              <w:rPr>
                <w:rFonts w:cs="Arial"/>
                <w:b/>
                <w:lang w:val="es-CO"/>
              </w:rPr>
              <w:t xml:space="preserve"> -  Costo de Inversión de la Muestra de Proyectos</w:t>
            </w:r>
          </w:p>
        </w:tc>
      </w:tr>
      <w:tr w:rsidR="00D365FF" w:rsidRPr="008A3FD3" w14:paraId="1649A7B5" w14:textId="77777777" w:rsidTr="00194658">
        <w:trPr>
          <w:trHeight w:val="300"/>
        </w:trPr>
        <w:tc>
          <w:tcPr>
            <w:tcW w:w="522" w:type="dxa"/>
            <w:tcBorders>
              <w:bottom w:val="single" w:sz="4" w:space="0" w:color="auto"/>
            </w:tcBorders>
            <w:shd w:val="clear" w:color="auto" w:fill="EAF1DD" w:themeFill="accent3" w:themeFillTint="33"/>
          </w:tcPr>
          <w:p w14:paraId="577ADD0F" w14:textId="77777777" w:rsidR="00D365FF" w:rsidRPr="008A3FD3" w:rsidRDefault="00D365FF" w:rsidP="00194658">
            <w:pPr>
              <w:spacing w:before="120"/>
              <w:ind w:left="720"/>
              <w:jc w:val="both"/>
              <w:rPr>
                <w:rFonts w:cs="Arial"/>
                <w:b/>
                <w:bCs/>
                <w:sz w:val="20"/>
                <w:lang w:val="es-CO"/>
              </w:rPr>
            </w:pPr>
          </w:p>
        </w:tc>
        <w:tc>
          <w:tcPr>
            <w:tcW w:w="5058" w:type="dxa"/>
            <w:tcBorders>
              <w:bottom w:val="single" w:sz="4" w:space="0" w:color="auto"/>
            </w:tcBorders>
            <w:shd w:val="clear" w:color="auto" w:fill="EAF1DD" w:themeFill="accent3" w:themeFillTint="33"/>
            <w:hideMark/>
          </w:tcPr>
          <w:p w14:paraId="1F7F77B8" w14:textId="77777777" w:rsidR="00D365FF" w:rsidRPr="008A3FD3" w:rsidRDefault="00D365FF" w:rsidP="00194658">
            <w:pPr>
              <w:spacing w:before="120"/>
              <w:ind w:left="720"/>
              <w:jc w:val="both"/>
              <w:rPr>
                <w:rFonts w:cs="Arial"/>
                <w:sz w:val="20"/>
                <w:lang w:val="es-CO"/>
              </w:rPr>
            </w:pPr>
            <w:r w:rsidRPr="008A3FD3">
              <w:rPr>
                <w:rFonts w:cs="Arial"/>
                <w:b/>
                <w:bCs/>
                <w:sz w:val="20"/>
                <w:lang w:val="es-CO"/>
              </w:rPr>
              <w:t>Nombre del Proyecto</w:t>
            </w:r>
          </w:p>
        </w:tc>
        <w:tc>
          <w:tcPr>
            <w:tcW w:w="3060" w:type="dxa"/>
            <w:gridSpan w:val="2"/>
            <w:tcBorders>
              <w:bottom w:val="single" w:sz="4" w:space="0" w:color="auto"/>
            </w:tcBorders>
            <w:shd w:val="clear" w:color="auto" w:fill="EAF1DD" w:themeFill="accent3" w:themeFillTint="33"/>
            <w:hideMark/>
          </w:tcPr>
          <w:p w14:paraId="78209D90" w14:textId="77777777" w:rsidR="00D365FF" w:rsidRPr="008A3FD3" w:rsidRDefault="00D365FF" w:rsidP="00194658">
            <w:pPr>
              <w:spacing w:before="120"/>
              <w:jc w:val="center"/>
              <w:rPr>
                <w:rFonts w:cs="Arial"/>
                <w:b/>
                <w:bCs/>
                <w:sz w:val="20"/>
                <w:lang w:val="es-CO"/>
              </w:rPr>
            </w:pPr>
            <w:r w:rsidRPr="008A3FD3">
              <w:rPr>
                <w:rFonts w:cs="Arial"/>
                <w:b/>
                <w:bCs/>
                <w:sz w:val="20"/>
                <w:lang w:val="es-CO"/>
              </w:rPr>
              <w:t>US$</w:t>
            </w:r>
          </w:p>
        </w:tc>
      </w:tr>
      <w:tr w:rsidR="00D365FF" w:rsidRPr="008A3FD3" w14:paraId="26FE72EF" w14:textId="77777777" w:rsidTr="00194658">
        <w:trPr>
          <w:trHeight w:val="305"/>
        </w:trPr>
        <w:tc>
          <w:tcPr>
            <w:tcW w:w="522" w:type="dxa"/>
            <w:tcBorders>
              <w:bottom w:val="nil"/>
            </w:tcBorders>
          </w:tcPr>
          <w:p w14:paraId="22B3911D" w14:textId="77777777" w:rsidR="00D365FF" w:rsidRPr="008A3FD3" w:rsidRDefault="00D365FF" w:rsidP="00194658">
            <w:pPr>
              <w:jc w:val="both"/>
              <w:rPr>
                <w:rFonts w:cs="Arial"/>
                <w:sz w:val="20"/>
                <w:lang w:val="es-CO"/>
              </w:rPr>
            </w:pPr>
          </w:p>
        </w:tc>
        <w:tc>
          <w:tcPr>
            <w:tcW w:w="5058" w:type="dxa"/>
            <w:tcBorders>
              <w:bottom w:val="nil"/>
            </w:tcBorders>
            <w:vAlign w:val="center"/>
            <w:hideMark/>
          </w:tcPr>
          <w:p w14:paraId="5DD2CE84" w14:textId="77777777" w:rsidR="00D365FF" w:rsidRDefault="00D365FF" w:rsidP="00194658">
            <w:pPr>
              <w:spacing w:before="60"/>
              <w:jc w:val="center"/>
              <w:rPr>
                <w:rFonts w:cs="Arial"/>
                <w:b/>
                <w:sz w:val="20"/>
                <w:lang w:val="es-CO"/>
              </w:rPr>
            </w:pPr>
            <w:r w:rsidRPr="00201868">
              <w:rPr>
                <w:rFonts w:cs="Arial"/>
                <w:b/>
                <w:sz w:val="20"/>
                <w:lang w:val="es-CO"/>
              </w:rPr>
              <w:t>San Pedro Sula Sur – San Buenaventura</w:t>
            </w:r>
          </w:p>
          <w:p w14:paraId="7B4974A4" w14:textId="77777777" w:rsidR="00D365FF" w:rsidRPr="008A3FD3" w:rsidRDefault="00D365FF" w:rsidP="00194658">
            <w:pPr>
              <w:spacing w:before="120"/>
              <w:jc w:val="both"/>
              <w:rPr>
                <w:rFonts w:cs="Arial"/>
                <w:sz w:val="20"/>
                <w:lang w:val="es-CO"/>
              </w:rPr>
            </w:pPr>
            <w:r w:rsidRPr="008A3FD3">
              <w:rPr>
                <w:rFonts w:cs="Arial"/>
                <w:sz w:val="20"/>
                <w:lang w:val="es-CO"/>
              </w:rPr>
              <w:t>Conversión Línea de Transmisión SPSS-SBV 230 KV</w:t>
            </w:r>
          </w:p>
        </w:tc>
        <w:tc>
          <w:tcPr>
            <w:tcW w:w="1620" w:type="dxa"/>
            <w:tcBorders>
              <w:bottom w:val="nil"/>
            </w:tcBorders>
            <w:vAlign w:val="center"/>
            <w:hideMark/>
          </w:tcPr>
          <w:p w14:paraId="4C0CBDD9" w14:textId="77777777" w:rsidR="00D365FF" w:rsidRDefault="00D365FF" w:rsidP="00194658">
            <w:pPr>
              <w:spacing w:before="120"/>
              <w:jc w:val="center"/>
              <w:rPr>
                <w:rFonts w:cs="Arial"/>
                <w:bCs/>
                <w:sz w:val="20"/>
                <w:lang w:val="es-CO"/>
              </w:rPr>
            </w:pPr>
          </w:p>
          <w:p w14:paraId="1FDC1ADB" w14:textId="77777777" w:rsidR="00D365FF" w:rsidRPr="008A3FD3" w:rsidRDefault="00D365FF" w:rsidP="00194658">
            <w:pPr>
              <w:spacing w:before="120"/>
              <w:jc w:val="center"/>
              <w:rPr>
                <w:rFonts w:cs="Arial"/>
                <w:sz w:val="20"/>
                <w:lang w:val="es-CO"/>
              </w:rPr>
            </w:pPr>
            <w:r w:rsidRPr="008A3FD3">
              <w:rPr>
                <w:rFonts w:cs="Arial"/>
                <w:bCs/>
                <w:sz w:val="20"/>
                <w:lang w:val="es-CO"/>
              </w:rPr>
              <w:t>19</w:t>
            </w:r>
            <w:r w:rsidR="00002C72">
              <w:rPr>
                <w:rFonts w:cs="Arial"/>
                <w:bCs/>
                <w:sz w:val="20"/>
                <w:lang w:val="es-CO"/>
              </w:rPr>
              <w:t>.</w:t>
            </w:r>
            <w:r w:rsidRPr="008A3FD3">
              <w:rPr>
                <w:rFonts w:cs="Arial"/>
                <w:bCs/>
                <w:sz w:val="20"/>
                <w:lang w:val="es-CO"/>
              </w:rPr>
              <w:t>904</w:t>
            </w:r>
            <w:r w:rsidR="00002C72">
              <w:rPr>
                <w:rFonts w:cs="Arial"/>
                <w:bCs/>
                <w:sz w:val="20"/>
                <w:lang w:val="es-CO"/>
              </w:rPr>
              <w:t>.</w:t>
            </w:r>
            <w:r w:rsidRPr="008A3FD3">
              <w:rPr>
                <w:rFonts w:cs="Arial"/>
                <w:bCs/>
                <w:sz w:val="20"/>
                <w:lang w:val="es-CO"/>
              </w:rPr>
              <w:t>079</w:t>
            </w:r>
          </w:p>
        </w:tc>
        <w:tc>
          <w:tcPr>
            <w:tcW w:w="1440" w:type="dxa"/>
            <w:vMerge w:val="restart"/>
            <w:vAlign w:val="center"/>
          </w:tcPr>
          <w:p w14:paraId="59FF020C" w14:textId="77777777" w:rsidR="00D365FF" w:rsidRPr="008A3FD3" w:rsidRDefault="00D365FF" w:rsidP="00194658">
            <w:pPr>
              <w:spacing w:before="120"/>
              <w:jc w:val="center"/>
              <w:rPr>
                <w:rFonts w:cs="Arial"/>
                <w:bCs/>
                <w:sz w:val="20"/>
                <w:lang w:val="es-CO"/>
              </w:rPr>
            </w:pPr>
            <w:r>
              <w:rPr>
                <w:rFonts w:cs="Arial"/>
                <w:bCs/>
                <w:sz w:val="20"/>
                <w:lang w:val="es-CO"/>
              </w:rPr>
              <w:t>35</w:t>
            </w:r>
            <w:r w:rsidR="00002C72">
              <w:rPr>
                <w:rFonts w:cs="Arial"/>
                <w:bCs/>
                <w:sz w:val="20"/>
                <w:lang w:val="es-CO"/>
              </w:rPr>
              <w:t>.</w:t>
            </w:r>
            <w:r>
              <w:rPr>
                <w:rFonts w:cs="Arial"/>
                <w:bCs/>
                <w:sz w:val="20"/>
                <w:lang w:val="es-CO"/>
              </w:rPr>
              <w:t>594</w:t>
            </w:r>
            <w:r w:rsidR="00002C72">
              <w:rPr>
                <w:rFonts w:cs="Arial"/>
                <w:bCs/>
                <w:sz w:val="20"/>
                <w:lang w:val="es-CO"/>
              </w:rPr>
              <w:t>.</w:t>
            </w:r>
            <w:r>
              <w:rPr>
                <w:rFonts w:cs="Arial"/>
                <w:bCs/>
                <w:sz w:val="20"/>
                <w:lang w:val="es-CO"/>
              </w:rPr>
              <w:t>944</w:t>
            </w:r>
          </w:p>
        </w:tc>
      </w:tr>
      <w:tr w:rsidR="00D365FF" w:rsidRPr="008A3FD3" w14:paraId="4F07CED4" w14:textId="77777777" w:rsidTr="00194658">
        <w:trPr>
          <w:trHeight w:val="305"/>
        </w:trPr>
        <w:tc>
          <w:tcPr>
            <w:tcW w:w="522" w:type="dxa"/>
            <w:tcBorders>
              <w:top w:val="nil"/>
              <w:bottom w:val="nil"/>
            </w:tcBorders>
          </w:tcPr>
          <w:p w14:paraId="0A8BF5DF" w14:textId="77777777" w:rsidR="00D365FF" w:rsidRPr="008A3FD3" w:rsidRDefault="00D365FF" w:rsidP="00194658">
            <w:pPr>
              <w:spacing w:before="60"/>
              <w:jc w:val="both"/>
              <w:rPr>
                <w:rFonts w:cs="Arial"/>
                <w:sz w:val="20"/>
                <w:lang w:val="es-CO"/>
              </w:rPr>
            </w:pPr>
            <w:r>
              <w:rPr>
                <w:rFonts w:cs="Arial"/>
                <w:sz w:val="20"/>
                <w:lang w:val="es-CO"/>
              </w:rPr>
              <w:t>1</w:t>
            </w:r>
          </w:p>
        </w:tc>
        <w:tc>
          <w:tcPr>
            <w:tcW w:w="5058" w:type="dxa"/>
            <w:tcBorders>
              <w:top w:val="nil"/>
              <w:bottom w:val="nil"/>
            </w:tcBorders>
            <w:vAlign w:val="center"/>
            <w:hideMark/>
          </w:tcPr>
          <w:p w14:paraId="36642495" w14:textId="77777777" w:rsidR="00D365FF" w:rsidRPr="008A3FD3" w:rsidRDefault="00D365FF" w:rsidP="00194658">
            <w:pPr>
              <w:spacing w:before="60"/>
              <w:jc w:val="both"/>
              <w:rPr>
                <w:rFonts w:cs="Arial"/>
                <w:sz w:val="20"/>
                <w:lang w:val="es-CO"/>
              </w:rPr>
            </w:pPr>
            <w:r w:rsidRPr="008A3FD3">
              <w:rPr>
                <w:rFonts w:cs="Arial"/>
                <w:sz w:val="20"/>
                <w:lang w:val="es-CO"/>
              </w:rPr>
              <w:t>Ampliación Subestación San Pedro Sula Sur (SPSS)</w:t>
            </w:r>
          </w:p>
        </w:tc>
        <w:tc>
          <w:tcPr>
            <w:tcW w:w="1620" w:type="dxa"/>
            <w:tcBorders>
              <w:top w:val="nil"/>
              <w:bottom w:val="nil"/>
            </w:tcBorders>
            <w:vAlign w:val="center"/>
            <w:hideMark/>
          </w:tcPr>
          <w:p w14:paraId="3ADC474A" w14:textId="77777777" w:rsidR="00D365FF" w:rsidRPr="008A3FD3" w:rsidRDefault="00D365FF" w:rsidP="00194658">
            <w:pPr>
              <w:spacing w:before="120"/>
              <w:jc w:val="center"/>
              <w:rPr>
                <w:rFonts w:cs="Arial"/>
                <w:sz w:val="20"/>
                <w:lang w:val="es-CO"/>
              </w:rPr>
            </w:pPr>
            <w:r>
              <w:rPr>
                <w:rFonts w:cs="Arial"/>
                <w:bCs/>
                <w:sz w:val="20"/>
                <w:lang w:val="es-CO"/>
              </w:rPr>
              <w:t>13</w:t>
            </w:r>
            <w:r w:rsidR="00002C72">
              <w:rPr>
                <w:rFonts w:cs="Arial"/>
                <w:bCs/>
                <w:sz w:val="20"/>
                <w:lang w:val="es-CO"/>
              </w:rPr>
              <w:t>.</w:t>
            </w:r>
            <w:r>
              <w:rPr>
                <w:rFonts w:cs="Arial"/>
                <w:bCs/>
                <w:sz w:val="20"/>
                <w:lang w:val="es-CO"/>
              </w:rPr>
              <w:t>745</w:t>
            </w:r>
            <w:r w:rsidR="00002C72">
              <w:rPr>
                <w:rFonts w:cs="Arial"/>
                <w:bCs/>
                <w:sz w:val="20"/>
                <w:lang w:val="es-CO"/>
              </w:rPr>
              <w:t>.</w:t>
            </w:r>
            <w:r>
              <w:rPr>
                <w:rFonts w:cs="Arial"/>
                <w:bCs/>
                <w:sz w:val="20"/>
                <w:lang w:val="es-CO"/>
              </w:rPr>
              <w:t>210</w:t>
            </w:r>
          </w:p>
        </w:tc>
        <w:tc>
          <w:tcPr>
            <w:tcW w:w="1440" w:type="dxa"/>
            <w:vMerge/>
            <w:vAlign w:val="center"/>
          </w:tcPr>
          <w:p w14:paraId="2FA7AF96" w14:textId="77777777" w:rsidR="00D365FF" w:rsidRPr="008A3FD3" w:rsidRDefault="00D365FF" w:rsidP="00194658">
            <w:pPr>
              <w:spacing w:before="120"/>
              <w:jc w:val="center"/>
              <w:rPr>
                <w:rFonts w:cs="Arial"/>
                <w:bCs/>
                <w:sz w:val="20"/>
                <w:lang w:val="es-CO"/>
              </w:rPr>
            </w:pPr>
          </w:p>
        </w:tc>
      </w:tr>
      <w:tr w:rsidR="00D365FF" w:rsidRPr="008A3FD3" w14:paraId="0842E83A" w14:textId="77777777" w:rsidTr="009C602A">
        <w:trPr>
          <w:trHeight w:val="300"/>
        </w:trPr>
        <w:tc>
          <w:tcPr>
            <w:tcW w:w="522" w:type="dxa"/>
            <w:tcBorders>
              <w:top w:val="nil"/>
              <w:bottom w:val="nil"/>
            </w:tcBorders>
          </w:tcPr>
          <w:p w14:paraId="799683D6" w14:textId="77777777" w:rsidR="00D365FF" w:rsidRPr="008A3FD3" w:rsidRDefault="00D365FF" w:rsidP="00194658">
            <w:pPr>
              <w:spacing w:before="60"/>
              <w:jc w:val="both"/>
              <w:rPr>
                <w:rFonts w:cs="Arial"/>
                <w:sz w:val="20"/>
                <w:lang w:val="es-CO"/>
              </w:rPr>
            </w:pPr>
          </w:p>
        </w:tc>
        <w:tc>
          <w:tcPr>
            <w:tcW w:w="5058" w:type="dxa"/>
            <w:tcBorders>
              <w:top w:val="nil"/>
              <w:bottom w:val="nil"/>
            </w:tcBorders>
            <w:vAlign w:val="center"/>
            <w:hideMark/>
          </w:tcPr>
          <w:p w14:paraId="1E4CAD5E" w14:textId="77777777" w:rsidR="00D365FF" w:rsidRPr="008A3FD3" w:rsidRDefault="00D365FF" w:rsidP="00194658">
            <w:pPr>
              <w:spacing w:before="60"/>
              <w:jc w:val="both"/>
              <w:rPr>
                <w:rFonts w:cs="Arial"/>
                <w:sz w:val="20"/>
                <w:lang w:val="es-CO"/>
              </w:rPr>
            </w:pPr>
            <w:r w:rsidRPr="008A3FD3">
              <w:rPr>
                <w:rFonts w:cs="Arial"/>
                <w:sz w:val="20"/>
                <w:lang w:val="es-CO"/>
              </w:rPr>
              <w:t>Ampliación Subestación San Buenaventura (SBV)</w:t>
            </w:r>
          </w:p>
        </w:tc>
        <w:tc>
          <w:tcPr>
            <w:tcW w:w="1620" w:type="dxa"/>
            <w:tcBorders>
              <w:top w:val="nil"/>
              <w:bottom w:val="nil"/>
            </w:tcBorders>
            <w:vAlign w:val="center"/>
            <w:hideMark/>
          </w:tcPr>
          <w:p w14:paraId="7EA3B61A" w14:textId="77777777" w:rsidR="00D365FF" w:rsidRPr="008A3FD3" w:rsidRDefault="00D365FF" w:rsidP="00194658">
            <w:pPr>
              <w:spacing w:before="120"/>
              <w:jc w:val="center"/>
              <w:rPr>
                <w:rFonts w:cs="Arial"/>
                <w:sz w:val="20"/>
                <w:lang w:val="es-CO"/>
              </w:rPr>
            </w:pPr>
            <w:r w:rsidRPr="008A3FD3">
              <w:rPr>
                <w:rFonts w:cs="Arial"/>
                <w:bCs/>
                <w:sz w:val="20"/>
                <w:lang w:val="es-CO"/>
              </w:rPr>
              <w:t>1</w:t>
            </w:r>
            <w:r w:rsidR="00002C72">
              <w:rPr>
                <w:rFonts w:cs="Arial"/>
                <w:bCs/>
                <w:sz w:val="20"/>
                <w:lang w:val="es-CO"/>
              </w:rPr>
              <w:t>.</w:t>
            </w:r>
            <w:r w:rsidRPr="008A3FD3">
              <w:rPr>
                <w:rFonts w:cs="Arial"/>
                <w:bCs/>
                <w:sz w:val="20"/>
                <w:lang w:val="es-CO"/>
              </w:rPr>
              <w:t>945</w:t>
            </w:r>
            <w:r w:rsidR="00002C72">
              <w:rPr>
                <w:rFonts w:cs="Arial"/>
                <w:bCs/>
                <w:sz w:val="20"/>
                <w:lang w:val="es-CO"/>
              </w:rPr>
              <w:t>.</w:t>
            </w:r>
            <w:r w:rsidRPr="008A3FD3">
              <w:rPr>
                <w:rFonts w:cs="Arial"/>
                <w:bCs/>
                <w:sz w:val="20"/>
                <w:lang w:val="es-CO"/>
              </w:rPr>
              <w:t>655</w:t>
            </w:r>
          </w:p>
        </w:tc>
        <w:tc>
          <w:tcPr>
            <w:tcW w:w="1440" w:type="dxa"/>
            <w:vMerge/>
            <w:tcBorders>
              <w:bottom w:val="nil"/>
            </w:tcBorders>
            <w:vAlign w:val="center"/>
          </w:tcPr>
          <w:p w14:paraId="698E042B" w14:textId="77777777" w:rsidR="00D365FF" w:rsidRPr="008A3FD3" w:rsidRDefault="00D365FF" w:rsidP="00194658">
            <w:pPr>
              <w:spacing w:before="120"/>
              <w:jc w:val="center"/>
              <w:rPr>
                <w:rFonts w:cs="Arial"/>
                <w:bCs/>
                <w:sz w:val="20"/>
                <w:lang w:val="es-CO"/>
              </w:rPr>
            </w:pPr>
          </w:p>
        </w:tc>
      </w:tr>
      <w:tr w:rsidR="00D365FF" w:rsidRPr="008A3FD3" w14:paraId="31152C4C" w14:textId="77777777" w:rsidTr="009C602A">
        <w:trPr>
          <w:trHeight w:val="300"/>
        </w:trPr>
        <w:tc>
          <w:tcPr>
            <w:tcW w:w="522" w:type="dxa"/>
            <w:tcBorders>
              <w:top w:val="nil"/>
              <w:bottom w:val="nil"/>
            </w:tcBorders>
          </w:tcPr>
          <w:p w14:paraId="09D39D30" w14:textId="77777777" w:rsidR="00D365FF" w:rsidRPr="008A3FD3" w:rsidRDefault="00D365FF" w:rsidP="00194658">
            <w:pPr>
              <w:spacing w:before="120"/>
              <w:jc w:val="both"/>
              <w:rPr>
                <w:rFonts w:cs="Arial"/>
                <w:sz w:val="20"/>
                <w:lang w:val="es-CO"/>
              </w:rPr>
            </w:pPr>
          </w:p>
        </w:tc>
        <w:tc>
          <w:tcPr>
            <w:tcW w:w="5058" w:type="dxa"/>
            <w:tcBorders>
              <w:top w:val="nil"/>
              <w:bottom w:val="nil"/>
            </w:tcBorders>
            <w:vAlign w:val="center"/>
            <w:hideMark/>
          </w:tcPr>
          <w:p w14:paraId="1642030C" w14:textId="77777777" w:rsidR="00D365FF" w:rsidRPr="00201868" w:rsidRDefault="00D365FF" w:rsidP="00194658">
            <w:pPr>
              <w:spacing w:before="120"/>
              <w:jc w:val="center"/>
              <w:rPr>
                <w:rFonts w:cs="Arial"/>
                <w:b/>
                <w:sz w:val="20"/>
                <w:lang w:val="es-CO"/>
              </w:rPr>
            </w:pPr>
            <w:r w:rsidRPr="00201868">
              <w:rPr>
                <w:rFonts w:cs="Arial"/>
                <w:b/>
                <w:sz w:val="20"/>
                <w:lang w:val="es-CO"/>
              </w:rPr>
              <w:t>Laínez – Miraflores</w:t>
            </w:r>
          </w:p>
          <w:p w14:paraId="7D7B9735" w14:textId="77777777" w:rsidR="00D365FF" w:rsidRPr="008A3FD3" w:rsidRDefault="00D365FF" w:rsidP="00194658">
            <w:pPr>
              <w:spacing w:before="120"/>
              <w:jc w:val="both"/>
              <w:rPr>
                <w:rFonts w:cs="Arial"/>
                <w:sz w:val="20"/>
                <w:lang w:val="es-CO"/>
              </w:rPr>
            </w:pPr>
            <w:r w:rsidRPr="008A3FD3">
              <w:rPr>
                <w:rFonts w:cs="Arial"/>
                <w:sz w:val="20"/>
                <w:lang w:val="es-CO"/>
              </w:rPr>
              <w:t>Línea de Transmisión MF-LZ 138 KV</w:t>
            </w:r>
          </w:p>
        </w:tc>
        <w:tc>
          <w:tcPr>
            <w:tcW w:w="1620" w:type="dxa"/>
            <w:tcBorders>
              <w:top w:val="nil"/>
              <w:bottom w:val="nil"/>
            </w:tcBorders>
            <w:vAlign w:val="center"/>
            <w:hideMark/>
          </w:tcPr>
          <w:p w14:paraId="0964C0C5" w14:textId="77777777" w:rsidR="00D365FF" w:rsidRDefault="00D365FF" w:rsidP="00194658">
            <w:pPr>
              <w:spacing w:before="120"/>
              <w:jc w:val="center"/>
              <w:rPr>
                <w:rFonts w:cs="Arial"/>
                <w:sz w:val="20"/>
                <w:lang w:val="es-CO"/>
              </w:rPr>
            </w:pPr>
          </w:p>
          <w:p w14:paraId="79440A6C" w14:textId="77777777" w:rsidR="00D365FF" w:rsidRPr="008A3FD3" w:rsidRDefault="00D365FF" w:rsidP="00194658">
            <w:pPr>
              <w:spacing w:before="120"/>
              <w:jc w:val="center"/>
              <w:rPr>
                <w:rFonts w:cs="Arial"/>
                <w:sz w:val="20"/>
                <w:lang w:val="es-CO"/>
              </w:rPr>
            </w:pPr>
            <w:r>
              <w:rPr>
                <w:rFonts w:cs="Arial"/>
                <w:sz w:val="20"/>
                <w:lang w:val="es-CO"/>
              </w:rPr>
              <w:t>2</w:t>
            </w:r>
            <w:r w:rsidR="00002C72">
              <w:rPr>
                <w:rFonts w:cs="Arial"/>
                <w:sz w:val="20"/>
                <w:lang w:val="es-CO"/>
              </w:rPr>
              <w:t>.</w:t>
            </w:r>
            <w:r>
              <w:rPr>
                <w:rFonts w:cs="Arial"/>
                <w:sz w:val="20"/>
                <w:lang w:val="es-CO"/>
              </w:rPr>
              <w:t>976</w:t>
            </w:r>
            <w:r w:rsidR="00002C72">
              <w:rPr>
                <w:rFonts w:cs="Arial"/>
                <w:sz w:val="20"/>
                <w:lang w:val="es-CO"/>
              </w:rPr>
              <w:t>.</w:t>
            </w:r>
            <w:r>
              <w:rPr>
                <w:rFonts w:cs="Arial"/>
                <w:sz w:val="20"/>
                <w:lang w:val="es-CO"/>
              </w:rPr>
              <w:t>038</w:t>
            </w:r>
          </w:p>
        </w:tc>
        <w:tc>
          <w:tcPr>
            <w:tcW w:w="1440" w:type="dxa"/>
            <w:vMerge w:val="restart"/>
            <w:tcBorders>
              <w:top w:val="nil"/>
            </w:tcBorders>
            <w:vAlign w:val="center"/>
          </w:tcPr>
          <w:p w14:paraId="4250CEAA" w14:textId="77777777" w:rsidR="00D365FF" w:rsidRPr="008A3FD3" w:rsidRDefault="00D365FF" w:rsidP="00194658">
            <w:pPr>
              <w:jc w:val="center"/>
              <w:rPr>
                <w:rFonts w:cs="Arial"/>
                <w:sz w:val="20"/>
                <w:lang w:val="es-CO"/>
              </w:rPr>
            </w:pPr>
            <w:r>
              <w:rPr>
                <w:rFonts w:cs="Arial"/>
                <w:sz w:val="20"/>
                <w:lang w:val="es-CO"/>
              </w:rPr>
              <w:t>12</w:t>
            </w:r>
            <w:r w:rsidR="00002C72">
              <w:rPr>
                <w:rFonts w:cs="Arial"/>
                <w:sz w:val="20"/>
                <w:lang w:val="es-CO"/>
              </w:rPr>
              <w:t>.</w:t>
            </w:r>
            <w:r>
              <w:rPr>
                <w:rFonts w:cs="Arial"/>
                <w:sz w:val="20"/>
                <w:lang w:val="es-CO"/>
              </w:rPr>
              <w:t>499</w:t>
            </w:r>
            <w:r w:rsidR="00002C72">
              <w:rPr>
                <w:rFonts w:cs="Arial"/>
                <w:sz w:val="20"/>
                <w:lang w:val="es-CO"/>
              </w:rPr>
              <w:t>.</w:t>
            </w:r>
            <w:r>
              <w:rPr>
                <w:rFonts w:cs="Arial"/>
                <w:sz w:val="20"/>
                <w:lang w:val="es-CO"/>
              </w:rPr>
              <w:t>998</w:t>
            </w:r>
          </w:p>
        </w:tc>
      </w:tr>
      <w:tr w:rsidR="00D365FF" w:rsidRPr="008A3FD3" w14:paraId="25DF3C48" w14:textId="77777777" w:rsidTr="00194658">
        <w:trPr>
          <w:trHeight w:val="300"/>
        </w:trPr>
        <w:tc>
          <w:tcPr>
            <w:tcW w:w="522" w:type="dxa"/>
            <w:tcBorders>
              <w:top w:val="nil"/>
              <w:bottom w:val="nil"/>
            </w:tcBorders>
          </w:tcPr>
          <w:p w14:paraId="14511F9A" w14:textId="77777777" w:rsidR="00D365FF" w:rsidRPr="008A3FD3" w:rsidRDefault="00D365FF" w:rsidP="00194658">
            <w:pPr>
              <w:spacing w:before="60"/>
              <w:jc w:val="both"/>
              <w:rPr>
                <w:rFonts w:cs="Arial"/>
                <w:sz w:val="20"/>
                <w:lang w:val="es-CO"/>
              </w:rPr>
            </w:pPr>
            <w:r>
              <w:rPr>
                <w:rFonts w:cs="Arial"/>
                <w:sz w:val="20"/>
                <w:lang w:val="es-CO"/>
              </w:rPr>
              <w:t>2</w:t>
            </w:r>
          </w:p>
        </w:tc>
        <w:tc>
          <w:tcPr>
            <w:tcW w:w="5058" w:type="dxa"/>
            <w:tcBorders>
              <w:top w:val="nil"/>
              <w:bottom w:val="nil"/>
            </w:tcBorders>
            <w:vAlign w:val="center"/>
            <w:hideMark/>
          </w:tcPr>
          <w:p w14:paraId="07360F12" w14:textId="77777777" w:rsidR="00D365FF" w:rsidRPr="008A3FD3" w:rsidRDefault="00D365FF" w:rsidP="00194658">
            <w:pPr>
              <w:spacing w:before="60"/>
              <w:jc w:val="both"/>
              <w:rPr>
                <w:rFonts w:cs="Arial"/>
                <w:sz w:val="20"/>
                <w:lang w:val="es-CO"/>
              </w:rPr>
            </w:pPr>
            <w:r w:rsidRPr="008A3FD3">
              <w:rPr>
                <w:rFonts w:cs="Arial"/>
                <w:sz w:val="20"/>
                <w:lang w:val="es-CO"/>
              </w:rPr>
              <w:t>Ampliación Subestación Miraflores</w:t>
            </w:r>
          </w:p>
        </w:tc>
        <w:tc>
          <w:tcPr>
            <w:tcW w:w="1620" w:type="dxa"/>
            <w:tcBorders>
              <w:top w:val="nil"/>
              <w:bottom w:val="nil"/>
            </w:tcBorders>
            <w:vAlign w:val="center"/>
          </w:tcPr>
          <w:p w14:paraId="3FECDAE3" w14:textId="77777777" w:rsidR="00D365FF" w:rsidRPr="008A3FD3" w:rsidRDefault="00D365FF" w:rsidP="00194658">
            <w:pPr>
              <w:spacing w:before="120"/>
              <w:jc w:val="center"/>
              <w:rPr>
                <w:rFonts w:cs="Arial"/>
                <w:sz w:val="20"/>
                <w:lang w:val="es-CO"/>
              </w:rPr>
            </w:pPr>
            <w:r>
              <w:rPr>
                <w:rFonts w:cs="Arial"/>
                <w:sz w:val="20"/>
                <w:lang w:val="es-CO"/>
              </w:rPr>
              <w:t>2</w:t>
            </w:r>
            <w:r w:rsidR="00002C72">
              <w:rPr>
                <w:rFonts w:cs="Arial"/>
                <w:sz w:val="20"/>
                <w:lang w:val="es-CO"/>
              </w:rPr>
              <w:t>.</w:t>
            </w:r>
            <w:r>
              <w:rPr>
                <w:rFonts w:cs="Arial"/>
                <w:sz w:val="20"/>
                <w:lang w:val="es-CO"/>
              </w:rPr>
              <w:t>209</w:t>
            </w:r>
            <w:r w:rsidR="00002C72">
              <w:rPr>
                <w:rFonts w:cs="Arial"/>
                <w:sz w:val="20"/>
                <w:lang w:val="es-CO"/>
              </w:rPr>
              <w:t>.</w:t>
            </w:r>
            <w:r>
              <w:rPr>
                <w:rFonts w:cs="Arial"/>
                <w:sz w:val="20"/>
                <w:lang w:val="es-CO"/>
              </w:rPr>
              <w:t>439</w:t>
            </w:r>
          </w:p>
        </w:tc>
        <w:tc>
          <w:tcPr>
            <w:tcW w:w="1440" w:type="dxa"/>
            <w:vMerge/>
            <w:vAlign w:val="center"/>
          </w:tcPr>
          <w:p w14:paraId="7C961CE3" w14:textId="77777777" w:rsidR="00D365FF" w:rsidRPr="008A3FD3" w:rsidRDefault="00D365FF" w:rsidP="00194658">
            <w:pPr>
              <w:spacing w:before="120"/>
              <w:ind w:left="720"/>
              <w:jc w:val="center"/>
              <w:rPr>
                <w:rFonts w:cs="Arial"/>
                <w:sz w:val="20"/>
                <w:lang w:val="es-CO"/>
              </w:rPr>
            </w:pPr>
          </w:p>
        </w:tc>
      </w:tr>
      <w:tr w:rsidR="00D365FF" w:rsidRPr="005E342B" w14:paraId="392AF12A" w14:textId="77777777" w:rsidTr="00194658">
        <w:trPr>
          <w:trHeight w:val="300"/>
        </w:trPr>
        <w:tc>
          <w:tcPr>
            <w:tcW w:w="522" w:type="dxa"/>
            <w:tcBorders>
              <w:top w:val="nil"/>
            </w:tcBorders>
          </w:tcPr>
          <w:p w14:paraId="00186DE7" w14:textId="77777777" w:rsidR="00D365FF" w:rsidRPr="008A3FD3" w:rsidRDefault="00D365FF" w:rsidP="00194658">
            <w:pPr>
              <w:spacing w:before="60"/>
              <w:jc w:val="both"/>
              <w:rPr>
                <w:rFonts w:cs="Arial"/>
                <w:sz w:val="20"/>
                <w:lang w:val="es-CO"/>
              </w:rPr>
            </w:pPr>
          </w:p>
        </w:tc>
        <w:tc>
          <w:tcPr>
            <w:tcW w:w="5058" w:type="dxa"/>
            <w:tcBorders>
              <w:top w:val="nil"/>
            </w:tcBorders>
            <w:vAlign w:val="center"/>
            <w:hideMark/>
          </w:tcPr>
          <w:p w14:paraId="443CDEEE" w14:textId="77777777" w:rsidR="00D365FF" w:rsidRPr="005E342B" w:rsidRDefault="00D365FF" w:rsidP="00194658">
            <w:pPr>
              <w:spacing w:before="60"/>
              <w:jc w:val="both"/>
              <w:rPr>
                <w:rFonts w:cs="Arial"/>
                <w:sz w:val="20"/>
                <w:lang w:val="es-CO"/>
              </w:rPr>
            </w:pPr>
            <w:r w:rsidRPr="005E342B">
              <w:rPr>
                <w:rFonts w:cs="Arial"/>
                <w:sz w:val="20"/>
                <w:lang w:val="es-CO"/>
              </w:rPr>
              <w:t>Ampliación Subestación Laínez</w:t>
            </w:r>
          </w:p>
        </w:tc>
        <w:tc>
          <w:tcPr>
            <w:tcW w:w="1620" w:type="dxa"/>
            <w:tcBorders>
              <w:top w:val="nil"/>
            </w:tcBorders>
            <w:vAlign w:val="center"/>
          </w:tcPr>
          <w:p w14:paraId="6E412A26" w14:textId="77777777" w:rsidR="00D365FF" w:rsidRPr="005E342B" w:rsidRDefault="00D365FF" w:rsidP="00194658">
            <w:pPr>
              <w:spacing w:before="120"/>
              <w:jc w:val="center"/>
              <w:rPr>
                <w:rFonts w:cs="Arial"/>
                <w:sz w:val="20"/>
                <w:lang w:val="es-CO"/>
              </w:rPr>
            </w:pPr>
            <w:r w:rsidRPr="005E342B">
              <w:rPr>
                <w:rFonts w:cs="Arial"/>
                <w:sz w:val="20"/>
                <w:lang w:val="es-CO"/>
              </w:rPr>
              <w:t>2</w:t>
            </w:r>
            <w:r w:rsidR="00002C72">
              <w:rPr>
                <w:rFonts w:cs="Arial"/>
                <w:sz w:val="20"/>
                <w:lang w:val="es-CO"/>
              </w:rPr>
              <w:t>.</w:t>
            </w:r>
            <w:r w:rsidRPr="005E342B">
              <w:rPr>
                <w:rFonts w:cs="Arial"/>
                <w:sz w:val="20"/>
                <w:lang w:val="es-CO"/>
              </w:rPr>
              <w:t>784</w:t>
            </w:r>
            <w:r w:rsidR="00002C72">
              <w:rPr>
                <w:rFonts w:cs="Arial"/>
                <w:sz w:val="20"/>
                <w:lang w:val="es-CO"/>
              </w:rPr>
              <w:t>.</w:t>
            </w:r>
            <w:r w:rsidRPr="005E342B">
              <w:rPr>
                <w:rFonts w:cs="Arial"/>
                <w:sz w:val="20"/>
                <w:lang w:val="es-CO"/>
              </w:rPr>
              <w:t>821</w:t>
            </w:r>
          </w:p>
        </w:tc>
        <w:tc>
          <w:tcPr>
            <w:tcW w:w="1440" w:type="dxa"/>
            <w:vMerge/>
            <w:vAlign w:val="center"/>
          </w:tcPr>
          <w:p w14:paraId="54FAEB8A" w14:textId="77777777" w:rsidR="00D365FF" w:rsidRPr="005E342B" w:rsidRDefault="00D365FF" w:rsidP="00194658">
            <w:pPr>
              <w:spacing w:before="120"/>
              <w:ind w:left="720"/>
              <w:jc w:val="center"/>
              <w:rPr>
                <w:rFonts w:cs="Arial"/>
                <w:sz w:val="20"/>
                <w:lang w:val="es-CO"/>
              </w:rPr>
            </w:pPr>
          </w:p>
        </w:tc>
      </w:tr>
      <w:tr w:rsidR="00D365FF" w:rsidRPr="005E342B" w14:paraId="485B792B" w14:textId="77777777" w:rsidTr="00194658">
        <w:tc>
          <w:tcPr>
            <w:tcW w:w="522" w:type="dxa"/>
          </w:tcPr>
          <w:p w14:paraId="3F729E8A" w14:textId="77777777" w:rsidR="00D365FF" w:rsidRPr="005E342B" w:rsidRDefault="00D365FF" w:rsidP="00194658">
            <w:pPr>
              <w:spacing w:before="120"/>
              <w:jc w:val="center"/>
              <w:rPr>
                <w:rFonts w:cs="Arial"/>
                <w:b/>
                <w:sz w:val="20"/>
                <w:lang w:val="es-CO"/>
              </w:rPr>
            </w:pPr>
          </w:p>
        </w:tc>
        <w:tc>
          <w:tcPr>
            <w:tcW w:w="6678" w:type="dxa"/>
            <w:gridSpan w:val="2"/>
          </w:tcPr>
          <w:p w14:paraId="2B38FC82" w14:textId="77777777" w:rsidR="00D365FF" w:rsidRPr="005E342B" w:rsidRDefault="00D365FF" w:rsidP="00194658">
            <w:pPr>
              <w:spacing w:before="120"/>
              <w:jc w:val="center"/>
              <w:rPr>
                <w:rFonts w:cs="Arial"/>
                <w:b/>
                <w:sz w:val="20"/>
                <w:lang w:val="es-CO"/>
              </w:rPr>
            </w:pPr>
            <w:r w:rsidRPr="005E342B">
              <w:rPr>
                <w:rFonts w:cs="Arial"/>
                <w:b/>
                <w:sz w:val="20"/>
                <w:lang w:val="es-CO"/>
              </w:rPr>
              <w:t>Total Inversión Muestra</w:t>
            </w:r>
          </w:p>
        </w:tc>
        <w:tc>
          <w:tcPr>
            <w:tcW w:w="1440" w:type="dxa"/>
            <w:vAlign w:val="center"/>
          </w:tcPr>
          <w:p w14:paraId="443BE20A" w14:textId="77777777" w:rsidR="00D365FF" w:rsidRPr="005E342B" w:rsidRDefault="00D365FF" w:rsidP="00194658">
            <w:pPr>
              <w:spacing w:before="120"/>
              <w:jc w:val="center"/>
              <w:rPr>
                <w:rFonts w:cs="Arial"/>
                <w:b/>
                <w:bCs/>
                <w:sz w:val="20"/>
                <w:lang w:val="es-CO"/>
              </w:rPr>
            </w:pPr>
            <w:r w:rsidRPr="005E342B">
              <w:rPr>
                <w:rFonts w:cs="Arial"/>
                <w:b/>
                <w:bCs/>
                <w:sz w:val="20"/>
                <w:lang w:val="es-CO"/>
              </w:rPr>
              <w:t>48</w:t>
            </w:r>
            <w:r w:rsidR="00002C72">
              <w:rPr>
                <w:rFonts w:cs="Arial"/>
                <w:b/>
                <w:bCs/>
                <w:sz w:val="20"/>
                <w:lang w:val="es-CO"/>
              </w:rPr>
              <w:t>.</w:t>
            </w:r>
            <w:r w:rsidRPr="005E342B">
              <w:rPr>
                <w:rFonts w:cs="Arial"/>
                <w:b/>
                <w:bCs/>
                <w:sz w:val="20"/>
                <w:lang w:val="es-CO"/>
              </w:rPr>
              <w:t>094</w:t>
            </w:r>
            <w:r w:rsidR="00002C72">
              <w:rPr>
                <w:rFonts w:cs="Arial"/>
                <w:b/>
                <w:bCs/>
                <w:sz w:val="20"/>
                <w:lang w:val="es-CO"/>
              </w:rPr>
              <w:t>.</w:t>
            </w:r>
            <w:r w:rsidRPr="005E342B">
              <w:rPr>
                <w:rFonts w:cs="Arial"/>
                <w:b/>
                <w:bCs/>
                <w:sz w:val="20"/>
                <w:lang w:val="es-CO"/>
              </w:rPr>
              <w:t>942</w:t>
            </w:r>
          </w:p>
        </w:tc>
      </w:tr>
    </w:tbl>
    <w:p w14:paraId="784430CC" w14:textId="77777777" w:rsidR="00D365FF" w:rsidRPr="005E342B" w:rsidRDefault="00D365FF" w:rsidP="005C2329">
      <w:pPr>
        <w:pStyle w:val="Heading2"/>
      </w:pPr>
      <w:bookmarkStart w:id="25" w:name="_Toc513626358"/>
      <w:r w:rsidRPr="005E342B">
        <w:t>Beneficios</w:t>
      </w:r>
      <w:r w:rsidRPr="005E342B">
        <w:rPr>
          <w:rFonts w:eastAsia="Calibri"/>
        </w:rPr>
        <w:t xml:space="preserve"> </w:t>
      </w:r>
      <w:r w:rsidRPr="005E342B">
        <w:t>económicos</w:t>
      </w:r>
      <w:bookmarkEnd w:id="25"/>
    </w:p>
    <w:p w14:paraId="6B10FB91" w14:textId="77777777" w:rsidR="00D365FF" w:rsidRPr="00F91C3E" w:rsidRDefault="00D365FF" w:rsidP="00D365FF">
      <w:pPr>
        <w:pStyle w:val="ListParagraph"/>
        <w:numPr>
          <w:ilvl w:val="1"/>
          <w:numId w:val="3"/>
        </w:numPr>
        <w:spacing w:before="120"/>
        <w:ind w:left="720" w:hanging="720"/>
        <w:jc w:val="both"/>
        <w:rPr>
          <w:rFonts w:cs="Arial"/>
          <w:lang w:val="es-CO"/>
        </w:rPr>
      </w:pPr>
      <w:r w:rsidRPr="00F91C3E">
        <w:rPr>
          <w:rFonts w:cs="Arial"/>
          <w:lang w:val="es-CO"/>
        </w:rPr>
        <w:t xml:space="preserve">La meta principal del programa </w:t>
      </w:r>
      <w:bookmarkStart w:id="26" w:name="_Hlk497727010"/>
      <w:r w:rsidRPr="00F91C3E">
        <w:rPr>
          <w:rFonts w:cs="Arial"/>
          <w:lang w:val="es-CO"/>
        </w:rPr>
        <w:t xml:space="preserve">es mejorar la calidad y confiabilidad de la red de transmisión, permitiendo aprovechar la generación a nivel nacional, en particular la capacidad de producción de potencia y energía de las centrales y proyectos de generación </w:t>
      </w:r>
      <w:r>
        <w:rPr>
          <w:rFonts w:cs="Arial"/>
          <w:lang w:val="es-CO"/>
        </w:rPr>
        <w:t>de ERNC y generación térmica</w:t>
      </w:r>
      <w:r w:rsidRPr="00F91C3E">
        <w:rPr>
          <w:rFonts w:cs="Arial"/>
          <w:lang w:val="es-CO"/>
        </w:rPr>
        <w:t xml:space="preserve"> de la zona sur del país para satisfacer apropiadamente la demanda incremental proyectada</w:t>
      </w:r>
      <w:r>
        <w:rPr>
          <w:rFonts w:cs="Arial"/>
          <w:lang w:val="es-CO"/>
        </w:rPr>
        <w:t xml:space="preserve"> en otras zonas del país,</w:t>
      </w:r>
      <w:r w:rsidRPr="00F91C3E">
        <w:rPr>
          <w:rFonts w:cs="Arial"/>
          <w:lang w:val="es-CO"/>
        </w:rPr>
        <w:t xml:space="preserve"> disminuyendo las fallas y mejorando los niveles de tensión; y disminuyendo las pérdidas técnicas. Al mismo tiempo, fortalecer las finanzas de la ENEE </w:t>
      </w:r>
      <w:r>
        <w:rPr>
          <w:rFonts w:cs="Arial"/>
          <w:lang w:val="es-CO"/>
        </w:rPr>
        <w:t>al generar</w:t>
      </w:r>
      <w:r w:rsidRPr="00F91C3E">
        <w:rPr>
          <w:rFonts w:cs="Arial"/>
          <w:lang w:val="es-CO"/>
        </w:rPr>
        <w:t xml:space="preserve"> mayores ingresos,</w:t>
      </w:r>
      <w:r>
        <w:rPr>
          <w:rFonts w:cs="Arial"/>
          <w:lang w:val="es-CO"/>
        </w:rPr>
        <w:t xml:space="preserve"> lo que</w:t>
      </w:r>
      <w:r w:rsidRPr="00F91C3E">
        <w:rPr>
          <w:rFonts w:cs="Arial"/>
          <w:lang w:val="es-CO"/>
        </w:rPr>
        <w:t xml:space="preserve"> permitirá mayores inversiones. </w:t>
      </w:r>
    </w:p>
    <w:p w14:paraId="59A896AB" w14:textId="2DCFD03B" w:rsidR="006B3F28" w:rsidRPr="006B3F28" w:rsidRDefault="00D365FF" w:rsidP="00D65A1E">
      <w:pPr>
        <w:pStyle w:val="ListParagraph"/>
        <w:numPr>
          <w:ilvl w:val="1"/>
          <w:numId w:val="3"/>
        </w:numPr>
        <w:spacing w:before="120"/>
        <w:ind w:left="720" w:hanging="720"/>
        <w:jc w:val="both"/>
        <w:rPr>
          <w:rFonts w:cs="Arial"/>
          <w:lang w:val="es-CO"/>
        </w:rPr>
      </w:pPr>
      <w:r w:rsidRPr="006B3F28">
        <w:rPr>
          <w:rFonts w:cs="Arial"/>
          <w:lang w:val="es-CO"/>
        </w:rPr>
        <w:t>Se evaluaron los beneficios directos de</w:t>
      </w:r>
      <w:r w:rsidR="006E7BB3" w:rsidRPr="006B3F28">
        <w:rPr>
          <w:rFonts w:cs="Arial"/>
          <w:lang w:val="es-CO"/>
        </w:rPr>
        <w:t xml:space="preserve"> mejorar la calidad y confiabilidad </w:t>
      </w:r>
      <w:r w:rsidR="006B3F28" w:rsidRPr="006B3F28">
        <w:rPr>
          <w:rFonts w:cs="Arial"/>
          <w:lang w:val="es-CO"/>
        </w:rPr>
        <w:t>mediante</w:t>
      </w:r>
      <w:r w:rsidRPr="006B3F28">
        <w:rPr>
          <w:rFonts w:cs="Arial"/>
          <w:lang w:val="es-CO"/>
        </w:rPr>
        <w:t xml:space="preserve"> un S</w:t>
      </w:r>
      <w:r w:rsidR="002E5A0C" w:rsidRPr="006B3F28">
        <w:rPr>
          <w:rFonts w:cs="Arial"/>
          <w:lang w:val="es-CO"/>
        </w:rPr>
        <w:t>TN</w:t>
      </w:r>
      <w:r w:rsidRPr="006B3F28">
        <w:rPr>
          <w:rFonts w:cs="Arial"/>
          <w:lang w:val="es-CO"/>
        </w:rPr>
        <w:t xml:space="preserve"> fortalecido, asociados a las inversiones en la muestra de proyectos</w:t>
      </w:r>
      <w:r w:rsidR="006B3F28" w:rsidRPr="006B3F28">
        <w:rPr>
          <w:rFonts w:cs="Arial"/>
          <w:lang w:val="es-CO"/>
        </w:rPr>
        <w:t>.  Se identifican</w:t>
      </w:r>
      <w:r w:rsidRPr="006B3F28">
        <w:rPr>
          <w:rFonts w:cs="Arial"/>
          <w:lang w:val="es-CO"/>
        </w:rPr>
        <w:t xml:space="preserve"> como</w:t>
      </w:r>
      <w:r w:rsidR="008A1655" w:rsidRPr="006B3F28">
        <w:rPr>
          <w:rFonts w:cs="Arial"/>
          <w:lang w:val="es-CO"/>
        </w:rPr>
        <w:t xml:space="preserve"> </w:t>
      </w:r>
      <w:bookmarkStart w:id="27" w:name="_Hlk513320537"/>
      <w:r w:rsidR="008A1655" w:rsidRPr="006B3F28">
        <w:rPr>
          <w:rFonts w:cs="Arial"/>
          <w:lang w:val="es-CO"/>
        </w:rPr>
        <w:t>los principales</w:t>
      </w:r>
      <w:r w:rsidRPr="006B3F28">
        <w:rPr>
          <w:rFonts w:cs="Arial"/>
          <w:lang w:val="es-CO"/>
        </w:rPr>
        <w:t xml:space="preserve"> beneficios</w:t>
      </w:r>
      <w:r w:rsidR="008A1655" w:rsidRPr="006B3F28">
        <w:rPr>
          <w:rFonts w:cs="Arial"/>
          <w:lang w:val="es-CO"/>
        </w:rPr>
        <w:t xml:space="preserve"> específicos </w:t>
      </w:r>
      <w:r w:rsidR="006E7BB3" w:rsidRPr="006B3F28">
        <w:rPr>
          <w:rFonts w:cs="Arial"/>
          <w:lang w:val="es-CO"/>
        </w:rPr>
        <w:t xml:space="preserve">directos, derivados de las inversiones propuestas </w:t>
      </w:r>
      <w:r w:rsidR="008A1655" w:rsidRPr="006B3F28">
        <w:rPr>
          <w:rFonts w:cs="Arial"/>
          <w:lang w:val="es-CO"/>
        </w:rPr>
        <w:t>que aportan al logro de los objetivos:</w:t>
      </w:r>
      <w:r w:rsidRPr="006B3F28">
        <w:rPr>
          <w:rFonts w:cs="Arial"/>
          <w:lang w:val="es-CO"/>
        </w:rPr>
        <w:t xml:space="preserve"> (i) reducción de pérdidas </w:t>
      </w:r>
      <w:r w:rsidR="001E2B29" w:rsidRPr="006B3F28">
        <w:rPr>
          <w:rFonts w:cs="Arial"/>
          <w:lang w:val="es-CO"/>
        </w:rPr>
        <w:t xml:space="preserve">técnicas </w:t>
      </w:r>
      <w:r w:rsidRPr="006B3F28">
        <w:rPr>
          <w:rFonts w:cs="Arial"/>
          <w:lang w:val="es-CO"/>
        </w:rPr>
        <w:t>de electricidad; y (ii) mejora en la confiabilidad del servicio</w:t>
      </w:r>
      <w:bookmarkEnd w:id="27"/>
      <w:r w:rsidR="006B3F28">
        <w:rPr>
          <w:rFonts w:cs="Arial"/>
          <w:lang w:val="es-CO"/>
        </w:rPr>
        <w:t>; y (iii) incremento en capacidad de transmisión</w:t>
      </w:r>
      <w:r w:rsidRPr="006B3F28">
        <w:rPr>
          <w:rFonts w:cs="Arial"/>
          <w:lang w:val="es-CO"/>
        </w:rPr>
        <w:t xml:space="preserve">. </w:t>
      </w:r>
      <w:r w:rsidR="006B3F28" w:rsidRPr="006B3F28">
        <w:rPr>
          <w:rFonts w:cs="Arial"/>
          <w:lang w:val="es-CO"/>
        </w:rPr>
        <w:t>El reforzamiento del sistema de transmisión amplia significativamente la capacidad de atender el crecimiento de la demanda esperada. Esta capacidad incrementada está reflejada en los flujos de carga proyectados en la situación con proyecto</w:t>
      </w:r>
      <w:r w:rsidR="008A41B3">
        <w:rPr>
          <w:rFonts w:cs="Arial"/>
          <w:lang w:val="es-CO"/>
        </w:rPr>
        <w:t>,</w:t>
      </w:r>
      <w:r w:rsidR="006B3F28" w:rsidRPr="006B3F28">
        <w:rPr>
          <w:rFonts w:cs="Arial"/>
          <w:lang w:val="es-CO"/>
        </w:rPr>
        <w:t xml:space="preserve"> en la muestra.  </w:t>
      </w:r>
    </w:p>
    <w:p w14:paraId="79D61378" w14:textId="00DFD2D2" w:rsidR="00C60314" w:rsidRPr="00C60314" w:rsidRDefault="00C60314" w:rsidP="00C60314">
      <w:pPr>
        <w:pStyle w:val="ListParagraph"/>
        <w:numPr>
          <w:ilvl w:val="1"/>
          <w:numId w:val="3"/>
        </w:numPr>
        <w:spacing w:before="120"/>
        <w:ind w:left="720" w:hanging="720"/>
        <w:jc w:val="both"/>
        <w:rPr>
          <w:rFonts w:cs="Arial"/>
          <w:lang w:val="es-CO"/>
        </w:rPr>
      </w:pPr>
      <w:r w:rsidRPr="00C60314">
        <w:rPr>
          <w:rFonts w:cs="Arial"/>
          <w:lang w:val="es-CO"/>
        </w:rPr>
        <w:t xml:space="preserve">Un factor adicional que influye en el costo actual del sistema en la LT SPSS-SBV, es el sobrecosto que se ocasiona en el despacho, por la obligatoriedad de generación de los proyectos fotovoltaicos, a pesar de las restricciones de transformación en la LT SPSS-SBV, bajo voltaje y sobrecarga.  Los estudios técnicos de este proyecto SPSS-SBV determinan que </w:t>
      </w:r>
      <w:bookmarkStart w:id="28" w:name="_Hlk513625716"/>
      <w:r w:rsidRPr="00C60314">
        <w:rPr>
          <w:rFonts w:cs="Arial"/>
          <w:lang w:val="es-CO"/>
        </w:rPr>
        <w:t xml:space="preserve">los refuerzos contemplados con la inversión evitarán este sobrecosto del despacho. En 2016 este sobrecosto fue de US$33,66 millones. El análisis </w:t>
      </w:r>
      <w:r>
        <w:rPr>
          <w:rFonts w:cs="Arial"/>
          <w:lang w:val="es-CO"/>
        </w:rPr>
        <w:t>incorpora este</w:t>
      </w:r>
      <w:r w:rsidR="006B3F28">
        <w:rPr>
          <w:rFonts w:cs="Arial"/>
          <w:lang w:val="es-CO"/>
        </w:rPr>
        <w:t xml:space="preserve"> ahorro como </w:t>
      </w:r>
      <w:r>
        <w:rPr>
          <w:rFonts w:cs="Arial"/>
          <w:lang w:val="es-CO"/>
        </w:rPr>
        <w:t xml:space="preserve"> beneficio</w:t>
      </w:r>
      <w:r w:rsidR="006B3F28">
        <w:rPr>
          <w:rFonts w:cs="Arial"/>
          <w:lang w:val="es-CO"/>
        </w:rPr>
        <w:t xml:space="preserve"> que se derivaría del proyecto, </w:t>
      </w:r>
      <w:r>
        <w:rPr>
          <w:rFonts w:cs="Arial"/>
          <w:lang w:val="es-CO"/>
        </w:rPr>
        <w:t xml:space="preserve"> </w:t>
      </w:r>
      <w:r w:rsidRPr="00C60314">
        <w:rPr>
          <w:rFonts w:cs="Arial"/>
          <w:lang w:val="es-CO"/>
        </w:rPr>
        <w:t>proyect</w:t>
      </w:r>
      <w:r>
        <w:rPr>
          <w:rFonts w:cs="Arial"/>
          <w:lang w:val="es-CO"/>
        </w:rPr>
        <w:t>ando</w:t>
      </w:r>
      <w:r w:rsidRPr="00C60314">
        <w:rPr>
          <w:rFonts w:cs="Arial"/>
          <w:lang w:val="es-CO"/>
        </w:rPr>
        <w:t xml:space="preserve"> </w:t>
      </w:r>
      <w:r w:rsidR="00AB7FFD">
        <w:rPr>
          <w:rFonts w:cs="Arial"/>
          <w:lang w:val="es-CO"/>
        </w:rPr>
        <w:t>el</w:t>
      </w:r>
      <w:r w:rsidRPr="00C60314">
        <w:rPr>
          <w:rFonts w:cs="Arial"/>
          <w:lang w:val="es-CO"/>
        </w:rPr>
        <w:t xml:space="preserve"> sobrecosto en el que se seguiría incurriendo en la operación del proyecto SPSS-SBV, si no se realizan las inversiones.</w:t>
      </w:r>
      <w:r w:rsidR="00A27613">
        <w:rPr>
          <w:rFonts w:cs="Arial"/>
          <w:lang w:val="es-CO"/>
        </w:rPr>
        <w:t xml:space="preserve"> Este ahorro</w:t>
      </w:r>
      <w:r w:rsidR="00865FCC">
        <w:rPr>
          <w:rFonts w:cs="Arial"/>
          <w:lang w:val="es-CO"/>
        </w:rPr>
        <w:t xml:space="preserve"> representa el estimulo o incentivo para incorporar ERNC al sistema</w:t>
      </w:r>
      <w:bookmarkEnd w:id="28"/>
      <w:r w:rsidR="00865FCC">
        <w:rPr>
          <w:rFonts w:cs="Arial"/>
          <w:lang w:val="es-CO"/>
        </w:rPr>
        <w:t xml:space="preserve">.  </w:t>
      </w:r>
    </w:p>
    <w:bookmarkEnd w:id="26"/>
    <w:p w14:paraId="24B5DEAD" w14:textId="77777777" w:rsidR="00D365FF" w:rsidRPr="00B25093" w:rsidRDefault="00D365FF" w:rsidP="00D365FF">
      <w:pPr>
        <w:numPr>
          <w:ilvl w:val="1"/>
          <w:numId w:val="3"/>
        </w:numPr>
        <w:spacing w:before="120"/>
        <w:ind w:left="720" w:hanging="720"/>
        <w:jc w:val="both"/>
        <w:rPr>
          <w:rFonts w:cs="Arial"/>
          <w:lang w:val="es-CO"/>
        </w:rPr>
      </w:pPr>
      <w:r>
        <w:rPr>
          <w:rFonts w:cs="Arial"/>
          <w:u w:val="single"/>
          <w:lang w:val="es-CO"/>
        </w:rPr>
        <w:lastRenderedPageBreak/>
        <w:t>R</w:t>
      </w:r>
      <w:r w:rsidRPr="00B25093">
        <w:rPr>
          <w:rFonts w:cs="Arial"/>
          <w:u w:val="single"/>
          <w:lang w:val="es-CO"/>
        </w:rPr>
        <w:t>educción de pérdidas</w:t>
      </w:r>
      <w:r w:rsidR="001E2B29">
        <w:rPr>
          <w:rFonts w:cs="Arial"/>
          <w:u w:val="single"/>
          <w:lang w:val="es-CO"/>
        </w:rPr>
        <w:t xml:space="preserve"> técnicas</w:t>
      </w:r>
      <w:r w:rsidRPr="00B25093">
        <w:rPr>
          <w:rFonts w:cs="Arial"/>
          <w:lang w:val="es-CO"/>
        </w:rPr>
        <w:t xml:space="preserve">. </w:t>
      </w:r>
      <w:bookmarkStart w:id="29" w:name="_Hlk513320680"/>
      <w:r w:rsidRPr="00B25093">
        <w:rPr>
          <w:rFonts w:cs="Arial"/>
          <w:lang w:val="es-CO"/>
        </w:rPr>
        <w:t>Para evaluar los beneficios por reducción de pérdidas, se realizó una estimación de las proyecciones de energía asociadas a los proyectos de la muestra. Se utilizó como herramienta de análisis de sistemas de potencia, el programa llamado “</w:t>
      </w:r>
      <w:proofErr w:type="spellStart"/>
      <w:r w:rsidRPr="00B25093">
        <w:rPr>
          <w:rFonts w:cs="Arial"/>
          <w:i/>
          <w:lang w:val="es-CO"/>
        </w:rPr>
        <w:t>DigSilent</w:t>
      </w:r>
      <w:proofErr w:type="spellEnd"/>
      <w:r w:rsidRPr="00B25093">
        <w:rPr>
          <w:rFonts w:cs="Arial"/>
          <w:i/>
          <w:lang w:val="es-CO"/>
        </w:rPr>
        <w:t xml:space="preserve"> </w:t>
      </w:r>
      <w:proofErr w:type="spellStart"/>
      <w:r w:rsidRPr="00B25093">
        <w:rPr>
          <w:rFonts w:cs="Arial"/>
          <w:i/>
          <w:lang w:val="es-CO"/>
        </w:rPr>
        <w:t>Power</w:t>
      </w:r>
      <w:proofErr w:type="spellEnd"/>
      <w:r w:rsidRPr="00B25093">
        <w:rPr>
          <w:rFonts w:cs="Arial"/>
          <w:i/>
          <w:lang w:val="es-CO"/>
        </w:rPr>
        <w:t xml:space="preserve"> Factory</w:t>
      </w:r>
      <w:r w:rsidRPr="00B25093">
        <w:rPr>
          <w:rFonts w:cs="Arial"/>
          <w:lang w:val="es-CO"/>
        </w:rPr>
        <w:t xml:space="preserve">” empleado por ENEE </w:t>
      </w:r>
      <w:bookmarkStart w:id="30" w:name="_Hlk513320763"/>
      <w:bookmarkEnd w:id="29"/>
      <w:r w:rsidRPr="00B25093">
        <w:rPr>
          <w:rFonts w:cs="Arial"/>
          <w:lang w:val="es-CO"/>
        </w:rPr>
        <w:t>de acuerdo con los siguientes criterios técnicos</w:t>
      </w:r>
      <w:bookmarkEnd w:id="30"/>
      <w:r w:rsidRPr="00B25093">
        <w:rPr>
          <w:rFonts w:cs="Arial"/>
          <w:lang w:val="es-CO"/>
        </w:rPr>
        <w:t>:</w:t>
      </w:r>
    </w:p>
    <w:p w14:paraId="702C64E4" w14:textId="77777777" w:rsidR="00D365FF" w:rsidRPr="00B25093" w:rsidRDefault="00D365FF" w:rsidP="00D365FF">
      <w:pPr>
        <w:numPr>
          <w:ilvl w:val="1"/>
          <w:numId w:val="19"/>
        </w:numPr>
        <w:spacing w:before="120"/>
        <w:ind w:left="1080" w:hanging="360"/>
        <w:jc w:val="both"/>
        <w:rPr>
          <w:rFonts w:cs="Arial"/>
          <w:lang w:val="es-CO"/>
        </w:rPr>
      </w:pPr>
      <w:bookmarkStart w:id="31" w:name="_Hlk513320724"/>
      <w:r w:rsidRPr="00B25093">
        <w:rPr>
          <w:rFonts w:cs="Arial"/>
          <w:lang w:val="es-CO"/>
        </w:rPr>
        <w:t>Las condiciones de demanda y generación son las que determinó la ENEE.</w:t>
      </w:r>
    </w:p>
    <w:p w14:paraId="72277B0E" w14:textId="77777777" w:rsidR="00D365FF" w:rsidRPr="00F91C3E" w:rsidRDefault="00D365FF" w:rsidP="00D365FF">
      <w:pPr>
        <w:numPr>
          <w:ilvl w:val="1"/>
          <w:numId w:val="19"/>
        </w:numPr>
        <w:spacing w:before="120"/>
        <w:ind w:left="1080" w:hanging="360"/>
        <w:jc w:val="both"/>
        <w:rPr>
          <w:rFonts w:cs="Arial"/>
          <w:lang w:val="es-CO"/>
        </w:rPr>
      </w:pPr>
      <w:r w:rsidRPr="00B25093">
        <w:rPr>
          <w:rFonts w:cs="Arial"/>
          <w:lang w:val="es-CO"/>
        </w:rPr>
        <w:t>Escenarios de demanda y generación considerados: máxima, media y mínima del SIN en las estaciones “seca y húmeda”. La estación seca implica que las centrales hidroeléctricas tienen menor disponibilidad de generación y por lo tanto es necesario disponer de más generación térmica.</w:t>
      </w:r>
      <w:r w:rsidRPr="00201868">
        <w:rPr>
          <w:rFonts w:cs="Arial"/>
          <w:lang w:val="es-CO"/>
        </w:rPr>
        <w:t xml:space="preserve"> </w:t>
      </w:r>
      <w:r w:rsidRPr="00F91C3E">
        <w:rPr>
          <w:rFonts w:cs="Arial"/>
          <w:lang w:val="es-CO"/>
        </w:rPr>
        <w:t xml:space="preserve">En el Anexo </w:t>
      </w:r>
      <w:r>
        <w:rPr>
          <w:rFonts w:cs="Arial"/>
          <w:lang w:val="es-CO"/>
        </w:rPr>
        <w:t>B</w:t>
      </w:r>
      <w:r w:rsidRPr="00F91C3E">
        <w:rPr>
          <w:rFonts w:cs="Arial"/>
          <w:lang w:val="es-CO"/>
        </w:rPr>
        <w:t xml:space="preserve"> se incluyen las proyecciones de demanda aplicadas y los resultados obtenidos.</w:t>
      </w:r>
    </w:p>
    <w:p w14:paraId="6FA8CE94" w14:textId="77777777" w:rsidR="00D365FF" w:rsidRPr="00B25093" w:rsidRDefault="00D365FF" w:rsidP="00D365FF">
      <w:pPr>
        <w:numPr>
          <w:ilvl w:val="1"/>
          <w:numId w:val="19"/>
        </w:numPr>
        <w:spacing w:before="120"/>
        <w:ind w:left="1080" w:hanging="360"/>
        <w:jc w:val="both"/>
        <w:rPr>
          <w:rFonts w:cs="Arial"/>
          <w:lang w:val="es-CO"/>
        </w:rPr>
      </w:pPr>
      <w:r w:rsidRPr="00B25093">
        <w:rPr>
          <w:rFonts w:cs="Arial"/>
          <w:lang w:val="es-CO"/>
        </w:rPr>
        <w:t xml:space="preserve">Los niveles de tensión en barras aceptados deben estar entre 0.95 y 1.05 </w:t>
      </w:r>
      <w:proofErr w:type="spellStart"/>
      <w:r w:rsidRPr="00B25093">
        <w:rPr>
          <w:rFonts w:cs="Arial"/>
          <w:lang w:val="es-CO"/>
        </w:rPr>
        <w:t>pu</w:t>
      </w:r>
      <w:proofErr w:type="spellEnd"/>
      <w:r w:rsidRPr="00B25093">
        <w:rPr>
          <w:rFonts w:cs="Arial"/>
          <w:lang w:val="es-CO"/>
        </w:rPr>
        <w:t xml:space="preserve">, en condiciones normales de operación; y hasta 1.10 </w:t>
      </w:r>
      <w:proofErr w:type="spellStart"/>
      <w:r w:rsidRPr="00B25093">
        <w:rPr>
          <w:rFonts w:cs="Arial"/>
          <w:lang w:val="es-CO"/>
        </w:rPr>
        <w:t>pu</w:t>
      </w:r>
      <w:proofErr w:type="spellEnd"/>
      <w:r w:rsidRPr="00B25093">
        <w:rPr>
          <w:rFonts w:cs="Arial"/>
          <w:lang w:val="es-CO"/>
        </w:rPr>
        <w:t>. en condiciones de emergencia.</w:t>
      </w:r>
    </w:p>
    <w:p w14:paraId="3A0A05C4" w14:textId="77777777" w:rsidR="00D365FF" w:rsidRPr="00B25093" w:rsidRDefault="00D365FF" w:rsidP="00D365FF">
      <w:pPr>
        <w:numPr>
          <w:ilvl w:val="1"/>
          <w:numId w:val="19"/>
        </w:numPr>
        <w:spacing w:before="120"/>
        <w:ind w:left="1080" w:hanging="360"/>
        <w:jc w:val="both"/>
        <w:rPr>
          <w:rFonts w:cs="Arial"/>
          <w:lang w:val="es-CO"/>
        </w:rPr>
      </w:pPr>
      <w:r w:rsidRPr="00B25093">
        <w:rPr>
          <w:rFonts w:cs="Arial"/>
          <w:lang w:val="es-CO"/>
        </w:rPr>
        <w:t>Los niveles de carga máximos para los componentes de líneas y transformadores de transmisión y distribución no deben ser mayores al 100% de la capacidad de su límite térmico, en condiciones normales de operación; y hasta 110% en condiciones de emergencia.</w:t>
      </w:r>
    </w:p>
    <w:p w14:paraId="2D8C0FBD" w14:textId="77777777" w:rsidR="00D365FF" w:rsidRPr="00B25093" w:rsidRDefault="00D365FF" w:rsidP="00D365FF">
      <w:pPr>
        <w:numPr>
          <w:ilvl w:val="1"/>
          <w:numId w:val="19"/>
        </w:numPr>
        <w:spacing w:before="120"/>
        <w:ind w:left="1080" w:hanging="360"/>
        <w:jc w:val="both"/>
        <w:rPr>
          <w:rFonts w:cs="Arial"/>
          <w:lang w:val="es-CO"/>
        </w:rPr>
      </w:pPr>
      <w:r w:rsidRPr="00B25093">
        <w:rPr>
          <w:rFonts w:cs="Arial"/>
          <w:lang w:val="es-CO"/>
        </w:rPr>
        <w:t xml:space="preserve">A partir de 2024, el beneficio </w:t>
      </w:r>
      <w:r>
        <w:rPr>
          <w:rFonts w:cs="Arial"/>
          <w:lang w:val="es-CO"/>
        </w:rPr>
        <w:t xml:space="preserve">logrado </w:t>
      </w:r>
      <w:r w:rsidRPr="00B25093">
        <w:rPr>
          <w:rFonts w:cs="Arial"/>
          <w:lang w:val="es-CO"/>
        </w:rPr>
        <w:t>de la reducción de pérdidas se mantiene constante</w:t>
      </w:r>
      <w:r w:rsidR="007A0260">
        <w:rPr>
          <w:rFonts w:cs="Arial"/>
          <w:lang w:val="es-CO"/>
        </w:rPr>
        <w:t xml:space="preserve"> en términos porcentuales</w:t>
      </w:r>
      <w:bookmarkEnd w:id="31"/>
      <w:r w:rsidR="007A0260">
        <w:rPr>
          <w:rFonts w:cs="Arial"/>
          <w:lang w:val="es-CO"/>
        </w:rPr>
        <w:t xml:space="preserve">. </w:t>
      </w:r>
    </w:p>
    <w:p w14:paraId="71448FD6" w14:textId="77777777" w:rsidR="00B76390" w:rsidRPr="001E2B29" w:rsidRDefault="001E2B29" w:rsidP="003A1103">
      <w:pPr>
        <w:pStyle w:val="ListParagraph"/>
        <w:numPr>
          <w:ilvl w:val="1"/>
          <w:numId w:val="3"/>
        </w:numPr>
        <w:spacing w:before="120"/>
        <w:ind w:left="720" w:hanging="720"/>
        <w:jc w:val="both"/>
        <w:rPr>
          <w:rFonts w:cs="Arial"/>
          <w:color w:val="000000"/>
          <w:lang w:val="es-CO"/>
        </w:rPr>
      </w:pPr>
      <w:r w:rsidRPr="001E2B29">
        <w:rPr>
          <w:rFonts w:cs="Arial"/>
          <w:color w:val="000000"/>
          <w:lang w:val="es-CO"/>
        </w:rPr>
        <w:t xml:space="preserve">La </w:t>
      </w:r>
      <w:bookmarkStart w:id="32" w:name="_Hlk513320812"/>
      <w:r w:rsidRPr="001E2B29">
        <w:rPr>
          <w:rFonts w:cs="Arial"/>
          <w:color w:val="000000"/>
          <w:lang w:val="es-CO"/>
        </w:rPr>
        <w:t>ENEE llevó a cabo u</w:t>
      </w:r>
      <w:r w:rsidR="00D365FF" w:rsidRPr="001E2B29">
        <w:rPr>
          <w:rFonts w:cs="Arial"/>
          <w:color w:val="000000"/>
          <w:lang w:val="es-CO"/>
        </w:rPr>
        <w:t xml:space="preserve">n estudio de Flujos de Potencia para determinar los posibles beneficios y </w:t>
      </w:r>
      <w:r w:rsidR="00D365FF" w:rsidRPr="001E2B29">
        <w:rPr>
          <w:rFonts w:cs="Arial"/>
          <w:lang w:val="es-CO"/>
        </w:rPr>
        <w:t>problemas</w:t>
      </w:r>
      <w:r w:rsidR="00D365FF" w:rsidRPr="001E2B29">
        <w:rPr>
          <w:rFonts w:cs="Arial"/>
          <w:color w:val="000000"/>
          <w:lang w:val="es-CO"/>
        </w:rPr>
        <w:t xml:space="preserve"> técnicos en el SIN que podrían ser producto de la entrada en operación del proyecto, bajo condiciones normales de operación</w:t>
      </w:r>
      <w:bookmarkEnd w:id="32"/>
      <w:r w:rsidR="00D365FF" w:rsidRPr="001E2B29">
        <w:rPr>
          <w:rFonts w:cs="Arial"/>
          <w:color w:val="000000"/>
          <w:lang w:val="es-CO"/>
        </w:rPr>
        <w:t>. Se realizaron flujos de potencia para los casos de estudio</w:t>
      </w:r>
      <w:r w:rsidRPr="001E2B29">
        <w:rPr>
          <w:rFonts w:cs="Arial"/>
          <w:color w:val="000000"/>
          <w:lang w:val="es-CO"/>
        </w:rPr>
        <w:t xml:space="preserve"> presentados en el Cuadro 3</w:t>
      </w:r>
      <w:r w:rsidR="00690CD8">
        <w:rPr>
          <w:rFonts w:cs="Arial"/>
          <w:color w:val="000000"/>
          <w:lang w:val="es-CO"/>
        </w:rPr>
        <w:t>.</w:t>
      </w:r>
    </w:p>
    <w:p w14:paraId="6E4EFE33" w14:textId="77777777" w:rsidR="00D365FF" w:rsidRPr="00F91C3E" w:rsidRDefault="00D365FF" w:rsidP="00D365FF">
      <w:pPr>
        <w:widowControl w:val="0"/>
        <w:autoSpaceDE w:val="0"/>
        <w:autoSpaceDN w:val="0"/>
        <w:adjustRightInd w:val="0"/>
        <w:ind w:left="426"/>
        <w:jc w:val="both"/>
        <w:rPr>
          <w:rFonts w:cs="Arial"/>
          <w:color w:val="000000"/>
          <w:lang w:val="es-CO"/>
        </w:rPr>
      </w:pPr>
    </w:p>
    <w:p w14:paraId="677AD54C" w14:textId="77777777" w:rsidR="00D365FF" w:rsidRPr="0038309F" w:rsidRDefault="00D365FF" w:rsidP="00D365FF">
      <w:pPr>
        <w:widowControl w:val="0"/>
        <w:autoSpaceDE w:val="0"/>
        <w:autoSpaceDN w:val="0"/>
        <w:adjustRightInd w:val="0"/>
        <w:ind w:left="426"/>
        <w:jc w:val="center"/>
        <w:rPr>
          <w:rFonts w:cs="Arial"/>
          <w:b/>
          <w:color w:val="000000"/>
          <w:lang w:val="es-CO"/>
        </w:rPr>
      </w:pPr>
      <w:r w:rsidRPr="0038309F">
        <w:rPr>
          <w:rFonts w:cs="Arial"/>
          <w:b/>
          <w:color w:val="000000"/>
          <w:lang w:val="es-CO"/>
        </w:rPr>
        <w:t xml:space="preserve">Cuadro 3 </w:t>
      </w:r>
      <w:r>
        <w:rPr>
          <w:rFonts w:cs="Arial"/>
          <w:b/>
          <w:color w:val="000000"/>
          <w:lang w:val="es-CO"/>
        </w:rPr>
        <w:t xml:space="preserve">- </w:t>
      </w:r>
      <w:r w:rsidRPr="0038309F">
        <w:rPr>
          <w:rFonts w:cs="Arial"/>
          <w:b/>
          <w:color w:val="000000"/>
          <w:lang w:val="es-CO"/>
        </w:rPr>
        <w:t>Casos de Estudio para la evaluación en estado estable</w:t>
      </w:r>
    </w:p>
    <w:p w14:paraId="6E55BEAA" w14:textId="77777777" w:rsidR="00D365FF" w:rsidRPr="008420E8" w:rsidRDefault="00D365FF" w:rsidP="00D365FF">
      <w:pPr>
        <w:widowControl w:val="0"/>
        <w:autoSpaceDE w:val="0"/>
        <w:autoSpaceDN w:val="0"/>
        <w:adjustRightInd w:val="0"/>
        <w:spacing w:before="120"/>
        <w:ind w:left="720"/>
        <w:rPr>
          <w:rFonts w:cs="Arial"/>
          <w:b/>
          <w:color w:val="000000"/>
          <w:sz w:val="20"/>
          <w:lang w:val="es-CO"/>
        </w:rPr>
      </w:pPr>
      <w:r w:rsidRPr="001731B9">
        <w:rPr>
          <w:rFonts w:cs="Arial"/>
          <w:b/>
          <w:color w:val="000000"/>
          <w:sz w:val="20"/>
          <w:lang w:val="es-CO"/>
        </w:rPr>
        <w:t xml:space="preserve">Proyecto </w:t>
      </w:r>
      <w:r w:rsidRPr="001731B9">
        <w:rPr>
          <w:rFonts w:cs="Arial"/>
          <w:b/>
          <w:color w:val="000000"/>
          <w:sz w:val="18"/>
          <w:szCs w:val="18"/>
          <w:lang w:val="es-CO"/>
        </w:rPr>
        <w:t>LT</w:t>
      </w:r>
      <w:r w:rsidRPr="001731B9">
        <w:rPr>
          <w:rFonts w:cs="Arial"/>
          <w:b/>
          <w:color w:val="000000"/>
          <w:sz w:val="20"/>
          <w:lang w:val="es-CO"/>
        </w:rPr>
        <w:t xml:space="preserve"> SBV-SPSS </w:t>
      </w:r>
    </w:p>
    <w:p w14:paraId="6A807BD6" w14:textId="77777777" w:rsidR="00D365FF" w:rsidRPr="00F91C3E" w:rsidRDefault="00D365FF" w:rsidP="00D365FF">
      <w:pPr>
        <w:widowControl w:val="0"/>
        <w:autoSpaceDE w:val="0"/>
        <w:autoSpaceDN w:val="0"/>
        <w:adjustRightInd w:val="0"/>
        <w:ind w:left="426"/>
        <w:jc w:val="center"/>
        <w:rPr>
          <w:rFonts w:cs="Arial"/>
          <w:color w:val="000000"/>
          <w:lang w:val="es-CO"/>
        </w:rPr>
      </w:pPr>
      <w:r w:rsidRPr="00F91C3E">
        <w:rPr>
          <w:rFonts w:cs="Arial"/>
          <w:noProof/>
          <w:lang w:val="es-CO" w:eastAsia="es-HN"/>
        </w:rPr>
        <w:drawing>
          <wp:inline distT="0" distB="0" distL="0" distR="0" wp14:anchorId="1C39A62A" wp14:editId="6AA858F2">
            <wp:extent cx="5391150" cy="1445807"/>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4851" cy="1462890"/>
                    </a:xfrm>
                    <a:prstGeom prst="rect">
                      <a:avLst/>
                    </a:prstGeom>
                    <a:noFill/>
                    <a:ln>
                      <a:noFill/>
                    </a:ln>
                  </pic:spPr>
                </pic:pic>
              </a:graphicData>
            </a:graphic>
          </wp:inline>
        </w:drawing>
      </w:r>
    </w:p>
    <w:p w14:paraId="5E1BB927" w14:textId="77777777" w:rsidR="00D365FF" w:rsidRDefault="00D365FF" w:rsidP="00D365FF">
      <w:pPr>
        <w:widowControl w:val="0"/>
        <w:autoSpaceDE w:val="0"/>
        <w:autoSpaceDN w:val="0"/>
        <w:adjustRightInd w:val="0"/>
        <w:ind w:left="1440"/>
        <w:rPr>
          <w:rFonts w:cs="Arial"/>
          <w:color w:val="000000"/>
          <w:sz w:val="18"/>
          <w:szCs w:val="18"/>
          <w:lang w:val="es-CO"/>
        </w:rPr>
      </w:pPr>
    </w:p>
    <w:p w14:paraId="689AE309" w14:textId="77777777" w:rsidR="00D365FF" w:rsidRDefault="00D365FF" w:rsidP="00D365FF">
      <w:pPr>
        <w:widowControl w:val="0"/>
        <w:autoSpaceDE w:val="0"/>
        <w:autoSpaceDN w:val="0"/>
        <w:adjustRightInd w:val="0"/>
        <w:ind w:left="450" w:firstLine="270"/>
        <w:rPr>
          <w:rFonts w:cs="Arial"/>
          <w:color w:val="000000"/>
          <w:sz w:val="18"/>
          <w:szCs w:val="18"/>
          <w:lang w:val="es-CO"/>
        </w:rPr>
      </w:pPr>
      <w:r w:rsidRPr="001731B9">
        <w:rPr>
          <w:rFonts w:cs="Arial"/>
          <w:b/>
          <w:color w:val="000000"/>
          <w:sz w:val="18"/>
          <w:szCs w:val="18"/>
          <w:lang w:val="es-CO"/>
        </w:rPr>
        <w:t>Proyecto LT Laínez-Miraflores</w:t>
      </w:r>
      <w:r w:rsidRPr="007356E1">
        <w:rPr>
          <w:noProof/>
        </w:rPr>
        <w:lastRenderedPageBreak/>
        <w:drawing>
          <wp:inline distT="0" distB="0" distL="0" distR="0" wp14:anchorId="576924E3" wp14:editId="77B904A9">
            <wp:extent cx="5483732" cy="151447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806" cy="1539075"/>
                    </a:xfrm>
                    <a:prstGeom prst="rect">
                      <a:avLst/>
                    </a:prstGeom>
                    <a:noFill/>
                    <a:ln>
                      <a:noFill/>
                    </a:ln>
                  </pic:spPr>
                </pic:pic>
              </a:graphicData>
            </a:graphic>
          </wp:inline>
        </w:drawing>
      </w:r>
    </w:p>
    <w:p w14:paraId="1904B041" w14:textId="77777777" w:rsidR="00D365FF" w:rsidRPr="00F91C3E" w:rsidRDefault="00D365FF" w:rsidP="00D365FF">
      <w:pPr>
        <w:widowControl w:val="0"/>
        <w:autoSpaceDE w:val="0"/>
        <w:autoSpaceDN w:val="0"/>
        <w:adjustRightInd w:val="0"/>
        <w:ind w:left="720"/>
        <w:rPr>
          <w:rFonts w:cs="Arial"/>
          <w:color w:val="000000"/>
          <w:sz w:val="18"/>
          <w:szCs w:val="18"/>
          <w:lang w:val="es-CO"/>
        </w:rPr>
      </w:pPr>
      <w:r w:rsidRPr="00F91C3E">
        <w:rPr>
          <w:rFonts w:cs="Arial"/>
          <w:color w:val="000000"/>
          <w:sz w:val="18"/>
          <w:szCs w:val="18"/>
          <w:lang w:val="es-CO"/>
        </w:rPr>
        <w:t>Fuente: ENEE</w:t>
      </w:r>
    </w:p>
    <w:p w14:paraId="63EA7B3D" w14:textId="77777777" w:rsidR="00D365FF" w:rsidRDefault="00D365FF" w:rsidP="00D365FF">
      <w:pPr>
        <w:pStyle w:val="ListParagraph"/>
        <w:numPr>
          <w:ilvl w:val="1"/>
          <w:numId w:val="3"/>
        </w:numPr>
        <w:spacing w:before="240"/>
        <w:ind w:left="720" w:hanging="720"/>
        <w:jc w:val="both"/>
        <w:rPr>
          <w:rFonts w:cs="Arial"/>
          <w:color w:val="000000"/>
          <w:lang w:val="es-CO"/>
        </w:rPr>
      </w:pPr>
      <w:r w:rsidRPr="00F23807">
        <w:rPr>
          <w:rFonts w:cs="Arial"/>
          <w:color w:val="000000"/>
          <w:lang w:val="es-CO"/>
        </w:rPr>
        <w:t xml:space="preserve">Para calcular los beneficios esperados </w:t>
      </w:r>
      <w:bookmarkStart w:id="33" w:name="_Hlk513320880"/>
      <w:r w:rsidRPr="00F23807">
        <w:rPr>
          <w:rFonts w:cs="Arial"/>
          <w:color w:val="000000"/>
          <w:lang w:val="es-CO"/>
        </w:rPr>
        <w:t xml:space="preserve">se obtuvieron los resultados de flujos de carga y despacho bajo condiciones de Alta, Media y Baja carga </w:t>
      </w:r>
      <w:bookmarkEnd w:id="33"/>
      <w:r w:rsidRPr="00F23807">
        <w:rPr>
          <w:rFonts w:cs="Arial"/>
          <w:color w:val="000000"/>
          <w:lang w:val="es-CO"/>
        </w:rPr>
        <w:t>de los estudios realizados por ENEE en los Perfiles Técnicos (Anexo A) p</w:t>
      </w:r>
      <w:bookmarkStart w:id="34" w:name="_Hlk513320940"/>
      <w:r w:rsidRPr="00F23807">
        <w:rPr>
          <w:rFonts w:cs="Arial"/>
          <w:color w:val="000000"/>
          <w:lang w:val="es-CO"/>
        </w:rPr>
        <w:t>ara 2017, 2021 y 2024</w:t>
      </w:r>
      <w:r>
        <w:rPr>
          <w:rFonts w:cs="Arial"/>
          <w:color w:val="000000"/>
          <w:lang w:val="es-CO"/>
        </w:rPr>
        <w:t xml:space="preserve"> para el proyecto </w:t>
      </w:r>
      <w:bookmarkStart w:id="35" w:name="_Hlk495850195"/>
      <w:r>
        <w:rPr>
          <w:rFonts w:cs="Arial"/>
          <w:color w:val="000000"/>
          <w:lang w:val="es-CO"/>
        </w:rPr>
        <w:t>LT SBV-SPSS y obras asociadas</w:t>
      </w:r>
      <w:bookmarkEnd w:id="35"/>
      <w:r>
        <w:rPr>
          <w:rFonts w:cs="Arial"/>
          <w:color w:val="000000"/>
          <w:lang w:val="es-CO"/>
        </w:rPr>
        <w:t xml:space="preserve">; y 2017, 2021, 2024 y 2027 para </w:t>
      </w:r>
      <w:r w:rsidRPr="00F23807">
        <w:rPr>
          <w:rFonts w:cs="Arial"/>
          <w:color w:val="000000"/>
          <w:lang w:val="es-CO"/>
        </w:rPr>
        <w:t xml:space="preserve">para el proyecto </w:t>
      </w:r>
      <w:r>
        <w:rPr>
          <w:rFonts w:cs="Arial"/>
          <w:color w:val="000000"/>
          <w:lang w:val="es-CO"/>
        </w:rPr>
        <w:t>“Laínez-Miraflores</w:t>
      </w:r>
      <w:bookmarkEnd w:id="34"/>
      <w:r>
        <w:rPr>
          <w:rFonts w:cs="Arial"/>
          <w:color w:val="000000"/>
          <w:lang w:val="es-CO"/>
        </w:rPr>
        <w:t xml:space="preserve">”. Los datos se procesaron para obtener </w:t>
      </w:r>
      <w:r w:rsidRPr="00F23807">
        <w:rPr>
          <w:rFonts w:cs="Arial"/>
          <w:color w:val="000000"/>
          <w:lang w:val="es-CO"/>
        </w:rPr>
        <w:t xml:space="preserve">la </w:t>
      </w:r>
      <w:r w:rsidR="0040155A">
        <w:rPr>
          <w:rFonts w:cs="Arial"/>
          <w:color w:val="000000"/>
          <w:lang w:val="es-CO"/>
        </w:rPr>
        <w:t>variación en</w:t>
      </w:r>
      <w:r w:rsidRPr="00F23807">
        <w:rPr>
          <w:rFonts w:cs="Arial"/>
          <w:color w:val="000000"/>
          <w:lang w:val="es-CO"/>
        </w:rPr>
        <w:t xml:space="preserve"> pérdidas </w:t>
      </w:r>
      <w:r w:rsidR="0040155A">
        <w:rPr>
          <w:rFonts w:cs="Arial"/>
          <w:color w:val="000000"/>
          <w:lang w:val="es-CO"/>
        </w:rPr>
        <w:t xml:space="preserve">técnicas </w:t>
      </w:r>
      <w:r w:rsidRPr="00F23807">
        <w:rPr>
          <w:rFonts w:cs="Arial"/>
          <w:color w:val="000000"/>
          <w:lang w:val="es-CO"/>
        </w:rPr>
        <w:t xml:space="preserve">de electricidad </w:t>
      </w:r>
      <w:r w:rsidR="00FD1BF7">
        <w:rPr>
          <w:rFonts w:cs="Arial"/>
          <w:color w:val="000000"/>
          <w:lang w:val="es-CO"/>
        </w:rPr>
        <w:t xml:space="preserve">por transmisión </w:t>
      </w:r>
      <w:r w:rsidRPr="00F23807">
        <w:rPr>
          <w:rFonts w:cs="Arial"/>
          <w:color w:val="000000"/>
          <w:lang w:val="es-CO"/>
        </w:rPr>
        <w:t>en el SIN asociada</w:t>
      </w:r>
      <w:r w:rsidR="00FD1BF7">
        <w:rPr>
          <w:rFonts w:cs="Arial"/>
          <w:color w:val="000000"/>
          <w:lang w:val="es-CO"/>
        </w:rPr>
        <w:t>s</w:t>
      </w:r>
      <w:r w:rsidRPr="00F23807">
        <w:rPr>
          <w:rFonts w:cs="Arial"/>
          <w:color w:val="000000"/>
          <w:lang w:val="es-CO"/>
        </w:rPr>
        <w:t xml:space="preserve"> con </w:t>
      </w:r>
      <w:r w:rsidR="002224B9">
        <w:rPr>
          <w:rFonts w:cs="Arial"/>
          <w:color w:val="000000"/>
          <w:lang w:val="es-CO"/>
        </w:rPr>
        <w:t>cada</w:t>
      </w:r>
      <w:r w:rsidRPr="00F23807">
        <w:rPr>
          <w:rFonts w:cs="Arial"/>
          <w:color w:val="000000"/>
          <w:lang w:val="es-CO"/>
        </w:rPr>
        <w:t xml:space="preserve"> proyecto</w:t>
      </w:r>
      <w:r w:rsidR="00FD1BF7">
        <w:rPr>
          <w:rFonts w:cs="Arial"/>
          <w:color w:val="000000"/>
          <w:lang w:val="es-CO"/>
        </w:rPr>
        <w:t>,</w:t>
      </w:r>
      <w:r w:rsidR="002224B9">
        <w:rPr>
          <w:rFonts w:cs="Arial"/>
          <w:color w:val="000000"/>
          <w:lang w:val="es-CO"/>
        </w:rPr>
        <w:t xml:space="preserve"> a partir de los flujos de cargas con y sin </w:t>
      </w:r>
      <w:r w:rsidR="001D3BC3">
        <w:rPr>
          <w:rFonts w:cs="Arial"/>
          <w:color w:val="000000"/>
          <w:lang w:val="es-CO"/>
        </w:rPr>
        <w:t>proyecto.</w:t>
      </w:r>
      <w:r w:rsidR="0040155A">
        <w:rPr>
          <w:rFonts w:cs="Arial"/>
          <w:color w:val="000000"/>
          <w:lang w:val="es-CO"/>
        </w:rPr>
        <w:t xml:space="preserve"> </w:t>
      </w:r>
      <w:bookmarkStart w:id="36" w:name="_Hlk513321025"/>
      <w:r w:rsidR="002224B9">
        <w:rPr>
          <w:rFonts w:cs="Arial"/>
          <w:color w:val="000000"/>
          <w:lang w:val="es-CO"/>
        </w:rPr>
        <w:t>El nivel de pérdidas en distribución con el Proyecto LT Laínez-Miraflores se estima en 1</w:t>
      </w:r>
      <w:r w:rsidR="00D63D76">
        <w:rPr>
          <w:rFonts w:cs="Arial"/>
          <w:color w:val="000000"/>
          <w:lang w:val="es-CO"/>
        </w:rPr>
        <w:t>5</w:t>
      </w:r>
      <w:r w:rsidR="002224B9">
        <w:rPr>
          <w:rFonts w:cs="Arial"/>
          <w:color w:val="000000"/>
          <w:lang w:val="es-CO"/>
        </w:rPr>
        <w:t xml:space="preserve">%. </w:t>
      </w:r>
      <w:bookmarkEnd w:id="36"/>
      <w:r w:rsidRPr="00F23807">
        <w:rPr>
          <w:rFonts w:cs="Arial"/>
          <w:color w:val="000000"/>
          <w:lang w:val="es-CO"/>
        </w:rPr>
        <w:t xml:space="preserve">Estas </w:t>
      </w:r>
      <w:r w:rsidRPr="00E10DFA">
        <w:rPr>
          <w:rFonts w:cs="Arial"/>
          <w:color w:val="000000"/>
          <w:lang w:val="es-CO"/>
        </w:rPr>
        <w:t xml:space="preserve">proyecciones se utilizaron para estimar los beneficios correspondientes. En el Anexo </w:t>
      </w:r>
      <w:r w:rsidR="00C60314">
        <w:rPr>
          <w:rFonts w:cs="Arial"/>
          <w:color w:val="000000"/>
          <w:lang w:val="es-CO"/>
        </w:rPr>
        <w:t>B</w:t>
      </w:r>
      <w:r w:rsidRPr="00E10DFA">
        <w:rPr>
          <w:rFonts w:cs="Arial"/>
          <w:color w:val="000000"/>
          <w:lang w:val="es-CO"/>
        </w:rPr>
        <w:t xml:space="preserve"> se incluyen </w:t>
      </w:r>
      <w:bookmarkStart w:id="37" w:name="_Hlk513321054"/>
      <w:r w:rsidR="0040155A">
        <w:rPr>
          <w:rFonts w:cs="Arial"/>
          <w:color w:val="000000"/>
          <w:lang w:val="es-CO"/>
        </w:rPr>
        <w:t>l</w:t>
      </w:r>
      <w:r w:rsidRPr="00E10DFA">
        <w:rPr>
          <w:rFonts w:cs="Arial"/>
          <w:color w:val="000000"/>
          <w:lang w:val="es-CO"/>
        </w:rPr>
        <w:t>as proyecciones</w:t>
      </w:r>
      <w:r w:rsidR="0040155A">
        <w:rPr>
          <w:rFonts w:cs="Arial"/>
          <w:color w:val="000000"/>
          <w:lang w:val="es-CO"/>
        </w:rPr>
        <w:t xml:space="preserve"> de demanda</w:t>
      </w:r>
      <w:r w:rsidRPr="00E10DFA">
        <w:rPr>
          <w:rFonts w:cs="Arial"/>
          <w:color w:val="000000"/>
          <w:lang w:val="es-CO"/>
        </w:rPr>
        <w:t>, las cuales se estimaron con los costos marginales a nivel de bloque horario y por estaciones lluviosa y seca.</w:t>
      </w:r>
    </w:p>
    <w:p w14:paraId="3586B3E5" w14:textId="77777777" w:rsidR="00766602" w:rsidRDefault="00766602" w:rsidP="00766602">
      <w:pPr>
        <w:pStyle w:val="ListParagraph"/>
        <w:numPr>
          <w:ilvl w:val="1"/>
          <w:numId w:val="3"/>
        </w:numPr>
        <w:spacing w:before="240"/>
        <w:ind w:left="720" w:hanging="720"/>
        <w:jc w:val="both"/>
        <w:rPr>
          <w:rFonts w:cs="Arial"/>
          <w:color w:val="000000"/>
          <w:lang w:val="es-CO"/>
        </w:rPr>
      </w:pPr>
      <w:bookmarkStart w:id="38" w:name="_Hlk513321142"/>
      <w:bookmarkEnd w:id="37"/>
      <w:r>
        <w:rPr>
          <w:rFonts w:cs="Arial"/>
          <w:color w:val="000000"/>
          <w:lang w:val="es-CO"/>
        </w:rPr>
        <w:t xml:space="preserve">Para la valoración de las pérdidas eléctricas </w:t>
      </w:r>
      <w:r w:rsidRPr="00766602">
        <w:rPr>
          <w:rFonts w:cs="Arial"/>
          <w:color w:val="000000"/>
          <w:lang w:val="es-CO"/>
        </w:rPr>
        <w:t>se usó como referencia el valor promedio del Costo Marginal de Corto Plazo de la Energía Pura</w:t>
      </w:r>
      <w:r w:rsidR="00793E4A">
        <w:rPr>
          <w:rFonts w:cs="Arial"/>
          <w:color w:val="000000"/>
          <w:lang w:val="es-CO"/>
        </w:rPr>
        <w:t>, actualizado a 2017 (60,44 US$/MWh)</w:t>
      </w:r>
      <w:r w:rsidRPr="00766602">
        <w:rPr>
          <w:rFonts w:cs="Arial"/>
          <w:color w:val="000000"/>
          <w:lang w:val="es-CO"/>
        </w:rPr>
        <w:t>.</w:t>
      </w:r>
    </w:p>
    <w:bookmarkEnd w:id="38"/>
    <w:p w14:paraId="0BB01EC7" w14:textId="77777777" w:rsidR="00D365FF" w:rsidRDefault="00D365FF" w:rsidP="00D365FF">
      <w:pPr>
        <w:pStyle w:val="ListParagraph"/>
        <w:numPr>
          <w:ilvl w:val="1"/>
          <w:numId w:val="3"/>
        </w:numPr>
        <w:spacing w:before="120"/>
        <w:ind w:left="720" w:hanging="720"/>
        <w:jc w:val="both"/>
        <w:rPr>
          <w:rFonts w:cs="Arial"/>
          <w:lang w:val="es-CO"/>
        </w:rPr>
      </w:pPr>
      <w:r w:rsidRPr="00F91C3E">
        <w:rPr>
          <w:rFonts w:cs="Arial"/>
          <w:u w:val="single"/>
          <w:lang w:val="es-CO"/>
        </w:rPr>
        <w:t>Mejora en la confiabilidad</w:t>
      </w:r>
      <w:r w:rsidRPr="00F91C3E">
        <w:rPr>
          <w:rFonts w:cs="Arial"/>
          <w:lang w:val="es-CO"/>
        </w:rPr>
        <w:t>. El programa incluye la construcción de nueva capacidad de transformación a 230/34</w:t>
      </w:r>
      <w:r w:rsidR="00E67C42">
        <w:rPr>
          <w:rFonts w:cs="Arial"/>
          <w:lang w:val="es-CO"/>
        </w:rPr>
        <w:t>,</w:t>
      </w:r>
      <w:r w:rsidRPr="00F91C3E">
        <w:rPr>
          <w:rFonts w:cs="Arial"/>
          <w:lang w:val="es-CO"/>
        </w:rPr>
        <w:t>5 kV, así como instalación de sistemas de seccionadores y otros elementos que mejorarán notablemente la confiabilidad del suministro en el área de influencia directa del proyecto, anteriormente atendida con circuitos a 34</w:t>
      </w:r>
      <w:r w:rsidR="00E67C42">
        <w:rPr>
          <w:rFonts w:cs="Arial"/>
          <w:lang w:val="es-CO"/>
        </w:rPr>
        <w:t>,</w:t>
      </w:r>
      <w:r w:rsidRPr="00F91C3E">
        <w:rPr>
          <w:rFonts w:cs="Arial"/>
          <w:lang w:val="es-CO"/>
        </w:rPr>
        <w:t>5 kV de gra</w:t>
      </w:r>
      <w:r>
        <w:rPr>
          <w:rFonts w:cs="Arial"/>
          <w:lang w:val="es-CO"/>
        </w:rPr>
        <w:t xml:space="preserve">n longitud, los cuales presentan relativa baja confiabilidad. En 2016 la energía no suministrada de interrupciones por falla en la zona norte fue 1028 MWh </w:t>
      </w:r>
      <w:r w:rsidRPr="00A64D8D">
        <w:rPr>
          <w:rFonts w:cs="Arial"/>
          <w:lang w:val="es-CO"/>
        </w:rPr>
        <w:t>y en el distrito central</w:t>
      </w:r>
      <w:r w:rsidR="00B218FD" w:rsidRPr="00A64D8D">
        <w:rPr>
          <w:rFonts w:cs="Arial"/>
          <w:lang w:val="es-CO"/>
        </w:rPr>
        <w:t xml:space="preserve"> </w:t>
      </w:r>
      <w:r w:rsidR="00D63D76">
        <w:rPr>
          <w:rFonts w:cs="Arial"/>
          <w:lang w:val="es-CO"/>
        </w:rPr>
        <w:t xml:space="preserve">fue </w:t>
      </w:r>
      <w:r w:rsidR="00B218FD" w:rsidRPr="00A64D8D">
        <w:rPr>
          <w:rFonts w:cs="Arial"/>
          <w:lang w:val="es-CO"/>
        </w:rPr>
        <w:t>1713</w:t>
      </w:r>
      <w:r w:rsidR="00A64D8D" w:rsidRPr="00A64D8D">
        <w:rPr>
          <w:rFonts w:cs="Arial"/>
          <w:lang w:val="es-CO"/>
        </w:rPr>
        <w:t xml:space="preserve"> MWh.</w:t>
      </w:r>
      <w:r w:rsidRPr="00A64D8D">
        <w:rPr>
          <w:rFonts w:cs="Arial"/>
          <w:lang w:val="es-CO"/>
        </w:rPr>
        <w:t xml:space="preserve"> </w:t>
      </w:r>
      <w:r w:rsidR="009B7A07">
        <w:rPr>
          <w:rFonts w:cs="Arial"/>
          <w:lang w:val="es-CO"/>
        </w:rPr>
        <w:t>Se</w:t>
      </w:r>
      <w:r w:rsidRPr="00A64D8D">
        <w:rPr>
          <w:rFonts w:cs="Arial"/>
          <w:lang w:val="es-CO"/>
        </w:rPr>
        <w:t xml:space="preserve"> espera</w:t>
      </w:r>
      <w:r w:rsidRPr="00F91C3E">
        <w:rPr>
          <w:rFonts w:cs="Arial"/>
          <w:lang w:val="es-CO"/>
        </w:rPr>
        <w:t xml:space="preserve"> que con el programa se podrá atender la demanda regional con una mayor confiabilidad de suministro. </w:t>
      </w:r>
    </w:p>
    <w:p w14:paraId="7E996FD0" w14:textId="77777777" w:rsidR="00D365FF" w:rsidRDefault="00D365FF" w:rsidP="00D365FF">
      <w:pPr>
        <w:pStyle w:val="ListParagraph"/>
        <w:numPr>
          <w:ilvl w:val="1"/>
          <w:numId w:val="3"/>
        </w:numPr>
        <w:spacing w:before="120"/>
        <w:ind w:left="720" w:hanging="720"/>
        <w:jc w:val="both"/>
        <w:rPr>
          <w:rFonts w:cs="Arial"/>
          <w:lang w:val="es-CO"/>
        </w:rPr>
      </w:pPr>
      <w:bookmarkStart w:id="39" w:name="_Hlk513321197"/>
      <w:r w:rsidRPr="00772EDD">
        <w:rPr>
          <w:rFonts w:cs="Arial"/>
          <w:lang w:val="es-CO"/>
        </w:rPr>
        <w:t xml:space="preserve">La reducción de energía de falla como resultado de la inversión </w:t>
      </w:r>
      <w:r w:rsidR="00CF73ED">
        <w:rPr>
          <w:rFonts w:cs="Arial"/>
          <w:lang w:val="es-CO"/>
        </w:rPr>
        <w:t xml:space="preserve">en ampliación de la capacidad de transformación del sistema de distribución para atender el crecimiento de la demanda, </w:t>
      </w:r>
      <w:r w:rsidRPr="00772EDD">
        <w:rPr>
          <w:rFonts w:cs="Arial"/>
          <w:lang w:val="es-CO"/>
        </w:rPr>
        <w:t xml:space="preserve">se estimó con base en un pronóstico conservador de reducción de ocurrencia de racionamientos de aproximadamente un </w:t>
      </w:r>
      <w:r w:rsidRPr="007D50E6">
        <w:rPr>
          <w:rFonts w:cs="Arial"/>
          <w:lang w:val="es-CO"/>
        </w:rPr>
        <w:t xml:space="preserve">30%, </w:t>
      </w:r>
      <w:bookmarkEnd w:id="39"/>
      <w:r w:rsidRPr="007D50E6">
        <w:rPr>
          <w:rFonts w:cs="Arial"/>
          <w:lang w:val="es-CO"/>
        </w:rPr>
        <w:t>teniendo</w:t>
      </w:r>
      <w:r w:rsidRPr="00772EDD">
        <w:rPr>
          <w:rFonts w:cs="Arial"/>
          <w:lang w:val="es-CO"/>
        </w:rPr>
        <w:t xml:space="preserve"> en cuenta el crecimiento de la demanda pronosticado por ENEE. Este pronóstico se basa en los resultados obtenidos de inversiones similares en la región</w:t>
      </w:r>
      <w:r>
        <w:rPr>
          <w:rStyle w:val="FootnoteReference"/>
          <w:rFonts w:cs="Arial"/>
          <w:lang w:val="es-CO"/>
        </w:rPr>
        <w:footnoteReference w:id="4"/>
      </w:r>
      <w:r w:rsidRPr="00772EDD">
        <w:rPr>
          <w:rFonts w:cs="Arial"/>
          <w:lang w:val="es-CO"/>
        </w:rPr>
        <w:t xml:space="preserve">. Si no se toman medidas de reforzamiento del sistema, la energía no suministrada crecería a un ritmo mayor que la demanda, debido a la creciente presión a la ya limitada capacidad de transmisión. </w:t>
      </w:r>
      <w:bookmarkStart w:id="40" w:name="_Hlk513321265"/>
      <w:r w:rsidRPr="00772EDD">
        <w:rPr>
          <w:rFonts w:cs="Arial"/>
          <w:lang w:val="es-CO"/>
        </w:rPr>
        <w:t>En el análisis se asume que la energía de falla crece al doble del ritmo de</w:t>
      </w:r>
      <w:r w:rsidR="00D822D9">
        <w:rPr>
          <w:rFonts w:cs="Arial"/>
          <w:lang w:val="es-CO"/>
        </w:rPr>
        <w:t>l</w:t>
      </w:r>
      <w:r w:rsidRPr="00772EDD">
        <w:rPr>
          <w:rFonts w:cs="Arial"/>
          <w:lang w:val="es-CO"/>
        </w:rPr>
        <w:t xml:space="preserve"> crecimiento de la demanda</w:t>
      </w:r>
      <w:bookmarkEnd w:id="40"/>
      <w:r w:rsidRPr="00772EDD">
        <w:rPr>
          <w:rFonts w:cs="Arial"/>
          <w:lang w:val="es-CO"/>
        </w:rPr>
        <w:t xml:space="preserve">. </w:t>
      </w:r>
    </w:p>
    <w:p w14:paraId="5F636F41" w14:textId="535AB16A" w:rsidR="00D365FF" w:rsidRDefault="00D365FF" w:rsidP="0041425D">
      <w:pPr>
        <w:pStyle w:val="ListParagraph"/>
        <w:numPr>
          <w:ilvl w:val="1"/>
          <w:numId w:val="3"/>
        </w:numPr>
        <w:spacing w:before="120"/>
        <w:ind w:left="720" w:hanging="720"/>
        <w:jc w:val="both"/>
        <w:rPr>
          <w:rFonts w:cs="Arial"/>
          <w:lang w:val="es-CO"/>
        </w:rPr>
      </w:pPr>
      <w:r w:rsidRPr="00772EDD">
        <w:rPr>
          <w:rFonts w:cs="Arial"/>
          <w:lang w:val="es-CO"/>
        </w:rPr>
        <w:lastRenderedPageBreak/>
        <w:t xml:space="preserve">Los beneficios netos correspondientes se estiman valorando la energía asociada a la reducción de fallas a un costo de déficit. </w:t>
      </w:r>
      <w:bookmarkStart w:id="41" w:name="_Hlk513321299"/>
      <w:r w:rsidRPr="00772EDD">
        <w:rPr>
          <w:rFonts w:cs="Arial"/>
          <w:lang w:val="es-CO"/>
        </w:rPr>
        <w:t>Para el cálculo del costo de la energía eléctrica no suministrada se utilizó como costo de falla, el valor de Costo de la Energía No Suministrada (</w:t>
      </w:r>
      <w:r>
        <w:rPr>
          <w:rFonts w:cs="Arial"/>
          <w:lang w:val="es-CO"/>
        </w:rPr>
        <w:t>C</w:t>
      </w:r>
      <w:r w:rsidRPr="00772EDD">
        <w:rPr>
          <w:rFonts w:cs="Arial"/>
          <w:lang w:val="es-CO"/>
        </w:rPr>
        <w:t>ENS) según lo establecido en el Reglamento de la Ley General de la Industria Eléctrica (LGIE)</w:t>
      </w:r>
      <w:r w:rsidR="00E242C3">
        <w:rPr>
          <w:rFonts w:cs="Arial"/>
          <w:lang w:val="es-CO"/>
        </w:rPr>
        <w:t>.</w:t>
      </w:r>
      <w:bookmarkEnd w:id="41"/>
      <w:r w:rsidRPr="00772EDD">
        <w:rPr>
          <w:rFonts w:cs="Arial"/>
          <w:lang w:val="es-CO"/>
        </w:rPr>
        <w:t xml:space="preserve"> La metodología para establecer este costo es responsabilidad de la CREE</w:t>
      </w:r>
      <w:r w:rsidR="00D271D5" w:rsidRPr="00772EDD">
        <w:rPr>
          <w:rFonts w:cs="Arial"/>
          <w:vertAlign w:val="superscript"/>
          <w:lang w:val="es-CO"/>
        </w:rPr>
        <w:footnoteReference w:id="5"/>
      </w:r>
      <w:r w:rsidR="00D271D5" w:rsidRPr="00772EDD">
        <w:rPr>
          <w:rFonts w:cs="Arial"/>
          <w:lang w:val="es-CO"/>
        </w:rPr>
        <w:t>.</w:t>
      </w:r>
      <w:r w:rsidRPr="00772EDD">
        <w:rPr>
          <w:rFonts w:cs="Arial"/>
          <w:lang w:val="es-CO"/>
        </w:rPr>
        <w:t xml:space="preserve"> Inicialmente, sería </w:t>
      </w:r>
      <w:bookmarkStart w:id="42" w:name="_Hlk513321324"/>
      <w:r w:rsidRPr="00772EDD">
        <w:rPr>
          <w:rFonts w:cs="Arial"/>
          <w:lang w:val="es-CO"/>
        </w:rPr>
        <w:t>el equivalente a diez veces el valor por kilovatio hora de la tarifa de baja tensión, monofásica, sin cargo por demanda, del primer día y primer mes del período de evaluación</w:t>
      </w:r>
      <w:bookmarkEnd w:id="42"/>
      <w:r w:rsidRPr="00772EDD">
        <w:rPr>
          <w:rFonts w:cs="Arial"/>
          <w:lang w:val="es-CO"/>
        </w:rPr>
        <w:t xml:space="preserve">. </w:t>
      </w:r>
      <w:r w:rsidR="00F65D72">
        <w:rPr>
          <w:rFonts w:cs="Arial"/>
          <w:lang w:val="es-CO"/>
        </w:rPr>
        <w:t>El análisis utiliza esta forma de cálculo.</w:t>
      </w:r>
      <w:r w:rsidR="00E242C3">
        <w:rPr>
          <w:rFonts w:cs="Arial"/>
          <w:lang w:val="es-CO"/>
        </w:rPr>
        <w:t xml:space="preserve"> </w:t>
      </w:r>
      <w:bookmarkStart w:id="43" w:name="_Hlk513321424"/>
      <w:r w:rsidR="005B35D5">
        <w:rPr>
          <w:rFonts w:cs="Arial"/>
          <w:lang w:val="es-CO"/>
        </w:rPr>
        <w:t>El</w:t>
      </w:r>
      <w:r w:rsidR="005B35D5" w:rsidRPr="00772EDD">
        <w:rPr>
          <w:rFonts w:cs="Arial"/>
          <w:lang w:val="es-CO"/>
        </w:rPr>
        <w:t xml:space="preserve"> costo unitario monómico del servicio general en baja tensión, sin incluir el costo unitario de comercialización </w:t>
      </w:r>
      <w:r w:rsidR="00DC0DE9">
        <w:rPr>
          <w:rFonts w:cs="Arial"/>
          <w:lang w:val="es-CO"/>
        </w:rPr>
        <w:t xml:space="preserve">es </w:t>
      </w:r>
      <w:r w:rsidR="005B35D5" w:rsidRPr="00772EDD">
        <w:rPr>
          <w:rFonts w:cs="Arial"/>
          <w:lang w:val="es-CO"/>
        </w:rPr>
        <w:t>3.937 Lempiras/MWh</w:t>
      </w:r>
      <w:bookmarkEnd w:id="43"/>
      <w:r w:rsidR="005B35D5">
        <w:rPr>
          <w:rFonts w:cs="Arial"/>
          <w:lang w:val="es-CO"/>
        </w:rPr>
        <w:t>.</w:t>
      </w:r>
      <w:r w:rsidR="005B35D5" w:rsidRPr="00772EDD">
        <w:rPr>
          <w:rFonts w:cs="Arial"/>
          <w:lang w:val="es-CO"/>
        </w:rPr>
        <w:t xml:space="preserve"> </w:t>
      </w:r>
      <w:bookmarkStart w:id="44" w:name="_Hlk513321458"/>
      <w:r w:rsidR="00E242C3" w:rsidRPr="00E242C3">
        <w:rPr>
          <w:rFonts w:cs="Arial"/>
          <w:lang w:val="es-CO"/>
        </w:rPr>
        <w:t xml:space="preserve">Así resulta un </w:t>
      </w:r>
      <w:r w:rsidR="00DC0DE9">
        <w:rPr>
          <w:rFonts w:cs="Arial"/>
          <w:lang w:val="es-CO"/>
        </w:rPr>
        <w:t>C</w:t>
      </w:r>
      <w:r w:rsidR="00E242C3" w:rsidRPr="00E242C3">
        <w:rPr>
          <w:rFonts w:cs="Arial"/>
          <w:lang w:val="es-CO"/>
        </w:rPr>
        <w:t>ENS de 1</w:t>
      </w:r>
      <w:r w:rsidR="00E67C42">
        <w:rPr>
          <w:rFonts w:cs="Arial"/>
          <w:lang w:val="es-CO"/>
        </w:rPr>
        <w:t>.</w:t>
      </w:r>
      <w:r w:rsidR="00E242C3" w:rsidRPr="00E242C3">
        <w:rPr>
          <w:rFonts w:cs="Arial"/>
          <w:lang w:val="es-CO"/>
        </w:rPr>
        <w:t>657</w:t>
      </w:r>
      <w:r w:rsidR="00E67C42">
        <w:rPr>
          <w:rFonts w:cs="Arial"/>
          <w:lang w:val="es-CO"/>
        </w:rPr>
        <w:t>,</w:t>
      </w:r>
      <w:r w:rsidR="00E242C3" w:rsidRPr="00E242C3">
        <w:rPr>
          <w:rFonts w:cs="Arial"/>
          <w:lang w:val="es-CO"/>
        </w:rPr>
        <w:t>50 US$/MWh</w:t>
      </w:r>
      <w:bookmarkEnd w:id="44"/>
      <w:r w:rsidR="0041425D">
        <w:rPr>
          <w:rFonts w:cs="Arial"/>
          <w:lang w:val="es-CO"/>
        </w:rPr>
        <w:t>.</w:t>
      </w:r>
      <w:r w:rsidR="00D271D5" w:rsidRPr="00D271D5">
        <w:rPr>
          <w:rFonts w:cs="Arial"/>
          <w:lang w:val="es-CO"/>
        </w:rPr>
        <w:t xml:space="preserve"> </w:t>
      </w:r>
      <w:r w:rsidR="00D271D5" w:rsidRPr="00772EDD">
        <w:rPr>
          <w:rFonts w:cs="Arial"/>
          <w:lang w:val="es-CO"/>
        </w:rPr>
        <w:t>Como escenario alternativo</w:t>
      </w:r>
      <w:r w:rsidR="00D271D5">
        <w:rPr>
          <w:rFonts w:cs="Arial"/>
          <w:lang w:val="es-CO"/>
        </w:rPr>
        <w:t xml:space="preserve">, </w:t>
      </w:r>
      <w:bookmarkStart w:id="45" w:name="_Hlk513321442"/>
      <w:r w:rsidR="00D271D5">
        <w:rPr>
          <w:rFonts w:cs="Arial"/>
          <w:lang w:val="es-CO"/>
        </w:rPr>
        <w:t>en el análisis de sensibilidad</w:t>
      </w:r>
      <w:r w:rsidR="00D271D5" w:rsidRPr="00772EDD">
        <w:rPr>
          <w:rFonts w:cs="Arial"/>
          <w:lang w:val="es-CO"/>
        </w:rPr>
        <w:t xml:space="preserve"> se usa el estimado de US$ 500/MWh</w:t>
      </w:r>
      <w:bookmarkEnd w:id="45"/>
      <w:r w:rsidR="00D271D5">
        <w:rPr>
          <w:rStyle w:val="FootnoteReference"/>
          <w:rFonts w:cs="Arial"/>
          <w:lang w:val="es-CO"/>
        </w:rPr>
        <w:footnoteReference w:id="6"/>
      </w:r>
      <w:r w:rsidR="003542D2">
        <w:rPr>
          <w:rFonts w:cs="Arial"/>
          <w:lang w:val="es-CO"/>
        </w:rPr>
        <w:t xml:space="preserve">.  </w:t>
      </w:r>
    </w:p>
    <w:p w14:paraId="04AFF1A6" w14:textId="77777777" w:rsidR="00D365FF" w:rsidRDefault="005B35D5" w:rsidP="005C2329">
      <w:pPr>
        <w:pStyle w:val="Heading2"/>
      </w:pPr>
      <w:bookmarkStart w:id="46" w:name="_Toc513626359"/>
      <w:r>
        <w:t>R</w:t>
      </w:r>
      <w:r w:rsidR="00D365FF">
        <w:t>esultados obtenidos</w:t>
      </w:r>
      <w:bookmarkEnd w:id="46"/>
    </w:p>
    <w:p w14:paraId="6CD62965" w14:textId="77777777" w:rsidR="00D365FF" w:rsidRPr="003B1D22" w:rsidRDefault="00D365FF" w:rsidP="003A1103">
      <w:pPr>
        <w:pStyle w:val="ListParagraph"/>
        <w:numPr>
          <w:ilvl w:val="1"/>
          <w:numId w:val="3"/>
        </w:numPr>
        <w:spacing w:before="120"/>
        <w:ind w:left="720" w:hanging="720"/>
        <w:jc w:val="both"/>
        <w:rPr>
          <w:lang w:val="es-US" w:eastAsia="es-ES"/>
        </w:rPr>
      </w:pPr>
      <w:r w:rsidRPr="003B1D22">
        <w:rPr>
          <w:lang w:val="es-US" w:eastAsia="es-ES"/>
        </w:rPr>
        <w:t>Se realizó una proyección de costos e ingresos incrementales</w:t>
      </w:r>
      <w:r w:rsidR="00B94D0B">
        <w:rPr>
          <w:lang w:val="es-US" w:eastAsia="es-ES"/>
        </w:rPr>
        <w:t xml:space="preserve"> a 20 años,</w:t>
      </w:r>
      <w:r w:rsidRPr="003B1D22">
        <w:rPr>
          <w:lang w:val="es-US" w:eastAsia="es-ES"/>
        </w:rPr>
        <w:t xml:space="preserve"> a precios de mercado y a precios de eficiencia como resultado del proyecto</w:t>
      </w:r>
      <w:r w:rsidR="003B1D22" w:rsidRPr="003B1D22">
        <w:rPr>
          <w:lang w:val="es-US" w:eastAsia="es-ES"/>
        </w:rPr>
        <w:t>, considerando el efecto en reducción de pérdidas y en energía no suministrada.  A los flujos obtenidos</w:t>
      </w:r>
      <w:r w:rsidRPr="003B1D22">
        <w:rPr>
          <w:lang w:val="es-US" w:eastAsia="es-ES"/>
        </w:rPr>
        <w:t xml:space="preserve"> se</w:t>
      </w:r>
      <w:r w:rsidR="003B1D22" w:rsidRPr="003B1D22">
        <w:rPr>
          <w:lang w:val="es-US" w:eastAsia="es-ES"/>
        </w:rPr>
        <w:t xml:space="preserve"> le</w:t>
      </w:r>
      <w:r w:rsidRPr="003B1D22">
        <w:rPr>
          <w:lang w:val="es-US" w:eastAsia="es-ES"/>
        </w:rPr>
        <w:t xml:space="preserve"> calcularon las respectivas TIR, TIRE y VPN financiero</w:t>
      </w:r>
      <w:r w:rsidR="003B1D22" w:rsidRPr="003B1D22">
        <w:rPr>
          <w:lang w:val="es-US" w:eastAsia="es-ES"/>
        </w:rPr>
        <w:t>s</w:t>
      </w:r>
      <w:r w:rsidRPr="003B1D22">
        <w:rPr>
          <w:lang w:val="es-US" w:eastAsia="es-ES"/>
        </w:rPr>
        <w:t xml:space="preserve"> y económico</w:t>
      </w:r>
      <w:r w:rsidR="003B1D22" w:rsidRPr="003B1D22">
        <w:rPr>
          <w:lang w:val="es-US" w:eastAsia="es-ES"/>
        </w:rPr>
        <w:t>s para cada proyecto de la muestra</w:t>
      </w:r>
      <w:r w:rsidRPr="003B1D22">
        <w:rPr>
          <w:lang w:val="es-US" w:eastAsia="es-ES"/>
        </w:rPr>
        <w:t xml:space="preserve">.  </w:t>
      </w:r>
      <w:r w:rsidR="00F61216">
        <w:rPr>
          <w:lang w:val="es-US" w:eastAsia="es-ES"/>
        </w:rPr>
        <w:t xml:space="preserve">Se usa una tasa de descuento de 12%. </w:t>
      </w:r>
      <w:r w:rsidRPr="003B1D22">
        <w:rPr>
          <w:lang w:val="es-US" w:eastAsia="es-ES"/>
        </w:rPr>
        <w:t>El resumen de los resultados se presenta en el Cuadro 4.</w:t>
      </w:r>
    </w:p>
    <w:tbl>
      <w:tblPr>
        <w:tblStyle w:val="TableGrid"/>
        <w:tblW w:w="0" w:type="auto"/>
        <w:tblInd w:w="720" w:type="dxa"/>
        <w:tblLook w:val="04A0" w:firstRow="1" w:lastRow="0" w:firstColumn="1" w:lastColumn="0" w:noHBand="0" w:noVBand="1"/>
      </w:tblPr>
      <w:tblGrid>
        <w:gridCol w:w="3240"/>
        <w:gridCol w:w="2160"/>
        <w:gridCol w:w="2430"/>
      </w:tblGrid>
      <w:tr w:rsidR="00D365FF" w:rsidRPr="001A164B" w14:paraId="47018368" w14:textId="77777777" w:rsidTr="005C2329">
        <w:tc>
          <w:tcPr>
            <w:tcW w:w="7830" w:type="dxa"/>
            <w:gridSpan w:val="3"/>
            <w:tcBorders>
              <w:top w:val="nil"/>
              <w:left w:val="nil"/>
              <w:right w:val="nil"/>
            </w:tcBorders>
            <w:shd w:val="clear" w:color="auto" w:fill="auto"/>
          </w:tcPr>
          <w:p w14:paraId="6EFEFB74" w14:textId="77777777" w:rsidR="00D365FF" w:rsidRPr="001B6262" w:rsidRDefault="00D365FF" w:rsidP="005C2329">
            <w:pPr>
              <w:spacing w:before="240"/>
              <w:ind w:left="705" w:hanging="705"/>
              <w:jc w:val="center"/>
              <w:rPr>
                <w:b/>
                <w:sz w:val="20"/>
                <w:szCs w:val="20"/>
                <w:lang w:val="es-US" w:eastAsia="es-ES"/>
              </w:rPr>
            </w:pPr>
            <w:r w:rsidRPr="001B6262">
              <w:rPr>
                <w:b/>
                <w:sz w:val="20"/>
                <w:szCs w:val="20"/>
                <w:lang w:val="es-US" w:eastAsia="es-ES"/>
              </w:rPr>
              <w:t>Cuadro 4 – Resumen resultados evaluación financiera y económica</w:t>
            </w:r>
            <w:r>
              <w:rPr>
                <w:b/>
                <w:sz w:val="20"/>
                <w:szCs w:val="20"/>
                <w:lang w:val="es-US" w:eastAsia="es-ES"/>
              </w:rPr>
              <w:t xml:space="preserve"> - Caso Base</w:t>
            </w:r>
          </w:p>
        </w:tc>
      </w:tr>
      <w:tr w:rsidR="00D365FF" w14:paraId="5F1C6004" w14:textId="77777777" w:rsidTr="005C2329">
        <w:tc>
          <w:tcPr>
            <w:tcW w:w="3240" w:type="dxa"/>
            <w:shd w:val="clear" w:color="auto" w:fill="EAF1DD" w:themeFill="accent3" w:themeFillTint="33"/>
          </w:tcPr>
          <w:p w14:paraId="201B06C6" w14:textId="77777777" w:rsidR="00D365FF" w:rsidRPr="001B6262" w:rsidRDefault="00D365FF" w:rsidP="005C2329">
            <w:pPr>
              <w:spacing w:before="120"/>
              <w:ind w:left="705" w:hanging="705"/>
              <w:jc w:val="center"/>
              <w:rPr>
                <w:b/>
                <w:sz w:val="20"/>
                <w:szCs w:val="20"/>
                <w:lang w:val="es-US" w:eastAsia="es-ES"/>
              </w:rPr>
            </w:pPr>
          </w:p>
        </w:tc>
        <w:tc>
          <w:tcPr>
            <w:tcW w:w="2160" w:type="dxa"/>
            <w:shd w:val="clear" w:color="auto" w:fill="EAF1DD" w:themeFill="accent3" w:themeFillTint="33"/>
          </w:tcPr>
          <w:p w14:paraId="47DF932D" w14:textId="77777777" w:rsidR="00D365FF" w:rsidRDefault="00D365FF" w:rsidP="005C2329">
            <w:pPr>
              <w:ind w:left="705" w:hanging="705"/>
              <w:jc w:val="center"/>
              <w:rPr>
                <w:b/>
                <w:sz w:val="20"/>
                <w:szCs w:val="20"/>
                <w:lang w:val="es-US" w:eastAsia="es-ES"/>
              </w:rPr>
            </w:pPr>
            <w:r w:rsidRPr="001B6262">
              <w:rPr>
                <w:b/>
                <w:sz w:val="20"/>
                <w:szCs w:val="20"/>
                <w:lang w:val="es-US" w:eastAsia="es-ES"/>
              </w:rPr>
              <w:t xml:space="preserve">Proyecto </w:t>
            </w:r>
          </w:p>
          <w:p w14:paraId="671DF67E" w14:textId="77777777" w:rsidR="00D365FF" w:rsidRPr="001B6262" w:rsidRDefault="00D365FF" w:rsidP="005C2329">
            <w:pPr>
              <w:ind w:left="705" w:hanging="705"/>
              <w:jc w:val="center"/>
              <w:rPr>
                <w:b/>
                <w:sz w:val="20"/>
                <w:szCs w:val="20"/>
                <w:lang w:val="es-US" w:eastAsia="es-ES"/>
              </w:rPr>
            </w:pPr>
            <w:r w:rsidRPr="001B6262">
              <w:rPr>
                <w:b/>
                <w:sz w:val="20"/>
                <w:szCs w:val="20"/>
                <w:lang w:val="es-US" w:eastAsia="es-ES"/>
              </w:rPr>
              <w:t>LT SPSS-SBV</w:t>
            </w:r>
          </w:p>
        </w:tc>
        <w:tc>
          <w:tcPr>
            <w:tcW w:w="2430" w:type="dxa"/>
            <w:shd w:val="clear" w:color="auto" w:fill="EAF1DD" w:themeFill="accent3" w:themeFillTint="33"/>
          </w:tcPr>
          <w:p w14:paraId="0386351D" w14:textId="77777777" w:rsidR="00D365FF" w:rsidRDefault="00D365FF" w:rsidP="005C2329">
            <w:pPr>
              <w:ind w:left="705" w:hanging="705"/>
              <w:jc w:val="center"/>
              <w:rPr>
                <w:b/>
                <w:sz w:val="20"/>
                <w:szCs w:val="20"/>
                <w:lang w:val="es-US" w:eastAsia="es-ES"/>
              </w:rPr>
            </w:pPr>
            <w:r w:rsidRPr="001B6262">
              <w:rPr>
                <w:b/>
                <w:sz w:val="20"/>
                <w:szCs w:val="20"/>
                <w:lang w:val="es-US" w:eastAsia="es-ES"/>
              </w:rPr>
              <w:t xml:space="preserve">Proyecto </w:t>
            </w:r>
          </w:p>
          <w:p w14:paraId="4EB05E3E" w14:textId="77777777" w:rsidR="00D365FF" w:rsidRPr="001B6262" w:rsidRDefault="00D365FF" w:rsidP="005C2329">
            <w:pPr>
              <w:ind w:left="705" w:hanging="705"/>
              <w:jc w:val="center"/>
              <w:rPr>
                <w:b/>
                <w:sz w:val="20"/>
                <w:szCs w:val="20"/>
                <w:lang w:val="es-US" w:eastAsia="es-ES"/>
              </w:rPr>
            </w:pPr>
            <w:r w:rsidRPr="001B6262">
              <w:rPr>
                <w:b/>
                <w:sz w:val="20"/>
                <w:szCs w:val="20"/>
                <w:lang w:val="es-US" w:eastAsia="es-ES"/>
              </w:rPr>
              <w:t>LT Laínez-Miraflores</w:t>
            </w:r>
          </w:p>
        </w:tc>
      </w:tr>
      <w:tr w:rsidR="00D365FF" w14:paraId="560B9143" w14:textId="77777777" w:rsidTr="005C2329">
        <w:tc>
          <w:tcPr>
            <w:tcW w:w="3240" w:type="dxa"/>
          </w:tcPr>
          <w:p w14:paraId="5E9C5E15" w14:textId="77777777" w:rsidR="00D365FF" w:rsidRPr="001B6262" w:rsidRDefault="00D365FF" w:rsidP="005C2329">
            <w:pPr>
              <w:spacing w:before="120"/>
              <w:ind w:left="705" w:hanging="705"/>
              <w:jc w:val="both"/>
              <w:rPr>
                <w:sz w:val="20"/>
                <w:szCs w:val="20"/>
                <w:lang w:val="es-US" w:eastAsia="es-ES"/>
              </w:rPr>
            </w:pPr>
            <w:r w:rsidRPr="001B6262">
              <w:rPr>
                <w:sz w:val="20"/>
                <w:szCs w:val="20"/>
                <w:lang w:val="es-US" w:eastAsia="es-ES"/>
              </w:rPr>
              <w:t>VPN Financiero</w:t>
            </w:r>
            <w:r>
              <w:rPr>
                <w:sz w:val="20"/>
                <w:szCs w:val="20"/>
                <w:lang w:val="es-US" w:eastAsia="es-ES"/>
              </w:rPr>
              <w:t xml:space="preserve"> (US$ millones)</w:t>
            </w:r>
          </w:p>
        </w:tc>
        <w:tc>
          <w:tcPr>
            <w:tcW w:w="2160" w:type="dxa"/>
          </w:tcPr>
          <w:p w14:paraId="2FD2234C" w14:textId="77777777" w:rsidR="00D365FF" w:rsidRPr="001B6262" w:rsidRDefault="002643AC" w:rsidP="005C2329">
            <w:pPr>
              <w:spacing w:before="120"/>
              <w:ind w:left="705" w:hanging="705"/>
              <w:jc w:val="center"/>
              <w:rPr>
                <w:sz w:val="20"/>
                <w:szCs w:val="20"/>
                <w:lang w:val="es-US" w:eastAsia="es-ES"/>
              </w:rPr>
            </w:pPr>
            <w:r w:rsidRPr="002643AC">
              <w:rPr>
                <w:sz w:val="20"/>
                <w:szCs w:val="20"/>
                <w:lang w:val="es-US" w:eastAsia="es-ES"/>
              </w:rPr>
              <w:t>284,4</w:t>
            </w:r>
          </w:p>
        </w:tc>
        <w:tc>
          <w:tcPr>
            <w:tcW w:w="2430" w:type="dxa"/>
          </w:tcPr>
          <w:p w14:paraId="2BA0E205" w14:textId="77777777" w:rsidR="00D365FF" w:rsidRPr="001B6262" w:rsidRDefault="007C250A" w:rsidP="005C2329">
            <w:pPr>
              <w:spacing w:before="120"/>
              <w:ind w:left="705" w:hanging="705"/>
              <w:jc w:val="center"/>
              <w:rPr>
                <w:sz w:val="20"/>
                <w:szCs w:val="20"/>
                <w:lang w:val="es-US" w:eastAsia="es-ES"/>
              </w:rPr>
            </w:pPr>
            <w:r w:rsidRPr="007C250A">
              <w:rPr>
                <w:sz w:val="20"/>
                <w:szCs w:val="20"/>
                <w:lang w:val="es-US" w:eastAsia="es-ES"/>
              </w:rPr>
              <w:t>88,3</w:t>
            </w:r>
          </w:p>
        </w:tc>
      </w:tr>
      <w:tr w:rsidR="00D365FF" w:rsidRPr="00FF1D29" w14:paraId="3BC86C7C" w14:textId="77777777" w:rsidTr="005C2329">
        <w:tc>
          <w:tcPr>
            <w:tcW w:w="3240" w:type="dxa"/>
          </w:tcPr>
          <w:p w14:paraId="14D0A111" w14:textId="77777777" w:rsidR="00D365FF" w:rsidRPr="001B6262" w:rsidRDefault="00D365FF" w:rsidP="005C2329">
            <w:pPr>
              <w:spacing w:before="120"/>
              <w:ind w:left="705" w:hanging="705"/>
              <w:jc w:val="both"/>
              <w:rPr>
                <w:sz w:val="20"/>
                <w:szCs w:val="20"/>
                <w:lang w:val="es-US" w:eastAsia="es-ES"/>
              </w:rPr>
            </w:pPr>
            <w:r w:rsidRPr="001B6262">
              <w:rPr>
                <w:sz w:val="20"/>
                <w:szCs w:val="20"/>
                <w:lang w:val="es-US" w:eastAsia="es-ES"/>
              </w:rPr>
              <w:t>TIR Financiera</w:t>
            </w:r>
            <w:r>
              <w:rPr>
                <w:sz w:val="20"/>
                <w:szCs w:val="20"/>
                <w:lang w:val="es-US" w:eastAsia="es-ES"/>
              </w:rPr>
              <w:t xml:space="preserve"> (%)</w:t>
            </w:r>
          </w:p>
        </w:tc>
        <w:tc>
          <w:tcPr>
            <w:tcW w:w="2160" w:type="dxa"/>
          </w:tcPr>
          <w:p w14:paraId="22BFC7F8" w14:textId="77777777" w:rsidR="00D365FF" w:rsidRPr="001B6262" w:rsidRDefault="00D15248" w:rsidP="005C2329">
            <w:pPr>
              <w:spacing w:before="120"/>
              <w:ind w:left="705" w:hanging="705"/>
              <w:jc w:val="center"/>
              <w:rPr>
                <w:sz w:val="20"/>
                <w:szCs w:val="20"/>
                <w:lang w:val="es-US" w:eastAsia="es-ES"/>
              </w:rPr>
            </w:pPr>
            <w:r w:rsidRPr="00D15248">
              <w:rPr>
                <w:sz w:val="20"/>
                <w:szCs w:val="20"/>
                <w:lang w:val="es-US" w:eastAsia="es-ES"/>
              </w:rPr>
              <w:t>59,0</w:t>
            </w:r>
          </w:p>
        </w:tc>
        <w:tc>
          <w:tcPr>
            <w:tcW w:w="2430" w:type="dxa"/>
          </w:tcPr>
          <w:p w14:paraId="326730D0" w14:textId="77777777" w:rsidR="00D365FF" w:rsidRPr="001B6262" w:rsidRDefault="00D365FF" w:rsidP="005C2329">
            <w:pPr>
              <w:spacing w:before="120"/>
              <w:ind w:left="705" w:hanging="705"/>
              <w:jc w:val="center"/>
              <w:rPr>
                <w:sz w:val="20"/>
                <w:szCs w:val="20"/>
                <w:lang w:val="es-US" w:eastAsia="es-ES"/>
              </w:rPr>
            </w:pPr>
            <w:r>
              <w:rPr>
                <w:sz w:val="20"/>
                <w:szCs w:val="20"/>
                <w:lang w:val="es-US" w:eastAsia="es-ES"/>
              </w:rPr>
              <w:t>82,7</w:t>
            </w:r>
          </w:p>
        </w:tc>
      </w:tr>
      <w:tr w:rsidR="00D365FF" w:rsidRPr="00FF1D29" w14:paraId="09D47BE1" w14:textId="77777777" w:rsidTr="005C2329">
        <w:tc>
          <w:tcPr>
            <w:tcW w:w="3240" w:type="dxa"/>
          </w:tcPr>
          <w:p w14:paraId="12F6B17C" w14:textId="77777777" w:rsidR="00D365FF" w:rsidRPr="001B6262" w:rsidRDefault="00D365FF" w:rsidP="005C2329">
            <w:pPr>
              <w:spacing w:before="120"/>
              <w:ind w:left="705" w:hanging="705"/>
              <w:jc w:val="both"/>
              <w:rPr>
                <w:sz w:val="20"/>
                <w:szCs w:val="20"/>
                <w:lang w:val="es-US" w:eastAsia="es-ES"/>
              </w:rPr>
            </w:pPr>
            <w:r w:rsidRPr="001B6262">
              <w:rPr>
                <w:sz w:val="20"/>
                <w:szCs w:val="20"/>
                <w:lang w:val="es-US" w:eastAsia="es-ES"/>
              </w:rPr>
              <w:t>VPN Económico</w:t>
            </w:r>
            <w:r>
              <w:rPr>
                <w:sz w:val="20"/>
                <w:szCs w:val="20"/>
                <w:lang w:val="es-US" w:eastAsia="es-ES"/>
              </w:rPr>
              <w:t xml:space="preserve"> (US$ millones)</w:t>
            </w:r>
          </w:p>
        </w:tc>
        <w:tc>
          <w:tcPr>
            <w:tcW w:w="2160" w:type="dxa"/>
          </w:tcPr>
          <w:p w14:paraId="1D038CC2" w14:textId="77777777" w:rsidR="00D365FF" w:rsidRPr="001B6262" w:rsidRDefault="002643AC" w:rsidP="005C2329">
            <w:pPr>
              <w:spacing w:before="120"/>
              <w:ind w:left="705" w:hanging="705"/>
              <w:jc w:val="center"/>
              <w:rPr>
                <w:sz w:val="20"/>
                <w:szCs w:val="20"/>
                <w:lang w:val="es-US" w:eastAsia="es-ES"/>
              </w:rPr>
            </w:pPr>
            <w:r w:rsidRPr="002643AC">
              <w:rPr>
                <w:sz w:val="20"/>
                <w:szCs w:val="20"/>
                <w:lang w:val="es-US" w:eastAsia="es-ES"/>
              </w:rPr>
              <w:t>276,8</w:t>
            </w:r>
          </w:p>
        </w:tc>
        <w:tc>
          <w:tcPr>
            <w:tcW w:w="2430" w:type="dxa"/>
          </w:tcPr>
          <w:p w14:paraId="2C3BB67C" w14:textId="77777777" w:rsidR="00D365FF" w:rsidRPr="001B6262" w:rsidRDefault="007C250A" w:rsidP="005C2329">
            <w:pPr>
              <w:spacing w:before="120"/>
              <w:ind w:left="705" w:hanging="705"/>
              <w:jc w:val="center"/>
              <w:rPr>
                <w:sz w:val="20"/>
                <w:szCs w:val="20"/>
                <w:lang w:val="es-US" w:eastAsia="es-ES"/>
              </w:rPr>
            </w:pPr>
            <w:r w:rsidRPr="007C250A">
              <w:rPr>
                <w:sz w:val="20"/>
                <w:szCs w:val="20"/>
                <w:lang w:val="es-US" w:eastAsia="es-ES"/>
              </w:rPr>
              <w:t>87,8</w:t>
            </w:r>
          </w:p>
        </w:tc>
      </w:tr>
      <w:tr w:rsidR="00D365FF" w:rsidRPr="00FF1D29" w14:paraId="20CBB043" w14:textId="77777777" w:rsidTr="005C2329">
        <w:tc>
          <w:tcPr>
            <w:tcW w:w="3240" w:type="dxa"/>
          </w:tcPr>
          <w:p w14:paraId="37A12F7F" w14:textId="77777777" w:rsidR="00D365FF" w:rsidRPr="001B6262" w:rsidRDefault="00D365FF" w:rsidP="005C2329">
            <w:pPr>
              <w:spacing w:before="120"/>
              <w:ind w:left="705" w:hanging="705"/>
              <w:jc w:val="both"/>
              <w:rPr>
                <w:sz w:val="20"/>
                <w:szCs w:val="20"/>
                <w:lang w:val="es-US" w:eastAsia="es-ES"/>
              </w:rPr>
            </w:pPr>
            <w:r w:rsidRPr="001B6262">
              <w:rPr>
                <w:sz w:val="20"/>
                <w:szCs w:val="20"/>
                <w:lang w:val="es-US" w:eastAsia="es-ES"/>
              </w:rPr>
              <w:t>TIR Económica</w:t>
            </w:r>
            <w:r>
              <w:rPr>
                <w:sz w:val="20"/>
                <w:szCs w:val="20"/>
                <w:lang w:val="es-US" w:eastAsia="es-ES"/>
              </w:rPr>
              <w:t xml:space="preserve"> (%)</w:t>
            </w:r>
          </w:p>
        </w:tc>
        <w:tc>
          <w:tcPr>
            <w:tcW w:w="2160" w:type="dxa"/>
          </w:tcPr>
          <w:p w14:paraId="3DA7DCED" w14:textId="77777777" w:rsidR="00D365FF" w:rsidRPr="001B6262" w:rsidRDefault="00D15248" w:rsidP="005C2329">
            <w:pPr>
              <w:spacing w:before="120"/>
              <w:ind w:left="705" w:hanging="705"/>
              <w:jc w:val="center"/>
              <w:rPr>
                <w:sz w:val="20"/>
                <w:szCs w:val="20"/>
                <w:lang w:val="es-US" w:eastAsia="es-ES"/>
              </w:rPr>
            </w:pPr>
            <w:r w:rsidRPr="00D15248">
              <w:rPr>
                <w:sz w:val="20"/>
                <w:szCs w:val="20"/>
                <w:lang w:val="es-US" w:eastAsia="es-ES"/>
              </w:rPr>
              <w:t>58,3</w:t>
            </w:r>
          </w:p>
        </w:tc>
        <w:tc>
          <w:tcPr>
            <w:tcW w:w="2430" w:type="dxa"/>
          </w:tcPr>
          <w:p w14:paraId="6BD33601" w14:textId="77777777" w:rsidR="00D365FF" w:rsidRPr="001B6262" w:rsidRDefault="00D365FF" w:rsidP="005C2329">
            <w:pPr>
              <w:spacing w:before="120"/>
              <w:ind w:left="705" w:hanging="705"/>
              <w:jc w:val="center"/>
              <w:rPr>
                <w:sz w:val="20"/>
                <w:szCs w:val="20"/>
                <w:lang w:val="es-US" w:eastAsia="es-ES"/>
              </w:rPr>
            </w:pPr>
            <w:r>
              <w:rPr>
                <w:sz w:val="20"/>
                <w:szCs w:val="20"/>
                <w:lang w:val="es-US" w:eastAsia="es-ES"/>
              </w:rPr>
              <w:t>108,1</w:t>
            </w:r>
          </w:p>
        </w:tc>
      </w:tr>
    </w:tbl>
    <w:p w14:paraId="4135C365" w14:textId="77777777" w:rsidR="00B16F77" w:rsidRPr="00B16F77" w:rsidRDefault="00B16F77" w:rsidP="00B16F77">
      <w:pPr>
        <w:pStyle w:val="ListParagraph"/>
        <w:numPr>
          <w:ilvl w:val="1"/>
          <w:numId w:val="3"/>
        </w:numPr>
        <w:spacing w:before="120"/>
        <w:ind w:left="720" w:hanging="720"/>
        <w:jc w:val="both"/>
        <w:rPr>
          <w:rFonts w:eastAsia="Calibri" w:cs="Arial"/>
          <w:lang w:val="es-CO"/>
        </w:rPr>
      </w:pPr>
      <w:r w:rsidRPr="00B16F77">
        <w:rPr>
          <w:rFonts w:eastAsia="Calibri" w:cs="Arial"/>
          <w:lang w:val="es-CO"/>
        </w:rPr>
        <w:t>Los resultados muestran la alta rentabilidad de</w:t>
      </w:r>
      <w:r>
        <w:rPr>
          <w:rFonts w:eastAsia="Calibri" w:cs="Arial"/>
          <w:lang w:val="es-CO"/>
        </w:rPr>
        <w:t xml:space="preserve">l tipo de inversiones propuestas.  La mayor contribución a la rentabilidad de estas inversiones proviene de la significativa reducción de pérdidas y del aumento en la calidad del servicio vía </w:t>
      </w:r>
      <w:r>
        <w:rPr>
          <w:rFonts w:eastAsia="Calibri" w:cs="Arial"/>
          <w:lang w:val="es-CO"/>
        </w:rPr>
        <w:lastRenderedPageBreak/>
        <w:t>ganancias en confiabilidad</w:t>
      </w:r>
      <w:r w:rsidR="003434E3">
        <w:rPr>
          <w:rFonts w:eastAsia="Calibri" w:cs="Arial"/>
          <w:lang w:val="es-CO"/>
        </w:rPr>
        <w:t xml:space="preserve"> y su impacto en la rentabilidad financiera del servicio y en la actividad económica,</w:t>
      </w:r>
      <w:r w:rsidR="008A75CF">
        <w:rPr>
          <w:rFonts w:eastAsia="Calibri" w:cs="Arial"/>
          <w:lang w:val="es-CO"/>
        </w:rPr>
        <w:t xml:space="preserve"> en respuesta al serio rezago en las inversiones en transmisión</w:t>
      </w:r>
      <w:r w:rsidR="003434E3">
        <w:rPr>
          <w:rFonts w:eastAsia="Calibri" w:cs="Arial"/>
          <w:lang w:val="es-CO"/>
        </w:rPr>
        <w:t xml:space="preserve"> que sobrelleva el país</w:t>
      </w:r>
      <w:r>
        <w:rPr>
          <w:rFonts w:eastAsia="Calibri" w:cs="Arial"/>
          <w:lang w:val="es-CO"/>
        </w:rPr>
        <w:t xml:space="preserve">. </w:t>
      </w:r>
      <w:r w:rsidRPr="00B16F77">
        <w:rPr>
          <w:rFonts w:eastAsia="Calibri" w:cs="Arial"/>
          <w:lang w:val="es-CO"/>
        </w:rPr>
        <w:t xml:space="preserve"> </w:t>
      </w:r>
    </w:p>
    <w:p w14:paraId="4695D75A" w14:textId="77777777" w:rsidR="00D365FF" w:rsidRPr="00F91C3E" w:rsidRDefault="00D365FF" w:rsidP="005C2329">
      <w:pPr>
        <w:pStyle w:val="Heading2"/>
      </w:pPr>
      <w:bookmarkStart w:id="47" w:name="_Toc513626360"/>
      <w:r w:rsidRPr="00F91C3E">
        <w:t>Beneficiarios</w:t>
      </w:r>
      <w:bookmarkEnd w:id="47"/>
      <w:r w:rsidRPr="00F91C3E">
        <w:t xml:space="preserve"> </w:t>
      </w:r>
    </w:p>
    <w:p w14:paraId="7D73737B" w14:textId="77777777" w:rsidR="00D365FF" w:rsidRPr="00844868" w:rsidRDefault="00D365FF" w:rsidP="00D365FF">
      <w:pPr>
        <w:pStyle w:val="ListParagraph"/>
        <w:numPr>
          <w:ilvl w:val="1"/>
          <w:numId w:val="3"/>
        </w:numPr>
        <w:spacing w:before="120"/>
        <w:ind w:left="720" w:hanging="720"/>
        <w:jc w:val="both"/>
        <w:rPr>
          <w:rFonts w:eastAsia="Calibri"/>
          <w:noProof/>
          <w:lang w:val="es-CO"/>
        </w:rPr>
      </w:pPr>
      <w:bookmarkStart w:id="48" w:name="_Hlk512960167"/>
      <w:r w:rsidRPr="00844868">
        <w:rPr>
          <w:rFonts w:eastAsia="Calibri" w:cs="Arial"/>
          <w:lang w:val="es-CO"/>
        </w:rPr>
        <w:t>El programa</w:t>
      </w:r>
      <w:r>
        <w:rPr>
          <w:rFonts w:eastAsia="Calibri" w:cs="Arial"/>
          <w:lang w:val="es-CO"/>
        </w:rPr>
        <w:t xml:space="preserve"> en general</w:t>
      </w:r>
      <w:r w:rsidRPr="00844868">
        <w:rPr>
          <w:rFonts w:eastAsia="Calibri" w:cs="Arial"/>
          <w:lang w:val="es-CO"/>
        </w:rPr>
        <w:t xml:space="preserve"> </w:t>
      </w:r>
      <w:r>
        <w:rPr>
          <w:rFonts w:eastAsia="Calibri" w:cs="Arial"/>
          <w:lang w:val="es-CO"/>
        </w:rPr>
        <w:t>fortalecerá el SIN como un todo</w:t>
      </w:r>
      <w:r w:rsidR="00991073">
        <w:rPr>
          <w:rFonts w:eastAsia="Calibri" w:cs="Arial"/>
          <w:lang w:val="es-CO"/>
        </w:rPr>
        <w:t>. P</w:t>
      </w:r>
      <w:r>
        <w:rPr>
          <w:rFonts w:eastAsia="Calibri" w:cs="Arial"/>
          <w:lang w:val="es-CO"/>
        </w:rPr>
        <w:t xml:space="preserve">or tanto, </w:t>
      </w:r>
      <w:r w:rsidRPr="00844868">
        <w:rPr>
          <w:rFonts w:eastAsia="Calibri" w:cs="Arial"/>
          <w:lang w:val="es-CO"/>
        </w:rPr>
        <w:t>beneficiará a todos los usuarios del SIN</w:t>
      </w:r>
      <w:r w:rsidR="00991073">
        <w:rPr>
          <w:rFonts w:eastAsia="Calibri" w:cs="Arial"/>
          <w:lang w:val="es-CO"/>
        </w:rPr>
        <w:t xml:space="preserve"> en</w:t>
      </w:r>
      <w:r w:rsidRPr="00844868">
        <w:rPr>
          <w:rFonts w:eastAsia="Calibri" w:cs="Arial"/>
          <w:lang w:val="es-CO"/>
        </w:rPr>
        <w:t xml:space="preserve"> sus diferentes sectores de consumo</w:t>
      </w:r>
      <w:bookmarkEnd w:id="48"/>
      <w:r w:rsidRPr="00844868">
        <w:rPr>
          <w:rFonts w:eastAsia="Calibri" w:cs="Arial"/>
          <w:lang w:val="es-CO"/>
        </w:rPr>
        <w:t>: residencial, comercial, industrial, altos consumidores, gobierno, municipalidades y entes autónomos. En particular, el proyecto pretende beneficiar a 5,</w:t>
      </w:r>
      <w:r>
        <w:rPr>
          <w:rFonts w:eastAsia="Calibri" w:cs="Arial"/>
          <w:lang w:val="es-CO"/>
        </w:rPr>
        <w:t>1 millones</w:t>
      </w:r>
      <w:r w:rsidRPr="00844868">
        <w:rPr>
          <w:rFonts w:eastAsia="Calibri" w:cs="Arial"/>
          <w:lang w:val="es-CO"/>
        </w:rPr>
        <w:t xml:space="preserve"> </w:t>
      </w:r>
      <w:r>
        <w:rPr>
          <w:rFonts w:eastAsia="Calibri" w:cs="Arial"/>
          <w:lang w:val="es-CO"/>
        </w:rPr>
        <w:t xml:space="preserve">de </w:t>
      </w:r>
      <w:r w:rsidRPr="00844868">
        <w:rPr>
          <w:rFonts w:eastAsia="Calibri" w:cs="Arial"/>
          <w:lang w:val="es-CO"/>
        </w:rPr>
        <w:t xml:space="preserve">personas, </w:t>
      </w:r>
      <w:r>
        <w:rPr>
          <w:rFonts w:eastAsia="Calibri" w:cs="Arial"/>
          <w:lang w:val="es-CO"/>
        </w:rPr>
        <w:t>quienes constituyen la p</w:t>
      </w:r>
      <w:r w:rsidRPr="00844868">
        <w:rPr>
          <w:rFonts w:eastAsia="Calibri" w:cs="Arial"/>
          <w:lang w:val="es-CO"/>
        </w:rPr>
        <w:t>oblación de los departamentos de la Zona</w:t>
      </w:r>
      <w:r w:rsidR="00991073">
        <w:rPr>
          <w:rFonts w:eastAsia="Calibri" w:cs="Arial"/>
          <w:lang w:val="es-CO"/>
        </w:rPr>
        <w:t>s</w:t>
      </w:r>
      <w:r w:rsidRPr="00844868">
        <w:rPr>
          <w:rFonts w:eastAsia="Calibri" w:cs="Arial"/>
          <w:lang w:val="es-CO"/>
        </w:rPr>
        <w:t xml:space="preserve"> Norte y Centro del País</w:t>
      </w:r>
      <w:r>
        <w:rPr>
          <w:rFonts w:eastAsia="Calibri" w:cs="Arial"/>
          <w:lang w:val="es-CO"/>
        </w:rPr>
        <w:t>.</w:t>
      </w:r>
    </w:p>
    <w:p w14:paraId="51222314" w14:textId="77777777" w:rsidR="00D365FF" w:rsidRDefault="00D365FF" w:rsidP="00FB1EE2">
      <w:pPr>
        <w:pStyle w:val="ListParagraph"/>
        <w:numPr>
          <w:ilvl w:val="1"/>
          <w:numId w:val="3"/>
        </w:numPr>
        <w:spacing w:before="120"/>
        <w:ind w:left="720" w:hanging="720"/>
        <w:jc w:val="both"/>
        <w:rPr>
          <w:rFonts w:eastAsia="Calibri"/>
          <w:noProof/>
          <w:lang w:val="es-CO"/>
        </w:rPr>
      </w:pPr>
      <w:r w:rsidRPr="00844868">
        <w:rPr>
          <w:rFonts w:eastAsia="Calibri" w:cs="Arial"/>
          <w:lang w:val="es-CO"/>
        </w:rPr>
        <w:t xml:space="preserve">Se anticipa una mayor productividad en la actividad económica de las comunidades beneficiadas, dedicadas principalmente a la </w:t>
      </w:r>
      <w:r>
        <w:rPr>
          <w:rFonts w:eastAsia="Calibri" w:cs="Arial"/>
          <w:lang w:val="es-CO"/>
        </w:rPr>
        <w:t>industria</w:t>
      </w:r>
      <w:r w:rsidR="00FB1EE2">
        <w:rPr>
          <w:rFonts w:eastAsia="Calibri" w:cs="Arial"/>
          <w:lang w:val="es-CO"/>
        </w:rPr>
        <w:t>, turismo y</w:t>
      </w:r>
      <w:r>
        <w:rPr>
          <w:rFonts w:eastAsia="Calibri" w:cs="Arial"/>
          <w:lang w:val="es-CO"/>
        </w:rPr>
        <w:t xml:space="preserve"> comercio</w:t>
      </w:r>
      <w:r w:rsidRPr="00844868">
        <w:rPr>
          <w:rFonts w:eastAsia="Calibri" w:cs="Arial"/>
          <w:lang w:val="es-CO"/>
        </w:rPr>
        <w:t xml:space="preserve">. </w:t>
      </w:r>
      <w:r>
        <w:rPr>
          <w:rFonts w:eastAsia="Calibri" w:cs="Arial"/>
          <w:lang w:val="es-CO"/>
        </w:rPr>
        <w:t xml:space="preserve">La </w:t>
      </w:r>
      <w:r w:rsidR="003172E5">
        <w:rPr>
          <w:rFonts w:eastAsia="Calibri" w:cs="Arial"/>
          <w:lang w:val="es-CO"/>
        </w:rPr>
        <w:t xml:space="preserve">mayor </w:t>
      </w:r>
      <w:r>
        <w:rPr>
          <w:rFonts w:eastAsia="Calibri" w:cs="Arial"/>
          <w:lang w:val="es-CO"/>
        </w:rPr>
        <w:t>confiabilidad del sistema eléctrico permitirá incrementar la productividad de las principales actividades económicas del lugar</w:t>
      </w:r>
      <w:r w:rsidR="00991073">
        <w:rPr>
          <w:rFonts w:eastAsia="Calibri" w:cs="Arial"/>
          <w:lang w:val="es-CO"/>
        </w:rPr>
        <w:t>,</w:t>
      </w:r>
      <w:r>
        <w:rPr>
          <w:rFonts w:eastAsia="Calibri" w:cs="Arial"/>
          <w:lang w:val="es-CO"/>
        </w:rPr>
        <w:t xml:space="preserve"> de manera principal en la industria que necesita un sistema estable</w:t>
      </w:r>
      <w:r w:rsidRPr="00844868">
        <w:rPr>
          <w:rFonts w:eastAsia="Calibri" w:cs="Arial"/>
          <w:lang w:val="es-CO"/>
        </w:rPr>
        <w:t>.</w:t>
      </w:r>
      <w:r w:rsidRPr="00844868">
        <w:rPr>
          <w:rFonts w:eastAsia="Calibri"/>
          <w:noProof/>
          <w:lang w:val="es-CO"/>
        </w:rPr>
        <w:t xml:space="preserve"> </w:t>
      </w:r>
      <w:r w:rsidR="00FB1EE2" w:rsidRPr="00FB1EE2">
        <w:rPr>
          <w:rFonts w:eastAsia="Calibri"/>
          <w:noProof/>
          <w:lang w:val="es-CO"/>
        </w:rPr>
        <w:t xml:space="preserve">Mayor confiabilidad del servicio abrirá </w:t>
      </w:r>
      <w:r w:rsidR="00FB1EE2" w:rsidRPr="00FB1EE2">
        <w:rPr>
          <w:rFonts w:eastAsia="Calibri" w:cs="Arial"/>
          <w:lang w:val="es-CO"/>
        </w:rPr>
        <w:t>oportunidades</w:t>
      </w:r>
      <w:r w:rsidR="00FB1EE2" w:rsidRPr="00FB1EE2">
        <w:rPr>
          <w:rFonts w:eastAsia="Calibri"/>
          <w:noProof/>
          <w:lang w:val="es-CO"/>
        </w:rPr>
        <w:t xml:space="preserve"> de modernizar las prácticas productivas, permitiendo mayor valor agregado a sus productos, por medio de la refrigeración y procesamiento post cosecha en agricultura y pesca y riego en agricultura</w:t>
      </w:r>
      <w:r w:rsidR="00991073">
        <w:rPr>
          <w:rFonts w:eastAsia="Calibri"/>
          <w:noProof/>
          <w:lang w:val="es-CO"/>
        </w:rPr>
        <w:t>.</w:t>
      </w:r>
    </w:p>
    <w:p w14:paraId="25A89799" w14:textId="77777777" w:rsidR="00D365FF" w:rsidRPr="00844868" w:rsidRDefault="00D365FF" w:rsidP="00D365FF">
      <w:pPr>
        <w:pStyle w:val="ListParagraph"/>
        <w:numPr>
          <w:ilvl w:val="1"/>
          <w:numId w:val="3"/>
        </w:numPr>
        <w:spacing w:before="120"/>
        <w:ind w:left="720" w:hanging="720"/>
        <w:jc w:val="both"/>
        <w:rPr>
          <w:rFonts w:eastAsia="Calibri"/>
          <w:noProof/>
          <w:lang w:val="es-CO"/>
        </w:rPr>
      </w:pPr>
      <w:r>
        <w:rPr>
          <w:rFonts w:eastAsia="Calibri"/>
          <w:noProof/>
          <w:lang w:val="es-CO"/>
        </w:rPr>
        <w:t>Las mejoras en la situación finaniera de la ENEE que se espera alcanzar con las inversiones, estarán acompañadas de acciones para el fortalecimiento de la capacidad técnica y de gestión de la ENEE para manejar la cap</w:t>
      </w:r>
      <w:r w:rsidR="00660C1E">
        <w:rPr>
          <w:rFonts w:eastAsia="Calibri"/>
          <w:noProof/>
          <w:lang w:val="es-CO"/>
        </w:rPr>
        <w:t>a</w:t>
      </w:r>
      <w:r>
        <w:rPr>
          <w:rFonts w:eastAsia="Calibri"/>
          <w:noProof/>
          <w:lang w:val="es-CO"/>
        </w:rPr>
        <w:t xml:space="preserve">cidad incrementada en el sistema de transmisión y para modernizar sus sistemas actuales de gestión financiera,operativa, ambiental y de género. </w:t>
      </w:r>
    </w:p>
    <w:p w14:paraId="4FCCA08C" w14:textId="77777777" w:rsidR="00D365FF" w:rsidRPr="00F91C3E" w:rsidRDefault="00D365FF" w:rsidP="00D365FF">
      <w:pPr>
        <w:pStyle w:val="Heading1"/>
        <w:numPr>
          <w:ilvl w:val="0"/>
          <w:numId w:val="3"/>
        </w:numPr>
        <w:ind w:left="0" w:firstLine="0"/>
        <w:jc w:val="center"/>
        <w:rPr>
          <w:rFonts w:ascii="Arial" w:hAnsi="Arial" w:cs="Arial"/>
          <w:smallCaps/>
          <w:noProof/>
          <w:color w:val="000000" w:themeColor="text1"/>
          <w:sz w:val="22"/>
          <w:szCs w:val="22"/>
          <w:lang w:val="es-CO"/>
        </w:rPr>
      </w:pPr>
      <w:bookmarkStart w:id="49" w:name="_Toc513626361"/>
      <w:r w:rsidRPr="00F91C3E">
        <w:rPr>
          <w:rFonts w:ascii="Arial" w:hAnsi="Arial" w:cs="Arial"/>
          <w:smallCaps/>
          <w:noProof/>
          <w:color w:val="000000" w:themeColor="text1"/>
          <w:sz w:val="22"/>
          <w:szCs w:val="22"/>
          <w:lang w:val="es-CO"/>
        </w:rPr>
        <w:t>Análisis de sensibilidad</w:t>
      </w:r>
      <w:bookmarkEnd w:id="49"/>
    </w:p>
    <w:p w14:paraId="7837FE23" w14:textId="77777777" w:rsidR="00D365FF" w:rsidRPr="00F91C3E" w:rsidRDefault="00D365FF" w:rsidP="00D365FF">
      <w:pPr>
        <w:pStyle w:val="ListParagraph"/>
        <w:numPr>
          <w:ilvl w:val="1"/>
          <w:numId w:val="3"/>
        </w:numPr>
        <w:spacing w:before="120"/>
        <w:ind w:left="720" w:hanging="720"/>
        <w:jc w:val="both"/>
        <w:rPr>
          <w:rFonts w:cs="Arial"/>
          <w:lang w:val="es-CO"/>
        </w:rPr>
      </w:pPr>
      <w:bookmarkStart w:id="50" w:name="_Hlk512960238"/>
      <w:bookmarkStart w:id="51" w:name="_Hlk513321682"/>
      <w:r w:rsidRPr="00F91C3E">
        <w:rPr>
          <w:rFonts w:cs="Arial"/>
          <w:lang w:val="es-CO"/>
        </w:rPr>
        <w:t xml:space="preserve">Se </w:t>
      </w:r>
      <w:r w:rsidRPr="00F91C3E">
        <w:rPr>
          <w:rFonts w:eastAsia="Calibri" w:cs="Arial"/>
          <w:lang w:val="es-CO"/>
        </w:rPr>
        <w:t>realizó</w:t>
      </w:r>
      <w:r w:rsidRPr="00F91C3E">
        <w:rPr>
          <w:rFonts w:cs="Arial"/>
          <w:lang w:val="es-CO"/>
        </w:rPr>
        <w:t xml:space="preserve"> un el análisis de sensibilidad de los resultados </w:t>
      </w:r>
      <w:bookmarkEnd w:id="50"/>
      <w:r w:rsidRPr="00F91C3E">
        <w:rPr>
          <w:rFonts w:cs="Arial"/>
          <w:lang w:val="es-CO"/>
        </w:rPr>
        <w:t xml:space="preserve">de la evaluación económica </w:t>
      </w:r>
      <w:bookmarkStart w:id="52" w:name="_Hlk512960262"/>
      <w:r w:rsidRPr="00F91C3E">
        <w:rPr>
          <w:rFonts w:cs="Arial"/>
          <w:lang w:val="es-CO"/>
        </w:rPr>
        <w:t xml:space="preserve">ante variaciones adversas de </w:t>
      </w:r>
      <w:bookmarkStart w:id="53" w:name="_Hlk513321759"/>
      <w:bookmarkEnd w:id="51"/>
      <w:r w:rsidRPr="00F91C3E">
        <w:rPr>
          <w:rFonts w:cs="Arial"/>
          <w:lang w:val="es-CO"/>
        </w:rPr>
        <w:t>las variables más críticas que determinan los costos y beneficios de la inversión</w:t>
      </w:r>
      <w:bookmarkEnd w:id="52"/>
      <w:r w:rsidRPr="00F91C3E">
        <w:rPr>
          <w:rFonts w:cs="Arial"/>
          <w:lang w:val="es-CO"/>
        </w:rPr>
        <w:t>.</w:t>
      </w:r>
      <w:bookmarkEnd w:id="53"/>
      <w:r w:rsidR="00A347A7" w:rsidRPr="00A347A7">
        <w:rPr>
          <w:rFonts w:eastAsia="Calibri" w:cs="Arial"/>
          <w:spacing w:val="-3"/>
          <w:lang w:val="es-ES"/>
        </w:rPr>
        <w:t xml:space="preserve"> </w:t>
      </w:r>
      <w:r w:rsidR="00A347A7" w:rsidRPr="00A347A7">
        <w:rPr>
          <w:rFonts w:cs="Arial"/>
          <w:lang w:val="es-ES"/>
        </w:rPr>
        <w:t>Est</w:t>
      </w:r>
      <w:r w:rsidR="00A347A7">
        <w:rPr>
          <w:rFonts w:cs="Arial"/>
          <w:lang w:val="es-ES"/>
        </w:rPr>
        <w:t>a</w:t>
      </w:r>
      <w:r w:rsidR="00A347A7" w:rsidRPr="00A347A7">
        <w:rPr>
          <w:rFonts w:cs="Arial"/>
          <w:lang w:val="es-ES"/>
        </w:rPr>
        <w:t xml:space="preserve">s </w:t>
      </w:r>
      <w:r w:rsidR="00A347A7">
        <w:rPr>
          <w:rFonts w:cs="Arial"/>
          <w:lang w:val="es-ES"/>
        </w:rPr>
        <w:t>variables</w:t>
      </w:r>
      <w:r w:rsidR="00A347A7" w:rsidRPr="00A347A7">
        <w:rPr>
          <w:rFonts w:cs="Arial"/>
          <w:lang w:val="es-ES"/>
        </w:rPr>
        <w:t xml:space="preserve"> se identifican como crític</w:t>
      </w:r>
      <w:r w:rsidR="00A347A7">
        <w:rPr>
          <w:rFonts w:cs="Arial"/>
          <w:lang w:val="es-ES"/>
        </w:rPr>
        <w:t>a</w:t>
      </w:r>
      <w:r w:rsidR="00A347A7" w:rsidRPr="00A347A7">
        <w:rPr>
          <w:rFonts w:cs="Arial"/>
          <w:lang w:val="es-ES"/>
        </w:rPr>
        <w:t>s para ser tenid</w:t>
      </w:r>
      <w:r w:rsidR="00660C1E">
        <w:rPr>
          <w:rFonts w:cs="Arial"/>
          <w:lang w:val="es-ES"/>
        </w:rPr>
        <w:t>a</w:t>
      </w:r>
      <w:r w:rsidR="00A347A7" w:rsidRPr="00A347A7">
        <w:rPr>
          <w:rFonts w:cs="Arial"/>
          <w:lang w:val="es-ES"/>
        </w:rPr>
        <w:t>s en cuenta en el logro de los objetivos</w:t>
      </w:r>
      <w:r w:rsidR="00660C1E">
        <w:rPr>
          <w:rFonts w:cs="Arial"/>
          <w:lang w:val="es-ES"/>
        </w:rPr>
        <w:t>. S</w:t>
      </w:r>
      <w:r w:rsidR="00A347A7" w:rsidRPr="00A347A7">
        <w:rPr>
          <w:rFonts w:cs="Arial"/>
          <w:lang w:val="es-ES"/>
        </w:rPr>
        <w:t>u variación se considera de razonable probabilidad de ocurrencia, razón por la cual se mide su posible efecto en los resultados esperados</w:t>
      </w:r>
      <w:r w:rsidR="00A347A7">
        <w:rPr>
          <w:rFonts w:cs="Arial"/>
          <w:lang w:val="es-ES"/>
        </w:rPr>
        <w:t xml:space="preserve">: </w:t>
      </w:r>
      <w:bookmarkStart w:id="54" w:name="_Hlk513321714"/>
      <w:r w:rsidR="00A347A7" w:rsidRPr="00A347A7">
        <w:rPr>
          <w:rFonts w:cs="Arial"/>
          <w:lang w:val="es-CO"/>
        </w:rPr>
        <w:t>costos de la inversión</w:t>
      </w:r>
      <w:r w:rsidR="00A347A7">
        <w:rPr>
          <w:rFonts w:cs="Arial"/>
          <w:lang w:val="es-CO"/>
        </w:rPr>
        <w:t>, menores metas de reducción de pérdidas, menores costos de falla</w:t>
      </w:r>
      <w:r w:rsidR="004B1D10">
        <w:rPr>
          <w:rFonts w:cs="Arial"/>
          <w:lang w:val="es-CO"/>
        </w:rPr>
        <w:t xml:space="preserve"> y mayor costo ma</w:t>
      </w:r>
      <w:r w:rsidR="00F11F5E">
        <w:rPr>
          <w:rFonts w:cs="Arial"/>
          <w:lang w:val="es-CO"/>
        </w:rPr>
        <w:t>r</w:t>
      </w:r>
      <w:r w:rsidR="004B1D10">
        <w:rPr>
          <w:rFonts w:cs="Arial"/>
          <w:lang w:val="es-CO"/>
        </w:rPr>
        <w:t xml:space="preserve">ginal de corto </w:t>
      </w:r>
      <w:r w:rsidR="00BA4255">
        <w:rPr>
          <w:rFonts w:cs="Arial"/>
          <w:lang w:val="es-CO"/>
        </w:rPr>
        <w:t>plazo</w:t>
      </w:r>
      <w:r w:rsidR="00014E07">
        <w:rPr>
          <w:rFonts w:cs="Arial"/>
          <w:lang w:val="es-CO"/>
        </w:rPr>
        <w:t xml:space="preserve">. </w:t>
      </w:r>
      <w:r w:rsidR="00014E07">
        <w:rPr>
          <w:rFonts w:eastAsia="Calibri" w:cs="Arial"/>
          <w:lang w:val="es-CL"/>
        </w:rPr>
        <w:t xml:space="preserve">El incremento en los costos de equipo, obras y materiales tienen alta probabilidad de suceder en los niveles ensayados en la economía hondureña, donde gran parte de los componentes y tecnología de la inversión son importados. La reducción en las metas de pérdidas se considera de baja o moderada probabilidad debido a que las pérdidas valoradas en el análisis son pérdidas técnicas que la inversión contemplada debe reducir. El costo de falla es un parámetro que refleja el costo en la economía por interrupciones del servicio. Un menor valor del establecido en la metodología </w:t>
      </w:r>
      <w:r w:rsidR="00581110">
        <w:rPr>
          <w:rFonts w:eastAsia="Calibri" w:cs="Arial"/>
          <w:lang w:val="es-CL"/>
        </w:rPr>
        <w:t>sugerida por la ley para medir</w:t>
      </w:r>
      <w:r w:rsidR="00014E07">
        <w:rPr>
          <w:rFonts w:eastAsia="Calibri" w:cs="Arial"/>
          <w:lang w:val="es-CL"/>
        </w:rPr>
        <w:t xml:space="preserve"> este parámetro es razonable si se considera el escenario de una estructura económica menos moderna.</w:t>
      </w:r>
      <w:r w:rsidR="00581110">
        <w:rPr>
          <w:rFonts w:eastAsia="Calibri" w:cs="Arial"/>
          <w:lang w:val="es-CL"/>
        </w:rPr>
        <w:t xml:space="preserve">  Variaciones en el costo marginal de corto plazo son de razonable ocurrencia al reflejar el aumento en cualquier componente de costos del servicio, incluyendo un posible aumento del precio de los combustibles.</w:t>
      </w:r>
    </w:p>
    <w:bookmarkEnd w:id="54"/>
    <w:p w14:paraId="171D7868" w14:textId="77777777" w:rsidR="00D365FF" w:rsidRDefault="00D365FF" w:rsidP="00D365FF">
      <w:pPr>
        <w:pStyle w:val="ListParagraph"/>
        <w:numPr>
          <w:ilvl w:val="1"/>
          <w:numId w:val="3"/>
        </w:numPr>
        <w:spacing w:before="120"/>
        <w:ind w:left="720" w:hanging="720"/>
        <w:jc w:val="both"/>
        <w:rPr>
          <w:rFonts w:cs="Arial"/>
          <w:lang w:val="es-CO"/>
        </w:rPr>
      </w:pPr>
      <w:r>
        <w:rPr>
          <w:rFonts w:cs="Arial"/>
          <w:lang w:val="es-CO"/>
        </w:rPr>
        <w:lastRenderedPageBreak/>
        <w:t xml:space="preserve">Se construyeron </w:t>
      </w:r>
      <w:r w:rsidR="00163ADA">
        <w:rPr>
          <w:rFonts w:cs="Arial"/>
          <w:lang w:val="es-CO"/>
        </w:rPr>
        <w:t xml:space="preserve">los siguientes </w:t>
      </w:r>
      <w:r>
        <w:rPr>
          <w:rFonts w:cs="Arial"/>
          <w:lang w:val="es-CO"/>
        </w:rPr>
        <w:t>escenarios</w:t>
      </w:r>
      <w:r w:rsidR="00B56D1A">
        <w:rPr>
          <w:rFonts w:cs="Arial"/>
          <w:lang w:val="es-CO"/>
        </w:rPr>
        <w:t>,</w:t>
      </w:r>
      <w:r>
        <w:rPr>
          <w:rFonts w:cs="Arial"/>
          <w:lang w:val="es-CO"/>
        </w:rPr>
        <w:t xml:space="preserve"> simulando</w:t>
      </w:r>
      <w:r w:rsidR="00B56D1A">
        <w:rPr>
          <w:rFonts w:cs="Arial"/>
          <w:lang w:val="es-CO"/>
        </w:rPr>
        <w:t>:</w:t>
      </w:r>
      <w:r>
        <w:rPr>
          <w:rFonts w:cs="Arial"/>
          <w:lang w:val="es-CO"/>
        </w:rPr>
        <w:t xml:space="preserve"> </w:t>
      </w:r>
      <w:r w:rsidR="00E07ADA">
        <w:rPr>
          <w:rFonts w:cs="Arial"/>
          <w:lang w:val="es-CO"/>
        </w:rPr>
        <w:t xml:space="preserve">un </w:t>
      </w:r>
      <w:r>
        <w:rPr>
          <w:rFonts w:cs="Arial"/>
          <w:lang w:val="es-CO"/>
        </w:rPr>
        <w:t xml:space="preserve">aumento de 20% en los </w:t>
      </w:r>
      <w:bookmarkStart w:id="55" w:name="_Hlk513027194"/>
      <w:r>
        <w:rPr>
          <w:rFonts w:cs="Arial"/>
          <w:lang w:val="es-CO"/>
        </w:rPr>
        <w:t>c</w:t>
      </w:r>
      <w:r w:rsidRPr="00F91C3E">
        <w:rPr>
          <w:rFonts w:cs="Arial"/>
          <w:lang w:val="es-CO"/>
        </w:rPr>
        <w:t>osto</w:t>
      </w:r>
      <w:r>
        <w:rPr>
          <w:rFonts w:cs="Arial"/>
          <w:lang w:val="es-CO"/>
        </w:rPr>
        <w:t>s</w:t>
      </w:r>
      <w:r w:rsidRPr="00F91C3E">
        <w:rPr>
          <w:rFonts w:cs="Arial"/>
          <w:lang w:val="es-CO"/>
        </w:rPr>
        <w:t xml:space="preserve"> de la inversión</w:t>
      </w:r>
      <w:bookmarkEnd w:id="55"/>
      <w:r>
        <w:rPr>
          <w:rFonts w:cs="Arial"/>
          <w:lang w:val="es-CO"/>
        </w:rPr>
        <w:t>;</w:t>
      </w:r>
      <w:r w:rsidRPr="00F91C3E">
        <w:rPr>
          <w:rFonts w:cs="Arial"/>
          <w:lang w:val="es-CO"/>
        </w:rPr>
        <w:t xml:space="preserve"> </w:t>
      </w:r>
      <w:r>
        <w:rPr>
          <w:rFonts w:cs="Arial"/>
          <w:lang w:val="es-CO"/>
        </w:rPr>
        <w:t xml:space="preserve">un 10% menos </w:t>
      </w:r>
      <w:r w:rsidR="00E07ADA">
        <w:rPr>
          <w:rFonts w:cs="Arial"/>
          <w:lang w:val="es-CO"/>
        </w:rPr>
        <w:t xml:space="preserve">en meta de </w:t>
      </w:r>
      <w:r>
        <w:rPr>
          <w:rFonts w:cs="Arial"/>
          <w:lang w:val="es-CO"/>
        </w:rPr>
        <w:t xml:space="preserve">reducción en el </w:t>
      </w:r>
      <w:r w:rsidRPr="00F91C3E">
        <w:rPr>
          <w:rFonts w:cs="Arial"/>
          <w:lang w:val="es-CO"/>
        </w:rPr>
        <w:t>nivel de pérdidas</w:t>
      </w:r>
      <w:r>
        <w:rPr>
          <w:rFonts w:cs="Arial"/>
          <w:lang w:val="es-CO"/>
        </w:rPr>
        <w:t xml:space="preserve"> esperadas;</w:t>
      </w:r>
      <w:r w:rsidRPr="00F91C3E">
        <w:rPr>
          <w:rFonts w:cs="Arial"/>
          <w:lang w:val="es-CO"/>
        </w:rPr>
        <w:t xml:space="preserve"> </w:t>
      </w:r>
      <w:r w:rsidR="00E07ADA">
        <w:rPr>
          <w:rFonts w:cs="Arial"/>
          <w:lang w:val="es-CO"/>
        </w:rPr>
        <w:t xml:space="preserve">reducción </w:t>
      </w:r>
      <w:r>
        <w:rPr>
          <w:rFonts w:cs="Arial"/>
          <w:lang w:val="es-CO"/>
        </w:rPr>
        <w:t>en el costo de falla del servicio eléctrico a US$500 MWh</w:t>
      </w:r>
      <w:r w:rsidR="00992C72">
        <w:rPr>
          <w:rFonts w:cs="Arial"/>
          <w:lang w:val="es-CO"/>
        </w:rPr>
        <w:t>; y aumento del 20% en el costo marginal de corto plazo</w:t>
      </w:r>
      <w:r>
        <w:rPr>
          <w:rFonts w:cs="Arial"/>
          <w:lang w:val="es-CO"/>
        </w:rPr>
        <w:t xml:space="preserve">. </w:t>
      </w:r>
      <w:bookmarkStart w:id="56" w:name="_Hlk512960314"/>
      <w:r w:rsidR="002D52BE">
        <w:rPr>
          <w:rFonts w:cs="Arial"/>
          <w:lang w:val="es-CO"/>
        </w:rPr>
        <w:t xml:space="preserve">Estos valores se consideran relativamente altos. </w:t>
      </w:r>
      <w:r>
        <w:rPr>
          <w:rFonts w:cs="Arial"/>
          <w:lang w:val="es-CO"/>
        </w:rPr>
        <w:t>Los resultados de viabilidad de la inversión se sostienen</w:t>
      </w:r>
      <w:r w:rsidRPr="00F91C3E">
        <w:rPr>
          <w:rFonts w:cs="Arial"/>
          <w:lang w:val="es-CO"/>
        </w:rPr>
        <w:t xml:space="preserve"> </w:t>
      </w:r>
      <w:r>
        <w:rPr>
          <w:rFonts w:cs="Arial"/>
          <w:lang w:val="es-CO"/>
        </w:rPr>
        <w:t xml:space="preserve">en estas simulaciones, validando la solidez de las inversiones propuestas, como se muestra </w:t>
      </w:r>
      <w:bookmarkEnd w:id="56"/>
      <w:r w:rsidR="003A6125">
        <w:rPr>
          <w:rFonts w:cs="Arial"/>
          <w:lang w:val="es-CO"/>
        </w:rPr>
        <w:t>en el Cuadro 5.</w:t>
      </w:r>
    </w:p>
    <w:tbl>
      <w:tblPr>
        <w:tblStyle w:val="TableGrid"/>
        <w:tblW w:w="8476" w:type="dxa"/>
        <w:tblInd w:w="-5" w:type="dxa"/>
        <w:tblLayout w:type="fixed"/>
        <w:tblLook w:val="04A0" w:firstRow="1" w:lastRow="0" w:firstColumn="1" w:lastColumn="0" w:noHBand="0" w:noVBand="1"/>
      </w:tblPr>
      <w:tblGrid>
        <w:gridCol w:w="3695"/>
        <w:gridCol w:w="1530"/>
        <w:gridCol w:w="1530"/>
        <w:gridCol w:w="900"/>
        <w:gridCol w:w="798"/>
        <w:gridCol w:w="23"/>
      </w:tblGrid>
      <w:tr w:rsidR="003A6125" w:rsidRPr="007B66F1" w14:paraId="71419966" w14:textId="77777777" w:rsidTr="00B16F77">
        <w:tc>
          <w:tcPr>
            <w:tcW w:w="8476" w:type="dxa"/>
            <w:gridSpan w:val="6"/>
            <w:tcBorders>
              <w:top w:val="nil"/>
              <w:left w:val="nil"/>
              <w:right w:val="nil"/>
            </w:tcBorders>
            <w:shd w:val="clear" w:color="auto" w:fill="auto"/>
            <w:vAlign w:val="center"/>
          </w:tcPr>
          <w:p w14:paraId="3950F130" w14:textId="77777777" w:rsidR="003A6125" w:rsidRPr="009D0F06" w:rsidRDefault="003A6125" w:rsidP="00194658">
            <w:pPr>
              <w:pStyle w:val="ListParagraph"/>
              <w:spacing w:before="120"/>
              <w:ind w:left="0"/>
              <w:jc w:val="center"/>
              <w:rPr>
                <w:rFonts w:cs="Arial"/>
                <w:b/>
                <w:sz w:val="20"/>
                <w:szCs w:val="20"/>
                <w:lang w:val="es-CO"/>
              </w:rPr>
            </w:pPr>
            <w:r>
              <w:rPr>
                <w:rFonts w:cs="Arial"/>
                <w:b/>
                <w:sz w:val="20"/>
                <w:szCs w:val="20"/>
                <w:lang w:val="es-CO"/>
              </w:rPr>
              <w:t>Cuadro 5 - Análisis de Sensibilidad</w:t>
            </w:r>
          </w:p>
        </w:tc>
      </w:tr>
      <w:tr w:rsidR="00B16F77" w:rsidRPr="007B66F1" w14:paraId="19BCB86E" w14:textId="77777777" w:rsidTr="0025158B">
        <w:trPr>
          <w:gridAfter w:val="1"/>
          <w:wAfter w:w="23" w:type="dxa"/>
          <w:trHeight w:val="278"/>
        </w:trPr>
        <w:tc>
          <w:tcPr>
            <w:tcW w:w="3695" w:type="dxa"/>
            <w:vMerge w:val="restart"/>
            <w:shd w:val="clear" w:color="auto" w:fill="EAF1DD" w:themeFill="accent3" w:themeFillTint="33"/>
            <w:vAlign w:val="center"/>
          </w:tcPr>
          <w:p w14:paraId="7CA6CB86" w14:textId="77777777" w:rsidR="00B16F77" w:rsidRPr="009D0F06" w:rsidRDefault="00B16F77" w:rsidP="00194658">
            <w:pPr>
              <w:pStyle w:val="ListParagraph"/>
              <w:spacing w:before="120"/>
              <w:ind w:left="0"/>
              <w:jc w:val="center"/>
              <w:rPr>
                <w:rFonts w:cs="Arial"/>
                <w:b/>
                <w:noProof/>
                <w:sz w:val="20"/>
                <w:szCs w:val="20"/>
                <w:lang w:val="es-CO"/>
              </w:rPr>
            </w:pPr>
            <w:r w:rsidRPr="009D0F06">
              <w:rPr>
                <w:rFonts w:cs="Arial"/>
                <w:b/>
                <w:noProof/>
                <w:sz w:val="20"/>
                <w:szCs w:val="20"/>
                <w:lang w:val="es-CO"/>
              </w:rPr>
              <w:t>Variable</w:t>
            </w:r>
          </w:p>
        </w:tc>
        <w:tc>
          <w:tcPr>
            <w:tcW w:w="3060" w:type="dxa"/>
            <w:gridSpan w:val="2"/>
            <w:shd w:val="clear" w:color="auto" w:fill="EAF1DD" w:themeFill="accent3" w:themeFillTint="33"/>
            <w:vAlign w:val="center"/>
          </w:tcPr>
          <w:p w14:paraId="25DABC0F" w14:textId="77777777" w:rsidR="00B16F77" w:rsidRPr="009D0F06" w:rsidRDefault="00B16F77" w:rsidP="00B16F77">
            <w:pPr>
              <w:pStyle w:val="ListParagraph"/>
              <w:spacing w:before="120"/>
              <w:ind w:left="0"/>
              <w:jc w:val="center"/>
              <w:rPr>
                <w:rFonts w:cs="Arial"/>
                <w:b/>
                <w:sz w:val="20"/>
                <w:szCs w:val="20"/>
                <w:lang w:val="es-CO"/>
              </w:rPr>
            </w:pPr>
            <w:r w:rsidRPr="009D0F06">
              <w:rPr>
                <w:rFonts w:cs="Arial"/>
                <w:b/>
                <w:sz w:val="20"/>
                <w:szCs w:val="20"/>
                <w:lang w:val="es-CO"/>
              </w:rPr>
              <w:t>VP</w:t>
            </w:r>
            <w:r>
              <w:rPr>
                <w:rFonts w:cs="Arial"/>
                <w:b/>
                <w:sz w:val="20"/>
                <w:szCs w:val="20"/>
                <w:lang w:val="es-CO"/>
              </w:rPr>
              <w:t>N</w:t>
            </w:r>
          </w:p>
        </w:tc>
        <w:tc>
          <w:tcPr>
            <w:tcW w:w="900" w:type="dxa"/>
            <w:vMerge w:val="restart"/>
            <w:shd w:val="clear" w:color="auto" w:fill="EAF1DD" w:themeFill="accent3" w:themeFillTint="33"/>
            <w:vAlign w:val="center"/>
          </w:tcPr>
          <w:p w14:paraId="536D3FF9" w14:textId="77777777" w:rsidR="00B16F77" w:rsidRPr="009D0F06" w:rsidRDefault="00B16F77" w:rsidP="00194658">
            <w:pPr>
              <w:pStyle w:val="ListParagraph"/>
              <w:spacing w:before="120"/>
              <w:ind w:left="0"/>
              <w:jc w:val="center"/>
              <w:rPr>
                <w:rFonts w:cs="Arial"/>
                <w:b/>
                <w:sz w:val="20"/>
                <w:szCs w:val="20"/>
                <w:lang w:val="es-CO"/>
              </w:rPr>
            </w:pPr>
            <w:r w:rsidRPr="009D0F06">
              <w:rPr>
                <w:rFonts w:cs="Arial"/>
                <w:b/>
                <w:sz w:val="20"/>
                <w:szCs w:val="20"/>
                <w:lang w:val="es-CO"/>
              </w:rPr>
              <w:t>TIRF</w:t>
            </w:r>
            <w:r>
              <w:rPr>
                <w:rFonts w:cs="Arial"/>
                <w:b/>
                <w:sz w:val="20"/>
                <w:szCs w:val="20"/>
                <w:lang w:val="es-CO"/>
              </w:rPr>
              <w:t xml:space="preserve"> (%)</w:t>
            </w:r>
          </w:p>
        </w:tc>
        <w:tc>
          <w:tcPr>
            <w:tcW w:w="798" w:type="dxa"/>
            <w:vMerge w:val="restart"/>
            <w:shd w:val="clear" w:color="auto" w:fill="EAF1DD" w:themeFill="accent3" w:themeFillTint="33"/>
            <w:vAlign w:val="center"/>
          </w:tcPr>
          <w:p w14:paraId="213C19F6" w14:textId="77777777" w:rsidR="00B16F77" w:rsidRPr="009D0F06" w:rsidRDefault="00B16F77" w:rsidP="00194658">
            <w:pPr>
              <w:pStyle w:val="ListParagraph"/>
              <w:spacing w:before="120"/>
              <w:ind w:left="0"/>
              <w:jc w:val="center"/>
              <w:rPr>
                <w:rFonts w:cs="Arial"/>
                <w:b/>
                <w:sz w:val="20"/>
                <w:szCs w:val="20"/>
                <w:lang w:val="es-CO"/>
              </w:rPr>
            </w:pPr>
            <w:r w:rsidRPr="009D0F06">
              <w:rPr>
                <w:rFonts w:cs="Arial"/>
                <w:b/>
                <w:sz w:val="20"/>
                <w:szCs w:val="20"/>
                <w:lang w:val="es-CO"/>
              </w:rPr>
              <w:t>TIRE</w:t>
            </w:r>
            <w:r>
              <w:rPr>
                <w:rFonts w:cs="Arial"/>
                <w:b/>
                <w:sz w:val="20"/>
                <w:szCs w:val="20"/>
                <w:lang w:val="es-CO"/>
              </w:rPr>
              <w:t xml:space="preserve"> (%)</w:t>
            </w:r>
          </w:p>
        </w:tc>
      </w:tr>
      <w:tr w:rsidR="00B16F77" w:rsidRPr="007B66F1" w14:paraId="7C1A321C" w14:textId="77777777" w:rsidTr="0025158B">
        <w:trPr>
          <w:gridAfter w:val="1"/>
          <w:wAfter w:w="23" w:type="dxa"/>
          <w:trHeight w:val="577"/>
        </w:trPr>
        <w:tc>
          <w:tcPr>
            <w:tcW w:w="3695" w:type="dxa"/>
            <w:vMerge/>
            <w:shd w:val="clear" w:color="auto" w:fill="EAF1DD" w:themeFill="accent3" w:themeFillTint="33"/>
            <w:vAlign w:val="center"/>
          </w:tcPr>
          <w:p w14:paraId="77FC0111" w14:textId="77777777" w:rsidR="00B16F77" w:rsidRPr="009D0F06" w:rsidRDefault="00B16F77" w:rsidP="00194658">
            <w:pPr>
              <w:pStyle w:val="ListParagraph"/>
              <w:spacing w:before="120"/>
              <w:ind w:left="0"/>
              <w:jc w:val="center"/>
              <w:rPr>
                <w:rFonts w:cs="Arial"/>
                <w:b/>
                <w:noProof/>
                <w:sz w:val="20"/>
                <w:szCs w:val="20"/>
                <w:lang w:val="es-CO"/>
              </w:rPr>
            </w:pPr>
          </w:p>
        </w:tc>
        <w:tc>
          <w:tcPr>
            <w:tcW w:w="1530" w:type="dxa"/>
            <w:shd w:val="clear" w:color="auto" w:fill="EAF1DD" w:themeFill="accent3" w:themeFillTint="33"/>
            <w:vAlign w:val="center"/>
          </w:tcPr>
          <w:p w14:paraId="19C1D05B" w14:textId="77777777" w:rsidR="00B16F77" w:rsidRDefault="00B16F77" w:rsidP="00B16F77">
            <w:pPr>
              <w:pStyle w:val="ListParagraph"/>
              <w:ind w:left="0"/>
              <w:jc w:val="center"/>
              <w:rPr>
                <w:rFonts w:cs="Arial"/>
                <w:b/>
                <w:sz w:val="20"/>
                <w:szCs w:val="20"/>
                <w:lang w:val="es-CO"/>
              </w:rPr>
            </w:pPr>
            <w:r w:rsidRPr="009D0F06">
              <w:rPr>
                <w:rFonts w:cs="Arial"/>
                <w:b/>
                <w:sz w:val="20"/>
                <w:szCs w:val="20"/>
                <w:lang w:val="es-CO"/>
              </w:rPr>
              <w:t>Financiero</w:t>
            </w:r>
          </w:p>
          <w:p w14:paraId="3B62EB2E" w14:textId="77777777" w:rsidR="00B16F77" w:rsidRPr="009D0F06" w:rsidRDefault="00B16F77" w:rsidP="00B16F77">
            <w:pPr>
              <w:pStyle w:val="ListParagraph"/>
              <w:ind w:left="0"/>
              <w:jc w:val="center"/>
              <w:rPr>
                <w:rFonts w:cs="Arial"/>
                <w:b/>
                <w:sz w:val="20"/>
                <w:szCs w:val="20"/>
                <w:lang w:val="es-CO"/>
              </w:rPr>
            </w:pPr>
            <w:r>
              <w:rPr>
                <w:rFonts w:cs="Arial"/>
                <w:b/>
                <w:sz w:val="20"/>
                <w:szCs w:val="20"/>
                <w:lang w:val="es-CO"/>
              </w:rPr>
              <w:t>US$ Millones</w:t>
            </w:r>
          </w:p>
        </w:tc>
        <w:tc>
          <w:tcPr>
            <w:tcW w:w="1530" w:type="dxa"/>
            <w:shd w:val="clear" w:color="auto" w:fill="EAF1DD" w:themeFill="accent3" w:themeFillTint="33"/>
            <w:vAlign w:val="center"/>
          </w:tcPr>
          <w:p w14:paraId="5CE51F6C" w14:textId="77777777" w:rsidR="00B16F77" w:rsidRDefault="00B16F77" w:rsidP="00B16F77">
            <w:pPr>
              <w:pStyle w:val="ListParagraph"/>
              <w:ind w:left="0"/>
              <w:jc w:val="center"/>
              <w:rPr>
                <w:rFonts w:cs="Arial"/>
                <w:b/>
                <w:sz w:val="20"/>
                <w:szCs w:val="20"/>
                <w:lang w:val="es-CO"/>
              </w:rPr>
            </w:pPr>
            <w:r w:rsidRPr="009D0F06">
              <w:rPr>
                <w:rFonts w:cs="Arial"/>
                <w:b/>
                <w:sz w:val="20"/>
                <w:szCs w:val="20"/>
                <w:lang w:val="es-CO"/>
              </w:rPr>
              <w:t>Económico</w:t>
            </w:r>
          </w:p>
          <w:p w14:paraId="5CF358A9" w14:textId="77777777" w:rsidR="00B16F77" w:rsidRPr="009D0F06" w:rsidRDefault="00B16F77" w:rsidP="00B16F77">
            <w:pPr>
              <w:pStyle w:val="ListParagraph"/>
              <w:ind w:left="0"/>
              <w:jc w:val="center"/>
              <w:rPr>
                <w:rFonts w:cs="Arial"/>
                <w:b/>
                <w:sz w:val="20"/>
                <w:szCs w:val="20"/>
                <w:lang w:val="es-CO"/>
              </w:rPr>
            </w:pPr>
            <w:r>
              <w:rPr>
                <w:rFonts w:cs="Arial"/>
                <w:b/>
                <w:sz w:val="20"/>
                <w:szCs w:val="20"/>
                <w:lang w:val="es-CO"/>
              </w:rPr>
              <w:t>US$ Millones</w:t>
            </w:r>
          </w:p>
        </w:tc>
        <w:tc>
          <w:tcPr>
            <w:tcW w:w="900" w:type="dxa"/>
            <w:vMerge/>
            <w:shd w:val="clear" w:color="auto" w:fill="EAF1DD" w:themeFill="accent3" w:themeFillTint="33"/>
            <w:vAlign w:val="center"/>
          </w:tcPr>
          <w:p w14:paraId="7E9D30D8" w14:textId="77777777" w:rsidR="00B16F77" w:rsidRPr="009D0F06" w:rsidRDefault="00B16F77" w:rsidP="00194658">
            <w:pPr>
              <w:pStyle w:val="ListParagraph"/>
              <w:spacing w:before="120"/>
              <w:ind w:left="0"/>
              <w:jc w:val="center"/>
              <w:rPr>
                <w:rFonts w:cs="Arial"/>
                <w:b/>
                <w:sz w:val="20"/>
                <w:szCs w:val="20"/>
                <w:lang w:val="es-CO"/>
              </w:rPr>
            </w:pPr>
          </w:p>
        </w:tc>
        <w:tc>
          <w:tcPr>
            <w:tcW w:w="798" w:type="dxa"/>
            <w:vMerge/>
            <w:shd w:val="clear" w:color="auto" w:fill="EAF1DD" w:themeFill="accent3" w:themeFillTint="33"/>
            <w:vAlign w:val="center"/>
          </w:tcPr>
          <w:p w14:paraId="6F67CC6C" w14:textId="77777777" w:rsidR="00B16F77" w:rsidRPr="009D0F06" w:rsidRDefault="00B16F77" w:rsidP="00194658">
            <w:pPr>
              <w:pStyle w:val="ListParagraph"/>
              <w:spacing w:before="120"/>
              <w:ind w:left="0"/>
              <w:jc w:val="center"/>
              <w:rPr>
                <w:rFonts w:cs="Arial"/>
                <w:b/>
                <w:sz w:val="20"/>
                <w:szCs w:val="20"/>
                <w:lang w:val="es-CO"/>
              </w:rPr>
            </w:pPr>
          </w:p>
        </w:tc>
      </w:tr>
      <w:tr w:rsidR="00D365FF" w14:paraId="0FC688B7" w14:textId="77777777" w:rsidTr="00B16F77">
        <w:tc>
          <w:tcPr>
            <w:tcW w:w="8476" w:type="dxa"/>
            <w:gridSpan w:val="6"/>
            <w:shd w:val="clear" w:color="auto" w:fill="D6E3BC" w:themeFill="accent3" w:themeFillTint="66"/>
          </w:tcPr>
          <w:p w14:paraId="14014526" w14:textId="77777777" w:rsidR="00D365FF" w:rsidRPr="009D0F06" w:rsidRDefault="00D365FF" w:rsidP="00194658">
            <w:pPr>
              <w:pStyle w:val="ListParagraph"/>
              <w:spacing w:before="120"/>
              <w:ind w:left="0"/>
              <w:rPr>
                <w:rFonts w:cs="Arial"/>
                <w:b/>
                <w:sz w:val="20"/>
                <w:szCs w:val="20"/>
                <w:lang w:val="es-CO"/>
              </w:rPr>
            </w:pPr>
            <w:r w:rsidRPr="009D0F06">
              <w:rPr>
                <w:rFonts w:cs="Arial"/>
                <w:b/>
                <w:sz w:val="20"/>
                <w:szCs w:val="20"/>
                <w:lang w:val="es-CO"/>
              </w:rPr>
              <w:t xml:space="preserve">Proyecto </w:t>
            </w:r>
            <w:bookmarkStart w:id="57" w:name="_Hlk513316291"/>
            <w:r w:rsidRPr="009D0F06">
              <w:rPr>
                <w:rFonts w:cs="Arial"/>
                <w:b/>
                <w:sz w:val="20"/>
                <w:szCs w:val="20"/>
                <w:lang w:val="es-CO"/>
              </w:rPr>
              <w:t>SPSS-SBV</w:t>
            </w:r>
            <w:bookmarkEnd w:id="57"/>
          </w:p>
        </w:tc>
      </w:tr>
      <w:tr w:rsidR="00FF746F" w14:paraId="0FA7BB47" w14:textId="77777777" w:rsidTr="0025158B">
        <w:trPr>
          <w:gridAfter w:val="1"/>
          <w:wAfter w:w="23" w:type="dxa"/>
        </w:trPr>
        <w:tc>
          <w:tcPr>
            <w:tcW w:w="3695" w:type="dxa"/>
          </w:tcPr>
          <w:p w14:paraId="4E779A03" w14:textId="77777777" w:rsidR="00D365FF" w:rsidRPr="009D0F06" w:rsidRDefault="00D365FF" w:rsidP="00194658">
            <w:pPr>
              <w:pStyle w:val="ListParagraph"/>
              <w:spacing w:before="120"/>
              <w:ind w:left="0"/>
              <w:jc w:val="both"/>
              <w:rPr>
                <w:rFonts w:cs="Arial"/>
                <w:sz w:val="20"/>
                <w:szCs w:val="20"/>
                <w:lang w:val="es-CO"/>
              </w:rPr>
            </w:pPr>
            <w:bookmarkStart w:id="58" w:name="_Hlk496792958"/>
            <w:r w:rsidRPr="009D0F06">
              <w:rPr>
                <w:rFonts w:cs="Arial"/>
                <w:sz w:val="20"/>
                <w:szCs w:val="20"/>
                <w:lang w:val="es-CO"/>
              </w:rPr>
              <w:t xml:space="preserve">    Caso Base</w:t>
            </w:r>
          </w:p>
        </w:tc>
        <w:tc>
          <w:tcPr>
            <w:tcW w:w="1530" w:type="dxa"/>
          </w:tcPr>
          <w:p w14:paraId="5D5C5482"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284,4</w:t>
            </w:r>
          </w:p>
        </w:tc>
        <w:tc>
          <w:tcPr>
            <w:tcW w:w="1530" w:type="dxa"/>
          </w:tcPr>
          <w:p w14:paraId="3A22DCE3"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276,8</w:t>
            </w:r>
          </w:p>
        </w:tc>
        <w:tc>
          <w:tcPr>
            <w:tcW w:w="900" w:type="dxa"/>
          </w:tcPr>
          <w:p w14:paraId="6680CC40"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59,0</w:t>
            </w:r>
          </w:p>
        </w:tc>
        <w:tc>
          <w:tcPr>
            <w:tcW w:w="798" w:type="dxa"/>
          </w:tcPr>
          <w:p w14:paraId="7628A0A4"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58,3</w:t>
            </w:r>
          </w:p>
        </w:tc>
      </w:tr>
      <w:tr w:rsidR="00FF746F" w14:paraId="18AF6922" w14:textId="77777777" w:rsidTr="0025158B">
        <w:trPr>
          <w:gridAfter w:val="1"/>
          <w:wAfter w:w="23" w:type="dxa"/>
        </w:trPr>
        <w:tc>
          <w:tcPr>
            <w:tcW w:w="3695" w:type="dxa"/>
          </w:tcPr>
          <w:p w14:paraId="30C84479" w14:textId="77777777" w:rsidR="00D365FF" w:rsidRPr="009D0F06" w:rsidRDefault="00D365FF" w:rsidP="00194658">
            <w:pPr>
              <w:pStyle w:val="ListParagraph"/>
              <w:spacing w:before="120"/>
              <w:ind w:left="0"/>
              <w:jc w:val="both"/>
              <w:rPr>
                <w:rFonts w:cs="Arial"/>
                <w:sz w:val="20"/>
                <w:szCs w:val="20"/>
                <w:lang w:val="es-CO"/>
              </w:rPr>
            </w:pPr>
            <w:r w:rsidRPr="009D0F06">
              <w:rPr>
                <w:rFonts w:cs="Arial"/>
                <w:sz w:val="20"/>
                <w:szCs w:val="20"/>
                <w:lang w:val="es-CO"/>
              </w:rPr>
              <w:t xml:space="preserve"> </w:t>
            </w:r>
            <w:r w:rsidRPr="009D0F06">
              <w:rPr>
                <w:rFonts w:cs="Arial"/>
                <w:noProof/>
                <w:sz w:val="20"/>
                <w:szCs w:val="20"/>
                <w:lang w:val="es-CO"/>
              </w:rPr>
              <w:drawing>
                <wp:inline distT="0" distB="0" distL="0" distR="0" wp14:anchorId="0FF4AC54" wp14:editId="3883B967">
                  <wp:extent cx="79016" cy="153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621" cy="162626"/>
                          </a:xfrm>
                          <a:prstGeom prst="rect">
                            <a:avLst/>
                          </a:prstGeom>
                          <a:noFill/>
                        </pic:spPr>
                      </pic:pic>
                    </a:graphicData>
                  </a:graphic>
                </wp:inline>
              </w:drawing>
            </w:r>
            <w:r w:rsidRPr="009D0F06">
              <w:rPr>
                <w:rFonts w:cs="Arial"/>
                <w:sz w:val="20"/>
                <w:szCs w:val="20"/>
                <w:lang w:val="es-CO"/>
              </w:rPr>
              <w:t xml:space="preserve"> Costos de inversión</w:t>
            </w:r>
            <w:r>
              <w:rPr>
                <w:rFonts w:cs="Arial"/>
                <w:sz w:val="20"/>
                <w:szCs w:val="20"/>
                <w:lang w:val="es-CO"/>
              </w:rPr>
              <w:t xml:space="preserve"> (20%)</w:t>
            </w:r>
          </w:p>
        </w:tc>
        <w:tc>
          <w:tcPr>
            <w:tcW w:w="1530" w:type="dxa"/>
          </w:tcPr>
          <w:p w14:paraId="0DF799D8"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275,5</w:t>
            </w:r>
          </w:p>
        </w:tc>
        <w:tc>
          <w:tcPr>
            <w:tcW w:w="1530" w:type="dxa"/>
          </w:tcPr>
          <w:p w14:paraId="6ED5BCAC"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268,0</w:t>
            </w:r>
          </w:p>
        </w:tc>
        <w:tc>
          <w:tcPr>
            <w:tcW w:w="900" w:type="dxa"/>
          </w:tcPr>
          <w:p w14:paraId="18B3FE16"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51,1</w:t>
            </w:r>
          </w:p>
        </w:tc>
        <w:tc>
          <w:tcPr>
            <w:tcW w:w="798" w:type="dxa"/>
          </w:tcPr>
          <w:p w14:paraId="4C273F2C" w14:textId="77777777" w:rsidR="00D365FF" w:rsidRPr="009D0F06" w:rsidRDefault="006501D0" w:rsidP="00194658">
            <w:pPr>
              <w:pStyle w:val="ListParagraph"/>
              <w:spacing w:before="120"/>
              <w:ind w:left="0"/>
              <w:jc w:val="center"/>
              <w:rPr>
                <w:rFonts w:cs="Arial"/>
                <w:sz w:val="20"/>
                <w:szCs w:val="20"/>
                <w:lang w:val="es-CO"/>
              </w:rPr>
            </w:pPr>
            <w:r>
              <w:rPr>
                <w:rFonts w:cs="Arial"/>
                <w:sz w:val="20"/>
                <w:szCs w:val="20"/>
                <w:lang w:val="es-CO"/>
              </w:rPr>
              <w:t>50,5</w:t>
            </w:r>
          </w:p>
        </w:tc>
      </w:tr>
      <w:tr w:rsidR="00FF746F" w14:paraId="0A742AB6" w14:textId="77777777" w:rsidTr="0025158B">
        <w:trPr>
          <w:gridAfter w:val="1"/>
          <w:wAfter w:w="23" w:type="dxa"/>
        </w:trPr>
        <w:tc>
          <w:tcPr>
            <w:tcW w:w="3695" w:type="dxa"/>
          </w:tcPr>
          <w:p w14:paraId="1C60F148" w14:textId="77777777" w:rsidR="00D365FF" w:rsidRPr="009D0F06" w:rsidRDefault="00D365FF" w:rsidP="00194658">
            <w:pPr>
              <w:pStyle w:val="ListParagraph"/>
              <w:spacing w:before="120"/>
              <w:ind w:left="0"/>
              <w:jc w:val="both"/>
              <w:rPr>
                <w:rFonts w:cs="Arial"/>
                <w:sz w:val="20"/>
                <w:szCs w:val="20"/>
                <w:lang w:val="es-CO"/>
              </w:rPr>
            </w:pPr>
            <w:r w:rsidRPr="009D0F06">
              <w:rPr>
                <w:rFonts w:cs="Arial"/>
                <w:noProof/>
                <w:sz w:val="20"/>
                <w:szCs w:val="20"/>
                <w:lang w:val="es-CO"/>
              </w:rPr>
              <w:t xml:space="preserve"> </w:t>
            </w:r>
            <w:r w:rsidRPr="009D0F06">
              <w:rPr>
                <w:rFonts w:cs="Arial"/>
                <w:noProof/>
                <w:sz w:val="20"/>
                <w:szCs w:val="20"/>
                <w:lang w:val="es-CO"/>
              </w:rPr>
              <w:drawing>
                <wp:inline distT="0" distB="0" distL="0" distR="0" wp14:anchorId="306C88AC" wp14:editId="4EC409AC">
                  <wp:extent cx="79016" cy="1536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621" cy="162626"/>
                          </a:xfrm>
                          <a:prstGeom prst="rect">
                            <a:avLst/>
                          </a:prstGeom>
                          <a:noFill/>
                        </pic:spPr>
                      </pic:pic>
                    </a:graphicData>
                  </a:graphic>
                </wp:inline>
              </w:drawing>
            </w:r>
            <w:r w:rsidRPr="009D0F06">
              <w:rPr>
                <w:rFonts w:cs="Arial"/>
                <w:sz w:val="20"/>
                <w:szCs w:val="20"/>
                <w:lang w:val="es-CO"/>
              </w:rPr>
              <w:t xml:space="preserve"> Reducción </w:t>
            </w:r>
            <w:r w:rsidR="003120B3">
              <w:rPr>
                <w:rFonts w:cs="Arial"/>
                <w:sz w:val="20"/>
                <w:szCs w:val="20"/>
                <w:lang w:val="es-CO"/>
              </w:rPr>
              <w:t xml:space="preserve">meta </w:t>
            </w:r>
            <w:r w:rsidRPr="009D0F06">
              <w:rPr>
                <w:rFonts w:cs="Arial"/>
                <w:sz w:val="20"/>
                <w:szCs w:val="20"/>
                <w:lang w:val="es-CO"/>
              </w:rPr>
              <w:t>de pérdidas</w:t>
            </w:r>
            <w:r>
              <w:rPr>
                <w:rFonts w:cs="Arial"/>
                <w:sz w:val="20"/>
                <w:szCs w:val="20"/>
                <w:lang w:val="es-CO"/>
              </w:rPr>
              <w:t xml:space="preserve"> (</w:t>
            </w:r>
            <w:r w:rsidR="0006303D">
              <w:rPr>
                <w:rFonts w:cs="Arial"/>
                <w:sz w:val="20"/>
                <w:szCs w:val="20"/>
                <w:lang w:val="es-CO"/>
              </w:rPr>
              <w:t>2</w:t>
            </w:r>
            <w:r>
              <w:rPr>
                <w:rFonts w:cs="Arial"/>
                <w:sz w:val="20"/>
                <w:szCs w:val="20"/>
                <w:lang w:val="es-CO"/>
              </w:rPr>
              <w:t>0%)</w:t>
            </w:r>
          </w:p>
        </w:tc>
        <w:tc>
          <w:tcPr>
            <w:tcW w:w="1530" w:type="dxa"/>
          </w:tcPr>
          <w:p w14:paraId="4E1505E9" w14:textId="77777777" w:rsidR="00D365FF" w:rsidRPr="009D0F06" w:rsidRDefault="00D369FF" w:rsidP="00194658">
            <w:pPr>
              <w:pStyle w:val="ListParagraph"/>
              <w:spacing w:before="120"/>
              <w:ind w:left="0"/>
              <w:jc w:val="center"/>
              <w:rPr>
                <w:rFonts w:cs="Arial"/>
                <w:sz w:val="20"/>
                <w:szCs w:val="20"/>
                <w:lang w:val="es-CO"/>
              </w:rPr>
            </w:pPr>
            <w:r>
              <w:rPr>
                <w:rFonts w:cs="Arial"/>
                <w:sz w:val="20"/>
                <w:szCs w:val="20"/>
                <w:lang w:val="es-CO"/>
              </w:rPr>
              <w:t>245,6</w:t>
            </w:r>
          </w:p>
        </w:tc>
        <w:tc>
          <w:tcPr>
            <w:tcW w:w="1530" w:type="dxa"/>
          </w:tcPr>
          <w:p w14:paraId="1790A2AC" w14:textId="77777777" w:rsidR="00D365FF" w:rsidRPr="009D0F06" w:rsidRDefault="00D369FF" w:rsidP="00194658">
            <w:pPr>
              <w:pStyle w:val="ListParagraph"/>
              <w:spacing w:before="120"/>
              <w:ind w:left="0"/>
              <w:jc w:val="center"/>
              <w:rPr>
                <w:rFonts w:cs="Arial"/>
                <w:sz w:val="20"/>
                <w:szCs w:val="20"/>
                <w:lang w:val="es-CO"/>
              </w:rPr>
            </w:pPr>
            <w:r>
              <w:rPr>
                <w:rFonts w:cs="Arial"/>
                <w:sz w:val="20"/>
                <w:szCs w:val="20"/>
                <w:lang w:val="es-CO"/>
              </w:rPr>
              <w:t>238,4</w:t>
            </w:r>
          </w:p>
        </w:tc>
        <w:tc>
          <w:tcPr>
            <w:tcW w:w="900" w:type="dxa"/>
          </w:tcPr>
          <w:p w14:paraId="22BD70F6" w14:textId="77777777" w:rsidR="00D365FF" w:rsidRPr="009D0F06" w:rsidRDefault="00D369FF" w:rsidP="00194658">
            <w:pPr>
              <w:pStyle w:val="ListParagraph"/>
              <w:spacing w:before="120"/>
              <w:ind w:left="0"/>
              <w:jc w:val="center"/>
              <w:rPr>
                <w:rFonts w:cs="Arial"/>
                <w:sz w:val="20"/>
                <w:szCs w:val="20"/>
                <w:lang w:val="es-CO"/>
              </w:rPr>
            </w:pPr>
            <w:r>
              <w:rPr>
                <w:rFonts w:cs="Arial"/>
                <w:sz w:val="20"/>
                <w:szCs w:val="20"/>
                <w:lang w:val="es-CO"/>
              </w:rPr>
              <w:t>46,5</w:t>
            </w:r>
          </w:p>
        </w:tc>
        <w:tc>
          <w:tcPr>
            <w:tcW w:w="798" w:type="dxa"/>
          </w:tcPr>
          <w:p w14:paraId="58A343FD" w14:textId="77777777" w:rsidR="00D365FF" w:rsidRPr="009D0F06" w:rsidRDefault="00D369FF" w:rsidP="00194658">
            <w:pPr>
              <w:pStyle w:val="ListParagraph"/>
              <w:spacing w:before="120"/>
              <w:ind w:left="0"/>
              <w:jc w:val="center"/>
              <w:rPr>
                <w:rFonts w:cs="Arial"/>
                <w:sz w:val="20"/>
                <w:szCs w:val="20"/>
                <w:lang w:val="es-CO"/>
              </w:rPr>
            </w:pPr>
            <w:r>
              <w:rPr>
                <w:rFonts w:cs="Arial"/>
                <w:sz w:val="20"/>
                <w:szCs w:val="20"/>
                <w:lang w:val="es-CO"/>
              </w:rPr>
              <w:t>45,9</w:t>
            </w:r>
          </w:p>
        </w:tc>
      </w:tr>
      <w:tr w:rsidR="00FF746F" w14:paraId="54E985E5" w14:textId="77777777" w:rsidTr="0025158B">
        <w:trPr>
          <w:gridAfter w:val="1"/>
          <w:wAfter w:w="23" w:type="dxa"/>
          <w:trHeight w:val="395"/>
        </w:trPr>
        <w:tc>
          <w:tcPr>
            <w:tcW w:w="3695" w:type="dxa"/>
          </w:tcPr>
          <w:p w14:paraId="25974DE1" w14:textId="77777777" w:rsidR="00D365FF" w:rsidRPr="009D0F06" w:rsidRDefault="00D365FF" w:rsidP="00194658">
            <w:pPr>
              <w:pStyle w:val="ListParagraph"/>
              <w:spacing w:before="120"/>
              <w:ind w:left="0"/>
              <w:jc w:val="both"/>
              <w:rPr>
                <w:rFonts w:cs="Arial"/>
                <w:sz w:val="20"/>
                <w:szCs w:val="20"/>
                <w:lang w:val="es-CO"/>
              </w:rPr>
            </w:pPr>
            <w:r w:rsidRPr="009D0F06">
              <w:rPr>
                <w:rFonts w:cs="Arial"/>
                <w:noProof/>
                <w:sz w:val="20"/>
                <w:szCs w:val="20"/>
                <w:lang w:val="es-CO"/>
              </w:rPr>
              <w:t xml:space="preserve"> </w:t>
            </w:r>
            <w:r w:rsidRPr="009D0F06">
              <w:rPr>
                <w:rFonts w:cs="Arial"/>
                <w:noProof/>
                <w:sz w:val="20"/>
                <w:szCs w:val="20"/>
                <w:lang w:val="es-CO"/>
              </w:rPr>
              <w:drawing>
                <wp:inline distT="0" distB="0" distL="0" distR="0" wp14:anchorId="51B3E77F" wp14:editId="7DC4CF12">
                  <wp:extent cx="79016" cy="1536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621" cy="162626"/>
                          </a:xfrm>
                          <a:prstGeom prst="rect">
                            <a:avLst/>
                          </a:prstGeom>
                          <a:noFill/>
                        </pic:spPr>
                      </pic:pic>
                    </a:graphicData>
                  </a:graphic>
                </wp:inline>
              </w:drawing>
            </w:r>
            <w:r w:rsidRPr="009D0F06">
              <w:rPr>
                <w:rFonts w:cs="Arial"/>
                <w:sz w:val="20"/>
                <w:szCs w:val="20"/>
                <w:lang w:val="es-CO"/>
              </w:rPr>
              <w:t xml:space="preserve"> Costo de Falla</w:t>
            </w:r>
            <w:r>
              <w:rPr>
                <w:rFonts w:cs="Arial"/>
                <w:sz w:val="20"/>
                <w:szCs w:val="20"/>
                <w:lang w:val="es-CO"/>
              </w:rPr>
              <w:t xml:space="preserve"> (</w:t>
            </w:r>
            <w:r w:rsidRPr="00C5125E">
              <w:rPr>
                <w:rFonts w:cs="Arial"/>
                <w:sz w:val="20"/>
                <w:szCs w:val="20"/>
                <w:lang w:val="es-CO"/>
              </w:rPr>
              <w:t>US$500/MWh)</w:t>
            </w:r>
          </w:p>
        </w:tc>
        <w:tc>
          <w:tcPr>
            <w:tcW w:w="1530" w:type="dxa"/>
          </w:tcPr>
          <w:p w14:paraId="38936856" w14:textId="77777777" w:rsidR="00D365FF" w:rsidRPr="009D0F06" w:rsidRDefault="00F01D2D" w:rsidP="00194658">
            <w:pPr>
              <w:pStyle w:val="ListParagraph"/>
              <w:spacing w:before="120"/>
              <w:ind w:left="0"/>
              <w:jc w:val="center"/>
              <w:rPr>
                <w:rFonts w:cs="Arial"/>
                <w:sz w:val="20"/>
                <w:szCs w:val="20"/>
                <w:lang w:val="es-CO"/>
              </w:rPr>
            </w:pPr>
            <w:r>
              <w:rPr>
                <w:rFonts w:cs="Arial"/>
                <w:sz w:val="20"/>
                <w:szCs w:val="20"/>
                <w:lang w:val="es-CO"/>
              </w:rPr>
              <w:t>155,2</w:t>
            </w:r>
          </w:p>
        </w:tc>
        <w:tc>
          <w:tcPr>
            <w:tcW w:w="1530" w:type="dxa"/>
          </w:tcPr>
          <w:p w14:paraId="0A167C8B" w14:textId="77777777" w:rsidR="00D365FF" w:rsidRPr="009D0F06" w:rsidRDefault="00D365FF" w:rsidP="00194658">
            <w:pPr>
              <w:pStyle w:val="ListParagraph"/>
              <w:spacing w:before="120"/>
              <w:ind w:left="0"/>
              <w:jc w:val="center"/>
              <w:rPr>
                <w:rFonts w:cs="Arial"/>
                <w:sz w:val="20"/>
                <w:szCs w:val="20"/>
                <w:lang w:val="es-CO"/>
              </w:rPr>
            </w:pPr>
            <w:r>
              <w:rPr>
                <w:rFonts w:cs="Arial"/>
                <w:sz w:val="20"/>
                <w:szCs w:val="20"/>
                <w:lang w:val="es-CO"/>
              </w:rPr>
              <w:t>1</w:t>
            </w:r>
            <w:r w:rsidR="00F01D2D">
              <w:rPr>
                <w:rFonts w:cs="Arial"/>
                <w:sz w:val="20"/>
                <w:szCs w:val="20"/>
                <w:lang w:val="es-CO"/>
              </w:rPr>
              <w:t>52</w:t>
            </w:r>
            <w:r w:rsidR="000951D2">
              <w:rPr>
                <w:rFonts w:cs="Arial"/>
                <w:sz w:val="20"/>
                <w:szCs w:val="20"/>
                <w:lang w:val="es-CO"/>
              </w:rPr>
              <w:t>,</w:t>
            </w:r>
            <w:r w:rsidR="00F01D2D">
              <w:rPr>
                <w:rFonts w:cs="Arial"/>
                <w:sz w:val="20"/>
                <w:szCs w:val="20"/>
                <w:lang w:val="es-CO"/>
              </w:rPr>
              <w:t>4</w:t>
            </w:r>
          </w:p>
        </w:tc>
        <w:tc>
          <w:tcPr>
            <w:tcW w:w="900" w:type="dxa"/>
          </w:tcPr>
          <w:p w14:paraId="1BB4970C" w14:textId="77777777" w:rsidR="00D365FF" w:rsidRPr="009D0F06" w:rsidRDefault="00F01D2D" w:rsidP="00194658">
            <w:pPr>
              <w:pStyle w:val="ListParagraph"/>
              <w:spacing w:before="120"/>
              <w:ind w:left="0"/>
              <w:jc w:val="center"/>
              <w:rPr>
                <w:rFonts w:cs="Arial"/>
                <w:sz w:val="20"/>
                <w:szCs w:val="20"/>
                <w:lang w:val="es-CO"/>
              </w:rPr>
            </w:pPr>
            <w:r>
              <w:rPr>
                <w:rFonts w:cs="Arial"/>
                <w:sz w:val="20"/>
                <w:szCs w:val="20"/>
                <w:lang w:val="es-CO"/>
              </w:rPr>
              <w:t>37,9</w:t>
            </w:r>
          </w:p>
        </w:tc>
        <w:tc>
          <w:tcPr>
            <w:tcW w:w="798" w:type="dxa"/>
          </w:tcPr>
          <w:p w14:paraId="7A1363D3" w14:textId="77777777" w:rsidR="00D365FF" w:rsidRPr="009D0F06" w:rsidRDefault="00F01D2D" w:rsidP="00194658">
            <w:pPr>
              <w:pStyle w:val="ListParagraph"/>
              <w:spacing w:before="120"/>
              <w:ind w:left="0"/>
              <w:jc w:val="center"/>
              <w:rPr>
                <w:rFonts w:cs="Arial"/>
                <w:sz w:val="20"/>
                <w:szCs w:val="20"/>
                <w:lang w:val="es-CO"/>
              </w:rPr>
            </w:pPr>
            <w:r>
              <w:rPr>
                <w:rFonts w:cs="Arial"/>
                <w:sz w:val="20"/>
                <w:szCs w:val="20"/>
                <w:lang w:val="es-CO"/>
              </w:rPr>
              <w:t>37,8</w:t>
            </w:r>
          </w:p>
        </w:tc>
      </w:tr>
      <w:tr w:rsidR="00FF746F" w:rsidRPr="00CC7132" w14:paraId="47B43F8C" w14:textId="77777777" w:rsidTr="0025158B">
        <w:trPr>
          <w:gridAfter w:val="1"/>
          <w:wAfter w:w="23" w:type="dxa"/>
          <w:trHeight w:val="395"/>
        </w:trPr>
        <w:tc>
          <w:tcPr>
            <w:tcW w:w="3695" w:type="dxa"/>
          </w:tcPr>
          <w:p w14:paraId="1DC27FEE" w14:textId="77777777" w:rsidR="00B56D1A" w:rsidRPr="009D0F06" w:rsidRDefault="00CC7132" w:rsidP="00194658">
            <w:pPr>
              <w:pStyle w:val="ListParagraph"/>
              <w:spacing w:before="120"/>
              <w:ind w:left="0"/>
              <w:jc w:val="both"/>
              <w:rPr>
                <w:rFonts w:cs="Arial"/>
                <w:noProof/>
                <w:sz w:val="20"/>
                <w:szCs w:val="20"/>
                <w:lang w:val="es-CO"/>
              </w:rPr>
            </w:pPr>
            <w:r>
              <w:rPr>
                <w:rFonts w:cs="Arial"/>
                <w:noProof/>
                <w:sz w:val="20"/>
                <w:szCs w:val="20"/>
                <w:lang w:val="es-CO"/>
              </w:rPr>
              <w:t xml:space="preserve"> </w:t>
            </w:r>
            <w:r w:rsidR="00B56D1A">
              <w:rPr>
                <w:rFonts w:cs="Arial"/>
                <w:noProof/>
                <w:sz w:val="20"/>
                <w:szCs w:val="20"/>
                <w:lang w:val="es-CO"/>
              </w:rPr>
              <w:drawing>
                <wp:inline distT="0" distB="0" distL="0" distR="0" wp14:anchorId="0248E0E0" wp14:editId="40E7A440">
                  <wp:extent cx="79375" cy="152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375" cy="152400"/>
                          </a:xfrm>
                          <a:prstGeom prst="rect">
                            <a:avLst/>
                          </a:prstGeom>
                          <a:noFill/>
                        </pic:spPr>
                      </pic:pic>
                    </a:graphicData>
                  </a:graphic>
                </wp:inline>
              </w:drawing>
            </w:r>
            <w:r>
              <w:rPr>
                <w:rFonts w:cs="Arial"/>
                <w:noProof/>
                <w:sz w:val="20"/>
                <w:szCs w:val="20"/>
                <w:lang w:val="es-CO"/>
              </w:rPr>
              <w:t xml:space="preserve"> </w:t>
            </w:r>
            <w:r w:rsidRPr="00CC7132">
              <w:rPr>
                <w:rFonts w:cs="Arial"/>
                <w:noProof/>
                <w:sz w:val="20"/>
                <w:szCs w:val="20"/>
                <w:lang w:val="es-CO"/>
              </w:rPr>
              <w:t>Costo Marginal de Corto Plazo (20%)</w:t>
            </w:r>
          </w:p>
        </w:tc>
        <w:tc>
          <w:tcPr>
            <w:tcW w:w="1530" w:type="dxa"/>
          </w:tcPr>
          <w:p w14:paraId="49B289DA" w14:textId="77777777" w:rsidR="00B56D1A" w:rsidRDefault="00FF746F" w:rsidP="00194658">
            <w:pPr>
              <w:pStyle w:val="ListParagraph"/>
              <w:spacing w:before="120"/>
              <w:ind w:left="0"/>
              <w:jc w:val="center"/>
              <w:rPr>
                <w:rFonts w:cs="Arial"/>
                <w:sz w:val="20"/>
                <w:szCs w:val="20"/>
                <w:lang w:val="es-CO"/>
              </w:rPr>
            </w:pPr>
            <w:r>
              <w:rPr>
                <w:rFonts w:cs="Arial"/>
                <w:sz w:val="20"/>
                <w:szCs w:val="20"/>
                <w:lang w:val="es-CO"/>
              </w:rPr>
              <w:t>293,2</w:t>
            </w:r>
          </w:p>
        </w:tc>
        <w:tc>
          <w:tcPr>
            <w:tcW w:w="1530" w:type="dxa"/>
          </w:tcPr>
          <w:p w14:paraId="615F5978" w14:textId="77777777" w:rsidR="00B56D1A" w:rsidRDefault="00FF746F" w:rsidP="00194658">
            <w:pPr>
              <w:pStyle w:val="ListParagraph"/>
              <w:spacing w:before="120"/>
              <w:ind w:left="0"/>
              <w:jc w:val="center"/>
              <w:rPr>
                <w:rFonts w:cs="Arial"/>
                <w:sz w:val="20"/>
                <w:szCs w:val="20"/>
                <w:lang w:val="es-CO"/>
              </w:rPr>
            </w:pPr>
            <w:r>
              <w:rPr>
                <w:rFonts w:cs="Arial"/>
                <w:sz w:val="20"/>
                <w:szCs w:val="20"/>
                <w:lang w:val="es-CO"/>
              </w:rPr>
              <w:t>285,4</w:t>
            </w:r>
          </w:p>
        </w:tc>
        <w:tc>
          <w:tcPr>
            <w:tcW w:w="900" w:type="dxa"/>
          </w:tcPr>
          <w:p w14:paraId="21F8324D" w14:textId="77777777" w:rsidR="00B56D1A" w:rsidRDefault="00FF746F" w:rsidP="00194658">
            <w:pPr>
              <w:pStyle w:val="ListParagraph"/>
              <w:spacing w:before="120"/>
              <w:ind w:left="0"/>
              <w:jc w:val="center"/>
              <w:rPr>
                <w:rFonts w:cs="Arial"/>
                <w:sz w:val="20"/>
                <w:szCs w:val="20"/>
                <w:lang w:val="es-CO"/>
              </w:rPr>
            </w:pPr>
            <w:r>
              <w:rPr>
                <w:rFonts w:cs="Arial"/>
                <w:sz w:val="20"/>
                <w:szCs w:val="20"/>
                <w:lang w:val="es-CO"/>
              </w:rPr>
              <w:t>59,7</w:t>
            </w:r>
          </w:p>
        </w:tc>
        <w:tc>
          <w:tcPr>
            <w:tcW w:w="798" w:type="dxa"/>
          </w:tcPr>
          <w:p w14:paraId="49AE886B" w14:textId="77777777" w:rsidR="00B56D1A" w:rsidRDefault="00FF746F" w:rsidP="00194658">
            <w:pPr>
              <w:pStyle w:val="ListParagraph"/>
              <w:spacing w:before="120"/>
              <w:ind w:left="0"/>
              <w:jc w:val="center"/>
              <w:rPr>
                <w:rFonts w:cs="Arial"/>
                <w:sz w:val="20"/>
                <w:szCs w:val="20"/>
                <w:lang w:val="es-CO"/>
              </w:rPr>
            </w:pPr>
            <w:r>
              <w:rPr>
                <w:rFonts w:cs="Arial"/>
                <w:sz w:val="20"/>
                <w:szCs w:val="20"/>
                <w:lang w:val="es-CO"/>
              </w:rPr>
              <w:t>59,0</w:t>
            </w:r>
          </w:p>
        </w:tc>
      </w:tr>
      <w:bookmarkEnd w:id="58"/>
      <w:tr w:rsidR="00D365FF" w14:paraId="5A59F210" w14:textId="77777777" w:rsidTr="00B16F77">
        <w:trPr>
          <w:trHeight w:val="395"/>
        </w:trPr>
        <w:tc>
          <w:tcPr>
            <w:tcW w:w="8476" w:type="dxa"/>
            <w:gridSpan w:val="6"/>
            <w:shd w:val="clear" w:color="auto" w:fill="D6E3BC" w:themeFill="accent3" w:themeFillTint="66"/>
          </w:tcPr>
          <w:p w14:paraId="68F6AD0E" w14:textId="77777777" w:rsidR="00D365FF" w:rsidRPr="009D0F06" w:rsidRDefault="00D365FF" w:rsidP="00194658">
            <w:pPr>
              <w:pStyle w:val="ListParagraph"/>
              <w:spacing w:before="120"/>
              <w:ind w:left="0"/>
              <w:rPr>
                <w:rFonts w:cs="Arial"/>
                <w:b/>
                <w:sz w:val="20"/>
                <w:szCs w:val="20"/>
                <w:lang w:val="es-CO"/>
              </w:rPr>
            </w:pPr>
            <w:r w:rsidRPr="009D0F06">
              <w:rPr>
                <w:rFonts w:cs="Arial"/>
                <w:b/>
                <w:sz w:val="20"/>
                <w:szCs w:val="20"/>
                <w:lang w:val="es-CO"/>
              </w:rPr>
              <w:t>Proyecto Laínez-Miraflores</w:t>
            </w:r>
          </w:p>
        </w:tc>
      </w:tr>
      <w:tr w:rsidR="00FF746F" w14:paraId="7AAB9F64" w14:textId="77777777" w:rsidTr="0025158B">
        <w:trPr>
          <w:gridAfter w:val="1"/>
          <w:wAfter w:w="23" w:type="dxa"/>
          <w:trHeight w:val="395"/>
        </w:trPr>
        <w:tc>
          <w:tcPr>
            <w:tcW w:w="3695" w:type="dxa"/>
            <w:vAlign w:val="center"/>
          </w:tcPr>
          <w:p w14:paraId="47A832F1" w14:textId="77777777" w:rsidR="00CC7132" w:rsidRPr="009D0F06" w:rsidRDefault="00CC7132" w:rsidP="00CC7132">
            <w:pPr>
              <w:pStyle w:val="ListParagraph"/>
              <w:spacing w:before="120"/>
              <w:ind w:left="0"/>
              <w:jc w:val="both"/>
              <w:rPr>
                <w:rFonts w:cs="Arial"/>
                <w:sz w:val="20"/>
                <w:szCs w:val="20"/>
                <w:lang w:val="es-CO"/>
              </w:rPr>
            </w:pPr>
            <w:r w:rsidRPr="009D0F06">
              <w:rPr>
                <w:rFonts w:cs="Arial"/>
                <w:sz w:val="20"/>
                <w:szCs w:val="20"/>
                <w:lang w:val="es-CO"/>
              </w:rPr>
              <w:t xml:space="preserve">    Caso Base</w:t>
            </w:r>
          </w:p>
        </w:tc>
        <w:tc>
          <w:tcPr>
            <w:tcW w:w="1530" w:type="dxa"/>
          </w:tcPr>
          <w:p w14:paraId="1AB72D4E" w14:textId="77777777" w:rsidR="00CC7132" w:rsidRPr="009D0F06" w:rsidRDefault="00C44F1B" w:rsidP="00CC7132">
            <w:pPr>
              <w:pStyle w:val="ListParagraph"/>
              <w:spacing w:before="120"/>
              <w:ind w:left="0"/>
              <w:jc w:val="center"/>
              <w:rPr>
                <w:rFonts w:cs="Arial"/>
                <w:sz w:val="20"/>
                <w:szCs w:val="20"/>
                <w:lang w:val="es-CO"/>
              </w:rPr>
            </w:pPr>
            <w:r>
              <w:rPr>
                <w:rFonts w:cs="Arial"/>
                <w:sz w:val="20"/>
                <w:szCs w:val="20"/>
                <w:lang w:val="es-CO"/>
              </w:rPr>
              <w:t>88,3</w:t>
            </w:r>
          </w:p>
        </w:tc>
        <w:tc>
          <w:tcPr>
            <w:tcW w:w="1530" w:type="dxa"/>
          </w:tcPr>
          <w:p w14:paraId="0051D671" w14:textId="77777777" w:rsidR="00CC7132" w:rsidRPr="009D0F06" w:rsidRDefault="00CC7132" w:rsidP="00CC7132">
            <w:pPr>
              <w:pStyle w:val="ListParagraph"/>
              <w:spacing w:before="120"/>
              <w:ind w:left="0"/>
              <w:jc w:val="center"/>
              <w:rPr>
                <w:rFonts w:cs="Arial"/>
                <w:sz w:val="20"/>
                <w:szCs w:val="20"/>
                <w:lang w:val="es-CO"/>
              </w:rPr>
            </w:pPr>
            <w:r w:rsidRPr="009D0F06">
              <w:rPr>
                <w:rFonts w:cs="Arial"/>
                <w:sz w:val="20"/>
                <w:szCs w:val="20"/>
                <w:lang w:val="es-CO"/>
              </w:rPr>
              <w:t>87,8</w:t>
            </w:r>
          </w:p>
        </w:tc>
        <w:tc>
          <w:tcPr>
            <w:tcW w:w="900" w:type="dxa"/>
          </w:tcPr>
          <w:p w14:paraId="5E9C5D01" w14:textId="77777777" w:rsidR="00CC7132" w:rsidRPr="009D0F06" w:rsidRDefault="00CC7132" w:rsidP="00CC7132">
            <w:pPr>
              <w:pStyle w:val="ListParagraph"/>
              <w:spacing w:before="120"/>
              <w:ind w:left="0"/>
              <w:jc w:val="center"/>
              <w:rPr>
                <w:rFonts w:cs="Arial"/>
                <w:sz w:val="20"/>
                <w:szCs w:val="20"/>
                <w:lang w:val="es-CO"/>
              </w:rPr>
            </w:pPr>
            <w:r w:rsidRPr="009D0F06">
              <w:rPr>
                <w:rFonts w:cs="Arial"/>
                <w:sz w:val="20"/>
                <w:szCs w:val="20"/>
                <w:lang w:val="es-CO"/>
              </w:rPr>
              <w:t>82,7</w:t>
            </w:r>
          </w:p>
        </w:tc>
        <w:tc>
          <w:tcPr>
            <w:tcW w:w="798" w:type="dxa"/>
          </w:tcPr>
          <w:p w14:paraId="2FA8D2CC" w14:textId="77777777" w:rsidR="00CC7132" w:rsidRPr="009D0F06" w:rsidRDefault="00CC7132" w:rsidP="00CC7132">
            <w:pPr>
              <w:pStyle w:val="ListParagraph"/>
              <w:spacing w:before="120"/>
              <w:ind w:left="0"/>
              <w:jc w:val="center"/>
              <w:rPr>
                <w:rFonts w:cs="Arial"/>
                <w:sz w:val="20"/>
                <w:szCs w:val="20"/>
                <w:lang w:val="es-CO"/>
              </w:rPr>
            </w:pPr>
            <w:r w:rsidRPr="009D0F06">
              <w:rPr>
                <w:rFonts w:cs="Arial"/>
                <w:sz w:val="20"/>
                <w:szCs w:val="20"/>
                <w:lang w:val="es-CO"/>
              </w:rPr>
              <w:t>108,1</w:t>
            </w:r>
          </w:p>
        </w:tc>
      </w:tr>
      <w:tr w:rsidR="00FF746F" w14:paraId="24E72601" w14:textId="77777777" w:rsidTr="0025158B">
        <w:trPr>
          <w:gridAfter w:val="1"/>
          <w:wAfter w:w="23" w:type="dxa"/>
          <w:trHeight w:val="395"/>
        </w:trPr>
        <w:tc>
          <w:tcPr>
            <w:tcW w:w="3695" w:type="dxa"/>
            <w:vAlign w:val="center"/>
          </w:tcPr>
          <w:p w14:paraId="250EC3E1" w14:textId="77777777" w:rsidR="00CC7132" w:rsidRPr="009D0F06" w:rsidRDefault="00CC7132" w:rsidP="00CC7132">
            <w:pPr>
              <w:pStyle w:val="ListParagraph"/>
              <w:spacing w:before="120"/>
              <w:ind w:left="0"/>
              <w:jc w:val="both"/>
              <w:rPr>
                <w:rFonts w:cs="Arial"/>
                <w:sz w:val="20"/>
                <w:szCs w:val="20"/>
                <w:lang w:val="es-CO"/>
              </w:rPr>
            </w:pPr>
            <w:r w:rsidRPr="009D0F06">
              <w:rPr>
                <w:rFonts w:cs="Arial"/>
                <w:sz w:val="20"/>
                <w:szCs w:val="20"/>
                <w:lang w:val="es-CO"/>
              </w:rPr>
              <w:t xml:space="preserve"> </w:t>
            </w:r>
            <w:r w:rsidRPr="009D0F06">
              <w:rPr>
                <w:rFonts w:cs="Arial"/>
                <w:noProof/>
                <w:sz w:val="20"/>
                <w:szCs w:val="20"/>
                <w:lang w:val="es-CO"/>
              </w:rPr>
              <w:drawing>
                <wp:inline distT="0" distB="0" distL="0" distR="0" wp14:anchorId="119511E8" wp14:editId="1EDCB5EB">
                  <wp:extent cx="79016" cy="1536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621" cy="162626"/>
                          </a:xfrm>
                          <a:prstGeom prst="rect">
                            <a:avLst/>
                          </a:prstGeom>
                          <a:noFill/>
                        </pic:spPr>
                      </pic:pic>
                    </a:graphicData>
                  </a:graphic>
                </wp:inline>
              </w:drawing>
            </w:r>
            <w:r w:rsidRPr="009D0F06">
              <w:rPr>
                <w:rFonts w:cs="Arial"/>
                <w:sz w:val="20"/>
                <w:szCs w:val="20"/>
                <w:lang w:val="es-CO"/>
              </w:rPr>
              <w:t xml:space="preserve"> Costos de inversión</w:t>
            </w:r>
            <w:r>
              <w:rPr>
                <w:rFonts w:cs="Arial"/>
                <w:sz w:val="20"/>
                <w:szCs w:val="20"/>
                <w:lang w:val="es-CO"/>
              </w:rPr>
              <w:t xml:space="preserve"> (</w:t>
            </w:r>
            <w:r w:rsidR="00D5099C">
              <w:rPr>
                <w:rFonts w:cs="Arial"/>
                <w:sz w:val="20"/>
                <w:szCs w:val="20"/>
                <w:lang w:val="es-CO"/>
              </w:rPr>
              <w:t>3</w:t>
            </w:r>
            <w:r>
              <w:rPr>
                <w:rFonts w:cs="Arial"/>
                <w:sz w:val="20"/>
                <w:szCs w:val="20"/>
                <w:lang w:val="es-CO"/>
              </w:rPr>
              <w:t>0%)</w:t>
            </w:r>
          </w:p>
        </w:tc>
        <w:tc>
          <w:tcPr>
            <w:tcW w:w="1530" w:type="dxa"/>
          </w:tcPr>
          <w:p w14:paraId="427D4EA7" w14:textId="77777777" w:rsidR="00CC7132" w:rsidRPr="009D0F06" w:rsidRDefault="005C638C" w:rsidP="00CC7132">
            <w:pPr>
              <w:pStyle w:val="ListParagraph"/>
              <w:spacing w:before="120"/>
              <w:ind w:left="0"/>
              <w:jc w:val="center"/>
              <w:rPr>
                <w:rFonts w:cs="Arial"/>
                <w:sz w:val="20"/>
                <w:szCs w:val="20"/>
                <w:lang w:val="es-CO"/>
              </w:rPr>
            </w:pPr>
            <w:r>
              <w:rPr>
                <w:rFonts w:cs="Arial"/>
                <w:sz w:val="20"/>
                <w:szCs w:val="20"/>
                <w:lang w:val="es-CO"/>
              </w:rPr>
              <w:t>81,7</w:t>
            </w:r>
          </w:p>
        </w:tc>
        <w:tc>
          <w:tcPr>
            <w:tcW w:w="1530" w:type="dxa"/>
          </w:tcPr>
          <w:p w14:paraId="5C3F342F" w14:textId="77777777" w:rsidR="00CC7132" w:rsidRPr="009D0F06" w:rsidRDefault="0014789F" w:rsidP="00CC7132">
            <w:pPr>
              <w:pStyle w:val="ListParagraph"/>
              <w:spacing w:before="120"/>
              <w:ind w:left="0"/>
              <w:jc w:val="center"/>
              <w:rPr>
                <w:rFonts w:cs="Arial"/>
                <w:sz w:val="20"/>
                <w:szCs w:val="20"/>
                <w:lang w:val="es-CO"/>
              </w:rPr>
            </w:pPr>
            <w:r>
              <w:rPr>
                <w:rFonts w:cs="Arial"/>
                <w:sz w:val="20"/>
                <w:szCs w:val="20"/>
                <w:lang w:val="es-CO"/>
              </w:rPr>
              <w:t>8</w:t>
            </w:r>
            <w:r w:rsidR="005C638C">
              <w:rPr>
                <w:rFonts w:cs="Arial"/>
                <w:sz w:val="20"/>
                <w:szCs w:val="20"/>
                <w:lang w:val="es-CO"/>
              </w:rPr>
              <w:t>1,3</w:t>
            </w:r>
          </w:p>
        </w:tc>
        <w:tc>
          <w:tcPr>
            <w:tcW w:w="900" w:type="dxa"/>
          </w:tcPr>
          <w:p w14:paraId="7FC1CEE7" w14:textId="77777777" w:rsidR="00CC7132" w:rsidRPr="009D0F06" w:rsidRDefault="00CC7132" w:rsidP="00CC7132">
            <w:pPr>
              <w:pStyle w:val="ListParagraph"/>
              <w:spacing w:before="120"/>
              <w:ind w:left="0"/>
              <w:jc w:val="center"/>
              <w:rPr>
                <w:rFonts w:cs="Arial"/>
                <w:sz w:val="20"/>
                <w:szCs w:val="20"/>
                <w:lang w:val="es-CO"/>
              </w:rPr>
            </w:pPr>
            <w:r>
              <w:rPr>
                <w:rFonts w:cs="Arial"/>
                <w:sz w:val="20"/>
                <w:szCs w:val="20"/>
                <w:lang w:val="es-CO"/>
              </w:rPr>
              <w:t>6</w:t>
            </w:r>
            <w:r w:rsidR="00D5099C">
              <w:rPr>
                <w:rFonts w:cs="Arial"/>
                <w:sz w:val="20"/>
                <w:szCs w:val="20"/>
                <w:lang w:val="es-CO"/>
              </w:rPr>
              <w:t>0</w:t>
            </w:r>
            <w:r>
              <w:rPr>
                <w:rFonts w:cs="Arial"/>
                <w:sz w:val="20"/>
                <w:szCs w:val="20"/>
                <w:lang w:val="es-CO"/>
              </w:rPr>
              <w:t>,</w:t>
            </w:r>
            <w:r w:rsidR="005C638C">
              <w:rPr>
                <w:rFonts w:cs="Arial"/>
                <w:sz w:val="20"/>
                <w:szCs w:val="20"/>
                <w:lang w:val="es-CO"/>
              </w:rPr>
              <w:t>6</w:t>
            </w:r>
          </w:p>
        </w:tc>
        <w:tc>
          <w:tcPr>
            <w:tcW w:w="798" w:type="dxa"/>
          </w:tcPr>
          <w:p w14:paraId="492B8055" w14:textId="77777777" w:rsidR="00CC7132" w:rsidRPr="009D0F06" w:rsidRDefault="002E7AAB" w:rsidP="00CC7132">
            <w:pPr>
              <w:pStyle w:val="ListParagraph"/>
              <w:spacing w:before="120"/>
              <w:ind w:left="0"/>
              <w:jc w:val="center"/>
              <w:rPr>
                <w:rFonts w:cs="Arial"/>
                <w:sz w:val="20"/>
                <w:szCs w:val="20"/>
                <w:lang w:val="es-CO"/>
              </w:rPr>
            </w:pPr>
            <w:r>
              <w:rPr>
                <w:rFonts w:cs="Arial"/>
                <w:sz w:val="20"/>
                <w:szCs w:val="20"/>
                <w:lang w:val="es-CO"/>
              </w:rPr>
              <w:t>71,</w:t>
            </w:r>
            <w:r w:rsidR="005C638C">
              <w:rPr>
                <w:rFonts w:cs="Arial"/>
                <w:sz w:val="20"/>
                <w:szCs w:val="20"/>
                <w:lang w:val="es-CO"/>
              </w:rPr>
              <w:t>5</w:t>
            </w:r>
          </w:p>
        </w:tc>
      </w:tr>
      <w:tr w:rsidR="00FF746F" w14:paraId="0AFADFE1" w14:textId="77777777" w:rsidTr="0025158B">
        <w:trPr>
          <w:gridAfter w:val="1"/>
          <w:wAfter w:w="23" w:type="dxa"/>
          <w:trHeight w:val="395"/>
        </w:trPr>
        <w:tc>
          <w:tcPr>
            <w:tcW w:w="3695" w:type="dxa"/>
            <w:vAlign w:val="center"/>
          </w:tcPr>
          <w:p w14:paraId="52A9C822" w14:textId="77777777" w:rsidR="00CC7132" w:rsidRPr="009D0F06" w:rsidRDefault="00CC7132" w:rsidP="00CC7132">
            <w:pPr>
              <w:pStyle w:val="ListParagraph"/>
              <w:spacing w:before="120"/>
              <w:ind w:left="0"/>
              <w:jc w:val="both"/>
              <w:rPr>
                <w:rFonts w:cs="Arial"/>
                <w:sz w:val="20"/>
                <w:szCs w:val="20"/>
                <w:lang w:val="es-CO"/>
              </w:rPr>
            </w:pPr>
            <w:r w:rsidRPr="009D0F06">
              <w:rPr>
                <w:rFonts w:cs="Arial"/>
                <w:noProof/>
                <w:sz w:val="20"/>
                <w:szCs w:val="20"/>
                <w:lang w:val="es-CO"/>
              </w:rPr>
              <w:t xml:space="preserve"> </w:t>
            </w:r>
            <w:r w:rsidRPr="009D0F06">
              <w:rPr>
                <w:rFonts w:cs="Arial"/>
                <w:noProof/>
                <w:sz w:val="20"/>
                <w:szCs w:val="20"/>
                <w:lang w:val="es-CO"/>
              </w:rPr>
              <w:drawing>
                <wp:inline distT="0" distB="0" distL="0" distR="0" wp14:anchorId="143BBA89" wp14:editId="526FDC28">
                  <wp:extent cx="79016" cy="1536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621" cy="162626"/>
                          </a:xfrm>
                          <a:prstGeom prst="rect">
                            <a:avLst/>
                          </a:prstGeom>
                          <a:noFill/>
                        </pic:spPr>
                      </pic:pic>
                    </a:graphicData>
                  </a:graphic>
                </wp:inline>
              </w:drawing>
            </w:r>
            <w:r w:rsidRPr="009D0F06">
              <w:rPr>
                <w:rFonts w:cs="Arial"/>
                <w:sz w:val="20"/>
                <w:szCs w:val="20"/>
                <w:lang w:val="es-CO"/>
              </w:rPr>
              <w:t xml:space="preserve"> Reducción </w:t>
            </w:r>
            <w:r>
              <w:rPr>
                <w:rFonts w:cs="Arial"/>
                <w:sz w:val="20"/>
                <w:szCs w:val="20"/>
                <w:lang w:val="es-CO"/>
              </w:rPr>
              <w:t xml:space="preserve">meta </w:t>
            </w:r>
            <w:r w:rsidRPr="009D0F06">
              <w:rPr>
                <w:rFonts w:cs="Arial"/>
                <w:sz w:val="20"/>
                <w:szCs w:val="20"/>
                <w:lang w:val="es-CO"/>
              </w:rPr>
              <w:t>de pérdidas</w:t>
            </w:r>
            <w:r>
              <w:rPr>
                <w:rFonts w:cs="Arial"/>
                <w:sz w:val="20"/>
                <w:szCs w:val="20"/>
                <w:lang w:val="es-CO"/>
              </w:rPr>
              <w:t xml:space="preserve"> (</w:t>
            </w:r>
            <w:r w:rsidR="002E7AAB">
              <w:rPr>
                <w:rFonts w:cs="Arial"/>
                <w:sz w:val="20"/>
                <w:szCs w:val="20"/>
                <w:lang w:val="es-CO"/>
              </w:rPr>
              <w:t>2</w:t>
            </w:r>
            <w:r>
              <w:rPr>
                <w:rFonts w:cs="Arial"/>
                <w:sz w:val="20"/>
                <w:szCs w:val="20"/>
                <w:lang w:val="es-CO"/>
              </w:rPr>
              <w:t>0%)</w:t>
            </w:r>
          </w:p>
        </w:tc>
        <w:tc>
          <w:tcPr>
            <w:tcW w:w="1530" w:type="dxa"/>
          </w:tcPr>
          <w:p w14:paraId="566F9D09" w14:textId="77777777" w:rsidR="00CC7132" w:rsidRPr="009D0F06" w:rsidRDefault="00BC6D2E" w:rsidP="00CC7132">
            <w:pPr>
              <w:pStyle w:val="ListParagraph"/>
              <w:spacing w:before="120"/>
              <w:ind w:left="0"/>
              <w:jc w:val="center"/>
              <w:rPr>
                <w:rFonts w:cs="Arial"/>
                <w:sz w:val="20"/>
                <w:szCs w:val="20"/>
                <w:lang w:val="es-CO"/>
              </w:rPr>
            </w:pPr>
            <w:r>
              <w:rPr>
                <w:rFonts w:cs="Arial"/>
                <w:sz w:val="20"/>
                <w:szCs w:val="20"/>
                <w:lang w:val="es-CO"/>
              </w:rPr>
              <w:t>31,4</w:t>
            </w:r>
          </w:p>
        </w:tc>
        <w:tc>
          <w:tcPr>
            <w:tcW w:w="1530" w:type="dxa"/>
          </w:tcPr>
          <w:p w14:paraId="12E85690" w14:textId="77777777" w:rsidR="00CC7132" w:rsidRPr="009D0F06" w:rsidRDefault="00BC6D2E" w:rsidP="00CC7132">
            <w:pPr>
              <w:pStyle w:val="ListParagraph"/>
              <w:spacing w:before="120"/>
              <w:ind w:left="0"/>
              <w:jc w:val="center"/>
              <w:rPr>
                <w:rFonts w:cs="Arial"/>
                <w:sz w:val="20"/>
                <w:szCs w:val="20"/>
                <w:lang w:val="es-CO"/>
              </w:rPr>
            </w:pPr>
            <w:r>
              <w:rPr>
                <w:rFonts w:cs="Arial"/>
                <w:sz w:val="20"/>
                <w:szCs w:val="20"/>
                <w:lang w:val="es-CO"/>
              </w:rPr>
              <w:t>31,8</w:t>
            </w:r>
          </w:p>
        </w:tc>
        <w:tc>
          <w:tcPr>
            <w:tcW w:w="900" w:type="dxa"/>
          </w:tcPr>
          <w:p w14:paraId="764D8230" w14:textId="77777777" w:rsidR="00CC7132" w:rsidRPr="009D0F06" w:rsidRDefault="00BC6D2E" w:rsidP="00CC7132">
            <w:pPr>
              <w:pStyle w:val="ListParagraph"/>
              <w:spacing w:before="120"/>
              <w:ind w:left="0"/>
              <w:jc w:val="center"/>
              <w:rPr>
                <w:rFonts w:cs="Arial"/>
                <w:sz w:val="20"/>
                <w:szCs w:val="20"/>
                <w:lang w:val="es-CO"/>
              </w:rPr>
            </w:pPr>
            <w:r>
              <w:rPr>
                <w:rFonts w:cs="Arial"/>
                <w:sz w:val="20"/>
                <w:szCs w:val="20"/>
                <w:lang w:val="es-CO"/>
              </w:rPr>
              <w:t>28,4</w:t>
            </w:r>
          </w:p>
        </w:tc>
        <w:tc>
          <w:tcPr>
            <w:tcW w:w="798" w:type="dxa"/>
          </w:tcPr>
          <w:p w14:paraId="16886E44" w14:textId="77777777" w:rsidR="00CC7132" w:rsidRPr="009D0F06" w:rsidRDefault="00BC6D2E" w:rsidP="00CC7132">
            <w:pPr>
              <w:pStyle w:val="ListParagraph"/>
              <w:spacing w:before="120"/>
              <w:ind w:left="0"/>
              <w:jc w:val="center"/>
              <w:rPr>
                <w:rFonts w:cs="Arial"/>
                <w:sz w:val="20"/>
                <w:szCs w:val="20"/>
                <w:lang w:val="es-CO"/>
              </w:rPr>
            </w:pPr>
            <w:r>
              <w:rPr>
                <w:rFonts w:cs="Arial"/>
                <w:sz w:val="20"/>
                <w:szCs w:val="20"/>
                <w:lang w:val="es-CO"/>
              </w:rPr>
              <w:t>31,4</w:t>
            </w:r>
          </w:p>
        </w:tc>
      </w:tr>
      <w:tr w:rsidR="00FF746F" w14:paraId="1BA9A25A" w14:textId="77777777" w:rsidTr="0025158B">
        <w:trPr>
          <w:gridAfter w:val="1"/>
          <w:wAfter w:w="23" w:type="dxa"/>
          <w:trHeight w:val="395"/>
        </w:trPr>
        <w:tc>
          <w:tcPr>
            <w:tcW w:w="3695" w:type="dxa"/>
            <w:vAlign w:val="center"/>
          </w:tcPr>
          <w:p w14:paraId="556B5E8E" w14:textId="77777777" w:rsidR="00CC7132" w:rsidRPr="009D0F06" w:rsidRDefault="00CC7132" w:rsidP="00CC7132">
            <w:pPr>
              <w:pStyle w:val="ListParagraph"/>
              <w:spacing w:before="120"/>
              <w:ind w:left="0"/>
              <w:jc w:val="both"/>
              <w:rPr>
                <w:rFonts w:cs="Arial"/>
                <w:sz w:val="20"/>
                <w:szCs w:val="20"/>
                <w:lang w:val="es-CO"/>
              </w:rPr>
            </w:pPr>
            <w:r w:rsidRPr="009D0F06">
              <w:rPr>
                <w:rFonts w:cs="Arial"/>
                <w:noProof/>
                <w:sz w:val="20"/>
                <w:szCs w:val="20"/>
                <w:lang w:val="es-CO"/>
              </w:rPr>
              <w:t xml:space="preserve"> </w:t>
            </w:r>
            <w:r w:rsidRPr="009D0F06">
              <w:rPr>
                <w:rFonts w:cs="Arial"/>
                <w:noProof/>
                <w:sz w:val="20"/>
                <w:szCs w:val="20"/>
                <w:lang w:val="es-CO"/>
              </w:rPr>
              <w:drawing>
                <wp:inline distT="0" distB="0" distL="0" distR="0" wp14:anchorId="285DC1D3" wp14:editId="2FE18695">
                  <wp:extent cx="79016" cy="1536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621" cy="162626"/>
                          </a:xfrm>
                          <a:prstGeom prst="rect">
                            <a:avLst/>
                          </a:prstGeom>
                          <a:noFill/>
                        </pic:spPr>
                      </pic:pic>
                    </a:graphicData>
                  </a:graphic>
                </wp:inline>
              </w:drawing>
            </w:r>
            <w:r w:rsidR="001B20B7">
              <w:rPr>
                <w:rFonts w:cs="Arial"/>
                <w:noProof/>
                <w:sz w:val="20"/>
                <w:szCs w:val="20"/>
                <w:lang w:val="es-CO"/>
              </w:rPr>
              <w:t xml:space="preserve"> </w:t>
            </w:r>
            <w:r w:rsidRPr="009D0F06">
              <w:rPr>
                <w:rFonts w:cs="Arial"/>
                <w:sz w:val="20"/>
                <w:szCs w:val="20"/>
                <w:lang w:val="es-CO"/>
              </w:rPr>
              <w:t>Costo de Falla</w:t>
            </w:r>
            <w:r>
              <w:rPr>
                <w:rFonts w:cs="Arial"/>
                <w:sz w:val="20"/>
                <w:szCs w:val="20"/>
                <w:lang w:val="es-CO"/>
              </w:rPr>
              <w:t xml:space="preserve"> (</w:t>
            </w:r>
            <w:r w:rsidRPr="00C5125E">
              <w:rPr>
                <w:rFonts w:cs="Arial"/>
                <w:sz w:val="20"/>
                <w:szCs w:val="20"/>
                <w:lang w:val="es-CO"/>
              </w:rPr>
              <w:t>US$500/MWh)</w:t>
            </w:r>
          </w:p>
        </w:tc>
        <w:tc>
          <w:tcPr>
            <w:tcW w:w="1530" w:type="dxa"/>
          </w:tcPr>
          <w:p w14:paraId="131740AF" w14:textId="77777777" w:rsidR="00CC7132" w:rsidRPr="009D0F06" w:rsidRDefault="00FB57AB" w:rsidP="00CC7132">
            <w:pPr>
              <w:pStyle w:val="ListParagraph"/>
              <w:spacing w:before="120"/>
              <w:ind w:left="0"/>
              <w:jc w:val="center"/>
              <w:rPr>
                <w:rFonts w:cs="Arial"/>
                <w:sz w:val="20"/>
                <w:szCs w:val="20"/>
                <w:lang w:val="es-CO"/>
              </w:rPr>
            </w:pPr>
            <w:r>
              <w:rPr>
                <w:rFonts w:cs="Arial"/>
                <w:sz w:val="20"/>
                <w:szCs w:val="20"/>
                <w:lang w:val="es-CO"/>
              </w:rPr>
              <w:t>71,4</w:t>
            </w:r>
          </w:p>
        </w:tc>
        <w:tc>
          <w:tcPr>
            <w:tcW w:w="1530" w:type="dxa"/>
          </w:tcPr>
          <w:p w14:paraId="7E193DE8" w14:textId="77777777" w:rsidR="00CC7132" w:rsidRPr="009D0F06" w:rsidRDefault="006568B8" w:rsidP="00CC7132">
            <w:pPr>
              <w:pStyle w:val="ListParagraph"/>
              <w:spacing w:before="120"/>
              <w:ind w:left="0"/>
              <w:jc w:val="center"/>
              <w:rPr>
                <w:rFonts w:cs="Arial"/>
                <w:sz w:val="20"/>
                <w:szCs w:val="20"/>
                <w:lang w:val="es-CO"/>
              </w:rPr>
            </w:pPr>
            <w:r>
              <w:rPr>
                <w:rFonts w:cs="Arial"/>
                <w:sz w:val="20"/>
                <w:szCs w:val="20"/>
                <w:lang w:val="es-CO"/>
              </w:rPr>
              <w:t>69,2</w:t>
            </w:r>
          </w:p>
        </w:tc>
        <w:tc>
          <w:tcPr>
            <w:tcW w:w="900" w:type="dxa"/>
          </w:tcPr>
          <w:p w14:paraId="2968E04C" w14:textId="77777777" w:rsidR="00CC7132" w:rsidRPr="009D0F06" w:rsidRDefault="00CC7132" w:rsidP="00CC7132">
            <w:pPr>
              <w:pStyle w:val="ListParagraph"/>
              <w:spacing w:before="120"/>
              <w:ind w:left="0"/>
              <w:jc w:val="center"/>
              <w:rPr>
                <w:rFonts w:cs="Arial"/>
                <w:sz w:val="20"/>
                <w:szCs w:val="20"/>
                <w:lang w:val="es-CO"/>
              </w:rPr>
            </w:pPr>
            <w:r w:rsidRPr="009D0F06">
              <w:rPr>
                <w:rFonts w:cs="Arial"/>
                <w:sz w:val="20"/>
                <w:szCs w:val="20"/>
                <w:lang w:val="es-CO"/>
              </w:rPr>
              <w:t>94,</w:t>
            </w:r>
            <w:r w:rsidR="00FB57AB">
              <w:rPr>
                <w:rFonts w:cs="Arial"/>
                <w:sz w:val="20"/>
                <w:szCs w:val="20"/>
                <w:lang w:val="es-CO"/>
              </w:rPr>
              <w:t>8</w:t>
            </w:r>
          </w:p>
        </w:tc>
        <w:tc>
          <w:tcPr>
            <w:tcW w:w="798" w:type="dxa"/>
          </w:tcPr>
          <w:p w14:paraId="3771968E" w14:textId="77777777" w:rsidR="00CC7132" w:rsidRPr="009D0F06" w:rsidRDefault="00CC7132" w:rsidP="00CC7132">
            <w:pPr>
              <w:pStyle w:val="ListParagraph"/>
              <w:spacing w:before="120"/>
              <w:ind w:left="0"/>
              <w:jc w:val="center"/>
              <w:rPr>
                <w:rFonts w:cs="Arial"/>
                <w:sz w:val="20"/>
                <w:szCs w:val="20"/>
                <w:lang w:val="es-CO"/>
              </w:rPr>
            </w:pPr>
            <w:r w:rsidRPr="009D0F06">
              <w:rPr>
                <w:rFonts w:cs="Arial"/>
                <w:sz w:val="20"/>
                <w:szCs w:val="20"/>
                <w:lang w:val="es-CO"/>
              </w:rPr>
              <w:t>100,</w:t>
            </w:r>
            <w:r w:rsidR="006568B8">
              <w:rPr>
                <w:rFonts w:cs="Arial"/>
                <w:sz w:val="20"/>
                <w:szCs w:val="20"/>
                <w:lang w:val="es-CO"/>
              </w:rPr>
              <w:t>2</w:t>
            </w:r>
          </w:p>
        </w:tc>
      </w:tr>
      <w:tr w:rsidR="00FF746F" w14:paraId="20B66FEB" w14:textId="77777777" w:rsidTr="0025158B">
        <w:trPr>
          <w:gridAfter w:val="1"/>
          <w:wAfter w:w="23" w:type="dxa"/>
          <w:trHeight w:val="395"/>
        </w:trPr>
        <w:tc>
          <w:tcPr>
            <w:tcW w:w="3695" w:type="dxa"/>
            <w:vAlign w:val="center"/>
          </w:tcPr>
          <w:p w14:paraId="55C6053A" w14:textId="77777777" w:rsidR="00CC7132" w:rsidRPr="009D0F06" w:rsidRDefault="00CC7132" w:rsidP="00CC7132">
            <w:pPr>
              <w:pStyle w:val="ListParagraph"/>
              <w:spacing w:before="120"/>
              <w:ind w:left="0"/>
              <w:jc w:val="both"/>
              <w:rPr>
                <w:rFonts w:cs="Arial"/>
                <w:noProof/>
                <w:sz w:val="20"/>
                <w:szCs w:val="20"/>
                <w:lang w:val="es-CO"/>
              </w:rPr>
            </w:pPr>
            <w:r>
              <w:rPr>
                <w:rFonts w:cs="Arial"/>
                <w:noProof/>
                <w:sz w:val="20"/>
                <w:szCs w:val="20"/>
                <w:lang w:val="es-CO"/>
              </w:rPr>
              <w:t xml:space="preserve"> </w:t>
            </w:r>
            <w:r>
              <w:rPr>
                <w:rFonts w:cs="Arial"/>
                <w:noProof/>
                <w:sz w:val="20"/>
                <w:szCs w:val="20"/>
                <w:lang w:val="es-CO"/>
              </w:rPr>
              <w:drawing>
                <wp:inline distT="0" distB="0" distL="0" distR="0" wp14:anchorId="79F4CE2E" wp14:editId="3F96A290">
                  <wp:extent cx="79375" cy="152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375" cy="152400"/>
                          </a:xfrm>
                          <a:prstGeom prst="rect">
                            <a:avLst/>
                          </a:prstGeom>
                          <a:noFill/>
                        </pic:spPr>
                      </pic:pic>
                    </a:graphicData>
                  </a:graphic>
                </wp:inline>
              </w:drawing>
            </w:r>
            <w:r>
              <w:rPr>
                <w:rFonts w:cs="Arial"/>
                <w:noProof/>
                <w:sz w:val="20"/>
                <w:szCs w:val="20"/>
                <w:lang w:val="es-CO"/>
              </w:rPr>
              <w:t xml:space="preserve"> </w:t>
            </w:r>
            <w:r w:rsidRPr="00CC7132">
              <w:rPr>
                <w:rFonts w:cs="Arial"/>
                <w:noProof/>
                <w:sz w:val="20"/>
                <w:szCs w:val="20"/>
                <w:lang w:val="es-CO"/>
              </w:rPr>
              <w:t>Costo Marginal de Corto Plazo (2</w:t>
            </w:r>
            <w:r w:rsidR="00DC67A4">
              <w:rPr>
                <w:rFonts w:cs="Arial"/>
                <w:noProof/>
                <w:sz w:val="20"/>
                <w:szCs w:val="20"/>
                <w:lang w:val="es-CO"/>
              </w:rPr>
              <w:t>5</w:t>
            </w:r>
            <w:r w:rsidRPr="00CC7132">
              <w:rPr>
                <w:rFonts w:cs="Arial"/>
                <w:noProof/>
                <w:sz w:val="20"/>
                <w:szCs w:val="20"/>
                <w:lang w:val="es-CO"/>
              </w:rPr>
              <w:t>%)</w:t>
            </w:r>
          </w:p>
        </w:tc>
        <w:tc>
          <w:tcPr>
            <w:tcW w:w="1530" w:type="dxa"/>
          </w:tcPr>
          <w:p w14:paraId="28C35432" w14:textId="77777777" w:rsidR="00CC7132" w:rsidRPr="009D0F06" w:rsidRDefault="00D952D0" w:rsidP="00CC7132">
            <w:pPr>
              <w:pStyle w:val="ListParagraph"/>
              <w:spacing w:before="120"/>
              <w:ind w:left="0"/>
              <w:jc w:val="center"/>
              <w:rPr>
                <w:rFonts w:cs="Arial"/>
                <w:sz w:val="20"/>
                <w:szCs w:val="20"/>
                <w:lang w:val="es-CO"/>
              </w:rPr>
            </w:pPr>
            <w:r>
              <w:rPr>
                <w:rFonts w:cs="Arial"/>
                <w:sz w:val="20"/>
                <w:szCs w:val="20"/>
                <w:lang w:val="es-CO"/>
              </w:rPr>
              <w:t>86,4</w:t>
            </w:r>
          </w:p>
        </w:tc>
        <w:tc>
          <w:tcPr>
            <w:tcW w:w="1530" w:type="dxa"/>
          </w:tcPr>
          <w:p w14:paraId="6881B8A3" w14:textId="77777777" w:rsidR="00CC7132" w:rsidRPr="009D0F06" w:rsidRDefault="005B7428" w:rsidP="00CC7132">
            <w:pPr>
              <w:pStyle w:val="ListParagraph"/>
              <w:spacing w:before="120"/>
              <w:ind w:left="0"/>
              <w:jc w:val="center"/>
              <w:rPr>
                <w:rFonts w:cs="Arial"/>
                <w:sz w:val="20"/>
                <w:szCs w:val="20"/>
                <w:lang w:val="es-CO"/>
              </w:rPr>
            </w:pPr>
            <w:r>
              <w:rPr>
                <w:rFonts w:cs="Arial"/>
                <w:sz w:val="20"/>
                <w:szCs w:val="20"/>
                <w:lang w:val="es-CO"/>
              </w:rPr>
              <w:t>85,9</w:t>
            </w:r>
          </w:p>
        </w:tc>
        <w:tc>
          <w:tcPr>
            <w:tcW w:w="900" w:type="dxa"/>
          </w:tcPr>
          <w:p w14:paraId="53952113" w14:textId="77777777" w:rsidR="00CC7132" w:rsidRPr="009D0F06" w:rsidRDefault="00D952D0" w:rsidP="00CC7132">
            <w:pPr>
              <w:pStyle w:val="ListParagraph"/>
              <w:spacing w:before="120"/>
              <w:ind w:left="0"/>
              <w:jc w:val="center"/>
              <w:rPr>
                <w:rFonts w:cs="Arial"/>
                <w:sz w:val="20"/>
                <w:szCs w:val="20"/>
                <w:lang w:val="es-CO"/>
              </w:rPr>
            </w:pPr>
            <w:r>
              <w:rPr>
                <w:rFonts w:cs="Arial"/>
                <w:sz w:val="20"/>
                <w:szCs w:val="20"/>
                <w:lang w:val="es-CO"/>
              </w:rPr>
              <w:t>82,7</w:t>
            </w:r>
          </w:p>
        </w:tc>
        <w:tc>
          <w:tcPr>
            <w:tcW w:w="798" w:type="dxa"/>
          </w:tcPr>
          <w:p w14:paraId="1B22CA45" w14:textId="77777777" w:rsidR="00CC7132" w:rsidRPr="009D0F06" w:rsidRDefault="00DC67A4" w:rsidP="00CC7132">
            <w:pPr>
              <w:pStyle w:val="ListParagraph"/>
              <w:spacing w:before="120"/>
              <w:ind w:left="0"/>
              <w:jc w:val="center"/>
              <w:rPr>
                <w:rFonts w:cs="Arial"/>
                <w:sz w:val="20"/>
                <w:szCs w:val="20"/>
                <w:lang w:val="es-CO"/>
              </w:rPr>
            </w:pPr>
            <w:r>
              <w:rPr>
                <w:rFonts w:cs="Arial"/>
                <w:sz w:val="20"/>
                <w:szCs w:val="20"/>
                <w:lang w:val="es-CO"/>
              </w:rPr>
              <w:t>108,4</w:t>
            </w:r>
          </w:p>
        </w:tc>
      </w:tr>
    </w:tbl>
    <w:p w14:paraId="11F03C5A" w14:textId="77777777" w:rsidR="008E1CDD" w:rsidRPr="008E1CDD" w:rsidRDefault="008E1CDD" w:rsidP="00D13324">
      <w:pPr>
        <w:pStyle w:val="ListParagraph"/>
        <w:numPr>
          <w:ilvl w:val="1"/>
          <w:numId w:val="3"/>
        </w:numPr>
        <w:spacing w:before="240"/>
        <w:ind w:left="720" w:hanging="720"/>
        <w:jc w:val="both"/>
        <w:rPr>
          <w:rFonts w:cs="Arial"/>
          <w:lang w:val="es-CO"/>
        </w:rPr>
      </w:pPr>
      <w:r w:rsidRPr="008E1CDD">
        <w:rPr>
          <w:rFonts w:cs="Arial"/>
          <w:lang w:val="es-CO"/>
        </w:rPr>
        <w:t xml:space="preserve">El análisis de sensibilidad muestra que los resultados del Proyecto SPSS-SBV son más vulnerables al cambio en el costo de falla. El rango de cambio </w:t>
      </w:r>
      <w:r w:rsidR="00B518A3">
        <w:rPr>
          <w:rFonts w:cs="Arial"/>
          <w:lang w:val="es-CO"/>
        </w:rPr>
        <w:t>de este</w:t>
      </w:r>
      <w:r w:rsidRPr="008E1CDD">
        <w:rPr>
          <w:rFonts w:cs="Arial"/>
          <w:lang w:val="es-CO"/>
        </w:rPr>
        <w:t xml:space="preserve"> parámetro utilizado en las simulaciones es bastante amplio. Para los valores extremos utilizados, la metodología de estimación se basa en supuestos que requieren mayor análisis para adaptarla al caso específico hondureño, para reflejar con mayor exactitud el costo para la economía, de un servicio eléctrico inestable o impredecible.</w:t>
      </w:r>
    </w:p>
    <w:p w14:paraId="48480217" w14:textId="77777777" w:rsidR="00B518A3" w:rsidRDefault="008E1CDD" w:rsidP="008E1CDD">
      <w:pPr>
        <w:pStyle w:val="ListParagraph"/>
        <w:numPr>
          <w:ilvl w:val="1"/>
          <w:numId w:val="3"/>
        </w:numPr>
        <w:spacing w:before="120"/>
        <w:ind w:left="720" w:hanging="720"/>
        <w:jc w:val="both"/>
        <w:rPr>
          <w:rFonts w:cs="Arial"/>
          <w:lang w:val="es-CO"/>
        </w:rPr>
      </w:pPr>
      <w:r w:rsidRPr="008E1CDD">
        <w:rPr>
          <w:rFonts w:cs="Arial"/>
          <w:lang w:val="es-CO"/>
        </w:rPr>
        <w:t>En ambos proyectos la TIRE mejora un poco al subir el costo marginal de corto plazo, mostrando la ventaja de reducción neta de pérdidas relativamente más costosas</w:t>
      </w:r>
      <w:r>
        <w:rPr>
          <w:rFonts w:cs="Arial"/>
          <w:lang w:val="es-CO"/>
        </w:rPr>
        <w:t>.</w:t>
      </w:r>
      <w:r w:rsidR="00B518A3" w:rsidRPr="00B518A3">
        <w:rPr>
          <w:rFonts w:cs="Arial"/>
          <w:lang w:val="es-CO"/>
        </w:rPr>
        <w:t xml:space="preserve"> </w:t>
      </w:r>
    </w:p>
    <w:p w14:paraId="0D850B71" w14:textId="77777777" w:rsidR="008E1CDD" w:rsidRDefault="00B518A3" w:rsidP="008E1CDD">
      <w:pPr>
        <w:pStyle w:val="ListParagraph"/>
        <w:numPr>
          <w:ilvl w:val="1"/>
          <w:numId w:val="3"/>
        </w:numPr>
        <w:spacing w:before="120"/>
        <w:ind w:left="720" w:hanging="720"/>
        <w:jc w:val="both"/>
        <w:rPr>
          <w:rFonts w:cs="Arial"/>
          <w:lang w:val="es-CO"/>
        </w:rPr>
      </w:pPr>
      <w:r>
        <w:rPr>
          <w:rFonts w:cs="Arial"/>
          <w:lang w:val="es-CO"/>
        </w:rPr>
        <w:t xml:space="preserve">A pesar del razonable nivel de ocurrencia en los escenarios propuestos, los valores utilizados se encuentran en el extremo bajo del rango de probabilidad.  A pesar de ello, los resultados mantienen su gran robustez, razón por la cual estos escenarios se considera ilustrativos sin requerir mayores experimentos a cambios en los valores hacia un análisis de frontera. </w:t>
      </w:r>
      <w:r w:rsidRPr="00E67C42">
        <w:rPr>
          <w:rFonts w:cs="Arial"/>
          <w:lang w:val="es-CO"/>
        </w:rPr>
        <w:t xml:space="preserve">La alta rentabilidad de estas inversiones depende intrínsecamente de la mejora en el sistema de </w:t>
      </w:r>
      <w:r w:rsidRPr="008E1CDD">
        <w:rPr>
          <w:rFonts w:cs="Arial"/>
          <w:lang w:val="es-CO"/>
        </w:rPr>
        <w:t xml:space="preserve">transmisión que conlleva a la reducción de pérdidas técnicas y el aumento en la confiabilidad </w:t>
      </w:r>
      <w:r w:rsidRPr="008E1CDD">
        <w:rPr>
          <w:rFonts w:cs="Arial"/>
          <w:lang w:val="es-CO"/>
        </w:rPr>
        <w:lastRenderedPageBreak/>
        <w:t>del servicio. La reducción de la meta de pérdidas técnicas muestra su importante influencia en los resultados en ambos proyectos</w:t>
      </w:r>
      <w:r>
        <w:rPr>
          <w:rFonts w:cs="Arial"/>
          <w:lang w:val="es-CO"/>
        </w:rPr>
        <w:t>.</w:t>
      </w:r>
    </w:p>
    <w:p w14:paraId="4414B4C8" w14:textId="77777777" w:rsidR="0025189A" w:rsidRDefault="0025189A" w:rsidP="0025189A">
      <w:pPr>
        <w:spacing w:before="120"/>
        <w:jc w:val="both"/>
        <w:rPr>
          <w:rFonts w:cs="Arial"/>
          <w:lang w:val="es-CO"/>
        </w:rPr>
      </w:pPr>
    </w:p>
    <w:p w14:paraId="60B158C5" w14:textId="77777777" w:rsidR="00D365FF" w:rsidRPr="00F91C3E" w:rsidRDefault="00D365FF" w:rsidP="00D365FF">
      <w:pPr>
        <w:pStyle w:val="Heading1"/>
        <w:numPr>
          <w:ilvl w:val="0"/>
          <w:numId w:val="3"/>
        </w:numPr>
        <w:spacing w:before="240"/>
        <w:ind w:left="0" w:firstLine="0"/>
        <w:jc w:val="center"/>
        <w:rPr>
          <w:rFonts w:ascii="Arial" w:hAnsi="Arial" w:cs="Arial"/>
          <w:smallCaps/>
          <w:noProof/>
          <w:color w:val="000000" w:themeColor="text1"/>
          <w:sz w:val="22"/>
          <w:szCs w:val="22"/>
          <w:lang w:val="es-CO"/>
        </w:rPr>
      </w:pPr>
      <w:bookmarkStart w:id="59" w:name="_Toc513626362"/>
      <w:r w:rsidRPr="00F91C3E">
        <w:rPr>
          <w:rFonts w:ascii="Arial" w:hAnsi="Arial" w:cs="Arial"/>
          <w:smallCaps/>
          <w:noProof/>
          <w:color w:val="000000" w:themeColor="text1"/>
          <w:sz w:val="22"/>
          <w:szCs w:val="22"/>
          <w:lang w:val="es-CO"/>
        </w:rPr>
        <w:t>Conclusiones</w:t>
      </w:r>
      <w:bookmarkEnd w:id="59"/>
    </w:p>
    <w:p w14:paraId="0EA75F5A" w14:textId="77777777" w:rsidR="00D365FF" w:rsidRDefault="00D365FF" w:rsidP="00D365FF">
      <w:pPr>
        <w:pStyle w:val="ListParagraph"/>
        <w:numPr>
          <w:ilvl w:val="1"/>
          <w:numId w:val="3"/>
        </w:numPr>
        <w:spacing w:before="120"/>
        <w:ind w:left="720" w:hanging="720"/>
        <w:jc w:val="both"/>
        <w:rPr>
          <w:rFonts w:cs="Arial"/>
          <w:lang w:val="es-CO"/>
        </w:rPr>
      </w:pPr>
      <w:r>
        <w:rPr>
          <w:rFonts w:cs="Arial"/>
          <w:lang w:val="es-CO"/>
        </w:rPr>
        <w:t xml:space="preserve">Los resultados del análisis validan la alta conveniencia financiera y económica de realizar inversiones </w:t>
      </w:r>
      <w:r w:rsidR="002D52BE">
        <w:rPr>
          <w:rFonts w:cs="Arial"/>
          <w:lang w:val="es-CO"/>
        </w:rPr>
        <w:t>que reúnan las</w:t>
      </w:r>
      <w:r>
        <w:rPr>
          <w:rFonts w:cs="Arial"/>
          <w:lang w:val="es-CO"/>
        </w:rPr>
        <w:t xml:space="preserve"> características técnicas, económicas y financieras representadas en la muestra, para reforzar y ampliar el sistema de transmisión hondureño. Se han identificado</w:t>
      </w:r>
      <w:r w:rsidR="00092033">
        <w:rPr>
          <w:rFonts w:cs="Arial"/>
          <w:lang w:val="es-CO"/>
        </w:rPr>
        <w:t xml:space="preserve"> que</w:t>
      </w:r>
      <w:r>
        <w:rPr>
          <w:rFonts w:cs="Arial"/>
          <w:lang w:val="es-CO"/>
        </w:rPr>
        <w:t xml:space="preserve"> las principales fuentes de beneficio derivado de las inversiones son: (i) reducción de pérdidas que representan altos costos de ineficiencia en términos de recursos invertidos en producción, sin el correspondiente uso en servicio a la economía; y (ii) reducción de fallas en el sistema que provocan altos costos a la economía por energía no suministrada, como resultado de interrupciones a los procesos productivos y comerciales y deterioro en la calidad de vida. Esta falta de confiablidad en el sistema eléctrico puede conllevar al usuario a invertir en fuentes energéticas alternas de alto costo para la economía.</w:t>
      </w:r>
    </w:p>
    <w:p w14:paraId="4601B4BF" w14:textId="77777777" w:rsidR="00D365FF" w:rsidRDefault="00D365FF" w:rsidP="00D365FF">
      <w:pPr>
        <w:pStyle w:val="ListParagraph"/>
        <w:numPr>
          <w:ilvl w:val="1"/>
          <w:numId w:val="3"/>
        </w:numPr>
        <w:spacing w:before="120"/>
        <w:ind w:left="720" w:hanging="720"/>
        <w:jc w:val="both"/>
        <w:rPr>
          <w:rFonts w:cs="Arial"/>
          <w:lang w:val="es-CO"/>
        </w:rPr>
      </w:pPr>
      <w:r>
        <w:rPr>
          <w:rFonts w:cs="Arial"/>
          <w:lang w:val="es-CO"/>
        </w:rPr>
        <w:t>El contar con un sistema de transmisión fortalecido, permitirá al país realizar un despacho de la generación con mayor flexibilidad, incorporando fuentes más económicas en diferentes zonas del país.  Aunque este análisis no cuantifica nueva generación que podría realizarse</w:t>
      </w:r>
      <w:r w:rsidRPr="001D2CE4">
        <w:rPr>
          <w:rFonts w:cs="Arial"/>
          <w:lang w:val="es-CO"/>
        </w:rPr>
        <w:t xml:space="preserve"> en varias plantas eficientes del Sistema Nacional Interconectado</w:t>
      </w:r>
      <w:r>
        <w:rPr>
          <w:rFonts w:cs="Arial"/>
          <w:lang w:val="es-CO"/>
        </w:rPr>
        <w:t>,</w:t>
      </w:r>
      <w:r w:rsidRPr="001D2CE4">
        <w:rPr>
          <w:rFonts w:cs="Arial"/>
          <w:lang w:val="es-CO"/>
        </w:rPr>
        <w:t xml:space="preserve"> se reducirán generaciones más costosas en varias plantas menos eficientes, dad</w:t>
      </w:r>
      <w:r w:rsidR="002E674C">
        <w:rPr>
          <w:rFonts w:cs="Arial"/>
          <w:lang w:val="es-CO"/>
        </w:rPr>
        <w:t>a</w:t>
      </w:r>
      <w:r w:rsidRPr="001D2CE4">
        <w:rPr>
          <w:rFonts w:cs="Arial"/>
          <w:lang w:val="es-CO"/>
        </w:rPr>
        <w:t xml:space="preserve"> una mejor optimización del despacho naciona</w:t>
      </w:r>
      <w:r>
        <w:rPr>
          <w:rFonts w:cs="Arial"/>
          <w:lang w:val="es-CO"/>
        </w:rPr>
        <w:t xml:space="preserve">l. Mayor disponibilidad de energía con mayor flexibilidad para colocarla en la zona que lo </w:t>
      </w:r>
      <w:r w:rsidR="00555EF4">
        <w:rPr>
          <w:rFonts w:cs="Arial"/>
          <w:lang w:val="es-CO"/>
        </w:rPr>
        <w:t>requiera</w:t>
      </w:r>
      <w:r w:rsidR="002E674C">
        <w:rPr>
          <w:rFonts w:cs="Arial"/>
          <w:lang w:val="es-CO"/>
        </w:rPr>
        <w:t xml:space="preserve"> </w:t>
      </w:r>
      <w:r>
        <w:rPr>
          <w:rFonts w:cs="Arial"/>
          <w:lang w:val="es-CO"/>
        </w:rPr>
        <w:t>contribuirá a la capacidad de incrementar los intercambios en el MER cuando mejores precios lo amerite.</w:t>
      </w:r>
      <w:r w:rsidR="00F651BC" w:rsidRPr="00F651BC">
        <w:rPr>
          <w:rFonts w:eastAsia="Times New Roman" w:cs="Arial"/>
          <w:spacing w:val="-3"/>
          <w:lang w:val="es-US"/>
        </w:rPr>
        <w:t xml:space="preserve"> </w:t>
      </w:r>
      <w:r w:rsidR="00F651BC" w:rsidRPr="00F651BC">
        <w:rPr>
          <w:rFonts w:cs="Arial"/>
          <w:lang w:val="es-US"/>
        </w:rPr>
        <w:t>Este beneficio representaría mejores precios al mercado hondureño y eventual oportunidad de vender excedentes al MER.</w:t>
      </w:r>
    </w:p>
    <w:p w14:paraId="4A7FCDF1" w14:textId="77777777" w:rsidR="00D365FF" w:rsidRPr="00F91C3E" w:rsidRDefault="00D365FF" w:rsidP="00D365FF">
      <w:pPr>
        <w:spacing w:after="200" w:line="276" w:lineRule="auto"/>
        <w:jc w:val="both"/>
        <w:rPr>
          <w:rFonts w:cs="Arial"/>
          <w:lang w:val="es-CO"/>
        </w:rPr>
      </w:pPr>
      <w:r>
        <w:rPr>
          <w:rFonts w:cs="Arial"/>
          <w:lang w:val="es-CO"/>
        </w:rPr>
        <w:t xml:space="preserve">  </w:t>
      </w:r>
      <w:r w:rsidRPr="00F91C3E">
        <w:rPr>
          <w:rFonts w:cs="Arial"/>
          <w:lang w:val="es-CO"/>
        </w:rPr>
        <w:br w:type="page"/>
      </w:r>
    </w:p>
    <w:p w14:paraId="240C6620" w14:textId="77777777" w:rsidR="00D365FF" w:rsidRPr="00F91C3E" w:rsidRDefault="00D365FF" w:rsidP="00D365FF">
      <w:pPr>
        <w:pStyle w:val="Heading1"/>
        <w:numPr>
          <w:ilvl w:val="0"/>
          <w:numId w:val="3"/>
        </w:numPr>
        <w:ind w:left="0" w:firstLine="0"/>
        <w:jc w:val="center"/>
        <w:rPr>
          <w:rFonts w:ascii="Arial" w:hAnsi="Arial" w:cs="Arial"/>
          <w:smallCaps/>
          <w:noProof/>
          <w:color w:val="000000" w:themeColor="text1"/>
          <w:sz w:val="22"/>
          <w:szCs w:val="22"/>
          <w:lang w:val="es-CO"/>
        </w:rPr>
      </w:pPr>
      <w:bookmarkStart w:id="60" w:name="_Toc513626363"/>
      <w:r w:rsidRPr="00F91C3E">
        <w:rPr>
          <w:rFonts w:ascii="Arial" w:hAnsi="Arial" w:cs="Arial"/>
          <w:smallCaps/>
          <w:noProof/>
          <w:color w:val="000000" w:themeColor="text1"/>
          <w:sz w:val="22"/>
          <w:szCs w:val="22"/>
          <w:lang w:val="es-CO"/>
        </w:rPr>
        <w:lastRenderedPageBreak/>
        <w:t>Anexos</w:t>
      </w:r>
      <w:bookmarkEnd w:id="60"/>
    </w:p>
    <w:p w14:paraId="0AB6AFB9" w14:textId="77777777" w:rsidR="00D365FF" w:rsidRDefault="00D365FF" w:rsidP="00D365FF">
      <w:pPr>
        <w:spacing w:before="120"/>
        <w:jc w:val="right"/>
        <w:rPr>
          <w:rFonts w:cs="Arial"/>
          <w:b/>
          <w:lang w:val="es-CO"/>
        </w:rPr>
      </w:pPr>
    </w:p>
    <w:p w14:paraId="1D7FF45F" w14:textId="77777777" w:rsidR="00D365FF" w:rsidRPr="00F00ECE" w:rsidRDefault="00D365FF" w:rsidP="00D365FF">
      <w:pPr>
        <w:spacing w:before="120"/>
        <w:jc w:val="right"/>
        <w:rPr>
          <w:rFonts w:cs="Arial"/>
          <w:b/>
          <w:lang w:val="es-CO"/>
        </w:rPr>
      </w:pPr>
      <w:r w:rsidRPr="00F00ECE">
        <w:rPr>
          <w:rFonts w:cs="Arial"/>
          <w:b/>
          <w:lang w:val="es-CO"/>
        </w:rPr>
        <w:t>Anexo A</w:t>
      </w:r>
    </w:p>
    <w:p w14:paraId="50CEA1C6" w14:textId="77777777" w:rsidR="00D365FF" w:rsidRDefault="00D365FF" w:rsidP="005C2329">
      <w:pPr>
        <w:pStyle w:val="Heading2"/>
        <w:numPr>
          <w:ilvl w:val="0"/>
          <w:numId w:val="15"/>
        </w:numPr>
      </w:pPr>
      <w:bookmarkStart w:id="61" w:name="_Toc513626364"/>
      <w:bookmarkStart w:id="62" w:name="_Hlk495871736"/>
      <w:r w:rsidRPr="001E5FA2">
        <w:t>Perfil Técnico-Financiero de los proyectos de la muestra</w:t>
      </w:r>
      <w:r>
        <w:t xml:space="preserve"> </w:t>
      </w:r>
      <w:r w:rsidRPr="001E5FA2">
        <w:t>(Evaluación de mínimo costo)</w:t>
      </w:r>
      <w:bookmarkEnd w:id="61"/>
      <w:r>
        <w:t xml:space="preserve">  </w:t>
      </w:r>
    </w:p>
    <w:p w14:paraId="22210ACA" w14:textId="77777777" w:rsidR="00D365FF" w:rsidRPr="00822CE6" w:rsidRDefault="00D365FF" w:rsidP="00D365FF">
      <w:pPr>
        <w:rPr>
          <w:lang w:val="es-US" w:eastAsia="es-ES"/>
        </w:rPr>
      </w:pPr>
    </w:p>
    <w:p w14:paraId="68A7A366" w14:textId="77777777" w:rsidR="00CC4A0A" w:rsidRPr="00CC4A0A" w:rsidRDefault="00414072" w:rsidP="009541C9">
      <w:pPr>
        <w:pStyle w:val="ListParagraph"/>
        <w:spacing w:before="120"/>
        <w:jc w:val="both"/>
        <w:rPr>
          <w:rFonts w:cs="Arial"/>
          <w:lang w:val="es-US"/>
        </w:rPr>
      </w:pPr>
      <w:r>
        <w:fldChar w:fldCharType="begin"/>
      </w:r>
      <w:r w:rsidRPr="00087EC8">
        <w:rPr>
          <w:lang w:val="es-US"/>
          <w:rPrChange w:id="63" w:author="Nancy Jesurun-Clements" w:date="2018-05-12T09:43:00Z">
            <w:rPr/>
          </w:rPrChange>
        </w:rPr>
        <w:instrText xml:space="preserve"> HYPERLINK "https://idbg.sharepoint.com/teams/EZ-HO-LON/HO-L1186/_layouts/15/DocIdRedir.aspx?ID=EZSHARE-1644412538-42" </w:instrText>
      </w:r>
      <w:r>
        <w:fldChar w:fldCharType="separate"/>
      </w:r>
      <w:r w:rsidR="00CC4A0A" w:rsidRPr="00F00B48">
        <w:rPr>
          <w:rStyle w:val="Hyperlink"/>
          <w:rFonts w:eastAsia="Arial" w:cs="Arial"/>
          <w:lang w:val="es-US"/>
        </w:rPr>
        <w:t xml:space="preserve">Zona </w:t>
      </w:r>
      <w:r w:rsidR="00CC4A0A" w:rsidRPr="00F00B48">
        <w:rPr>
          <w:rStyle w:val="Hyperlink"/>
          <w:rFonts w:cs="Arial"/>
          <w:lang w:val="es-US"/>
        </w:rPr>
        <w:t>Norte</w:t>
      </w:r>
      <w:r>
        <w:rPr>
          <w:rStyle w:val="Hyperlink"/>
          <w:rFonts w:cs="Arial"/>
          <w:lang w:val="es-US"/>
        </w:rPr>
        <w:fldChar w:fldCharType="end"/>
      </w:r>
      <w:r w:rsidR="00CC4A0A" w:rsidRPr="00F00B48">
        <w:rPr>
          <w:rFonts w:cs="Arial"/>
          <w:lang w:val="es-US"/>
        </w:rPr>
        <w:t xml:space="preserve">: (i) </w:t>
      </w:r>
      <w:r w:rsidR="00CC4A0A" w:rsidRPr="00CC4A0A">
        <w:rPr>
          <w:rFonts w:cs="Arial"/>
          <w:lang w:val="es-US"/>
        </w:rPr>
        <w:t>ampliación de las SE San Pedro Sula Sur (SPSS), San Buenaventura (SBV); (ii); reconstrucción de la LT SBV-SPSS de 138kV sobre nueva estructura e instalación simultáneamente de un nuevo circuito en 230 kV 230kV (48km). Las SE SPSS y SBV representan refuerzos nacionales en el marco del SIEPAC.</w:t>
      </w:r>
    </w:p>
    <w:p w14:paraId="02346CDB" w14:textId="77777777" w:rsidR="00CC4A0A" w:rsidRPr="00CC4A0A" w:rsidRDefault="00414072" w:rsidP="009541C9">
      <w:pPr>
        <w:pStyle w:val="ListParagraph"/>
        <w:spacing w:before="120"/>
        <w:jc w:val="both"/>
        <w:rPr>
          <w:rFonts w:eastAsia="Arial" w:cs="Arial"/>
          <w:lang w:val="es-US"/>
        </w:rPr>
      </w:pPr>
      <w:r>
        <w:fldChar w:fldCharType="begin"/>
      </w:r>
      <w:r w:rsidRPr="00087EC8">
        <w:rPr>
          <w:lang w:val="es-US"/>
          <w:rPrChange w:id="64" w:author="Nancy Jesurun-Clements" w:date="2018-05-12T09:43:00Z">
            <w:rPr/>
          </w:rPrChange>
        </w:rPr>
        <w:instrText xml:space="preserve"> HYPERLINK "https://idbg.sharepoint.com/teams/EZ-HO-LON/HO-L1186/_layouts/15/DocIdRedir.aspx?ID=EZSHARE-1644412538-43" </w:instrText>
      </w:r>
      <w:r>
        <w:fldChar w:fldCharType="separate"/>
      </w:r>
      <w:r w:rsidR="00CC4A0A" w:rsidRPr="00CC4A0A">
        <w:rPr>
          <w:rStyle w:val="Hyperlink"/>
          <w:rFonts w:cs="Arial"/>
          <w:lang w:val="es-US"/>
        </w:rPr>
        <w:t>Zona Centro</w:t>
      </w:r>
      <w:r>
        <w:rPr>
          <w:rStyle w:val="Hyperlink"/>
          <w:rFonts w:cs="Arial"/>
          <w:lang w:val="es-US"/>
        </w:rPr>
        <w:fldChar w:fldCharType="end"/>
      </w:r>
      <w:r w:rsidR="00CC4A0A" w:rsidRPr="00CC4A0A">
        <w:rPr>
          <w:rFonts w:cs="Arial"/>
          <w:lang w:val="es-US"/>
        </w:rPr>
        <w:t>: (i) ampliación de las subestaciones Laínez y Miraflores; y (ii) construcción de la línea de transmisión Laínez Miraflores en 138 kV</w:t>
      </w:r>
      <w:r w:rsidR="00CC4A0A" w:rsidRPr="00CC4A0A">
        <w:rPr>
          <w:rFonts w:eastAsia="Arial" w:cs="Arial"/>
          <w:lang w:val="es-US"/>
        </w:rPr>
        <w:t xml:space="preserve">. </w:t>
      </w:r>
      <w:r w:rsidR="00CC4A0A" w:rsidRPr="00CC4A0A" w:rsidDel="002A47BF">
        <w:rPr>
          <w:rFonts w:eastAsia="Arial" w:cs="Arial"/>
          <w:lang w:val="es-US"/>
        </w:rPr>
        <w:t xml:space="preserve"> </w:t>
      </w:r>
    </w:p>
    <w:p w14:paraId="3040B725" w14:textId="77777777" w:rsidR="00D365FF" w:rsidRPr="00CC4A0A" w:rsidRDefault="00D365FF" w:rsidP="005C2329">
      <w:pPr>
        <w:pStyle w:val="Heading2"/>
        <w:numPr>
          <w:ilvl w:val="0"/>
          <w:numId w:val="0"/>
        </w:numPr>
        <w:ind w:left="1080"/>
      </w:pPr>
      <w:r w:rsidRPr="00CC4A0A">
        <w:br w:type="page"/>
      </w:r>
    </w:p>
    <w:p w14:paraId="3DBED904" w14:textId="77777777" w:rsidR="00D365FF" w:rsidRPr="00F00ECE" w:rsidRDefault="00D365FF" w:rsidP="00D365FF">
      <w:pPr>
        <w:jc w:val="right"/>
        <w:rPr>
          <w:b/>
          <w:lang w:val="es-US" w:eastAsia="es-ES"/>
        </w:rPr>
      </w:pPr>
      <w:r w:rsidRPr="00F00ECE">
        <w:rPr>
          <w:b/>
          <w:lang w:val="es-US" w:eastAsia="es-ES"/>
        </w:rPr>
        <w:lastRenderedPageBreak/>
        <w:t>Anexo B</w:t>
      </w:r>
    </w:p>
    <w:p w14:paraId="5D983F60" w14:textId="77777777" w:rsidR="00D365FF" w:rsidRDefault="00D365FF" w:rsidP="005C2329">
      <w:pPr>
        <w:pStyle w:val="Heading2"/>
        <w:numPr>
          <w:ilvl w:val="0"/>
          <w:numId w:val="15"/>
        </w:numPr>
      </w:pPr>
      <w:bookmarkStart w:id="65" w:name="_Toc513626365"/>
      <w:bookmarkEnd w:id="62"/>
      <w:r w:rsidRPr="001E5FA2">
        <w:t>Proyecciones de demanda</w:t>
      </w:r>
      <w:bookmarkEnd w:id="65"/>
    </w:p>
    <w:tbl>
      <w:tblPr>
        <w:tblW w:w="11202" w:type="dxa"/>
        <w:tblInd w:w="-1170" w:type="dxa"/>
        <w:tblLook w:val="04A0" w:firstRow="1" w:lastRow="0" w:firstColumn="1" w:lastColumn="0" w:noHBand="0" w:noVBand="1"/>
      </w:tblPr>
      <w:tblGrid>
        <w:gridCol w:w="11220"/>
      </w:tblGrid>
      <w:tr w:rsidR="00FD1BF7" w:rsidRPr="00194658" w14:paraId="769980CB" w14:textId="77777777" w:rsidTr="00FD1BF7">
        <w:trPr>
          <w:trHeight w:val="300"/>
        </w:trPr>
        <w:tc>
          <w:tcPr>
            <w:tcW w:w="11202" w:type="dxa"/>
            <w:tcBorders>
              <w:top w:val="nil"/>
              <w:left w:val="nil"/>
              <w:right w:val="nil"/>
            </w:tcBorders>
            <w:shd w:val="clear" w:color="auto" w:fill="auto"/>
            <w:noWrap/>
            <w:vAlign w:val="bottom"/>
            <w:hideMark/>
          </w:tcPr>
          <w:p w14:paraId="34C4264F" w14:textId="77777777" w:rsidR="00D365FF" w:rsidRDefault="00C917C2" w:rsidP="00194658">
            <w:pPr>
              <w:jc w:val="center"/>
              <w:rPr>
                <w:rFonts w:eastAsia="Times New Roman" w:cs="Arial"/>
                <w:b/>
                <w:bCs/>
                <w:color w:val="000000"/>
              </w:rPr>
            </w:pPr>
            <w:r>
              <w:br w:type="page"/>
            </w:r>
            <w:r>
              <w:br w:type="page"/>
            </w:r>
            <w:r w:rsidR="00D365FF">
              <w:br w:type="page"/>
            </w:r>
            <w:r w:rsidR="00D365FF">
              <w:br w:type="page"/>
            </w:r>
          </w:p>
          <w:p w14:paraId="63FE75C5" w14:textId="77777777" w:rsidR="00D365FF" w:rsidRDefault="00D365FF" w:rsidP="00194658">
            <w:pPr>
              <w:jc w:val="center"/>
              <w:rPr>
                <w:rFonts w:eastAsia="Times New Roman" w:cs="Arial"/>
                <w:b/>
                <w:bCs/>
                <w:color w:val="000000"/>
                <w:lang w:val="es-US"/>
              </w:rPr>
            </w:pPr>
            <w:r w:rsidRPr="006658BE">
              <w:rPr>
                <w:rFonts w:eastAsia="Times New Roman" w:cs="Arial"/>
                <w:b/>
                <w:bCs/>
                <w:color w:val="000000"/>
                <w:lang w:val="es-US"/>
              </w:rPr>
              <w:t xml:space="preserve">Cuadro B-1 -  </w:t>
            </w:r>
            <w:r>
              <w:rPr>
                <w:rFonts w:eastAsia="Times New Roman" w:cs="Arial"/>
                <w:b/>
                <w:bCs/>
                <w:color w:val="000000"/>
                <w:lang w:val="es-US"/>
              </w:rPr>
              <w:t xml:space="preserve">Proyección de demanda a nivel </w:t>
            </w:r>
            <w:r w:rsidR="00D75135">
              <w:rPr>
                <w:rFonts w:eastAsia="Times New Roman" w:cs="Arial"/>
                <w:b/>
                <w:bCs/>
                <w:color w:val="000000"/>
                <w:lang w:val="es-US"/>
              </w:rPr>
              <w:t>nacional (</w:t>
            </w:r>
            <w:r w:rsidR="001E41A8">
              <w:rPr>
                <w:rFonts w:eastAsia="Times New Roman" w:cs="Arial"/>
                <w:b/>
                <w:bCs/>
                <w:color w:val="000000"/>
                <w:lang w:val="es-US"/>
              </w:rPr>
              <w:t>Escenario base)</w:t>
            </w:r>
          </w:p>
          <w:tbl>
            <w:tblPr>
              <w:tblW w:w="10618" w:type="dxa"/>
              <w:tblLook w:val="04A0" w:firstRow="1" w:lastRow="0" w:firstColumn="1" w:lastColumn="0" w:noHBand="0" w:noVBand="1"/>
            </w:tblPr>
            <w:tblGrid>
              <w:gridCol w:w="278"/>
              <w:gridCol w:w="960"/>
              <w:gridCol w:w="1360"/>
              <w:gridCol w:w="1620"/>
              <w:gridCol w:w="1860"/>
              <w:gridCol w:w="1300"/>
              <w:gridCol w:w="1400"/>
              <w:gridCol w:w="1840"/>
            </w:tblGrid>
            <w:tr w:rsidR="003A1103" w:rsidRPr="001A164B" w14:paraId="12E3DD58" w14:textId="77777777" w:rsidTr="001E41A8">
              <w:trPr>
                <w:trHeight w:val="600"/>
              </w:trPr>
              <w:tc>
                <w:tcPr>
                  <w:tcW w:w="278" w:type="dxa"/>
                  <w:tcBorders>
                    <w:top w:val="single" w:sz="4" w:space="0" w:color="auto"/>
                    <w:left w:val="single" w:sz="4" w:space="0" w:color="auto"/>
                    <w:bottom w:val="single" w:sz="4" w:space="0" w:color="auto"/>
                    <w:right w:val="nil"/>
                  </w:tcBorders>
                  <w:shd w:val="clear" w:color="000000" w:fill="EBF1DE"/>
                  <w:vAlign w:val="center"/>
                  <w:hideMark/>
                </w:tcPr>
                <w:p w14:paraId="33F8F4F0" w14:textId="77777777" w:rsidR="003A1103" w:rsidRPr="00AD59FF" w:rsidRDefault="003A1103" w:rsidP="003A1103">
                  <w:pPr>
                    <w:jc w:val="center"/>
                    <w:rPr>
                      <w:rFonts w:eastAsia="Times New Roman" w:cs="Arial"/>
                      <w:color w:val="000000"/>
                      <w:sz w:val="20"/>
                      <w:szCs w:val="20"/>
                      <w:lang w:val="es-US"/>
                    </w:rPr>
                  </w:pPr>
                  <w:r w:rsidRPr="00AD59FF">
                    <w:rPr>
                      <w:rFonts w:eastAsia="Times New Roman" w:cs="Arial"/>
                      <w:color w:val="000000"/>
                      <w:sz w:val="20"/>
                      <w:szCs w:val="20"/>
                      <w:lang w:val="es-US"/>
                    </w:rPr>
                    <w:t> </w:t>
                  </w:r>
                </w:p>
              </w:tc>
              <w:tc>
                <w:tcPr>
                  <w:tcW w:w="960" w:type="dxa"/>
                  <w:tcBorders>
                    <w:top w:val="single" w:sz="4" w:space="0" w:color="auto"/>
                    <w:left w:val="nil"/>
                    <w:bottom w:val="single" w:sz="4" w:space="0" w:color="auto"/>
                    <w:right w:val="single" w:sz="4" w:space="0" w:color="auto"/>
                  </w:tcBorders>
                  <w:shd w:val="clear" w:color="000000" w:fill="EBF1DE"/>
                  <w:vAlign w:val="center"/>
                  <w:hideMark/>
                </w:tcPr>
                <w:p w14:paraId="70D96404" w14:textId="77777777" w:rsidR="003A1103" w:rsidRPr="00AD59FF" w:rsidRDefault="003A1103" w:rsidP="003A1103">
                  <w:pPr>
                    <w:jc w:val="center"/>
                    <w:rPr>
                      <w:rFonts w:eastAsia="Times New Roman" w:cs="Arial"/>
                      <w:color w:val="000000"/>
                      <w:sz w:val="20"/>
                      <w:szCs w:val="20"/>
                      <w:lang w:val="es-US"/>
                    </w:rPr>
                  </w:pPr>
                  <w:r w:rsidRPr="00AD59FF">
                    <w:rPr>
                      <w:rFonts w:eastAsia="Times New Roman" w:cs="Arial"/>
                      <w:color w:val="000000"/>
                      <w:sz w:val="20"/>
                      <w:szCs w:val="20"/>
                      <w:lang w:val="es-US"/>
                    </w:rPr>
                    <w:t>AÑO</w:t>
                  </w:r>
                </w:p>
              </w:tc>
              <w:tc>
                <w:tcPr>
                  <w:tcW w:w="1360" w:type="dxa"/>
                  <w:tcBorders>
                    <w:top w:val="single" w:sz="4" w:space="0" w:color="auto"/>
                    <w:left w:val="nil"/>
                    <w:bottom w:val="single" w:sz="4" w:space="0" w:color="auto"/>
                    <w:right w:val="single" w:sz="4" w:space="0" w:color="auto"/>
                  </w:tcBorders>
                  <w:shd w:val="clear" w:color="000000" w:fill="EBF1DE"/>
                  <w:vAlign w:val="center"/>
                  <w:hideMark/>
                </w:tcPr>
                <w:p w14:paraId="5EDEDC92" w14:textId="77777777" w:rsidR="003A1103" w:rsidRPr="00AD59FF" w:rsidRDefault="003A1103" w:rsidP="003A1103">
                  <w:pPr>
                    <w:jc w:val="center"/>
                    <w:rPr>
                      <w:rFonts w:eastAsia="Times New Roman" w:cs="Arial"/>
                      <w:b/>
                      <w:bCs/>
                      <w:color w:val="000000"/>
                      <w:sz w:val="20"/>
                      <w:szCs w:val="20"/>
                      <w:lang w:val="es-US"/>
                    </w:rPr>
                  </w:pPr>
                  <w:r w:rsidRPr="00AD59FF">
                    <w:rPr>
                      <w:rFonts w:eastAsia="Times New Roman" w:cs="Arial"/>
                      <w:b/>
                      <w:bCs/>
                      <w:color w:val="000000"/>
                      <w:sz w:val="20"/>
                      <w:szCs w:val="20"/>
                      <w:lang w:val="es-US"/>
                    </w:rPr>
                    <w:t>POTENCIA (MW)</w:t>
                  </w:r>
                </w:p>
              </w:tc>
              <w:tc>
                <w:tcPr>
                  <w:tcW w:w="1620" w:type="dxa"/>
                  <w:tcBorders>
                    <w:top w:val="single" w:sz="4" w:space="0" w:color="auto"/>
                    <w:left w:val="nil"/>
                    <w:bottom w:val="single" w:sz="4" w:space="0" w:color="auto"/>
                    <w:right w:val="single" w:sz="4" w:space="0" w:color="auto"/>
                  </w:tcBorders>
                  <w:shd w:val="clear" w:color="000000" w:fill="EBF1DE"/>
                  <w:vAlign w:val="center"/>
                  <w:hideMark/>
                </w:tcPr>
                <w:p w14:paraId="26C0B544" w14:textId="77777777" w:rsidR="003A1103" w:rsidRPr="00AD59FF" w:rsidRDefault="003A1103" w:rsidP="003A1103">
                  <w:pPr>
                    <w:jc w:val="center"/>
                    <w:rPr>
                      <w:rFonts w:eastAsia="Times New Roman" w:cs="Arial"/>
                      <w:color w:val="000000"/>
                      <w:sz w:val="20"/>
                      <w:szCs w:val="20"/>
                      <w:lang w:val="es-US"/>
                    </w:rPr>
                  </w:pPr>
                  <w:r w:rsidRPr="00AD59FF">
                    <w:rPr>
                      <w:rFonts w:eastAsia="Times New Roman" w:cs="Arial"/>
                      <w:color w:val="000000"/>
                      <w:sz w:val="20"/>
                      <w:szCs w:val="20"/>
                      <w:lang w:val="es-US"/>
                    </w:rPr>
                    <w:t>AUMENTO (MW)</w:t>
                  </w:r>
                </w:p>
              </w:tc>
              <w:tc>
                <w:tcPr>
                  <w:tcW w:w="1860" w:type="dxa"/>
                  <w:tcBorders>
                    <w:top w:val="single" w:sz="4" w:space="0" w:color="auto"/>
                    <w:left w:val="nil"/>
                    <w:bottom w:val="single" w:sz="4" w:space="0" w:color="auto"/>
                    <w:right w:val="single" w:sz="4" w:space="0" w:color="auto"/>
                  </w:tcBorders>
                  <w:shd w:val="clear" w:color="000000" w:fill="EBF1DE"/>
                  <w:vAlign w:val="center"/>
                  <w:hideMark/>
                </w:tcPr>
                <w:p w14:paraId="49F6BE94" w14:textId="77777777" w:rsidR="003A1103" w:rsidRPr="00AD59FF" w:rsidRDefault="003A1103" w:rsidP="003A1103">
                  <w:pPr>
                    <w:jc w:val="center"/>
                    <w:rPr>
                      <w:rFonts w:eastAsia="Times New Roman" w:cs="Arial"/>
                      <w:color w:val="000000"/>
                      <w:sz w:val="20"/>
                      <w:szCs w:val="20"/>
                      <w:lang w:val="es-US"/>
                    </w:rPr>
                  </w:pPr>
                  <w:r w:rsidRPr="00AD59FF">
                    <w:rPr>
                      <w:rFonts w:eastAsia="Times New Roman" w:cs="Arial"/>
                      <w:color w:val="000000"/>
                      <w:sz w:val="20"/>
                      <w:szCs w:val="20"/>
                      <w:lang w:val="es-US"/>
                    </w:rPr>
                    <w:t>CRECIMIENTO (%)</w:t>
                  </w:r>
                </w:p>
              </w:tc>
              <w:tc>
                <w:tcPr>
                  <w:tcW w:w="1300" w:type="dxa"/>
                  <w:tcBorders>
                    <w:top w:val="single" w:sz="4" w:space="0" w:color="auto"/>
                    <w:left w:val="nil"/>
                    <w:bottom w:val="single" w:sz="4" w:space="0" w:color="auto"/>
                    <w:right w:val="single" w:sz="4" w:space="0" w:color="auto"/>
                  </w:tcBorders>
                  <w:shd w:val="clear" w:color="000000" w:fill="EBF1DE"/>
                  <w:vAlign w:val="center"/>
                  <w:hideMark/>
                </w:tcPr>
                <w:p w14:paraId="19FA1B8B" w14:textId="77777777" w:rsidR="003A1103" w:rsidRPr="00AD59FF" w:rsidRDefault="003A1103" w:rsidP="003A1103">
                  <w:pPr>
                    <w:jc w:val="center"/>
                    <w:rPr>
                      <w:rFonts w:eastAsia="Times New Roman" w:cs="Arial"/>
                      <w:b/>
                      <w:bCs/>
                      <w:color w:val="000000"/>
                      <w:sz w:val="20"/>
                      <w:szCs w:val="20"/>
                      <w:lang w:val="es-US"/>
                    </w:rPr>
                  </w:pPr>
                  <w:r w:rsidRPr="00AD59FF">
                    <w:rPr>
                      <w:rFonts w:eastAsia="Times New Roman" w:cs="Arial"/>
                      <w:b/>
                      <w:bCs/>
                      <w:color w:val="000000"/>
                      <w:sz w:val="20"/>
                      <w:szCs w:val="20"/>
                      <w:lang w:val="es-US"/>
                    </w:rPr>
                    <w:t>ENERGÍA (GWh)</w:t>
                  </w:r>
                </w:p>
              </w:tc>
              <w:tc>
                <w:tcPr>
                  <w:tcW w:w="1400" w:type="dxa"/>
                  <w:tcBorders>
                    <w:top w:val="single" w:sz="4" w:space="0" w:color="auto"/>
                    <w:left w:val="nil"/>
                    <w:bottom w:val="single" w:sz="4" w:space="0" w:color="auto"/>
                    <w:right w:val="single" w:sz="4" w:space="0" w:color="auto"/>
                  </w:tcBorders>
                  <w:shd w:val="clear" w:color="000000" w:fill="EBF1DE"/>
                  <w:vAlign w:val="center"/>
                  <w:hideMark/>
                </w:tcPr>
                <w:p w14:paraId="2AFF6CED" w14:textId="77777777" w:rsidR="003A1103" w:rsidRPr="00AD59FF" w:rsidRDefault="003A1103" w:rsidP="003A1103">
                  <w:pPr>
                    <w:jc w:val="center"/>
                    <w:rPr>
                      <w:rFonts w:eastAsia="Times New Roman" w:cs="Arial"/>
                      <w:color w:val="000000"/>
                      <w:sz w:val="20"/>
                      <w:szCs w:val="20"/>
                      <w:lang w:val="es-US"/>
                    </w:rPr>
                  </w:pPr>
                  <w:r w:rsidRPr="00AD59FF">
                    <w:rPr>
                      <w:rFonts w:eastAsia="Times New Roman" w:cs="Arial"/>
                      <w:color w:val="000000"/>
                      <w:sz w:val="20"/>
                      <w:szCs w:val="20"/>
                      <w:lang w:val="es-US"/>
                    </w:rPr>
                    <w:t>AUMENTO (GWh)</w:t>
                  </w:r>
                </w:p>
              </w:tc>
              <w:tc>
                <w:tcPr>
                  <w:tcW w:w="1840" w:type="dxa"/>
                  <w:tcBorders>
                    <w:top w:val="single" w:sz="4" w:space="0" w:color="auto"/>
                    <w:left w:val="nil"/>
                    <w:bottom w:val="single" w:sz="4" w:space="0" w:color="auto"/>
                    <w:right w:val="single" w:sz="4" w:space="0" w:color="auto"/>
                  </w:tcBorders>
                  <w:shd w:val="clear" w:color="000000" w:fill="EBF1DE"/>
                  <w:vAlign w:val="center"/>
                  <w:hideMark/>
                </w:tcPr>
                <w:p w14:paraId="24029A3D" w14:textId="77777777" w:rsidR="003A1103" w:rsidRPr="00AD59FF" w:rsidRDefault="003A1103" w:rsidP="003A1103">
                  <w:pPr>
                    <w:jc w:val="center"/>
                    <w:rPr>
                      <w:rFonts w:eastAsia="Times New Roman" w:cs="Arial"/>
                      <w:color w:val="000000"/>
                      <w:sz w:val="20"/>
                      <w:szCs w:val="20"/>
                      <w:lang w:val="es-US"/>
                    </w:rPr>
                  </w:pPr>
                  <w:r w:rsidRPr="00AD59FF">
                    <w:rPr>
                      <w:rFonts w:eastAsia="Times New Roman" w:cs="Arial"/>
                      <w:color w:val="000000"/>
                      <w:sz w:val="20"/>
                      <w:szCs w:val="20"/>
                      <w:lang w:val="es-US"/>
                    </w:rPr>
                    <w:t>CRECIMIENTO (%)</w:t>
                  </w:r>
                </w:p>
              </w:tc>
            </w:tr>
            <w:tr w:rsidR="003A1103" w:rsidRPr="001A164B" w14:paraId="2D20A24D"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4AAF41E0"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407EFE1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2016</w:t>
                  </w:r>
                </w:p>
              </w:tc>
              <w:tc>
                <w:tcPr>
                  <w:tcW w:w="1360" w:type="dxa"/>
                  <w:tcBorders>
                    <w:top w:val="nil"/>
                    <w:left w:val="nil"/>
                    <w:bottom w:val="nil"/>
                    <w:right w:val="single" w:sz="4" w:space="0" w:color="auto"/>
                  </w:tcBorders>
                  <w:shd w:val="clear" w:color="auto" w:fill="auto"/>
                  <w:noWrap/>
                  <w:vAlign w:val="bottom"/>
                  <w:hideMark/>
                </w:tcPr>
                <w:p w14:paraId="62E6E91C"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539</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4</w:t>
                  </w:r>
                </w:p>
              </w:tc>
              <w:tc>
                <w:tcPr>
                  <w:tcW w:w="1620" w:type="dxa"/>
                  <w:tcBorders>
                    <w:top w:val="nil"/>
                    <w:left w:val="nil"/>
                    <w:bottom w:val="nil"/>
                    <w:right w:val="single" w:sz="4" w:space="0" w:color="auto"/>
                  </w:tcBorders>
                  <w:shd w:val="clear" w:color="auto" w:fill="auto"/>
                  <w:noWrap/>
                  <w:vAlign w:val="bottom"/>
                  <w:hideMark/>
                </w:tcPr>
                <w:p w14:paraId="4F89C3D1"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59</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w:t>
                  </w:r>
                </w:p>
              </w:tc>
              <w:tc>
                <w:tcPr>
                  <w:tcW w:w="1860" w:type="dxa"/>
                  <w:tcBorders>
                    <w:top w:val="nil"/>
                    <w:left w:val="nil"/>
                    <w:bottom w:val="nil"/>
                    <w:right w:val="single" w:sz="4" w:space="0" w:color="auto"/>
                  </w:tcBorders>
                  <w:shd w:val="clear" w:color="auto" w:fill="auto"/>
                  <w:noWrap/>
                  <w:vAlign w:val="bottom"/>
                  <w:hideMark/>
                </w:tcPr>
                <w:p w14:paraId="732A114C"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02%</w:t>
                  </w:r>
                </w:p>
              </w:tc>
              <w:tc>
                <w:tcPr>
                  <w:tcW w:w="1300" w:type="dxa"/>
                  <w:tcBorders>
                    <w:top w:val="nil"/>
                    <w:left w:val="nil"/>
                    <w:bottom w:val="nil"/>
                    <w:right w:val="single" w:sz="4" w:space="0" w:color="auto"/>
                  </w:tcBorders>
                  <w:shd w:val="clear" w:color="auto" w:fill="auto"/>
                  <w:noWrap/>
                  <w:vAlign w:val="bottom"/>
                  <w:hideMark/>
                </w:tcPr>
                <w:p w14:paraId="2FE691C9"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9</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341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w:t>
                  </w:r>
                </w:p>
              </w:tc>
              <w:tc>
                <w:tcPr>
                  <w:tcW w:w="1400" w:type="dxa"/>
                  <w:tcBorders>
                    <w:top w:val="nil"/>
                    <w:left w:val="nil"/>
                    <w:bottom w:val="nil"/>
                    <w:right w:val="nil"/>
                  </w:tcBorders>
                  <w:shd w:val="clear" w:color="auto" w:fill="auto"/>
                  <w:noWrap/>
                  <w:vAlign w:val="bottom"/>
                  <w:hideMark/>
                </w:tcPr>
                <w:p w14:paraId="3B73AB8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241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5</w:t>
                  </w:r>
                </w:p>
              </w:tc>
              <w:tc>
                <w:tcPr>
                  <w:tcW w:w="1840" w:type="dxa"/>
                  <w:tcBorders>
                    <w:top w:val="nil"/>
                    <w:left w:val="single" w:sz="4" w:space="0" w:color="auto"/>
                    <w:bottom w:val="nil"/>
                    <w:right w:val="single" w:sz="4" w:space="0" w:color="auto"/>
                  </w:tcBorders>
                  <w:shd w:val="clear" w:color="auto" w:fill="auto"/>
                  <w:noWrap/>
                  <w:vAlign w:val="bottom"/>
                  <w:hideMark/>
                </w:tcPr>
                <w:p w14:paraId="5F8930C3"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65%</w:t>
                  </w:r>
                </w:p>
              </w:tc>
            </w:tr>
            <w:tr w:rsidR="003A1103" w:rsidRPr="001A164B" w14:paraId="199C31B9"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57FF284E"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72BA2B5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2017</w:t>
                  </w:r>
                </w:p>
              </w:tc>
              <w:tc>
                <w:tcPr>
                  <w:tcW w:w="1360" w:type="dxa"/>
                  <w:tcBorders>
                    <w:top w:val="nil"/>
                    <w:left w:val="nil"/>
                    <w:bottom w:val="nil"/>
                    <w:right w:val="single" w:sz="4" w:space="0" w:color="auto"/>
                  </w:tcBorders>
                  <w:shd w:val="clear" w:color="auto" w:fill="auto"/>
                  <w:noWrap/>
                  <w:vAlign w:val="bottom"/>
                  <w:hideMark/>
                </w:tcPr>
                <w:p w14:paraId="6B1DEE90"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630</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5</w:t>
                  </w:r>
                </w:p>
              </w:tc>
              <w:tc>
                <w:tcPr>
                  <w:tcW w:w="1620" w:type="dxa"/>
                  <w:tcBorders>
                    <w:top w:val="nil"/>
                    <w:left w:val="nil"/>
                    <w:bottom w:val="nil"/>
                    <w:right w:val="single" w:sz="4" w:space="0" w:color="auto"/>
                  </w:tcBorders>
                  <w:shd w:val="clear" w:color="auto" w:fill="auto"/>
                  <w:noWrap/>
                  <w:vAlign w:val="bottom"/>
                  <w:hideMark/>
                </w:tcPr>
                <w:p w14:paraId="7656069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91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1</w:t>
                  </w:r>
                </w:p>
              </w:tc>
              <w:tc>
                <w:tcPr>
                  <w:tcW w:w="1860" w:type="dxa"/>
                  <w:tcBorders>
                    <w:top w:val="nil"/>
                    <w:left w:val="nil"/>
                    <w:bottom w:val="nil"/>
                    <w:right w:val="single" w:sz="4" w:space="0" w:color="auto"/>
                  </w:tcBorders>
                  <w:shd w:val="clear" w:color="auto" w:fill="auto"/>
                  <w:noWrap/>
                  <w:vAlign w:val="bottom"/>
                  <w:hideMark/>
                </w:tcPr>
                <w:p w14:paraId="5D48C26C"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92%</w:t>
                  </w:r>
                </w:p>
              </w:tc>
              <w:tc>
                <w:tcPr>
                  <w:tcW w:w="1300" w:type="dxa"/>
                  <w:tcBorders>
                    <w:top w:val="nil"/>
                    <w:left w:val="nil"/>
                    <w:bottom w:val="nil"/>
                    <w:right w:val="single" w:sz="4" w:space="0" w:color="auto"/>
                  </w:tcBorders>
                  <w:shd w:val="clear" w:color="auto" w:fill="auto"/>
                  <w:noWrap/>
                  <w:vAlign w:val="bottom"/>
                  <w:hideMark/>
                </w:tcPr>
                <w:p w14:paraId="4B57A025"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9</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898</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6</w:t>
                  </w:r>
                </w:p>
              </w:tc>
              <w:tc>
                <w:tcPr>
                  <w:tcW w:w="1400" w:type="dxa"/>
                  <w:tcBorders>
                    <w:top w:val="nil"/>
                    <w:left w:val="nil"/>
                    <w:bottom w:val="nil"/>
                    <w:right w:val="nil"/>
                  </w:tcBorders>
                  <w:shd w:val="clear" w:color="auto" w:fill="auto"/>
                  <w:noWrap/>
                  <w:vAlign w:val="bottom"/>
                  <w:hideMark/>
                </w:tcPr>
                <w:p w14:paraId="7BA78F64"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557</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5</w:t>
                  </w:r>
                </w:p>
              </w:tc>
              <w:tc>
                <w:tcPr>
                  <w:tcW w:w="1840" w:type="dxa"/>
                  <w:tcBorders>
                    <w:top w:val="nil"/>
                    <w:left w:val="single" w:sz="4" w:space="0" w:color="auto"/>
                    <w:bottom w:val="nil"/>
                    <w:right w:val="single" w:sz="4" w:space="0" w:color="auto"/>
                  </w:tcBorders>
                  <w:shd w:val="clear" w:color="auto" w:fill="auto"/>
                  <w:noWrap/>
                  <w:vAlign w:val="bottom"/>
                  <w:hideMark/>
                </w:tcPr>
                <w:p w14:paraId="6634FB5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97%</w:t>
                  </w:r>
                </w:p>
              </w:tc>
            </w:tr>
            <w:tr w:rsidR="003A1103" w:rsidRPr="001A164B" w14:paraId="6571BA3E"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182C4141"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74D0132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2018</w:t>
                  </w:r>
                </w:p>
              </w:tc>
              <w:tc>
                <w:tcPr>
                  <w:tcW w:w="1360" w:type="dxa"/>
                  <w:tcBorders>
                    <w:top w:val="nil"/>
                    <w:left w:val="nil"/>
                    <w:bottom w:val="nil"/>
                    <w:right w:val="single" w:sz="4" w:space="0" w:color="auto"/>
                  </w:tcBorders>
                  <w:shd w:val="clear" w:color="auto" w:fill="auto"/>
                  <w:noWrap/>
                  <w:vAlign w:val="bottom"/>
                  <w:hideMark/>
                </w:tcPr>
                <w:p w14:paraId="6D7CD13B"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707</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6</w:t>
                  </w:r>
                </w:p>
              </w:tc>
              <w:tc>
                <w:tcPr>
                  <w:tcW w:w="1620" w:type="dxa"/>
                  <w:tcBorders>
                    <w:top w:val="nil"/>
                    <w:left w:val="nil"/>
                    <w:bottom w:val="nil"/>
                    <w:right w:val="single" w:sz="4" w:space="0" w:color="auto"/>
                  </w:tcBorders>
                  <w:shd w:val="clear" w:color="auto" w:fill="auto"/>
                  <w:noWrap/>
                  <w:vAlign w:val="bottom"/>
                  <w:hideMark/>
                </w:tcPr>
                <w:p w14:paraId="6873B8A5"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77</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1</w:t>
                  </w:r>
                </w:p>
              </w:tc>
              <w:tc>
                <w:tcPr>
                  <w:tcW w:w="1860" w:type="dxa"/>
                  <w:tcBorders>
                    <w:top w:val="nil"/>
                    <w:left w:val="nil"/>
                    <w:bottom w:val="nil"/>
                    <w:right w:val="single" w:sz="4" w:space="0" w:color="auto"/>
                  </w:tcBorders>
                  <w:shd w:val="clear" w:color="auto" w:fill="auto"/>
                  <w:noWrap/>
                  <w:vAlign w:val="bottom"/>
                  <w:hideMark/>
                </w:tcPr>
                <w:p w14:paraId="3A7F87A8"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73%</w:t>
                  </w:r>
                </w:p>
              </w:tc>
              <w:tc>
                <w:tcPr>
                  <w:tcW w:w="1300" w:type="dxa"/>
                  <w:tcBorders>
                    <w:top w:val="nil"/>
                    <w:left w:val="nil"/>
                    <w:bottom w:val="nil"/>
                    <w:right w:val="single" w:sz="4" w:space="0" w:color="auto"/>
                  </w:tcBorders>
                  <w:shd w:val="clear" w:color="auto" w:fill="auto"/>
                  <w:noWrap/>
                  <w:vAlign w:val="bottom"/>
                  <w:hideMark/>
                </w:tcPr>
                <w:p w14:paraId="4983F938"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10</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370</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1</w:t>
                  </w:r>
                </w:p>
              </w:tc>
              <w:tc>
                <w:tcPr>
                  <w:tcW w:w="1400" w:type="dxa"/>
                  <w:tcBorders>
                    <w:top w:val="nil"/>
                    <w:left w:val="nil"/>
                    <w:bottom w:val="nil"/>
                    <w:right w:val="nil"/>
                  </w:tcBorders>
                  <w:shd w:val="clear" w:color="auto" w:fill="auto"/>
                  <w:noWrap/>
                  <w:vAlign w:val="bottom"/>
                  <w:hideMark/>
                </w:tcPr>
                <w:p w14:paraId="66FCB43B"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471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5</w:t>
                  </w:r>
                </w:p>
              </w:tc>
              <w:tc>
                <w:tcPr>
                  <w:tcW w:w="1840" w:type="dxa"/>
                  <w:tcBorders>
                    <w:top w:val="nil"/>
                    <w:left w:val="single" w:sz="4" w:space="0" w:color="auto"/>
                    <w:bottom w:val="nil"/>
                    <w:right w:val="single" w:sz="4" w:space="0" w:color="auto"/>
                  </w:tcBorders>
                  <w:shd w:val="clear" w:color="auto" w:fill="auto"/>
                  <w:noWrap/>
                  <w:vAlign w:val="bottom"/>
                  <w:hideMark/>
                </w:tcPr>
                <w:p w14:paraId="079B21F0"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76%</w:t>
                  </w:r>
                </w:p>
              </w:tc>
            </w:tr>
            <w:tr w:rsidR="003A1103" w:rsidRPr="001A164B" w14:paraId="453EDC3E"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5702D65B"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22E6483D"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2019</w:t>
                  </w:r>
                </w:p>
              </w:tc>
              <w:tc>
                <w:tcPr>
                  <w:tcW w:w="1360" w:type="dxa"/>
                  <w:tcBorders>
                    <w:top w:val="nil"/>
                    <w:left w:val="nil"/>
                    <w:bottom w:val="nil"/>
                    <w:right w:val="single" w:sz="4" w:space="0" w:color="auto"/>
                  </w:tcBorders>
                  <w:shd w:val="clear" w:color="auto" w:fill="auto"/>
                  <w:noWrap/>
                  <w:vAlign w:val="bottom"/>
                  <w:hideMark/>
                </w:tcPr>
                <w:p w14:paraId="776E0434"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787</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5</w:t>
                  </w:r>
                </w:p>
              </w:tc>
              <w:tc>
                <w:tcPr>
                  <w:tcW w:w="1620" w:type="dxa"/>
                  <w:tcBorders>
                    <w:top w:val="nil"/>
                    <w:left w:val="nil"/>
                    <w:bottom w:val="nil"/>
                    <w:right w:val="single" w:sz="4" w:space="0" w:color="auto"/>
                  </w:tcBorders>
                  <w:shd w:val="clear" w:color="auto" w:fill="auto"/>
                  <w:noWrap/>
                  <w:vAlign w:val="bottom"/>
                  <w:hideMark/>
                </w:tcPr>
                <w:p w14:paraId="52A439FF"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79</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w:t>
                  </w:r>
                </w:p>
              </w:tc>
              <w:tc>
                <w:tcPr>
                  <w:tcW w:w="1860" w:type="dxa"/>
                  <w:tcBorders>
                    <w:top w:val="nil"/>
                    <w:left w:val="nil"/>
                    <w:bottom w:val="nil"/>
                    <w:right w:val="single" w:sz="4" w:space="0" w:color="auto"/>
                  </w:tcBorders>
                  <w:shd w:val="clear" w:color="auto" w:fill="auto"/>
                  <w:noWrap/>
                  <w:vAlign w:val="bottom"/>
                  <w:hideMark/>
                </w:tcPr>
                <w:p w14:paraId="0151D644"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68%</w:t>
                  </w:r>
                </w:p>
              </w:tc>
              <w:tc>
                <w:tcPr>
                  <w:tcW w:w="1300" w:type="dxa"/>
                  <w:tcBorders>
                    <w:top w:val="nil"/>
                    <w:left w:val="nil"/>
                    <w:bottom w:val="nil"/>
                    <w:right w:val="single" w:sz="4" w:space="0" w:color="auto"/>
                  </w:tcBorders>
                  <w:shd w:val="clear" w:color="auto" w:fill="auto"/>
                  <w:noWrap/>
                  <w:vAlign w:val="bottom"/>
                  <w:hideMark/>
                </w:tcPr>
                <w:p w14:paraId="3B958E06"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10</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859</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0</w:t>
                  </w:r>
                </w:p>
              </w:tc>
              <w:tc>
                <w:tcPr>
                  <w:tcW w:w="1400" w:type="dxa"/>
                  <w:tcBorders>
                    <w:top w:val="nil"/>
                    <w:left w:val="nil"/>
                    <w:bottom w:val="nil"/>
                    <w:right w:val="nil"/>
                  </w:tcBorders>
                  <w:shd w:val="clear" w:color="auto" w:fill="auto"/>
                  <w:noWrap/>
                  <w:vAlign w:val="bottom"/>
                  <w:hideMark/>
                </w:tcPr>
                <w:p w14:paraId="7376532B"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488</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8</w:t>
                  </w:r>
                </w:p>
              </w:tc>
              <w:tc>
                <w:tcPr>
                  <w:tcW w:w="1840" w:type="dxa"/>
                  <w:tcBorders>
                    <w:top w:val="nil"/>
                    <w:left w:val="single" w:sz="4" w:space="0" w:color="auto"/>
                    <w:bottom w:val="nil"/>
                    <w:right w:val="single" w:sz="4" w:space="0" w:color="auto"/>
                  </w:tcBorders>
                  <w:shd w:val="clear" w:color="auto" w:fill="auto"/>
                  <w:noWrap/>
                  <w:vAlign w:val="bottom"/>
                  <w:hideMark/>
                </w:tcPr>
                <w:p w14:paraId="1D619FD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71%</w:t>
                  </w:r>
                </w:p>
              </w:tc>
            </w:tr>
            <w:tr w:rsidR="003A1103" w:rsidRPr="001A164B" w14:paraId="28B9BD6F"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17941323"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26AEECAC"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2020</w:t>
                  </w:r>
                </w:p>
              </w:tc>
              <w:tc>
                <w:tcPr>
                  <w:tcW w:w="1360" w:type="dxa"/>
                  <w:tcBorders>
                    <w:top w:val="nil"/>
                    <w:left w:val="nil"/>
                    <w:bottom w:val="nil"/>
                    <w:right w:val="single" w:sz="4" w:space="0" w:color="auto"/>
                  </w:tcBorders>
                  <w:shd w:val="clear" w:color="auto" w:fill="auto"/>
                  <w:noWrap/>
                  <w:vAlign w:val="bottom"/>
                  <w:hideMark/>
                </w:tcPr>
                <w:p w14:paraId="1FBA5CDA"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865</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0</w:t>
                  </w:r>
                </w:p>
              </w:tc>
              <w:tc>
                <w:tcPr>
                  <w:tcW w:w="1620" w:type="dxa"/>
                  <w:tcBorders>
                    <w:top w:val="nil"/>
                    <w:left w:val="nil"/>
                    <w:bottom w:val="nil"/>
                    <w:right w:val="single" w:sz="4" w:space="0" w:color="auto"/>
                  </w:tcBorders>
                  <w:shd w:val="clear" w:color="auto" w:fill="auto"/>
                  <w:noWrap/>
                  <w:vAlign w:val="bottom"/>
                  <w:hideMark/>
                </w:tcPr>
                <w:p w14:paraId="4B88CCEB"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77</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6</w:t>
                  </w:r>
                </w:p>
              </w:tc>
              <w:tc>
                <w:tcPr>
                  <w:tcW w:w="1860" w:type="dxa"/>
                  <w:tcBorders>
                    <w:top w:val="nil"/>
                    <w:left w:val="nil"/>
                    <w:bottom w:val="nil"/>
                    <w:right w:val="single" w:sz="4" w:space="0" w:color="auto"/>
                  </w:tcBorders>
                  <w:shd w:val="clear" w:color="auto" w:fill="auto"/>
                  <w:noWrap/>
                  <w:vAlign w:val="bottom"/>
                  <w:hideMark/>
                </w:tcPr>
                <w:p w14:paraId="5A2A364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34%</w:t>
                  </w:r>
                </w:p>
              </w:tc>
              <w:tc>
                <w:tcPr>
                  <w:tcW w:w="1300" w:type="dxa"/>
                  <w:tcBorders>
                    <w:top w:val="nil"/>
                    <w:left w:val="nil"/>
                    <w:bottom w:val="nil"/>
                    <w:right w:val="single" w:sz="4" w:space="0" w:color="auto"/>
                  </w:tcBorders>
                  <w:shd w:val="clear" w:color="auto" w:fill="auto"/>
                  <w:noWrap/>
                  <w:vAlign w:val="bottom"/>
                  <w:hideMark/>
                </w:tcPr>
                <w:p w14:paraId="207112A5"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333</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9</w:t>
                  </w:r>
                </w:p>
              </w:tc>
              <w:tc>
                <w:tcPr>
                  <w:tcW w:w="1400" w:type="dxa"/>
                  <w:tcBorders>
                    <w:top w:val="nil"/>
                    <w:left w:val="nil"/>
                    <w:bottom w:val="nil"/>
                    <w:right w:val="nil"/>
                  </w:tcBorders>
                  <w:shd w:val="clear" w:color="auto" w:fill="auto"/>
                  <w:noWrap/>
                  <w:vAlign w:val="bottom"/>
                  <w:hideMark/>
                </w:tcPr>
                <w:p w14:paraId="2CE4F70B"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474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w:t>
                  </w:r>
                </w:p>
              </w:tc>
              <w:tc>
                <w:tcPr>
                  <w:tcW w:w="1840" w:type="dxa"/>
                  <w:tcBorders>
                    <w:top w:val="nil"/>
                    <w:left w:val="single" w:sz="4" w:space="0" w:color="auto"/>
                    <w:bottom w:val="nil"/>
                    <w:right w:val="single" w:sz="4" w:space="0" w:color="auto"/>
                  </w:tcBorders>
                  <w:shd w:val="clear" w:color="auto" w:fill="auto"/>
                  <w:noWrap/>
                  <w:vAlign w:val="bottom"/>
                  <w:hideMark/>
                </w:tcPr>
                <w:p w14:paraId="66E63630"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37%</w:t>
                  </w:r>
                </w:p>
              </w:tc>
            </w:tr>
            <w:tr w:rsidR="003A1103" w:rsidRPr="001A164B" w14:paraId="3C4E54E8"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78A517AC"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708A2535"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2021</w:t>
                  </w:r>
                </w:p>
              </w:tc>
              <w:tc>
                <w:tcPr>
                  <w:tcW w:w="1360" w:type="dxa"/>
                  <w:tcBorders>
                    <w:top w:val="nil"/>
                    <w:left w:val="nil"/>
                    <w:bottom w:val="nil"/>
                    <w:right w:val="single" w:sz="4" w:space="0" w:color="auto"/>
                  </w:tcBorders>
                  <w:shd w:val="clear" w:color="auto" w:fill="auto"/>
                  <w:noWrap/>
                  <w:vAlign w:val="bottom"/>
                  <w:hideMark/>
                </w:tcPr>
                <w:p w14:paraId="7EC248AD"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946</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w:t>
                  </w:r>
                </w:p>
              </w:tc>
              <w:tc>
                <w:tcPr>
                  <w:tcW w:w="1620" w:type="dxa"/>
                  <w:tcBorders>
                    <w:top w:val="nil"/>
                    <w:left w:val="nil"/>
                    <w:bottom w:val="nil"/>
                    <w:right w:val="single" w:sz="4" w:space="0" w:color="auto"/>
                  </w:tcBorders>
                  <w:shd w:val="clear" w:color="auto" w:fill="auto"/>
                  <w:noWrap/>
                  <w:vAlign w:val="bottom"/>
                  <w:hideMark/>
                </w:tcPr>
                <w:p w14:paraId="7E6B20BC"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81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1</w:t>
                  </w:r>
                </w:p>
              </w:tc>
              <w:tc>
                <w:tcPr>
                  <w:tcW w:w="1860" w:type="dxa"/>
                  <w:tcBorders>
                    <w:top w:val="nil"/>
                    <w:left w:val="nil"/>
                    <w:bottom w:val="nil"/>
                    <w:right w:val="single" w:sz="4" w:space="0" w:color="auto"/>
                  </w:tcBorders>
                  <w:shd w:val="clear" w:color="auto" w:fill="auto"/>
                  <w:noWrap/>
                  <w:vAlign w:val="bottom"/>
                  <w:hideMark/>
                </w:tcPr>
                <w:p w14:paraId="6ED3D14B"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35%</w:t>
                  </w:r>
                </w:p>
              </w:tc>
              <w:tc>
                <w:tcPr>
                  <w:tcW w:w="1300" w:type="dxa"/>
                  <w:tcBorders>
                    <w:top w:val="nil"/>
                    <w:left w:val="nil"/>
                    <w:bottom w:val="nil"/>
                    <w:right w:val="single" w:sz="4" w:space="0" w:color="auto"/>
                  </w:tcBorders>
                  <w:shd w:val="clear" w:color="auto" w:fill="auto"/>
                  <w:noWrap/>
                  <w:vAlign w:val="bottom"/>
                  <w:hideMark/>
                </w:tcPr>
                <w:p w14:paraId="4F1113F8"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830</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8</w:t>
                  </w:r>
                </w:p>
              </w:tc>
              <w:tc>
                <w:tcPr>
                  <w:tcW w:w="1400" w:type="dxa"/>
                  <w:tcBorders>
                    <w:top w:val="nil"/>
                    <w:left w:val="nil"/>
                    <w:bottom w:val="nil"/>
                    <w:right w:val="nil"/>
                  </w:tcBorders>
                  <w:shd w:val="clear" w:color="auto" w:fill="auto"/>
                  <w:noWrap/>
                  <w:vAlign w:val="bottom"/>
                  <w:hideMark/>
                </w:tcPr>
                <w:p w14:paraId="5D37F652"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496</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w:t>
                  </w:r>
                </w:p>
              </w:tc>
              <w:tc>
                <w:tcPr>
                  <w:tcW w:w="1840" w:type="dxa"/>
                  <w:tcBorders>
                    <w:top w:val="nil"/>
                    <w:left w:val="single" w:sz="4" w:space="0" w:color="auto"/>
                    <w:bottom w:val="nil"/>
                    <w:right w:val="single" w:sz="4" w:space="0" w:color="auto"/>
                  </w:tcBorders>
                  <w:shd w:val="clear" w:color="auto" w:fill="auto"/>
                  <w:noWrap/>
                  <w:vAlign w:val="bottom"/>
                  <w:hideMark/>
                </w:tcPr>
                <w:p w14:paraId="46F190D7"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38%</w:t>
                  </w:r>
                </w:p>
              </w:tc>
            </w:tr>
            <w:tr w:rsidR="003A1103" w:rsidRPr="001A164B" w14:paraId="580CDD1E"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241C2917"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676124E7"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2022</w:t>
                  </w:r>
                </w:p>
              </w:tc>
              <w:tc>
                <w:tcPr>
                  <w:tcW w:w="1360" w:type="dxa"/>
                  <w:tcBorders>
                    <w:top w:val="nil"/>
                    <w:left w:val="nil"/>
                    <w:bottom w:val="nil"/>
                    <w:right w:val="single" w:sz="4" w:space="0" w:color="auto"/>
                  </w:tcBorders>
                  <w:shd w:val="clear" w:color="auto" w:fill="auto"/>
                  <w:noWrap/>
                  <w:vAlign w:val="bottom"/>
                  <w:hideMark/>
                </w:tcPr>
                <w:p w14:paraId="14D1B20C"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033</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w:t>
                  </w:r>
                </w:p>
              </w:tc>
              <w:tc>
                <w:tcPr>
                  <w:tcW w:w="1620" w:type="dxa"/>
                  <w:tcBorders>
                    <w:top w:val="nil"/>
                    <w:left w:val="nil"/>
                    <w:bottom w:val="nil"/>
                    <w:right w:val="single" w:sz="4" w:space="0" w:color="auto"/>
                  </w:tcBorders>
                  <w:shd w:val="clear" w:color="auto" w:fill="auto"/>
                  <w:noWrap/>
                  <w:vAlign w:val="bottom"/>
                  <w:hideMark/>
                </w:tcPr>
                <w:p w14:paraId="4BA84110"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87</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0</w:t>
                  </w:r>
                </w:p>
              </w:tc>
              <w:tc>
                <w:tcPr>
                  <w:tcW w:w="1860" w:type="dxa"/>
                  <w:tcBorders>
                    <w:top w:val="nil"/>
                    <w:left w:val="nil"/>
                    <w:bottom w:val="nil"/>
                    <w:right w:val="single" w:sz="4" w:space="0" w:color="auto"/>
                  </w:tcBorders>
                  <w:shd w:val="clear" w:color="auto" w:fill="auto"/>
                  <w:noWrap/>
                  <w:vAlign w:val="bottom"/>
                  <w:hideMark/>
                </w:tcPr>
                <w:p w14:paraId="10D4E054"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47%</w:t>
                  </w:r>
                </w:p>
              </w:tc>
              <w:tc>
                <w:tcPr>
                  <w:tcW w:w="1300" w:type="dxa"/>
                  <w:tcBorders>
                    <w:top w:val="nil"/>
                    <w:left w:val="nil"/>
                    <w:bottom w:val="nil"/>
                    <w:right w:val="single" w:sz="4" w:space="0" w:color="auto"/>
                  </w:tcBorders>
                  <w:shd w:val="clear" w:color="auto" w:fill="auto"/>
                  <w:noWrap/>
                  <w:vAlign w:val="bottom"/>
                  <w:hideMark/>
                </w:tcPr>
                <w:p w14:paraId="51AE9E01"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364</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1</w:t>
                  </w:r>
                </w:p>
              </w:tc>
              <w:tc>
                <w:tcPr>
                  <w:tcW w:w="1400" w:type="dxa"/>
                  <w:tcBorders>
                    <w:top w:val="nil"/>
                    <w:left w:val="nil"/>
                    <w:bottom w:val="nil"/>
                    <w:right w:val="nil"/>
                  </w:tcBorders>
                  <w:shd w:val="clear" w:color="auto" w:fill="auto"/>
                  <w:noWrap/>
                  <w:vAlign w:val="bottom"/>
                  <w:hideMark/>
                </w:tcPr>
                <w:p w14:paraId="32F05BA3"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533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w:t>
                  </w:r>
                </w:p>
              </w:tc>
              <w:tc>
                <w:tcPr>
                  <w:tcW w:w="1840" w:type="dxa"/>
                  <w:tcBorders>
                    <w:top w:val="nil"/>
                    <w:left w:val="single" w:sz="4" w:space="0" w:color="auto"/>
                    <w:bottom w:val="nil"/>
                    <w:right w:val="single" w:sz="4" w:space="0" w:color="auto"/>
                  </w:tcBorders>
                  <w:shd w:val="clear" w:color="auto" w:fill="auto"/>
                  <w:noWrap/>
                  <w:vAlign w:val="bottom"/>
                  <w:hideMark/>
                </w:tcPr>
                <w:p w14:paraId="49F85CCC"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51%</w:t>
                  </w:r>
                </w:p>
              </w:tc>
            </w:tr>
            <w:tr w:rsidR="003A1103" w:rsidRPr="001A164B" w14:paraId="358BDD96"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008BAE08"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09A00C20"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2023</w:t>
                  </w:r>
                </w:p>
              </w:tc>
              <w:tc>
                <w:tcPr>
                  <w:tcW w:w="1360" w:type="dxa"/>
                  <w:tcBorders>
                    <w:top w:val="nil"/>
                    <w:left w:val="nil"/>
                    <w:bottom w:val="nil"/>
                    <w:right w:val="single" w:sz="4" w:space="0" w:color="auto"/>
                  </w:tcBorders>
                  <w:shd w:val="clear" w:color="auto" w:fill="auto"/>
                  <w:noWrap/>
                  <w:vAlign w:val="bottom"/>
                  <w:hideMark/>
                </w:tcPr>
                <w:p w14:paraId="5BFDE956"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122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6</w:t>
                  </w:r>
                </w:p>
              </w:tc>
              <w:tc>
                <w:tcPr>
                  <w:tcW w:w="1620" w:type="dxa"/>
                  <w:tcBorders>
                    <w:top w:val="nil"/>
                    <w:left w:val="nil"/>
                    <w:bottom w:val="nil"/>
                    <w:right w:val="single" w:sz="4" w:space="0" w:color="auto"/>
                  </w:tcBorders>
                  <w:shd w:val="clear" w:color="auto" w:fill="auto"/>
                  <w:noWrap/>
                  <w:vAlign w:val="bottom"/>
                  <w:hideMark/>
                </w:tcPr>
                <w:p w14:paraId="36ED790C"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89</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w:t>
                  </w:r>
                </w:p>
              </w:tc>
              <w:tc>
                <w:tcPr>
                  <w:tcW w:w="1860" w:type="dxa"/>
                  <w:tcBorders>
                    <w:top w:val="nil"/>
                    <w:left w:val="nil"/>
                    <w:bottom w:val="nil"/>
                    <w:right w:val="single" w:sz="4" w:space="0" w:color="auto"/>
                  </w:tcBorders>
                  <w:shd w:val="clear" w:color="auto" w:fill="auto"/>
                  <w:noWrap/>
                  <w:vAlign w:val="bottom"/>
                  <w:hideMark/>
                </w:tcPr>
                <w:p w14:paraId="4F4999A0"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40%</w:t>
                  </w:r>
                </w:p>
              </w:tc>
              <w:tc>
                <w:tcPr>
                  <w:tcW w:w="1300" w:type="dxa"/>
                  <w:tcBorders>
                    <w:top w:val="nil"/>
                    <w:left w:val="nil"/>
                    <w:bottom w:val="nil"/>
                    <w:right w:val="single" w:sz="4" w:space="0" w:color="auto"/>
                  </w:tcBorders>
                  <w:shd w:val="clear" w:color="auto" w:fill="auto"/>
                  <w:noWrap/>
                  <w:vAlign w:val="bottom"/>
                  <w:hideMark/>
                </w:tcPr>
                <w:p w14:paraId="559767EA"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912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4</w:t>
                  </w:r>
                </w:p>
              </w:tc>
              <w:tc>
                <w:tcPr>
                  <w:tcW w:w="1400" w:type="dxa"/>
                  <w:tcBorders>
                    <w:top w:val="nil"/>
                    <w:left w:val="nil"/>
                    <w:bottom w:val="nil"/>
                    <w:right w:val="nil"/>
                  </w:tcBorders>
                  <w:shd w:val="clear" w:color="auto" w:fill="auto"/>
                  <w:noWrap/>
                  <w:vAlign w:val="bottom"/>
                  <w:hideMark/>
                </w:tcPr>
                <w:p w14:paraId="2C7A5F37"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548</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w:t>
                  </w:r>
                </w:p>
              </w:tc>
              <w:tc>
                <w:tcPr>
                  <w:tcW w:w="1840" w:type="dxa"/>
                  <w:tcBorders>
                    <w:top w:val="nil"/>
                    <w:left w:val="single" w:sz="4" w:space="0" w:color="auto"/>
                    <w:bottom w:val="nil"/>
                    <w:right w:val="single" w:sz="4" w:space="0" w:color="auto"/>
                  </w:tcBorders>
                  <w:shd w:val="clear" w:color="auto" w:fill="auto"/>
                  <w:noWrap/>
                  <w:vAlign w:val="bottom"/>
                  <w:hideMark/>
                </w:tcPr>
                <w:p w14:paraId="6DA3875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43%</w:t>
                  </w:r>
                </w:p>
              </w:tc>
            </w:tr>
            <w:tr w:rsidR="003A1103" w:rsidRPr="001A164B" w14:paraId="0BF686F9"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51C09A55"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64ED9CB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2024</w:t>
                  </w:r>
                </w:p>
              </w:tc>
              <w:tc>
                <w:tcPr>
                  <w:tcW w:w="1360" w:type="dxa"/>
                  <w:tcBorders>
                    <w:top w:val="nil"/>
                    <w:left w:val="nil"/>
                    <w:bottom w:val="nil"/>
                    <w:right w:val="single" w:sz="4" w:space="0" w:color="auto"/>
                  </w:tcBorders>
                  <w:shd w:val="clear" w:color="auto" w:fill="auto"/>
                  <w:noWrap/>
                  <w:vAlign w:val="bottom"/>
                  <w:hideMark/>
                </w:tcPr>
                <w:p w14:paraId="0AA249FD"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214</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5</w:t>
                  </w:r>
                </w:p>
              </w:tc>
              <w:tc>
                <w:tcPr>
                  <w:tcW w:w="1620" w:type="dxa"/>
                  <w:tcBorders>
                    <w:top w:val="nil"/>
                    <w:left w:val="nil"/>
                    <w:bottom w:val="nil"/>
                    <w:right w:val="single" w:sz="4" w:space="0" w:color="auto"/>
                  </w:tcBorders>
                  <w:shd w:val="clear" w:color="auto" w:fill="auto"/>
                  <w:noWrap/>
                  <w:vAlign w:val="bottom"/>
                  <w:hideMark/>
                </w:tcPr>
                <w:p w14:paraId="0EFD2E27"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91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w:t>
                  </w:r>
                </w:p>
              </w:tc>
              <w:tc>
                <w:tcPr>
                  <w:tcW w:w="1860" w:type="dxa"/>
                  <w:tcBorders>
                    <w:top w:val="nil"/>
                    <w:left w:val="nil"/>
                    <w:bottom w:val="nil"/>
                    <w:right w:val="single" w:sz="4" w:space="0" w:color="auto"/>
                  </w:tcBorders>
                  <w:shd w:val="clear" w:color="auto" w:fill="auto"/>
                  <w:noWrap/>
                  <w:vAlign w:val="bottom"/>
                  <w:hideMark/>
                </w:tcPr>
                <w:p w14:paraId="21E04D5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33%</w:t>
                  </w:r>
                </w:p>
              </w:tc>
              <w:tc>
                <w:tcPr>
                  <w:tcW w:w="1300" w:type="dxa"/>
                  <w:tcBorders>
                    <w:top w:val="nil"/>
                    <w:left w:val="nil"/>
                    <w:bottom w:val="nil"/>
                    <w:right w:val="single" w:sz="4" w:space="0" w:color="auto"/>
                  </w:tcBorders>
                  <w:shd w:val="clear" w:color="auto" w:fill="auto"/>
                  <w:noWrap/>
                  <w:vAlign w:val="bottom"/>
                  <w:hideMark/>
                </w:tcPr>
                <w:p w14:paraId="35039470"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13</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476</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0</w:t>
                  </w:r>
                </w:p>
              </w:tc>
              <w:tc>
                <w:tcPr>
                  <w:tcW w:w="1400" w:type="dxa"/>
                  <w:tcBorders>
                    <w:top w:val="nil"/>
                    <w:left w:val="nil"/>
                    <w:bottom w:val="nil"/>
                    <w:right w:val="nil"/>
                  </w:tcBorders>
                  <w:shd w:val="clear" w:color="auto" w:fill="auto"/>
                  <w:noWrap/>
                  <w:vAlign w:val="bottom"/>
                  <w:hideMark/>
                </w:tcPr>
                <w:p w14:paraId="65626F5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563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w:t>
                  </w:r>
                </w:p>
              </w:tc>
              <w:tc>
                <w:tcPr>
                  <w:tcW w:w="1840" w:type="dxa"/>
                  <w:tcBorders>
                    <w:top w:val="nil"/>
                    <w:left w:val="single" w:sz="4" w:space="0" w:color="auto"/>
                    <w:bottom w:val="nil"/>
                    <w:right w:val="single" w:sz="4" w:space="0" w:color="auto"/>
                  </w:tcBorders>
                  <w:shd w:val="clear" w:color="auto" w:fill="auto"/>
                  <w:noWrap/>
                  <w:vAlign w:val="bottom"/>
                  <w:hideMark/>
                </w:tcPr>
                <w:p w14:paraId="0C574B75"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37%</w:t>
                  </w:r>
                </w:p>
              </w:tc>
            </w:tr>
            <w:tr w:rsidR="003A1103" w:rsidRPr="001A164B" w14:paraId="2FE63560"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0BA4AC2B"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476D9974"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2025</w:t>
                  </w:r>
                </w:p>
              </w:tc>
              <w:tc>
                <w:tcPr>
                  <w:tcW w:w="1360" w:type="dxa"/>
                  <w:tcBorders>
                    <w:top w:val="nil"/>
                    <w:left w:val="nil"/>
                    <w:bottom w:val="nil"/>
                    <w:right w:val="single" w:sz="4" w:space="0" w:color="auto"/>
                  </w:tcBorders>
                  <w:shd w:val="clear" w:color="auto" w:fill="auto"/>
                  <w:noWrap/>
                  <w:vAlign w:val="bottom"/>
                  <w:hideMark/>
                </w:tcPr>
                <w:p w14:paraId="52A4DAF2"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313</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w:t>
                  </w:r>
                </w:p>
              </w:tc>
              <w:tc>
                <w:tcPr>
                  <w:tcW w:w="1620" w:type="dxa"/>
                  <w:tcBorders>
                    <w:top w:val="nil"/>
                    <w:left w:val="nil"/>
                    <w:bottom w:val="nil"/>
                    <w:right w:val="single" w:sz="4" w:space="0" w:color="auto"/>
                  </w:tcBorders>
                  <w:shd w:val="clear" w:color="auto" w:fill="auto"/>
                  <w:noWrap/>
                  <w:vAlign w:val="bottom"/>
                  <w:hideMark/>
                </w:tcPr>
                <w:p w14:paraId="19704DA8"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98</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w:t>
                  </w:r>
                </w:p>
              </w:tc>
              <w:tc>
                <w:tcPr>
                  <w:tcW w:w="1860" w:type="dxa"/>
                  <w:tcBorders>
                    <w:top w:val="nil"/>
                    <w:left w:val="nil"/>
                    <w:bottom w:val="nil"/>
                    <w:right w:val="single" w:sz="4" w:space="0" w:color="auto"/>
                  </w:tcBorders>
                  <w:shd w:val="clear" w:color="auto" w:fill="auto"/>
                  <w:noWrap/>
                  <w:vAlign w:val="bottom"/>
                  <w:hideMark/>
                </w:tcPr>
                <w:p w14:paraId="045FF46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46%</w:t>
                  </w:r>
                </w:p>
              </w:tc>
              <w:tc>
                <w:tcPr>
                  <w:tcW w:w="1300" w:type="dxa"/>
                  <w:tcBorders>
                    <w:top w:val="nil"/>
                    <w:left w:val="nil"/>
                    <w:bottom w:val="nil"/>
                    <w:right w:val="single" w:sz="4" w:space="0" w:color="auto"/>
                  </w:tcBorders>
                  <w:shd w:val="clear" w:color="auto" w:fill="auto"/>
                  <w:noWrap/>
                  <w:vAlign w:val="bottom"/>
                  <w:hideMark/>
                </w:tcPr>
                <w:p w14:paraId="70301378"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14</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081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9</w:t>
                  </w:r>
                </w:p>
              </w:tc>
              <w:tc>
                <w:tcPr>
                  <w:tcW w:w="1400" w:type="dxa"/>
                  <w:tcBorders>
                    <w:top w:val="nil"/>
                    <w:left w:val="nil"/>
                    <w:bottom w:val="nil"/>
                    <w:right w:val="nil"/>
                  </w:tcBorders>
                  <w:shd w:val="clear" w:color="auto" w:fill="auto"/>
                  <w:noWrap/>
                  <w:vAlign w:val="bottom"/>
                  <w:hideMark/>
                </w:tcPr>
                <w:p w14:paraId="7F67CCB0"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605</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w:t>
                  </w:r>
                </w:p>
              </w:tc>
              <w:tc>
                <w:tcPr>
                  <w:tcW w:w="1840" w:type="dxa"/>
                  <w:tcBorders>
                    <w:top w:val="nil"/>
                    <w:left w:val="single" w:sz="4" w:space="0" w:color="auto"/>
                    <w:bottom w:val="nil"/>
                    <w:right w:val="single" w:sz="4" w:space="0" w:color="auto"/>
                  </w:tcBorders>
                  <w:shd w:val="clear" w:color="auto" w:fill="auto"/>
                  <w:noWrap/>
                  <w:vAlign w:val="bottom"/>
                  <w:hideMark/>
                </w:tcPr>
                <w:p w14:paraId="4C2483EF"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50%</w:t>
                  </w:r>
                </w:p>
              </w:tc>
            </w:tr>
            <w:tr w:rsidR="003A1103" w:rsidRPr="001A164B" w14:paraId="3B8856B8"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2D9A7DA4"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1AD2C74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2026</w:t>
                  </w:r>
                </w:p>
              </w:tc>
              <w:tc>
                <w:tcPr>
                  <w:tcW w:w="1360" w:type="dxa"/>
                  <w:tcBorders>
                    <w:top w:val="nil"/>
                    <w:left w:val="nil"/>
                    <w:bottom w:val="nil"/>
                    <w:right w:val="single" w:sz="4" w:space="0" w:color="auto"/>
                  </w:tcBorders>
                  <w:shd w:val="clear" w:color="auto" w:fill="auto"/>
                  <w:noWrap/>
                  <w:vAlign w:val="bottom"/>
                  <w:hideMark/>
                </w:tcPr>
                <w:p w14:paraId="2333F2AB"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406</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0</w:t>
                  </w:r>
                </w:p>
              </w:tc>
              <w:tc>
                <w:tcPr>
                  <w:tcW w:w="1620" w:type="dxa"/>
                  <w:tcBorders>
                    <w:top w:val="nil"/>
                    <w:left w:val="nil"/>
                    <w:bottom w:val="nil"/>
                    <w:right w:val="single" w:sz="4" w:space="0" w:color="auto"/>
                  </w:tcBorders>
                  <w:shd w:val="clear" w:color="auto" w:fill="auto"/>
                  <w:noWrap/>
                  <w:vAlign w:val="bottom"/>
                  <w:hideMark/>
                </w:tcPr>
                <w:p w14:paraId="1AF157F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92</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w:t>
                  </w:r>
                </w:p>
              </w:tc>
              <w:tc>
                <w:tcPr>
                  <w:tcW w:w="1860" w:type="dxa"/>
                  <w:tcBorders>
                    <w:top w:val="nil"/>
                    <w:left w:val="nil"/>
                    <w:bottom w:val="nil"/>
                    <w:right w:val="single" w:sz="4" w:space="0" w:color="auto"/>
                  </w:tcBorders>
                  <w:shd w:val="clear" w:color="auto" w:fill="auto"/>
                  <w:noWrap/>
                  <w:vAlign w:val="bottom"/>
                  <w:hideMark/>
                </w:tcPr>
                <w:p w14:paraId="37C8BABB"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01%</w:t>
                  </w:r>
                </w:p>
              </w:tc>
              <w:tc>
                <w:tcPr>
                  <w:tcW w:w="1300" w:type="dxa"/>
                  <w:tcBorders>
                    <w:top w:val="nil"/>
                    <w:left w:val="nil"/>
                    <w:bottom w:val="nil"/>
                    <w:right w:val="single" w:sz="4" w:space="0" w:color="auto"/>
                  </w:tcBorders>
                  <w:shd w:val="clear" w:color="auto" w:fill="auto"/>
                  <w:noWrap/>
                  <w:vAlign w:val="bottom"/>
                  <w:hideMark/>
                </w:tcPr>
                <w:p w14:paraId="2AB07885"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14</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651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w:t>
                  </w:r>
                </w:p>
              </w:tc>
              <w:tc>
                <w:tcPr>
                  <w:tcW w:w="1400" w:type="dxa"/>
                  <w:tcBorders>
                    <w:top w:val="nil"/>
                    <w:left w:val="nil"/>
                    <w:bottom w:val="nil"/>
                    <w:right w:val="nil"/>
                  </w:tcBorders>
                  <w:shd w:val="clear" w:color="auto" w:fill="auto"/>
                  <w:noWrap/>
                  <w:vAlign w:val="bottom"/>
                  <w:hideMark/>
                </w:tcPr>
                <w:p w14:paraId="4F0C3EF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569</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w:t>
                  </w:r>
                </w:p>
              </w:tc>
              <w:tc>
                <w:tcPr>
                  <w:tcW w:w="1840" w:type="dxa"/>
                  <w:tcBorders>
                    <w:top w:val="nil"/>
                    <w:left w:val="single" w:sz="4" w:space="0" w:color="auto"/>
                    <w:bottom w:val="nil"/>
                    <w:right w:val="single" w:sz="4" w:space="0" w:color="auto"/>
                  </w:tcBorders>
                  <w:shd w:val="clear" w:color="auto" w:fill="auto"/>
                  <w:noWrap/>
                  <w:vAlign w:val="bottom"/>
                  <w:hideMark/>
                </w:tcPr>
                <w:p w14:paraId="23D8497F"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04%</w:t>
                  </w:r>
                </w:p>
              </w:tc>
            </w:tr>
            <w:tr w:rsidR="003A1103" w:rsidRPr="001A164B" w14:paraId="29CAB995"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7873928E"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04CA36E5"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2027</w:t>
                  </w:r>
                </w:p>
              </w:tc>
              <w:tc>
                <w:tcPr>
                  <w:tcW w:w="1360" w:type="dxa"/>
                  <w:tcBorders>
                    <w:top w:val="nil"/>
                    <w:left w:val="nil"/>
                    <w:bottom w:val="nil"/>
                    <w:right w:val="single" w:sz="4" w:space="0" w:color="auto"/>
                  </w:tcBorders>
                  <w:shd w:val="clear" w:color="auto" w:fill="auto"/>
                  <w:noWrap/>
                  <w:vAlign w:val="bottom"/>
                  <w:hideMark/>
                </w:tcPr>
                <w:p w14:paraId="5CA8927B"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507</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4</w:t>
                  </w:r>
                </w:p>
              </w:tc>
              <w:tc>
                <w:tcPr>
                  <w:tcW w:w="1620" w:type="dxa"/>
                  <w:tcBorders>
                    <w:top w:val="nil"/>
                    <w:left w:val="nil"/>
                    <w:bottom w:val="nil"/>
                    <w:right w:val="single" w:sz="4" w:space="0" w:color="auto"/>
                  </w:tcBorders>
                  <w:shd w:val="clear" w:color="auto" w:fill="auto"/>
                  <w:noWrap/>
                  <w:vAlign w:val="bottom"/>
                  <w:hideMark/>
                </w:tcPr>
                <w:p w14:paraId="4A0867BA"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101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w:t>
                  </w:r>
                </w:p>
              </w:tc>
              <w:tc>
                <w:tcPr>
                  <w:tcW w:w="1860" w:type="dxa"/>
                  <w:tcBorders>
                    <w:top w:val="nil"/>
                    <w:left w:val="nil"/>
                    <w:bottom w:val="nil"/>
                    <w:right w:val="single" w:sz="4" w:space="0" w:color="auto"/>
                  </w:tcBorders>
                  <w:shd w:val="clear" w:color="auto" w:fill="auto"/>
                  <w:noWrap/>
                  <w:vAlign w:val="bottom"/>
                  <w:hideMark/>
                </w:tcPr>
                <w:p w14:paraId="3F802BC1"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21%</w:t>
                  </w:r>
                </w:p>
              </w:tc>
              <w:tc>
                <w:tcPr>
                  <w:tcW w:w="1300" w:type="dxa"/>
                  <w:tcBorders>
                    <w:top w:val="nil"/>
                    <w:left w:val="nil"/>
                    <w:bottom w:val="nil"/>
                    <w:right w:val="single" w:sz="4" w:space="0" w:color="auto"/>
                  </w:tcBorders>
                  <w:shd w:val="clear" w:color="auto" w:fill="auto"/>
                  <w:noWrap/>
                  <w:vAlign w:val="bottom"/>
                  <w:hideMark/>
                </w:tcPr>
                <w:p w14:paraId="331B5525"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15</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274</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1</w:t>
                  </w:r>
                </w:p>
              </w:tc>
              <w:tc>
                <w:tcPr>
                  <w:tcW w:w="1400" w:type="dxa"/>
                  <w:tcBorders>
                    <w:top w:val="nil"/>
                    <w:left w:val="nil"/>
                    <w:bottom w:val="nil"/>
                    <w:right w:val="nil"/>
                  </w:tcBorders>
                  <w:shd w:val="clear" w:color="auto" w:fill="auto"/>
                  <w:noWrap/>
                  <w:vAlign w:val="bottom"/>
                  <w:hideMark/>
                </w:tcPr>
                <w:p w14:paraId="3A9E319A"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622</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w:t>
                  </w:r>
                </w:p>
              </w:tc>
              <w:tc>
                <w:tcPr>
                  <w:tcW w:w="1840" w:type="dxa"/>
                  <w:tcBorders>
                    <w:top w:val="nil"/>
                    <w:left w:val="single" w:sz="4" w:space="0" w:color="auto"/>
                    <w:bottom w:val="nil"/>
                    <w:right w:val="single" w:sz="4" w:space="0" w:color="auto"/>
                  </w:tcBorders>
                  <w:shd w:val="clear" w:color="auto" w:fill="auto"/>
                  <w:noWrap/>
                  <w:vAlign w:val="bottom"/>
                  <w:hideMark/>
                </w:tcPr>
                <w:p w14:paraId="61E1AD85"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25%</w:t>
                  </w:r>
                </w:p>
              </w:tc>
            </w:tr>
            <w:tr w:rsidR="003A1103" w:rsidRPr="001A164B" w14:paraId="425D2831"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613E630B"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316A75A3"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2028</w:t>
                  </w:r>
                </w:p>
              </w:tc>
              <w:tc>
                <w:tcPr>
                  <w:tcW w:w="1360" w:type="dxa"/>
                  <w:tcBorders>
                    <w:top w:val="nil"/>
                    <w:left w:val="nil"/>
                    <w:bottom w:val="nil"/>
                    <w:right w:val="single" w:sz="4" w:space="0" w:color="auto"/>
                  </w:tcBorders>
                  <w:shd w:val="clear" w:color="auto" w:fill="auto"/>
                  <w:noWrap/>
                  <w:vAlign w:val="bottom"/>
                  <w:hideMark/>
                </w:tcPr>
                <w:p w14:paraId="5C2FC37B"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611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w:t>
                  </w:r>
                </w:p>
              </w:tc>
              <w:tc>
                <w:tcPr>
                  <w:tcW w:w="1620" w:type="dxa"/>
                  <w:tcBorders>
                    <w:top w:val="nil"/>
                    <w:left w:val="nil"/>
                    <w:bottom w:val="nil"/>
                    <w:right w:val="single" w:sz="4" w:space="0" w:color="auto"/>
                  </w:tcBorders>
                  <w:shd w:val="clear" w:color="auto" w:fill="auto"/>
                  <w:noWrap/>
                  <w:vAlign w:val="bottom"/>
                  <w:hideMark/>
                </w:tcPr>
                <w:p w14:paraId="2F6B3AA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104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3</w:t>
                  </w:r>
                </w:p>
              </w:tc>
              <w:tc>
                <w:tcPr>
                  <w:tcW w:w="1860" w:type="dxa"/>
                  <w:tcBorders>
                    <w:top w:val="nil"/>
                    <w:left w:val="nil"/>
                    <w:bottom w:val="nil"/>
                    <w:right w:val="single" w:sz="4" w:space="0" w:color="auto"/>
                  </w:tcBorders>
                  <w:shd w:val="clear" w:color="auto" w:fill="auto"/>
                  <w:noWrap/>
                  <w:vAlign w:val="bottom"/>
                  <w:hideMark/>
                </w:tcPr>
                <w:p w14:paraId="3FB5BA8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16%</w:t>
                  </w:r>
                </w:p>
              </w:tc>
              <w:tc>
                <w:tcPr>
                  <w:tcW w:w="1300" w:type="dxa"/>
                  <w:tcBorders>
                    <w:top w:val="nil"/>
                    <w:left w:val="nil"/>
                    <w:bottom w:val="nil"/>
                    <w:right w:val="single" w:sz="4" w:space="0" w:color="auto"/>
                  </w:tcBorders>
                  <w:shd w:val="clear" w:color="auto" w:fill="auto"/>
                  <w:noWrap/>
                  <w:vAlign w:val="bottom"/>
                  <w:hideMark/>
                </w:tcPr>
                <w:p w14:paraId="39C1F781"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15</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915</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2</w:t>
                  </w:r>
                </w:p>
              </w:tc>
              <w:tc>
                <w:tcPr>
                  <w:tcW w:w="1400" w:type="dxa"/>
                  <w:tcBorders>
                    <w:top w:val="nil"/>
                    <w:left w:val="nil"/>
                    <w:bottom w:val="nil"/>
                    <w:right w:val="nil"/>
                  </w:tcBorders>
                  <w:shd w:val="clear" w:color="auto" w:fill="auto"/>
                  <w:noWrap/>
                  <w:vAlign w:val="bottom"/>
                  <w:hideMark/>
                </w:tcPr>
                <w:p w14:paraId="6140F29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641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1</w:t>
                  </w:r>
                </w:p>
              </w:tc>
              <w:tc>
                <w:tcPr>
                  <w:tcW w:w="1840" w:type="dxa"/>
                  <w:tcBorders>
                    <w:top w:val="nil"/>
                    <w:left w:val="single" w:sz="4" w:space="0" w:color="auto"/>
                    <w:bottom w:val="nil"/>
                    <w:right w:val="single" w:sz="4" w:space="0" w:color="auto"/>
                  </w:tcBorders>
                  <w:shd w:val="clear" w:color="auto" w:fill="auto"/>
                  <w:noWrap/>
                  <w:vAlign w:val="bottom"/>
                  <w:hideMark/>
                </w:tcPr>
                <w:p w14:paraId="13A880AD"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20%</w:t>
                  </w:r>
                </w:p>
              </w:tc>
            </w:tr>
            <w:tr w:rsidR="003A1103" w:rsidRPr="001A164B" w14:paraId="2452FD37"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0ADBB440"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299EA390"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2029</w:t>
                  </w:r>
                </w:p>
              </w:tc>
              <w:tc>
                <w:tcPr>
                  <w:tcW w:w="1360" w:type="dxa"/>
                  <w:tcBorders>
                    <w:top w:val="nil"/>
                    <w:left w:val="nil"/>
                    <w:bottom w:val="nil"/>
                    <w:right w:val="single" w:sz="4" w:space="0" w:color="auto"/>
                  </w:tcBorders>
                  <w:shd w:val="clear" w:color="auto" w:fill="auto"/>
                  <w:noWrap/>
                  <w:vAlign w:val="bottom"/>
                  <w:hideMark/>
                </w:tcPr>
                <w:p w14:paraId="45F59A83"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709</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w:t>
                  </w:r>
                </w:p>
              </w:tc>
              <w:tc>
                <w:tcPr>
                  <w:tcW w:w="1620" w:type="dxa"/>
                  <w:tcBorders>
                    <w:top w:val="nil"/>
                    <w:left w:val="nil"/>
                    <w:bottom w:val="nil"/>
                    <w:right w:val="single" w:sz="4" w:space="0" w:color="auto"/>
                  </w:tcBorders>
                  <w:shd w:val="clear" w:color="auto" w:fill="auto"/>
                  <w:noWrap/>
                  <w:vAlign w:val="bottom"/>
                  <w:hideMark/>
                </w:tcPr>
                <w:p w14:paraId="7A356D33"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98</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0</w:t>
                  </w:r>
                </w:p>
              </w:tc>
              <w:tc>
                <w:tcPr>
                  <w:tcW w:w="1860" w:type="dxa"/>
                  <w:tcBorders>
                    <w:top w:val="nil"/>
                    <w:left w:val="nil"/>
                    <w:bottom w:val="nil"/>
                    <w:right w:val="single" w:sz="4" w:space="0" w:color="auto"/>
                  </w:tcBorders>
                  <w:shd w:val="clear" w:color="auto" w:fill="auto"/>
                  <w:noWrap/>
                  <w:vAlign w:val="bottom"/>
                  <w:hideMark/>
                </w:tcPr>
                <w:p w14:paraId="6EAB4705"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75%</w:t>
                  </w:r>
                </w:p>
              </w:tc>
              <w:tc>
                <w:tcPr>
                  <w:tcW w:w="1300" w:type="dxa"/>
                  <w:tcBorders>
                    <w:top w:val="nil"/>
                    <w:left w:val="nil"/>
                    <w:bottom w:val="nil"/>
                    <w:right w:val="single" w:sz="4" w:space="0" w:color="auto"/>
                  </w:tcBorders>
                  <w:shd w:val="clear" w:color="auto" w:fill="auto"/>
                  <w:noWrap/>
                  <w:vAlign w:val="bottom"/>
                  <w:hideMark/>
                </w:tcPr>
                <w:p w14:paraId="3BD070A5"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16</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517</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8</w:t>
                  </w:r>
                </w:p>
              </w:tc>
              <w:tc>
                <w:tcPr>
                  <w:tcW w:w="1400" w:type="dxa"/>
                  <w:tcBorders>
                    <w:top w:val="nil"/>
                    <w:left w:val="nil"/>
                    <w:bottom w:val="nil"/>
                    <w:right w:val="nil"/>
                  </w:tcBorders>
                  <w:shd w:val="clear" w:color="auto" w:fill="auto"/>
                  <w:noWrap/>
                  <w:vAlign w:val="bottom"/>
                  <w:hideMark/>
                </w:tcPr>
                <w:p w14:paraId="467E3E1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602</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6</w:t>
                  </w:r>
                </w:p>
              </w:tc>
              <w:tc>
                <w:tcPr>
                  <w:tcW w:w="1840" w:type="dxa"/>
                  <w:tcBorders>
                    <w:top w:val="nil"/>
                    <w:left w:val="single" w:sz="4" w:space="0" w:color="auto"/>
                    <w:bottom w:val="nil"/>
                    <w:right w:val="single" w:sz="4" w:space="0" w:color="auto"/>
                  </w:tcBorders>
                  <w:shd w:val="clear" w:color="auto" w:fill="auto"/>
                  <w:noWrap/>
                  <w:vAlign w:val="bottom"/>
                  <w:hideMark/>
                </w:tcPr>
                <w:p w14:paraId="7420AB27"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79%</w:t>
                  </w:r>
                </w:p>
              </w:tc>
            </w:tr>
            <w:tr w:rsidR="003A1103" w:rsidRPr="001A164B" w14:paraId="022BB8F2" w14:textId="77777777" w:rsidTr="001E41A8">
              <w:trPr>
                <w:trHeight w:val="300"/>
              </w:trPr>
              <w:tc>
                <w:tcPr>
                  <w:tcW w:w="278" w:type="dxa"/>
                  <w:tcBorders>
                    <w:top w:val="nil"/>
                    <w:left w:val="single" w:sz="4" w:space="0" w:color="auto"/>
                    <w:bottom w:val="nil"/>
                    <w:right w:val="nil"/>
                  </w:tcBorders>
                  <w:shd w:val="clear" w:color="auto" w:fill="auto"/>
                  <w:noWrap/>
                  <w:vAlign w:val="bottom"/>
                  <w:hideMark/>
                </w:tcPr>
                <w:p w14:paraId="1EC8FF2C"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nil"/>
                    <w:right w:val="single" w:sz="4" w:space="0" w:color="auto"/>
                  </w:tcBorders>
                  <w:shd w:val="clear" w:color="auto" w:fill="auto"/>
                  <w:noWrap/>
                  <w:vAlign w:val="bottom"/>
                  <w:hideMark/>
                </w:tcPr>
                <w:p w14:paraId="1FF20CCF"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2030</w:t>
                  </w:r>
                </w:p>
              </w:tc>
              <w:tc>
                <w:tcPr>
                  <w:tcW w:w="1360" w:type="dxa"/>
                  <w:tcBorders>
                    <w:top w:val="nil"/>
                    <w:left w:val="nil"/>
                    <w:bottom w:val="nil"/>
                    <w:right w:val="single" w:sz="4" w:space="0" w:color="auto"/>
                  </w:tcBorders>
                  <w:shd w:val="clear" w:color="auto" w:fill="auto"/>
                  <w:noWrap/>
                  <w:vAlign w:val="bottom"/>
                  <w:hideMark/>
                </w:tcPr>
                <w:p w14:paraId="23E2222A"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811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1</w:t>
                  </w:r>
                </w:p>
              </w:tc>
              <w:tc>
                <w:tcPr>
                  <w:tcW w:w="1620" w:type="dxa"/>
                  <w:tcBorders>
                    <w:top w:val="nil"/>
                    <w:left w:val="nil"/>
                    <w:bottom w:val="nil"/>
                    <w:right w:val="single" w:sz="4" w:space="0" w:color="auto"/>
                  </w:tcBorders>
                  <w:shd w:val="clear" w:color="auto" w:fill="auto"/>
                  <w:noWrap/>
                  <w:vAlign w:val="bottom"/>
                  <w:hideMark/>
                </w:tcPr>
                <w:p w14:paraId="35456B3E"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101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4</w:t>
                  </w:r>
                </w:p>
              </w:tc>
              <w:tc>
                <w:tcPr>
                  <w:tcW w:w="1860" w:type="dxa"/>
                  <w:tcBorders>
                    <w:top w:val="nil"/>
                    <w:left w:val="nil"/>
                    <w:bottom w:val="nil"/>
                    <w:right w:val="single" w:sz="4" w:space="0" w:color="auto"/>
                  </w:tcBorders>
                  <w:shd w:val="clear" w:color="auto" w:fill="auto"/>
                  <w:noWrap/>
                  <w:vAlign w:val="bottom"/>
                  <w:hideMark/>
                </w:tcPr>
                <w:p w14:paraId="432FF60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74%</w:t>
                  </w:r>
                </w:p>
              </w:tc>
              <w:tc>
                <w:tcPr>
                  <w:tcW w:w="1300" w:type="dxa"/>
                  <w:tcBorders>
                    <w:top w:val="nil"/>
                    <w:left w:val="nil"/>
                    <w:bottom w:val="nil"/>
                    <w:right w:val="single" w:sz="4" w:space="0" w:color="auto"/>
                  </w:tcBorders>
                  <w:shd w:val="clear" w:color="auto" w:fill="auto"/>
                  <w:noWrap/>
                  <w:vAlign w:val="bottom"/>
                  <w:hideMark/>
                </w:tcPr>
                <w:p w14:paraId="21FE2F7B"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17</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139</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w:t>
                  </w:r>
                </w:p>
              </w:tc>
              <w:tc>
                <w:tcPr>
                  <w:tcW w:w="1400" w:type="dxa"/>
                  <w:tcBorders>
                    <w:top w:val="nil"/>
                    <w:left w:val="nil"/>
                    <w:bottom w:val="nil"/>
                    <w:right w:val="nil"/>
                  </w:tcBorders>
                  <w:shd w:val="clear" w:color="auto" w:fill="auto"/>
                  <w:noWrap/>
                  <w:vAlign w:val="bottom"/>
                  <w:hideMark/>
                </w:tcPr>
                <w:p w14:paraId="2F70395B"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621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9</w:t>
                  </w:r>
                </w:p>
              </w:tc>
              <w:tc>
                <w:tcPr>
                  <w:tcW w:w="1840" w:type="dxa"/>
                  <w:tcBorders>
                    <w:top w:val="nil"/>
                    <w:left w:val="single" w:sz="4" w:space="0" w:color="auto"/>
                    <w:bottom w:val="nil"/>
                    <w:right w:val="single" w:sz="4" w:space="0" w:color="auto"/>
                  </w:tcBorders>
                  <w:shd w:val="clear" w:color="auto" w:fill="auto"/>
                  <w:noWrap/>
                  <w:vAlign w:val="bottom"/>
                  <w:hideMark/>
                </w:tcPr>
                <w:p w14:paraId="7F553052"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76%</w:t>
                  </w:r>
                </w:p>
              </w:tc>
            </w:tr>
            <w:tr w:rsidR="003A1103" w:rsidRPr="001A164B" w14:paraId="012ED394" w14:textId="77777777" w:rsidTr="001E41A8">
              <w:trPr>
                <w:trHeight w:val="300"/>
              </w:trPr>
              <w:tc>
                <w:tcPr>
                  <w:tcW w:w="278" w:type="dxa"/>
                  <w:tcBorders>
                    <w:top w:val="nil"/>
                    <w:left w:val="single" w:sz="4" w:space="0" w:color="auto"/>
                    <w:bottom w:val="single" w:sz="4" w:space="0" w:color="auto"/>
                    <w:right w:val="nil"/>
                  </w:tcBorders>
                  <w:shd w:val="clear" w:color="auto" w:fill="auto"/>
                  <w:noWrap/>
                  <w:vAlign w:val="bottom"/>
                  <w:hideMark/>
                </w:tcPr>
                <w:p w14:paraId="6262D8D4" w14:textId="77777777" w:rsidR="003A1103" w:rsidRPr="00974DA3" w:rsidRDefault="003A1103" w:rsidP="003A1103">
                  <w:pPr>
                    <w:rPr>
                      <w:rFonts w:eastAsia="Times New Roman" w:cs="Arial"/>
                      <w:color w:val="000000"/>
                      <w:sz w:val="20"/>
                      <w:szCs w:val="20"/>
                      <w:lang w:val="es-US"/>
                    </w:rPr>
                  </w:pPr>
                  <w:r w:rsidRPr="00974DA3">
                    <w:rPr>
                      <w:rFonts w:eastAsia="Times New Roman" w:cs="Arial"/>
                      <w:color w:val="000000"/>
                      <w:sz w:val="20"/>
                      <w:szCs w:val="20"/>
                      <w:lang w:val="es-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52530B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2031</w:t>
                  </w:r>
                </w:p>
              </w:tc>
              <w:tc>
                <w:tcPr>
                  <w:tcW w:w="1360" w:type="dxa"/>
                  <w:tcBorders>
                    <w:top w:val="nil"/>
                    <w:left w:val="nil"/>
                    <w:bottom w:val="single" w:sz="4" w:space="0" w:color="auto"/>
                    <w:right w:val="single" w:sz="4" w:space="0" w:color="auto"/>
                  </w:tcBorders>
                  <w:shd w:val="clear" w:color="auto" w:fill="auto"/>
                  <w:noWrap/>
                  <w:vAlign w:val="bottom"/>
                  <w:hideMark/>
                </w:tcPr>
                <w:p w14:paraId="7ECA6B9D"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2</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915</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w:t>
                  </w:r>
                </w:p>
              </w:tc>
              <w:tc>
                <w:tcPr>
                  <w:tcW w:w="1620" w:type="dxa"/>
                  <w:tcBorders>
                    <w:top w:val="nil"/>
                    <w:left w:val="nil"/>
                    <w:bottom w:val="single" w:sz="4" w:space="0" w:color="auto"/>
                    <w:right w:val="single" w:sz="4" w:space="0" w:color="auto"/>
                  </w:tcBorders>
                  <w:shd w:val="clear" w:color="auto" w:fill="auto"/>
                  <w:noWrap/>
                  <w:vAlign w:val="bottom"/>
                  <w:hideMark/>
                </w:tcPr>
                <w:p w14:paraId="368F5A66"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104</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6</w:t>
                  </w:r>
                </w:p>
              </w:tc>
              <w:tc>
                <w:tcPr>
                  <w:tcW w:w="1860" w:type="dxa"/>
                  <w:tcBorders>
                    <w:top w:val="nil"/>
                    <w:left w:val="nil"/>
                    <w:bottom w:val="single" w:sz="4" w:space="0" w:color="auto"/>
                    <w:right w:val="single" w:sz="4" w:space="0" w:color="auto"/>
                  </w:tcBorders>
                  <w:shd w:val="clear" w:color="auto" w:fill="auto"/>
                  <w:noWrap/>
                  <w:vAlign w:val="bottom"/>
                  <w:hideMark/>
                </w:tcPr>
                <w:p w14:paraId="348BD857"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72%</w:t>
                  </w:r>
                </w:p>
              </w:tc>
              <w:tc>
                <w:tcPr>
                  <w:tcW w:w="1300" w:type="dxa"/>
                  <w:tcBorders>
                    <w:top w:val="nil"/>
                    <w:left w:val="nil"/>
                    <w:bottom w:val="single" w:sz="4" w:space="0" w:color="auto"/>
                    <w:right w:val="single" w:sz="4" w:space="0" w:color="auto"/>
                  </w:tcBorders>
                  <w:shd w:val="clear" w:color="auto" w:fill="auto"/>
                  <w:noWrap/>
                  <w:vAlign w:val="bottom"/>
                  <w:hideMark/>
                </w:tcPr>
                <w:p w14:paraId="73F760E9" w14:textId="77777777" w:rsidR="003A1103" w:rsidRPr="00974DA3" w:rsidRDefault="003A1103" w:rsidP="003A1103">
                  <w:pPr>
                    <w:jc w:val="center"/>
                    <w:rPr>
                      <w:rFonts w:eastAsia="Times New Roman" w:cs="Arial"/>
                      <w:bCs/>
                      <w:color w:val="000000"/>
                      <w:sz w:val="20"/>
                      <w:szCs w:val="20"/>
                      <w:lang w:val="es-US"/>
                    </w:rPr>
                  </w:pPr>
                  <w:r w:rsidRPr="00974DA3">
                    <w:rPr>
                      <w:rFonts w:eastAsia="Times New Roman" w:cs="Arial"/>
                      <w:bCs/>
                      <w:color w:val="000000"/>
                      <w:sz w:val="20"/>
                      <w:szCs w:val="20"/>
                      <w:lang w:val="es-US"/>
                    </w:rPr>
                    <w:t>17</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781</w:t>
                  </w:r>
                  <w:r w:rsidR="00D2489B" w:rsidRPr="00974DA3">
                    <w:rPr>
                      <w:rFonts w:eastAsia="Times New Roman" w:cs="Arial"/>
                      <w:bCs/>
                      <w:color w:val="000000"/>
                      <w:sz w:val="20"/>
                      <w:szCs w:val="20"/>
                      <w:lang w:val="es-US"/>
                    </w:rPr>
                    <w:t>,</w:t>
                  </w:r>
                  <w:r w:rsidRPr="00974DA3">
                    <w:rPr>
                      <w:rFonts w:eastAsia="Times New Roman" w:cs="Arial"/>
                      <w:bCs/>
                      <w:color w:val="000000"/>
                      <w:sz w:val="20"/>
                      <w:szCs w:val="20"/>
                      <w:lang w:val="es-US"/>
                    </w:rPr>
                    <w:t>5</w:t>
                  </w:r>
                </w:p>
              </w:tc>
              <w:tc>
                <w:tcPr>
                  <w:tcW w:w="1400" w:type="dxa"/>
                  <w:tcBorders>
                    <w:top w:val="nil"/>
                    <w:left w:val="nil"/>
                    <w:bottom w:val="single" w:sz="4" w:space="0" w:color="auto"/>
                    <w:right w:val="nil"/>
                  </w:tcBorders>
                  <w:shd w:val="clear" w:color="auto" w:fill="auto"/>
                  <w:noWrap/>
                  <w:vAlign w:val="bottom"/>
                  <w:hideMark/>
                </w:tcPr>
                <w:p w14:paraId="744DCCA4"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641</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8</w:t>
                  </w:r>
                </w:p>
              </w:tc>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67B0B579" w14:textId="77777777" w:rsidR="003A1103" w:rsidRPr="00974DA3" w:rsidRDefault="003A1103" w:rsidP="003A1103">
                  <w:pPr>
                    <w:jc w:val="center"/>
                    <w:rPr>
                      <w:rFonts w:eastAsia="Times New Roman" w:cs="Arial"/>
                      <w:color w:val="000000"/>
                      <w:sz w:val="20"/>
                      <w:szCs w:val="20"/>
                      <w:lang w:val="es-US"/>
                    </w:rPr>
                  </w:pPr>
                  <w:r w:rsidRPr="00974DA3">
                    <w:rPr>
                      <w:rFonts w:eastAsia="Times New Roman" w:cs="Arial"/>
                      <w:color w:val="000000"/>
                      <w:sz w:val="20"/>
                      <w:szCs w:val="20"/>
                      <w:lang w:val="es-US"/>
                    </w:rPr>
                    <w:t>3</w:t>
                  </w:r>
                  <w:r w:rsidR="00511D4B" w:rsidRPr="00974DA3">
                    <w:rPr>
                      <w:rFonts w:eastAsia="Times New Roman" w:cs="Arial"/>
                      <w:color w:val="000000"/>
                      <w:sz w:val="20"/>
                      <w:szCs w:val="20"/>
                      <w:lang w:val="es-US"/>
                    </w:rPr>
                    <w:t>,</w:t>
                  </w:r>
                  <w:r w:rsidRPr="00974DA3">
                    <w:rPr>
                      <w:rFonts w:eastAsia="Times New Roman" w:cs="Arial"/>
                      <w:color w:val="000000"/>
                      <w:sz w:val="20"/>
                      <w:szCs w:val="20"/>
                      <w:lang w:val="es-US"/>
                    </w:rPr>
                    <w:t>74%</w:t>
                  </w:r>
                </w:p>
              </w:tc>
            </w:tr>
          </w:tbl>
          <w:p w14:paraId="7C778876" w14:textId="77777777" w:rsidR="00D365FF" w:rsidRPr="00AD59FF" w:rsidRDefault="001E41A8" w:rsidP="001E41A8">
            <w:pPr>
              <w:rPr>
                <w:rFonts w:eastAsia="Times New Roman" w:cs="Arial"/>
                <w:bCs/>
                <w:color w:val="000000"/>
                <w:sz w:val="20"/>
                <w:szCs w:val="20"/>
                <w:lang w:val="es-US"/>
              </w:rPr>
            </w:pPr>
            <w:r w:rsidRPr="00AD59FF">
              <w:rPr>
                <w:rFonts w:eastAsia="Times New Roman" w:cs="Arial"/>
                <w:bCs/>
                <w:color w:val="000000"/>
                <w:sz w:val="20"/>
                <w:szCs w:val="20"/>
                <w:lang w:val="es-US"/>
              </w:rPr>
              <w:t>Fuente: ENEE</w:t>
            </w:r>
          </w:p>
          <w:p w14:paraId="10BB23D0" w14:textId="77777777" w:rsidR="00D365FF" w:rsidRDefault="00D365FF" w:rsidP="00194658">
            <w:pPr>
              <w:jc w:val="center"/>
              <w:rPr>
                <w:rFonts w:eastAsia="Times New Roman" w:cs="Arial"/>
                <w:b/>
                <w:bCs/>
                <w:color w:val="000000"/>
                <w:lang w:val="es-US"/>
              </w:rPr>
            </w:pPr>
          </w:p>
          <w:p w14:paraId="765994D6" w14:textId="77777777" w:rsidR="00D365FF" w:rsidRPr="00FD1BF7" w:rsidRDefault="00D365FF" w:rsidP="00194658">
            <w:pPr>
              <w:jc w:val="center"/>
              <w:rPr>
                <w:rFonts w:eastAsia="Times New Roman" w:cs="Arial"/>
                <w:b/>
                <w:bCs/>
                <w:color w:val="000000"/>
                <w:sz w:val="20"/>
                <w:szCs w:val="20"/>
                <w:lang w:val="es-US"/>
              </w:rPr>
            </w:pPr>
          </w:p>
          <w:p w14:paraId="65AFD15F" w14:textId="77777777" w:rsidR="00D365FF" w:rsidRPr="00FD1BF7" w:rsidRDefault="00D365FF" w:rsidP="00194658">
            <w:pPr>
              <w:jc w:val="center"/>
              <w:rPr>
                <w:rFonts w:eastAsia="Times New Roman" w:cs="Arial"/>
                <w:b/>
                <w:bCs/>
                <w:color w:val="000000"/>
                <w:sz w:val="20"/>
                <w:szCs w:val="20"/>
                <w:lang w:val="es-US"/>
              </w:rPr>
            </w:pPr>
          </w:p>
          <w:tbl>
            <w:tblPr>
              <w:tblW w:w="10960" w:type="dxa"/>
              <w:tblLook w:val="04A0" w:firstRow="1" w:lastRow="0" w:firstColumn="1" w:lastColumn="0" w:noHBand="0" w:noVBand="1"/>
            </w:tblPr>
            <w:tblGrid>
              <w:gridCol w:w="617"/>
              <w:gridCol w:w="3148"/>
              <w:gridCol w:w="1080"/>
              <w:gridCol w:w="1080"/>
              <w:gridCol w:w="990"/>
              <w:gridCol w:w="917"/>
              <w:gridCol w:w="1017"/>
              <w:gridCol w:w="1075"/>
              <w:gridCol w:w="1080"/>
            </w:tblGrid>
            <w:tr w:rsidR="00DE1834" w:rsidRPr="001A164B" w14:paraId="10A3B64C" w14:textId="77777777" w:rsidTr="00DE1834">
              <w:trPr>
                <w:trHeight w:val="300"/>
              </w:trPr>
              <w:tc>
                <w:tcPr>
                  <w:tcW w:w="10960" w:type="dxa"/>
                  <w:gridSpan w:val="9"/>
                  <w:tcBorders>
                    <w:bottom w:val="single" w:sz="4" w:space="0" w:color="auto"/>
                  </w:tcBorders>
                  <w:shd w:val="clear" w:color="auto" w:fill="auto"/>
                  <w:noWrap/>
                  <w:vAlign w:val="bottom"/>
                </w:tcPr>
                <w:p w14:paraId="25001EA0" w14:textId="77777777" w:rsidR="00DE1834" w:rsidRPr="00DE1834" w:rsidRDefault="00DE1834" w:rsidP="001D3BC3">
                  <w:pPr>
                    <w:jc w:val="center"/>
                    <w:rPr>
                      <w:rFonts w:eastAsia="Times New Roman" w:cs="Arial"/>
                      <w:b/>
                      <w:color w:val="000000"/>
                      <w:sz w:val="18"/>
                      <w:szCs w:val="18"/>
                      <w:lang w:val="es-US"/>
                    </w:rPr>
                  </w:pPr>
                  <w:r w:rsidRPr="00DE1834">
                    <w:rPr>
                      <w:rFonts w:eastAsia="Times New Roman" w:cs="Arial"/>
                      <w:b/>
                      <w:color w:val="000000"/>
                      <w:sz w:val="18"/>
                      <w:szCs w:val="18"/>
                      <w:lang w:val="es-US"/>
                    </w:rPr>
                    <w:t>Cuadro B-2 - Pérdidas eléctricas en el SIN</w:t>
                  </w:r>
                </w:p>
              </w:tc>
            </w:tr>
            <w:tr w:rsidR="001D3BC3" w:rsidRPr="00B84DBE" w14:paraId="42CFB442" w14:textId="77777777" w:rsidTr="00B84DBE">
              <w:trPr>
                <w:trHeight w:val="242"/>
              </w:trPr>
              <w:tc>
                <w:tcPr>
                  <w:tcW w:w="3765" w:type="dxa"/>
                  <w:gridSpan w:val="2"/>
                  <w:tcBorders>
                    <w:top w:val="single" w:sz="4" w:space="0" w:color="auto"/>
                    <w:left w:val="single" w:sz="4" w:space="0" w:color="auto"/>
                    <w:bottom w:val="single" w:sz="4" w:space="0" w:color="auto"/>
                    <w:right w:val="nil"/>
                  </w:tcBorders>
                  <w:shd w:val="clear" w:color="000000" w:fill="DDD9C4"/>
                  <w:noWrap/>
                  <w:vAlign w:val="bottom"/>
                  <w:hideMark/>
                </w:tcPr>
                <w:p w14:paraId="739530BD" w14:textId="77777777" w:rsidR="001D3BC3" w:rsidRPr="001D3BC3" w:rsidRDefault="001D3BC3" w:rsidP="001D3BC3">
                  <w:pPr>
                    <w:jc w:val="center"/>
                    <w:rPr>
                      <w:rFonts w:eastAsia="Times New Roman" w:cs="Arial"/>
                      <w:b/>
                      <w:bCs/>
                      <w:color w:val="000000"/>
                      <w:sz w:val="18"/>
                      <w:szCs w:val="18"/>
                      <w:lang w:val="es-US"/>
                    </w:rPr>
                  </w:pPr>
                </w:p>
              </w:tc>
              <w:tc>
                <w:tcPr>
                  <w:tcW w:w="3150" w:type="dxa"/>
                  <w:gridSpan w:val="3"/>
                  <w:tcBorders>
                    <w:top w:val="single" w:sz="4" w:space="0" w:color="auto"/>
                    <w:left w:val="single" w:sz="4" w:space="0" w:color="auto"/>
                    <w:bottom w:val="single" w:sz="4" w:space="0" w:color="auto"/>
                    <w:right w:val="single" w:sz="4" w:space="0" w:color="auto"/>
                  </w:tcBorders>
                  <w:shd w:val="clear" w:color="000000" w:fill="DDD9C4"/>
                  <w:noWrap/>
                  <w:vAlign w:val="bottom"/>
                  <w:hideMark/>
                </w:tcPr>
                <w:p w14:paraId="3D7BA62A"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Seca</w:t>
                  </w:r>
                </w:p>
              </w:tc>
              <w:tc>
                <w:tcPr>
                  <w:tcW w:w="2965" w:type="dxa"/>
                  <w:gridSpan w:val="3"/>
                  <w:tcBorders>
                    <w:top w:val="single" w:sz="4" w:space="0" w:color="auto"/>
                    <w:left w:val="nil"/>
                    <w:bottom w:val="single" w:sz="4" w:space="0" w:color="auto"/>
                    <w:right w:val="single" w:sz="4" w:space="0" w:color="auto"/>
                  </w:tcBorders>
                  <w:shd w:val="clear" w:color="000000" w:fill="DDD9C4"/>
                  <w:noWrap/>
                  <w:vAlign w:val="bottom"/>
                  <w:hideMark/>
                </w:tcPr>
                <w:p w14:paraId="4BA27B7D"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Húmeda</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p w14:paraId="3368494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Total</w:t>
                  </w:r>
                </w:p>
              </w:tc>
            </w:tr>
            <w:tr w:rsidR="001D3BC3" w:rsidRPr="00B84DBE" w14:paraId="313CBBD7" w14:textId="77777777" w:rsidTr="00DE1834">
              <w:trPr>
                <w:trHeight w:val="300"/>
              </w:trPr>
              <w:tc>
                <w:tcPr>
                  <w:tcW w:w="617" w:type="dxa"/>
                  <w:tcBorders>
                    <w:top w:val="nil"/>
                    <w:left w:val="single" w:sz="4" w:space="0" w:color="auto"/>
                    <w:bottom w:val="single" w:sz="4" w:space="0" w:color="auto"/>
                    <w:right w:val="single" w:sz="4" w:space="0" w:color="auto"/>
                  </w:tcBorders>
                  <w:shd w:val="clear" w:color="000000" w:fill="DDD9C4"/>
                  <w:noWrap/>
                  <w:vAlign w:val="bottom"/>
                  <w:hideMark/>
                </w:tcPr>
                <w:p w14:paraId="354319CD"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Año</w:t>
                  </w:r>
                </w:p>
              </w:tc>
              <w:tc>
                <w:tcPr>
                  <w:tcW w:w="3148" w:type="dxa"/>
                  <w:tcBorders>
                    <w:top w:val="nil"/>
                    <w:left w:val="nil"/>
                    <w:bottom w:val="single" w:sz="4" w:space="0" w:color="auto"/>
                    <w:right w:val="single" w:sz="4" w:space="0" w:color="auto"/>
                  </w:tcBorders>
                  <w:shd w:val="clear" w:color="000000" w:fill="DDD9C4"/>
                  <w:noWrap/>
                  <w:vAlign w:val="bottom"/>
                  <w:hideMark/>
                </w:tcPr>
                <w:p w14:paraId="6A418E6F"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Caso</w:t>
                  </w:r>
                </w:p>
              </w:tc>
              <w:tc>
                <w:tcPr>
                  <w:tcW w:w="1080" w:type="dxa"/>
                  <w:tcBorders>
                    <w:top w:val="nil"/>
                    <w:left w:val="nil"/>
                    <w:bottom w:val="single" w:sz="4" w:space="0" w:color="auto"/>
                    <w:right w:val="single" w:sz="4" w:space="0" w:color="auto"/>
                  </w:tcBorders>
                  <w:shd w:val="clear" w:color="000000" w:fill="DDD9C4"/>
                  <w:noWrap/>
                  <w:vAlign w:val="bottom"/>
                  <w:hideMark/>
                </w:tcPr>
                <w:p w14:paraId="700224AB"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Máxima</w:t>
                  </w:r>
                </w:p>
              </w:tc>
              <w:tc>
                <w:tcPr>
                  <w:tcW w:w="1080" w:type="dxa"/>
                  <w:tcBorders>
                    <w:top w:val="nil"/>
                    <w:left w:val="nil"/>
                    <w:bottom w:val="single" w:sz="4" w:space="0" w:color="auto"/>
                    <w:right w:val="single" w:sz="4" w:space="0" w:color="auto"/>
                  </w:tcBorders>
                  <w:shd w:val="clear" w:color="000000" w:fill="DDD9C4"/>
                  <w:noWrap/>
                  <w:vAlign w:val="bottom"/>
                  <w:hideMark/>
                </w:tcPr>
                <w:p w14:paraId="1D45A6FD"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Media</w:t>
                  </w:r>
                </w:p>
              </w:tc>
              <w:tc>
                <w:tcPr>
                  <w:tcW w:w="990" w:type="dxa"/>
                  <w:tcBorders>
                    <w:top w:val="nil"/>
                    <w:left w:val="nil"/>
                    <w:bottom w:val="single" w:sz="4" w:space="0" w:color="auto"/>
                    <w:right w:val="single" w:sz="4" w:space="0" w:color="auto"/>
                  </w:tcBorders>
                  <w:shd w:val="clear" w:color="000000" w:fill="DDD9C4"/>
                  <w:noWrap/>
                  <w:vAlign w:val="bottom"/>
                  <w:hideMark/>
                </w:tcPr>
                <w:p w14:paraId="1423FCEC"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Mínima</w:t>
                  </w:r>
                </w:p>
              </w:tc>
              <w:tc>
                <w:tcPr>
                  <w:tcW w:w="900" w:type="dxa"/>
                  <w:tcBorders>
                    <w:top w:val="nil"/>
                    <w:left w:val="nil"/>
                    <w:bottom w:val="single" w:sz="4" w:space="0" w:color="auto"/>
                    <w:right w:val="single" w:sz="4" w:space="0" w:color="auto"/>
                  </w:tcBorders>
                  <w:shd w:val="clear" w:color="000000" w:fill="DDD9C4"/>
                  <w:noWrap/>
                  <w:vAlign w:val="bottom"/>
                  <w:hideMark/>
                </w:tcPr>
                <w:p w14:paraId="43AAA860"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Máxima</w:t>
                  </w:r>
                </w:p>
              </w:tc>
              <w:tc>
                <w:tcPr>
                  <w:tcW w:w="990" w:type="dxa"/>
                  <w:tcBorders>
                    <w:top w:val="nil"/>
                    <w:left w:val="nil"/>
                    <w:bottom w:val="single" w:sz="4" w:space="0" w:color="auto"/>
                    <w:right w:val="single" w:sz="4" w:space="0" w:color="auto"/>
                  </w:tcBorders>
                  <w:shd w:val="clear" w:color="000000" w:fill="DDD9C4"/>
                  <w:noWrap/>
                  <w:vAlign w:val="bottom"/>
                  <w:hideMark/>
                </w:tcPr>
                <w:p w14:paraId="050A3F06"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Media</w:t>
                  </w:r>
                </w:p>
              </w:tc>
              <w:tc>
                <w:tcPr>
                  <w:tcW w:w="1075" w:type="dxa"/>
                  <w:tcBorders>
                    <w:top w:val="nil"/>
                    <w:left w:val="nil"/>
                    <w:bottom w:val="single" w:sz="4" w:space="0" w:color="auto"/>
                    <w:right w:val="single" w:sz="4" w:space="0" w:color="auto"/>
                  </w:tcBorders>
                  <w:shd w:val="clear" w:color="000000" w:fill="DDD9C4"/>
                  <w:noWrap/>
                  <w:vAlign w:val="bottom"/>
                  <w:hideMark/>
                </w:tcPr>
                <w:p w14:paraId="75207BFA"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Mínima</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A412BDD" w14:textId="77777777" w:rsidR="001D3BC3" w:rsidRPr="001D3BC3" w:rsidRDefault="001D3BC3" w:rsidP="001D3BC3">
                  <w:pPr>
                    <w:rPr>
                      <w:rFonts w:eastAsia="Times New Roman" w:cs="Arial"/>
                      <w:color w:val="000000"/>
                      <w:sz w:val="18"/>
                      <w:szCs w:val="18"/>
                      <w:lang w:val="es-US"/>
                    </w:rPr>
                  </w:pPr>
                </w:p>
              </w:tc>
            </w:tr>
            <w:tr w:rsidR="001D3BC3" w:rsidRPr="00B84DBE" w14:paraId="3B5D82C6" w14:textId="77777777" w:rsidTr="00DE1834">
              <w:trPr>
                <w:trHeight w:val="300"/>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14:paraId="01FEF902"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2017</w:t>
                  </w:r>
                </w:p>
              </w:tc>
              <w:tc>
                <w:tcPr>
                  <w:tcW w:w="3148" w:type="dxa"/>
                  <w:tcBorders>
                    <w:top w:val="nil"/>
                    <w:left w:val="nil"/>
                    <w:bottom w:val="single" w:sz="4" w:space="0" w:color="auto"/>
                    <w:right w:val="single" w:sz="4" w:space="0" w:color="auto"/>
                  </w:tcBorders>
                  <w:shd w:val="clear" w:color="auto" w:fill="auto"/>
                  <w:noWrap/>
                  <w:vAlign w:val="bottom"/>
                  <w:hideMark/>
                </w:tcPr>
                <w:p w14:paraId="2DA3634C" w14:textId="77777777" w:rsidR="001D3BC3" w:rsidRPr="001D3BC3" w:rsidRDefault="001D3BC3" w:rsidP="001D3BC3">
                  <w:pPr>
                    <w:rPr>
                      <w:rFonts w:eastAsia="Times New Roman" w:cs="Arial"/>
                      <w:color w:val="000000"/>
                      <w:sz w:val="18"/>
                      <w:szCs w:val="18"/>
                      <w:lang w:val="es-US"/>
                    </w:rPr>
                  </w:pPr>
                  <w:r w:rsidRPr="001D3BC3">
                    <w:rPr>
                      <w:rFonts w:eastAsia="Times New Roman" w:cs="Arial"/>
                      <w:color w:val="000000"/>
                      <w:sz w:val="18"/>
                      <w:szCs w:val="18"/>
                      <w:lang w:val="es-US"/>
                    </w:rPr>
                    <w:t>Base (Sin Proyecto)</w:t>
                  </w:r>
                </w:p>
              </w:tc>
              <w:tc>
                <w:tcPr>
                  <w:tcW w:w="1080" w:type="dxa"/>
                  <w:tcBorders>
                    <w:top w:val="nil"/>
                    <w:left w:val="nil"/>
                    <w:bottom w:val="single" w:sz="4" w:space="0" w:color="auto"/>
                    <w:right w:val="single" w:sz="4" w:space="0" w:color="auto"/>
                  </w:tcBorders>
                  <w:shd w:val="clear" w:color="auto" w:fill="auto"/>
                  <w:noWrap/>
                  <w:vAlign w:val="bottom"/>
                  <w:hideMark/>
                </w:tcPr>
                <w:p w14:paraId="70251C79"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005</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7</w:t>
                  </w:r>
                </w:p>
              </w:tc>
              <w:tc>
                <w:tcPr>
                  <w:tcW w:w="1080" w:type="dxa"/>
                  <w:tcBorders>
                    <w:top w:val="nil"/>
                    <w:left w:val="nil"/>
                    <w:bottom w:val="single" w:sz="4" w:space="0" w:color="auto"/>
                    <w:right w:val="single" w:sz="4" w:space="0" w:color="auto"/>
                  </w:tcBorders>
                  <w:shd w:val="clear" w:color="auto" w:fill="auto"/>
                  <w:noWrap/>
                  <w:vAlign w:val="bottom"/>
                  <w:hideMark/>
                </w:tcPr>
                <w:p w14:paraId="5AC231D6"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108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003</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990" w:type="dxa"/>
                  <w:tcBorders>
                    <w:top w:val="nil"/>
                    <w:left w:val="nil"/>
                    <w:bottom w:val="single" w:sz="4" w:space="0" w:color="auto"/>
                    <w:right w:val="single" w:sz="4" w:space="0" w:color="auto"/>
                  </w:tcBorders>
                  <w:shd w:val="clear" w:color="auto" w:fill="auto"/>
                  <w:noWrap/>
                  <w:vAlign w:val="bottom"/>
                  <w:hideMark/>
                </w:tcPr>
                <w:p w14:paraId="66FEBD86"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319</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900" w:type="dxa"/>
                  <w:tcBorders>
                    <w:top w:val="nil"/>
                    <w:left w:val="nil"/>
                    <w:bottom w:val="single" w:sz="4" w:space="0" w:color="auto"/>
                    <w:right w:val="single" w:sz="4" w:space="0" w:color="auto"/>
                  </w:tcBorders>
                  <w:shd w:val="clear" w:color="auto" w:fill="auto"/>
                  <w:noWrap/>
                  <w:vAlign w:val="bottom"/>
                  <w:hideMark/>
                </w:tcPr>
                <w:p w14:paraId="55B9B544"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46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172</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990" w:type="dxa"/>
                  <w:tcBorders>
                    <w:top w:val="nil"/>
                    <w:left w:val="nil"/>
                    <w:bottom w:val="single" w:sz="4" w:space="0" w:color="auto"/>
                    <w:right w:val="single" w:sz="4" w:space="0" w:color="auto"/>
                  </w:tcBorders>
                  <w:shd w:val="clear" w:color="auto" w:fill="auto"/>
                  <w:noWrap/>
                  <w:vAlign w:val="bottom"/>
                  <w:hideMark/>
                </w:tcPr>
                <w:p w14:paraId="506BC7A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99</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955</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1075" w:type="dxa"/>
                  <w:tcBorders>
                    <w:top w:val="nil"/>
                    <w:left w:val="nil"/>
                    <w:bottom w:val="single" w:sz="4" w:space="0" w:color="auto"/>
                    <w:right w:val="single" w:sz="4" w:space="0" w:color="auto"/>
                  </w:tcBorders>
                  <w:shd w:val="clear" w:color="auto" w:fill="auto"/>
                  <w:noWrap/>
                  <w:vAlign w:val="bottom"/>
                  <w:hideMark/>
                </w:tcPr>
                <w:p w14:paraId="51D6EBE4"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870</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1080" w:type="dxa"/>
                  <w:tcBorders>
                    <w:top w:val="nil"/>
                    <w:left w:val="nil"/>
                    <w:bottom w:val="single" w:sz="4" w:space="0" w:color="auto"/>
                    <w:right w:val="single" w:sz="4" w:space="0" w:color="auto"/>
                  </w:tcBorders>
                  <w:shd w:val="clear" w:color="auto" w:fill="auto"/>
                  <w:noWrap/>
                  <w:vAlign w:val="bottom"/>
                  <w:hideMark/>
                </w:tcPr>
                <w:p w14:paraId="3D2479B2"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347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326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7</w:t>
                  </w:r>
                </w:p>
              </w:tc>
            </w:tr>
            <w:tr w:rsidR="001D3BC3" w:rsidRPr="00B84DBE" w14:paraId="5EE6D695" w14:textId="77777777" w:rsidTr="00DE1834">
              <w:trPr>
                <w:trHeight w:val="300"/>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14:paraId="0D6EA8F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2017</w:t>
                  </w:r>
                </w:p>
              </w:tc>
              <w:tc>
                <w:tcPr>
                  <w:tcW w:w="3148" w:type="dxa"/>
                  <w:tcBorders>
                    <w:top w:val="nil"/>
                    <w:left w:val="nil"/>
                    <w:bottom w:val="single" w:sz="4" w:space="0" w:color="auto"/>
                    <w:right w:val="single" w:sz="4" w:space="0" w:color="auto"/>
                  </w:tcBorders>
                  <w:shd w:val="clear" w:color="auto" w:fill="auto"/>
                  <w:noWrap/>
                  <w:vAlign w:val="bottom"/>
                  <w:hideMark/>
                </w:tcPr>
                <w:p w14:paraId="6955E18D" w14:textId="77777777" w:rsidR="001D3BC3" w:rsidRPr="001D3BC3" w:rsidRDefault="001D3BC3" w:rsidP="001D3BC3">
                  <w:pPr>
                    <w:rPr>
                      <w:rFonts w:eastAsia="Times New Roman" w:cs="Arial"/>
                      <w:color w:val="000000"/>
                      <w:sz w:val="18"/>
                      <w:szCs w:val="18"/>
                      <w:lang w:val="es-US"/>
                    </w:rPr>
                  </w:pPr>
                  <w:r w:rsidRPr="001D3BC3">
                    <w:rPr>
                      <w:rFonts w:eastAsia="Times New Roman" w:cs="Arial"/>
                      <w:color w:val="000000"/>
                      <w:sz w:val="18"/>
                      <w:szCs w:val="18"/>
                      <w:lang w:val="es-US"/>
                    </w:rPr>
                    <w:t>Con Proyecto - Con Línea SPSS-San Buenaventura</w:t>
                  </w:r>
                </w:p>
              </w:tc>
              <w:tc>
                <w:tcPr>
                  <w:tcW w:w="1080" w:type="dxa"/>
                  <w:tcBorders>
                    <w:top w:val="nil"/>
                    <w:left w:val="nil"/>
                    <w:bottom w:val="single" w:sz="4" w:space="0" w:color="auto"/>
                    <w:right w:val="single" w:sz="4" w:space="0" w:color="auto"/>
                  </w:tcBorders>
                  <w:shd w:val="clear" w:color="auto" w:fill="auto"/>
                  <w:noWrap/>
                  <w:vAlign w:val="bottom"/>
                  <w:hideMark/>
                </w:tcPr>
                <w:p w14:paraId="1EBAD0CA"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005</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7</w:t>
                  </w:r>
                </w:p>
              </w:tc>
              <w:tc>
                <w:tcPr>
                  <w:tcW w:w="1080" w:type="dxa"/>
                  <w:tcBorders>
                    <w:top w:val="nil"/>
                    <w:left w:val="nil"/>
                    <w:bottom w:val="single" w:sz="4" w:space="0" w:color="auto"/>
                    <w:right w:val="single" w:sz="4" w:space="0" w:color="auto"/>
                  </w:tcBorders>
                  <w:shd w:val="clear" w:color="auto" w:fill="auto"/>
                  <w:noWrap/>
                  <w:vAlign w:val="bottom"/>
                  <w:hideMark/>
                </w:tcPr>
                <w:p w14:paraId="7FE8A4C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108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003</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990" w:type="dxa"/>
                  <w:tcBorders>
                    <w:top w:val="nil"/>
                    <w:left w:val="nil"/>
                    <w:bottom w:val="single" w:sz="4" w:space="0" w:color="auto"/>
                    <w:right w:val="single" w:sz="4" w:space="0" w:color="auto"/>
                  </w:tcBorders>
                  <w:shd w:val="clear" w:color="auto" w:fill="auto"/>
                  <w:noWrap/>
                  <w:vAlign w:val="bottom"/>
                  <w:hideMark/>
                </w:tcPr>
                <w:p w14:paraId="1B07615C"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319</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900" w:type="dxa"/>
                  <w:tcBorders>
                    <w:top w:val="nil"/>
                    <w:left w:val="nil"/>
                    <w:bottom w:val="single" w:sz="4" w:space="0" w:color="auto"/>
                    <w:right w:val="single" w:sz="4" w:space="0" w:color="auto"/>
                  </w:tcBorders>
                  <w:shd w:val="clear" w:color="auto" w:fill="auto"/>
                  <w:noWrap/>
                  <w:vAlign w:val="bottom"/>
                  <w:hideMark/>
                </w:tcPr>
                <w:p w14:paraId="052EB6E8"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46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172</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990" w:type="dxa"/>
                  <w:tcBorders>
                    <w:top w:val="nil"/>
                    <w:left w:val="nil"/>
                    <w:bottom w:val="single" w:sz="4" w:space="0" w:color="auto"/>
                    <w:right w:val="single" w:sz="4" w:space="0" w:color="auto"/>
                  </w:tcBorders>
                  <w:shd w:val="clear" w:color="auto" w:fill="auto"/>
                  <w:noWrap/>
                  <w:vAlign w:val="bottom"/>
                  <w:hideMark/>
                </w:tcPr>
                <w:p w14:paraId="6C2B8366"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99</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955</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1075" w:type="dxa"/>
                  <w:tcBorders>
                    <w:top w:val="nil"/>
                    <w:left w:val="nil"/>
                    <w:bottom w:val="single" w:sz="4" w:space="0" w:color="auto"/>
                    <w:right w:val="single" w:sz="4" w:space="0" w:color="auto"/>
                  </w:tcBorders>
                  <w:shd w:val="clear" w:color="auto" w:fill="auto"/>
                  <w:noWrap/>
                  <w:vAlign w:val="bottom"/>
                  <w:hideMark/>
                </w:tcPr>
                <w:p w14:paraId="5C5CC4D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870</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1080" w:type="dxa"/>
                  <w:tcBorders>
                    <w:top w:val="nil"/>
                    <w:left w:val="nil"/>
                    <w:bottom w:val="single" w:sz="4" w:space="0" w:color="auto"/>
                    <w:right w:val="single" w:sz="4" w:space="0" w:color="auto"/>
                  </w:tcBorders>
                  <w:shd w:val="clear" w:color="auto" w:fill="auto"/>
                  <w:noWrap/>
                  <w:vAlign w:val="bottom"/>
                  <w:hideMark/>
                </w:tcPr>
                <w:p w14:paraId="6DF8050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347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326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7</w:t>
                  </w:r>
                </w:p>
              </w:tc>
            </w:tr>
            <w:tr w:rsidR="001D3BC3" w:rsidRPr="00B84DBE" w14:paraId="746E771E" w14:textId="77777777" w:rsidTr="00DE1834">
              <w:trPr>
                <w:trHeight w:val="300"/>
              </w:trPr>
              <w:tc>
                <w:tcPr>
                  <w:tcW w:w="3765" w:type="dxa"/>
                  <w:gridSpan w:val="2"/>
                  <w:tcBorders>
                    <w:top w:val="single" w:sz="4" w:space="0" w:color="auto"/>
                    <w:left w:val="single" w:sz="4" w:space="0" w:color="auto"/>
                    <w:bottom w:val="single" w:sz="4" w:space="0" w:color="auto"/>
                    <w:right w:val="nil"/>
                  </w:tcBorders>
                  <w:shd w:val="clear" w:color="000000" w:fill="EBF1DE"/>
                  <w:noWrap/>
                  <w:vAlign w:val="bottom"/>
                  <w:hideMark/>
                </w:tcPr>
                <w:p w14:paraId="58C2EC91" w14:textId="77777777" w:rsidR="001D3BC3" w:rsidRPr="001D3BC3" w:rsidRDefault="001D3BC3" w:rsidP="001D3BC3">
                  <w:pPr>
                    <w:jc w:val="center"/>
                    <w:rPr>
                      <w:rFonts w:eastAsia="Times New Roman" w:cs="Arial"/>
                      <w:b/>
                      <w:bCs/>
                      <w:color w:val="000000"/>
                      <w:sz w:val="18"/>
                      <w:szCs w:val="18"/>
                      <w:lang w:val="es-US"/>
                    </w:rPr>
                  </w:pPr>
                  <w:r w:rsidRPr="001D3BC3">
                    <w:rPr>
                      <w:rFonts w:eastAsia="Times New Roman" w:cs="Arial"/>
                      <w:b/>
                      <w:bCs/>
                      <w:color w:val="000000"/>
                      <w:sz w:val="18"/>
                      <w:szCs w:val="18"/>
                      <w:lang w:val="es-US"/>
                    </w:rPr>
                    <w:t>Pérdidas Eléctricas en el SIN (MWh/año)</w:t>
                  </w:r>
                </w:p>
              </w:tc>
              <w:tc>
                <w:tcPr>
                  <w:tcW w:w="3150" w:type="dxa"/>
                  <w:gridSpan w:val="3"/>
                  <w:tcBorders>
                    <w:top w:val="single" w:sz="4" w:space="0" w:color="auto"/>
                    <w:left w:val="single" w:sz="4" w:space="0" w:color="auto"/>
                    <w:bottom w:val="single" w:sz="4" w:space="0" w:color="auto"/>
                    <w:right w:val="single" w:sz="4" w:space="0" w:color="auto"/>
                  </w:tcBorders>
                  <w:shd w:val="clear" w:color="000000" w:fill="EBF1DE"/>
                  <w:noWrap/>
                  <w:vAlign w:val="bottom"/>
                  <w:hideMark/>
                </w:tcPr>
                <w:p w14:paraId="48FA59BB"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Seca</w:t>
                  </w:r>
                </w:p>
              </w:tc>
              <w:tc>
                <w:tcPr>
                  <w:tcW w:w="2965" w:type="dxa"/>
                  <w:gridSpan w:val="3"/>
                  <w:tcBorders>
                    <w:top w:val="single" w:sz="4" w:space="0" w:color="auto"/>
                    <w:left w:val="nil"/>
                    <w:bottom w:val="single" w:sz="4" w:space="0" w:color="auto"/>
                    <w:right w:val="single" w:sz="4" w:space="0" w:color="auto"/>
                  </w:tcBorders>
                  <w:shd w:val="clear" w:color="000000" w:fill="EBF1DE"/>
                  <w:noWrap/>
                  <w:vAlign w:val="bottom"/>
                  <w:hideMark/>
                </w:tcPr>
                <w:p w14:paraId="475139B8"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Húmeda</w:t>
                  </w:r>
                </w:p>
              </w:tc>
              <w:tc>
                <w:tcPr>
                  <w:tcW w:w="1080" w:type="dxa"/>
                  <w:vMerge w:val="restart"/>
                  <w:tcBorders>
                    <w:top w:val="nil"/>
                    <w:left w:val="single" w:sz="4" w:space="0" w:color="auto"/>
                    <w:bottom w:val="single" w:sz="4" w:space="0" w:color="000000"/>
                    <w:right w:val="single" w:sz="4" w:space="0" w:color="auto"/>
                  </w:tcBorders>
                  <w:shd w:val="clear" w:color="000000" w:fill="EBF1DE"/>
                  <w:vAlign w:val="center"/>
                  <w:hideMark/>
                </w:tcPr>
                <w:p w14:paraId="12201912"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Total</w:t>
                  </w:r>
                </w:p>
              </w:tc>
            </w:tr>
            <w:tr w:rsidR="001D3BC3" w:rsidRPr="00B84DBE" w14:paraId="79F3F667" w14:textId="77777777" w:rsidTr="00DE1834">
              <w:trPr>
                <w:trHeight w:val="300"/>
              </w:trPr>
              <w:tc>
                <w:tcPr>
                  <w:tcW w:w="617" w:type="dxa"/>
                  <w:tcBorders>
                    <w:top w:val="nil"/>
                    <w:left w:val="single" w:sz="4" w:space="0" w:color="auto"/>
                    <w:bottom w:val="single" w:sz="4" w:space="0" w:color="auto"/>
                    <w:right w:val="single" w:sz="4" w:space="0" w:color="auto"/>
                  </w:tcBorders>
                  <w:shd w:val="clear" w:color="000000" w:fill="EBF1DE"/>
                  <w:noWrap/>
                  <w:vAlign w:val="bottom"/>
                  <w:hideMark/>
                </w:tcPr>
                <w:p w14:paraId="4CDCA0D9"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Año</w:t>
                  </w:r>
                </w:p>
              </w:tc>
              <w:tc>
                <w:tcPr>
                  <w:tcW w:w="3148" w:type="dxa"/>
                  <w:tcBorders>
                    <w:top w:val="nil"/>
                    <w:left w:val="nil"/>
                    <w:bottom w:val="single" w:sz="4" w:space="0" w:color="auto"/>
                    <w:right w:val="single" w:sz="4" w:space="0" w:color="auto"/>
                  </w:tcBorders>
                  <w:shd w:val="clear" w:color="000000" w:fill="EBF1DE"/>
                  <w:noWrap/>
                  <w:vAlign w:val="bottom"/>
                  <w:hideMark/>
                </w:tcPr>
                <w:p w14:paraId="471394DA"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Caso</w:t>
                  </w:r>
                </w:p>
              </w:tc>
              <w:tc>
                <w:tcPr>
                  <w:tcW w:w="1080" w:type="dxa"/>
                  <w:tcBorders>
                    <w:top w:val="nil"/>
                    <w:left w:val="nil"/>
                    <w:bottom w:val="single" w:sz="4" w:space="0" w:color="auto"/>
                    <w:right w:val="single" w:sz="4" w:space="0" w:color="auto"/>
                  </w:tcBorders>
                  <w:shd w:val="clear" w:color="000000" w:fill="EBF1DE"/>
                  <w:noWrap/>
                  <w:vAlign w:val="bottom"/>
                  <w:hideMark/>
                </w:tcPr>
                <w:p w14:paraId="554237E0"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Máxima</w:t>
                  </w:r>
                </w:p>
              </w:tc>
              <w:tc>
                <w:tcPr>
                  <w:tcW w:w="1080" w:type="dxa"/>
                  <w:tcBorders>
                    <w:top w:val="nil"/>
                    <w:left w:val="nil"/>
                    <w:bottom w:val="single" w:sz="4" w:space="0" w:color="auto"/>
                    <w:right w:val="single" w:sz="4" w:space="0" w:color="auto"/>
                  </w:tcBorders>
                  <w:shd w:val="clear" w:color="000000" w:fill="EBF1DE"/>
                  <w:noWrap/>
                  <w:vAlign w:val="bottom"/>
                  <w:hideMark/>
                </w:tcPr>
                <w:p w14:paraId="68666D8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Media</w:t>
                  </w:r>
                </w:p>
              </w:tc>
              <w:tc>
                <w:tcPr>
                  <w:tcW w:w="990" w:type="dxa"/>
                  <w:tcBorders>
                    <w:top w:val="nil"/>
                    <w:left w:val="nil"/>
                    <w:bottom w:val="single" w:sz="4" w:space="0" w:color="auto"/>
                    <w:right w:val="single" w:sz="4" w:space="0" w:color="auto"/>
                  </w:tcBorders>
                  <w:shd w:val="clear" w:color="000000" w:fill="EBF1DE"/>
                  <w:noWrap/>
                  <w:vAlign w:val="bottom"/>
                  <w:hideMark/>
                </w:tcPr>
                <w:p w14:paraId="3C85D0FB"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Mínima</w:t>
                  </w:r>
                </w:p>
              </w:tc>
              <w:tc>
                <w:tcPr>
                  <w:tcW w:w="900" w:type="dxa"/>
                  <w:tcBorders>
                    <w:top w:val="nil"/>
                    <w:left w:val="nil"/>
                    <w:bottom w:val="single" w:sz="4" w:space="0" w:color="auto"/>
                    <w:right w:val="single" w:sz="4" w:space="0" w:color="auto"/>
                  </w:tcBorders>
                  <w:shd w:val="clear" w:color="000000" w:fill="EBF1DE"/>
                  <w:noWrap/>
                  <w:vAlign w:val="bottom"/>
                  <w:hideMark/>
                </w:tcPr>
                <w:p w14:paraId="74AEF257"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Máxima</w:t>
                  </w:r>
                </w:p>
              </w:tc>
              <w:tc>
                <w:tcPr>
                  <w:tcW w:w="990" w:type="dxa"/>
                  <w:tcBorders>
                    <w:top w:val="nil"/>
                    <w:left w:val="nil"/>
                    <w:bottom w:val="single" w:sz="4" w:space="0" w:color="auto"/>
                    <w:right w:val="single" w:sz="4" w:space="0" w:color="auto"/>
                  </w:tcBorders>
                  <w:shd w:val="clear" w:color="000000" w:fill="EBF1DE"/>
                  <w:noWrap/>
                  <w:vAlign w:val="bottom"/>
                  <w:hideMark/>
                </w:tcPr>
                <w:p w14:paraId="7693E68B"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Media</w:t>
                  </w:r>
                </w:p>
              </w:tc>
              <w:tc>
                <w:tcPr>
                  <w:tcW w:w="1075" w:type="dxa"/>
                  <w:tcBorders>
                    <w:top w:val="nil"/>
                    <w:left w:val="nil"/>
                    <w:bottom w:val="single" w:sz="4" w:space="0" w:color="auto"/>
                    <w:right w:val="single" w:sz="4" w:space="0" w:color="auto"/>
                  </w:tcBorders>
                  <w:shd w:val="clear" w:color="000000" w:fill="EBF1DE"/>
                  <w:noWrap/>
                  <w:vAlign w:val="bottom"/>
                  <w:hideMark/>
                </w:tcPr>
                <w:p w14:paraId="230054EA"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Mínima</w:t>
                  </w:r>
                </w:p>
              </w:tc>
              <w:tc>
                <w:tcPr>
                  <w:tcW w:w="1080" w:type="dxa"/>
                  <w:vMerge/>
                  <w:tcBorders>
                    <w:top w:val="nil"/>
                    <w:left w:val="single" w:sz="4" w:space="0" w:color="auto"/>
                    <w:bottom w:val="single" w:sz="4" w:space="0" w:color="000000"/>
                    <w:right w:val="single" w:sz="4" w:space="0" w:color="auto"/>
                  </w:tcBorders>
                  <w:vAlign w:val="center"/>
                  <w:hideMark/>
                </w:tcPr>
                <w:p w14:paraId="5EC65692" w14:textId="77777777" w:rsidR="001D3BC3" w:rsidRPr="001D3BC3" w:rsidRDefault="001D3BC3" w:rsidP="001D3BC3">
                  <w:pPr>
                    <w:rPr>
                      <w:rFonts w:eastAsia="Times New Roman" w:cs="Arial"/>
                      <w:color w:val="000000"/>
                      <w:sz w:val="18"/>
                      <w:szCs w:val="18"/>
                      <w:lang w:val="es-US"/>
                    </w:rPr>
                  </w:pPr>
                </w:p>
              </w:tc>
            </w:tr>
            <w:tr w:rsidR="001D3BC3" w:rsidRPr="00B84DBE" w14:paraId="1E485EB8" w14:textId="77777777" w:rsidTr="00DE1834">
              <w:trPr>
                <w:trHeight w:val="300"/>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14:paraId="1F40C5A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2021</w:t>
                  </w:r>
                </w:p>
              </w:tc>
              <w:tc>
                <w:tcPr>
                  <w:tcW w:w="3148" w:type="dxa"/>
                  <w:tcBorders>
                    <w:top w:val="nil"/>
                    <w:left w:val="nil"/>
                    <w:bottom w:val="single" w:sz="4" w:space="0" w:color="auto"/>
                    <w:right w:val="single" w:sz="4" w:space="0" w:color="auto"/>
                  </w:tcBorders>
                  <w:shd w:val="clear" w:color="auto" w:fill="auto"/>
                  <w:noWrap/>
                  <w:vAlign w:val="bottom"/>
                  <w:hideMark/>
                </w:tcPr>
                <w:p w14:paraId="12EC6C38" w14:textId="77777777" w:rsidR="001D3BC3" w:rsidRPr="001D3BC3" w:rsidRDefault="001D3BC3" w:rsidP="001D3BC3">
                  <w:pPr>
                    <w:rPr>
                      <w:rFonts w:eastAsia="Times New Roman" w:cs="Arial"/>
                      <w:color w:val="000000"/>
                      <w:sz w:val="18"/>
                      <w:szCs w:val="18"/>
                      <w:lang w:val="es-US"/>
                    </w:rPr>
                  </w:pPr>
                  <w:r w:rsidRPr="001D3BC3">
                    <w:rPr>
                      <w:rFonts w:eastAsia="Times New Roman" w:cs="Arial"/>
                      <w:color w:val="000000"/>
                      <w:sz w:val="18"/>
                      <w:szCs w:val="18"/>
                      <w:lang w:val="es-US"/>
                    </w:rPr>
                    <w:t>Base (Sin Proyecto)</w:t>
                  </w:r>
                </w:p>
              </w:tc>
              <w:tc>
                <w:tcPr>
                  <w:tcW w:w="1080" w:type="dxa"/>
                  <w:tcBorders>
                    <w:top w:val="nil"/>
                    <w:left w:val="nil"/>
                    <w:bottom w:val="single" w:sz="4" w:space="0" w:color="auto"/>
                    <w:right w:val="single" w:sz="4" w:space="0" w:color="auto"/>
                  </w:tcBorders>
                  <w:shd w:val="clear" w:color="auto" w:fill="auto"/>
                  <w:noWrap/>
                  <w:vAlign w:val="bottom"/>
                  <w:hideMark/>
                </w:tcPr>
                <w:p w14:paraId="1300692D"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72</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211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6</w:t>
                  </w:r>
                </w:p>
              </w:tc>
              <w:tc>
                <w:tcPr>
                  <w:tcW w:w="1080" w:type="dxa"/>
                  <w:tcBorders>
                    <w:top w:val="nil"/>
                    <w:left w:val="nil"/>
                    <w:bottom w:val="single" w:sz="4" w:space="0" w:color="auto"/>
                    <w:right w:val="single" w:sz="4" w:space="0" w:color="auto"/>
                  </w:tcBorders>
                  <w:shd w:val="clear" w:color="auto" w:fill="auto"/>
                  <w:noWrap/>
                  <w:vAlign w:val="bottom"/>
                  <w:hideMark/>
                </w:tcPr>
                <w:p w14:paraId="11CFAC1B"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111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471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w:t>
                  </w:r>
                </w:p>
              </w:tc>
              <w:tc>
                <w:tcPr>
                  <w:tcW w:w="990" w:type="dxa"/>
                  <w:tcBorders>
                    <w:top w:val="nil"/>
                    <w:left w:val="nil"/>
                    <w:bottom w:val="single" w:sz="4" w:space="0" w:color="auto"/>
                    <w:right w:val="single" w:sz="4" w:space="0" w:color="auto"/>
                  </w:tcBorders>
                  <w:shd w:val="clear" w:color="auto" w:fill="auto"/>
                  <w:noWrap/>
                  <w:vAlign w:val="bottom"/>
                  <w:hideMark/>
                </w:tcPr>
                <w:p w14:paraId="670A4998"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36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153</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900" w:type="dxa"/>
                  <w:tcBorders>
                    <w:top w:val="nil"/>
                    <w:left w:val="nil"/>
                    <w:bottom w:val="single" w:sz="4" w:space="0" w:color="auto"/>
                    <w:right w:val="single" w:sz="4" w:space="0" w:color="auto"/>
                  </w:tcBorders>
                  <w:shd w:val="clear" w:color="auto" w:fill="auto"/>
                  <w:noWrap/>
                  <w:vAlign w:val="bottom"/>
                  <w:hideMark/>
                </w:tcPr>
                <w:p w14:paraId="10B6387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86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293</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990" w:type="dxa"/>
                  <w:tcBorders>
                    <w:top w:val="nil"/>
                    <w:left w:val="nil"/>
                    <w:bottom w:val="single" w:sz="4" w:space="0" w:color="auto"/>
                    <w:right w:val="single" w:sz="4" w:space="0" w:color="auto"/>
                  </w:tcBorders>
                  <w:shd w:val="clear" w:color="auto" w:fill="auto"/>
                  <w:noWrap/>
                  <w:vAlign w:val="bottom"/>
                  <w:hideMark/>
                </w:tcPr>
                <w:p w14:paraId="39A1FF4F"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178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101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1075" w:type="dxa"/>
                  <w:tcBorders>
                    <w:top w:val="nil"/>
                    <w:left w:val="nil"/>
                    <w:bottom w:val="single" w:sz="4" w:space="0" w:color="auto"/>
                    <w:right w:val="single" w:sz="4" w:space="0" w:color="auto"/>
                  </w:tcBorders>
                  <w:shd w:val="clear" w:color="auto" w:fill="auto"/>
                  <w:noWrap/>
                  <w:vAlign w:val="bottom"/>
                  <w:hideMark/>
                </w:tcPr>
                <w:p w14:paraId="16CC42C2"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47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577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1080" w:type="dxa"/>
                  <w:tcBorders>
                    <w:top w:val="nil"/>
                    <w:left w:val="nil"/>
                    <w:bottom w:val="single" w:sz="4" w:space="0" w:color="auto"/>
                    <w:right w:val="single" w:sz="4" w:space="0" w:color="auto"/>
                  </w:tcBorders>
                  <w:shd w:val="clear" w:color="auto" w:fill="auto"/>
                  <w:noWrap/>
                  <w:vAlign w:val="bottom"/>
                  <w:hideMark/>
                </w:tcPr>
                <w:p w14:paraId="3529C3C6"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531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808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7</w:t>
                  </w:r>
                </w:p>
              </w:tc>
            </w:tr>
            <w:tr w:rsidR="001D3BC3" w:rsidRPr="00B84DBE" w14:paraId="23F5A3B5" w14:textId="77777777" w:rsidTr="00DE1834">
              <w:trPr>
                <w:trHeight w:val="300"/>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14:paraId="59667FE0"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2021</w:t>
                  </w:r>
                </w:p>
              </w:tc>
              <w:tc>
                <w:tcPr>
                  <w:tcW w:w="3148" w:type="dxa"/>
                  <w:tcBorders>
                    <w:top w:val="nil"/>
                    <w:left w:val="nil"/>
                    <w:bottom w:val="single" w:sz="4" w:space="0" w:color="auto"/>
                    <w:right w:val="single" w:sz="4" w:space="0" w:color="auto"/>
                  </w:tcBorders>
                  <w:shd w:val="clear" w:color="auto" w:fill="auto"/>
                  <w:noWrap/>
                  <w:vAlign w:val="bottom"/>
                  <w:hideMark/>
                </w:tcPr>
                <w:p w14:paraId="4C4495B5" w14:textId="77777777" w:rsidR="001D3BC3" w:rsidRPr="001D3BC3" w:rsidRDefault="001D3BC3" w:rsidP="001D3BC3">
                  <w:pPr>
                    <w:rPr>
                      <w:rFonts w:eastAsia="Times New Roman" w:cs="Arial"/>
                      <w:color w:val="000000"/>
                      <w:sz w:val="18"/>
                      <w:szCs w:val="18"/>
                      <w:lang w:val="es-US"/>
                    </w:rPr>
                  </w:pPr>
                  <w:r w:rsidRPr="001D3BC3">
                    <w:rPr>
                      <w:rFonts w:eastAsia="Times New Roman" w:cs="Arial"/>
                      <w:color w:val="000000"/>
                      <w:sz w:val="18"/>
                      <w:szCs w:val="18"/>
                      <w:lang w:val="es-US"/>
                    </w:rPr>
                    <w:t>Con Proyecto - Con Línea SPSS-San Buenaventura</w:t>
                  </w:r>
                </w:p>
              </w:tc>
              <w:tc>
                <w:tcPr>
                  <w:tcW w:w="1080" w:type="dxa"/>
                  <w:tcBorders>
                    <w:top w:val="nil"/>
                    <w:left w:val="nil"/>
                    <w:bottom w:val="single" w:sz="4" w:space="0" w:color="auto"/>
                    <w:right w:val="single" w:sz="4" w:space="0" w:color="auto"/>
                  </w:tcBorders>
                  <w:shd w:val="clear" w:color="auto" w:fill="auto"/>
                  <w:noWrap/>
                  <w:vAlign w:val="bottom"/>
                  <w:hideMark/>
                </w:tcPr>
                <w:p w14:paraId="7E3018B7"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968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7</w:t>
                  </w:r>
                </w:p>
              </w:tc>
              <w:tc>
                <w:tcPr>
                  <w:tcW w:w="1080" w:type="dxa"/>
                  <w:tcBorders>
                    <w:top w:val="nil"/>
                    <w:left w:val="nil"/>
                    <w:bottom w:val="single" w:sz="4" w:space="0" w:color="auto"/>
                    <w:right w:val="single" w:sz="4" w:space="0" w:color="auto"/>
                  </w:tcBorders>
                  <w:shd w:val="clear" w:color="auto" w:fill="auto"/>
                  <w:noWrap/>
                  <w:vAlign w:val="bottom"/>
                  <w:hideMark/>
                </w:tcPr>
                <w:p w14:paraId="16312E20"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153</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628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990" w:type="dxa"/>
                  <w:tcBorders>
                    <w:top w:val="nil"/>
                    <w:left w:val="nil"/>
                    <w:bottom w:val="single" w:sz="4" w:space="0" w:color="auto"/>
                    <w:right w:val="single" w:sz="4" w:space="0" w:color="auto"/>
                  </w:tcBorders>
                  <w:shd w:val="clear" w:color="auto" w:fill="auto"/>
                  <w:noWrap/>
                  <w:vAlign w:val="bottom"/>
                  <w:hideMark/>
                </w:tcPr>
                <w:p w14:paraId="77C34F06"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36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554</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900" w:type="dxa"/>
                  <w:tcBorders>
                    <w:top w:val="nil"/>
                    <w:left w:val="nil"/>
                    <w:bottom w:val="single" w:sz="4" w:space="0" w:color="auto"/>
                    <w:right w:val="single" w:sz="4" w:space="0" w:color="auto"/>
                  </w:tcBorders>
                  <w:shd w:val="clear" w:color="auto" w:fill="auto"/>
                  <w:noWrap/>
                  <w:vAlign w:val="bottom"/>
                  <w:hideMark/>
                </w:tcPr>
                <w:p w14:paraId="1ABB8B5F"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44</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347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990" w:type="dxa"/>
                  <w:tcBorders>
                    <w:top w:val="nil"/>
                    <w:left w:val="nil"/>
                    <w:bottom w:val="single" w:sz="4" w:space="0" w:color="auto"/>
                    <w:right w:val="single" w:sz="4" w:space="0" w:color="auto"/>
                  </w:tcBorders>
                  <w:shd w:val="clear" w:color="auto" w:fill="auto"/>
                  <w:noWrap/>
                  <w:vAlign w:val="bottom"/>
                  <w:hideMark/>
                </w:tcPr>
                <w:p w14:paraId="27DE8E76"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128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096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1075" w:type="dxa"/>
                  <w:tcBorders>
                    <w:top w:val="nil"/>
                    <w:left w:val="nil"/>
                    <w:bottom w:val="single" w:sz="4" w:space="0" w:color="auto"/>
                    <w:right w:val="single" w:sz="4" w:space="0" w:color="auto"/>
                  </w:tcBorders>
                  <w:shd w:val="clear" w:color="auto" w:fill="auto"/>
                  <w:noWrap/>
                  <w:vAlign w:val="bottom"/>
                  <w:hideMark/>
                </w:tcPr>
                <w:p w14:paraId="200BFB44"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34</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291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1080" w:type="dxa"/>
                  <w:tcBorders>
                    <w:top w:val="nil"/>
                    <w:left w:val="nil"/>
                    <w:bottom w:val="single" w:sz="4" w:space="0" w:color="auto"/>
                    <w:right w:val="single" w:sz="4" w:space="0" w:color="auto"/>
                  </w:tcBorders>
                  <w:shd w:val="clear" w:color="auto" w:fill="auto"/>
                  <w:noWrap/>
                  <w:vAlign w:val="bottom"/>
                  <w:hideMark/>
                </w:tcPr>
                <w:p w14:paraId="06B3349A"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448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888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w:t>
                  </w:r>
                </w:p>
              </w:tc>
            </w:tr>
            <w:tr w:rsidR="001D3BC3" w:rsidRPr="00B84DBE" w14:paraId="5FF20CA0" w14:textId="77777777" w:rsidTr="00DE1834">
              <w:trPr>
                <w:trHeight w:val="300"/>
              </w:trPr>
              <w:tc>
                <w:tcPr>
                  <w:tcW w:w="3765" w:type="dxa"/>
                  <w:gridSpan w:val="2"/>
                  <w:tcBorders>
                    <w:top w:val="single" w:sz="4" w:space="0" w:color="auto"/>
                    <w:left w:val="single" w:sz="4" w:space="0" w:color="auto"/>
                    <w:bottom w:val="single" w:sz="4" w:space="0" w:color="auto"/>
                    <w:right w:val="nil"/>
                  </w:tcBorders>
                  <w:shd w:val="clear" w:color="000000" w:fill="EBF1DE"/>
                  <w:noWrap/>
                  <w:vAlign w:val="bottom"/>
                  <w:hideMark/>
                </w:tcPr>
                <w:p w14:paraId="21960D3B" w14:textId="77777777" w:rsidR="001D3BC3" w:rsidRPr="001D3BC3" w:rsidRDefault="001D3BC3" w:rsidP="001D3BC3">
                  <w:pPr>
                    <w:jc w:val="center"/>
                    <w:rPr>
                      <w:rFonts w:eastAsia="Times New Roman" w:cs="Arial"/>
                      <w:b/>
                      <w:bCs/>
                      <w:color w:val="000000"/>
                      <w:sz w:val="18"/>
                      <w:szCs w:val="18"/>
                      <w:lang w:val="es-US"/>
                    </w:rPr>
                  </w:pPr>
                  <w:r w:rsidRPr="001D3BC3">
                    <w:rPr>
                      <w:rFonts w:eastAsia="Times New Roman" w:cs="Arial"/>
                      <w:b/>
                      <w:bCs/>
                      <w:color w:val="000000"/>
                      <w:sz w:val="18"/>
                      <w:szCs w:val="18"/>
                      <w:lang w:val="es-US"/>
                    </w:rPr>
                    <w:t>Pérdidas Eléctricas en el SIN (MWh/año)</w:t>
                  </w:r>
                </w:p>
              </w:tc>
              <w:tc>
                <w:tcPr>
                  <w:tcW w:w="3150" w:type="dxa"/>
                  <w:gridSpan w:val="3"/>
                  <w:tcBorders>
                    <w:top w:val="single" w:sz="4" w:space="0" w:color="auto"/>
                    <w:left w:val="single" w:sz="4" w:space="0" w:color="auto"/>
                    <w:bottom w:val="single" w:sz="4" w:space="0" w:color="auto"/>
                    <w:right w:val="single" w:sz="4" w:space="0" w:color="auto"/>
                  </w:tcBorders>
                  <w:shd w:val="clear" w:color="000000" w:fill="EBF1DE"/>
                  <w:noWrap/>
                  <w:vAlign w:val="bottom"/>
                  <w:hideMark/>
                </w:tcPr>
                <w:p w14:paraId="148645EF"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Seca</w:t>
                  </w:r>
                </w:p>
              </w:tc>
              <w:tc>
                <w:tcPr>
                  <w:tcW w:w="2965" w:type="dxa"/>
                  <w:gridSpan w:val="3"/>
                  <w:tcBorders>
                    <w:top w:val="single" w:sz="4" w:space="0" w:color="auto"/>
                    <w:left w:val="nil"/>
                    <w:bottom w:val="single" w:sz="4" w:space="0" w:color="auto"/>
                    <w:right w:val="single" w:sz="4" w:space="0" w:color="auto"/>
                  </w:tcBorders>
                  <w:shd w:val="clear" w:color="000000" w:fill="EBF1DE"/>
                  <w:noWrap/>
                  <w:vAlign w:val="bottom"/>
                  <w:hideMark/>
                </w:tcPr>
                <w:p w14:paraId="7E35AFD2"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Húmeda</w:t>
                  </w:r>
                </w:p>
              </w:tc>
              <w:tc>
                <w:tcPr>
                  <w:tcW w:w="1080" w:type="dxa"/>
                  <w:vMerge w:val="restart"/>
                  <w:tcBorders>
                    <w:top w:val="nil"/>
                    <w:left w:val="single" w:sz="4" w:space="0" w:color="auto"/>
                    <w:bottom w:val="single" w:sz="4" w:space="0" w:color="000000"/>
                    <w:right w:val="single" w:sz="4" w:space="0" w:color="auto"/>
                  </w:tcBorders>
                  <w:shd w:val="clear" w:color="000000" w:fill="EBF1DE"/>
                  <w:vAlign w:val="center"/>
                  <w:hideMark/>
                </w:tcPr>
                <w:p w14:paraId="6CA70EDC"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Total</w:t>
                  </w:r>
                </w:p>
              </w:tc>
            </w:tr>
            <w:tr w:rsidR="001D3BC3" w:rsidRPr="00B84DBE" w14:paraId="4C410E78" w14:textId="77777777" w:rsidTr="00DE1834">
              <w:trPr>
                <w:trHeight w:val="300"/>
              </w:trPr>
              <w:tc>
                <w:tcPr>
                  <w:tcW w:w="617" w:type="dxa"/>
                  <w:tcBorders>
                    <w:top w:val="nil"/>
                    <w:left w:val="single" w:sz="4" w:space="0" w:color="auto"/>
                    <w:bottom w:val="single" w:sz="4" w:space="0" w:color="auto"/>
                    <w:right w:val="single" w:sz="4" w:space="0" w:color="auto"/>
                  </w:tcBorders>
                  <w:shd w:val="clear" w:color="000000" w:fill="EBF1DE"/>
                  <w:noWrap/>
                  <w:vAlign w:val="bottom"/>
                  <w:hideMark/>
                </w:tcPr>
                <w:p w14:paraId="63DB35F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Año</w:t>
                  </w:r>
                </w:p>
              </w:tc>
              <w:tc>
                <w:tcPr>
                  <w:tcW w:w="3148" w:type="dxa"/>
                  <w:tcBorders>
                    <w:top w:val="nil"/>
                    <w:left w:val="nil"/>
                    <w:bottom w:val="single" w:sz="4" w:space="0" w:color="auto"/>
                    <w:right w:val="single" w:sz="4" w:space="0" w:color="auto"/>
                  </w:tcBorders>
                  <w:shd w:val="clear" w:color="000000" w:fill="EBF1DE"/>
                  <w:noWrap/>
                  <w:vAlign w:val="bottom"/>
                  <w:hideMark/>
                </w:tcPr>
                <w:p w14:paraId="6BB1DE0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Caso</w:t>
                  </w:r>
                </w:p>
              </w:tc>
              <w:tc>
                <w:tcPr>
                  <w:tcW w:w="1080" w:type="dxa"/>
                  <w:tcBorders>
                    <w:top w:val="nil"/>
                    <w:left w:val="nil"/>
                    <w:bottom w:val="single" w:sz="4" w:space="0" w:color="auto"/>
                    <w:right w:val="single" w:sz="4" w:space="0" w:color="auto"/>
                  </w:tcBorders>
                  <w:shd w:val="clear" w:color="000000" w:fill="EBF1DE"/>
                  <w:noWrap/>
                  <w:vAlign w:val="bottom"/>
                  <w:hideMark/>
                </w:tcPr>
                <w:p w14:paraId="21A0A810"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Máxima</w:t>
                  </w:r>
                </w:p>
              </w:tc>
              <w:tc>
                <w:tcPr>
                  <w:tcW w:w="1080" w:type="dxa"/>
                  <w:tcBorders>
                    <w:top w:val="nil"/>
                    <w:left w:val="nil"/>
                    <w:bottom w:val="single" w:sz="4" w:space="0" w:color="auto"/>
                    <w:right w:val="single" w:sz="4" w:space="0" w:color="auto"/>
                  </w:tcBorders>
                  <w:shd w:val="clear" w:color="000000" w:fill="EBF1DE"/>
                  <w:noWrap/>
                  <w:vAlign w:val="bottom"/>
                  <w:hideMark/>
                </w:tcPr>
                <w:p w14:paraId="2B5C33B9"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Media</w:t>
                  </w:r>
                </w:p>
              </w:tc>
              <w:tc>
                <w:tcPr>
                  <w:tcW w:w="990" w:type="dxa"/>
                  <w:tcBorders>
                    <w:top w:val="nil"/>
                    <w:left w:val="nil"/>
                    <w:bottom w:val="single" w:sz="4" w:space="0" w:color="auto"/>
                    <w:right w:val="single" w:sz="4" w:space="0" w:color="auto"/>
                  </w:tcBorders>
                  <w:shd w:val="clear" w:color="000000" w:fill="EBF1DE"/>
                  <w:noWrap/>
                  <w:vAlign w:val="bottom"/>
                  <w:hideMark/>
                </w:tcPr>
                <w:p w14:paraId="0B3905B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Mínima</w:t>
                  </w:r>
                </w:p>
              </w:tc>
              <w:tc>
                <w:tcPr>
                  <w:tcW w:w="900" w:type="dxa"/>
                  <w:tcBorders>
                    <w:top w:val="nil"/>
                    <w:left w:val="nil"/>
                    <w:bottom w:val="single" w:sz="4" w:space="0" w:color="auto"/>
                    <w:right w:val="single" w:sz="4" w:space="0" w:color="auto"/>
                  </w:tcBorders>
                  <w:shd w:val="clear" w:color="000000" w:fill="EBF1DE"/>
                  <w:noWrap/>
                  <w:vAlign w:val="bottom"/>
                  <w:hideMark/>
                </w:tcPr>
                <w:p w14:paraId="259E131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Máxima</w:t>
                  </w:r>
                </w:p>
              </w:tc>
              <w:tc>
                <w:tcPr>
                  <w:tcW w:w="990" w:type="dxa"/>
                  <w:tcBorders>
                    <w:top w:val="nil"/>
                    <w:left w:val="nil"/>
                    <w:bottom w:val="single" w:sz="4" w:space="0" w:color="auto"/>
                    <w:right w:val="single" w:sz="4" w:space="0" w:color="auto"/>
                  </w:tcBorders>
                  <w:shd w:val="clear" w:color="000000" w:fill="EBF1DE"/>
                  <w:noWrap/>
                  <w:vAlign w:val="bottom"/>
                  <w:hideMark/>
                </w:tcPr>
                <w:p w14:paraId="3C4EC3ED"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Media</w:t>
                  </w:r>
                </w:p>
              </w:tc>
              <w:tc>
                <w:tcPr>
                  <w:tcW w:w="1075" w:type="dxa"/>
                  <w:tcBorders>
                    <w:top w:val="nil"/>
                    <w:left w:val="nil"/>
                    <w:bottom w:val="single" w:sz="4" w:space="0" w:color="auto"/>
                    <w:right w:val="single" w:sz="4" w:space="0" w:color="auto"/>
                  </w:tcBorders>
                  <w:shd w:val="clear" w:color="000000" w:fill="EBF1DE"/>
                  <w:noWrap/>
                  <w:vAlign w:val="bottom"/>
                  <w:hideMark/>
                </w:tcPr>
                <w:p w14:paraId="34BF36E3"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Mínima</w:t>
                  </w:r>
                </w:p>
              </w:tc>
              <w:tc>
                <w:tcPr>
                  <w:tcW w:w="1080" w:type="dxa"/>
                  <w:vMerge/>
                  <w:tcBorders>
                    <w:top w:val="nil"/>
                    <w:left w:val="single" w:sz="4" w:space="0" w:color="auto"/>
                    <w:bottom w:val="single" w:sz="4" w:space="0" w:color="000000"/>
                    <w:right w:val="single" w:sz="4" w:space="0" w:color="auto"/>
                  </w:tcBorders>
                  <w:vAlign w:val="center"/>
                  <w:hideMark/>
                </w:tcPr>
                <w:p w14:paraId="26A96980" w14:textId="77777777" w:rsidR="001D3BC3" w:rsidRPr="001D3BC3" w:rsidRDefault="001D3BC3" w:rsidP="001D3BC3">
                  <w:pPr>
                    <w:rPr>
                      <w:rFonts w:eastAsia="Times New Roman" w:cs="Arial"/>
                      <w:color w:val="000000"/>
                      <w:sz w:val="18"/>
                      <w:szCs w:val="18"/>
                      <w:lang w:val="es-US"/>
                    </w:rPr>
                  </w:pPr>
                </w:p>
              </w:tc>
            </w:tr>
            <w:tr w:rsidR="001D3BC3" w:rsidRPr="00B84DBE" w14:paraId="591DBE48" w14:textId="77777777" w:rsidTr="00DE1834">
              <w:trPr>
                <w:trHeight w:val="300"/>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14:paraId="76D4E98E"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2024</w:t>
                  </w:r>
                </w:p>
              </w:tc>
              <w:tc>
                <w:tcPr>
                  <w:tcW w:w="3148" w:type="dxa"/>
                  <w:tcBorders>
                    <w:top w:val="nil"/>
                    <w:left w:val="nil"/>
                    <w:bottom w:val="single" w:sz="4" w:space="0" w:color="auto"/>
                    <w:right w:val="single" w:sz="4" w:space="0" w:color="auto"/>
                  </w:tcBorders>
                  <w:shd w:val="clear" w:color="auto" w:fill="auto"/>
                  <w:noWrap/>
                  <w:vAlign w:val="bottom"/>
                  <w:hideMark/>
                </w:tcPr>
                <w:p w14:paraId="6110F63A" w14:textId="77777777" w:rsidR="001D3BC3" w:rsidRPr="001D3BC3" w:rsidRDefault="001D3BC3" w:rsidP="001D3BC3">
                  <w:pPr>
                    <w:rPr>
                      <w:rFonts w:eastAsia="Times New Roman" w:cs="Arial"/>
                      <w:color w:val="000000"/>
                      <w:sz w:val="18"/>
                      <w:szCs w:val="18"/>
                      <w:lang w:val="es-US"/>
                    </w:rPr>
                  </w:pPr>
                  <w:r w:rsidRPr="001D3BC3">
                    <w:rPr>
                      <w:rFonts w:eastAsia="Times New Roman" w:cs="Arial"/>
                      <w:color w:val="000000"/>
                      <w:sz w:val="18"/>
                      <w:szCs w:val="18"/>
                      <w:lang w:val="es-US"/>
                    </w:rPr>
                    <w:t>Base (Sin Proyecto)</w:t>
                  </w:r>
                </w:p>
              </w:tc>
              <w:tc>
                <w:tcPr>
                  <w:tcW w:w="1080" w:type="dxa"/>
                  <w:tcBorders>
                    <w:top w:val="nil"/>
                    <w:left w:val="nil"/>
                    <w:bottom w:val="single" w:sz="4" w:space="0" w:color="auto"/>
                    <w:right w:val="single" w:sz="4" w:space="0" w:color="auto"/>
                  </w:tcBorders>
                  <w:shd w:val="clear" w:color="auto" w:fill="auto"/>
                  <w:noWrap/>
                  <w:vAlign w:val="bottom"/>
                  <w:hideMark/>
                </w:tcPr>
                <w:p w14:paraId="62C302D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91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001</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1080" w:type="dxa"/>
                  <w:tcBorders>
                    <w:top w:val="nil"/>
                    <w:left w:val="nil"/>
                    <w:bottom w:val="single" w:sz="4" w:space="0" w:color="auto"/>
                    <w:right w:val="single" w:sz="4" w:space="0" w:color="auto"/>
                  </w:tcBorders>
                  <w:shd w:val="clear" w:color="auto" w:fill="auto"/>
                  <w:noWrap/>
                  <w:vAlign w:val="bottom"/>
                  <w:hideMark/>
                </w:tcPr>
                <w:p w14:paraId="6E509791"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133</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590</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w:t>
                  </w:r>
                </w:p>
              </w:tc>
              <w:tc>
                <w:tcPr>
                  <w:tcW w:w="990" w:type="dxa"/>
                  <w:tcBorders>
                    <w:top w:val="nil"/>
                    <w:left w:val="nil"/>
                    <w:bottom w:val="single" w:sz="4" w:space="0" w:color="auto"/>
                    <w:right w:val="single" w:sz="4" w:space="0" w:color="auto"/>
                  </w:tcBorders>
                  <w:shd w:val="clear" w:color="auto" w:fill="auto"/>
                  <w:noWrap/>
                  <w:vAlign w:val="bottom"/>
                  <w:hideMark/>
                </w:tcPr>
                <w:p w14:paraId="24D38EFD"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39</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730</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900" w:type="dxa"/>
                  <w:tcBorders>
                    <w:top w:val="nil"/>
                    <w:left w:val="nil"/>
                    <w:bottom w:val="single" w:sz="4" w:space="0" w:color="auto"/>
                    <w:right w:val="single" w:sz="4" w:space="0" w:color="auto"/>
                  </w:tcBorders>
                  <w:shd w:val="clear" w:color="auto" w:fill="auto"/>
                  <w:noWrap/>
                  <w:vAlign w:val="bottom"/>
                  <w:hideMark/>
                </w:tcPr>
                <w:p w14:paraId="63213662"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88</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300</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990" w:type="dxa"/>
                  <w:tcBorders>
                    <w:top w:val="nil"/>
                    <w:left w:val="nil"/>
                    <w:bottom w:val="single" w:sz="4" w:space="0" w:color="auto"/>
                    <w:right w:val="single" w:sz="4" w:space="0" w:color="auto"/>
                  </w:tcBorders>
                  <w:shd w:val="clear" w:color="auto" w:fill="auto"/>
                  <w:noWrap/>
                  <w:vAlign w:val="bottom"/>
                  <w:hideMark/>
                </w:tcPr>
                <w:p w14:paraId="0C302978"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164</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012</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8</w:t>
                  </w:r>
                </w:p>
              </w:tc>
              <w:tc>
                <w:tcPr>
                  <w:tcW w:w="1075" w:type="dxa"/>
                  <w:tcBorders>
                    <w:top w:val="nil"/>
                    <w:left w:val="nil"/>
                    <w:bottom w:val="single" w:sz="4" w:space="0" w:color="auto"/>
                    <w:right w:val="single" w:sz="4" w:space="0" w:color="auto"/>
                  </w:tcBorders>
                  <w:shd w:val="clear" w:color="auto" w:fill="auto"/>
                  <w:noWrap/>
                  <w:vAlign w:val="bottom"/>
                  <w:hideMark/>
                </w:tcPr>
                <w:p w14:paraId="2EB3883B"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52</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432</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w:t>
                  </w:r>
                </w:p>
              </w:tc>
              <w:tc>
                <w:tcPr>
                  <w:tcW w:w="1080" w:type="dxa"/>
                  <w:tcBorders>
                    <w:top w:val="nil"/>
                    <w:left w:val="nil"/>
                    <w:bottom w:val="single" w:sz="4" w:space="0" w:color="auto"/>
                    <w:right w:val="single" w:sz="4" w:space="0" w:color="auto"/>
                  </w:tcBorders>
                  <w:shd w:val="clear" w:color="auto" w:fill="auto"/>
                  <w:noWrap/>
                  <w:vAlign w:val="bottom"/>
                  <w:hideMark/>
                </w:tcPr>
                <w:p w14:paraId="387E1CA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56</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9067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9</w:t>
                  </w:r>
                </w:p>
              </w:tc>
            </w:tr>
            <w:tr w:rsidR="001D3BC3" w:rsidRPr="00B84DBE" w14:paraId="46ED3A5A" w14:textId="77777777" w:rsidTr="00DE1834">
              <w:trPr>
                <w:trHeight w:val="300"/>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14:paraId="6519AFEA"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2024</w:t>
                  </w:r>
                </w:p>
              </w:tc>
              <w:tc>
                <w:tcPr>
                  <w:tcW w:w="3148" w:type="dxa"/>
                  <w:tcBorders>
                    <w:top w:val="nil"/>
                    <w:left w:val="nil"/>
                    <w:bottom w:val="single" w:sz="4" w:space="0" w:color="auto"/>
                    <w:right w:val="single" w:sz="4" w:space="0" w:color="auto"/>
                  </w:tcBorders>
                  <w:shd w:val="clear" w:color="auto" w:fill="auto"/>
                  <w:noWrap/>
                  <w:vAlign w:val="bottom"/>
                  <w:hideMark/>
                </w:tcPr>
                <w:p w14:paraId="257E8318" w14:textId="77777777" w:rsidR="001D3BC3" w:rsidRPr="001D3BC3" w:rsidRDefault="001D3BC3" w:rsidP="001D3BC3">
                  <w:pPr>
                    <w:rPr>
                      <w:rFonts w:eastAsia="Times New Roman" w:cs="Arial"/>
                      <w:color w:val="000000"/>
                      <w:sz w:val="18"/>
                      <w:szCs w:val="18"/>
                      <w:lang w:val="es-US"/>
                    </w:rPr>
                  </w:pPr>
                  <w:r w:rsidRPr="001D3BC3">
                    <w:rPr>
                      <w:rFonts w:eastAsia="Times New Roman" w:cs="Arial"/>
                      <w:color w:val="000000"/>
                      <w:sz w:val="18"/>
                      <w:szCs w:val="18"/>
                      <w:lang w:val="es-US"/>
                    </w:rPr>
                    <w:t>Con Proyecto - Con Línea SPSS-San Buenaventura</w:t>
                  </w:r>
                </w:p>
              </w:tc>
              <w:tc>
                <w:tcPr>
                  <w:tcW w:w="1080" w:type="dxa"/>
                  <w:tcBorders>
                    <w:top w:val="nil"/>
                    <w:left w:val="nil"/>
                    <w:bottom w:val="single" w:sz="4" w:space="0" w:color="auto"/>
                    <w:right w:val="single" w:sz="4" w:space="0" w:color="auto"/>
                  </w:tcBorders>
                  <w:shd w:val="clear" w:color="auto" w:fill="auto"/>
                  <w:noWrap/>
                  <w:vAlign w:val="bottom"/>
                  <w:hideMark/>
                </w:tcPr>
                <w:p w14:paraId="0177F675"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50</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297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0</w:t>
                  </w:r>
                </w:p>
              </w:tc>
              <w:tc>
                <w:tcPr>
                  <w:tcW w:w="1080" w:type="dxa"/>
                  <w:tcBorders>
                    <w:top w:val="nil"/>
                    <w:left w:val="nil"/>
                    <w:bottom w:val="single" w:sz="4" w:space="0" w:color="auto"/>
                    <w:right w:val="single" w:sz="4" w:space="0" w:color="auto"/>
                  </w:tcBorders>
                  <w:shd w:val="clear" w:color="auto" w:fill="auto"/>
                  <w:noWrap/>
                  <w:vAlign w:val="bottom"/>
                  <w:hideMark/>
                </w:tcPr>
                <w:p w14:paraId="72368599"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117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274</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w:t>
                  </w:r>
                </w:p>
              </w:tc>
              <w:tc>
                <w:tcPr>
                  <w:tcW w:w="990" w:type="dxa"/>
                  <w:tcBorders>
                    <w:top w:val="nil"/>
                    <w:left w:val="nil"/>
                    <w:bottom w:val="single" w:sz="4" w:space="0" w:color="auto"/>
                    <w:right w:val="single" w:sz="4" w:space="0" w:color="auto"/>
                  </w:tcBorders>
                  <w:shd w:val="clear" w:color="auto" w:fill="auto"/>
                  <w:noWrap/>
                  <w:vAlign w:val="bottom"/>
                  <w:hideMark/>
                </w:tcPr>
                <w:p w14:paraId="30B02709"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19</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308</w:t>
                  </w:r>
                  <w:r w:rsidR="00DE1834" w:rsidRPr="00B84DBE">
                    <w:rPr>
                      <w:rFonts w:eastAsia="Times New Roman" w:cs="Arial"/>
                      <w:color w:val="000000"/>
                      <w:sz w:val="18"/>
                      <w:szCs w:val="18"/>
                      <w:lang w:val="es-US"/>
                    </w:rPr>
                    <w:t xml:space="preserve"> ,</w:t>
                  </w:r>
                  <w:r w:rsidRPr="001D3BC3">
                    <w:rPr>
                      <w:rFonts w:eastAsia="Times New Roman" w:cs="Arial"/>
                      <w:color w:val="000000"/>
                      <w:sz w:val="18"/>
                      <w:szCs w:val="18"/>
                      <w:lang w:val="es-US"/>
                    </w:rPr>
                    <w:t>5</w:t>
                  </w:r>
                </w:p>
              </w:tc>
              <w:tc>
                <w:tcPr>
                  <w:tcW w:w="900" w:type="dxa"/>
                  <w:tcBorders>
                    <w:top w:val="nil"/>
                    <w:left w:val="nil"/>
                    <w:bottom w:val="single" w:sz="4" w:space="0" w:color="auto"/>
                    <w:right w:val="single" w:sz="4" w:space="0" w:color="auto"/>
                  </w:tcBorders>
                  <w:shd w:val="clear" w:color="auto" w:fill="auto"/>
                  <w:noWrap/>
                  <w:vAlign w:val="bottom"/>
                  <w:hideMark/>
                </w:tcPr>
                <w:p w14:paraId="70D64B39"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54</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509.1</w:t>
                  </w:r>
                </w:p>
              </w:tc>
              <w:tc>
                <w:tcPr>
                  <w:tcW w:w="990" w:type="dxa"/>
                  <w:tcBorders>
                    <w:top w:val="nil"/>
                    <w:left w:val="nil"/>
                    <w:bottom w:val="single" w:sz="4" w:space="0" w:color="auto"/>
                    <w:right w:val="single" w:sz="4" w:space="0" w:color="auto"/>
                  </w:tcBorders>
                  <w:shd w:val="clear" w:color="auto" w:fill="auto"/>
                  <w:noWrap/>
                  <w:vAlign w:val="bottom"/>
                  <w:hideMark/>
                </w:tcPr>
                <w:p w14:paraId="6810CA6F"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127</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111.3</w:t>
                  </w:r>
                </w:p>
              </w:tc>
              <w:tc>
                <w:tcPr>
                  <w:tcW w:w="1075" w:type="dxa"/>
                  <w:tcBorders>
                    <w:top w:val="nil"/>
                    <w:left w:val="nil"/>
                    <w:bottom w:val="single" w:sz="4" w:space="0" w:color="auto"/>
                    <w:right w:val="single" w:sz="4" w:space="0" w:color="auto"/>
                  </w:tcBorders>
                  <w:shd w:val="clear" w:color="auto" w:fill="auto"/>
                  <w:noWrap/>
                  <w:vAlign w:val="bottom"/>
                  <w:hideMark/>
                </w:tcPr>
                <w:p w14:paraId="6732E08F"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20</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932.8</w:t>
                  </w:r>
                </w:p>
              </w:tc>
              <w:tc>
                <w:tcPr>
                  <w:tcW w:w="1080" w:type="dxa"/>
                  <w:tcBorders>
                    <w:top w:val="nil"/>
                    <w:left w:val="nil"/>
                    <w:bottom w:val="single" w:sz="4" w:space="0" w:color="auto"/>
                    <w:right w:val="single" w:sz="4" w:space="0" w:color="auto"/>
                  </w:tcBorders>
                  <w:shd w:val="clear" w:color="auto" w:fill="auto"/>
                  <w:noWrap/>
                  <w:vAlign w:val="bottom"/>
                  <w:hideMark/>
                </w:tcPr>
                <w:p w14:paraId="25DDBECB" w14:textId="77777777" w:rsidR="001D3BC3" w:rsidRPr="001D3BC3" w:rsidRDefault="001D3BC3" w:rsidP="001D3BC3">
                  <w:pPr>
                    <w:jc w:val="center"/>
                    <w:rPr>
                      <w:rFonts w:eastAsia="Times New Roman" w:cs="Arial"/>
                      <w:color w:val="000000"/>
                      <w:sz w:val="18"/>
                      <w:szCs w:val="18"/>
                      <w:lang w:val="es-US"/>
                    </w:rPr>
                  </w:pPr>
                  <w:r w:rsidRPr="001D3BC3">
                    <w:rPr>
                      <w:rFonts w:eastAsia="Times New Roman" w:cs="Arial"/>
                      <w:color w:val="000000"/>
                      <w:sz w:val="18"/>
                      <w:szCs w:val="18"/>
                      <w:lang w:val="es-US"/>
                    </w:rPr>
                    <w:t>389</w:t>
                  </w:r>
                  <w:r w:rsidR="00DE1834" w:rsidRPr="00B84DBE">
                    <w:rPr>
                      <w:rFonts w:eastAsia="Times New Roman" w:cs="Arial"/>
                      <w:color w:val="000000"/>
                      <w:sz w:val="18"/>
                      <w:szCs w:val="18"/>
                      <w:lang w:val="es-US"/>
                    </w:rPr>
                    <w:t>.</w:t>
                  </w:r>
                  <w:r w:rsidRPr="001D3BC3">
                    <w:rPr>
                      <w:rFonts w:eastAsia="Times New Roman" w:cs="Arial"/>
                      <w:color w:val="000000"/>
                      <w:sz w:val="18"/>
                      <w:szCs w:val="18"/>
                      <w:lang w:val="es-US"/>
                    </w:rPr>
                    <w:t>433.1</w:t>
                  </w:r>
                </w:p>
              </w:tc>
            </w:tr>
          </w:tbl>
          <w:p w14:paraId="15E468E9" w14:textId="77777777" w:rsidR="00D365FF" w:rsidRPr="00AD59FF" w:rsidRDefault="00AD59FF" w:rsidP="00AD59FF">
            <w:pPr>
              <w:rPr>
                <w:rFonts w:eastAsia="Times New Roman" w:cs="Arial"/>
                <w:bCs/>
                <w:color w:val="000000"/>
                <w:sz w:val="18"/>
                <w:szCs w:val="18"/>
                <w:lang w:val="es-US"/>
              </w:rPr>
            </w:pPr>
            <w:r w:rsidRPr="00AD59FF">
              <w:rPr>
                <w:rFonts w:eastAsia="Times New Roman" w:cs="Arial"/>
                <w:bCs/>
                <w:color w:val="000000"/>
                <w:sz w:val="18"/>
                <w:szCs w:val="18"/>
                <w:lang w:val="es-US"/>
              </w:rPr>
              <w:t>Fuente: ENEE</w:t>
            </w:r>
          </w:p>
        </w:tc>
      </w:tr>
    </w:tbl>
    <w:p w14:paraId="79EED6E4" w14:textId="77777777" w:rsidR="00FD1BF7" w:rsidRDefault="00FD1BF7">
      <w:r>
        <w:br w:type="page"/>
      </w:r>
    </w:p>
    <w:tbl>
      <w:tblPr>
        <w:tblW w:w="9319" w:type="dxa"/>
        <w:tblInd w:w="-679" w:type="dxa"/>
        <w:tblLook w:val="04A0" w:firstRow="1" w:lastRow="0" w:firstColumn="1" w:lastColumn="0" w:noHBand="0" w:noVBand="1"/>
      </w:tblPr>
      <w:tblGrid>
        <w:gridCol w:w="1366"/>
        <w:gridCol w:w="2248"/>
        <w:gridCol w:w="1777"/>
        <w:gridCol w:w="1965"/>
        <w:gridCol w:w="1963"/>
      </w:tblGrid>
      <w:tr w:rsidR="00D36606" w:rsidRPr="001A164B" w14:paraId="34A6BA35" w14:textId="77777777" w:rsidTr="0056187F">
        <w:trPr>
          <w:trHeight w:val="300"/>
        </w:trPr>
        <w:tc>
          <w:tcPr>
            <w:tcW w:w="9319" w:type="dxa"/>
            <w:gridSpan w:val="5"/>
            <w:tcBorders>
              <w:top w:val="nil"/>
              <w:bottom w:val="single" w:sz="4" w:space="0" w:color="auto"/>
            </w:tcBorders>
            <w:shd w:val="clear" w:color="auto" w:fill="auto"/>
            <w:noWrap/>
            <w:vAlign w:val="center"/>
          </w:tcPr>
          <w:p w14:paraId="5AB6DF70" w14:textId="77777777" w:rsidR="00D36606" w:rsidRPr="00736B8E" w:rsidRDefault="00D36606"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lastRenderedPageBreak/>
              <w:t xml:space="preserve">Cuadro B-3 - Proyecto LT </w:t>
            </w:r>
            <w:r w:rsidR="00736B8E" w:rsidRPr="00736B8E">
              <w:rPr>
                <w:rFonts w:eastAsia="Times New Roman" w:cs="Arial"/>
                <w:b/>
                <w:color w:val="000000"/>
                <w:sz w:val="20"/>
                <w:szCs w:val="20"/>
                <w:lang w:val="es-US"/>
              </w:rPr>
              <w:t>Laínez</w:t>
            </w:r>
            <w:r w:rsidRPr="00736B8E">
              <w:rPr>
                <w:rFonts w:eastAsia="Times New Roman" w:cs="Arial"/>
                <w:b/>
                <w:color w:val="000000"/>
                <w:sz w:val="20"/>
                <w:szCs w:val="20"/>
                <w:lang w:val="es-US"/>
              </w:rPr>
              <w:t xml:space="preserve"> Miraflores</w:t>
            </w:r>
          </w:p>
        </w:tc>
      </w:tr>
      <w:tr w:rsidR="00D36606" w:rsidRPr="001A164B" w14:paraId="3B8458B2" w14:textId="77777777" w:rsidTr="0056187F">
        <w:trPr>
          <w:trHeight w:val="300"/>
        </w:trPr>
        <w:tc>
          <w:tcPr>
            <w:tcW w:w="9319" w:type="dxa"/>
            <w:gridSpan w:val="5"/>
            <w:tcBorders>
              <w:top w:val="nil"/>
              <w:left w:val="single" w:sz="4" w:space="0" w:color="auto"/>
              <w:bottom w:val="single" w:sz="4" w:space="0" w:color="auto"/>
              <w:right w:val="single" w:sz="4" w:space="0" w:color="auto"/>
            </w:tcBorders>
            <w:shd w:val="clear" w:color="000000" w:fill="EBF1DE"/>
            <w:noWrap/>
            <w:vAlign w:val="center"/>
          </w:tcPr>
          <w:p w14:paraId="7B425A04" w14:textId="77777777" w:rsidR="00D36606" w:rsidRPr="00736B8E" w:rsidRDefault="00D36606"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Demanda Proyectada de Potencia y Energía</w:t>
            </w:r>
          </w:p>
        </w:tc>
      </w:tr>
      <w:tr w:rsidR="00FD1BF7" w:rsidRPr="00736B8E" w14:paraId="7F655D55" w14:textId="77777777" w:rsidTr="0056187F">
        <w:trPr>
          <w:trHeight w:val="300"/>
        </w:trPr>
        <w:tc>
          <w:tcPr>
            <w:tcW w:w="1366" w:type="dxa"/>
            <w:vMerge w:val="restart"/>
            <w:tcBorders>
              <w:top w:val="nil"/>
              <w:left w:val="single" w:sz="4" w:space="0" w:color="auto"/>
              <w:bottom w:val="single" w:sz="4" w:space="0" w:color="auto"/>
              <w:right w:val="single" w:sz="4" w:space="0" w:color="auto"/>
            </w:tcBorders>
            <w:shd w:val="clear" w:color="000000" w:fill="EBF1DE"/>
            <w:noWrap/>
            <w:vAlign w:val="center"/>
            <w:hideMark/>
          </w:tcPr>
          <w:p w14:paraId="5F4B6746" w14:textId="77777777" w:rsidR="00D365FF" w:rsidRPr="00736B8E" w:rsidRDefault="00D365FF" w:rsidP="00D36606">
            <w:pPr>
              <w:ind w:left="705"/>
              <w:jc w:val="center"/>
              <w:rPr>
                <w:rFonts w:eastAsia="Times New Roman" w:cs="Arial"/>
                <w:b/>
                <w:color w:val="000000"/>
                <w:sz w:val="20"/>
                <w:szCs w:val="20"/>
                <w:lang w:val="es-US"/>
              </w:rPr>
            </w:pPr>
            <w:r w:rsidRPr="00736B8E">
              <w:rPr>
                <w:rFonts w:eastAsia="Times New Roman" w:cs="Arial"/>
                <w:b/>
                <w:color w:val="000000"/>
                <w:sz w:val="20"/>
                <w:szCs w:val="20"/>
                <w:lang w:val="es-US"/>
              </w:rPr>
              <w:t>Año</w:t>
            </w:r>
          </w:p>
        </w:tc>
        <w:tc>
          <w:tcPr>
            <w:tcW w:w="4025" w:type="dxa"/>
            <w:gridSpan w:val="2"/>
            <w:tcBorders>
              <w:top w:val="single" w:sz="4" w:space="0" w:color="auto"/>
              <w:left w:val="nil"/>
              <w:bottom w:val="single" w:sz="4" w:space="0" w:color="auto"/>
              <w:right w:val="single" w:sz="4" w:space="0" w:color="auto"/>
            </w:tcBorders>
            <w:shd w:val="clear" w:color="000000" w:fill="EBF1DE"/>
            <w:noWrap/>
            <w:vAlign w:val="bottom"/>
            <w:hideMark/>
          </w:tcPr>
          <w:p w14:paraId="6AC5D4A0" w14:textId="77777777" w:rsidR="00D365FF" w:rsidRPr="00736B8E" w:rsidRDefault="00D365FF"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Sin proyecto</w:t>
            </w:r>
          </w:p>
        </w:tc>
        <w:tc>
          <w:tcPr>
            <w:tcW w:w="3928" w:type="dxa"/>
            <w:gridSpan w:val="2"/>
            <w:tcBorders>
              <w:top w:val="single" w:sz="4" w:space="0" w:color="auto"/>
              <w:left w:val="nil"/>
              <w:bottom w:val="single" w:sz="4" w:space="0" w:color="auto"/>
              <w:right w:val="single" w:sz="4" w:space="0" w:color="auto"/>
            </w:tcBorders>
            <w:shd w:val="clear" w:color="000000" w:fill="EBF1DE"/>
            <w:noWrap/>
            <w:vAlign w:val="bottom"/>
            <w:hideMark/>
          </w:tcPr>
          <w:p w14:paraId="427AE30E" w14:textId="77777777" w:rsidR="00D365FF" w:rsidRPr="00736B8E" w:rsidRDefault="00D365FF"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Con Proyecto</w:t>
            </w:r>
          </w:p>
        </w:tc>
      </w:tr>
      <w:tr w:rsidR="00FD1BF7" w:rsidRPr="00736B8E" w14:paraId="5995E2F2" w14:textId="77777777" w:rsidTr="0056187F">
        <w:trPr>
          <w:trHeight w:val="300"/>
        </w:trPr>
        <w:tc>
          <w:tcPr>
            <w:tcW w:w="1366" w:type="dxa"/>
            <w:vMerge/>
            <w:tcBorders>
              <w:top w:val="nil"/>
              <w:left w:val="single" w:sz="4" w:space="0" w:color="auto"/>
              <w:bottom w:val="single" w:sz="4" w:space="0" w:color="auto"/>
              <w:right w:val="single" w:sz="4" w:space="0" w:color="auto"/>
            </w:tcBorders>
            <w:vAlign w:val="center"/>
            <w:hideMark/>
          </w:tcPr>
          <w:p w14:paraId="6EBA907E" w14:textId="77777777" w:rsidR="00D365FF" w:rsidRPr="00736B8E" w:rsidRDefault="00D365FF" w:rsidP="00D36606">
            <w:pPr>
              <w:ind w:left="705"/>
              <w:rPr>
                <w:rFonts w:eastAsia="Times New Roman" w:cs="Arial"/>
                <w:b/>
                <w:color w:val="000000"/>
                <w:sz w:val="20"/>
                <w:szCs w:val="20"/>
                <w:lang w:val="es-US"/>
              </w:rPr>
            </w:pPr>
          </w:p>
        </w:tc>
        <w:tc>
          <w:tcPr>
            <w:tcW w:w="2248" w:type="dxa"/>
            <w:tcBorders>
              <w:top w:val="nil"/>
              <w:left w:val="nil"/>
              <w:bottom w:val="single" w:sz="4" w:space="0" w:color="auto"/>
              <w:right w:val="single" w:sz="4" w:space="0" w:color="auto"/>
            </w:tcBorders>
            <w:shd w:val="clear" w:color="000000" w:fill="EEECE1"/>
            <w:noWrap/>
            <w:vAlign w:val="bottom"/>
            <w:hideMark/>
          </w:tcPr>
          <w:p w14:paraId="0646337A" w14:textId="77777777" w:rsidR="00D365FF" w:rsidRPr="00736B8E" w:rsidRDefault="00D365FF"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Demanda Máxima (MW)</w:t>
            </w:r>
          </w:p>
        </w:tc>
        <w:tc>
          <w:tcPr>
            <w:tcW w:w="1777" w:type="dxa"/>
            <w:tcBorders>
              <w:top w:val="nil"/>
              <w:left w:val="nil"/>
              <w:bottom w:val="single" w:sz="4" w:space="0" w:color="auto"/>
              <w:right w:val="single" w:sz="4" w:space="0" w:color="auto"/>
            </w:tcBorders>
            <w:shd w:val="clear" w:color="000000" w:fill="EEECE1"/>
            <w:noWrap/>
            <w:vAlign w:val="bottom"/>
            <w:hideMark/>
          </w:tcPr>
          <w:p w14:paraId="4E3192FB" w14:textId="77777777" w:rsidR="00E06EC7" w:rsidRPr="00736B8E" w:rsidRDefault="00736B8E"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Energía</w:t>
            </w:r>
          </w:p>
          <w:p w14:paraId="5EE081D8" w14:textId="77777777" w:rsidR="00D365FF" w:rsidRPr="00736B8E" w:rsidRDefault="00D365FF"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 xml:space="preserve"> (MWh)</w:t>
            </w:r>
          </w:p>
        </w:tc>
        <w:tc>
          <w:tcPr>
            <w:tcW w:w="1965" w:type="dxa"/>
            <w:tcBorders>
              <w:top w:val="nil"/>
              <w:left w:val="nil"/>
              <w:bottom w:val="single" w:sz="4" w:space="0" w:color="auto"/>
              <w:right w:val="single" w:sz="4" w:space="0" w:color="auto"/>
            </w:tcBorders>
            <w:shd w:val="clear" w:color="000000" w:fill="EEECE1"/>
            <w:noWrap/>
            <w:vAlign w:val="bottom"/>
            <w:hideMark/>
          </w:tcPr>
          <w:p w14:paraId="65E2336D" w14:textId="77777777" w:rsidR="00D365FF" w:rsidRPr="00736B8E" w:rsidRDefault="00D365FF"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Demanda Máxima (MW)</w:t>
            </w:r>
          </w:p>
        </w:tc>
        <w:tc>
          <w:tcPr>
            <w:tcW w:w="1963" w:type="dxa"/>
            <w:tcBorders>
              <w:top w:val="nil"/>
              <w:left w:val="nil"/>
              <w:bottom w:val="single" w:sz="4" w:space="0" w:color="auto"/>
              <w:right w:val="single" w:sz="4" w:space="0" w:color="auto"/>
            </w:tcBorders>
            <w:shd w:val="clear" w:color="000000" w:fill="EEECE1"/>
            <w:noWrap/>
            <w:vAlign w:val="bottom"/>
            <w:hideMark/>
          </w:tcPr>
          <w:p w14:paraId="31DBD562" w14:textId="77777777" w:rsidR="00D365FF" w:rsidRPr="00736B8E" w:rsidRDefault="00736B8E" w:rsidP="00194658">
            <w:pPr>
              <w:jc w:val="center"/>
              <w:rPr>
                <w:rFonts w:eastAsia="Times New Roman" w:cs="Arial"/>
                <w:b/>
                <w:color w:val="000000"/>
                <w:sz w:val="20"/>
                <w:szCs w:val="20"/>
                <w:lang w:val="es-US"/>
              </w:rPr>
            </w:pPr>
            <w:r w:rsidRPr="00736B8E">
              <w:rPr>
                <w:rFonts w:eastAsia="Times New Roman" w:cs="Arial"/>
                <w:b/>
                <w:color w:val="000000"/>
                <w:sz w:val="20"/>
                <w:szCs w:val="20"/>
                <w:lang w:val="es-US"/>
              </w:rPr>
              <w:t>Energía</w:t>
            </w:r>
            <w:r w:rsidR="00D365FF" w:rsidRPr="00736B8E">
              <w:rPr>
                <w:rFonts w:eastAsia="Times New Roman" w:cs="Arial"/>
                <w:b/>
                <w:color w:val="000000"/>
                <w:sz w:val="20"/>
                <w:szCs w:val="20"/>
                <w:lang w:val="es-US"/>
              </w:rPr>
              <w:t xml:space="preserve"> (MWh)</w:t>
            </w:r>
          </w:p>
        </w:tc>
      </w:tr>
      <w:tr w:rsidR="00FD1BF7" w:rsidRPr="00736B8E" w14:paraId="7E8F8DB4" w14:textId="77777777" w:rsidTr="0056187F">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66304FA7" w14:textId="77777777" w:rsidR="00D365FF" w:rsidRPr="00736B8E" w:rsidRDefault="00D365FF" w:rsidP="00B55347">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2017</w:t>
            </w:r>
          </w:p>
        </w:tc>
        <w:tc>
          <w:tcPr>
            <w:tcW w:w="2248" w:type="dxa"/>
            <w:tcBorders>
              <w:top w:val="nil"/>
              <w:left w:val="nil"/>
              <w:bottom w:val="single" w:sz="4" w:space="0" w:color="auto"/>
              <w:right w:val="single" w:sz="4" w:space="0" w:color="auto"/>
            </w:tcBorders>
            <w:shd w:val="clear" w:color="auto" w:fill="auto"/>
            <w:noWrap/>
            <w:vAlign w:val="center"/>
            <w:hideMark/>
          </w:tcPr>
          <w:p w14:paraId="666CAF87"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44</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1</w:t>
            </w:r>
            <w:r w:rsidR="0004375B" w:rsidRPr="00736B8E">
              <w:rPr>
                <w:rFonts w:eastAsia="Times New Roman" w:cs="Arial"/>
                <w:color w:val="000000"/>
                <w:sz w:val="20"/>
                <w:szCs w:val="20"/>
                <w:lang w:val="es-US"/>
              </w:rPr>
              <w:t>9</w:t>
            </w:r>
          </w:p>
        </w:tc>
        <w:tc>
          <w:tcPr>
            <w:tcW w:w="1777" w:type="dxa"/>
            <w:tcBorders>
              <w:top w:val="nil"/>
              <w:left w:val="nil"/>
              <w:bottom w:val="single" w:sz="4" w:space="0" w:color="auto"/>
              <w:right w:val="single" w:sz="4" w:space="0" w:color="auto"/>
            </w:tcBorders>
            <w:shd w:val="clear" w:color="auto" w:fill="auto"/>
            <w:noWrap/>
            <w:vAlign w:val="bottom"/>
            <w:hideMark/>
          </w:tcPr>
          <w:p w14:paraId="7296C387"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250,192</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98</w:t>
            </w:r>
          </w:p>
        </w:tc>
        <w:tc>
          <w:tcPr>
            <w:tcW w:w="1965" w:type="dxa"/>
            <w:tcBorders>
              <w:top w:val="nil"/>
              <w:left w:val="nil"/>
              <w:bottom w:val="single" w:sz="4" w:space="0" w:color="auto"/>
              <w:right w:val="single" w:sz="4" w:space="0" w:color="auto"/>
            </w:tcBorders>
            <w:shd w:val="clear" w:color="auto" w:fill="auto"/>
            <w:noWrap/>
            <w:vAlign w:val="center"/>
            <w:hideMark/>
          </w:tcPr>
          <w:p w14:paraId="1CD80B0E"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44</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1</w:t>
            </w:r>
            <w:r w:rsidR="0004375B" w:rsidRPr="00736B8E">
              <w:rPr>
                <w:rFonts w:eastAsia="Times New Roman" w:cs="Arial"/>
                <w:color w:val="000000"/>
                <w:sz w:val="20"/>
                <w:szCs w:val="20"/>
                <w:lang w:val="es-US"/>
              </w:rPr>
              <w:t>0</w:t>
            </w:r>
          </w:p>
        </w:tc>
        <w:tc>
          <w:tcPr>
            <w:tcW w:w="1963" w:type="dxa"/>
            <w:tcBorders>
              <w:top w:val="nil"/>
              <w:left w:val="nil"/>
              <w:bottom w:val="single" w:sz="4" w:space="0" w:color="auto"/>
              <w:right w:val="single" w:sz="4" w:space="0" w:color="auto"/>
            </w:tcBorders>
            <w:shd w:val="clear" w:color="auto" w:fill="auto"/>
            <w:noWrap/>
            <w:vAlign w:val="bottom"/>
            <w:hideMark/>
          </w:tcPr>
          <w:p w14:paraId="272CD90D"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250,192</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98</w:t>
            </w:r>
          </w:p>
        </w:tc>
      </w:tr>
      <w:tr w:rsidR="00FD1BF7" w:rsidRPr="00736B8E" w14:paraId="0914BDC0" w14:textId="77777777" w:rsidTr="0056187F">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643C2541" w14:textId="77777777" w:rsidR="00D365FF" w:rsidRPr="00736B8E" w:rsidRDefault="00D365FF" w:rsidP="00B55347">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2018</w:t>
            </w:r>
          </w:p>
        </w:tc>
        <w:tc>
          <w:tcPr>
            <w:tcW w:w="2248" w:type="dxa"/>
            <w:tcBorders>
              <w:top w:val="nil"/>
              <w:left w:val="nil"/>
              <w:bottom w:val="single" w:sz="4" w:space="0" w:color="auto"/>
              <w:right w:val="single" w:sz="4" w:space="0" w:color="auto"/>
            </w:tcBorders>
            <w:shd w:val="clear" w:color="auto" w:fill="auto"/>
            <w:noWrap/>
            <w:vAlign w:val="center"/>
            <w:hideMark/>
          </w:tcPr>
          <w:p w14:paraId="726E19FC"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46</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2</w:t>
            </w:r>
            <w:r w:rsidR="0004375B" w:rsidRPr="00736B8E">
              <w:rPr>
                <w:rFonts w:eastAsia="Times New Roman" w:cs="Arial"/>
                <w:color w:val="000000"/>
                <w:sz w:val="20"/>
                <w:szCs w:val="20"/>
                <w:lang w:val="es-US"/>
              </w:rPr>
              <w:t>8</w:t>
            </w:r>
          </w:p>
        </w:tc>
        <w:tc>
          <w:tcPr>
            <w:tcW w:w="1777" w:type="dxa"/>
            <w:tcBorders>
              <w:top w:val="nil"/>
              <w:left w:val="nil"/>
              <w:bottom w:val="single" w:sz="4" w:space="0" w:color="auto"/>
              <w:right w:val="single" w:sz="4" w:space="0" w:color="auto"/>
            </w:tcBorders>
            <w:shd w:val="clear" w:color="auto" w:fill="auto"/>
            <w:noWrap/>
            <w:vAlign w:val="bottom"/>
            <w:hideMark/>
          </w:tcPr>
          <w:p w14:paraId="04E7BD8E"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262,022</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33</w:t>
            </w:r>
          </w:p>
        </w:tc>
        <w:tc>
          <w:tcPr>
            <w:tcW w:w="1965" w:type="dxa"/>
            <w:tcBorders>
              <w:top w:val="nil"/>
              <w:left w:val="nil"/>
              <w:bottom w:val="single" w:sz="4" w:space="0" w:color="auto"/>
              <w:right w:val="single" w:sz="4" w:space="0" w:color="auto"/>
            </w:tcBorders>
            <w:shd w:val="clear" w:color="auto" w:fill="auto"/>
            <w:noWrap/>
            <w:vAlign w:val="center"/>
            <w:hideMark/>
          </w:tcPr>
          <w:p w14:paraId="495F9E5E"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46</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2</w:t>
            </w:r>
            <w:r w:rsidR="0004375B" w:rsidRPr="00736B8E">
              <w:rPr>
                <w:rFonts w:eastAsia="Times New Roman" w:cs="Arial"/>
                <w:color w:val="000000"/>
                <w:sz w:val="20"/>
                <w:szCs w:val="20"/>
                <w:lang w:val="es-US"/>
              </w:rPr>
              <w:t>8</w:t>
            </w:r>
          </w:p>
        </w:tc>
        <w:tc>
          <w:tcPr>
            <w:tcW w:w="1963" w:type="dxa"/>
            <w:tcBorders>
              <w:top w:val="nil"/>
              <w:left w:val="nil"/>
              <w:bottom w:val="single" w:sz="4" w:space="0" w:color="auto"/>
              <w:right w:val="single" w:sz="4" w:space="0" w:color="auto"/>
            </w:tcBorders>
            <w:shd w:val="clear" w:color="auto" w:fill="auto"/>
            <w:noWrap/>
            <w:vAlign w:val="bottom"/>
            <w:hideMark/>
          </w:tcPr>
          <w:p w14:paraId="744B554F"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262,022</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33</w:t>
            </w:r>
          </w:p>
        </w:tc>
      </w:tr>
      <w:tr w:rsidR="00FD1BF7" w:rsidRPr="00736B8E" w14:paraId="4C007CC2" w14:textId="77777777" w:rsidTr="0056187F">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7BC02093" w14:textId="77777777" w:rsidR="00D365FF" w:rsidRPr="00736B8E" w:rsidRDefault="00D365FF" w:rsidP="00B55347">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2019</w:t>
            </w:r>
          </w:p>
        </w:tc>
        <w:tc>
          <w:tcPr>
            <w:tcW w:w="2248" w:type="dxa"/>
            <w:tcBorders>
              <w:top w:val="nil"/>
              <w:left w:val="nil"/>
              <w:bottom w:val="single" w:sz="4" w:space="0" w:color="auto"/>
              <w:right w:val="single" w:sz="4" w:space="0" w:color="auto"/>
            </w:tcBorders>
            <w:shd w:val="clear" w:color="auto" w:fill="auto"/>
            <w:noWrap/>
            <w:vAlign w:val="center"/>
            <w:hideMark/>
          </w:tcPr>
          <w:p w14:paraId="14AE9F97"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48</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44</w:t>
            </w:r>
          </w:p>
        </w:tc>
        <w:tc>
          <w:tcPr>
            <w:tcW w:w="1777" w:type="dxa"/>
            <w:tcBorders>
              <w:top w:val="nil"/>
              <w:left w:val="nil"/>
              <w:bottom w:val="single" w:sz="4" w:space="0" w:color="auto"/>
              <w:right w:val="single" w:sz="4" w:space="0" w:color="auto"/>
            </w:tcBorders>
            <w:shd w:val="clear" w:color="auto" w:fill="auto"/>
            <w:noWrap/>
            <w:vAlign w:val="bottom"/>
            <w:hideMark/>
          </w:tcPr>
          <w:p w14:paraId="0A2D24D2"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274,280</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41</w:t>
            </w:r>
          </w:p>
        </w:tc>
        <w:tc>
          <w:tcPr>
            <w:tcW w:w="1965" w:type="dxa"/>
            <w:tcBorders>
              <w:top w:val="nil"/>
              <w:left w:val="nil"/>
              <w:bottom w:val="single" w:sz="4" w:space="0" w:color="auto"/>
              <w:right w:val="single" w:sz="4" w:space="0" w:color="auto"/>
            </w:tcBorders>
            <w:shd w:val="clear" w:color="auto" w:fill="auto"/>
            <w:noWrap/>
            <w:vAlign w:val="center"/>
            <w:hideMark/>
          </w:tcPr>
          <w:p w14:paraId="00EA5247"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48</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44</w:t>
            </w:r>
          </w:p>
        </w:tc>
        <w:tc>
          <w:tcPr>
            <w:tcW w:w="1963" w:type="dxa"/>
            <w:tcBorders>
              <w:top w:val="nil"/>
              <w:left w:val="nil"/>
              <w:bottom w:val="single" w:sz="4" w:space="0" w:color="auto"/>
              <w:right w:val="single" w:sz="4" w:space="0" w:color="auto"/>
            </w:tcBorders>
            <w:shd w:val="clear" w:color="auto" w:fill="auto"/>
            <w:noWrap/>
            <w:vAlign w:val="bottom"/>
            <w:hideMark/>
          </w:tcPr>
          <w:p w14:paraId="386313EF"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274,280</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41</w:t>
            </w:r>
          </w:p>
        </w:tc>
      </w:tr>
      <w:tr w:rsidR="00FD1BF7" w:rsidRPr="00736B8E" w14:paraId="550DF370" w14:textId="77777777" w:rsidTr="0056187F">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49BF07FA" w14:textId="77777777" w:rsidR="00D365FF" w:rsidRPr="00736B8E" w:rsidRDefault="00D365FF" w:rsidP="00B55347">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2020</w:t>
            </w:r>
          </w:p>
        </w:tc>
        <w:tc>
          <w:tcPr>
            <w:tcW w:w="2248" w:type="dxa"/>
            <w:tcBorders>
              <w:top w:val="nil"/>
              <w:left w:val="nil"/>
              <w:bottom w:val="single" w:sz="4" w:space="0" w:color="auto"/>
              <w:right w:val="single" w:sz="4" w:space="0" w:color="auto"/>
            </w:tcBorders>
            <w:shd w:val="clear" w:color="auto" w:fill="auto"/>
            <w:noWrap/>
            <w:vAlign w:val="center"/>
            <w:hideMark/>
          </w:tcPr>
          <w:p w14:paraId="40A1D212"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50</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00</w:t>
            </w:r>
          </w:p>
        </w:tc>
        <w:tc>
          <w:tcPr>
            <w:tcW w:w="1777" w:type="dxa"/>
            <w:tcBorders>
              <w:top w:val="nil"/>
              <w:left w:val="nil"/>
              <w:bottom w:val="single" w:sz="4" w:space="0" w:color="auto"/>
              <w:right w:val="single" w:sz="4" w:space="0" w:color="auto"/>
            </w:tcBorders>
            <w:shd w:val="clear" w:color="auto" w:fill="auto"/>
            <w:noWrap/>
            <w:vAlign w:val="bottom"/>
            <w:hideMark/>
          </w:tcPr>
          <w:p w14:paraId="1B04C49F"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285</w:t>
            </w:r>
            <w:r w:rsidR="000A1DD1" w:rsidRPr="00736B8E">
              <w:rPr>
                <w:rFonts w:eastAsia="Times New Roman" w:cs="Arial"/>
                <w:color w:val="000000"/>
                <w:sz w:val="20"/>
                <w:szCs w:val="20"/>
                <w:lang w:val="es-US"/>
              </w:rPr>
              <w:t>.</w:t>
            </w:r>
            <w:r w:rsidRPr="00736B8E">
              <w:rPr>
                <w:rFonts w:eastAsia="Times New Roman" w:cs="Arial"/>
                <w:color w:val="000000"/>
                <w:sz w:val="20"/>
                <w:szCs w:val="20"/>
                <w:lang w:val="es-US"/>
              </w:rPr>
              <w:t>393</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66</w:t>
            </w:r>
          </w:p>
        </w:tc>
        <w:tc>
          <w:tcPr>
            <w:tcW w:w="1965" w:type="dxa"/>
            <w:tcBorders>
              <w:top w:val="nil"/>
              <w:left w:val="nil"/>
              <w:bottom w:val="single" w:sz="4" w:space="0" w:color="auto"/>
              <w:right w:val="single" w:sz="4" w:space="0" w:color="auto"/>
            </w:tcBorders>
            <w:shd w:val="clear" w:color="auto" w:fill="auto"/>
            <w:noWrap/>
            <w:vAlign w:val="center"/>
            <w:hideMark/>
          </w:tcPr>
          <w:p w14:paraId="20F7D790"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50</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54</w:t>
            </w:r>
          </w:p>
        </w:tc>
        <w:tc>
          <w:tcPr>
            <w:tcW w:w="1963" w:type="dxa"/>
            <w:tcBorders>
              <w:top w:val="nil"/>
              <w:left w:val="nil"/>
              <w:bottom w:val="single" w:sz="4" w:space="0" w:color="auto"/>
              <w:right w:val="single" w:sz="4" w:space="0" w:color="auto"/>
            </w:tcBorders>
            <w:shd w:val="clear" w:color="auto" w:fill="auto"/>
            <w:noWrap/>
            <w:vAlign w:val="bottom"/>
            <w:hideMark/>
          </w:tcPr>
          <w:p w14:paraId="5F1573F2" w14:textId="77777777" w:rsidR="00D365FF" w:rsidRPr="00736B8E" w:rsidRDefault="00D365FF" w:rsidP="00194658">
            <w:pPr>
              <w:jc w:val="center"/>
              <w:rPr>
                <w:rFonts w:eastAsia="Times New Roman" w:cs="Arial"/>
                <w:color w:val="000000"/>
                <w:sz w:val="20"/>
                <w:szCs w:val="20"/>
                <w:lang w:val="es-US"/>
              </w:rPr>
            </w:pPr>
            <w:r w:rsidRPr="00736B8E">
              <w:rPr>
                <w:rFonts w:eastAsia="Times New Roman" w:cs="Arial"/>
                <w:color w:val="000000"/>
                <w:sz w:val="20"/>
                <w:szCs w:val="20"/>
                <w:lang w:val="es-US"/>
              </w:rPr>
              <w:t>286,185</w:t>
            </w:r>
            <w:r w:rsidR="00287F11" w:rsidRPr="00736B8E">
              <w:rPr>
                <w:rFonts w:eastAsia="Times New Roman" w:cs="Arial"/>
                <w:color w:val="000000"/>
                <w:sz w:val="20"/>
                <w:szCs w:val="20"/>
                <w:lang w:val="es-US"/>
              </w:rPr>
              <w:t>,</w:t>
            </w:r>
            <w:r w:rsidRPr="00736B8E">
              <w:rPr>
                <w:rFonts w:eastAsia="Times New Roman" w:cs="Arial"/>
                <w:color w:val="000000"/>
                <w:sz w:val="20"/>
                <w:szCs w:val="20"/>
                <w:lang w:val="es-US"/>
              </w:rPr>
              <w:t>90</w:t>
            </w:r>
          </w:p>
        </w:tc>
      </w:tr>
      <w:tr w:rsidR="0004375B" w:rsidRPr="00736B8E" w14:paraId="24362D3D"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1340F871"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2021</w:t>
            </w:r>
          </w:p>
        </w:tc>
        <w:tc>
          <w:tcPr>
            <w:tcW w:w="2248" w:type="dxa"/>
            <w:tcBorders>
              <w:top w:val="nil"/>
              <w:left w:val="nil"/>
              <w:bottom w:val="single" w:sz="4" w:space="0" w:color="auto"/>
              <w:right w:val="single" w:sz="4" w:space="0" w:color="auto"/>
            </w:tcBorders>
            <w:shd w:val="clear" w:color="auto" w:fill="auto"/>
            <w:noWrap/>
            <w:hideMark/>
          </w:tcPr>
          <w:p w14:paraId="3E87B7FB"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77A9E31C"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4B7A9B96"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52,74</w:t>
            </w:r>
          </w:p>
        </w:tc>
        <w:tc>
          <w:tcPr>
            <w:tcW w:w="1963" w:type="dxa"/>
            <w:tcBorders>
              <w:top w:val="nil"/>
              <w:left w:val="nil"/>
              <w:bottom w:val="single" w:sz="4" w:space="0" w:color="auto"/>
              <w:right w:val="single" w:sz="4" w:space="0" w:color="auto"/>
            </w:tcBorders>
            <w:shd w:val="clear" w:color="auto" w:fill="auto"/>
            <w:noWrap/>
            <w:vAlign w:val="bottom"/>
            <w:hideMark/>
          </w:tcPr>
          <w:p w14:paraId="39AFB16B"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298,635,29</w:t>
            </w:r>
          </w:p>
        </w:tc>
      </w:tr>
      <w:tr w:rsidR="0004375B" w:rsidRPr="00736B8E" w14:paraId="2FC2CBEC"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4D724F0E"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2022</w:t>
            </w:r>
          </w:p>
        </w:tc>
        <w:tc>
          <w:tcPr>
            <w:tcW w:w="2248" w:type="dxa"/>
            <w:tcBorders>
              <w:top w:val="nil"/>
              <w:left w:val="nil"/>
              <w:bottom w:val="single" w:sz="4" w:space="0" w:color="auto"/>
              <w:right w:val="single" w:sz="4" w:space="0" w:color="auto"/>
            </w:tcBorders>
            <w:shd w:val="clear" w:color="auto" w:fill="auto"/>
            <w:noWrap/>
            <w:hideMark/>
          </w:tcPr>
          <w:p w14:paraId="354FBA62"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4EAE0377"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04C7B91C"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55,10</w:t>
            </w:r>
          </w:p>
        </w:tc>
        <w:tc>
          <w:tcPr>
            <w:tcW w:w="1963" w:type="dxa"/>
            <w:tcBorders>
              <w:top w:val="nil"/>
              <w:left w:val="nil"/>
              <w:bottom w:val="single" w:sz="4" w:space="0" w:color="auto"/>
              <w:right w:val="single" w:sz="4" w:space="0" w:color="auto"/>
            </w:tcBorders>
            <w:shd w:val="clear" w:color="auto" w:fill="auto"/>
            <w:noWrap/>
            <w:vAlign w:val="bottom"/>
            <w:hideMark/>
          </w:tcPr>
          <w:p w14:paraId="7D152895"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311,989,09</w:t>
            </w:r>
          </w:p>
        </w:tc>
      </w:tr>
      <w:tr w:rsidR="0004375B" w:rsidRPr="00736B8E" w14:paraId="12483AB9"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5F15F6DF"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2023</w:t>
            </w:r>
          </w:p>
        </w:tc>
        <w:tc>
          <w:tcPr>
            <w:tcW w:w="2248" w:type="dxa"/>
            <w:tcBorders>
              <w:top w:val="nil"/>
              <w:left w:val="nil"/>
              <w:bottom w:val="single" w:sz="4" w:space="0" w:color="auto"/>
              <w:right w:val="single" w:sz="4" w:space="0" w:color="auto"/>
            </w:tcBorders>
            <w:shd w:val="clear" w:color="auto" w:fill="auto"/>
            <w:noWrap/>
            <w:hideMark/>
          </w:tcPr>
          <w:p w14:paraId="68ACB68E"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44E454DB"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06982549"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57,52</w:t>
            </w:r>
          </w:p>
        </w:tc>
        <w:tc>
          <w:tcPr>
            <w:tcW w:w="1963" w:type="dxa"/>
            <w:tcBorders>
              <w:top w:val="nil"/>
              <w:left w:val="nil"/>
              <w:bottom w:val="single" w:sz="4" w:space="0" w:color="auto"/>
              <w:right w:val="single" w:sz="4" w:space="0" w:color="auto"/>
            </w:tcBorders>
            <w:shd w:val="clear" w:color="auto" w:fill="auto"/>
            <w:noWrap/>
            <w:vAlign w:val="bottom"/>
            <w:hideMark/>
          </w:tcPr>
          <w:p w14:paraId="15DB1F30"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325,710,77</w:t>
            </w:r>
          </w:p>
        </w:tc>
      </w:tr>
      <w:tr w:rsidR="0004375B" w:rsidRPr="00736B8E" w14:paraId="657DDEE8"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78018D37"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2024</w:t>
            </w:r>
          </w:p>
        </w:tc>
        <w:tc>
          <w:tcPr>
            <w:tcW w:w="2248" w:type="dxa"/>
            <w:tcBorders>
              <w:top w:val="nil"/>
              <w:left w:val="nil"/>
              <w:bottom w:val="single" w:sz="4" w:space="0" w:color="auto"/>
              <w:right w:val="single" w:sz="4" w:space="0" w:color="auto"/>
            </w:tcBorders>
            <w:shd w:val="clear" w:color="auto" w:fill="auto"/>
            <w:noWrap/>
            <w:hideMark/>
          </w:tcPr>
          <w:p w14:paraId="6E937828"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2A757611"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773F346D"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60,01</w:t>
            </w:r>
          </w:p>
        </w:tc>
        <w:tc>
          <w:tcPr>
            <w:tcW w:w="1963" w:type="dxa"/>
            <w:tcBorders>
              <w:top w:val="nil"/>
              <w:left w:val="nil"/>
              <w:bottom w:val="single" w:sz="4" w:space="0" w:color="auto"/>
              <w:right w:val="single" w:sz="4" w:space="0" w:color="auto"/>
            </w:tcBorders>
            <w:shd w:val="clear" w:color="auto" w:fill="auto"/>
            <w:noWrap/>
            <w:vAlign w:val="bottom"/>
            <w:hideMark/>
          </w:tcPr>
          <w:p w14:paraId="4ECB3A06"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339,810,60</w:t>
            </w:r>
          </w:p>
        </w:tc>
      </w:tr>
      <w:tr w:rsidR="0004375B" w:rsidRPr="00736B8E" w14:paraId="1A4AB54E"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28DD453F"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2025</w:t>
            </w:r>
          </w:p>
        </w:tc>
        <w:tc>
          <w:tcPr>
            <w:tcW w:w="2248" w:type="dxa"/>
            <w:tcBorders>
              <w:top w:val="nil"/>
              <w:left w:val="nil"/>
              <w:bottom w:val="single" w:sz="4" w:space="0" w:color="auto"/>
              <w:right w:val="single" w:sz="4" w:space="0" w:color="auto"/>
            </w:tcBorders>
            <w:shd w:val="clear" w:color="auto" w:fill="auto"/>
            <w:noWrap/>
            <w:hideMark/>
          </w:tcPr>
          <w:p w14:paraId="4BB648FE"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2B1B2093"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4ABD7B3F"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62,69</w:t>
            </w:r>
          </w:p>
        </w:tc>
        <w:tc>
          <w:tcPr>
            <w:tcW w:w="1963" w:type="dxa"/>
            <w:tcBorders>
              <w:top w:val="nil"/>
              <w:left w:val="nil"/>
              <w:bottom w:val="single" w:sz="4" w:space="0" w:color="auto"/>
              <w:right w:val="single" w:sz="4" w:space="0" w:color="auto"/>
            </w:tcBorders>
            <w:shd w:val="clear" w:color="auto" w:fill="auto"/>
            <w:noWrap/>
            <w:vAlign w:val="bottom"/>
            <w:hideMark/>
          </w:tcPr>
          <w:p w14:paraId="622E038A"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354,959,78</w:t>
            </w:r>
          </w:p>
        </w:tc>
      </w:tr>
      <w:tr w:rsidR="0004375B" w:rsidRPr="00736B8E" w14:paraId="27CB8C98"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3F1A2197"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2026</w:t>
            </w:r>
          </w:p>
        </w:tc>
        <w:tc>
          <w:tcPr>
            <w:tcW w:w="2248" w:type="dxa"/>
            <w:tcBorders>
              <w:top w:val="nil"/>
              <w:left w:val="nil"/>
              <w:bottom w:val="single" w:sz="4" w:space="0" w:color="auto"/>
              <w:right w:val="single" w:sz="4" w:space="0" w:color="auto"/>
            </w:tcBorders>
            <w:shd w:val="clear" w:color="auto" w:fill="auto"/>
            <w:noWrap/>
            <w:hideMark/>
          </w:tcPr>
          <w:p w14:paraId="688776CB"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2FE53AE4"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0810FAF3"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65,20</w:t>
            </w:r>
          </w:p>
        </w:tc>
        <w:tc>
          <w:tcPr>
            <w:tcW w:w="1963" w:type="dxa"/>
            <w:tcBorders>
              <w:top w:val="nil"/>
              <w:left w:val="nil"/>
              <w:bottom w:val="single" w:sz="4" w:space="0" w:color="auto"/>
              <w:right w:val="single" w:sz="4" w:space="0" w:color="auto"/>
            </w:tcBorders>
            <w:shd w:val="clear" w:color="auto" w:fill="auto"/>
            <w:noWrap/>
            <w:vAlign w:val="bottom"/>
            <w:hideMark/>
          </w:tcPr>
          <w:p w14:paraId="0E77DFA6"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369.187,82</w:t>
            </w:r>
          </w:p>
        </w:tc>
      </w:tr>
      <w:tr w:rsidR="0004375B" w:rsidRPr="00736B8E" w14:paraId="4C192CEC"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46DD59EB"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2027</w:t>
            </w:r>
          </w:p>
        </w:tc>
        <w:tc>
          <w:tcPr>
            <w:tcW w:w="2248" w:type="dxa"/>
            <w:tcBorders>
              <w:top w:val="nil"/>
              <w:left w:val="nil"/>
              <w:bottom w:val="single" w:sz="4" w:space="0" w:color="auto"/>
              <w:right w:val="single" w:sz="4" w:space="0" w:color="auto"/>
            </w:tcBorders>
            <w:shd w:val="clear" w:color="auto" w:fill="auto"/>
            <w:noWrap/>
            <w:hideMark/>
          </w:tcPr>
          <w:p w14:paraId="34CF56C7"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1140D1EF"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7EC275CB"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67,95</w:t>
            </w:r>
          </w:p>
        </w:tc>
        <w:tc>
          <w:tcPr>
            <w:tcW w:w="1963" w:type="dxa"/>
            <w:tcBorders>
              <w:top w:val="nil"/>
              <w:left w:val="nil"/>
              <w:bottom w:val="single" w:sz="4" w:space="0" w:color="auto"/>
              <w:right w:val="single" w:sz="4" w:space="0" w:color="auto"/>
            </w:tcBorders>
            <w:shd w:val="clear" w:color="auto" w:fill="auto"/>
            <w:noWrap/>
            <w:vAlign w:val="bottom"/>
            <w:hideMark/>
          </w:tcPr>
          <w:p w14:paraId="052DE0E4"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384.747,42</w:t>
            </w:r>
          </w:p>
        </w:tc>
      </w:tr>
      <w:tr w:rsidR="0004375B" w:rsidRPr="00736B8E" w14:paraId="1BEDAA3C"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7CDD2602"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2028</w:t>
            </w:r>
          </w:p>
        </w:tc>
        <w:tc>
          <w:tcPr>
            <w:tcW w:w="2248" w:type="dxa"/>
            <w:tcBorders>
              <w:top w:val="nil"/>
              <w:left w:val="nil"/>
              <w:bottom w:val="single" w:sz="4" w:space="0" w:color="auto"/>
              <w:right w:val="single" w:sz="4" w:space="0" w:color="auto"/>
            </w:tcBorders>
            <w:shd w:val="clear" w:color="auto" w:fill="auto"/>
            <w:noWrap/>
            <w:hideMark/>
          </w:tcPr>
          <w:p w14:paraId="4B08177B"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1079B429"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280140A5"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70,78</w:t>
            </w:r>
          </w:p>
        </w:tc>
        <w:tc>
          <w:tcPr>
            <w:tcW w:w="1963" w:type="dxa"/>
            <w:tcBorders>
              <w:top w:val="nil"/>
              <w:left w:val="nil"/>
              <w:bottom w:val="single" w:sz="4" w:space="0" w:color="auto"/>
              <w:right w:val="single" w:sz="4" w:space="0" w:color="auto"/>
            </w:tcBorders>
            <w:shd w:val="clear" w:color="auto" w:fill="auto"/>
            <w:noWrap/>
            <w:vAlign w:val="bottom"/>
            <w:hideMark/>
          </w:tcPr>
          <w:p w14:paraId="5319B2D0"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400.754,41</w:t>
            </w:r>
          </w:p>
        </w:tc>
      </w:tr>
      <w:tr w:rsidR="0004375B" w:rsidRPr="00736B8E" w14:paraId="0C780EA6"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07A87D04"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2029</w:t>
            </w:r>
          </w:p>
        </w:tc>
        <w:tc>
          <w:tcPr>
            <w:tcW w:w="2248" w:type="dxa"/>
            <w:tcBorders>
              <w:top w:val="nil"/>
              <w:left w:val="nil"/>
              <w:bottom w:val="single" w:sz="4" w:space="0" w:color="auto"/>
              <w:right w:val="single" w:sz="4" w:space="0" w:color="auto"/>
            </w:tcBorders>
            <w:shd w:val="clear" w:color="auto" w:fill="auto"/>
            <w:noWrap/>
            <w:hideMark/>
          </w:tcPr>
          <w:p w14:paraId="65D0C54A"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152D82A0"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0DF8E655"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73,43</w:t>
            </w:r>
          </w:p>
        </w:tc>
        <w:tc>
          <w:tcPr>
            <w:tcW w:w="1963" w:type="dxa"/>
            <w:tcBorders>
              <w:top w:val="nil"/>
              <w:left w:val="nil"/>
              <w:bottom w:val="single" w:sz="4" w:space="0" w:color="auto"/>
              <w:right w:val="single" w:sz="4" w:space="0" w:color="auto"/>
            </w:tcBorders>
            <w:shd w:val="clear" w:color="auto" w:fill="auto"/>
            <w:noWrap/>
            <w:vAlign w:val="bottom"/>
            <w:hideMark/>
          </w:tcPr>
          <w:p w14:paraId="20A8F2D1"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415.793,21</w:t>
            </w:r>
          </w:p>
        </w:tc>
      </w:tr>
      <w:tr w:rsidR="0004375B" w:rsidRPr="00736B8E" w14:paraId="3C3C2402"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74D6BE28"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2030</w:t>
            </w:r>
          </w:p>
        </w:tc>
        <w:tc>
          <w:tcPr>
            <w:tcW w:w="2248" w:type="dxa"/>
            <w:tcBorders>
              <w:top w:val="nil"/>
              <w:left w:val="nil"/>
              <w:bottom w:val="single" w:sz="4" w:space="0" w:color="auto"/>
              <w:right w:val="single" w:sz="4" w:space="0" w:color="auto"/>
            </w:tcBorders>
            <w:shd w:val="clear" w:color="auto" w:fill="auto"/>
            <w:noWrap/>
            <w:hideMark/>
          </w:tcPr>
          <w:p w14:paraId="6D4A0C26"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4CC10551"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23F5C37A"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76,18</w:t>
            </w:r>
          </w:p>
        </w:tc>
        <w:tc>
          <w:tcPr>
            <w:tcW w:w="1963" w:type="dxa"/>
            <w:tcBorders>
              <w:top w:val="nil"/>
              <w:left w:val="nil"/>
              <w:bottom w:val="single" w:sz="4" w:space="0" w:color="auto"/>
              <w:right w:val="single" w:sz="4" w:space="0" w:color="auto"/>
            </w:tcBorders>
            <w:shd w:val="clear" w:color="auto" w:fill="auto"/>
            <w:noWrap/>
            <w:vAlign w:val="bottom"/>
            <w:hideMark/>
          </w:tcPr>
          <w:p w14:paraId="2658EB00"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431.359,35</w:t>
            </w:r>
          </w:p>
        </w:tc>
      </w:tr>
      <w:tr w:rsidR="0004375B" w:rsidRPr="00736B8E" w14:paraId="0B9A6E16"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6A3E45BA"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2031</w:t>
            </w:r>
          </w:p>
        </w:tc>
        <w:tc>
          <w:tcPr>
            <w:tcW w:w="2248" w:type="dxa"/>
            <w:tcBorders>
              <w:top w:val="nil"/>
              <w:left w:val="nil"/>
              <w:bottom w:val="single" w:sz="4" w:space="0" w:color="auto"/>
              <w:right w:val="single" w:sz="4" w:space="0" w:color="auto"/>
            </w:tcBorders>
            <w:shd w:val="clear" w:color="auto" w:fill="auto"/>
            <w:noWrap/>
            <w:hideMark/>
          </w:tcPr>
          <w:p w14:paraId="7205EB13"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6818376E"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041356CC"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79,03</w:t>
            </w:r>
          </w:p>
        </w:tc>
        <w:tc>
          <w:tcPr>
            <w:tcW w:w="1963" w:type="dxa"/>
            <w:tcBorders>
              <w:top w:val="nil"/>
              <w:left w:val="nil"/>
              <w:bottom w:val="single" w:sz="4" w:space="0" w:color="auto"/>
              <w:right w:val="single" w:sz="4" w:space="0" w:color="auto"/>
            </w:tcBorders>
            <w:shd w:val="clear" w:color="auto" w:fill="auto"/>
            <w:noWrap/>
            <w:vAlign w:val="bottom"/>
            <w:hideMark/>
          </w:tcPr>
          <w:p w14:paraId="74F58FCC"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447.508,25</w:t>
            </w:r>
          </w:p>
        </w:tc>
      </w:tr>
      <w:tr w:rsidR="0004375B" w:rsidRPr="00736B8E" w14:paraId="1A10A016"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3E7E07E7"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2032</w:t>
            </w:r>
          </w:p>
        </w:tc>
        <w:tc>
          <w:tcPr>
            <w:tcW w:w="2248" w:type="dxa"/>
            <w:tcBorders>
              <w:top w:val="nil"/>
              <w:left w:val="nil"/>
              <w:bottom w:val="single" w:sz="4" w:space="0" w:color="auto"/>
              <w:right w:val="single" w:sz="4" w:space="0" w:color="auto"/>
            </w:tcBorders>
            <w:shd w:val="clear" w:color="auto" w:fill="auto"/>
            <w:noWrap/>
            <w:hideMark/>
          </w:tcPr>
          <w:p w14:paraId="0401EE75"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5925A132"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13A5D8D4"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81,99</w:t>
            </w:r>
          </w:p>
        </w:tc>
        <w:tc>
          <w:tcPr>
            <w:tcW w:w="1963" w:type="dxa"/>
            <w:tcBorders>
              <w:top w:val="nil"/>
              <w:left w:val="nil"/>
              <w:bottom w:val="single" w:sz="4" w:space="0" w:color="auto"/>
              <w:right w:val="single" w:sz="4" w:space="0" w:color="auto"/>
            </w:tcBorders>
            <w:shd w:val="clear" w:color="auto" w:fill="auto"/>
            <w:noWrap/>
            <w:vAlign w:val="bottom"/>
            <w:hideMark/>
          </w:tcPr>
          <w:p w14:paraId="5C7BF270"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464.261,72</w:t>
            </w:r>
          </w:p>
        </w:tc>
      </w:tr>
      <w:tr w:rsidR="0004375B" w:rsidRPr="00736B8E" w14:paraId="2A2FC3A3"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0ADA26F7"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2033</w:t>
            </w:r>
          </w:p>
        </w:tc>
        <w:tc>
          <w:tcPr>
            <w:tcW w:w="2248" w:type="dxa"/>
            <w:tcBorders>
              <w:top w:val="nil"/>
              <w:left w:val="nil"/>
              <w:bottom w:val="single" w:sz="4" w:space="0" w:color="auto"/>
              <w:right w:val="single" w:sz="4" w:space="0" w:color="auto"/>
            </w:tcBorders>
            <w:shd w:val="clear" w:color="auto" w:fill="auto"/>
            <w:noWrap/>
            <w:hideMark/>
          </w:tcPr>
          <w:p w14:paraId="6E158355"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4A5C3729"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4EBCED4B"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85,06</w:t>
            </w:r>
          </w:p>
        </w:tc>
        <w:tc>
          <w:tcPr>
            <w:tcW w:w="1963" w:type="dxa"/>
            <w:tcBorders>
              <w:top w:val="nil"/>
              <w:left w:val="nil"/>
              <w:bottom w:val="single" w:sz="4" w:space="0" w:color="auto"/>
              <w:right w:val="single" w:sz="4" w:space="0" w:color="auto"/>
            </w:tcBorders>
            <w:shd w:val="clear" w:color="auto" w:fill="auto"/>
            <w:noWrap/>
            <w:vAlign w:val="bottom"/>
            <w:hideMark/>
          </w:tcPr>
          <w:p w14:paraId="40E84870"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481.642,39</w:t>
            </w:r>
          </w:p>
        </w:tc>
      </w:tr>
      <w:tr w:rsidR="0004375B" w:rsidRPr="00736B8E" w14:paraId="2FB97138"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0570FA9E"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2034</w:t>
            </w:r>
          </w:p>
        </w:tc>
        <w:tc>
          <w:tcPr>
            <w:tcW w:w="2248" w:type="dxa"/>
            <w:tcBorders>
              <w:top w:val="nil"/>
              <w:left w:val="nil"/>
              <w:bottom w:val="single" w:sz="4" w:space="0" w:color="auto"/>
              <w:right w:val="single" w:sz="4" w:space="0" w:color="auto"/>
            </w:tcBorders>
            <w:shd w:val="clear" w:color="auto" w:fill="auto"/>
            <w:noWrap/>
            <w:hideMark/>
          </w:tcPr>
          <w:p w14:paraId="5A4B2DED"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112DD596"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266791F8"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88,25</w:t>
            </w:r>
          </w:p>
        </w:tc>
        <w:tc>
          <w:tcPr>
            <w:tcW w:w="1963" w:type="dxa"/>
            <w:tcBorders>
              <w:top w:val="nil"/>
              <w:left w:val="nil"/>
              <w:bottom w:val="single" w:sz="4" w:space="0" w:color="auto"/>
              <w:right w:val="single" w:sz="4" w:space="0" w:color="auto"/>
            </w:tcBorders>
            <w:shd w:val="clear" w:color="auto" w:fill="auto"/>
            <w:noWrap/>
            <w:vAlign w:val="bottom"/>
            <w:hideMark/>
          </w:tcPr>
          <w:p w14:paraId="6E578C97"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499.673,75</w:t>
            </w:r>
          </w:p>
        </w:tc>
      </w:tr>
      <w:tr w:rsidR="0004375B" w:rsidRPr="00736B8E" w14:paraId="48EF1936"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78394EA0"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2035</w:t>
            </w:r>
          </w:p>
        </w:tc>
        <w:tc>
          <w:tcPr>
            <w:tcW w:w="2248" w:type="dxa"/>
            <w:tcBorders>
              <w:top w:val="nil"/>
              <w:left w:val="nil"/>
              <w:bottom w:val="single" w:sz="4" w:space="0" w:color="auto"/>
              <w:right w:val="single" w:sz="4" w:space="0" w:color="auto"/>
            </w:tcBorders>
            <w:shd w:val="clear" w:color="auto" w:fill="auto"/>
            <w:noWrap/>
            <w:hideMark/>
          </w:tcPr>
          <w:p w14:paraId="498A55CC"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5B0A4EBF"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357BD4D9"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91,55</w:t>
            </w:r>
          </w:p>
        </w:tc>
        <w:tc>
          <w:tcPr>
            <w:tcW w:w="1963" w:type="dxa"/>
            <w:tcBorders>
              <w:top w:val="nil"/>
              <w:left w:val="nil"/>
              <w:bottom w:val="single" w:sz="4" w:space="0" w:color="auto"/>
              <w:right w:val="single" w:sz="4" w:space="0" w:color="auto"/>
            </w:tcBorders>
            <w:shd w:val="clear" w:color="auto" w:fill="auto"/>
            <w:noWrap/>
            <w:vAlign w:val="bottom"/>
            <w:hideMark/>
          </w:tcPr>
          <w:p w14:paraId="6AA14C0A"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518.380,15</w:t>
            </w:r>
          </w:p>
        </w:tc>
      </w:tr>
      <w:tr w:rsidR="0004375B" w:rsidRPr="00736B8E" w14:paraId="3E4989F5"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17A716F1"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2036</w:t>
            </w:r>
          </w:p>
        </w:tc>
        <w:tc>
          <w:tcPr>
            <w:tcW w:w="2248" w:type="dxa"/>
            <w:tcBorders>
              <w:top w:val="nil"/>
              <w:left w:val="nil"/>
              <w:bottom w:val="single" w:sz="4" w:space="0" w:color="auto"/>
              <w:right w:val="single" w:sz="4" w:space="0" w:color="auto"/>
            </w:tcBorders>
            <w:shd w:val="clear" w:color="auto" w:fill="auto"/>
            <w:noWrap/>
            <w:hideMark/>
          </w:tcPr>
          <w:p w14:paraId="0027EBBA"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168AFFB0"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6D7FB07E"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94,98</w:t>
            </w:r>
          </w:p>
        </w:tc>
        <w:tc>
          <w:tcPr>
            <w:tcW w:w="1963" w:type="dxa"/>
            <w:tcBorders>
              <w:top w:val="nil"/>
              <w:left w:val="nil"/>
              <w:bottom w:val="single" w:sz="4" w:space="0" w:color="auto"/>
              <w:right w:val="single" w:sz="4" w:space="0" w:color="auto"/>
            </w:tcBorders>
            <w:shd w:val="clear" w:color="auto" w:fill="auto"/>
            <w:noWrap/>
            <w:vAlign w:val="bottom"/>
            <w:hideMark/>
          </w:tcPr>
          <w:p w14:paraId="56A2CAC3"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537.786,86</w:t>
            </w:r>
          </w:p>
        </w:tc>
      </w:tr>
      <w:tr w:rsidR="0004375B" w:rsidRPr="00736B8E" w14:paraId="413AD8F9"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263E6428"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2037</w:t>
            </w:r>
          </w:p>
        </w:tc>
        <w:tc>
          <w:tcPr>
            <w:tcW w:w="2248" w:type="dxa"/>
            <w:tcBorders>
              <w:top w:val="nil"/>
              <w:left w:val="nil"/>
              <w:bottom w:val="single" w:sz="4" w:space="0" w:color="auto"/>
              <w:right w:val="single" w:sz="4" w:space="0" w:color="auto"/>
            </w:tcBorders>
            <w:shd w:val="clear" w:color="auto" w:fill="auto"/>
            <w:noWrap/>
            <w:hideMark/>
          </w:tcPr>
          <w:p w14:paraId="42951871"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6CD76C95"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1F6D7F8D"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98,53</w:t>
            </w:r>
          </w:p>
        </w:tc>
        <w:tc>
          <w:tcPr>
            <w:tcW w:w="1963" w:type="dxa"/>
            <w:tcBorders>
              <w:top w:val="nil"/>
              <w:left w:val="nil"/>
              <w:bottom w:val="single" w:sz="4" w:space="0" w:color="auto"/>
              <w:right w:val="single" w:sz="4" w:space="0" w:color="auto"/>
            </w:tcBorders>
            <w:shd w:val="clear" w:color="auto" w:fill="auto"/>
            <w:noWrap/>
            <w:vAlign w:val="bottom"/>
            <w:hideMark/>
          </w:tcPr>
          <w:p w14:paraId="46C2FB98"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557.920,11</w:t>
            </w:r>
          </w:p>
        </w:tc>
      </w:tr>
      <w:tr w:rsidR="0004375B" w:rsidRPr="00736B8E" w14:paraId="160DDC18"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09A2B1BC"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2038</w:t>
            </w:r>
          </w:p>
        </w:tc>
        <w:tc>
          <w:tcPr>
            <w:tcW w:w="2248" w:type="dxa"/>
            <w:tcBorders>
              <w:top w:val="nil"/>
              <w:left w:val="nil"/>
              <w:bottom w:val="single" w:sz="4" w:space="0" w:color="auto"/>
              <w:right w:val="single" w:sz="4" w:space="0" w:color="auto"/>
            </w:tcBorders>
            <w:shd w:val="clear" w:color="auto" w:fill="auto"/>
            <w:noWrap/>
            <w:hideMark/>
          </w:tcPr>
          <w:p w14:paraId="418934A4"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47B54C06"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vAlign w:val="center"/>
            <w:hideMark/>
          </w:tcPr>
          <w:p w14:paraId="113250DC"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vAlign w:val="bottom"/>
            <w:hideMark/>
          </w:tcPr>
          <w:p w14:paraId="5254B0C2" w14:textId="77777777" w:rsidR="0004375B" w:rsidRPr="00736B8E" w:rsidRDefault="0004375B" w:rsidP="0004375B">
            <w:pPr>
              <w:jc w:val="center"/>
              <w:rPr>
                <w:rFonts w:eastAsia="Times New Roman" w:cs="Arial"/>
                <w:color w:val="000000"/>
                <w:sz w:val="20"/>
                <w:szCs w:val="20"/>
                <w:lang w:val="es-US"/>
              </w:rPr>
            </w:pPr>
            <w:r w:rsidRPr="00736B8E">
              <w:rPr>
                <w:rFonts w:eastAsia="Times New Roman" w:cs="Arial"/>
                <w:color w:val="000000"/>
                <w:sz w:val="20"/>
                <w:szCs w:val="20"/>
                <w:lang w:val="es-US"/>
              </w:rPr>
              <w:t>575.563,30</w:t>
            </w:r>
          </w:p>
        </w:tc>
      </w:tr>
      <w:tr w:rsidR="0004375B" w:rsidRPr="00736B8E" w14:paraId="27061BC5"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2CC1417D"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2039</w:t>
            </w:r>
          </w:p>
        </w:tc>
        <w:tc>
          <w:tcPr>
            <w:tcW w:w="2248" w:type="dxa"/>
            <w:tcBorders>
              <w:top w:val="nil"/>
              <w:left w:val="nil"/>
              <w:bottom w:val="single" w:sz="4" w:space="0" w:color="auto"/>
              <w:right w:val="single" w:sz="4" w:space="0" w:color="auto"/>
            </w:tcBorders>
            <w:shd w:val="clear" w:color="auto" w:fill="auto"/>
            <w:noWrap/>
            <w:hideMark/>
          </w:tcPr>
          <w:p w14:paraId="0CFA17CE"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716FE092"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6C073DB8"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6CD79F45"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r w:rsidR="0004375B" w:rsidRPr="00736B8E" w14:paraId="78A1EEFA"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3064183A"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2040</w:t>
            </w:r>
          </w:p>
        </w:tc>
        <w:tc>
          <w:tcPr>
            <w:tcW w:w="2248" w:type="dxa"/>
            <w:tcBorders>
              <w:top w:val="nil"/>
              <w:left w:val="nil"/>
              <w:bottom w:val="single" w:sz="4" w:space="0" w:color="auto"/>
              <w:right w:val="single" w:sz="4" w:space="0" w:color="auto"/>
            </w:tcBorders>
            <w:shd w:val="clear" w:color="auto" w:fill="auto"/>
            <w:noWrap/>
            <w:hideMark/>
          </w:tcPr>
          <w:p w14:paraId="0B0243BD"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70ED54E4"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5BDEA79C"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07D10463"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r w:rsidR="0004375B" w:rsidRPr="00736B8E" w14:paraId="088DE20C"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7759E2AE"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2041</w:t>
            </w:r>
          </w:p>
        </w:tc>
        <w:tc>
          <w:tcPr>
            <w:tcW w:w="2248" w:type="dxa"/>
            <w:tcBorders>
              <w:top w:val="nil"/>
              <w:left w:val="nil"/>
              <w:bottom w:val="single" w:sz="4" w:space="0" w:color="auto"/>
              <w:right w:val="single" w:sz="4" w:space="0" w:color="auto"/>
            </w:tcBorders>
            <w:shd w:val="clear" w:color="auto" w:fill="auto"/>
            <w:noWrap/>
            <w:hideMark/>
          </w:tcPr>
          <w:p w14:paraId="4E5A22C6"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72F4DF9E"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37339A7F"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51BADBC4"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r w:rsidR="0004375B" w:rsidRPr="00736B8E" w14:paraId="3B0BF6EB"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462592CB"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2042</w:t>
            </w:r>
          </w:p>
        </w:tc>
        <w:tc>
          <w:tcPr>
            <w:tcW w:w="2248" w:type="dxa"/>
            <w:tcBorders>
              <w:top w:val="nil"/>
              <w:left w:val="nil"/>
              <w:bottom w:val="single" w:sz="4" w:space="0" w:color="auto"/>
              <w:right w:val="single" w:sz="4" w:space="0" w:color="auto"/>
            </w:tcBorders>
            <w:shd w:val="clear" w:color="auto" w:fill="auto"/>
            <w:noWrap/>
            <w:hideMark/>
          </w:tcPr>
          <w:p w14:paraId="2A7D4493"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22BC722D"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3274F9B9"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4C9CEBB9"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r w:rsidR="0004375B" w:rsidRPr="00736B8E" w14:paraId="35283575"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550C5FA0"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2043</w:t>
            </w:r>
          </w:p>
        </w:tc>
        <w:tc>
          <w:tcPr>
            <w:tcW w:w="2248" w:type="dxa"/>
            <w:tcBorders>
              <w:top w:val="nil"/>
              <w:left w:val="nil"/>
              <w:bottom w:val="single" w:sz="4" w:space="0" w:color="auto"/>
              <w:right w:val="single" w:sz="4" w:space="0" w:color="auto"/>
            </w:tcBorders>
            <w:shd w:val="clear" w:color="auto" w:fill="auto"/>
            <w:noWrap/>
            <w:hideMark/>
          </w:tcPr>
          <w:p w14:paraId="56BD5730"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38C6B304"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39CE6D7B"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3F4AD708"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r w:rsidR="0004375B" w:rsidRPr="00736B8E" w14:paraId="4160E00E"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6297A464"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2044</w:t>
            </w:r>
          </w:p>
        </w:tc>
        <w:tc>
          <w:tcPr>
            <w:tcW w:w="2248" w:type="dxa"/>
            <w:tcBorders>
              <w:top w:val="nil"/>
              <w:left w:val="nil"/>
              <w:bottom w:val="single" w:sz="4" w:space="0" w:color="auto"/>
              <w:right w:val="single" w:sz="4" w:space="0" w:color="auto"/>
            </w:tcBorders>
            <w:shd w:val="clear" w:color="auto" w:fill="auto"/>
            <w:noWrap/>
            <w:hideMark/>
          </w:tcPr>
          <w:p w14:paraId="6E8A76D4"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50FD8F70"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2A748F3C"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54A7B894"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r w:rsidR="0004375B" w:rsidRPr="00736B8E" w14:paraId="55FD2F41"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3C804E34"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2045</w:t>
            </w:r>
          </w:p>
        </w:tc>
        <w:tc>
          <w:tcPr>
            <w:tcW w:w="2248" w:type="dxa"/>
            <w:tcBorders>
              <w:top w:val="nil"/>
              <w:left w:val="nil"/>
              <w:bottom w:val="single" w:sz="4" w:space="0" w:color="auto"/>
              <w:right w:val="single" w:sz="4" w:space="0" w:color="auto"/>
            </w:tcBorders>
            <w:shd w:val="clear" w:color="auto" w:fill="auto"/>
            <w:noWrap/>
            <w:hideMark/>
          </w:tcPr>
          <w:p w14:paraId="214507EB"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704D92D7"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6B074574"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11005D04"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r w:rsidR="0004375B" w:rsidRPr="00736B8E" w14:paraId="44B390F9" w14:textId="77777777" w:rsidTr="00006262">
        <w:trPr>
          <w:trHeight w:val="300"/>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14:paraId="6D0AB16B" w14:textId="77777777" w:rsidR="0004375B" w:rsidRPr="00736B8E" w:rsidRDefault="0004375B" w:rsidP="0004375B">
            <w:pPr>
              <w:ind w:left="300"/>
              <w:jc w:val="center"/>
              <w:rPr>
                <w:rFonts w:eastAsia="Times New Roman" w:cs="Arial"/>
                <w:color w:val="000000"/>
                <w:sz w:val="20"/>
                <w:szCs w:val="20"/>
                <w:lang w:val="es-US"/>
              </w:rPr>
            </w:pPr>
            <w:r w:rsidRPr="00736B8E">
              <w:rPr>
                <w:rFonts w:eastAsia="Times New Roman" w:cs="Arial"/>
                <w:color w:val="000000"/>
                <w:sz w:val="20"/>
                <w:szCs w:val="20"/>
                <w:lang w:val="es-US"/>
              </w:rPr>
              <w:t>2046</w:t>
            </w:r>
          </w:p>
        </w:tc>
        <w:tc>
          <w:tcPr>
            <w:tcW w:w="2248" w:type="dxa"/>
            <w:tcBorders>
              <w:top w:val="nil"/>
              <w:left w:val="nil"/>
              <w:bottom w:val="single" w:sz="4" w:space="0" w:color="auto"/>
              <w:right w:val="single" w:sz="4" w:space="0" w:color="auto"/>
            </w:tcBorders>
            <w:shd w:val="clear" w:color="auto" w:fill="auto"/>
            <w:noWrap/>
            <w:hideMark/>
          </w:tcPr>
          <w:p w14:paraId="4E4549C9" w14:textId="77777777" w:rsidR="0004375B" w:rsidRPr="00736B8E" w:rsidRDefault="0004375B" w:rsidP="0004375B">
            <w:pPr>
              <w:jc w:val="center"/>
              <w:rPr>
                <w:lang w:val="es-US"/>
              </w:rPr>
            </w:pPr>
            <w:r w:rsidRPr="00736B8E">
              <w:rPr>
                <w:rFonts w:eastAsia="Times New Roman" w:cs="Arial"/>
                <w:color w:val="000000"/>
                <w:sz w:val="20"/>
                <w:szCs w:val="20"/>
                <w:lang w:val="es-US"/>
              </w:rPr>
              <w:t>50,00</w:t>
            </w:r>
          </w:p>
        </w:tc>
        <w:tc>
          <w:tcPr>
            <w:tcW w:w="1777" w:type="dxa"/>
            <w:tcBorders>
              <w:top w:val="nil"/>
              <w:left w:val="nil"/>
              <w:bottom w:val="single" w:sz="4" w:space="0" w:color="auto"/>
              <w:right w:val="single" w:sz="4" w:space="0" w:color="auto"/>
            </w:tcBorders>
            <w:shd w:val="clear" w:color="auto" w:fill="auto"/>
            <w:noWrap/>
            <w:hideMark/>
          </w:tcPr>
          <w:p w14:paraId="532C7DDC" w14:textId="77777777" w:rsidR="0004375B" w:rsidRPr="00736B8E" w:rsidRDefault="0004375B" w:rsidP="0004375B">
            <w:pPr>
              <w:jc w:val="center"/>
              <w:rPr>
                <w:lang w:val="es-US"/>
              </w:rPr>
            </w:pPr>
            <w:r w:rsidRPr="00736B8E">
              <w:rPr>
                <w:rFonts w:eastAsia="Times New Roman" w:cs="Arial"/>
                <w:color w:val="000000"/>
                <w:sz w:val="20"/>
                <w:szCs w:val="20"/>
                <w:lang w:val="es-US"/>
              </w:rPr>
              <w:t>285.393,66</w:t>
            </w:r>
          </w:p>
        </w:tc>
        <w:tc>
          <w:tcPr>
            <w:tcW w:w="1965" w:type="dxa"/>
            <w:tcBorders>
              <w:top w:val="nil"/>
              <w:left w:val="nil"/>
              <w:bottom w:val="single" w:sz="4" w:space="0" w:color="auto"/>
              <w:right w:val="single" w:sz="4" w:space="0" w:color="auto"/>
            </w:tcBorders>
            <w:shd w:val="clear" w:color="auto" w:fill="auto"/>
            <w:noWrap/>
            <w:hideMark/>
          </w:tcPr>
          <w:p w14:paraId="6CE53297" w14:textId="77777777" w:rsidR="0004375B" w:rsidRPr="00736B8E" w:rsidRDefault="0004375B" w:rsidP="0004375B">
            <w:pPr>
              <w:jc w:val="center"/>
              <w:rPr>
                <w:lang w:val="es-US"/>
              </w:rPr>
            </w:pPr>
            <w:r w:rsidRPr="00736B8E">
              <w:rPr>
                <w:rFonts w:eastAsia="Times New Roman" w:cs="Arial"/>
                <w:color w:val="000000"/>
                <w:sz w:val="20"/>
                <w:szCs w:val="20"/>
                <w:lang w:val="es-US"/>
              </w:rPr>
              <w:t>100,00</w:t>
            </w:r>
          </w:p>
        </w:tc>
        <w:tc>
          <w:tcPr>
            <w:tcW w:w="1963" w:type="dxa"/>
            <w:tcBorders>
              <w:top w:val="nil"/>
              <w:left w:val="nil"/>
              <w:bottom w:val="single" w:sz="4" w:space="0" w:color="auto"/>
              <w:right w:val="single" w:sz="4" w:space="0" w:color="auto"/>
            </w:tcBorders>
            <w:shd w:val="clear" w:color="auto" w:fill="auto"/>
            <w:noWrap/>
            <w:hideMark/>
          </w:tcPr>
          <w:p w14:paraId="2FD2CA9C" w14:textId="77777777" w:rsidR="0004375B" w:rsidRPr="00736B8E" w:rsidRDefault="0004375B" w:rsidP="0004375B">
            <w:pPr>
              <w:jc w:val="center"/>
              <w:rPr>
                <w:lang w:val="es-US"/>
              </w:rPr>
            </w:pPr>
            <w:r w:rsidRPr="00736B8E">
              <w:rPr>
                <w:rFonts w:eastAsia="Times New Roman" w:cs="Arial"/>
                <w:color w:val="000000"/>
                <w:sz w:val="20"/>
                <w:szCs w:val="20"/>
                <w:lang w:val="es-US"/>
              </w:rPr>
              <w:t>575.563,30</w:t>
            </w:r>
          </w:p>
        </w:tc>
      </w:tr>
    </w:tbl>
    <w:p w14:paraId="37CD732E" w14:textId="77777777" w:rsidR="0056187F" w:rsidRDefault="00D75135" w:rsidP="00D365FF">
      <w:pPr>
        <w:spacing w:after="200" w:line="276" w:lineRule="auto"/>
        <w:rPr>
          <w:rFonts w:cs="Arial"/>
          <w:sz w:val="20"/>
          <w:szCs w:val="20"/>
        </w:rPr>
      </w:pPr>
      <w:r w:rsidRPr="00FD1BF7">
        <w:rPr>
          <w:rFonts w:cs="Arial"/>
          <w:sz w:val="20"/>
          <w:szCs w:val="20"/>
        </w:rPr>
        <w:t>Fuente: ENEE</w:t>
      </w:r>
    </w:p>
    <w:p w14:paraId="5FC87391" w14:textId="77777777" w:rsidR="0056187F" w:rsidRDefault="0056187F" w:rsidP="00D365FF">
      <w:pPr>
        <w:spacing w:after="200" w:line="276" w:lineRule="auto"/>
        <w:rPr>
          <w:rFonts w:cs="Arial"/>
          <w:sz w:val="20"/>
          <w:szCs w:val="20"/>
        </w:rPr>
      </w:pPr>
    </w:p>
    <w:p w14:paraId="280662EF" w14:textId="77777777" w:rsidR="0056187F" w:rsidRDefault="0056187F" w:rsidP="00D365FF">
      <w:pPr>
        <w:spacing w:after="200" w:line="276" w:lineRule="auto"/>
        <w:rPr>
          <w:rFonts w:cs="Arial"/>
          <w:sz w:val="20"/>
          <w:szCs w:val="20"/>
        </w:rPr>
      </w:pPr>
    </w:p>
    <w:p w14:paraId="180E3BD3" w14:textId="77777777" w:rsidR="0056187F" w:rsidRDefault="0056187F" w:rsidP="00D365FF">
      <w:pPr>
        <w:spacing w:after="200" w:line="276" w:lineRule="auto"/>
        <w:rPr>
          <w:rFonts w:cs="Arial"/>
          <w:sz w:val="20"/>
          <w:szCs w:val="20"/>
        </w:rPr>
      </w:pPr>
    </w:p>
    <w:p w14:paraId="7519CEB0" w14:textId="77777777" w:rsidR="0056187F" w:rsidRDefault="0056187F" w:rsidP="00D365FF">
      <w:pPr>
        <w:spacing w:after="200" w:line="276" w:lineRule="auto"/>
        <w:rPr>
          <w:rFonts w:cs="Arial"/>
          <w:sz w:val="20"/>
          <w:szCs w:val="20"/>
        </w:rPr>
      </w:pPr>
    </w:p>
    <w:tbl>
      <w:tblPr>
        <w:tblW w:w="10960" w:type="dxa"/>
        <w:tblInd w:w="-910" w:type="dxa"/>
        <w:tblLook w:val="04A0" w:firstRow="1" w:lastRow="0" w:firstColumn="1" w:lastColumn="0" w:noHBand="0" w:noVBand="1"/>
      </w:tblPr>
      <w:tblGrid>
        <w:gridCol w:w="676"/>
        <w:gridCol w:w="2394"/>
        <w:gridCol w:w="1107"/>
        <w:gridCol w:w="1500"/>
        <w:gridCol w:w="1334"/>
        <w:gridCol w:w="1334"/>
        <w:gridCol w:w="1500"/>
        <w:gridCol w:w="1107"/>
        <w:gridCol w:w="8"/>
      </w:tblGrid>
      <w:tr w:rsidR="00CA361B" w:rsidRPr="001A164B" w14:paraId="7F0A6B11" w14:textId="77777777" w:rsidTr="00522D45">
        <w:trPr>
          <w:trHeight w:val="300"/>
        </w:trPr>
        <w:tc>
          <w:tcPr>
            <w:tcW w:w="10960" w:type="dxa"/>
            <w:gridSpan w:val="9"/>
            <w:tcBorders>
              <w:bottom w:val="single" w:sz="4" w:space="0" w:color="auto"/>
            </w:tcBorders>
            <w:shd w:val="clear" w:color="auto" w:fill="auto"/>
            <w:noWrap/>
            <w:vAlign w:val="bottom"/>
            <w:hideMark/>
          </w:tcPr>
          <w:p w14:paraId="7A1B2940" w14:textId="77777777" w:rsidR="00CA361B" w:rsidRPr="00CA361B" w:rsidRDefault="00CA361B" w:rsidP="00CA361B">
            <w:pPr>
              <w:jc w:val="center"/>
              <w:rPr>
                <w:rFonts w:ascii="Calibri" w:eastAsia="Times New Roman" w:hAnsi="Calibri" w:cs="Calibri"/>
                <w:b/>
                <w:bCs/>
                <w:color w:val="000000"/>
                <w:lang w:val="es-US"/>
              </w:rPr>
            </w:pPr>
            <w:r>
              <w:rPr>
                <w:rFonts w:ascii="Calibri" w:eastAsia="Times New Roman" w:hAnsi="Calibri" w:cs="Calibri"/>
                <w:b/>
                <w:bCs/>
                <w:color w:val="000000"/>
                <w:lang w:val="es-US"/>
              </w:rPr>
              <w:lastRenderedPageBreak/>
              <w:t xml:space="preserve">Cuadro B4 - </w:t>
            </w:r>
            <w:r w:rsidRPr="00CA361B">
              <w:rPr>
                <w:rFonts w:ascii="Calibri" w:eastAsia="Times New Roman" w:hAnsi="Calibri" w:cs="Calibri"/>
                <w:b/>
                <w:bCs/>
                <w:color w:val="000000"/>
                <w:lang w:val="es-US"/>
              </w:rPr>
              <w:t>Pérdidas de Energía Eléctricas en el SIN (MWh)</w:t>
            </w:r>
          </w:p>
        </w:tc>
      </w:tr>
      <w:tr w:rsidR="00CA361B" w:rsidRPr="00CA361B" w14:paraId="258EF8AD" w14:textId="77777777" w:rsidTr="00C6301E">
        <w:trPr>
          <w:gridAfter w:val="1"/>
          <w:wAfter w:w="8" w:type="dxa"/>
          <w:trHeight w:val="300"/>
        </w:trPr>
        <w:tc>
          <w:tcPr>
            <w:tcW w:w="676" w:type="dxa"/>
            <w:vMerge w:val="restart"/>
            <w:tcBorders>
              <w:top w:val="nil"/>
              <w:left w:val="single" w:sz="4" w:space="0" w:color="auto"/>
              <w:bottom w:val="single" w:sz="4" w:space="0" w:color="auto"/>
              <w:right w:val="single" w:sz="4" w:space="0" w:color="auto"/>
            </w:tcBorders>
            <w:shd w:val="clear" w:color="auto" w:fill="DDD9C3" w:themeFill="background2" w:themeFillShade="E6"/>
            <w:noWrap/>
            <w:vAlign w:val="center"/>
            <w:hideMark/>
          </w:tcPr>
          <w:p w14:paraId="4DBA5DE4"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Año</w:t>
            </w:r>
          </w:p>
        </w:tc>
        <w:tc>
          <w:tcPr>
            <w:tcW w:w="2394" w:type="dxa"/>
            <w:tcBorders>
              <w:top w:val="nil"/>
              <w:left w:val="nil"/>
              <w:bottom w:val="single" w:sz="4" w:space="0" w:color="auto"/>
              <w:right w:val="single" w:sz="4" w:space="0" w:color="auto"/>
            </w:tcBorders>
            <w:shd w:val="clear" w:color="auto" w:fill="DDD9C3" w:themeFill="background2" w:themeFillShade="E6"/>
            <w:noWrap/>
            <w:vAlign w:val="center"/>
            <w:hideMark/>
          </w:tcPr>
          <w:p w14:paraId="01B0D14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Estación</w:t>
            </w:r>
          </w:p>
        </w:tc>
        <w:tc>
          <w:tcPr>
            <w:tcW w:w="3941" w:type="dxa"/>
            <w:gridSpan w:val="3"/>
            <w:tcBorders>
              <w:top w:val="single" w:sz="4" w:space="0" w:color="auto"/>
              <w:left w:val="nil"/>
              <w:bottom w:val="nil"/>
              <w:right w:val="single" w:sz="4" w:space="0" w:color="auto"/>
            </w:tcBorders>
            <w:shd w:val="clear" w:color="auto" w:fill="DDD9C3" w:themeFill="background2" w:themeFillShade="E6"/>
            <w:noWrap/>
            <w:vAlign w:val="center"/>
            <w:hideMark/>
          </w:tcPr>
          <w:p w14:paraId="7758E49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Seca</w:t>
            </w:r>
          </w:p>
        </w:tc>
        <w:tc>
          <w:tcPr>
            <w:tcW w:w="3941" w:type="dxa"/>
            <w:gridSpan w:val="3"/>
            <w:tcBorders>
              <w:top w:val="single" w:sz="4" w:space="0" w:color="auto"/>
              <w:left w:val="nil"/>
              <w:bottom w:val="nil"/>
              <w:right w:val="single" w:sz="4" w:space="0" w:color="auto"/>
            </w:tcBorders>
            <w:shd w:val="clear" w:color="auto" w:fill="DDD9C3" w:themeFill="background2" w:themeFillShade="E6"/>
            <w:noWrap/>
            <w:vAlign w:val="center"/>
            <w:hideMark/>
          </w:tcPr>
          <w:p w14:paraId="284621E4"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Húmeda</w:t>
            </w:r>
          </w:p>
        </w:tc>
      </w:tr>
      <w:tr w:rsidR="00AF418B" w:rsidRPr="00CA361B" w14:paraId="7F987425" w14:textId="77777777" w:rsidTr="00C6301E">
        <w:trPr>
          <w:gridAfter w:val="1"/>
          <w:wAfter w:w="8" w:type="dxa"/>
          <w:trHeight w:val="300"/>
        </w:trPr>
        <w:tc>
          <w:tcPr>
            <w:tcW w:w="676" w:type="dxa"/>
            <w:vMerge/>
            <w:tcBorders>
              <w:top w:val="nil"/>
              <w:left w:val="single" w:sz="4" w:space="0" w:color="auto"/>
              <w:bottom w:val="single" w:sz="4" w:space="0" w:color="auto"/>
              <w:right w:val="single" w:sz="4" w:space="0" w:color="auto"/>
            </w:tcBorders>
            <w:shd w:val="clear" w:color="auto" w:fill="DDD9C3" w:themeFill="background2" w:themeFillShade="E6"/>
            <w:vAlign w:val="center"/>
            <w:hideMark/>
          </w:tcPr>
          <w:p w14:paraId="78E6DE4F" w14:textId="77777777" w:rsidR="00CA361B" w:rsidRPr="00CA361B" w:rsidRDefault="00CA361B" w:rsidP="00CA361B">
            <w:pPr>
              <w:rPr>
                <w:rFonts w:ascii="Calibri" w:eastAsia="Times New Roman" w:hAnsi="Calibri" w:cs="Calibri"/>
                <w:color w:val="000000"/>
                <w:lang w:val="es-US"/>
              </w:rPr>
            </w:pPr>
          </w:p>
        </w:tc>
        <w:tc>
          <w:tcPr>
            <w:tcW w:w="2394" w:type="dxa"/>
            <w:tcBorders>
              <w:top w:val="nil"/>
              <w:left w:val="nil"/>
              <w:bottom w:val="single" w:sz="4" w:space="0" w:color="auto"/>
              <w:right w:val="single" w:sz="4" w:space="0" w:color="auto"/>
            </w:tcBorders>
            <w:shd w:val="clear" w:color="auto" w:fill="DDD9C3" w:themeFill="background2" w:themeFillShade="E6"/>
            <w:noWrap/>
            <w:vAlign w:val="center"/>
            <w:hideMark/>
          </w:tcPr>
          <w:p w14:paraId="4BEB7841"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Caso</w:t>
            </w:r>
          </w:p>
        </w:tc>
        <w:tc>
          <w:tcPr>
            <w:tcW w:w="1107"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237143AF"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Máxima</w:t>
            </w:r>
          </w:p>
        </w:tc>
        <w:tc>
          <w:tcPr>
            <w:tcW w:w="1500"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4B3E63E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Media</w:t>
            </w:r>
          </w:p>
        </w:tc>
        <w:tc>
          <w:tcPr>
            <w:tcW w:w="1334"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338B216F"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Mínima</w:t>
            </w:r>
          </w:p>
        </w:tc>
        <w:tc>
          <w:tcPr>
            <w:tcW w:w="1334"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7B8E5F9C"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Máxima</w:t>
            </w:r>
          </w:p>
        </w:tc>
        <w:tc>
          <w:tcPr>
            <w:tcW w:w="1500"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1FF6DE08"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Media</w:t>
            </w:r>
          </w:p>
        </w:tc>
        <w:tc>
          <w:tcPr>
            <w:tcW w:w="1107"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5CB0A43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Mínima</w:t>
            </w:r>
          </w:p>
        </w:tc>
      </w:tr>
      <w:tr w:rsidR="00CA361B" w:rsidRPr="00CA361B" w14:paraId="76158F08" w14:textId="77777777" w:rsidTr="00522D45">
        <w:trPr>
          <w:gridAfter w:val="1"/>
          <w:wAfter w:w="8" w:type="dxa"/>
          <w:trHeight w:val="300"/>
        </w:trPr>
        <w:tc>
          <w:tcPr>
            <w:tcW w:w="676" w:type="dxa"/>
            <w:tcBorders>
              <w:top w:val="nil"/>
              <w:left w:val="single" w:sz="4" w:space="0" w:color="auto"/>
              <w:bottom w:val="single" w:sz="4" w:space="0" w:color="auto"/>
              <w:right w:val="single" w:sz="4" w:space="0" w:color="auto"/>
            </w:tcBorders>
            <w:shd w:val="clear" w:color="auto" w:fill="auto"/>
            <w:noWrap/>
            <w:vAlign w:val="center"/>
            <w:hideMark/>
          </w:tcPr>
          <w:p w14:paraId="16ACA90E"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2017</w:t>
            </w:r>
          </w:p>
        </w:tc>
        <w:tc>
          <w:tcPr>
            <w:tcW w:w="2394" w:type="dxa"/>
            <w:tcBorders>
              <w:top w:val="nil"/>
              <w:left w:val="nil"/>
              <w:bottom w:val="single" w:sz="4" w:space="0" w:color="auto"/>
              <w:right w:val="single" w:sz="4" w:space="0" w:color="auto"/>
            </w:tcBorders>
            <w:shd w:val="clear" w:color="auto" w:fill="auto"/>
            <w:noWrap/>
            <w:vAlign w:val="center"/>
            <w:hideMark/>
          </w:tcPr>
          <w:p w14:paraId="78DE2A11" w14:textId="77777777" w:rsidR="00CA361B" w:rsidRPr="00CA361B" w:rsidRDefault="00CA361B" w:rsidP="00CA361B">
            <w:pPr>
              <w:rPr>
                <w:rFonts w:ascii="Calibri" w:eastAsia="Times New Roman" w:hAnsi="Calibri" w:cs="Calibri"/>
                <w:color w:val="000000"/>
                <w:lang w:val="es-US"/>
              </w:rPr>
            </w:pPr>
            <w:r w:rsidRPr="00CA361B">
              <w:rPr>
                <w:rFonts w:ascii="Calibri" w:eastAsia="Times New Roman" w:hAnsi="Calibri" w:cs="Calibri"/>
                <w:color w:val="000000"/>
                <w:lang w:val="es-US"/>
              </w:rPr>
              <w:t>Sin Proyecto</w:t>
            </w:r>
          </w:p>
        </w:tc>
        <w:tc>
          <w:tcPr>
            <w:tcW w:w="1107" w:type="dxa"/>
            <w:tcBorders>
              <w:top w:val="nil"/>
              <w:left w:val="nil"/>
              <w:bottom w:val="single" w:sz="4" w:space="0" w:color="auto"/>
              <w:right w:val="single" w:sz="4" w:space="0" w:color="auto"/>
            </w:tcBorders>
            <w:shd w:val="clear" w:color="auto" w:fill="auto"/>
            <w:noWrap/>
            <w:vAlign w:val="center"/>
            <w:hideMark/>
          </w:tcPr>
          <w:p w14:paraId="7E00BFEA"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083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60</w:t>
            </w:r>
          </w:p>
        </w:tc>
        <w:tc>
          <w:tcPr>
            <w:tcW w:w="1500" w:type="dxa"/>
            <w:tcBorders>
              <w:top w:val="nil"/>
              <w:left w:val="nil"/>
              <w:bottom w:val="single" w:sz="4" w:space="0" w:color="auto"/>
              <w:right w:val="single" w:sz="4" w:space="0" w:color="auto"/>
            </w:tcBorders>
            <w:shd w:val="clear" w:color="auto" w:fill="auto"/>
            <w:noWrap/>
            <w:vAlign w:val="center"/>
            <w:hideMark/>
          </w:tcPr>
          <w:p w14:paraId="7DCF6A04"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72</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288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w:t>
            </w:r>
          </w:p>
        </w:tc>
        <w:tc>
          <w:tcPr>
            <w:tcW w:w="1334" w:type="dxa"/>
            <w:tcBorders>
              <w:top w:val="nil"/>
              <w:left w:val="nil"/>
              <w:bottom w:val="single" w:sz="4" w:space="0" w:color="auto"/>
              <w:right w:val="single" w:sz="4" w:space="0" w:color="auto"/>
            </w:tcBorders>
            <w:shd w:val="clear" w:color="auto" w:fill="auto"/>
            <w:noWrap/>
            <w:vAlign w:val="center"/>
            <w:hideMark/>
          </w:tcPr>
          <w:p w14:paraId="19231EF4"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607</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50</w:t>
            </w:r>
          </w:p>
        </w:tc>
        <w:tc>
          <w:tcPr>
            <w:tcW w:w="1334" w:type="dxa"/>
            <w:tcBorders>
              <w:top w:val="nil"/>
              <w:left w:val="nil"/>
              <w:bottom w:val="single" w:sz="4" w:space="0" w:color="auto"/>
              <w:right w:val="single" w:sz="4" w:space="0" w:color="auto"/>
            </w:tcBorders>
            <w:shd w:val="clear" w:color="auto" w:fill="auto"/>
            <w:noWrap/>
            <w:vAlign w:val="center"/>
            <w:hideMark/>
          </w:tcPr>
          <w:p w14:paraId="73674816"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31</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521</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40</w:t>
            </w:r>
          </w:p>
        </w:tc>
        <w:tc>
          <w:tcPr>
            <w:tcW w:w="1500" w:type="dxa"/>
            <w:tcBorders>
              <w:top w:val="nil"/>
              <w:left w:val="nil"/>
              <w:bottom w:val="single" w:sz="4" w:space="0" w:color="auto"/>
              <w:right w:val="single" w:sz="4" w:space="0" w:color="auto"/>
            </w:tcBorders>
            <w:shd w:val="clear" w:color="auto" w:fill="auto"/>
            <w:noWrap/>
            <w:vAlign w:val="center"/>
            <w:hideMark/>
          </w:tcPr>
          <w:p w14:paraId="5C455ED7"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69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879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w:t>
            </w:r>
          </w:p>
        </w:tc>
        <w:tc>
          <w:tcPr>
            <w:tcW w:w="1107" w:type="dxa"/>
            <w:tcBorders>
              <w:top w:val="nil"/>
              <w:left w:val="nil"/>
              <w:bottom w:val="single" w:sz="4" w:space="0" w:color="auto"/>
              <w:right w:val="single" w:sz="4" w:space="0" w:color="auto"/>
            </w:tcBorders>
            <w:shd w:val="clear" w:color="auto" w:fill="auto"/>
            <w:noWrap/>
            <w:vAlign w:val="center"/>
            <w:hideMark/>
          </w:tcPr>
          <w:p w14:paraId="6C5438D7"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093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w:t>
            </w:r>
          </w:p>
        </w:tc>
      </w:tr>
      <w:tr w:rsidR="00CA361B" w:rsidRPr="00CA361B" w14:paraId="32710194" w14:textId="77777777" w:rsidTr="00522D45">
        <w:trPr>
          <w:gridAfter w:val="1"/>
          <w:wAfter w:w="8" w:type="dxa"/>
          <w:trHeight w:val="300"/>
        </w:trPr>
        <w:tc>
          <w:tcPr>
            <w:tcW w:w="676" w:type="dxa"/>
            <w:tcBorders>
              <w:top w:val="nil"/>
              <w:left w:val="single" w:sz="4" w:space="0" w:color="auto"/>
              <w:bottom w:val="single" w:sz="4" w:space="0" w:color="auto"/>
              <w:right w:val="single" w:sz="4" w:space="0" w:color="auto"/>
            </w:tcBorders>
            <w:shd w:val="clear" w:color="auto" w:fill="auto"/>
            <w:noWrap/>
            <w:vAlign w:val="center"/>
            <w:hideMark/>
          </w:tcPr>
          <w:p w14:paraId="341D1AB8"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2017</w:t>
            </w:r>
          </w:p>
        </w:tc>
        <w:tc>
          <w:tcPr>
            <w:tcW w:w="2394" w:type="dxa"/>
            <w:tcBorders>
              <w:top w:val="nil"/>
              <w:left w:val="nil"/>
              <w:bottom w:val="single" w:sz="4" w:space="0" w:color="auto"/>
              <w:right w:val="single" w:sz="4" w:space="0" w:color="auto"/>
            </w:tcBorders>
            <w:shd w:val="clear" w:color="auto" w:fill="auto"/>
            <w:noWrap/>
            <w:vAlign w:val="center"/>
            <w:hideMark/>
          </w:tcPr>
          <w:p w14:paraId="5B96E593" w14:textId="77777777" w:rsidR="00CA361B" w:rsidRPr="00CA361B" w:rsidRDefault="00CA361B" w:rsidP="00522D45">
            <w:pPr>
              <w:ind w:left="-59"/>
              <w:rPr>
                <w:rFonts w:ascii="Calibri" w:eastAsia="Times New Roman" w:hAnsi="Calibri" w:cs="Calibri"/>
                <w:color w:val="000000"/>
                <w:lang w:val="es-US"/>
              </w:rPr>
            </w:pPr>
            <w:r w:rsidRPr="00CA361B">
              <w:rPr>
                <w:rFonts w:ascii="Calibri" w:eastAsia="Times New Roman" w:hAnsi="Calibri" w:cs="Calibri"/>
                <w:color w:val="000000"/>
                <w:lang w:val="es-US"/>
              </w:rPr>
              <w:t xml:space="preserve">Con </w:t>
            </w:r>
            <w:r w:rsidRPr="00522D45">
              <w:rPr>
                <w:rFonts w:ascii="Calibri" w:eastAsia="Times New Roman" w:hAnsi="Calibri" w:cs="Calibri"/>
                <w:color w:val="000000"/>
                <w:lang w:val="es-US"/>
              </w:rPr>
              <w:t xml:space="preserve">LT </w:t>
            </w:r>
            <w:r w:rsidR="00522D45" w:rsidRPr="00522D45">
              <w:rPr>
                <w:rFonts w:ascii="Calibri" w:eastAsia="Times New Roman" w:hAnsi="Calibri" w:cs="Calibri"/>
                <w:color w:val="000000"/>
                <w:lang w:val="es-US"/>
              </w:rPr>
              <w:t>Laínez</w:t>
            </w:r>
            <w:r w:rsidRPr="00522D45">
              <w:rPr>
                <w:rFonts w:ascii="Calibri" w:eastAsia="Times New Roman" w:hAnsi="Calibri" w:cs="Calibri"/>
                <w:color w:val="000000"/>
                <w:lang w:val="es-US"/>
              </w:rPr>
              <w:t xml:space="preserve"> Miraflores</w:t>
            </w:r>
          </w:p>
        </w:tc>
        <w:tc>
          <w:tcPr>
            <w:tcW w:w="1107" w:type="dxa"/>
            <w:tcBorders>
              <w:top w:val="nil"/>
              <w:left w:val="nil"/>
              <w:bottom w:val="single" w:sz="4" w:space="0" w:color="auto"/>
              <w:right w:val="single" w:sz="4" w:space="0" w:color="auto"/>
            </w:tcBorders>
            <w:shd w:val="clear" w:color="auto" w:fill="auto"/>
            <w:noWrap/>
            <w:vAlign w:val="center"/>
            <w:hideMark/>
          </w:tcPr>
          <w:p w14:paraId="46F22559"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32</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616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40</w:t>
            </w:r>
          </w:p>
        </w:tc>
        <w:tc>
          <w:tcPr>
            <w:tcW w:w="1500" w:type="dxa"/>
            <w:tcBorders>
              <w:top w:val="nil"/>
              <w:left w:val="nil"/>
              <w:bottom w:val="single" w:sz="4" w:space="0" w:color="auto"/>
              <w:right w:val="single" w:sz="4" w:space="0" w:color="auto"/>
            </w:tcBorders>
            <w:shd w:val="clear" w:color="auto" w:fill="auto"/>
            <w:noWrap/>
            <w:vAlign w:val="center"/>
            <w:hideMark/>
          </w:tcPr>
          <w:p w14:paraId="528FA537"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71</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448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75</w:t>
            </w:r>
          </w:p>
        </w:tc>
        <w:tc>
          <w:tcPr>
            <w:tcW w:w="1334" w:type="dxa"/>
            <w:tcBorders>
              <w:top w:val="nil"/>
              <w:left w:val="nil"/>
              <w:bottom w:val="single" w:sz="4" w:space="0" w:color="auto"/>
              <w:right w:val="single" w:sz="4" w:space="0" w:color="auto"/>
            </w:tcBorders>
            <w:shd w:val="clear" w:color="auto" w:fill="auto"/>
            <w:noWrap/>
            <w:vAlign w:val="center"/>
            <w:hideMark/>
          </w:tcPr>
          <w:p w14:paraId="6BC21FAC"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607</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50</w:t>
            </w:r>
          </w:p>
        </w:tc>
        <w:tc>
          <w:tcPr>
            <w:tcW w:w="1334" w:type="dxa"/>
            <w:tcBorders>
              <w:top w:val="nil"/>
              <w:left w:val="nil"/>
              <w:bottom w:val="single" w:sz="4" w:space="0" w:color="auto"/>
              <w:right w:val="single" w:sz="4" w:space="0" w:color="auto"/>
            </w:tcBorders>
            <w:shd w:val="clear" w:color="auto" w:fill="auto"/>
            <w:noWrap/>
            <w:vAlign w:val="center"/>
            <w:hideMark/>
          </w:tcPr>
          <w:p w14:paraId="1145EA8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31</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711</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20</w:t>
            </w:r>
          </w:p>
        </w:tc>
        <w:tc>
          <w:tcPr>
            <w:tcW w:w="1500" w:type="dxa"/>
            <w:tcBorders>
              <w:top w:val="nil"/>
              <w:left w:val="nil"/>
              <w:bottom w:val="single" w:sz="4" w:space="0" w:color="auto"/>
              <w:right w:val="single" w:sz="4" w:space="0" w:color="auto"/>
            </w:tcBorders>
            <w:shd w:val="clear" w:color="auto" w:fill="auto"/>
            <w:noWrap/>
            <w:vAlign w:val="center"/>
            <w:hideMark/>
          </w:tcPr>
          <w:p w14:paraId="4242AC7C"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69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75</w:t>
            </w:r>
          </w:p>
        </w:tc>
        <w:tc>
          <w:tcPr>
            <w:tcW w:w="1107" w:type="dxa"/>
            <w:tcBorders>
              <w:top w:val="nil"/>
              <w:left w:val="nil"/>
              <w:bottom w:val="single" w:sz="4" w:space="0" w:color="auto"/>
              <w:right w:val="single" w:sz="4" w:space="0" w:color="auto"/>
            </w:tcBorders>
            <w:shd w:val="clear" w:color="auto" w:fill="auto"/>
            <w:noWrap/>
            <w:vAlign w:val="center"/>
            <w:hideMark/>
          </w:tcPr>
          <w:p w14:paraId="12DFE56B"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129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75</w:t>
            </w:r>
          </w:p>
        </w:tc>
      </w:tr>
      <w:tr w:rsidR="00522D45" w:rsidRPr="00CA361B" w14:paraId="4BF8DFC9" w14:textId="77777777" w:rsidTr="00522D45">
        <w:trPr>
          <w:gridAfter w:val="1"/>
          <w:wAfter w:w="8" w:type="dxa"/>
          <w:trHeight w:val="300"/>
        </w:trPr>
        <w:tc>
          <w:tcPr>
            <w:tcW w:w="676" w:type="dxa"/>
            <w:tcBorders>
              <w:top w:val="nil"/>
              <w:left w:val="single" w:sz="4" w:space="0" w:color="auto"/>
              <w:bottom w:val="single" w:sz="4" w:space="0" w:color="auto"/>
              <w:right w:val="single" w:sz="4" w:space="0" w:color="auto"/>
            </w:tcBorders>
            <w:shd w:val="clear" w:color="000000" w:fill="EBF1DE"/>
            <w:noWrap/>
            <w:vAlign w:val="center"/>
            <w:hideMark/>
          </w:tcPr>
          <w:p w14:paraId="34565E16"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2021</w:t>
            </w:r>
          </w:p>
        </w:tc>
        <w:tc>
          <w:tcPr>
            <w:tcW w:w="2394" w:type="dxa"/>
            <w:tcBorders>
              <w:top w:val="nil"/>
              <w:left w:val="nil"/>
              <w:bottom w:val="single" w:sz="4" w:space="0" w:color="auto"/>
              <w:right w:val="single" w:sz="4" w:space="0" w:color="auto"/>
            </w:tcBorders>
            <w:shd w:val="clear" w:color="000000" w:fill="EBF1DE"/>
            <w:noWrap/>
            <w:vAlign w:val="center"/>
            <w:hideMark/>
          </w:tcPr>
          <w:p w14:paraId="70644B3B" w14:textId="77777777" w:rsidR="00CA361B" w:rsidRPr="00CA361B" w:rsidRDefault="00CA361B" w:rsidP="00CA361B">
            <w:pPr>
              <w:rPr>
                <w:rFonts w:ascii="Calibri" w:eastAsia="Times New Roman" w:hAnsi="Calibri" w:cs="Calibri"/>
                <w:color w:val="000000"/>
                <w:lang w:val="es-US"/>
              </w:rPr>
            </w:pPr>
            <w:r w:rsidRPr="00CA361B">
              <w:rPr>
                <w:rFonts w:ascii="Calibri" w:eastAsia="Times New Roman" w:hAnsi="Calibri" w:cs="Calibri"/>
                <w:color w:val="000000"/>
                <w:lang w:val="es-US"/>
              </w:rPr>
              <w:t>Sin Proyecto</w:t>
            </w:r>
          </w:p>
        </w:tc>
        <w:tc>
          <w:tcPr>
            <w:tcW w:w="1107" w:type="dxa"/>
            <w:tcBorders>
              <w:top w:val="nil"/>
              <w:left w:val="nil"/>
              <w:bottom w:val="single" w:sz="4" w:space="0" w:color="auto"/>
              <w:right w:val="single" w:sz="4" w:space="0" w:color="auto"/>
            </w:tcBorders>
            <w:shd w:val="clear" w:color="000000" w:fill="EBF1DE"/>
            <w:noWrap/>
            <w:vAlign w:val="center"/>
            <w:hideMark/>
          </w:tcPr>
          <w:p w14:paraId="52A6FD16"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51</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888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40</w:t>
            </w:r>
          </w:p>
        </w:tc>
        <w:tc>
          <w:tcPr>
            <w:tcW w:w="1500" w:type="dxa"/>
            <w:tcBorders>
              <w:top w:val="nil"/>
              <w:left w:val="nil"/>
              <w:bottom w:val="single" w:sz="4" w:space="0" w:color="auto"/>
              <w:right w:val="single" w:sz="4" w:space="0" w:color="auto"/>
            </w:tcBorders>
            <w:shd w:val="clear" w:color="000000" w:fill="EBF1DE"/>
            <w:noWrap/>
            <w:vAlign w:val="center"/>
            <w:hideMark/>
          </w:tcPr>
          <w:p w14:paraId="6B480922"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153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756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w:t>
            </w:r>
          </w:p>
        </w:tc>
        <w:tc>
          <w:tcPr>
            <w:tcW w:w="1334" w:type="dxa"/>
            <w:tcBorders>
              <w:top w:val="nil"/>
              <w:left w:val="nil"/>
              <w:bottom w:val="single" w:sz="4" w:space="0" w:color="auto"/>
              <w:right w:val="single" w:sz="4" w:space="0" w:color="auto"/>
            </w:tcBorders>
            <w:shd w:val="clear" w:color="000000" w:fill="EBF1DE"/>
            <w:noWrap/>
            <w:vAlign w:val="center"/>
            <w:hideMark/>
          </w:tcPr>
          <w:p w14:paraId="45935CE1"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427</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00</w:t>
            </w:r>
          </w:p>
        </w:tc>
        <w:tc>
          <w:tcPr>
            <w:tcW w:w="1334" w:type="dxa"/>
            <w:tcBorders>
              <w:top w:val="nil"/>
              <w:left w:val="nil"/>
              <w:bottom w:val="single" w:sz="4" w:space="0" w:color="auto"/>
              <w:right w:val="single" w:sz="4" w:space="0" w:color="auto"/>
            </w:tcBorders>
            <w:shd w:val="clear" w:color="000000" w:fill="EBF1DE"/>
            <w:noWrap/>
            <w:vAlign w:val="center"/>
            <w:hideMark/>
          </w:tcPr>
          <w:p w14:paraId="415F0392"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44</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223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40</w:t>
            </w:r>
          </w:p>
        </w:tc>
        <w:tc>
          <w:tcPr>
            <w:tcW w:w="1500" w:type="dxa"/>
            <w:tcBorders>
              <w:top w:val="nil"/>
              <w:left w:val="nil"/>
              <w:bottom w:val="single" w:sz="4" w:space="0" w:color="auto"/>
              <w:right w:val="single" w:sz="4" w:space="0" w:color="auto"/>
            </w:tcBorders>
            <w:shd w:val="clear" w:color="000000" w:fill="EBF1DE"/>
            <w:noWrap/>
            <w:vAlign w:val="center"/>
            <w:hideMark/>
          </w:tcPr>
          <w:p w14:paraId="7518DE17"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128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115</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00</w:t>
            </w:r>
          </w:p>
        </w:tc>
        <w:tc>
          <w:tcPr>
            <w:tcW w:w="1107" w:type="dxa"/>
            <w:tcBorders>
              <w:top w:val="nil"/>
              <w:left w:val="nil"/>
              <w:bottom w:val="single" w:sz="4" w:space="0" w:color="auto"/>
              <w:right w:val="single" w:sz="4" w:space="0" w:color="auto"/>
            </w:tcBorders>
            <w:shd w:val="clear" w:color="000000" w:fill="EBF1DE"/>
            <w:noWrap/>
            <w:vAlign w:val="center"/>
            <w:hideMark/>
          </w:tcPr>
          <w:p w14:paraId="560D0154"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34</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182</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w:t>
            </w:r>
          </w:p>
        </w:tc>
      </w:tr>
      <w:tr w:rsidR="00522D45" w:rsidRPr="00CA361B" w14:paraId="2F1F2D58" w14:textId="77777777" w:rsidTr="00522D45">
        <w:trPr>
          <w:gridAfter w:val="1"/>
          <w:wAfter w:w="8" w:type="dxa"/>
          <w:trHeight w:val="300"/>
        </w:trPr>
        <w:tc>
          <w:tcPr>
            <w:tcW w:w="676" w:type="dxa"/>
            <w:tcBorders>
              <w:top w:val="nil"/>
              <w:left w:val="single" w:sz="4" w:space="0" w:color="auto"/>
              <w:bottom w:val="single" w:sz="4" w:space="0" w:color="auto"/>
              <w:right w:val="single" w:sz="4" w:space="0" w:color="auto"/>
            </w:tcBorders>
            <w:shd w:val="clear" w:color="000000" w:fill="EBF1DE"/>
            <w:noWrap/>
            <w:vAlign w:val="center"/>
            <w:hideMark/>
          </w:tcPr>
          <w:p w14:paraId="25AE0DEB"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2021</w:t>
            </w:r>
          </w:p>
        </w:tc>
        <w:tc>
          <w:tcPr>
            <w:tcW w:w="2394" w:type="dxa"/>
            <w:tcBorders>
              <w:top w:val="nil"/>
              <w:left w:val="nil"/>
              <w:bottom w:val="single" w:sz="4" w:space="0" w:color="auto"/>
              <w:right w:val="single" w:sz="4" w:space="0" w:color="auto"/>
            </w:tcBorders>
            <w:shd w:val="clear" w:color="000000" w:fill="EBF1DE"/>
            <w:noWrap/>
            <w:vAlign w:val="center"/>
            <w:hideMark/>
          </w:tcPr>
          <w:p w14:paraId="2158B96E" w14:textId="77777777" w:rsidR="00CA361B" w:rsidRPr="00CA361B" w:rsidRDefault="00CA361B" w:rsidP="00522D45">
            <w:pPr>
              <w:ind w:left="-59"/>
              <w:rPr>
                <w:rFonts w:ascii="Calibri" w:eastAsia="Times New Roman" w:hAnsi="Calibri" w:cs="Calibri"/>
                <w:color w:val="000000"/>
                <w:lang w:val="es-US"/>
              </w:rPr>
            </w:pPr>
            <w:r w:rsidRPr="00CA361B">
              <w:rPr>
                <w:rFonts w:ascii="Calibri" w:eastAsia="Times New Roman" w:hAnsi="Calibri" w:cs="Calibri"/>
                <w:color w:val="000000"/>
                <w:lang w:val="es-US"/>
              </w:rPr>
              <w:t xml:space="preserve">Con </w:t>
            </w:r>
            <w:r w:rsidRPr="00522D45">
              <w:rPr>
                <w:rFonts w:ascii="Calibri" w:eastAsia="Times New Roman" w:hAnsi="Calibri" w:cs="Calibri"/>
                <w:color w:val="000000"/>
                <w:lang w:val="es-US"/>
              </w:rPr>
              <w:t xml:space="preserve">LT </w:t>
            </w:r>
            <w:r w:rsidR="00522D45" w:rsidRPr="00522D45">
              <w:rPr>
                <w:rFonts w:ascii="Calibri" w:eastAsia="Times New Roman" w:hAnsi="Calibri" w:cs="Calibri"/>
                <w:color w:val="000000"/>
                <w:lang w:val="es-US"/>
              </w:rPr>
              <w:t>Laínez</w:t>
            </w:r>
            <w:r w:rsidRPr="00522D45">
              <w:rPr>
                <w:rFonts w:ascii="Calibri" w:eastAsia="Times New Roman" w:hAnsi="Calibri" w:cs="Calibri"/>
                <w:color w:val="000000"/>
                <w:lang w:val="es-US"/>
              </w:rPr>
              <w:t xml:space="preserve"> Miraflores</w:t>
            </w:r>
          </w:p>
        </w:tc>
        <w:tc>
          <w:tcPr>
            <w:tcW w:w="1107" w:type="dxa"/>
            <w:tcBorders>
              <w:top w:val="nil"/>
              <w:left w:val="nil"/>
              <w:bottom w:val="single" w:sz="4" w:space="0" w:color="auto"/>
              <w:right w:val="single" w:sz="4" w:space="0" w:color="auto"/>
            </w:tcBorders>
            <w:shd w:val="clear" w:color="000000" w:fill="EBF1DE"/>
            <w:noWrap/>
            <w:vAlign w:val="center"/>
            <w:hideMark/>
          </w:tcPr>
          <w:p w14:paraId="63CE6842"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53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611.20</w:t>
            </w:r>
          </w:p>
        </w:tc>
        <w:tc>
          <w:tcPr>
            <w:tcW w:w="1500" w:type="dxa"/>
            <w:tcBorders>
              <w:top w:val="nil"/>
              <w:left w:val="nil"/>
              <w:bottom w:val="single" w:sz="4" w:space="0" w:color="auto"/>
              <w:right w:val="single" w:sz="4" w:space="0" w:color="auto"/>
            </w:tcBorders>
            <w:shd w:val="clear" w:color="000000" w:fill="EBF1DE"/>
            <w:noWrap/>
            <w:vAlign w:val="center"/>
            <w:hideMark/>
          </w:tcPr>
          <w:p w14:paraId="008287C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152</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351.00</w:t>
            </w:r>
          </w:p>
        </w:tc>
        <w:tc>
          <w:tcPr>
            <w:tcW w:w="1334" w:type="dxa"/>
            <w:tcBorders>
              <w:top w:val="nil"/>
              <w:left w:val="nil"/>
              <w:bottom w:val="single" w:sz="4" w:space="0" w:color="auto"/>
              <w:right w:val="single" w:sz="4" w:space="0" w:color="auto"/>
            </w:tcBorders>
            <w:shd w:val="clear" w:color="000000" w:fill="EBF1DE"/>
            <w:noWrap/>
            <w:vAlign w:val="center"/>
            <w:hideMark/>
          </w:tcPr>
          <w:p w14:paraId="2A9F313D"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179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00</w:t>
            </w:r>
          </w:p>
        </w:tc>
        <w:tc>
          <w:tcPr>
            <w:tcW w:w="1334" w:type="dxa"/>
            <w:tcBorders>
              <w:top w:val="nil"/>
              <w:left w:val="nil"/>
              <w:bottom w:val="single" w:sz="4" w:space="0" w:color="auto"/>
              <w:right w:val="single" w:sz="4" w:space="0" w:color="auto"/>
            </w:tcBorders>
            <w:shd w:val="clear" w:color="000000" w:fill="EBF1DE"/>
            <w:noWrap/>
            <w:vAlign w:val="center"/>
            <w:hideMark/>
          </w:tcPr>
          <w:p w14:paraId="3830AC21"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46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909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80</w:t>
            </w:r>
          </w:p>
        </w:tc>
        <w:tc>
          <w:tcPr>
            <w:tcW w:w="1500" w:type="dxa"/>
            <w:tcBorders>
              <w:top w:val="nil"/>
              <w:left w:val="nil"/>
              <w:bottom w:val="single" w:sz="4" w:space="0" w:color="auto"/>
              <w:right w:val="single" w:sz="4" w:space="0" w:color="auto"/>
            </w:tcBorders>
            <w:shd w:val="clear" w:color="000000" w:fill="EBF1DE"/>
            <w:noWrap/>
            <w:vAlign w:val="center"/>
            <w:hideMark/>
          </w:tcPr>
          <w:p w14:paraId="3E48517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132</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330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75</w:t>
            </w:r>
          </w:p>
        </w:tc>
        <w:tc>
          <w:tcPr>
            <w:tcW w:w="1107" w:type="dxa"/>
            <w:tcBorders>
              <w:top w:val="nil"/>
              <w:left w:val="nil"/>
              <w:bottom w:val="single" w:sz="4" w:space="0" w:color="auto"/>
              <w:right w:val="single" w:sz="4" w:space="0" w:color="auto"/>
            </w:tcBorders>
            <w:shd w:val="clear" w:color="000000" w:fill="EBF1DE"/>
            <w:noWrap/>
            <w:vAlign w:val="center"/>
            <w:hideMark/>
          </w:tcPr>
          <w:p w14:paraId="7769C107"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35</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916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00</w:t>
            </w:r>
          </w:p>
        </w:tc>
      </w:tr>
      <w:tr w:rsidR="00CA361B" w:rsidRPr="00CA361B" w14:paraId="24275B8F" w14:textId="77777777" w:rsidTr="00522D45">
        <w:trPr>
          <w:gridAfter w:val="1"/>
          <w:wAfter w:w="8" w:type="dxa"/>
          <w:trHeight w:val="315"/>
        </w:trPr>
        <w:tc>
          <w:tcPr>
            <w:tcW w:w="676" w:type="dxa"/>
            <w:tcBorders>
              <w:top w:val="nil"/>
              <w:left w:val="single" w:sz="4" w:space="0" w:color="auto"/>
              <w:bottom w:val="single" w:sz="4" w:space="0" w:color="auto"/>
              <w:right w:val="single" w:sz="4" w:space="0" w:color="auto"/>
            </w:tcBorders>
            <w:shd w:val="clear" w:color="auto" w:fill="auto"/>
            <w:noWrap/>
            <w:vAlign w:val="center"/>
            <w:hideMark/>
          </w:tcPr>
          <w:p w14:paraId="5A1B4FED"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2024</w:t>
            </w:r>
          </w:p>
        </w:tc>
        <w:tc>
          <w:tcPr>
            <w:tcW w:w="2394" w:type="dxa"/>
            <w:tcBorders>
              <w:top w:val="nil"/>
              <w:left w:val="nil"/>
              <w:bottom w:val="single" w:sz="4" w:space="0" w:color="auto"/>
              <w:right w:val="single" w:sz="4" w:space="0" w:color="auto"/>
            </w:tcBorders>
            <w:shd w:val="clear" w:color="auto" w:fill="auto"/>
            <w:noWrap/>
            <w:vAlign w:val="center"/>
            <w:hideMark/>
          </w:tcPr>
          <w:p w14:paraId="64D61176" w14:textId="77777777" w:rsidR="00CA361B" w:rsidRPr="00CA361B" w:rsidRDefault="00CA361B" w:rsidP="00CA361B">
            <w:pPr>
              <w:rPr>
                <w:rFonts w:ascii="Calibri" w:eastAsia="Times New Roman" w:hAnsi="Calibri" w:cs="Calibri"/>
                <w:color w:val="000000"/>
                <w:lang w:val="es-US"/>
              </w:rPr>
            </w:pPr>
            <w:r w:rsidRPr="00CA361B">
              <w:rPr>
                <w:rFonts w:ascii="Calibri" w:eastAsia="Times New Roman" w:hAnsi="Calibri" w:cs="Calibri"/>
                <w:color w:val="000000"/>
                <w:lang w:val="es-US"/>
              </w:rPr>
              <w:t>Sin Proyecto</w:t>
            </w:r>
          </w:p>
        </w:tc>
        <w:tc>
          <w:tcPr>
            <w:tcW w:w="1107" w:type="dxa"/>
            <w:tcBorders>
              <w:top w:val="nil"/>
              <w:left w:val="nil"/>
              <w:bottom w:val="single" w:sz="4" w:space="0" w:color="auto"/>
              <w:right w:val="single" w:sz="4" w:space="0" w:color="auto"/>
            </w:tcBorders>
            <w:shd w:val="clear" w:color="auto" w:fill="auto"/>
            <w:noWrap/>
            <w:vAlign w:val="center"/>
            <w:hideMark/>
          </w:tcPr>
          <w:p w14:paraId="0368B7F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49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588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90</w:t>
            </w:r>
          </w:p>
        </w:tc>
        <w:tc>
          <w:tcPr>
            <w:tcW w:w="1500" w:type="dxa"/>
            <w:tcBorders>
              <w:top w:val="nil"/>
              <w:left w:val="nil"/>
              <w:bottom w:val="single" w:sz="4" w:space="0" w:color="auto"/>
              <w:right w:val="single" w:sz="4" w:space="0" w:color="auto"/>
            </w:tcBorders>
            <w:shd w:val="clear" w:color="auto" w:fill="auto"/>
            <w:noWrap/>
            <w:vAlign w:val="center"/>
            <w:hideMark/>
          </w:tcPr>
          <w:p w14:paraId="6365EE8B"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116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836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50</w:t>
            </w:r>
          </w:p>
        </w:tc>
        <w:tc>
          <w:tcPr>
            <w:tcW w:w="1334" w:type="dxa"/>
            <w:tcBorders>
              <w:top w:val="nil"/>
              <w:left w:val="nil"/>
              <w:bottom w:val="single" w:sz="4" w:space="0" w:color="auto"/>
              <w:right w:val="single" w:sz="4" w:space="0" w:color="auto"/>
            </w:tcBorders>
            <w:shd w:val="clear" w:color="auto" w:fill="auto"/>
            <w:noWrap/>
            <w:vAlign w:val="center"/>
            <w:hideMark/>
          </w:tcPr>
          <w:p w14:paraId="587D41B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126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00</w:t>
            </w:r>
          </w:p>
        </w:tc>
        <w:tc>
          <w:tcPr>
            <w:tcW w:w="1334" w:type="dxa"/>
            <w:tcBorders>
              <w:top w:val="nil"/>
              <w:left w:val="nil"/>
              <w:bottom w:val="single" w:sz="4" w:space="0" w:color="auto"/>
              <w:right w:val="single" w:sz="4" w:space="0" w:color="auto"/>
            </w:tcBorders>
            <w:shd w:val="clear" w:color="auto" w:fill="auto"/>
            <w:noWrap/>
            <w:vAlign w:val="center"/>
            <w:hideMark/>
          </w:tcPr>
          <w:p w14:paraId="584E9638"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53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472.50</w:t>
            </w:r>
          </w:p>
        </w:tc>
        <w:tc>
          <w:tcPr>
            <w:tcW w:w="1500" w:type="dxa"/>
            <w:tcBorders>
              <w:top w:val="nil"/>
              <w:left w:val="nil"/>
              <w:bottom w:val="single" w:sz="4" w:space="0" w:color="auto"/>
              <w:right w:val="single" w:sz="4" w:space="0" w:color="auto"/>
            </w:tcBorders>
            <w:shd w:val="clear" w:color="auto" w:fill="auto"/>
            <w:noWrap/>
            <w:vAlign w:val="center"/>
            <w:hideMark/>
          </w:tcPr>
          <w:p w14:paraId="59E5B789"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126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180.50</w:t>
            </w:r>
          </w:p>
        </w:tc>
        <w:tc>
          <w:tcPr>
            <w:tcW w:w="1107" w:type="dxa"/>
            <w:tcBorders>
              <w:top w:val="nil"/>
              <w:left w:val="nil"/>
              <w:bottom w:val="single" w:sz="4" w:space="0" w:color="auto"/>
              <w:right w:val="single" w:sz="4" w:space="0" w:color="auto"/>
            </w:tcBorders>
            <w:shd w:val="clear" w:color="auto" w:fill="auto"/>
            <w:noWrap/>
            <w:vAlign w:val="center"/>
            <w:hideMark/>
          </w:tcPr>
          <w:p w14:paraId="5CBEF0C3"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713.75</w:t>
            </w:r>
          </w:p>
        </w:tc>
      </w:tr>
      <w:tr w:rsidR="00CA361B" w:rsidRPr="00CA361B" w14:paraId="43E8618C" w14:textId="77777777" w:rsidTr="00522D45">
        <w:trPr>
          <w:gridAfter w:val="1"/>
          <w:wAfter w:w="8" w:type="dxa"/>
          <w:trHeight w:val="300"/>
        </w:trPr>
        <w:tc>
          <w:tcPr>
            <w:tcW w:w="676" w:type="dxa"/>
            <w:tcBorders>
              <w:top w:val="nil"/>
              <w:left w:val="single" w:sz="4" w:space="0" w:color="auto"/>
              <w:bottom w:val="single" w:sz="4" w:space="0" w:color="auto"/>
              <w:right w:val="single" w:sz="4" w:space="0" w:color="auto"/>
            </w:tcBorders>
            <w:shd w:val="clear" w:color="auto" w:fill="auto"/>
            <w:noWrap/>
            <w:vAlign w:val="center"/>
            <w:hideMark/>
          </w:tcPr>
          <w:p w14:paraId="14F033F3"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2024</w:t>
            </w:r>
          </w:p>
        </w:tc>
        <w:tc>
          <w:tcPr>
            <w:tcW w:w="2394" w:type="dxa"/>
            <w:tcBorders>
              <w:top w:val="nil"/>
              <w:left w:val="nil"/>
              <w:bottom w:val="single" w:sz="4" w:space="0" w:color="auto"/>
              <w:right w:val="single" w:sz="4" w:space="0" w:color="auto"/>
            </w:tcBorders>
            <w:shd w:val="clear" w:color="auto" w:fill="auto"/>
            <w:noWrap/>
            <w:vAlign w:val="center"/>
            <w:hideMark/>
          </w:tcPr>
          <w:p w14:paraId="5E05B131" w14:textId="77777777" w:rsidR="00CA361B" w:rsidRPr="00CA361B" w:rsidRDefault="00CA361B" w:rsidP="00522D45">
            <w:pPr>
              <w:ind w:left="-59"/>
              <w:rPr>
                <w:rFonts w:ascii="Calibri" w:eastAsia="Times New Roman" w:hAnsi="Calibri" w:cs="Calibri"/>
                <w:color w:val="000000"/>
                <w:lang w:val="es-US"/>
              </w:rPr>
            </w:pPr>
            <w:r w:rsidRPr="00CA361B">
              <w:rPr>
                <w:rFonts w:ascii="Calibri" w:eastAsia="Times New Roman" w:hAnsi="Calibri" w:cs="Calibri"/>
                <w:color w:val="000000"/>
                <w:lang w:val="es-US"/>
              </w:rPr>
              <w:t xml:space="preserve">Con </w:t>
            </w:r>
            <w:r w:rsidRPr="00522D45">
              <w:rPr>
                <w:rFonts w:ascii="Calibri" w:eastAsia="Times New Roman" w:hAnsi="Calibri" w:cs="Calibri"/>
                <w:color w:val="000000"/>
                <w:lang w:val="es-US"/>
              </w:rPr>
              <w:t xml:space="preserve">LT </w:t>
            </w:r>
            <w:r w:rsidR="00522D45" w:rsidRPr="00522D45">
              <w:rPr>
                <w:rFonts w:ascii="Calibri" w:eastAsia="Times New Roman" w:hAnsi="Calibri" w:cs="Calibri"/>
                <w:color w:val="000000"/>
                <w:lang w:val="es-US"/>
              </w:rPr>
              <w:t>Laínez</w:t>
            </w:r>
            <w:r w:rsidRPr="00522D45">
              <w:rPr>
                <w:rFonts w:ascii="Calibri" w:eastAsia="Times New Roman" w:hAnsi="Calibri" w:cs="Calibri"/>
                <w:color w:val="000000"/>
                <w:lang w:val="es-US"/>
              </w:rPr>
              <w:t xml:space="preserve"> </w:t>
            </w:r>
            <w:r w:rsidR="00522D45" w:rsidRPr="00522D45">
              <w:rPr>
                <w:rFonts w:ascii="Calibri" w:eastAsia="Times New Roman" w:hAnsi="Calibri" w:cs="Calibri"/>
                <w:color w:val="000000"/>
                <w:lang w:val="es-US"/>
              </w:rPr>
              <w:t>M</w:t>
            </w:r>
            <w:r w:rsidRPr="00522D45">
              <w:rPr>
                <w:rFonts w:ascii="Calibri" w:eastAsia="Times New Roman" w:hAnsi="Calibri" w:cs="Calibri"/>
                <w:color w:val="000000"/>
                <w:lang w:val="es-US"/>
              </w:rPr>
              <w:t>iraflores</w:t>
            </w:r>
          </w:p>
        </w:tc>
        <w:tc>
          <w:tcPr>
            <w:tcW w:w="1107" w:type="dxa"/>
            <w:tcBorders>
              <w:top w:val="nil"/>
              <w:left w:val="nil"/>
              <w:bottom w:val="single" w:sz="4" w:space="0" w:color="auto"/>
              <w:right w:val="single" w:sz="4" w:space="0" w:color="auto"/>
            </w:tcBorders>
            <w:shd w:val="clear" w:color="auto" w:fill="auto"/>
            <w:noWrap/>
            <w:vAlign w:val="center"/>
            <w:hideMark/>
          </w:tcPr>
          <w:p w14:paraId="1B6B7C52"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52</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231.50</w:t>
            </w:r>
          </w:p>
        </w:tc>
        <w:tc>
          <w:tcPr>
            <w:tcW w:w="1500" w:type="dxa"/>
            <w:tcBorders>
              <w:top w:val="nil"/>
              <w:left w:val="nil"/>
              <w:bottom w:val="single" w:sz="4" w:space="0" w:color="auto"/>
              <w:right w:val="single" w:sz="4" w:space="0" w:color="auto"/>
            </w:tcBorders>
            <w:shd w:val="clear" w:color="auto" w:fill="auto"/>
            <w:noWrap/>
            <w:vAlign w:val="center"/>
            <w:hideMark/>
          </w:tcPr>
          <w:p w14:paraId="058D0F43"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119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519.25</w:t>
            </w:r>
          </w:p>
        </w:tc>
        <w:tc>
          <w:tcPr>
            <w:tcW w:w="1334" w:type="dxa"/>
            <w:tcBorders>
              <w:top w:val="nil"/>
              <w:left w:val="nil"/>
              <w:bottom w:val="single" w:sz="4" w:space="0" w:color="auto"/>
              <w:right w:val="single" w:sz="4" w:space="0" w:color="auto"/>
            </w:tcBorders>
            <w:shd w:val="clear" w:color="auto" w:fill="auto"/>
            <w:noWrap/>
            <w:vAlign w:val="center"/>
            <w:hideMark/>
          </w:tcPr>
          <w:p w14:paraId="0F8F3D08"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929.00</w:t>
            </w:r>
          </w:p>
        </w:tc>
        <w:tc>
          <w:tcPr>
            <w:tcW w:w="1334" w:type="dxa"/>
            <w:tcBorders>
              <w:top w:val="nil"/>
              <w:left w:val="nil"/>
              <w:bottom w:val="single" w:sz="4" w:space="0" w:color="auto"/>
              <w:right w:val="single" w:sz="4" w:space="0" w:color="auto"/>
            </w:tcBorders>
            <w:shd w:val="clear" w:color="auto" w:fill="auto"/>
            <w:noWrap/>
            <w:vAlign w:val="center"/>
            <w:hideMark/>
          </w:tcPr>
          <w:p w14:paraId="05251E8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56</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699.10</w:t>
            </w:r>
          </w:p>
        </w:tc>
        <w:tc>
          <w:tcPr>
            <w:tcW w:w="1500" w:type="dxa"/>
            <w:tcBorders>
              <w:top w:val="nil"/>
              <w:left w:val="nil"/>
              <w:bottom w:val="single" w:sz="4" w:space="0" w:color="auto"/>
              <w:right w:val="single" w:sz="4" w:space="0" w:color="auto"/>
            </w:tcBorders>
            <w:shd w:val="clear" w:color="auto" w:fill="auto"/>
            <w:noWrap/>
            <w:vAlign w:val="center"/>
            <w:hideMark/>
          </w:tcPr>
          <w:p w14:paraId="7C109A2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130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706.50</w:t>
            </w:r>
          </w:p>
        </w:tc>
        <w:tc>
          <w:tcPr>
            <w:tcW w:w="1107" w:type="dxa"/>
            <w:tcBorders>
              <w:top w:val="nil"/>
              <w:left w:val="nil"/>
              <w:bottom w:val="single" w:sz="4" w:space="0" w:color="auto"/>
              <w:right w:val="single" w:sz="4" w:space="0" w:color="auto"/>
            </w:tcBorders>
            <w:shd w:val="clear" w:color="auto" w:fill="auto"/>
            <w:noWrap/>
            <w:vAlign w:val="center"/>
            <w:hideMark/>
          </w:tcPr>
          <w:p w14:paraId="23F688BC"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21</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644.50</w:t>
            </w:r>
          </w:p>
        </w:tc>
      </w:tr>
      <w:tr w:rsidR="00522D45" w:rsidRPr="00CA361B" w14:paraId="692282CA" w14:textId="77777777" w:rsidTr="00522D45">
        <w:trPr>
          <w:gridAfter w:val="1"/>
          <w:wAfter w:w="8" w:type="dxa"/>
          <w:trHeight w:val="300"/>
        </w:trPr>
        <w:tc>
          <w:tcPr>
            <w:tcW w:w="676" w:type="dxa"/>
            <w:tcBorders>
              <w:top w:val="nil"/>
              <w:left w:val="single" w:sz="4" w:space="0" w:color="auto"/>
              <w:bottom w:val="single" w:sz="4" w:space="0" w:color="auto"/>
              <w:right w:val="single" w:sz="4" w:space="0" w:color="auto"/>
            </w:tcBorders>
            <w:shd w:val="clear" w:color="000000" w:fill="EBF1DE"/>
            <w:noWrap/>
            <w:vAlign w:val="center"/>
            <w:hideMark/>
          </w:tcPr>
          <w:p w14:paraId="44F31C1D"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2027</w:t>
            </w:r>
          </w:p>
        </w:tc>
        <w:tc>
          <w:tcPr>
            <w:tcW w:w="2394" w:type="dxa"/>
            <w:tcBorders>
              <w:top w:val="nil"/>
              <w:left w:val="nil"/>
              <w:bottom w:val="single" w:sz="4" w:space="0" w:color="auto"/>
              <w:right w:val="single" w:sz="4" w:space="0" w:color="auto"/>
            </w:tcBorders>
            <w:shd w:val="clear" w:color="000000" w:fill="EBF1DE"/>
            <w:noWrap/>
            <w:vAlign w:val="center"/>
            <w:hideMark/>
          </w:tcPr>
          <w:p w14:paraId="3D8A5FB9" w14:textId="77777777" w:rsidR="00CA361B" w:rsidRPr="00CA361B" w:rsidRDefault="00CA361B" w:rsidP="00CA361B">
            <w:pPr>
              <w:rPr>
                <w:rFonts w:ascii="Calibri" w:eastAsia="Times New Roman" w:hAnsi="Calibri" w:cs="Calibri"/>
                <w:color w:val="000000"/>
                <w:lang w:val="es-US"/>
              </w:rPr>
            </w:pPr>
            <w:r w:rsidRPr="00CA361B">
              <w:rPr>
                <w:rFonts w:ascii="Calibri" w:eastAsia="Times New Roman" w:hAnsi="Calibri" w:cs="Calibri"/>
                <w:color w:val="000000"/>
                <w:lang w:val="es-US"/>
              </w:rPr>
              <w:t>Sin Proyecto</w:t>
            </w:r>
          </w:p>
        </w:tc>
        <w:tc>
          <w:tcPr>
            <w:tcW w:w="1107" w:type="dxa"/>
            <w:tcBorders>
              <w:top w:val="nil"/>
              <w:left w:val="nil"/>
              <w:bottom w:val="single" w:sz="4" w:space="0" w:color="auto"/>
              <w:right w:val="single" w:sz="4" w:space="0" w:color="auto"/>
            </w:tcBorders>
            <w:shd w:val="clear" w:color="000000" w:fill="EBF1DE"/>
            <w:noWrap/>
            <w:vAlign w:val="center"/>
            <w:hideMark/>
          </w:tcPr>
          <w:p w14:paraId="00871839"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80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789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10</w:t>
            </w:r>
          </w:p>
        </w:tc>
        <w:tc>
          <w:tcPr>
            <w:tcW w:w="1500" w:type="dxa"/>
            <w:tcBorders>
              <w:top w:val="nil"/>
              <w:left w:val="nil"/>
              <w:bottom w:val="single" w:sz="4" w:space="0" w:color="auto"/>
              <w:right w:val="single" w:sz="4" w:space="0" w:color="auto"/>
            </w:tcBorders>
            <w:shd w:val="clear" w:color="000000" w:fill="EBF1DE"/>
            <w:noWrap/>
            <w:vAlign w:val="center"/>
            <w:hideMark/>
          </w:tcPr>
          <w:p w14:paraId="59B8F848"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154</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924</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w:t>
            </w:r>
          </w:p>
        </w:tc>
        <w:tc>
          <w:tcPr>
            <w:tcW w:w="1334" w:type="dxa"/>
            <w:tcBorders>
              <w:top w:val="nil"/>
              <w:left w:val="nil"/>
              <w:bottom w:val="single" w:sz="4" w:space="0" w:color="auto"/>
              <w:right w:val="single" w:sz="4" w:space="0" w:color="auto"/>
            </w:tcBorders>
            <w:shd w:val="clear" w:color="000000" w:fill="EBF1DE"/>
            <w:noWrap/>
            <w:vAlign w:val="center"/>
            <w:hideMark/>
          </w:tcPr>
          <w:p w14:paraId="2819B721"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24</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564</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50</w:t>
            </w:r>
          </w:p>
        </w:tc>
        <w:tc>
          <w:tcPr>
            <w:tcW w:w="1334" w:type="dxa"/>
            <w:tcBorders>
              <w:top w:val="nil"/>
              <w:left w:val="nil"/>
              <w:bottom w:val="single" w:sz="4" w:space="0" w:color="auto"/>
              <w:right w:val="single" w:sz="4" w:space="0" w:color="auto"/>
            </w:tcBorders>
            <w:shd w:val="clear" w:color="000000" w:fill="EBF1DE"/>
            <w:noWrap/>
            <w:vAlign w:val="center"/>
            <w:hideMark/>
          </w:tcPr>
          <w:p w14:paraId="7D932B2D"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80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628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50</w:t>
            </w:r>
          </w:p>
        </w:tc>
        <w:tc>
          <w:tcPr>
            <w:tcW w:w="1500" w:type="dxa"/>
            <w:tcBorders>
              <w:top w:val="nil"/>
              <w:left w:val="nil"/>
              <w:bottom w:val="single" w:sz="4" w:space="0" w:color="auto"/>
              <w:right w:val="single" w:sz="4" w:space="0" w:color="auto"/>
            </w:tcBorders>
            <w:shd w:val="clear" w:color="000000" w:fill="EBF1DE"/>
            <w:noWrap/>
            <w:vAlign w:val="center"/>
            <w:hideMark/>
          </w:tcPr>
          <w:p w14:paraId="11EC5469"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147</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405</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25</w:t>
            </w:r>
          </w:p>
        </w:tc>
        <w:tc>
          <w:tcPr>
            <w:tcW w:w="1107" w:type="dxa"/>
            <w:tcBorders>
              <w:top w:val="nil"/>
              <w:left w:val="nil"/>
              <w:bottom w:val="single" w:sz="4" w:space="0" w:color="auto"/>
              <w:right w:val="single" w:sz="4" w:space="0" w:color="auto"/>
            </w:tcBorders>
            <w:shd w:val="clear" w:color="000000" w:fill="EBF1DE"/>
            <w:noWrap/>
            <w:vAlign w:val="center"/>
            <w:hideMark/>
          </w:tcPr>
          <w:p w14:paraId="326F0BC0"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305</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75</w:t>
            </w:r>
          </w:p>
        </w:tc>
      </w:tr>
      <w:tr w:rsidR="00522D45" w:rsidRPr="00CA361B" w14:paraId="7ED126F1" w14:textId="77777777" w:rsidTr="00522D45">
        <w:trPr>
          <w:gridAfter w:val="1"/>
          <w:wAfter w:w="8" w:type="dxa"/>
          <w:trHeight w:val="300"/>
        </w:trPr>
        <w:tc>
          <w:tcPr>
            <w:tcW w:w="676" w:type="dxa"/>
            <w:tcBorders>
              <w:top w:val="nil"/>
              <w:left w:val="single" w:sz="4" w:space="0" w:color="auto"/>
              <w:bottom w:val="single" w:sz="4" w:space="0" w:color="auto"/>
              <w:right w:val="single" w:sz="4" w:space="0" w:color="auto"/>
            </w:tcBorders>
            <w:shd w:val="clear" w:color="000000" w:fill="EBF1DE"/>
            <w:noWrap/>
            <w:vAlign w:val="center"/>
            <w:hideMark/>
          </w:tcPr>
          <w:p w14:paraId="6C006881"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2027</w:t>
            </w:r>
          </w:p>
        </w:tc>
        <w:tc>
          <w:tcPr>
            <w:tcW w:w="2394" w:type="dxa"/>
            <w:tcBorders>
              <w:top w:val="nil"/>
              <w:left w:val="nil"/>
              <w:bottom w:val="single" w:sz="4" w:space="0" w:color="auto"/>
              <w:right w:val="single" w:sz="4" w:space="0" w:color="auto"/>
            </w:tcBorders>
            <w:shd w:val="clear" w:color="000000" w:fill="EBF1DE"/>
            <w:noWrap/>
            <w:vAlign w:val="center"/>
            <w:hideMark/>
          </w:tcPr>
          <w:p w14:paraId="66B616FF" w14:textId="77777777" w:rsidR="00CA361B" w:rsidRPr="00CA361B" w:rsidRDefault="00CA361B" w:rsidP="00522D45">
            <w:pPr>
              <w:ind w:left="-59"/>
              <w:rPr>
                <w:rFonts w:ascii="Calibri" w:eastAsia="Times New Roman" w:hAnsi="Calibri" w:cs="Calibri"/>
                <w:color w:val="000000"/>
                <w:lang w:val="es-US"/>
              </w:rPr>
            </w:pPr>
            <w:r w:rsidRPr="00CA361B">
              <w:rPr>
                <w:rFonts w:ascii="Calibri" w:eastAsia="Times New Roman" w:hAnsi="Calibri" w:cs="Calibri"/>
                <w:color w:val="000000"/>
                <w:lang w:val="es-US"/>
              </w:rPr>
              <w:t xml:space="preserve">Con </w:t>
            </w:r>
            <w:r w:rsidRPr="00522D45">
              <w:rPr>
                <w:rFonts w:ascii="Calibri" w:eastAsia="Times New Roman" w:hAnsi="Calibri" w:cs="Calibri"/>
                <w:color w:val="000000"/>
                <w:lang w:val="es-US"/>
              </w:rPr>
              <w:t xml:space="preserve">LT </w:t>
            </w:r>
            <w:r w:rsidR="00522D45" w:rsidRPr="00522D45">
              <w:rPr>
                <w:rFonts w:ascii="Calibri" w:eastAsia="Times New Roman" w:hAnsi="Calibri" w:cs="Calibri"/>
                <w:color w:val="000000"/>
                <w:lang w:val="es-US"/>
              </w:rPr>
              <w:t>Laínez</w:t>
            </w:r>
            <w:r w:rsidRPr="00522D45">
              <w:rPr>
                <w:rFonts w:ascii="Calibri" w:eastAsia="Times New Roman" w:hAnsi="Calibri" w:cs="Calibri"/>
                <w:color w:val="000000"/>
                <w:lang w:val="es-US"/>
              </w:rPr>
              <w:t xml:space="preserve"> Miraflores</w:t>
            </w:r>
          </w:p>
        </w:tc>
        <w:tc>
          <w:tcPr>
            <w:tcW w:w="1107" w:type="dxa"/>
            <w:tcBorders>
              <w:top w:val="nil"/>
              <w:left w:val="nil"/>
              <w:bottom w:val="single" w:sz="4" w:space="0" w:color="auto"/>
              <w:right w:val="single" w:sz="4" w:space="0" w:color="auto"/>
            </w:tcBorders>
            <w:shd w:val="clear" w:color="000000" w:fill="EBF1DE"/>
            <w:noWrap/>
            <w:vAlign w:val="center"/>
            <w:hideMark/>
          </w:tcPr>
          <w:p w14:paraId="729D1178"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83</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380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60</w:t>
            </w:r>
          </w:p>
        </w:tc>
        <w:tc>
          <w:tcPr>
            <w:tcW w:w="1500" w:type="dxa"/>
            <w:tcBorders>
              <w:top w:val="nil"/>
              <w:left w:val="nil"/>
              <w:bottom w:val="single" w:sz="4" w:space="0" w:color="auto"/>
              <w:right w:val="single" w:sz="4" w:space="0" w:color="auto"/>
            </w:tcBorders>
            <w:shd w:val="clear" w:color="000000" w:fill="EBF1DE"/>
            <w:noWrap/>
            <w:vAlign w:val="center"/>
            <w:hideMark/>
          </w:tcPr>
          <w:p w14:paraId="0EB42AD3"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158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629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00</w:t>
            </w:r>
          </w:p>
        </w:tc>
        <w:tc>
          <w:tcPr>
            <w:tcW w:w="1334" w:type="dxa"/>
            <w:tcBorders>
              <w:top w:val="nil"/>
              <w:left w:val="nil"/>
              <w:bottom w:val="single" w:sz="4" w:space="0" w:color="auto"/>
              <w:right w:val="single" w:sz="4" w:space="0" w:color="auto"/>
            </w:tcBorders>
            <w:shd w:val="clear" w:color="000000" w:fill="EBF1DE"/>
            <w:noWrap/>
            <w:vAlign w:val="center"/>
            <w:hideMark/>
          </w:tcPr>
          <w:p w14:paraId="30DB8871"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25</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385</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75</w:t>
            </w:r>
          </w:p>
        </w:tc>
        <w:tc>
          <w:tcPr>
            <w:tcW w:w="1334" w:type="dxa"/>
            <w:tcBorders>
              <w:top w:val="nil"/>
              <w:left w:val="nil"/>
              <w:bottom w:val="single" w:sz="4" w:space="0" w:color="auto"/>
              <w:right w:val="single" w:sz="4" w:space="0" w:color="auto"/>
            </w:tcBorders>
            <w:shd w:val="clear" w:color="000000" w:fill="EBF1DE"/>
            <w:noWrap/>
            <w:vAlign w:val="center"/>
            <w:hideMark/>
          </w:tcPr>
          <w:p w14:paraId="710E1BD5"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84</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008</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40</w:t>
            </w:r>
          </w:p>
        </w:tc>
        <w:tc>
          <w:tcPr>
            <w:tcW w:w="1500" w:type="dxa"/>
            <w:tcBorders>
              <w:top w:val="nil"/>
              <w:left w:val="nil"/>
              <w:bottom w:val="single" w:sz="4" w:space="0" w:color="auto"/>
              <w:right w:val="single" w:sz="4" w:space="0" w:color="auto"/>
            </w:tcBorders>
            <w:shd w:val="clear" w:color="000000" w:fill="EBF1DE"/>
            <w:noWrap/>
            <w:vAlign w:val="center"/>
            <w:hideMark/>
          </w:tcPr>
          <w:p w14:paraId="454EB0D7"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149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905</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50</w:t>
            </w:r>
          </w:p>
        </w:tc>
        <w:tc>
          <w:tcPr>
            <w:tcW w:w="1107" w:type="dxa"/>
            <w:tcBorders>
              <w:top w:val="nil"/>
              <w:left w:val="nil"/>
              <w:bottom w:val="single" w:sz="4" w:space="0" w:color="auto"/>
              <w:right w:val="single" w:sz="4" w:space="0" w:color="auto"/>
            </w:tcBorders>
            <w:shd w:val="clear" w:color="000000" w:fill="EBF1DE"/>
            <w:noWrap/>
            <w:vAlign w:val="center"/>
            <w:hideMark/>
          </w:tcPr>
          <w:p w14:paraId="76E308AF" w14:textId="77777777" w:rsidR="00CA361B" w:rsidRPr="00CA361B" w:rsidRDefault="00CA361B" w:rsidP="00CA361B">
            <w:pPr>
              <w:jc w:val="center"/>
              <w:rPr>
                <w:rFonts w:ascii="Calibri" w:eastAsia="Times New Roman" w:hAnsi="Calibri" w:cs="Calibri"/>
                <w:color w:val="000000"/>
                <w:lang w:val="es-US"/>
              </w:rPr>
            </w:pPr>
            <w:r w:rsidRPr="00CA361B">
              <w:rPr>
                <w:rFonts w:ascii="Calibri" w:eastAsia="Times New Roman" w:hAnsi="Calibri" w:cs="Calibri"/>
                <w:color w:val="000000"/>
                <w:lang w:val="es-US"/>
              </w:rPr>
              <w:t>29</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090</w:t>
            </w:r>
            <w:r w:rsidR="00AF418B">
              <w:rPr>
                <w:rFonts w:ascii="Calibri" w:eastAsia="Times New Roman" w:hAnsi="Calibri" w:cs="Calibri"/>
                <w:color w:val="000000"/>
                <w:lang w:val="es-US"/>
              </w:rPr>
              <w:t>,</w:t>
            </w:r>
            <w:r w:rsidRPr="00CA361B">
              <w:rPr>
                <w:rFonts w:ascii="Calibri" w:eastAsia="Times New Roman" w:hAnsi="Calibri" w:cs="Calibri"/>
                <w:color w:val="000000"/>
                <w:lang w:val="es-US"/>
              </w:rPr>
              <w:t>50</w:t>
            </w:r>
          </w:p>
        </w:tc>
      </w:tr>
    </w:tbl>
    <w:p w14:paraId="38CFF80B" w14:textId="77777777" w:rsidR="00FC0E28" w:rsidRPr="000E2730" w:rsidRDefault="000E2730" w:rsidP="000E2730">
      <w:pPr>
        <w:spacing w:after="200" w:line="276" w:lineRule="auto"/>
        <w:rPr>
          <w:sz w:val="20"/>
          <w:szCs w:val="20"/>
          <w:lang w:val="es-US" w:eastAsia="es-ES"/>
        </w:rPr>
      </w:pPr>
      <w:r w:rsidRPr="000E2730">
        <w:rPr>
          <w:sz w:val="20"/>
          <w:szCs w:val="20"/>
          <w:lang w:val="es-US" w:eastAsia="es-ES"/>
        </w:rPr>
        <w:t>Fuente: ENEE</w:t>
      </w:r>
    </w:p>
    <w:p w14:paraId="1D6B87A7" w14:textId="77777777" w:rsidR="00471D0E" w:rsidRDefault="00471D0E" w:rsidP="00FC0E28">
      <w:pPr>
        <w:spacing w:after="200" w:line="276" w:lineRule="auto"/>
        <w:jc w:val="right"/>
        <w:rPr>
          <w:b/>
          <w:lang w:val="es-US" w:eastAsia="es-ES"/>
        </w:rPr>
      </w:pPr>
    </w:p>
    <w:p w14:paraId="413FDA59" w14:textId="77777777" w:rsidR="00471D0E" w:rsidRDefault="00471D0E" w:rsidP="00FC0E28">
      <w:pPr>
        <w:spacing w:after="200" w:line="276" w:lineRule="auto"/>
        <w:jc w:val="right"/>
        <w:rPr>
          <w:b/>
          <w:lang w:val="es-US" w:eastAsia="es-ES"/>
        </w:rPr>
        <w:sectPr w:rsidR="00471D0E" w:rsidSect="00D26DBA">
          <w:headerReference w:type="even" r:id="rId13"/>
          <w:headerReference w:type="default" r:id="rId14"/>
          <w:footerReference w:type="even" r:id="rId15"/>
          <w:footerReference w:type="default" r:id="rId16"/>
          <w:headerReference w:type="first" r:id="rId17"/>
          <w:footerReference w:type="first" r:id="rId18"/>
          <w:pgSz w:w="12240" w:h="15840"/>
          <w:pgMar w:top="1530" w:right="1800" w:bottom="1440" w:left="1890" w:header="720" w:footer="180" w:gutter="0"/>
          <w:cols w:space="720"/>
          <w:titlePg/>
          <w:docGrid w:linePitch="360"/>
        </w:sectPr>
      </w:pPr>
    </w:p>
    <w:p w14:paraId="49A86984" w14:textId="77777777" w:rsidR="00FC0E28" w:rsidRDefault="00FC0E28" w:rsidP="00FC0E28">
      <w:pPr>
        <w:spacing w:after="200" w:line="276" w:lineRule="auto"/>
        <w:jc w:val="right"/>
        <w:rPr>
          <w:b/>
          <w:lang w:val="es-US" w:eastAsia="es-ES"/>
        </w:rPr>
      </w:pPr>
      <w:r>
        <w:rPr>
          <w:b/>
          <w:lang w:val="es-US" w:eastAsia="es-ES"/>
        </w:rPr>
        <w:lastRenderedPageBreak/>
        <w:t>Anexo C</w:t>
      </w:r>
    </w:p>
    <w:p w14:paraId="5CE4B6FB" w14:textId="77777777" w:rsidR="00E9023C" w:rsidRPr="00BB35B5" w:rsidRDefault="00FC0E28" w:rsidP="005C2329">
      <w:pPr>
        <w:pStyle w:val="Heading2"/>
        <w:numPr>
          <w:ilvl w:val="0"/>
          <w:numId w:val="15"/>
        </w:numPr>
      </w:pPr>
      <w:bookmarkStart w:id="66" w:name="_Toc513626366"/>
      <w:r w:rsidRPr="00BB35B5">
        <w:t xml:space="preserve">Costos Unitarios </w:t>
      </w:r>
      <w:r w:rsidR="00FF49F4">
        <w:t>V</w:t>
      </w:r>
      <w:r w:rsidR="00FF49F4" w:rsidRPr="00BB35B5">
        <w:t>igente</w:t>
      </w:r>
      <w:r w:rsidR="00FF49F4">
        <w:t>s</w:t>
      </w:r>
      <w:r w:rsidR="00FF49F4" w:rsidRPr="00BB35B5">
        <w:t xml:space="preserve"> </w:t>
      </w:r>
      <w:r w:rsidRPr="00BB35B5">
        <w:t>del Servicio</w:t>
      </w:r>
      <w:bookmarkEnd w:id="66"/>
      <w:r w:rsidRPr="00BB35B5">
        <w:t xml:space="preserve"> </w:t>
      </w:r>
    </w:p>
    <w:p w14:paraId="4D4CA6B5" w14:textId="77777777" w:rsidR="00FC0E28" w:rsidRPr="00FF49F4" w:rsidRDefault="00FC0E28" w:rsidP="00BB35B5">
      <w:pPr>
        <w:spacing w:after="200" w:line="276" w:lineRule="auto"/>
        <w:ind w:left="-360" w:hanging="360"/>
        <w:jc w:val="both"/>
        <w:rPr>
          <w:lang w:val="es-US" w:eastAsia="es-ES"/>
        </w:rPr>
      </w:pPr>
      <w:r w:rsidRPr="00FF49F4">
        <w:rPr>
          <w:noProof/>
          <w:lang w:val="es-US" w:eastAsia="es-ES"/>
        </w:rPr>
        <w:drawing>
          <wp:inline distT="0" distB="0" distL="0" distR="0" wp14:anchorId="10E73EDD" wp14:editId="126361E1">
            <wp:extent cx="9133606" cy="4657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0174" cy="4661075"/>
                    </a:xfrm>
                    <a:prstGeom prst="rect">
                      <a:avLst/>
                    </a:prstGeom>
                    <a:noFill/>
                  </pic:spPr>
                </pic:pic>
              </a:graphicData>
            </a:graphic>
          </wp:inline>
        </w:drawing>
      </w:r>
      <w:r w:rsidR="00BB35B5" w:rsidRPr="00FF49F4">
        <w:rPr>
          <w:lang w:val="es-US" w:eastAsia="es-ES"/>
        </w:rPr>
        <w:t>(Extracto de la memoria de cálculo del pliego tarifario vigente)</w:t>
      </w:r>
      <w:r w:rsidRPr="00FF49F4">
        <w:rPr>
          <w:lang w:val="es-US" w:eastAsia="es-ES"/>
        </w:rPr>
        <w:br w:type="page"/>
      </w:r>
    </w:p>
    <w:p w14:paraId="10A43A55" w14:textId="77777777" w:rsidR="00FC0E28" w:rsidRDefault="00FC0E28" w:rsidP="00D365FF">
      <w:pPr>
        <w:jc w:val="right"/>
        <w:rPr>
          <w:b/>
          <w:lang w:val="es-US" w:eastAsia="es-ES"/>
        </w:rPr>
        <w:sectPr w:rsidR="00FC0E28" w:rsidSect="00FC0E28">
          <w:pgSz w:w="15840" w:h="12240" w:orient="landscape"/>
          <w:pgMar w:top="1800" w:right="1440" w:bottom="1886" w:left="1526" w:header="720" w:footer="187" w:gutter="0"/>
          <w:cols w:space="720"/>
          <w:titlePg/>
          <w:docGrid w:linePitch="360"/>
        </w:sectPr>
      </w:pPr>
    </w:p>
    <w:p w14:paraId="075E9AC9" w14:textId="77777777" w:rsidR="00D365FF" w:rsidRPr="00F00ECE" w:rsidRDefault="00D365FF" w:rsidP="00D365FF">
      <w:pPr>
        <w:jc w:val="right"/>
        <w:rPr>
          <w:b/>
          <w:lang w:val="es-US" w:eastAsia="es-ES"/>
        </w:rPr>
      </w:pPr>
      <w:r>
        <w:rPr>
          <w:b/>
          <w:lang w:val="es-US" w:eastAsia="es-ES"/>
        </w:rPr>
        <w:lastRenderedPageBreak/>
        <w:t>A</w:t>
      </w:r>
      <w:r w:rsidRPr="00F00ECE">
        <w:rPr>
          <w:b/>
          <w:lang w:val="es-US" w:eastAsia="es-ES"/>
        </w:rPr>
        <w:t xml:space="preserve">nexo </w:t>
      </w:r>
      <w:r w:rsidR="00F759F2">
        <w:rPr>
          <w:b/>
          <w:lang w:val="es-US" w:eastAsia="es-ES"/>
        </w:rPr>
        <w:t>D</w:t>
      </w:r>
    </w:p>
    <w:p w14:paraId="5364C492" w14:textId="77777777" w:rsidR="00D365FF" w:rsidRPr="00F91C3E" w:rsidRDefault="00D365FF" w:rsidP="005C2329">
      <w:pPr>
        <w:pStyle w:val="Heading2"/>
        <w:numPr>
          <w:ilvl w:val="0"/>
          <w:numId w:val="15"/>
        </w:numPr>
      </w:pPr>
      <w:bookmarkStart w:id="67" w:name="_Toc513626367"/>
      <w:r w:rsidRPr="001E5FA2">
        <w:t>Razones</w:t>
      </w:r>
      <w:r w:rsidRPr="00F91C3E">
        <w:t xml:space="preserve"> de precio cuenta (RPC)</w:t>
      </w:r>
      <w:bookmarkEnd w:id="67"/>
    </w:p>
    <w:p w14:paraId="5BD5EDAE" w14:textId="77777777" w:rsidR="00D365FF" w:rsidRPr="0033221C" w:rsidRDefault="00D365FF" w:rsidP="00D365FF">
      <w:pPr>
        <w:spacing w:before="240"/>
        <w:jc w:val="both"/>
        <w:rPr>
          <w:rFonts w:cs="Arial"/>
          <w:lang w:val="es-VE"/>
        </w:rPr>
      </w:pPr>
      <w:r w:rsidRPr="0033221C">
        <w:rPr>
          <w:rFonts w:cs="Arial"/>
          <w:lang w:val="es-VE"/>
        </w:rPr>
        <w:t>Para Honduras no se dispone de un estudio actualizado de las razones de precios de cuenta (RPC) destinadas a convertir tanto los costos como los beneficios del proyecto de numerario de mercado al numerario de eficiencia.  Este capítulo presenta la estimación de las RPC utilizadas en las evaluaciones económicas a partir de la eliminación de las transferencias</w:t>
      </w:r>
      <w:r>
        <w:rPr>
          <w:rFonts w:cs="Arial"/>
          <w:lang w:val="es-VE"/>
        </w:rPr>
        <w:t>,</w:t>
      </w:r>
      <w:r w:rsidRPr="0033221C">
        <w:rPr>
          <w:rFonts w:cs="Arial"/>
          <w:lang w:val="es-VE"/>
        </w:rPr>
        <w:t xml:space="preserve"> constituidas principalmente por impuestos, la estimación del precio de cuenta de la divisa y el cálculo del precio de cuenta de la mano de obra no calificada. </w:t>
      </w:r>
    </w:p>
    <w:p w14:paraId="390C017B" w14:textId="77777777" w:rsidR="00D365FF" w:rsidRDefault="00D365FF" w:rsidP="00D365FF">
      <w:pPr>
        <w:spacing w:before="120"/>
        <w:jc w:val="both"/>
        <w:rPr>
          <w:rFonts w:cs="Arial"/>
          <w:lang w:val="es-VE"/>
        </w:rPr>
      </w:pPr>
      <w:r w:rsidRPr="00954D5A">
        <w:rPr>
          <w:rFonts w:cs="Arial"/>
          <w:lang w:val="es-VE"/>
        </w:rPr>
        <w:t>El numerario o unidad de cuenta seleccionada para todos los beneficios y costos económicos del Proyecto es el numerario de frontera que valora</w:t>
      </w:r>
      <w:r w:rsidRPr="0033221C">
        <w:rPr>
          <w:rFonts w:cs="Arial"/>
          <w:lang w:val="es-VE"/>
        </w:rPr>
        <w:t xml:space="preserve"> por la unidad, a una divisa libre en manos del Estado.</w:t>
      </w:r>
      <w:bookmarkStart w:id="68" w:name="_Toc482570681"/>
    </w:p>
    <w:p w14:paraId="1CA19A49" w14:textId="77777777" w:rsidR="00D365FF" w:rsidRPr="003B7D1A" w:rsidRDefault="00D365FF" w:rsidP="00D365FF">
      <w:pPr>
        <w:spacing w:before="240"/>
        <w:jc w:val="both"/>
        <w:rPr>
          <w:rFonts w:cs="Arial"/>
          <w:b/>
          <w:lang w:val="es-VE"/>
        </w:rPr>
      </w:pPr>
      <w:r w:rsidRPr="003B7D1A">
        <w:rPr>
          <w:b/>
          <w:lang w:val="es-US"/>
        </w:rPr>
        <w:t>Precio de Cuenta de la Divisa</w:t>
      </w:r>
      <w:bookmarkEnd w:id="68"/>
    </w:p>
    <w:p w14:paraId="7EA8AABF" w14:textId="77777777" w:rsidR="00D365FF" w:rsidRPr="0033221C" w:rsidRDefault="00D365FF" w:rsidP="00D365FF">
      <w:pPr>
        <w:spacing w:before="120"/>
        <w:jc w:val="both"/>
        <w:rPr>
          <w:rFonts w:cs="Arial"/>
          <w:i/>
          <w:lang w:val="es-ES"/>
        </w:rPr>
      </w:pPr>
      <w:r w:rsidRPr="00954D5A">
        <w:rPr>
          <w:rFonts w:cs="Arial"/>
          <w:bCs/>
          <w:lang w:val="es-CO"/>
        </w:rPr>
        <w:t xml:space="preserve">Para medir el grado de sobrevaluación o subvaloración del lempira con respecto al dólar, el Banco Central de Honduras (BCH) elabora el “Índice de Tipo de Cambio Efectivo Real” (ITCER) en las categorías “Global”, “Centro América y Panamá”, “México, Estados Unidos de Norteamérica y zona del euro”, y “Bilateral Honduras- </w:t>
      </w:r>
      <w:proofErr w:type="gramStart"/>
      <w:r w:rsidRPr="00954D5A">
        <w:rPr>
          <w:rFonts w:cs="Arial"/>
          <w:bCs/>
          <w:lang w:val="es-CO"/>
        </w:rPr>
        <w:t>EEUU</w:t>
      </w:r>
      <w:proofErr w:type="gramEnd"/>
      <w:r w:rsidRPr="0033221C">
        <w:rPr>
          <w:rFonts w:cs="Arial"/>
          <w:bCs/>
          <w:i/>
          <w:lang w:val="es-CO"/>
        </w:rPr>
        <w:t xml:space="preserve">”.  </w:t>
      </w:r>
      <w:r w:rsidRPr="0033221C">
        <w:rPr>
          <w:rFonts w:cs="Arial"/>
          <w:i/>
          <w:lang w:val="es-ES"/>
        </w:rPr>
        <w:t xml:space="preserve">  </w:t>
      </w:r>
    </w:p>
    <w:p w14:paraId="27AB657D" w14:textId="77777777" w:rsidR="00D365FF" w:rsidRPr="00954D5A" w:rsidRDefault="00D365FF" w:rsidP="00D365FF">
      <w:pPr>
        <w:spacing w:before="120"/>
        <w:jc w:val="both"/>
        <w:rPr>
          <w:rFonts w:cs="Arial"/>
          <w:bCs/>
        </w:rPr>
      </w:pPr>
      <w:r w:rsidRPr="00954D5A">
        <w:rPr>
          <w:rFonts w:cs="Arial"/>
          <w:lang w:val="es-ES"/>
        </w:rPr>
        <w:t>El índice Global indica:</w:t>
      </w:r>
    </w:p>
    <w:p w14:paraId="756128E0" w14:textId="77777777" w:rsidR="00D365FF" w:rsidRPr="00954D5A" w:rsidRDefault="00D365FF" w:rsidP="00D365FF">
      <w:pPr>
        <w:numPr>
          <w:ilvl w:val="0"/>
          <w:numId w:val="13"/>
        </w:numPr>
        <w:jc w:val="both"/>
        <w:rPr>
          <w:rFonts w:cs="Arial"/>
          <w:lang w:val="es-ES"/>
        </w:rPr>
      </w:pPr>
      <w:r w:rsidRPr="00954D5A">
        <w:rPr>
          <w:rFonts w:cs="Arial"/>
          <w:lang w:val="es-ES"/>
        </w:rPr>
        <w:t>Si es igual a 100, que el tipo de cambio de paridad es el óptimo; es decir, no se presentan distorsiones en la relación del tipo de cambio entre el lempira y el dólar norteamericano.</w:t>
      </w:r>
    </w:p>
    <w:p w14:paraId="2B6A099F" w14:textId="77777777" w:rsidR="00D365FF" w:rsidRPr="0033221C" w:rsidRDefault="00D365FF" w:rsidP="00D365FF">
      <w:pPr>
        <w:numPr>
          <w:ilvl w:val="0"/>
          <w:numId w:val="13"/>
        </w:numPr>
        <w:jc w:val="both"/>
        <w:rPr>
          <w:rFonts w:cs="Arial"/>
          <w:lang w:val="es-ES"/>
        </w:rPr>
      </w:pPr>
      <w:r w:rsidRPr="00954D5A">
        <w:rPr>
          <w:rFonts w:cs="Arial"/>
          <w:lang w:val="es-ES"/>
        </w:rPr>
        <w:t>Si es menor a la línea de paridad de 100, que el tipo de cambio (el dólar) está subvaluado por lo cual se</w:t>
      </w:r>
      <w:r w:rsidRPr="0033221C">
        <w:rPr>
          <w:rFonts w:cs="Arial"/>
          <w:lang w:val="es-ES"/>
        </w:rPr>
        <w:t xml:space="preserve"> debe acelerar el ritmo de devaluación.</w:t>
      </w:r>
    </w:p>
    <w:p w14:paraId="1DFFD023" w14:textId="77777777" w:rsidR="00D365FF" w:rsidRPr="0033221C" w:rsidRDefault="00D365FF" w:rsidP="00D365FF">
      <w:pPr>
        <w:numPr>
          <w:ilvl w:val="0"/>
          <w:numId w:val="13"/>
        </w:numPr>
        <w:jc w:val="both"/>
        <w:rPr>
          <w:rFonts w:cs="Arial"/>
          <w:lang w:val="es-ES"/>
        </w:rPr>
      </w:pPr>
      <w:r w:rsidRPr="0033221C">
        <w:rPr>
          <w:rFonts w:cs="Arial"/>
          <w:lang w:val="es-ES"/>
        </w:rPr>
        <w:t>Si es mayor a 100, que el tipo de cambio está sobrevaluado, caso en el cual conviene reducir el ritmo de devaluación.</w:t>
      </w:r>
    </w:p>
    <w:p w14:paraId="79E08B1B" w14:textId="77777777" w:rsidR="00D365FF" w:rsidRPr="0033221C" w:rsidRDefault="00D365FF" w:rsidP="00D365FF">
      <w:pPr>
        <w:spacing w:before="120"/>
        <w:jc w:val="both"/>
        <w:rPr>
          <w:rFonts w:cs="Arial"/>
          <w:lang w:val="es-ES"/>
        </w:rPr>
      </w:pPr>
      <w:r w:rsidRPr="0033221C">
        <w:rPr>
          <w:rFonts w:cs="Arial"/>
          <w:lang w:val="es-ES"/>
        </w:rPr>
        <w:t xml:space="preserve">La </w:t>
      </w:r>
      <w:r w:rsidRPr="008942D7">
        <w:rPr>
          <w:rFonts w:cs="Arial"/>
          <w:lang w:val="es-VE"/>
        </w:rPr>
        <w:t>información</w:t>
      </w:r>
      <w:r w:rsidRPr="0033221C">
        <w:rPr>
          <w:rFonts w:cs="Arial"/>
          <w:lang w:val="es-ES"/>
        </w:rPr>
        <w:t xml:space="preserve"> detallada del ITCER aparece consignada en el documento: "</w:t>
      </w:r>
      <w:r w:rsidRPr="00CE4FD2">
        <w:rPr>
          <w:rFonts w:cs="Arial"/>
          <w:bCs/>
          <w:lang w:val="es-ES_tradnl"/>
        </w:rPr>
        <w:t xml:space="preserve">Índice de Tipo de Cambio Efectivo Real", BCH, agosto de 2014. </w:t>
      </w:r>
      <w:r w:rsidRPr="0033221C">
        <w:rPr>
          <w:rFonts w:cs="Arial"/>
          <w:lang w:val="es-ES"/>
        </w:rPr>
        <w:t>Se observa que este índice se ubica en 104</w:t>
      </w:r>
      <w:r w:rsidR="00B7039F">
        <w:rPr>
          <w:rFonts w:cs="Arial"/>
          <w:lang w:val="es-ES"/>
        </w:rPr>
        <w:t>,</w:t>
      </w:r>
      <w:r w:rsidRPr="0033221C">
        <w:rPr>
          <w:rFonts w:cs="Arial"/>
          <w:lang w:val="es-ES"/>
        </w:rPr>
        <w:t>5 en promedio durante los primeros 8 meses de 2014, lo cual indica la conveniencia de reducir el ritmo de devaluación con el fin de mejorar la competitividad para el país.</w:t>
      </w:r>
    </w:p>
    <w:p w14:paraId="36457415" w14:textId="77777777" w:rsidR="00D365FF" w:rsidRPr="0033221C" w:rsidRDefault="00D365FF" w:rsidP="00D365FF">
      <w:pPr>
        <w:spacing w:before="120" w:after="120"/>
        <w:jc w:val="both"/>
        <w:rPr>
          <w:rFonts w:cs="Arial"/>
          <w:lang w:val="es-MX"/>
        </w:rPr>
      </w:pPr>
      <w:r w:rsidRPr="0033221C">
        <w:rPr>
          <w:rFonts w:cs="Arial"/>
          <w:lang w:val="es-MX"/>
        </w:rPr>
        <w:t>De la información del BCH se tiene:</w:t>
      </w:r>
    </w:p>
    <w:p w14:paraId="21832B6A" w14:textId="77777777" w:rsidR="00D365FF" w:rsidRPr="0033221C" w:rsidRDefault="00D365FF" w:rsidP="00D365FF">
      <w:pPr>
        <w:jc w:val="center"/>
        <w:rPr>
          <w:rFonts w:cs="Arial"/>
          <w:lang w:val="es-MX"/>
        </w:rPr>
      </w:pPr>
      <w:r w:rsidRPr="0033221C">
        <w:rPr>
          <w:rFonts w:cs="Arial"/>
          <w:lang w:val="es-MX"/>
        </w:rPr>
        <w:t xml:space="preserve">ITCER </w:t>
      </w:r>
      <w:r w:rsidRPr="00B7039F">
        <w:rPr>
          <w:rFonts w:cs="Arial"/>
          <w:sz w:val="24"/>
          <w:szCs w:val="24"/>
          <w:vertAlign w:val="subscript"/>
          <w:lang w:val="es-MX"/>
        </w:rPr>
        <w:t>2014 (ene-</w:t>
      </w:r>
      <w:proofErr w:type="spellStart"/>
      <w:r w:rsidRPr="00B7039F">
        <w:rPr>
          <w:rFonts w:cs="Arial"/>
          <w:sz w:val="24"/>
          <w:szCs w:val="24"/>
          <w:vertAlign w:val="subscript"/>
          <w:lang w:val="es-MX"/>
        </w:rPr>
        <w:t>ago</w:t>
      </w:r>
      <w:proofErr w:type="spellEnd"/>
      <w:r w:rsidRPr="00B7039F">
        <w:rPr>
          <w:rFonts w:cs="Arial"/>
          <w:sz w:val="24"/>
          <w:szCs w:val="24"/>
          <w:vertAlign w:val="subscript"/>
          <w:lang w:val="es-MX"/>
        </w:rPr>
        <w:t>)</w:t>
      </w:r>
      <w:r w:rsidRPr="0033221C">
        <w:rPr>
          <w:rFonts w:cs="Arial"/>
          <w:vertAlign w:val="subscript"/>
          <w:lang w:val="es-MX"/>
        </w:rPr>
        <w:t xml:space="preserve"> </w:t>
      </w:r>
      <w:r w:rsidRPr="0033221C">
        <w:rPr>
          <w:rFonts w:cs="Arial"/>
          <w:lang w:val="es-MX"/>
        </w:rPr>
        <w:t>= 104</w:t>
      </w:r>
      <w:r w:rsidR="00006262">
        <w:rPr>
          <w:rFonts w:cs="Arial"/>
          <w:lang w:val="es-MX"/>
        </w:rPr>
        <w:t>,</w:t>
      </w:r>
      <w:r w:rsidRPr="0033221C">
        <w:rPr>
          <w:rFonts w:cs="Arial"/>
          <w:lang w:val="es-MX"/>
        </w:rPr>
        <w:t>5</w:t>
      </w:r>
    </w:p>
    <w:p w14:paraId="4025368F" w14:textId="77777777" w:rsidR="00D365FF" w:rsidRDefault="00D365FF" w:rsidP="00736B8E">
      <w:pPr>
        <w:spacing w:before="60"/>
        <w:jc w:val="center"/>
        <w:rPr>
          <w:rFonts w:cs="Arial"/>
          <w:lang w:val="es-MX"/>
        </w:rPr>
      </w:pPr>
      <w:r w:rsidRPr="0033221C">
        <w:rPr>
          <w:rFonts w:cs="Arial"/>
          <w:lang w:val="es-MX"/>
        </w:rPr>
        <w:t xml:space="preserve">Tipo de cambio </w:t>
      </w:r>
      <w:r w:rsidRPr="00B7039F">
        <w:rPr>
          <w:rFonts w:cs="Arial"/>
          <w:sz w:val="24"/>
          <w:szCs w:val="24"/>
          <w:vertAlign w:val="subscript"/>
          <w:lang w:val="es-MX"/>
        </w:rPr>
        <w:t>septiembre 2014</w:t>
      </w:r>
      <w:r w:rsidRPr="0033221C">
        <w:rPr>
          <w:rFonts w:cs="Arial"/>
          <w:vertAlign w:val="subscript"/>
          <w:lang w:val="es-MX"/>
        </w:rPr>
        <w:t xml:space="preserve"> </w:t>
      </w:r>
      <w:r w:rsidRPr="0033221C">
        <w:rPr>
          <w:rFonts w:cs="Arial"/>
          <w:lang w:val="es-MX"/>
        </w:rPr>
        <w:t>= L.19</w:t>
      </w:r>
      <w:r w:rsidR="00006262">
        <w:rPr>
          <w:rFonts w:cs="Arial"/>
          <w:lang w:val="es-MX"/>
        </w:rPr>
        <w:t>,</w:t>
      </w:r>
      <w:r w:rsidRPr="0033221C">
        <w:rPr>
          <w:rFonts w:cs="Arial"/>
          <w:lang w:val="es-MX"/>
        </w:rPr>
        <w:t>32/1US$</w:t>
      </w:r>
    </w:p>
    <w:p w14:paraId="6EAAD680" w14:textId="77777777" w:rsidR="00B7039F" w:rsidRPr="0033221C" w:rsidRDefault="00B7039F" w:rsidP="00736B8E">
      <w:pPr>
        <w:spacing w:before="60"/>
        <w:jc w:val="center"/>
        <w:rPr>
          <w:rFonts w:cs="Arial"/>
          <w:lang w:val="es-MX"/>
        </w:rPr>
      </w:pPr>
    </w:p>
    <w:p w14:paraId="2AF3E270" w14:textId="77777777" w:rsidR="00D365FF" w:rsidRDefault="00D365FF" w:rsidP="00736B8E">
      <w:pPr>
        <w:spacing w:before="60"/>
        <w:jc w:val="center"/>
        <w:rPr>
          <w:rFonts w:cs="Arial"/>
          <w:lang w:val="es-MX"/>
        </w:rPr>
      </w:pPr>
      <w:r w:rsidRPr="0033221C">
        <w:rPr>
          <w:rFonts w:cs="Arial"/>
          <w:lang w:val="es-MX"/>
        </w:rPr>
        <w:t>Tipo de Cambio Real ajustado por el ITCER = 19</w:t>
      </w:r>
      <w:r w:rsidR="00006262">
        <w:rPr>
          <w:rFonts w:cs="Arial"/>
          <w:lang w:val="es-MX"/>
        </w:rPr>
        <w:t>,</w:t>
      </w:r>
      <w:r w:rsidRPr="0033221C">
        <w:rPr>
          <w:rFonts w:cs="Arial"/>
          <w:lang w:val="es-MX"/>
        </w:rPr>
        <w:t>32 / 1</w:t>
      </w:r>
      <w:r w:rsidR="00006262">
        <w:rPr>
          <w:rFonts w:cs="Arial"/>
          <w:lang w:val="es-MX"/>
        </w:rPr>
        <w:t>,</w:t>
      </w:r>
      <w:r w:rsidRPr="0033221C">
        <w:rPr>
          <w:rFonts w:cs="Arial"/>
          <w:lang w:val="es-MX"/>
        </w:rPr>
        <w:t>045 = L.18</w:t>
      </w:r>
      <w:r w:rsidR="00006262">
        <w:rPr>
          <w:rFonts w:cs="Arial"/>
          <w:lang w:val="es-MX"/>
        </w:rPr>
        <w:t>,</w:t>
      </w:r>
      <w:r w:rsidRPr="0033221C">
        <w:rPr>
          <w:rFonts w:cs="Arial"/>
          <w:lang w:val="es-MX"/>
        </w:rPr>
        <w:t>488/US$</w:t>
      </w:r>
    </w:p>
    <w:p w14:paraId="6942B8EE" w14:textId="77777777" w:rsidR="00006262" w:rsidRPr="0033221C" w:rsidRDefault="00006262" w:rsidP="00D365FF">
      <w:pPr>
        <w:jc w:val="center"/>
        <w:rPr>
          <w:rFonts w:cs="Arial"/>
          <w:lang w:val="es-MX"/>
        </w:rPr>
      </w:pPr>
    </w:p>
    <w:p w14:paraId="3FBD5EEC" w14:textId="77777777" w:rsidR="00D365FF" w:rsidRDefault="00006262" w:rsidP="00D365FF">
      <w:pPr>
        <w:jc w:val="center"/>
        <w:rPr>
          <w:rFonts w:cs="Arial"/>
          <w:i/>
          <w:lang w:val="es-MX"/>
        </w:rPr>
      </w:pPr>
      <m:oMath>
        <m:r>
          <m:rPr>
            <m:sty m:val="p"/>
          </m:rPr>
          <w:rPr>
            <w:rFonts w:ascii="Cambria Math" w:hAnsi="Cambria Math" w:cs="Arial"/>
            <w:sz w:val="28"/>
            <w:szCs w:val="28"/>
            <w:lang w:val="es-MX"/>
          </w:rPr>
          <m:t>TCE=1/1,045</m:t>
        </m:r>
      </m:oMath>
      <w:r w:rsidR="009A7AFD">
        <w:rPr>
          <w:rFonts w:eastAsiaTheme="minorEastAsia" w:cs="Arial"/>
          <w:i/>
          <w:sz w:val="28"/>
          <w:szCs w:val="28"/>
          <w:lang w:val="es-MX"/>
        </w:rPr>
        <w:t xml:space="preserve"> </w:t>
      </w:r>
      <w:r w:rsidR="00D365FF">
        <w:rPr>
          <w:rFonts w:cs="Arial"/>
          <w:i/>
          <w:lang w:val="es-MX"/>
        </w:rPr>
        <w:t xml:space="preserve">    (Tasa de cambio en equilibrio)</w:t>
      </w:r>
    </w:p>
    <w:p w14:paraId="5EEF631E" w14:textId="77777777" w:rsidR="00006262" w:rsidRPr="00006262" w:rsidRDefault="00006262" w:rsidP="00D365FF">
      <w:pPr>
        <w:jc w:val="center"/>
        <w:rPr>
          <w:rFonts w:eastAsiaTheme="minorEastAsia" w:cs="Arial"/>
          <w:lang w:val="es-MX"/>
        </w:rPr>
      </w:pPr>
    </w:p>
    <w:p w14:paraId="20BA5882" w14:textId="77777777" w:rsidR="00D365FF" w:rsidRDefault="00D365FF" w:rsidP="00D365FF">
      <w:pPr>
        <w:jc w:val="both"/>
        <w:rPr>
          <w:rFonts w:cs="Arial"/>
          <w:lang w:val="es-VE"/>
        </w:rPr>
      </w:pPr>
      <w:r w:rsidRPr="0033221C">
        <w:rPr>
          <w:rFonts w:cs="Arial"/>
          <w:lang w:val="es-VE"/>
        </w:rPr>
        <w:t>El Precio de Cuenta de la Divisa (</w:t>
      </w:r>
      <w:r w:rsidRPr="0033221C">
        <w:rPr>
          <w:rFonts w:cs="Arial"/>
          <w:i/>
          <w:lang w:val="es-VE"/>
        </w:rPr>
        <w:t>PCD</w:t>
      </w:r>
      <w:r w:rsidRPr="0033221C">
        <w:rPr>
          <w:rFonts w:cs="Arial"/>
          <w:lang w:val="es-VE"/>
        </w:rPr>
        <w:t>) se estima, de manera aproximada, así:</w:t>
      </w:r>
    </w:p>
    <w:p w14:paraId="27E22834" w14:textId="77777777" w:rsidR="00FE2B20" w:rsidRPr="0033221C" w:rsidRDefault="00FE2B20" w:rsidP="00D365FF">
      <w:pPr>
        <w:jc w:val="both"/>
        <w:rPr>
          <w:rFonts w:cs="Arial"/>
          <w:lang w:val="es-VE"/>
        </w:rPr>
      </w:pPr>
    </w:p>
    <w:p w14:paraId="2A2D167A" w14:textId="77777777" w:rsidR="00D365FF" w:rsidRPr="00FE2B20" w:rsidRDefault="00FE2B20" w:rsidP="00D365FF">
      <w:pPr>
        <w:jc w:val="center"/>
        <w:rPr>
          <w:rFonts w:cs="Arial"/>
          <w:lang w:val="es-VE"/>
        </w:rPr>
      </w:pPr>
      <m:oMathPara>
        <m:oMath>
          <m:r>
            <m:rPr>
              <m:sty m:val="p"/>
            </m:rPr>
            <w:rPr>
              <w:rFonts w:ascii="Cambria Math" w:hAnsi="Cambria Math" w:cs="Arial"/>
              <w:lang w:val="es-VE"/>
            </w:rPr>
            <m:t>PCD=TCE</m:t>
          </m:r>
          <m:r>
            <w:rPr>
              <w:rFonts w:ascii="Cambria Math" w:hAnsi="Cambria Math" w:cs="Arial"/>
              <w:lang w:val="es-VE"/>
            </w:rPr>
            <m:t xml:space="preserve"> </m:t>
          </m:r>
          <m:d>
            <m:dPr>
              <m:begChr m:val="["/>
              <m:endChr m:val="]"/>
              <m:ctrlPr>
                <w:rPr>
                  <w:rFonts w:ascii="Cambria Math" w:hAnsi="Cambria Math" w:cs="Arial"/>
                  <w:lang w:val="es-VE"/>
                </w:rPr>
              </m:ctrlPr>
            </m:dPr>
            <m:e>
              <m:f>
                <m:fPr>
                  <m:ctrlPr>
                    <w:rPr>
                      <w:rFonts w:ascii="Cambria Math" w:hAnsi="Cambria Math" w:cs="Arial"/>
                      <w:lang w:val="es-VE"/>
                    </w:rPr>
                  </m:ctrlPr>
                </m:fPr>
                <m:num>
                  <m:r>
                    <m:rPr>
                      <m:sty m:val="p"/>
                    </m:rPr>
                    <w:rPr>
                      <w:rFonts w:ascii="Cambria Math" w:hAnsi="Cambria Math" w:cs="Arial"/>
                      <w:lang w:val="es-VE"/>
                    </w:rPr>
                    <m:t xml:space="preserve"> X+M+Tx-Tm</m:t>
                  </m:r>
                </m:num>
                <m:den>
                  <m:r>
                    <m:rPr>
                      <m:sty m:val="p"/>
                    </m:rPr>
                    <w:rPr>
                      <w:rFonts w:ascii="Cambria Math" w:hAnsi="Cambria Math" w:cs="Arial"/>
                      <w:lang w:val="es-VE"/>
                    </w:rPr>
                    <m:t>X+M</m:t>
                  </m:r>
                </m:den>
              </m:f>
            </m:e>
          </m:d>
        </m:oMath>
      </m:oMathPara>
    </w:p>
    <w:p w14:paraId="1EC41A04" w14:textId="77777777" w:rsidR="00FE2B20" w:rsidRDefault="00FE2B20" w:rsidP="00D365FF">
      <w:pPr>
        <w:jc w:val="both"/>
        <w:rPr>
          <w:rFonts w:cs="Arial"/>
          <w:lang w:val="es-VE"/>
        </w:rPr>
      </w:pPr>
    </w:p>
    <w:p w14:paraId="6426E12B" w14:textId="77777777" w:rsidR="000C0A93" w:rsidRPr="00B7039F" w:rsidRDefault="00D365FF" w:rsidP="00D365FF">
      <w:pPr>
        <w:jc w:val="both"/>
        <w:rPr>
          <w:rFonts w:cs="Arial"/>
          <w:lang w:val="es-VE"/>
        </w:rPr>
      </w:pPr>
      <w:r w:rsidRPr="00B7039F">
        <w:rPr>
          <w:rFonts w:cs="Arial"/>
          <w:lang w:val="es-VE"/>
        </w:rPr>
        <w:lastRenderedPageBreak/>
        <w:t xml:space="preserve">Donde: TCE representa la relación entre la Tasa de Cambio de Equilibrio y la Tasa de Cambio Vigente, M el valor de las importaciones totales, X el valor de las exportaciones totales, y Tm y </w:t>
      </w:r>
      <w:proofErr w:type="spellStart"/>
      <w:r w:rsidRPr="00B7039F">
        <w:rPr>
          <w:rFonts w:cs="Arial"/>
          <w:lang w:val="es-VE"/>
        </w:rPr>
        <w:t>Tx</w:t>
      </w:r>
      <w:proofErr w:type="spellEnd"/>
      <w:r w:rsidRPr="00B7039F">
        <w:rPr>
          <w:rFonts w:cs="Arial"/>
          <w:lang w:val="es-VE"/>
        </w:rPr>
        <w:t xml:space="preserve"> el valor de los impuestos, libres de subsidios, a las importaciones y a las exportaciones. A continuación, se presentan los valores aplicables estimados con las estadísticas de exportaciones e importaciones de 2013</w:t>
      </w:r>
      <w:r w:rsidRPr="00B7039F">
        <w:rPr>
          <w:rStyle w:val="FootnoteReference"/>
          <w:rFonts w:cs="Arial"/>
          <w:lang w:val="es-VE"/>
        </w:rPr>
        <w:footnoteReference w:id="7"/>
      </w:r>
      <w:r w:rsidRPr="00B7039F">
        <w:rPr>
          <w:rFonts w:cs="Arial"/>
          <w:lang w:val="es-VE"/>
        </w:rPr>
        <w:t xml:space="preserve"> y con los impuestos a las importaciones pagados en 2013</w:t>
      </w:r>
      <w:r w:rsidRPr="00B7039F">
        <w:rPr>
          <w:rStyle w:val="FootnoteReference"/>
          <w:rFonts w:cs="Arial"/>
          <w:lang w:val="es-VE"/>
        </w:rPr>
        <w:footnoteReference w:id="8"/>
      </w:r>
    </w:p>
    <w:p w14:paraId="42992708" w14:textId="77777777" w:rsidR="00820C97" w:rsidRPr="00820C97" w:rsidRDefault="00D365FF" w:rsidP="00A4481A">
      <w:pPr>
        <w:jc w:val="center"/>
        <w:rPr>
          <w:rFonts w:ascii="Cambria Math" w:hAnsi="Cambria Math" w:cs="Arial"/>
          <w:i/>
          <w:lang w:val="es-VE"/>
        </w:rPr>
      </w:pPr>
      <w:r w:rsidRPr="0033221C">
        <w:rPr>
          <w:rFonts w:cs="Arial"/>
          <w:lang w:val="es-VE"/>
        </w:rPr>
        <w:t>.</w:t>
      </w:r>
      <w:r w:rsidR="00820C97">
        <w:rPr>
          <w:rFonts w:cs="Arial"/>
          <w:lang w:val="es-VE"/>
        </w:rPr>
        <w:br/>
      </w:r>
      <w:bookmarkStart w:id="69" w:name="_Hlk513379846"/>
      <m:oMath>
        <m:r>
          <m:rPr>
            <m:sty m:val="p"/>
          </m:rPr>
          <w:rPr>
            <w:rFonts w:ascii="Cambria Math" w:hAnsi="Cambria Math" w:cs="Arial"/>
            <w:sz w:val="28"/>
            <w:szCs w:val="28"/>
            <w:lang w:val="es-VE"/>
          </w:rPr>
          <m:t xml:space="preserve">PCD=TCE </m:t>
        </m:r>
        <m:d>
          <m:dPr>
            <m:begChr m:val="["/>
            <m:endChr m:val="]"/>
            <m:ctrlPr>
              <w:rPr>
                <w:rFonts w:ascii="Cambria Math" w:hAnsi="Cambria Math" w:cs="Arial"/>
                <w:sz w:val="28"/>
                <w:szCs w:val="28"/>
                <w:lang w:val="es-VE"/>
              </w:rPr>
            </m:ctrlPr>
          </m:dPr>
          <m:e>
            <m:f>
              <m:fPr>
                <m:ctrlPr>
                  <w:rPr>
                    <w:rFonts w:ascii="Cambria Math" w:hAnsi="Cambria Math" w:cs="Arial"/>
                    <w:sz w:val="28"/>
                    <w:szCs w:val="28"/>
                    <w:lang w:val="es-VE"/>
                  </w:rPr>
                </m:ctrlPr>
              </m:fPr>
              <m:num>
                <m:r>
                  <m:rPr>
                    <m:sty m:val="p"/>
                  </m:rPr>
                  <w:rPr>
                    <w:rFonts w:ascii="Cambria Math" w:hAnsi="Cambria Math" w:cs="Arial"/>
                    <w:sz w:val="28"/>
                    <w:szCs w:val="28"/>
                    <w:lang w:val="es-VE"/>
                  </w:rPr>
                  <m:t xml:space="preserve"> X+M+Tx-Tm</m:t>
                </m:r>
              </m:num>
              <m:den>
                <m:r>
                  <m:rPr>
                    <m:sty m:val="p"/>
                  </m:rPr>
                  <w:rPr>
                    <w:rFonts w:ascii="Cambria Math" w:hAnsi="Cambria Math" w:cs="Arial"/>
                    <w:sz w:val="28"/>
                    <w:szCs w:val="28"/>
                    <w:lang w:val="es-VE"/>
                  </w:rPr>
                  <m:t>X+M</m:t>
                </m:r>
              </m:den>
            </m:f>
          </m:e>
        </m:d>
      </m:oMath>
      <w:bookmarkEnd w:id="69"/>
      <w:r w:rsidR="00A4481A">
        <w:rPr>
          <w:rFonts w:eastAsiaTheme="minorEastAsia" w:cs="Arial"/>
          <w:lang w:val="es-VE"/>
        </w:rPr>
        <w:t xml:space="preserve"> </w:t>
      </w:r>
      <m:oMath>
        <m:r>
          <w:rPr>
            <w:rFonts w:ascii="Cambria Math" w:hAnsi="Cambria Math" w:cs="Arial"/>
            <w:sz w:val="28"/>
            <w:szCs w:val="28"/>
            <w:lang w:val="es-VE"/>
          </w:rPr>
          <m:t xml:space="preserve">= </m:t>
        </m:r>
        <m:f>
          <m:fPr>
            <m:ctrlPr>
              <w:rPr>
                <w:rFonts w:ascii="Cambria Math" w:hAnsi="Cambria Math" w:cs="Arial"/>
                <w:i/>
                <w:sz w:val="28"/>
                <w:szCs w:val="28"/>
                <w:lang w:val="es-VE"/>
              </w:rPr>
            </m:ctrlPr>
          </m:fPr>
          <m:num>
            <m:r>
              <w:rPr>
                <w:rFonts w:ascii="Cambria Math" w:hAnsi="Cambria Math" w:cs="Arial"/>
                <w:sz w:val="28"/>
                <w:szCs w:val="28"/>
                <w:lang w:val="es-VE"/>
              </w:rPr>
              <m:t>1</m:t>
            </m:r>
          </m:num>
          <m:den>
            <m:r>
              <w:rPr>
                <w:rFonts w:ascii="Cambria Math" w:hAnsi="Cambria Math" w:cs="Arial"/>
                <w:sz w:val="28"/>
                <w:szCs w:val="28"/>
                <w:lang w:val="es-VE"/>
              </w:rPr>
              <m:t>1,045</m:t>
            </m:r>
          </m:den>
        </m:f>
        <m:d>
          <m:dPr>
            <m:begChr m:val="["/>
            <m:endChr m:val="]"/>
            <m:ctrlPr>
              <w:rPr>
                <w:rFonts w:ascii="Cambria Math" w:hAnsi="Cambria Math" w:cs="Arial"/>
                <w:i/>
                <w:sz w:val="28"/>
                <w:szCs w:val="28"/>
                <w:lang w:val="es-VE"/>
              </w:rPr>
            </m:ctrlPr>
          </m:dPr>
          <m:e>
            <m:f>
              <m:fPr>
                <m:ctrlPr>
                  <w:rPr>
                    <w:rFonts w:ascii="Cambria Math" w:hAnsi="Cambria Math" w:cs="Arial"/>
                    <w:i/>
                    <w:sz w:val="28"/>
                    <w:szCs w:val="28"/>
                    <w:lang w:val="es-VE"/>
                  </w:rPr>
                </m:ctrlPr>
              </m:fPr>
              <m:num>
                <m:r>
                  <w:rPr>
                    <w:rFonts w:ascii="Cambria Math" w:hAnsi="Cambria Math" w:cs="Arial"/>
                    <w:sz w:val="28"/>
                    <w:szCs w:val="28"/>
                    <w:lang w:val="es-VE"/>
                  </w:rPr>
                  <m:t>7.805,5+10.952,6-</m:t>
                </m:r>
                <m:f>
                  <m:fPr>
                    <m:ctrlPr>
                      <w:rPr>
                        <w:rFonts w:ascii="Cambria Math" w:hAnsi="Cambria Math" w:cs="Arial"/>
                        <w:i/>
                        <w:sz w:val="28"/>
                        <w:szCs w:val="28"/>
                        <w:lang w:val="es-VE"/>
                      </w:rPr>
                    </m:ctrlPr>
                  </m:fPr>
                  <m:num>
                    <m:r>
                      <w:rPr>
                        <w:rFonts w:ascii="Cambria Math" w:hAnsi="Cambria Math" w:cs="Arial"/>
                        <w:sz w:val="28"/>
                        <w:szCs w:val="28"/>
                        <w:lang w:val="es-VE"/>
                      </w:rPr>
                      <m:t>2.651,1</m:t>
                    </m:r>
                  </m:num>
                  <m:den>
                    <m:r>
                      <w:rPr>
                        <w:rFonts w:ascii="Cambria Math" w:hAnsi="Cambria Math" w:cs="Arial"/>
                        <w:sz w:val="28"/>
                        <w:szCs w:val="28"/>
                        <w:lang w:val="es-VE"/>
                      </w:rPr>
                      <m:t>20,5</m:t>
                    </m:r>
                  </m:den>
                </m:f>
              </m:num>
              <m:den>
                <m:r>
                  <w:rPr>
                    <w:rFonts w:ascii="Cambria Math" w:hAnsi="Cambria Math" w:cs="Arial"/>
                    <w:sz w:val="28"/>
                    <w:szCs w:val="28"/>
                    <w:lang w:val="es-VE"/>
                  </w:rPr>
                  <m:t>78.805,5+10.952,6</m:t>
                </m:r>
              </m:den>
            </m:f>
          </m:e>
        </m:d>
        <m:r>
          <w:rPr>
            <w:rFonts w:ascii="Cambria Math" w:hAnsi="Cambria Math" w:cs="Arial"/>
            <w:sz w:val="28"/>
            <w:szCs w:val="28"/>
            <w:lang w:val="es-VE"/>
          </w:rPr>
          <m:t>=0,95</m:t>
        </m:r>
      </m:oMath>
    </w:p>
    <w:p w14:paraId="087B33C7" w14:textId="77777777" w:rsidR="00820C97" w:rsidRPr="00820C97" w:rsidRDefault="00820C97" w:rsidP="00820C97">
      <w:pPr>
        <w:jc w:val="both"/>
        <w:rPr>
          <w:rFonts w:ascii="Cambria Math" w:hAnsi="Cambria Math" w:cs="Arial"/>
          <w:i/>
          <w:lang w:val="es-VE"/>
        </w:rPr>
      </w:pPr>
    </w:p>
    <w:p w14:paraId="797E12E9" w14:textId="77777777" w:rsidR="00D365FF" w:rsidRDefault="00D365FF" w:rsidP="00D365FF">
      <w:pPr>
        <w:spacing w:before="120"/>
        <w:jc w:val="both"/>
        <w:rPr>
          <w:rFonts w:cs="Arial"/>
          <w:lang w:val="es-ES"/>
        </w:rPr>
      </w:pPr>
      <w:r w:rsidRPr="0037357D">
        <w:rPr>
          <w:rFonts w:cs="Arial"/>
          <w:b/>
          <w:lang w:val="es-ES"/>
        </w:rPr>
        <w:t>Precio de Cuenta de la mano de obra no calificada</w:t>
      </w:r>
    </w:p>
    <w:p w14:paraId="74A868A1" w14:textId="77777777" w:rsidR="00736B8E" w:rsidRDefault="00D365FF" w:rsidP="00D365FF">
      <w:pPr>
        <w:spacing w:before="120"/>
        <w:jc w:val="both"/>
        <w:rPr>
          <w:rFonts w:cs="Arial"/>
          <w:lang w:val="es-ES"/>
        </w:rPr>
      </w:pPr>
      <w:r w:rsidRPr="0033221C">
        <w:rPr>
          <w:rFonts w:cs="Arial"/>
          <w:lang w:val="es-ES"/>
        </w:rPr>
        <w:t>Para establecer un estimado del Precio Cuenta de la Mano de Obra no Calificada (PCMONC) se partió de la tabla salarial para 2014 elaborada por la Secretaría del Traba</w:t>
      </w:r>
      <w:r>
        <w:rPr>
          <w:rFonts w:cs="Arial"/>
          <w:lang w:val="es-ES"/>
        </w:rPr>
        <w:t>jo</w:t>
      </w:r>
      <w:r w:rsidRPr="0033221C">
        <w:rPr>
          <w:rFonts w:cs="Arial"/>
          <w:lang w:val="es-ES"/>
        </w:rPr>
        <w:t>.</w:t>
      </w:r>
      <w:r>
        <w:rPr>
          <w:rFonts w:cs="Arial"/>
          <w:lang w:val="es-ES"/>
        </w:rPr>
        <w:t xml:space="preserve"> </w:t>
      </w:r>
      <w:r w:rsidRPr="0033221C">
        <w:rPr>
          <w:rFonts w:cs="Arial"/>
          <w:lang w:val="es-ES"/>
        </w:rPr>
        <w:t>En 2014 el sueldo de subsi</w:t>
      </w:r>
      <w:r>
        <w:rPr>
          <w:rFonts w:cs="Arial"/>
          <w:lang w:val="es-ES"/>
        </w:rPr>
        <w:t>stencia más elevado lo devenga</w:t>
      </w:r>
      <w:r w:rsidRPr="0033221C">
        <w:rPr>
          <w:rFonts w:cs="Arial"/>
          <w:lang w:val="es-ES"/>
        </w:rPr>
        <w:t>n los empleados que laboran para establecimientos que tienen</w:t>
      </w:r>
      <w:r>
        <w:rPr>
          <w:rFonts w:cs="Arial"/>
          <w:lang w:val="es-ES"/>
        </w:rPr>
        <w:t xml:space="preserve"> más de</w:t>
      </w:r>
      <w:r w:rsidRPr="0033221C">
        <w:rPr>
          <w:rFonts w:cs="Arial"/>
          <w:lang w:val="es-ES"/>
        </w:rPr>
        <w:t xml:space="preserve"> 151 trabaj</w:t>
      </w:r>
      <w:r>
        <w:rPr>
          <w:rFonts w:cs="Arial"/>
          <w:lang w:val="es-ES"/>
        </w:rPr>
        <w:t xml:space="preserve">adores, a los cuales se pagan </w:t>
      </w:r>
      <w:r w:rsidRPr="0033221C">
        <w:rPr>
          <w:rFonts w:cs="Arial"/>
          <w:lang w:val="es-ES"/>
        </w:rPr>
        <w:t>8,224.35 lempiras. Además, se incluyeron ingresos prestacionales adicionales estimados en un 51% con base en la situación salarial actual de la ENEE</w:t>
      </w:r>
      <w:r w:rsidRPr="0033221C">
        <w:rPr>
          <w:rStyle w:val="FootnoteReference"/>
          <w:rFonts w:cs="Arial"/>
          <w:lang w:val="es-ES"/>
        </w:rPr>
        <w:footnoteReference w:id="9"/>
      </w:r>
      <w:r w:rsidRPr="0033221C">
        <w:rPr>
          <w:rFonts w:cs="Arial"/>
          <w:lang w:val="es-ES"/>
        </w:rPr>
        <w:t xml:space="preserve">. Por otra parte, el salario más bajo pagado en Honduras en 2014 </w:t>
      </w:r>
      <w:r>
        <w:rPr>
          <w:rFonts w:cs="Arial"/>
          <w:lang w:val="es-ES"/>
        </w:rPr>
        <w:t>es</w:t>
      </w:r>
      <w:r w:rsidRPr="0033221C">
        <w:rPr>
          <w:rFonts w:cs="Arial"/>
          <w:lang w:val="es-ES"/>
        </w:rPr>
        <w:t xml:space="preserve"> de</w:t>
      </w:r>
      <w:r>
        <w:rPr>
          <w:rFonts w:cs="Arial"/>
          <w:lang w:val="es-ES"/>
        </w:rPr>
        <w:t xml:space="preserve"> 5,114.46 lempiras y lo recibe</w:t>
      </w:r>
      <w:r w:rsidRPr="0033221C">
        <w:rPr>
          <w:rFonts w:cs="Arial"/>
          <w:lang w:val="es-ES"/>
        </w:rPr>
        <w:t xml:space="preserve">n obreros que laboran en el sector agricultura, silvicultura, caza y pesca. Este nivel de ingresos se asoció con los ingresos mínimos que tienen los trabajadores informales no calificados. Con base en ello se estimó el </w:t>
      </w:r>
      <w:r>
        <w:rPr>
          <w:rFonts w:cs="Arial"/>
          <w:lang w:val="es-ES"/>
        </w:rPr>
        <w:t xml:space="preserve">precio de cuenta de la </w:t>
      </w:r>
      <w:r w:rsidRPr="0033221C">
        <w:rPr>
          <w:rFonts w:cs="Arial"/>
          <w:lang w:val="es-ES"/>
        </w:rPr>
        <w:t>MONC en la siguiente forma</w:t>
      </w:r>
    </w:p>
    <w:p w14:paraId="7BC2EF95" w14:textId="77777777" w:rsidR="00D365FF" w:rsidRPr="000B76F0" w:rsidRDefault="00736B8E" w:rsidP="00D365FF">
      <w:pPr>
        <w:spacing w:before="120"/>
        <w:jc w:val="both"/>
        <w:rPr>
          <w:rFonts w:eastAsiaTheme="minorEastAsia" w:cs="Arial"/>
          <w:sz w:val="24"/>
          <w:szCs w:val="24"/>
          <w:lang w:val="es-ES"/>
        </w:rPr>
      </w:pPr>
      <m:oMathPara>
        <m:oMath>
          <m:r>
            <m:rPr>
              <m:sty m:val="p"/>
            </m:rPr>
            <w:rPr>
              <w:rFonts w:ascii="Cambria Math" w:hAnsi="Cambria Math" w:cs="Arial"/>
              <w:sz w:val="24"/>
              <w:szCs w:val="24"/>
              <w:lang w:val="es-ES"/>
            </w:rPr>
            <m:t>MONC</m:t>
          </m:r>
          <m:r>
            <w:rPr>
              <w:rFonts w:ascii="Cambria Math" w:hAnsi="Cambria Math" w:cs="Arial"/>
              <w:sz w:val="24"/>
              <w:szCs w:val="24"/>
              <w:lang w:val="es-ES"/>
            </w:rPr>
            <m:t>=5.114,46/(8.224,35*(1+0,51) )=0,4118</m:t>
          </m:r>
        </m:oMath>
      </m:oMathPara>
    </w:p>
    <w:p w14:paraId="006E1427" w14:textId="77777777" w:rsidR="00D365FF" w:rsidRPr="0037357D" w:rsidRDefault="00D365FF" w:rsidP="00736B8E">
      <w:pPr>
        <w:spacing w:before="240"/>
        <w:jc w:val="both"/>
        <w:rPr>
          <w:rFonts w:cs="Arial"/>
          <w:b/>
          <w:lang w:val="es-VE"/>
        </w:rPr>
      </w:pPr>
      <w:r w:rsidRPr="0037357D">
        <w:rPr>
          <w:rFonts w:cs="Arial"/>
          <w:b/>
          <w:lang w:val="es-VE"/>
        </w:rPr>
        <w:t>Precio de Cuenta en numerario de frontera</w:t>
      </w:r>
    </w:p>
    <w:p w14:paraId="1A07DABC" w14:textId="77777777" w:rsidR="00D365FF" w:rsidRDefault="00D365FF" w:rsidP="00D365FF">
      <w:pPr>
        <w:spacing w:before="120"/>
        <w:jc w:val="both"/>
        <w:rPr>
          <w:rFonts w:cs="Arial"/>
          <w:lang w:val="es-VE"/>
        </w:rPr>
      </w:pPr>
      <w:r w:rsidRPr="0033221C">
        <w:rPr>
          <w:rFonts w:cs="Arial"/>
          <w:lang w:val="es-VE"/>
        </w:rPr>
        <w:t xml:space="preserve">Los </w:t>
      </w:r>
      <w:r w:rsidRPr="006B0506">
        <w:rPr>
          <w:rFonts w:cs="Arial"/>
          <w:lang w:val="es-ES"/>
        </w:rPr>
        <w:t>anteriores</w:t>
      </w:r>
      <w:r w:rsidRPr="0033221C">
        <w:rPr>
          <w:rFonts w:cs="Arial"/>
          <w:lang w:val="es-VE"/>
        </w:rPr>
        <w:t xml:space="preserve"> precios de cuenta están calculados en </w:t>
      </w:r>
      <w:r w:rsidRPr="0033221C">
        <w:rPr>
          <w:rFonts w:cs="Arial"/>
          <w:i/>
          <w:lang w:val="es-VE"/>
        </w:rPr>
        <w:t>numerario de consumo</w:t>
      </w:r>
      <w:r w:rsidRPr="0033221C">
        <w:rPr>
          <w:rFonts w:cs="Arial"/>
          <w:lang w:val="es-VE"/>
        </w:rPr>
        <w:t xml:space="preserve">.  Su estimación en </w:t>
      </w:r>
      <w:r w:rsidRPr="0033221C">
        <w:rPr>
          <w:rFonts w:cs="Arial"/>
          <w:i/>
          <w:lang w:val="es-VE"/>
        </w:rPr>
        <w:t>numerario de frontera</w:t>
      </w:r>
      <w:r w:rsidRPr="0033221C">
        <w:rPr>
          <w:rFonts w:cs="Arial"/>
          <w:lang w:val="es-VE"/>
        </w:rPr>
        <w:t xml:space="preserve"> supone que el precio de cuenta de la divisa no comprometida (que es el numerario), se valora por la unidad.  Por consiguiente:</w:t>
      </w:r>
    </w:p>
    <w:p w14:paraId="3A5F2B7A" w14:textId="77777777" w:rsidR="00736B8E" w:rsidRPr="00736B8E" w:rsidRDefault="00784C31" w:rsidP="00D365FF">
      <w:pPr>
        <w:spacing w:before="120"/>
        <w:jc w:val="both"/>
        <w:rPr>
          <w:rFonts w:eastAsiaTheme="minorEastAsia" w:cs="Arial"/>
          <w:lang w:val="es-VE"/>
        </w:rPr>
      </w:pPr>
      <m:oMathPara>
        <m:oMath>
          <m:r>
            <m:rPr>
              <m:sty m:val="p"/>
            </m:rPr>
            <w:rPr>
              <w:rFonts w:ascii="Cambria Math" w:hAnsi="Cambria Math" w:cs="Arial"/>
              <w:lang w:val="es-VE"/>
            </w:rPr>
            <m:t>PCD</m:t>
          </m:r>
          <m:r>
            <w:rPr>
              <w:rFonts w:ascii="Cambria Math" w:hAnsi="Cambria Math" w:cs="Arial"/>
              <w:lang w:val="es-VE"/>
            </w:rPr>
            <m:t>=0,95/0,95=1</m:t>
          </m:r>
        </m:oMath>
      </m:oMathPara>
    </w:p>
    <w:p w14:paraId="7013A9BE" w14:textId="77777777" w:rsidR="00D365FF" w:rsidRDefault="00D365FF" w:rsidP="00D365FF">
      <w:pPr>
        <w:ind w:left="567"/>
        <w:rPr>
          <w:rFonts w:eastAsiaTheme="minorEastAsia" w:cs="Arial"/>
          <w:sz w:val="24"/>
          <w:szCs w:val="24"/>
          <w:lang w:val="es-VE"/>
        </w:rPr>
      </w:pPr>
      <w:r>
        <w:rPr>
          <w:rFonts w:cs="Arial"/>
          <w:lang w:val="es-VE"/>
        </w:rPr>
        <w:tab/>
      </w:r>
      <w:r>
        <w:rPr>
          <w:rFonts w:cs="Arial"/>
          <w:lang w:val="es-VE"/>
        </w:rPr>
        <w:tab/>
      </w:r>
      <w:r>
        <w:rPr>
          <w:rFonts w:cs="Arial"/>
          <w:lang w:val="es-VE"/>
        </w:rPr>
        <w:tab/>
      </w:r>
      <w:r w:rsidRPr="0033221C">
        <w:rPr>
          <w:rFonts w:cs="Arial"/>
          <w:position w:val="-10"/>
          <w:lang w:val="es-VE"/>
        </w:rPr>
        <w:object w:dxaOrig="180" w:dyaOrig="340" w14:anchorId="09AEB40E">
          <v:shape id="_x0000_i1026" type="#_x0000_t75" style="width:9.6pt;height:18pt" o:ole="">
            <v:imagedata r:id="rId20" o:title=""/>
          </v:shape>
          <o:OLEObject Type="Embed" ProgID="Equation.3" ShapeID="_x0000_i1026" DrawAspect="Content" ObjectID="_1587898817" r:id="rId21"/>
        </w:object>
      </w:r>
      <w:r w:rsidR="00E34446">
        <w:rPr>
          <w:rFonts w:cs="Arial"/>
          <w:lang w:val="es-VE"/>
        </w:rPr>
        <w:br/>
      </w:r>
      <m:oMathPara>
        <m:oMath>
          <m:r>
            <m:rPr>
              <m:sty m:val="p"/>
            </m:rPr>
            <w:rPr>
              <w:rFonts w:ascii="Cambria Math" w:hAnsi="Cambria Math" w:cs="Arial"/>
              <w:sz w:val="24"/>
              <w:szCs w:val="24"/>
              <w:lang w:val="es-VE"/>
            </w:rPr>
            <m:t>PCconsumo</m:t>
          </m:r>
          <m:r>
            <w:rPr>
              <w:rFonts w:ascii="Cambria Math" w:hAnsi="Cambria Math" w:cs="Arial"/>
              <w:sz w:val="24"/>
              <w:szCs w:val="24"/>
              <w:lang w:val="es-VE"/>
            </w:rPr>
            <m:t>=1/0,95=1,0526</m:t>
          </m:r>
        </m:oMath>
      </m:oMathPara>
    </w:p>
    <w:p w14:paraId="3D63CC05" w14:textId="77777777" w:rsidR="00E34446" w:rsidRDefault="00E34446" w:rsidP="00D365FF">
      <w:pPr>
        <w:ind w:left="567"/>
        <w:rPr>
          <w:rFonts w:cs="Arial"/>
          <w:lang w:val="es-VE"/>
        </w:rPr>
      </w:pPr>
    </w:p>
    <w:p w14:paraId="3896A82B" w14:textId="77777777" w:rsidR="00E34446" w:rsidRPr="0033221C" w:rsidRDefault="00784C31" w:rsidP="00D365FF">
      <w:pPr>
        <w:ind w:left="567"/>
        <w:rPr>
          <w:rFonts w:cs="Arial"/>
          <w:lang w:val="es-VE"/>
        </w:rPr>
      </w:pPr>
      <m:oMathPara>
        <m:oMath>
          <m:r>
            <m:rPr>
              <m:sty m:val="p"/>
            </m:rPr>
            <w:rPr>
              <w:rFonts w:ascii="Cambria Math" w:hAnsi="Cambria Math" w:cs="Arial"/>
              <w:lang w:val="es-VE"/>
            </w:rPr>
            <m:t>PCde MONC</m:t>
          </m:r>
          <m:r>
            <w:rPr>
              <w:rFonts w:ascii="Cambria Math" w:hAnsi="Cambria Math" w:cs="Arial"/>
              <w:lang w:val="es-VE"/>
            </w:rPr>
            <m:t>=0,4118/0,95=0,4335</m:t>
          </m:r>
        </m:oMath>
      </m:oMathPara>
    </w:p>
    <w:p w14:paraId="06BE56FC" w14:textId="77777777" w:rsidR="00D365FF" w:rsidRPr="007B66F1" w:rsidRDefault="00D365FF" w:rsidP="00D365FF">
      <w:pPr>
        <w:ind w:left="567"/>
        <w:rPr>
          <w:rFonts w:cs="Arial"/>
          <w:lang w:val="es-VE"/>
        </w:rPr>
      </w:pPr>
      <w:r>
        <w:rPr>
          <w:rFonts w:cs="Arial"/>
          <w:lang w:val="es-VE"/>
        </w:rPr>
        <w:tab/>
      </w:r>
      <w:r>
        <w:rPr>
          <w:rFonts w:cs="Arial"/>
          <w:lang w:val="es-VE"/>
        </w:rPr>
        <w:tab/>
      </w:r>
      <w:r>
        <w:rPr>
          <w:rFonts w:cs="Arial"/>
          <w:lang w:val="es-VE"/>
        </w:rPr>
        <w:tab/>
        <w:t xml:space="preserve">   </w:t>
      </w:r>
    </w:p>
    <w:p w14:paraId="4F1BC176" w14:textId="77777777" w:rsidR="00D365FF" w:rsidRDefault="00D365FF" w:rsidP="00FE2B20">
      <w:pPr>
        <w:ind w:left="567"/>
        <w:rPr>
          <w:rFonts w:cs="Arial"/>
          <w:lang w:val="es-VE"/>
        </w:rPr>
      </w:pPr>
      <w:r w:rsidRPr="007B66F1">
        <w:rPr>
          <w:rFonts w:cs="Arial"/>
          <w:lang w:val="es-VE"/>
        </w:rPr>
        <w:tab/>
      </w:r>
      <w:r w:rsidRPr="007B66F1">
        <w:rPr>
          <w:rFonts w:cs="Arial"/>
          <w:lang w:val="es-VE"/>
        </w:rPr>
        <w:tab/>
      </w:r>
      <w:r w:rsidRPr="007B66F1">
        <w:rPr>
          <w:rFonts w:cs="Arial"/>
          <w:lang w:val="es-VE"/>
        </w:rPr>
        <w:tab/>
        <w:t xml:space="preserve">   </w:t>
      </w:r>
      <w:r w:rsidR="00784C31">
        <w:rPr>
          <w:rFonts w:cs="Arial"/>
          <w:lang w:val="es-VE"/>
        </w:rPr>
        <w:t xml:space="preserve">Factor de Conversión = </w:t>
      </w:r>
      <w:proofErr w:type="spellStart"/>
      <w:r w:rsidR="00784C31">
        <w:rPr>
          <w:rFonts w:cs="Arial"/>
          <w:lang w:val="es-VE"/>
        </w:rPr>
        <w:t>PConsumo</w:t>
      </w:r>
      <w:proofErr w:type="spellEnd"/>
      <w:r w:rsidR="00784C31">
        <w:rPr>
          <w:rFonts w:cs="Arial"/>
          <w:lang w:val="es-VE"/>
        </w:rPr>
        <w:t xml:space="preserve"> = 1,0526</w:t>
      </w:r>
      <w:r>
        <w:rPr>
          <w:rFonts w:cs="Arial"/>
          <w:lang w:val="es-VE"/>
        </w:rPr>
        <w:tab/>
        <w:t xml:space="preserve">   </w:t>
      </w:r>
    </w:p>
    <w:p w14:paraId="76D9A361" w14:textId="77777777" w:rsidR="00B7039F" w:rsidRDefault="00B7039F" w:rsidP="00D365FF">
      <w:pPr>
        <w:spacing w:before="120" w:after="120"/>
        <w:jc w:val="both"/>
        <w:rPr>
          <w:rFonts w:cs="Arial"/>
          <w:b/>
          <w:lang w:val="es-ES_tradnl"/>
        </w:rPr>
      </w:pPr>
    </w:p>
    <w:p w14:paraId="165DC670" w14:textId="77777777" w:rsidR="00B7039F" w:rsidRDefault="00B7039F" w:rsidP="00D365FF">
      <w:pPr>
        <w:spacing w:before="120" w:after="120"/>
        <w:jc w:val="both"/>
        <w:rPr>
          <w:rFonts w:cs="Arial"/>
          <w:b/>
          <w:lang w:val="es-ES_tradnl"/>
        </w:rPr>
      </w:pPr>
    </w:p>
    <w:p w14:paraId="26927674" w14:textId="77777777" w:rsidR="00D365FF" w:rsidRPr="00AA10BE" w:rsidRDefault="00D365FF" w:rsidP="00D365FF">
      <w:pPr>
        <w:spacing w:before="120" w:after="120"/>
        <w:jc w:val="both"/>
        <w:rPr>
          <w:rFonts w:cs="Arial"/>
          <w:b/>
          <w:lang w:val="es-ES_tradnl"/>
        </w:rPr>
      </w:pPr>
      <w:r w:rsidRPr="00AA10BE">
        <w:rPr>
          <w:rFonts w:cs="Arial"/>
          <w:b/>
          <w:lang w:val="es-ES_tradnl"/>
        </w:rPr>
        <w:lastRenderedPageBreak/>
        <w:t>Razones de precios de cuenta aplicables a los proyectos</w:t>
      </w:r>
    </w:p>
    <w:p w14:paraId="5BD709B8" w14:textId="77777777" w:rsidR="00D365FF" w:rsidRDefault="00D365FF" w:rsidP="00D365FF">
      <w:pPr>
        <w:spacing w:before="120" w:after="120"/>
        <w:jc w:val="both"/>
        <w:rPr>
          <w:rFonts w:cs="Arial"/>
          <w:lang w:val="es-ES_tradnl"/>
        </w:rPr>
      </w:pPr>
      <w:r w:rsidRPr="00907E8C">
        <w:rPr>
          <w:rFonts w:cs="Arial"/>
          <w:lang w:val="es-ES_tradnl"/>
        </w:rPr>
        <w:t>Para cada uno de los proyectos individuales, se estiman sus respectivas Razones de Precios de Cuenta (RPC) a partir de la descomposición de sus distintos costos y beneficios en las categorías de:</w:t>
      </w:r>
    </w:p>
    <w:p w14:paraId="639CBFEB" w14:textId="77777777" w:rsidR="00D365FF" w:rsidRPr="00CE4FD2" w:rsidRDefault="00D365FF" w:rsidP="00D365FF">
      <w:pPr>
        <w:numPr>
          <w:ilvl w:val="0"/>
          <w:numId w:val="14"/>
        </w:numPr>
        <w:ind w:hanging="600"/>
        <w:jc w:val="both"/>
        <w:rPr>
          <w:rFonts w:cs="Arial"/>
          <w:lang w:val="es-ES_tradnl"/>
        </w:rPr>
      </w:pPr>
      <w:r w:rsidRPr="00CE4FD2">
        <w:rPr>
          <w:rFonts w:cs="Arial"/>
          <w:lang w:val="es-ES_tradnl"/>
        </w:rPr>
        <w:t>Bienes comercializables, para los cuales el PC vale 1</w:t>
      </w:r>
    </w:p>
    <w:p w14:paraId="0F7B7FAD" w14:textId="77777777" w:rsidR="00D365FF" w:rsidRPr="00CE4FD2" w:rsidRDefault="00D365FF" w:rsidP="00D365FF">
      <w:pPr>
        <w:numPr>
          <w:ilvl w:val="0"/>
          <w:numId w:val="14"/>
        </w:numPr>
        <w:ind w:hanging="600"/>
        <w:jc w:val="both"/>
        <w:rPr>
          <w:rFonts w:cs="Arial"/>
          <w:lang w:val="es-ES_tradnl"/>
        </w:rPr>
      </w:pPr>
      <w:r w:rsidRPr="00CE4FD2">
        <w:rPr>
          <w:rFonts w:cs="Arial"/>
          <w:lang w:val="es-ES_tradnl"/>
        </w:rPr>
        <w:t>Bienes no comercializables, para los cuales se supone FC de 1</w:t>
      </w:r>
      <w:r w:rsidR="00006262">
        <w:rPr>
          <w:rFonts w:cs="Arial"/>
          <w:lang w:val="es-ES_tradnl"/>
        </w:rPr>
        <w:t>,</w:t>
      </w:r>
      <w:r w:rsidRPr="00CE4FD2">
        <w:rPr>
          <w:rFonts w:cs="Arial"/>
          <w:lang w:val="es-ES_tradnl"/>
        </w:rPr>
        <w:t>0526</w:t>
      </w:r>
    </w:p>
    <w:p w14:paraId="0FDDD981" w14:textId="77777777" w:rsidR="00D365FF" w:rsidRPr="00CE4FD2" w:rsidRDefault="00D365FF" w:rsidP="00D365FF">
      <w:pPr>
        <w:numPr>
          <w:ilvl w:val="0"/>
          <w:numId w:val="14"/>
        </w:numPr>
        <w:ind w:hanging="600"/>
        <w:jc w:val="both"/>
        <w:rPr>
          <w:rFonts w:cs="Arial"/>
          <w:lang w:val="es-ES_tradnl"/>
        </w:rPr>
      </w:pPr>
      <w:r w:rsidRPr="00CE4FD2">
        <w:rPr>
          <w:rFonts w:cs="Arial"/>
          <w:lang w:val="es-ES_tradnl"/>
        </w:rPr>
        <w:t>Mano de obra calificada, para la cual se usa FC de 1</w:t>
      </w:r>
      <w:r w:rsidR="00006262">
        <w:rPr>
          <w:rFonts w:cs="Arial"/>
          <w:lang w:val="es-ES_tradnl"/>
        </w:rPr>
        <w:t>,</w:t>
      </w:r>
      <w:r w:rsidRPr="00CE4FD2">
        <w:rPr>
          <w:rFonts w:cs="Arial"/>
          <w:lang w:val="es-ES_tradnl"/>
        </w:rPr>
        <w:t>0526</w:t>
      </w:r>
    </w:p>
    <w:p w14:paraId="4CEDF28B" w14:textId="77777777" w:rsidR="00D365FF" w:rsidRPr="00CE4FD2" w:rsidRDefault="00D365FF" w:rsidP="00D365FF">
      <w:pPr>
        <w:numPr>
          <w:ilvl w:val="0"/>
          <w:numId w:val="14"/>
        </w:numPr>
        <w:ind w:hanging="600"/>
        <w:jc w:val="both"/>
        <w:rPr>
          <w:rFonts w:cs="Arial"/>
          <w:lang w:val="es-ES_tradnl"/>
        </w:rPr>
      </w:pPr>
      <w:r w:rsidRPr="00CE4FD2">
        <w:rPr>
          <w:rFonts w:cs="Arial"/>
          <w:lang w:val="es-ES_tradnl"/>
        </w:rPr>
        <w:t>Mano de obra no calificada, para la cual se usa FC de 0</w:t>
      </w:r>
      <w:r w:rsidR="00006262">
        <w:rPr>
          <w:rFonts w:cs="Arial"/>
          <w:lang w:val="es-ES_tradnl"/>
        </w:rPr>
        <w:t>,</w:t>
      </w:r>
      <w:r w:rsidRPr="00CE4FD2">
        <w:rPr>
          <w:rFonts w:cs="Arial"/>
          <w:lang w:val="es-ES_tradnl"/>
        </w:rPr>
        <w:t>4335</w:t>
      </w:r>
    </w:p>
    <w:p w14:paraId="5F7E9FAD" w14:textId="77777777" w:rsidR="00D365FF" w:rsidRPr="00CE4FD2" w:rsidRDefault="00D365FF" w:rsidP="00D365FF">
      <w:pPr>
        <w:numPr>
          <w:ilvl w:val="0"/>
          <w:numId w:val="14"/>
        </w:numPr>
        <w:ind w:hanging="600"/>
        <w:jc w:val="both"/>
        <w:rPr>
          <w:rFonts w:cs="Arial"/>
          <w:lang w:val="es-ES_tradnl"/>
        </w:rPr>
      </w:pPr>
      <w:r w:rsidRPr="00CE4FD2">
        <w:rPr>
          <w:rFonts w:cs="Arial"/>
          <w:lang w:val="es-ES_tradnl"/>
        </w:rPr>
        <w:t>Impuestos y demás transferencias, para los cuales FC es cero</w:t>
      </w:r>
    </w:p>
    <w:p w14:paraId="17C0A03E" w14:textId="77777777" w:rsidR="00D365FF" w:rsidRPr="00CE4FD2" w:rsidRDefault="00D365FF" w:rsidP="00D365FF">
      <w:pPr>
        <w:jc w:val="both"/>
        <w:rPr>
          <w:rFonts w:cs="Arial"/>
          <w:lang w:val="es-ES_tradnl"/>
        </w:rPr>
      </w:pPr>
    </w:p>
    <w:p w14:paraId="53D02FAE" w14:textId="77777777" w:rsidR="00D365FF" w:rsidRDefault="00D365FF" w:rsidP="00D365FF">
      <w:pPr>
        <w:jc w:val="both"/>
        <w:rPr>
          <w:rFonts w:cs="Arial"/>
          <w:lang w:val="es-ES_tradnl"/>
        </w:rPr>
      </w:pPr>
      <w:r w:rsidRPr="00CE4FD2">
        <w:rPr>
          <w:rFonts w:cs="Arial"/>
          <w:lang w:val="es-ES_tradnl"/>
        </w:rPr>
        <w:t>El Cuadro siguiente contiene la estructura de los costos para las actividades de generación, transmisión y distribución, así como para sus correspondientes costos de operación y mantenimiento, la cual se ha supuesto como representativa de la estructura de costos de la ENEE</w:t>
      </w:r>
      <w:r>
        <w:rPr>
          <w:rStyle w:val="FootnoteReference"/>
          <w:rFonts w:cs="Arial"/>
        </w:rPr>
        <w:footnoteReference w:id="10"/>
      </w:r>
      <w:r w:rsidRPr="00CE4FD2">
        <w:rPr>
          <w:rFonts w:cs="Arial"/>
          <w:lang w:val="es-ES_tradnl"/>
        </w:rPr>
        <w:t xml:space="preserve">.  </w:t>
      </w:r>
    </w:p>
    <w:p w14:paraId="74C21926" w14:textId="77777777" w:rsidR="00D365FF" w:rsidRPr="00CE4FD2" w:rsidRDefault="00D365FF" w:rsidP="00D365FF">
      <w:pPr>
        <w:jc w:val="both"/>
        <w:rPr>
          <w:rFonts w:cs="Arial"/>
          <w:lang w:val="es-ES_tradnl"/>
        </w:rPr>
      </w:pPr>
    </w:p>
    <w:p w14:paraId="554BB912" w14:textId="77777777" w:rsidR="00D365FF" w:rsidRPr="00CE4FD2" w:rsidRDefault="00D365FF" w:rsidP="00D365FF">
      <w:pPr>
        <w:jc w:val="both"/>
        <w:rPr>
          <w:rFonts w:cs="Arial"/>
          <w:lang w:val="es-ES_tradnl"/>
        </w:rPr>
      </w:pPr>
    </w:p>
    <w:p w14:paraId="5507C187" w14:textId="77777777" w:rsidR="00D365FF" w:rsidRPr="003B7D1A" w:rsidRDefault="00D365FF" w:rsidP="00D365FF">
      <w:pPr>
        <w:jc w:val="center"/>
        <w:rPr>
          <w:rFonts w:cs="Arial"/>
          <w:lang w:val="es-US"/>
        </w:rPr>
      </w:pPr>
      <w:r w:rsidRPr="003B7D1A">
        <w:rPr>
          <w:rFonts w:cs="Arial"/>
          <w:b/>
          <w:lang w:val="es-US"/>
        </w:rPr>
        <w:t>ESTRUCTURA DE COSTOS SUPUESTA PARA ACTIVIDADES DE LA ENEE</w:t>
      </w:r>
    </w:p>
    <w:tbl>
      <w:tblPr>
        <w:tblStyle w:val="TableGrid"/>
        <w:tblW w:w="8923" w:type="dxa"/>
        <w:tblLayout w:type="fixed"/>
        <w:tblLook w:val="04A0" w:firstRow="1" w:lastRow="0" w:firstColumn="1" w:lastColumn="0" w:noHBand="0" w:noVBand="1"/>
      </w:tblPr>
      <w:tblGrid>
        <w:gridCol w:w="1657"/>
        <w:gridCol w:w="1277"/>
        <w:gridCol w:w="1277"/>
        <w:gridCol w:w="1142"/>
        <w:gridCol w:w="1302"/>
        <w:gridCol w:w="1418"/>
        <w:gridCol w:w="850"/>
      </w:tblGrid>
      <w:tr w:rsidR="00D365FF" w:rsidRPr="003B7D1A" w14:paraId="1D880607" w14:textId="77777777" w:rsidTr="00C6301E">
        <w:tc>
          <w:tcPr>
            <w:tcW w:w="1657" w:type="dxa"/>
            <w:shd w:val="clear" w:color="auto" w:fill="EAF1DD" w:themeFill="accent3" w:themeFillTint="33"/>
          </w:tcPr>
          <w:p w14:paraId="259837A7" w14:textId="77777777" w:rsidR="00D365FF" w:rsidRPr="003B7D1A" w:rsidRDefault="00D365FF" w:rsidP="00194658">
            <w:pPr>
              <w:rPr>
                <w:rFonts w:cs="Arial"/>
                <w:sz w:val="18"/>
                <w:szCs w:val="18"/>
                <w:lang w:val="es-US"/>
              </w:rPr>
            </w:pPr>
            <w:r w:rsidRPr="003B7D1A">
              <w:rPr>
                <w:rFonts w:cs="Arial"/>
                <w:sz w:val="18"/>
                <w:szCs w:val="18"/>
                <w:lang w:val="es-US"/>
              </w:rPr>
              <w:t>CONCEPTO</w:t>
            </w:r>
          </w:p>
        </w:tc>
        <w:tc>
          <w:tcPr>
            <w:tcW w:w="1277" w:type="dxa"/>
            <w:shd w:val="clear" w:color="auto" w:fill="EAF1DD" w:themeFill="accent3" w:themeFillTint="33"/>
          </w:tcPr>
          <w:p w14:paraId="5B9BD2D0" w14:textId="77777777" w:rsidR="00D365FF" w:rsidRPr="003B7D1A" w:rsidRDefault="00D365FF" w:rsidP="00194658">
            <w:pPr>
              <w:jc w:val="center"/>
              <w:rPr>
                <w:rFonts w:cs="Arial"/>
                <w:sz w:val="18"/>
                <w:szCs w:val="18"/>
                <w:lang w:val="es-US"/>
              </w:rPr>
            </w:pPr>
            <w:r w:rsidRPr="003B7D1A">
              <w:rPr>
                <w:rFonts w:cs="Arial"/>
                <w:sz w:val="18"/>
                <w:szCs w:val="18"/>
                <w:lang w:val="es-US"/>
              </w:rPr>
              <w:t>Bienes comerciables</w:t>
            </w:r>
          </w:p>
        </w:tc>
        <w:tc>
          <w:tcPr>
            <w:tcW w:w="1277" w:type="dxa"/>
            <w:shd w:val="clear" w:color="auto" w:fill="EAF1DD" w:themeFill="accent3" w:themeFillTint="33"/>
          </w:tcPr>
          <w:p w14:paraId="03F36AE7" w14:textId="77777777" w:rsidR="00D365FF" w:rsidRPr="003B7D1A" w:rsidRDefault="00D365FF" w:rsidP="00194658">
            <w:pPr>
              <w:jc w:val="center"/>
              <w:rPr>
                <w:rFonts w:cs="Arial"/>
                <w:sz w:val="18"/>
                <w:szCs w:val="18"/>
                <w:lang w:val="es-US"/>
              </w:rPr>
            </w:pPr>
            <w:r w:rsidRPr="003B7D1A">
              <w:rPr>
                <w:rFonts w:cs="Arial"/>
                <w:sz w:val="18"/>
                <w:szCs w:val="18"/>
                <w:lang w:val="es-US"/>
              </w:rPr>
              <w:t>Bienes no comerciables</w:t>
            </w:r>
          </w:p>
        </w:tc>
        <w:tc>
          <w:tcPr>
            <w:tcW w:w="1142" w:type="dxa"/>
            <w:shd w:val="clear" w:color="auto" w:fill="EAF1DD" w:themeFill="accent3" w:themeFillTint="33"/>
          </w:tcPr>
          <w:p w14:paraId="2C58E4A1" w14:textId="77777777" w:rsidR="00D365FF" w:rsidRPr="003B7D1A" w:rsidRDefault="00D365FF" w:rsidP="00194658">
            <w:pPr>
              <w:jc w:val="center"/>
              <w:rPr>
                <w:rFonts w:cs="Arial"/>
                <w:sz w:val="18"/>
                <w:szCs w:val="18"/>
                <w:lang w:val="es-US"/>
              </w:rPr>
            </w:pPr>
            <w:r w:rsidRPr="003B7D1A">
              <w:rPr>
                <w:rFonts w:cs="Arial"/>
                <w:sz w:val="18"/>
                <w:szCs w:val="18"/>
                <w:lang w:val="es-US"/>
              </w:rPr>
              <w:t>Mano Obra Calificada</w:t>
            </w:r>
          </w:p>
        </w:tc>
        <w:tc>
          <w:tcPr>
            <w:tcW w:w="1302" w:type="dxa"/>
            <w:shd w:val="clear" w:color="auto" w:fill="EAF1DD" w:themeFill="accent3" w:themeFillTint="33"/>
          </w:tcPr>
          <w:p w14:paraId="6947BD9E" w14:textId="77777777" w:rsidR="00D365FF" w:rsidRPr="003B7D1A" w:rsidRDefault="00D365FF" w:rsidP="00194658">
            <w:pPr>
              <w:tabs>
                <w:tab w:val="left" w:pos="931"/>
              </w:tabs>
              <w:jc w:val="center"/>
              <w:rPr>
                <w:rFonts w:cs="Arial"/>
                <w:sz w:val="18"/>
                <w:szCs w:val="18"/>
                <w:lang w:val="es-US"/>
              </w:rPr>
            </w:pPr>
            <w:r>
              <w:rPr>
                <w:rFonts w:cs="Arial"/>
                <w:sz w:val="18"/>
                <w:szCs w:val="18"/>
                <w:lang w:val="es-US"/>
              </w:rPr>
              <w:t>Mano Obra no c</w:t>
            </w:r>
            <w:r w:rsidRPr="003B7D1A">
              <w:rPr>
                <w:rFonts w:cs="Arial"/>
                <w:sz w:val="18"/>
                <w:szCs w:val="18"/>
                <w:lang w:val="es-US"/>
              </w:rPr>
              <w:t>alif</w:t>
            </w:r>
            <w:r>
              <w:rPr>
                <w:rFonts w:cs="Arial"/>
                <w:sz w:val="18"/>
                <w:szCs w:val="18"/>
                <w:lang w:val="es-US"/>
              </w:rPr>
              <w:t>icada</w:t>
            </w:r>
          </w:p>
        </w:tc>
        <w:tc>
          <w:tcPr>
            <w:tcW w:w="1418" w:type="dxa"/>
            <w:shd w:val="clear" w:color="auto" w:fill="EAF1DD" w:themeFill="accent3" w:themeFillTint="33"/>
          </w:tcPr>
          <w:p w14:paraId="00423B08" w14:textId="77777777" w:rsidR="00D365FF" w:rsidRPr="003B7D1A" w:rsidRDefault="00D365FF" w:rsidP="00194658">
            <w:pPr>
              <w:jc w:val="center"/>
              <w:rPr>
                <w:rFonts w:cs="Arial"/>
                <w:sz w:val="18"/>
                <w:szCs w:val="18"/>
                <w:lang w:val="es-US"/>
              </w:rPr>
            </w:pPr>
            <w:r w:rsidRPr="003B7D1A">
              <w:rPr>
                <w:rFonts w:cs="Arial"/>
                <w:sz w:val="18"/>
                <w:szCs w:val="18"/>
                <w:lang w:val="es-US"/>
              </w:rPr>
              <w:t>Transferencias</w:t>
            </w:r>
          </w:p>
        </w:tc>
        <w:tc>
          <w:tcPr>
            <w:tcW w:w="850" w:type="dxa"/>
            <w:shd w:val="clear" w:color="auto" w:fill="EAF1DD" w:themeFill="accent3" w:themeFillTint="33"/>
          </w:tcPr>
          <w:p w14:paraId="07DF5336" w14:textId="77777777" w:rsidR="00D365FF" w:rsidRPr="003B7D1A" w:rsidRDefault="00D365FF" w:rsidP="00194658">
            <w:pPr>
              <w:jc w:val="center"/>
              <w:rPr>
                <w:rFonts w:cs="Arial"/>
                <w:sz w:val="18"/>
                <w:szCs w:val="18"/>
                <w:lang w:val="es-US"/>
              </w:rPr>
            </w:pPr>
            <w:r w:rsidRPr="003B7D1A">
              <w:rPr>
                <w:rFonts w:cs="Arial"/>
                <w:sz w:val="18"/>
                <w:szCs w:val="18"/>
                <w:lang w:val="es-US"/>
              </w:rPr>
              <w:t>Total</w:t>
            </w:r>
          </w:p>
        </w:tc>
      </w:tr>
      <w:tr w:rsidR="00D365FF" w:rsidRPr="003B7D1A" w14:paraId="77C93747" w14:textId="77777777" w:rsidTr="00194658">
        <w:tc>
          <w:tcPr>
            <w:tcW w:w="1657" w:type="dxa"/>
          </w:tcPr>
          <w:p w14:paraId="065C005F" w14:textId="77777777" w:rsidR="00D365FF" w:rsidRPr="003B7D1A" w:rsidRDefault="00D365FF" w:rsidP="00194658">
            <w:pPr>
              <w:rPr>
                <w:rFonts w:cs="Arial"/>
                <w:sz w:val="18"/>
                <w:szCs w:val="18"/>
                <w:lang w:val="es-US"/>
              </w:rPr>
            </w:pPr>
            <w:r w:rsidRPr="003B7D1A">
              <w:rPr>
                <w:rFonts w:cs="Arial"/>
                <w:sz w:val="18"/>
                <w:szCs w:val="18"/>
                <w:lang w:val="es-US"/>
              </w:rPr>
              <w:t>Generación</w:t>
            </w:r>
          </w:p>
        </w:tc>
        <w:tc>
          <w:tcPr>
            <w:tcW w:w="1277" w:type="dxa"/>
          </w:tcPr>
          <w:p w14:paraId="1286EBD5" w14:textId="77777777" w:rsidR="00D365FF" w:rsidRPr="003B7D1A" w:rsidRDefault="00D365FF" w:rsidP="00194658">
            <w:pPr>
              <w:jc w:val="center"/>
              <w:rPr>
                <w:rFonts w:cs="Arial"/>
                <w:sz w:val="18"/>
                <w:szCs w:val="18"/>
                <w:lang w:val="es-US"/>
              </w:rPr>
            </w:pPr>
            <w:r w:rsidRPr="003B7D1A">
              <w:rPr>
                <w:rFonts w:cs="Arial"/>
                <w:sz w:val="18"/>
                <w:szCs w:val="18"/>
                <w:lang w:val="es-US"/>
              </w:rPr>
              <w:t>85%</w:t>
            </w:r>
          </w:p>
        </w:tc>
        <w:tc>
          <w:tcPr>
            <w:tcW w:w="1277" w:type="dxa"/>
          </w:tcPr>
          <w:p w14:paraId="5D1205C2" w14:textId="77777777" w:rsidR="00D365FF" w:rsidRPr="003B7D1A" w:rsidRDefault="00D365FF" w:rsidP="00194658">
            <w:pPr>
              <w:jc w:val="center"/>
              <w:rPr>
                <w:rFonts w:cs="Arial"/>
                <w:sz w:val="18"/>
                <w:szCs w:val="18"/>
                <w:lang w:val="es-US"/>
              </w:rPr>
            </w:pPr>
            <w:r w:rsidRPr="003B7D1A">
              <w:rPr>
                <w:rFonts w:cs="Arial"/>
                <w:sz w:val="18"/>
                <w:szCs w:val="18"/>
                <w:lang w:val="es-US"/>
              </w:rPr>
              <w:t>6%</w:t>
            </w:r>
          </w:p>
        </w:tc>
        <w:tc>
          <w:tcPr>
            <w:tcW w:w="1142" w:type="dxa"/>
          </w:tcPr>
          <w:p w14:paraId="1773CE97" w14:textId="77777777" w:rsidR="00D365FF" w:rsidRPr="003B7D1A" w:rsidRDefault="00D365FF" w:rsidP="00194658">
            <w:pPr>
              <w:jc w:val="center"/>
              <w:rPr>
                <w:rFonts w:cs="Arial"/>
                <w:sz w:val="18"/>
                <w:szCs w:val="18"/>
                <w:lang w:val="es-US"/>
              </w:rPr>
            </w:pPr>
            <w:r w:rsidRPr="003B7D1A">
              <w:rPr>
                <w:rFonts w:cs="Arial"/>
                <w:sz w:val="18"/>
                <w:szCs w:val="18"/>
                <w:lang w:val="es-US"/>
              </w:rPr>
              <w:t>6%</w:t>
            </w:r>
          </w:p>
        </w:tc>
        <w:tc>
          <w:tcPr>
            <w:tcW w:w="1302" w:type="dxa"/>
          </w:tcPr>
          <w:p w14:paraId="50C93040" w14:textId="77777777" w:rsidR="00D365FF" w:rsidRPr="003B7D1A" w:rsidRDefault="00D365FF" w:rsidP="00194658">
            <w:pPr>
              <w:jc w:val="center"/>
              <w:rPr>
                <w:rFonts w:cs="Arial"/>
                <w:sz w:val="18"/>
                <w:szCs w:val="18"/>
                <w:lang w:val="es-US"/>
              </w:rPr>
            </w:pPr>
            <w:r w:rsidRPr="003B7D1A">
              <w:rPr>
                <w:rFonts w:cs="Arial"/>
                <w:sz w:val="18"/>
                <w:szCs w:val="18"/>
                <w:lang w:val="es-US"/>
              </w:rPr>
              <w:t>3%</w:t>
            </w:r>
          </w:p>
        </w:tc>
        <w:tc>
          <w:tcPr>
            <w:tcW w:w="1418" w:type="dxa"/>
          </w:tcPr>
          <w:p w14:paraId="514CE655" w14:textId="77777777" w:rsidR="00D365FF" w:rsidRPr="003B7D1A" w:rsidRDefault="00D365FF" w:rsidP="00194658">
            <w:pPr>
              <w:jc w:val="center"/>
              <w:rPr>
                <w:rFonts w:cs="Arial"/>
                <w:sz w:val="18"/>
                <w:szCs w:val="18"/>
                <w:lang w:val="es-US"/>
              </w:rPr>
            </w:pPr>
            <w:r w:rsidRPr="003B7D1A">
              <w:rPr>
                <w:rFonts w:cs="Arial"/>
                <w:sz w:val="18"/>
                <w:szCs w:val="18"/>
                <w:lang w:val="es-US"/>
              </w:rPr>
              <w:t>0%</w:t>
            </w:r>
          </w:p>
        </w:tc>
        <w:tc>
          <w:tcPr>
            <w:tcW w:w="850" w:type="dxa"/>
          </w:tcPr>
          <w:p w14:paraId="0E2D37FA" w14:textId="77777777" w:rsidR="00D365FF" w:rsidRPr="003B7D1A" w:rsidRDefault="00D365FF" w:rsidP="00194658">
            <w:pPr>
              <w:jc w:val="center"/>
              <w:rPr>
                <w:rFonts w:cs="Arial"/>
                <w:sz w:val="18"/>
                <w:szCs w:val="18"/>
                <w:lang w:val="es-US"/>
              </w:rPr>
            </w:pPr>
            <w:r w:rsidRPr="003B7D1A">
              <w:rPr>
                <w:rFonts w:cs="Arial"/>
                <w:sz w:val="18"/>
                <w:szCs w:val="18"/>
                <w:lang w:val="es-US"/>
              </w:rPr>
              <w:t>100%</w:t>
            </w:r>
          </w:p>
        </w:tc>
      </w:tr>
      <w:tr w:rsidR="00D365FF" w:rsidRPr="003B7D1A" w14:paraId="3C168BEA" w14:textId="77777777" w:rsidTr="00194658">
        <w:tc>
          <w:tcPr>
            <w:tcW w:w="1657" w:type="dxa"/>
          </w:tcPr>
          <w:p w14:paraId="7D5A873D" w14:textId="77777777" w:rsidR="00D365FF" w:rsidRPr="003B7D1A" w:rsidRDefault="00D365FF" w:rsidP="00194658">
            <w:pPr>
              <w:rPr>
                <w:rFonts w:cs="Arial"/>
                <w:sz w:val="18"/>
                <w:szCs w:val="18"/>
                <w:lang w:val="es-US"/>
              </w:rPr>
            </w:pPr>
            <w:r w:rsidRPr="003B7D1A">
              <w:rPr>
                <w:rFonts w:cs="Arial"/>
                <w:sz w:val="18"/>
                <w:szCs w:val="18"/>
                <w:lang w:val="es-US"/>
              </w:rPr>
              <w:t>Transmisión</w:t>
            </w:r>
          </w:p>
        </w:tc>
        <w:tc>
          <w:tcPr>
            <w:tcW w:w="1277" w:type="dxa"/>
          </w:tcPr>
          <w:p w14:paraId="15033775" w14:textId="77777777" w:rsidR="00D365FF" w:rsidRPr="003B7D1A" w:rsidRDefault="00D365FF" w:rsidP="00194658">
            <w:pPr>
              <w:jc w:val="center"/>
              <w:rPr>
                <w:rFonts w:cs="Arial"/>
                <w:sz w:val="18"/>
                <w:szCs w:val="18"/>
                <w:lang w:val="es-US"/>
              </w:rPr>
            </w:pPr>
            <w:r w:rsidRPr="003B7D1A">
              <w:rPr>
                <w:rFonts w:cs="Arial"/>
                <w:sz w:val="18"/>
                <w:szCs w:val="18"/>
                <w:lang w:val="es-US"/>
              </w:rPr>
              <w:t>80%</w:t>
            </w:r>
          </w:p>
        </w:tc>
        <w:tc>
          <w:tcPr>
            <w:tcW w:w="1277" w:type="dxa"/>
          </w:tcPr>
          <w:p w14:paraId="37734691" w14:textId="77777777" w:rsidR="00D365FF" w:rsidRPr="003B7D1A" w:rsidRDefault="00D365FF" w:rsidP="00194658">
            <w:pPr>
              <w:jc w:val="center"/>
              <w:rPr>
                <w:rFonts w:cs="Arial"/>
                <w:sz w:val="18"/>
                <w:szCs w:val="18"/>
                <w:lang w:val="es-US"/>
              </w:rPr>
            </w:pPr>
            <w:r w:rsidRPr="003B7D1A">
              <w:rPr>
                <w:rFonts w:cs="Arial"/>
                <w:sz w:val="18"/>
                <w:szCs w:val="18"/>
                <w:lang w:val="es-US"/>
              </w:rPr>
              <w:t>8%</w:t>
            </w:r>
          </w:p>
        </w:tc>
        <w:tc>
          <w:tcPr>
            <w:tcW w:w="1142" w:type="dxa"/>
          </w:tcPr>
          <w:p w14:paraId="5C66F1F4" w14:textId="77777777" w:rsidR="00D365FF" w:rsidRPr="003B7D1A" w:rsidRDefault="00D365FF" w:rsidP="00194658">
            <w:pPr>
              <w:jc w:val="center"/>
              <w:rPr>
                <w:rFonts w:cs="Arial"/>
                <w:sz w:val="18"/>
                <w:szCs w:val="18"/>
                <w:lang w:val="es-US"/>
              </w:rPr>
            </w:pPr>
            <w:r w:rsidRPr="003B7D1A">
              <w:rPr>
                <w:rFonts w:cs="Arial"/>
                <w:sz w:val="18"/>
                <w:szCs w:val="18"/>
                <w:lang w:val="es-US"/>
              </w:rPr>
              <w:t>8%</w:t>
            </w:r>
          </w:p>
        </w:tc>
        <w:tc>
          <w:tcPr>
            <w:tcW w:w="1302" w:type="dxa"/>
          </w:tcPr>
          <w:p w14:paraId="745D1034" w14:textId="77777777" w:rsidR="00D365FF" w:rsidRPr="003B7D1A" w:rsidRDefault="00D365FF" w:rsidP="00194658">
            <w:pPr>
              <w:jc w:val="center"/>
              <w:rPr>
                <w:rFonts w:cs="Arial"/>
                <w:sz w:val="18"/>
                <w:szCs w:val="18"/>
                <w:lang w:val="es-US"/>
              </w:rPr>
            </w:pPr>
            <w:r w:rsidRPr="003B7D1A">
              <w:rPr>
                <w:rFonts w:cs="Arial"/>
                <w:sz w:val="18"/>
                <w:szCs w:val="18"/>
                <w:lang w:val="es-US"/>
              </w:rPr>
              <w:t>4%</w:t>
            </w:r>
          </w:p>
        </w:tc>
        <w:tc>
          <w:tcPr>
            <w:tcW w:w="1418" w:type="dxa"/>
          </w:tcPr>
          <w:p w14:paraId="314390AE" w14:textId="77777777" w:rsidR="00D365FF" w:rsidRPr="003B7D1A" w:rsidRDefault="00D365FF" w:rsidP="00194658">
            <w:pPr>
              <w:jc w:val="center"/>
              <w:rPr>
                <w:rFonts w:cs="Arial"/>
                <w:sz w:val="18"/>
                <w:szCs w:val="18"/>
                <w:lang w:val="es-US"/>
              </w:rPr>
            </w:pPr>
            <w:r w:rsidRPr="003B7D1A">
              <w:rPr>
                <w:rFonts w:cs="Arial"/>
                <w:sz w:val="18"/>
                <w:szCs w:val="18"/>
                <w:lang w:val="es-US"/>
              </w:rPr>
              <w:t>0%</w:t>
            </w:r>
          </w:p>
        </w:tc>
        <w:tc>
          <w:tcPr>
            <w:tcW w:w="850" w:type="dxa"/>
          </w:tcPr>
          <w:p w14:paraId="08122B5F" w14:textId="77777777" w:rsidR="00D365FF" w:rsidRPr="003B7D1A" w:rsidRDefault="00D365FF" w:rsidP="00194658">
            <w:pPr>
              <w:jc w:val="center"/>
              <w:rPr>
                <w:rFonts w:cs="Arial"/>
                <w:sz w:val="18"/>
                <w:szCs w:val="18"/>
                <w:lang w:val="es-US"/>
              </w:rPr>
            </w:pPr>
            <w:r w:rsidRPr="003B7D1A">
              <w:rPr>
                <w:rFonts w:cs="Arial"/>
                <w:sz w:val="18"/>
                <w:szCs w:val="18"/>
                <w:lang w:val="es-US"/>
              </w:rPr>
              <w:t>100%</w:t>
            </w:r>
          </w:p>
        </w:tc>
      </w:tr>
      <w:tr w:rsidR="00D365FF" w:rsidRPr="003B7D1A" w14:paraId="32F45BD4" w14:textId="77777777" w:rsidTr="00194658">
        <w:tc>
          <w:tcPr>
            <w:tcW w:w="1657" w:type="dxa"/>
          </w:tcPr>
          <w:p w14:paraId="480276E2" w14:textId="77777777" w:rsidR="00D365FF" w:rsidRPr="003B7D1A" w:rsidRDefault="00D365FF" w:rsidP="00194658">
            <w:pPr>
              <w:rPr>
                <w:rFonts w:cs="Arial"/>
                <w:sz w:val="18"/>
                <w:szCs w:val="18"/>
                <w:lang w:val="es-US"/>
              </w:rPr>
            </w:pPr>
            <w:r w:rsidRPr="003B7D1A">
              <w:rPr>
                <w:rFonts w:cs="Arial"/>
                <w:sz w:val="18"/>
                <w:szCs w:val="18"/>
                <w:lang w:val="es-US"/>
              </w:rPr>
              <w:t>Distribución</w:t>
            </w:r>
          </w:p>
        </w:tc>
        <w:tc>
          <w:tcPr>
            <w:tcW w:w="1277" w:type="dxa"/>
          </w:tcPr>
          <w:p w14:paraId="2197A501" w14:textId="77777777" w:rsidR="00D365FF" w:rsidRPr="003B7D1A" w:rsidRDefault="00D365FF" w:rsidP="00194658">
            <w:pPr>
              <w:jc w:val="center"/>
              <w:rPr>
                <w:rFonts w:cs="Arial"/>
                <w:sz w:val="18"/>
                <w:szCs w:val="18"/>
                <w:lang w:val="es-US"/>
              </w:rPr>
            </w:pPr>
            <w:r w:rsidRPr="003B7D1A">
              <w:rPr>
                <w:rFonts w:cs="Arial"/>
                <w:sz w:val="18"/>
                <w:szCs w:val="18"/>
                <w:lang w:val="es-US"/>
              </w:rPr>
              <w:t>75%</w:t>
            </w:r>
          </w:p>
        </w:tc>
        <w:tc>
          <w:tcPr>
            <w:tcW w:w="1277" w:type="dxa"/>
          </w:tcPr>
          <w:p w14:paraId="51A1D63A" w14:textId="77777777" w:rsidR="00D365FF" w:rsidRPr="003B7D1A" w:rsidRDefault="00D365FF" w:rsidP="00194658">
            <w:pPr>
              <w:jc w:val="center"/>
              <w:rPr>
                <w:rFonts w:cs="Arial"/>
                <w:sz w:val="18"/>
                <w:szCs w:val="18"/>
                <w:lang w:val="es-US"/>
              </w:rPr>
            </w:pPr>
            <w:r w:rsidRPr="003B7D1A">
              <w:rPr>
                <w:rFonts w:cs="Arial"/>
                <w:sz w:val="18"/>
                <w:szCs w:val="18"/>
                <w:lang w:val="es-US"/>
              </w:rPr>
              <w:t>10%</w:t>
            </w:r>
          </w:p>
        </w:tc>
        <w:tc>
          <w:tcPr>
            <w:tcW w:w="1142" w:type="dxa"/>
          </w:tcPr>
          <w:p w14:paraId="48A4581F" w14:textId="77777777" w:rsidR="00D365FF" w:rsidRPr="003B7D1A" w:rsidRDefault="00D365FF" w:rsidP="00194658">
            <w:pPr>
              <w:jc w:val="center"/>
              <w:rPr>
                <w:rFonts w:cs="Arial"/>
                <w:sz w:val="18"/>
                <w:szCs w:val="18"/>
                <w:lang w:val="es-US"/>
              </w:rPr>
            </w:pPr>
            <w:r w:rsidRPr="003B7D1A">
              <w:rPr>
                <w:rFonts w:cs="Arial"/>
                <w:sz w:val="18"/>
                <w:szCs w:val="18"/>
                <w:lang w:val="es-US"/>
              </w:rPr>
              <w:t>10%</w:t>
            </w:r>
          </w:p>
        </w:tc>
        <w:tc>
          <w:tcPr>
            <w:tcW w:w="1302" w:type="dxa"/>
          </w:tcPr>
          <w:p w14:paraId="63D56A10" w14:textId="77777777" w:rsidR="00D365FF" w:rsidRPr="003B7D1A" w:rsidRDefault="00D365FF" w:rsidP="00194658">
            <w:pPr>
              <w:jc w:val="center"/>
              <w:rPr>
                <w:rFonts w:cs="Arial"/>
                <w:sz w:val="18"/>
                <w:szCs w:val="18"/>
                <w:lang w:val="es-US"/>
              </w:rPr>
            </w:pPr>
            <w:r w:rsidRPr="003B7D1A">
              <w:rPr>
                <w:rFonts w:cs="Arial"/>
                <w:sz w:val="18"/>
                <w:szCs w:val="18"/>
                <w:lang w:val="es-US"/>
              </w:rPr>
              <w:t>5%</w:t>
            </w:r>
          </w:p>
        </w:tc>
        <w:tc>
          <w:tcPr>
            <w:tcW w:w="1418" w:type="dxa"/>
          </w:tcPr>
          <w:p w14:paraId="0D52C8A0" w14:textId="77777777" w:rsidR="00D365FF" w:rsidRPr="003B7D1A" w:rsidRDefault="00D365FF" w:rsidP="00194658">
            <w:pPr>
              <w:jc w:val="center"/>
              <w:rPr>
                <w:rFonts w:cs="Arial"/>
                <w:sz w:val="18"/>
                <w:szCs w:val="18"/>
                <w:lang w:val="es-US"/>
              </w:rPr>
            </w:pPr>
            <w:r w:rsidRPr="003B7D1A">
              <w:rPr>
                <w:rFonts w:cs="Arial"/>
                <w:sz w:val="18"/>
                <w:szCs w:val="18"/>
                <w:lang w:val="es-US"/>
              </w:rPr>
              <w:t>0%</w:t>
            </w:r>
          </w:p>
        </w:tc>
        <w:tc>
          <w:tcPr>
            <w:tcW w:w="850" w:type="dxa"/>
          </w:tcPr>
          <w:p w14:paraId="3BE74950" w14:textId="77777777" w:rsidR="00D365FF" w:rsidRPr="003B7D1A" w:rsidRDefault="00D365FF" w:rsidP="00194658">
            <w:pPr>
              <w:jc w:val="center"/>
              <w:rPr>
                <w:rFonts w:cs="Arial"/>
                <w:sz w:val="18"/>
                <w:szCs w:val="18"/>
                <w:lang w:val="es-US"/>
              </w:rPr>
            </w:pPr>
            <w:r w:rsidRPr="003B7D1A">
              <w:rPr>
                <w:rFonts w:cs="Arial"/>
                <w:sz w:val="18"/>
                <w:szCs w:val="18"/>
                <w:lang w:val="es-US"/>
              </w:rPr>
              <w:t>100%</w:t>
            </w:r>
          </w:p>
        </w:tc>
      </w:tr>
      <w:tr w:rsidR="00D365FF" w:rsidRPr="003B7D1A" w14:paraId="7B3592E7" w14:textId="77777777" w:rsidTr="00194658">
        <w:tc>
          <w:tcPr>
            <w:tcW w:w="1657" w:type="dxa"/>
          </w:tcPr>
          <w:p w14:paraId="63739EB8" w14:textId="77777777" w:rsidR="00D365FF" w:rsidRPr="003B7D1A" w:rsidRDefault="00D365FF" w:rsidP="00194658">
            <w:pPr>
              <w:rPr>
                <w:rFonts w:cs="Arial"/>
                <w:sz w:val="18"/>
                <w:szCs w:val="18"/>
                <w:lang w:val="es-US"/>
              </w:rPr>
            </w:pPr>
            <w:r w:rsidRPr="003B7D1A">
              <w:rPr>
                <w:rFonts w:cs="Arial"/>
                <w:sz w:val="18"/>
                <w:szCs w:val="18"/>
                <w:lang w:val="es-US"/>
              </w:rPr>
              <w:t>O&amp;M Generación</w:t>
            </w:r>
          </w:p>
        </w:tc>
        <w:tc>
          <w:tcPr>
            <w:tcW w:w="1277" w:type="dxa"/>
          </w:tcPr>
          <w:p w14:paraId="659CD65A" w14:textId="77777777" w:rsidR="00D365FF" w:rsidRPr="003B7D1A" w:rsidRDefault="00D365FF" w:rsidP="00194658">
            <w:pPr>
              <w:jc w:val="center"/>
              <w:rPr>
                <w:rFonts w:cs="Arial"/>
                <w:sz w:val="18"/>
                <w:szCs w:val="18"/>
                <w:lang w:val="es-US"/>
              </w:rPr>
            </w:pPr>
            <w:r w:rsidRPr="003B7D1A">
              <w:rPr>
                <w:rFonts w:cs="Arial"/>
                <w:sz w:val="18"/>
                <w:szCs w:val="18"/>
                <w:lang w:val="es-US"/>
              </w:rPr>
              <w:t>35%</w:t>
            </w:r>
          </w:p>
        </w:tc>
        <w:tc>
          <w:tcPr>
            <w:tcW w:w="1277" w:type="dxa"/>
          </w:tcPr>
          <w:p w14:paraId="4CD82EE9" w14:textId="77777777" w:rsidR="00D365FF" w:rsidRPr="003B7D1A" w:rsidRDefault="00D365FF" w:rsidP="00194658">
            <w:pPr>
              <w:jc w:val="center"/>
              <w:rPr>
                <w:rFonts w:cs="Arial"/>
                <w:sz w:val="18"/>
                <w:szCs w:val="18"/>
                <w:lang w:val="es-US"/>
              </w:rPr>
            </w:pPr>
            <w:r w:rsidRPr="003B7D1A">
              <w:rPr>
                <w:rFonts w:cs="Arial"/>
                <w:sz w:val="18"/>
                <w:szCs w:val="18"/>
                <w:lang w:val="es-US"/>
              </w:rPr>
              <w:t>24%</w:t>
            </w:r>
          </w:p>
        </w:tc>
        <w:tc>
          <w:tcPr>
            <w:tcW w:w="1142" w:type="dxa"/>
          </w:tcPr>
          <w:p w14:paraId="1C8C6FEC" w14:textId="77777777" w:rsidR="00D365FF" w:rsidRPr="003B7D1A" w:rsidRDefault="00D365FF" w:rsidP="00194658">
            <w:pPr>
              <w:jc w:val="center"/>
              <w:rPr>
                <w:rFonts w:cs="Arial"/>
                <w:sz w:val="18"/>
                <w:szCs w:val="18"/>
                <w:lang w:val="es-US"/>
              </w:rPr>
            </w:pPr>
            <w:r w:rsidRPr="003B7D1A">
              <w:rPr>
                <w:rFonts w:cs="Arial"/>
                <w:sz w:val="18"/>
                <w:szCs w:val="18"/>
                <w:lang w:val="es-US"/>
              </w:rPr>
              <w:t>39%</w:t>
            </w:r>
          </w:p>
        </w:tc>
        <w:tc>
          <w:tcPr>
            <w:tcW w:w="1302" w:type="dxa"/>
          </w:tcPr>
          <w:p w14:paraId="52AE6AF4" w14:textId="77777777" w:rsidR="00D365FF" w:rsidRPr="003B7D1A" w:rsidRDefault="00D365FF" w:rsidP="00194658">
            <w:pPr>
              <w:jc w:val="center"/>
              <w:rPr>
                <w:rFonts w:cs="Arial"/>
                <w:sz w:val="18"/>
                <w:szCs w:val="18"/>
                <w:lang w:val="es-US"/>
              </w:rPr>
            </w:pPr>
            <w:r w:rsidRPr="003B7D1A">
              <w:rPr>
                <w:rFonts w:cs="Arial"/>
                <w:sz w:val="18"/>
                <w:szCs w:val="18"/>
                <w:lang w:val="es-US"/>
              </w:rPr>
              <w:t>2%</w:t>
            </w:r>
          </w:p>
        </w:tc>
        <w:tc>
          <w:tcPr>
            <w:tcW w:w="1418" w:type="dxa"/>
          </w:tcPr>
          <w:p w14:paraId="0849F1A7" w14:textId="77777777" w:rsidR="00D365FF" w:rsidRPr="003B7D1A" w:rsidRDefault="00D365FF" w:rsidP="00194658">
            <w:pPr>
              <w:jc w:val="center"/>
              <w:rPr>
                <w:rFonts w:cs="Arial"/>
                <w:sz w:val="18"/>
                <w:szCs w:val="18"/>
                <w:lang w:val="es-US"/>
              </w:rPr>
            </w:pPr>
            <w:r w:rsidRPr="003B7D1A">
              <w:rPr>
                <w:rFonts w:cs="Arial"/>
                <w:sz w:val="18"/>
                <w:szCs w:val="18"/>
                <w:lang w:val="es-US"/>
              </w:rPr>
              <w:t>0%</w:t>
            </w:r>
          </w:p>
        </w:tc>
        <w:tc>
          <w:tcPr>
            <w:tcW w:w="850" w:type="dxa"/>
          </w:tcPr>
          <w:p w14:paraId="17C8536F" w14:textId="77777777" w:rsidR="00D365FF" w:rsidRPr="003B7D1A" w:rsidRDefault="00D365FF" w:rsidP="00194658">
            <w:pPr>
              <w:jc w:val="center"/>
              <w:rPr>
                <w:rFonts w:cs="Arial"/>
                <w:sz w:val="18"/>
                <w:szCs w:val="18"/>
                <w:lang w:val="es-US"/>
              </w:rPr>
            </w:pPr>
            <w:r w:rsidRPr="003B7D1A">
              <w:rPr>
                <w:rFonts w:cs="Arial"/>
                <w:sz w:val="18"/>
                <w:szCs w:val="18"/>
                <w:lang w:val="es-US"/>
              </w:rPr>
              <w:t>100%</w:t>
            </w:r>
          </w:p>
        </w:tc>
      </w:tr>
      <w:tr w:rsidR="00D365FF" w:rsidRPr="003B7D1A" w14:paraId="5061C7DD" w14:textId="77777777" w:rsidTr="00194658">
        <w:tc>
          <w:tcPr>
            <w:tcW w:w="1657" w:type="dxa"/>
          </w:tcPr>
          <w:p w14:paraId="51518FFE" w14:textId="77777777" w:rsidR="00D365FF" w:rsidRPr="003B7D1A" w:rsidRDefault="00D365FF" w:rsidP="00194658">
            <w:pPr>
              <w:rPr>
                <w:rFonts w:cs="Arial"/>
                <w:sz w:val="18"/>
                <w:szCs w:val="18"/>
                <w:lang w:val="es-US"/>
              </w:rPr>
            </w:pPr>
            <w:r w:rsidRPr="003B7D1A">
              <w:rPr>
                <w:rFonts w:cs="Arial"/>
                <w:sz w:val="18"/>
                <w:szCs w:val="18"/>
                <w:lang w:val="es-US"/>
              </w:rPr>
              <w:t>O&amp;M Transmisión</w:t>
            </w:r>
          </w:p>
        </w:tc>
        <w:tc>
          <w:tcPr>
            <w:tcW w:w="1277" w:type="dxa"/>
          </w:tcPr>
          <w:p w14:paraId="410DE8A7" w14:textId="77777777" w:rsidR="00D365FF" w:rsidRPr="003B7D1A" w:rsidRDefault="00D365FF" w:rsidP="00194658">
            <w:pPr>
              <w:jc w:val="center"/>
              <w:rPr>
                <w:rFonts w:cs="Arial"/>
                <w:sz w:val="18"/>
                <w:szCs w:val="18"/>
                <w:lang w:val="es-US"/>
              </w:rPr>
            </w:pPr>
            <w:r w:rsidRPr="003B7D1A">
              <w:rPr>
                <w:rFonts w:cs="Arial"/>
                <w:sz w:val="18"/>
                <w:szCs w:val="18"/>
                <w:lang w:val="es-US"/>
              </w:rPr>
              <w:t>33%</w:t>
            </w:r>
          </w:p>
        </w:tc>
        <w:tc>
          <w:tcPr>
            <w:tcW w:w="1277" w:type="dxa"/>
          </w:tcPr>
          <w:p w14:paraId="4DA31F4A" w14:textId="77777777" w:rsidR="00D365FF" w:rsidRPr="003B7D1A" w:rsidRDefault="00D365FF" w:rsidP="00194658">
            <w:pPr>
              <w:jc w:val="center"/>
              <w:rPr>
                <w:rFonts w:cs="Arial"/>
                <w:sz w:val="18"/>
                <w:szCs w:val="18"/>
                <w:lang w:val="es-US"/>
              </w:rPr>
            </w:pPr>
            <w:r w:rsidRPr="003B7D1A">
              <w:rPr>
                <w:rFonts w:cs="Arial"/>
                <w:sz w:val="18"/>
                <w:szCs w:val="18"/>
                <w:lang w:val="es-US"/>
              </w:rPr>
              <w:t>30%</w:t>
            </w:r>
          </w:p>
        </w:tc>
        <w:tc>
          <w:tcPr>
            <w:tcW w:w="1142" w:type="dxa"/>
          </w:tcPr>
          <w:p w14:paraId="05F444CF" w14:textId="77777777" w:rsidR="00D365FF" w:rsidRPr="003B7D1A" w:rsidRDefault="00D365FF" w:rsidP="00194658">
            <w:pPr>
              <w:jc w:val="center"/>
              <w:rPr>
                <w:rFonts w:cs="Arial"/>
                <w:sz w:val="18"/>
                <w:szCs w:val="18"/>
                <w:lang w:val="es-US"/>
              </w:rPr>
            </w:pPr>
            <w:r w:rsidRPr="003B7D1A">
              <w:rPr>
                <w:rFonts w:cs="Arial"/>
                <w:sz w:val="18"/>
                <w:szCs w:val="18"/>
                <w:lang w:val="es-US"/>
              </w:rPr>
              <w:t>30%</w:t>
            </w:r>
          </w:p>
        </w:tc>
        <w:tc>
          <w:tcPr>
            <w:tcW w:w="1302" w:type="dxa"/>
          </w:tcPr>
          <w:p w14:paraId="07007465" w14:textId="77777777" w:rsidR="00D365FF" w:rsidRPr="003B7D1A" w:rsidRDefault="00D365FF" w:rsidP="00194658">
            <w:pPr>
              <w:jc w:val="center"/>
              <w:rPr>
                <w:rFonts w:cs="Arial"/>
                <w:sz w:val="18"/>
                <w:szCs w:val="18"/>
                <w:lang w:val="es-US"/>
              </w:rPr>
            </w:pPr>
            <w:r w:rsidRPr="003B7D1A">
              <w:rPr>
                <w:rFonts w:cs="Arial"/>
                <w:sz w:val="18"/>
                <w:szCs w:val="18"/>
                <w:lang w:val="es-US"/>
              </w:rPr>
              <w:t>7%</w:t>
            </w:r>
          </w:p>
        </w:tc>
        <w:tc>
          <w:tcPr>
            <w:tcW w:w="1418" w:type="dxa"/>
          </w:tcPr>
          <w:p w14:paraId="377E0D33" w14:textId="77777777" w:rsidR="00D365FF" w:rsidRPr="003B7D1A" w:rsidRDefault="00D365FF" w:rsidP="00194658">
            <w:pPr>
              <w:jc w:val="center"/>
              <w:rPr>
                <w:rFonts w:cs="Arial"/>
                <w:sz w:val="18"/>
                <w:szCs w:val="18"/>
                <w:lang w:val="es-US"/>
              </w:rPr>
            </w:pPr>
            <w:r w:rsidRPr="003B7D1A">
              <w:rPr>
                <w:rFonts w:cs="Arial"/>
                <w:sz w:val="18"/>
                <w:szCs w:val="18"/>
                <w:lang w:val="es-US"/>
              </w:rPr>
              <w:t>0%</w:t>
            </w:r>
          </w:p>
        </w:tc>
        <w:tc>
          <w:tcPr>
            <w:tcW w:w="850" w:type="dxa"/>
          </w:tcPr>
          <w:p w14:paraId="79CD3471" w14:textId="77777777" w:rsidR="00D365FF" w:rsidRPr="003B7D1A" w:rsidRDefault="00D365FF" w:rsidP="00194658">
            <w:pPr>
              <w:jc w:val="center"/>
              <w:rPr>
                <w:rFonts w:cs="Arial"/>
                <w:sz w:val="18"/>
                <w:szCs w:val="18"/>
                <w:lang w:val="es-US"/>
              </w:rPr>
            </w:pPr>
            <w:r w:rsidRPr="003B7D1A">
              <w:rPr>
                <w:rFonts w:cs="Arial"/>
                <w:sz w:val="18"/>
                <w:szCs w:val="18"/>
                <w:lang w:val="es-US"/>
              </w:rPr>
              <w:t>100%</w:t>
            </w:r>
          </w:p>
        </w:tc>
      </w:tr>
      <w:tr w:rsidR="00D365FF" w:rsidRPr="003B7D1A" w14:paraId="2A4FB3F5" w14:textId="77777777" w:rsidTr="00194658">
        <w:tc>
          <w:tcPr>
            <w:tcW w:w="1657" w:type="dxa"/>
          </w:tcPr>
          <w:p w14:paraId="523D4A04" w14:textId="77777777" w:rsidR="00D365FF" w:rsidRPr="003B7D1A" w:rsidRDefault="00D365FF" w:rsidP="00194658">
            <w:pPr>
              <w:rPr>
                <w:rFonts w:cs="Arial"/>
                <w:sz w:val="18"/>
                <w:szCs w:val="18"/>
                <w:lang w:val="es-US"/>
              </w:rPr>
            </w:pPr>
            <w:r w:rsidRPr="003B7D1A">
              <w:rPr>
                <w:rFonts w:cs="Arial"/>
                <w:sz w:val="18"/>
                <w:szCs w:val="18"/>
                <w:lang w:val="es-US"/>
              </w:rPr>
              <w:t>O&amp;M Distribución</w:t>
            </w:r>
          </w:p>
        </w:tc>
        <w:tc>
          <w:tcPr>
            <w:tcW w:w="1277" w:type="dxa"/>
          </w:tcPr>
          <w:p w14:paraId="144D6867" w14:textId="77777777" w:rsidR="00D365FF" w:rsidRPr="003B7D1A" w:rsidRDefault="00D365FF" w:rsidP="00194658">
            <w:pPr>
              <w:jc w:val="center"/>
              <w:rPr>
                <w:rFonts w:cs="Arial"/>
                <w:sz w:val="18"/>
                <w:szCs w:val="18"/>
                <w:lang w:val="es-US"/>
              </w:rPr>
            </w:pPr>
            <w:r w:rsidRPr="003B7D1A">
              <w:rPr>
                <w:rFonts w:cs="Arial"/>
                <w:sz w:val="18"/>
                <w:szCs w:val="18"/>
                <w:lang w:val="es-US"/>
              </w:rPr>
              <w:t>30%</w:t>
            </w:r>
          </w:p>
        </w:tc>
        <w:tc>
          <w:tcPr>
            <w:tcW w:w="1277" w:type="dxa"/>
          </w:tcPr>
          <w:p w14:paraId="78AAEEF0" w14:textId="77777777" w:rsidR="00D365FF" w:rsidRPr="003B7D1A" w:rsidRDefault="00D365FF" w:rsidP="00194658">
            <w:pPr>
              <w:jc w:val="center"/>
              <w:rPr>
                <w:rFonts w:cs="Arial"/>
                <w:sz w:val="18"/>
                <w:szCs w:val="18"/>
                <w:lang w:val="es-US"/>
              </w:rPr>
            </w:pPr>
            <w:r w:rsidRPr="003B7D1A">
              <w:rPr>
                <w:rFonts w:cs="Arial"/>
                <w:sz w:val="18"/>
                <w:szCs w:val="18"/>
                <w:lang w:val="es-US"/>
              </w:rPr>
              <w:t>33%</w:t>
            </w:r>
          </w:p>
        </w:tc>
        <w:tc>
          <w:tcPr>
            <w:tcW w:w="1142" w:type="dxa"/>
          </w:tcPr>
          <w:p w14:paraId="509D5DE1" w14:textId="77777777" w:rsidR="00D365FF" w:rsidRPr="003B7D1A" w:rsidRDefault="00D365FF" w:rsidP="00194658">
            <w:pPr>
              <w:jc w:val="center"/>
              <w:rPr>
                <w:rFonts w:cs="Arial"/>
                <w:sz w:val="18"/>
                <w:szCs w:val="18"/>
                <w:lang w:val="es-US"/>
              </w:rPr>
            </w:pPr>
            <w:r w:rsidRPr="003B7D1A">
              <w:rPr>
                <w:rFonts w:cs="Arial"/>
                <w:sz w:val="18"/>
                <w:szCs w:val="18"/>
                <w:lang w:val="es-US"/>
              </w:rPr>
              <w:t>25%</w:t>
            </w:r>
          </w:p>
        </w:tc>
        <w:tc>
          <w:tcPr>
            <w:tcW w:w="1302" w:type="dxa"/>
          </w:tcPr>
          <w:p w14:paraId="402761C5" w14:textId="77777777" w:rsidR="00D365FF" w:rsidRPr="003B7D1A" w:rsidRDefault="00D365FF" w:rsidP="00194658">
            <w:pPr>
              <w:jc w:val="center"/>
              <w:rPr>
                <w:rFonts w:cs="Arial"/>
                <w:sz w:val="18"/>
                <w:szCs w:val="18"/>
                <w:lang w:val="es-US"/>
              </w:rPr>
            </w:pPr>
            <w:r w:rsidRPr="003B7D1A">
              <w:rPr>
                <w:rFonts w:cs="Arial"/>
                <w:sz w:val="18"/>
                <w:szCs w:val="18"/>
                <w:lang w:val="es-US"/>
              </w:rPr>
              <w:t>12%</w:t>
            </w:r>
          </w:p>
        </w:tc>
        <w:tc>
          <w:tcPr>
            <w:tcW w:w="1418" w:type="dxa"/>
          </w:tcPr>
          <w:p w14:paraId="41DEA506" w14:textId="77777777" w:rsidR="00D365FF" w:rsidRPr="003B7D1A" w:rsidRDefault="00D365FF" w:rsidP="00194658">
            <w:pPr>
              <w:jc w:val="center"/>
              <w:rPr>
                <w:rFonts w:cs="Arial"/>
                <w:sz w:val="18"/>
                <w:szCs w:val="18"/>
                <w:lang w:val="es-US"/>
              </w:rPr>
            </w:pPr>
            <w:r w:rsidRPr="003B7D1A">
              <w:rPr>
                <w:rFonts w:cs="Arial"/>
                <w:sz w:val="18"/>
                <w:szCs w:val="18"/>
                <w:lang w:val="es-US"/>
              </w:rPr>
              <w:t>0%</w:t>
            </w:r>
          </w:p>
        </w:tc>
        <w:tc>
          <w:tcPr>
            <w:tcW w:w="850" w:type="dxa"/>
          </w:tcPr>
          <w:p w14:paraId="156DA495" w14:textId="77777777" w:rsidR="00D365FF" w:rsidRPr="003B7D1A" w:rsidRDefault="00D365FF" w:rsidP="00194658">
            <w:pPr>
              <w:jc w:val="center"/>
              <w:rPr>
                <w:rFonts w:cs="Arial"/>
                <w:sz w:val="18"/>
                <w:szCs w:val="18"/>
                <w:lang w:val="es-US"/>
              </w:rPr>
            </w:pPr>
            <w:r w:rsidRPr="003B7D1A">
              <w:rPr>
                <w:rFonts w:cs="Arial"/>
                <w:sz w:val="18"/>
                <w:szCs w:val="18"/>
                <w:lang w:val="es-US"/>
              </w:rPr>
              <w:t>100%</w:t>
            </w:r>
          </w:p>
        </w:tc>
      </w:tr>
    </w:tbl>
    <w:p w14:paraId="4EB790F3" w14:textId="77777777" w:rsidR="00D365FF" w:rsidRPr="003B7D1A" w:rsidRDefault="00D365FF" w:rsidP="00D365FF">
      <w:pPr>
        <w:pStyle w:val="NoSpacing"/>
        <w:jc w:val="center"/>
        <w:rPr>
          <w:rFonts w:cs="Arial"/>
          <w:sz w:val="18"/>
          <w:szCs w:val="18"/>
          <w:lang w:val="es-US"/>
        </w:rPr>
      </w:pPr>
      <w:r w:rsidRPr="003B7D1A">
        <w:rPr>
          <w:rFonts w:cs="Arial"/>
          <w:sz w:val="18"/>
          <w:szCs w:val="18"/>
          <w:lang w:val="es-US"/>
        </w:rPr>
        <w:t>Fuente: BID-ENEE, Programa de apoyo al sector de Energía</w:t>
      </w:r>
    </w:p>
    <w:p w14:paraId="73409709" w14:textId="77777777" w:rsidR="00D365FF" w:rsidRPr="003B7D1A" w:rsidRDefault="00D365FF" w:rsidP="00D365FF">
      <w:pPr>
        <w:pStyle w:val="NoSpacing"/>
        <w:jc w:val="center"/>
        <w:rPr>
          <w:rFonts w:cs="Arial"/>
          <w:sz w:val="18"/>
          <w:szCs w:val="18"/>
          <w:lang w:val="es-US"/>
        </w:rPr>
      </w:pPr>
      <w:r w:rsidRPr="003B7D1A">
        <w:rPr>
          <w:rFonts w:cs="Arial"/>
          <w:sz w:val="18"/>
          <w:szCs w:val="18"/>
          <w:lang w:val="es-US"/>
        </w:rPr>
        <w:t>HO-L1019, Evaluación Económica, Informe Final, I. Coral, 2008</w:t>
      </w:r>
    </w:p>
    <w:p w14:paraId="0FEF2F88" w14:textId="77777777" w:rsidR="00D365FF" w:rsidRPr="003B7D1A" w:rsidRDefault="00D365FF" w:rsidP="00D365FF">
      <w:pPr>
        <w:pStyle w:val="NoSpacing"/>
        <w:jc w:val="center"/>
        <w:rPr>
          <w:rFonts w:cs="Arial"/>
          <w:sz w:val="18"/>
          <w:szCs w:val="18"/>
          <w:lang w:val="es-US"/>
        </w:rPr>
      </w:pPr>
    </w:p>
    <w:p w14:paraId="65FF203D" w14:textId="77777777" w:rsidR="00D365FF" w:rsidRDefault="00D365FF" w:rsidP="00D365FF">
      <w:pPr>
        <w:jc w:val="both"/>
        <w:rPr>
          <w:rFonts w:cs="Arial"/>
          <w:lang w:val="es-US"/>
        </w:rPr>
      </w:pPr>
      <w:r w:rsidRPr="003B7D1A">
        <w:rPr>
          <w:rFonts w:cs="Arial"/>
          <w:lang w:val="es-US"/>
        </w:rPr>
        <w:t>La aplicación de los factores de cuenta (FC) anteriores a la estructura de costos mostrada en el cuadro anterior produce las siguientes Razones de Precios de Cuenta (RPC).</w:t>
      </w:r>
    </w:p>
    <w:p w14:paraId="0784A7F8" w14:textId="77777777" w:rsidR="00D365FF" w:rsidRPr="003B7D1A" w:rsidRDefault="00D365FF" w:rsidP="00D365FF">
      <w:pPr>
        <w:jc w:val="both"/>
        <w:rPr>
          <w:rFonts w:cs="Arial"/>
          <w:lang w:val="es-US"/>
        </w:rPr>
      </w:pPr>
    </w:p>
    <w:p w14:paraId="072C867A" w14:textId="77777777" w:rsidR="00D365FF" w:rsidRPr="003B7D1A" w:rsidRDefault="00D365FF" w:rsidP="00D365FF">
      <w:pPr>
        <w:jc w:val="center"/>
        <w:rPr>
          <w:rFonts w:cs="Arial"/>
          <w:b/>
          <w:lang w:val="es-US"/>
        </w:rPr>
      </w:pPr>
      <w:r w:rsidRPr="003B7D1A">
        <w:rPr>
          <w:rFonts w:cs="Arial"/>
          <w:b/>
          <w:lang w:val="es-US"/>
        </w:rPr>
        <w:t>RAZONES DE PRECIOS DE CUENTA DE ACTIVIDADES</w:t>
      </w:r>
    </w:p>
    <w:tbl>
      <w:tblPr>
        <w:tblStyle w:val="TableGrid"/>
        <w:tblW w:w="6521" w:type="dxa"/>
        <w:tblInd w:w="1242" w:type="dxa"/>
        <w:tblLook w:val="04A0" w:firstRow="1" w:lastRow="0" w:firstColumn="1" w:lastColumn="0" w:noHBand="0" w:noVBand="1"/>
      </w:tblPr>
      <w:tblGrid>
        <w:gridCol w:w="4111"/>
        <w:gridCol w:w="2410"/>
      </w:tblGrid>
      <w:tr w:rsidR="00D365FF" w:rsidRPr="003B7D1A" w14:paraId="50BB30C6" w14:textId="77777777" w:rsidTr="00C6301E">
        <w:tc>
          <w:tcPr>
            <w:tcW w:w="4111" w:type="dxa"/>
            <w:shd w:val="clear" w:color="auto" w:fill="EAF1DD" w:themeFill="accent3" w:themeFillTint="33"/>
            <w:vAlign w:val="bottom"/>
          </w:tcPr>
          <w:p w14:paraId="522F9E55" w14:textId="77777777" w:rsidR="00D365FF" w:rsidRPr="003B7D1A" w:rsidRDefault="00D365FF" w:rsidP="00194658">
            <w:pPr>
              <w:jc w:val="center"/>
              <w:rPr>
                <w:rFonts w:cs="Arial"/>
                <w:b/>
                <w:lang w:val="es-US"/>
              </w:rPr>
            </w:pPr>
            <w:r w:rsidRPr="003B7D1A">
              <w:rPr>
                <w:rFonts w:cs="Arial"/>
                <w:b/>
                <w:lang w:val="es-US"/>
              </w:rPr>
              <w:t>ACTIVIDAD</w:t>
            </w:r>
          </w:p>
        </w:tc>
        <w:tc>
          <w:tcPr>
            <w:tcW w:w="2410" w:type="dxa"/>
            <w:shd w:val="clear" w:color="auto" w:fill="EAF1DD" w:themeFill="accent3" w:themeFillTint="33"/>
            <w:vAlign w:val="bottom"/>
          </w:tcPr>
          <w:p w14:paraId="07D9FC92" w14:textId="77777777" w:rsidR="00D365FF" w:rsidRPr="003B7D1A" w:rsidRDefault="00D365FF" w:rsidP="00194658">
            <w:pPr>
              <w:jc w:val="center"/>
              <w:rPr>
                <w:rFonts w:cs="Arial"/>
                <w:b/>
                <w:lang w:val="es-US"/>
              </w:rPr>
            </w:pPr>
            <w:r w:rsidRPr="003B7D1A">
              <w:rPr>
                <w:rFonts w:cs="Arial"/>
                <w:b/>
                <w:lang w:val="es-US"/>
              </w:rPr>
              <w:t>RPC</w:t>
            </w:r>
          </w:p>
        </w:tc>
      </w:tr>
      <w:tr w:rsidR="00D365FF" w:rsidRPr="003B7D1A" w14:paraId="63B7FA2D" w14:textId="77777777" w:rsidTr="00194658">
        <w:tc>
          <w:tcPr>
            <w:tcW w:w="4111" w:type="dxa"/>
            <w:vAlign w:val="bottom"/>
          </w:tcPr>
          <w:p w14:paraId="384AFD90" w14:textId="77777777" w:rsidR="00D365FF" w:rsidRPr="003B7D1A" w:rsidRDefault="00D365FF" w:rsidP="00194658">
            <w:pPr>
              <w:rPr>
                <w:rFonts w:cs="Arial"/>
                <w:lang w:val="es-US"/>
              </w:rPr>
            </w:pPr>
            <w:r w:rsidRPr="003B7D1A">
              <w:rPr>
                <w:rFonts w:cs="Arial"/>
                <w:lang w:val="es-US"/>
              </w:rPr>
              <w:t xml:space="preserve">     Costos de Generación</w:t>
            </w:r>
          </w:p>
        </w:tc>
        <w:tc>
          <w:tcPr>
            <w:tcW w:w="2410" w:type="dxa"/>
            <w:vAlign w:val="bottom"/>
          </w:tcPr>
          <w:p w14:paraId="2FEE4ACA" w14:textId="77777777" w:rsidR="00D365FF" w:rsidRPr="003B7D1A" w:rsidRDefault="00D365FF" w:rsidP="00194658">
            <w:pPr>
              <w:jc w:val="center"/>
              <w:rPr>
                <w:rFonts w:cs="Arial"/>
                <w:lang w:val="es-US"/>
              </w:rPr>
            </w:pPr>
            <w:r w:rsidRPr="003B7D1A">
              <w:rPr>
                <w:rFonts w:cs="Arial"/>
                <w:lang w:val="es-US"/>
              </w:rPr>
              <w:t>0</w:t>
            </w:r>
            <w:r w:rsidR="00006262">
              <w:rPr>
                <w:rFonts w:cs="Arial"/>
                <w:lang w:val="es-US"/>
              </w:rPr>
              <w:t>,</w:t>
            </w:r>
            <w:r w:rsidRPr="003B7D1A">
              <w:rPr>
                <w:rFonts w:cs="Arial"/>
                <w:lang w:val="es-US"/>
              </w:rPr>
              <w:t>9893</w:t>
            </w:r>
          </w:p>
        </w:tc>
      </w:tr>
      <w:tr w:rsidR="00D365FF" w:rsidRPr="003B7D1A" w14:paraId="01AF56A8" w14:textId="77777777" w:rsidTr="00194658">
        <w:tc>
          <w:tcPr>
            <w:tcW w:w="4111" w:type="dxa"/>
            <w:vAlign w:val="bottom"/>
          </w:tcPr>
          <w:p w14:paraId="2405858A" w14:textId="77777777" w:rsidR="00D365FF" w:rsidRPr="003B7D1A" w:rsidRDefault="00D365FF" w:rsidP="00194658">
            <w:pPr>
              <w:rPr>
                <w:rFonts w:cs="Arial"/>
                <w:lang w:val="es-US"/>
              </w:rPr>
            </w:pPr>
            <w:r w:rsidRPr="003B7D1A">
              <w:rPr>
                <w:rFonts w:cs="Arial"/>
                <w:lang w:val="es-US"/>
              </w:rPr>
              <w:t xml:space="preserve">     Costos de Transmisión</w:t>
            </w:r>
          </w:p>
        </w:tc>
        <w:tc>
          <w:tcPr>
            <w:tcW w:w="2410" w:type="dxa"/>
            <w:vAlign w:val="bottom"/>
          </w:tcPr>
          <w:p w14:paraId="02E0B5E9" w14:textId="77777777" w:rsidR="00D365FF" w:rsidRPr="003B7D1A" w:rsidRDefault="00D365FF" w:rsidP="00194658">
            <w:pPr>
              <w:jc w:val="center"/>
              <w:rPr>
                <w:rFonts w:cs="Arial"/>
                <w:lang w:val="es-US"/>
              </w:rPr>
            </w:pPr>
            <w:r w:rsidRPr="003B7D1A">
              <w:rPr>
                <w:rFonts w:cs="Arial"/>
                <w:lang w:val="es-US"/>
              </w:rPr>
              <w:t>0</w:t>
            </w:r>
            <w:r w:rsidR="00006262">
              <w:rPr>
                <w:rFonts w:cs="Arial"/>
                <w:lang w:val="es-US"/>
              </w:rPr>
              <w:t>,</w:t>
            </w:r>
            <w:r w:rsidRPr="003B7D1A">
              <w:rPr>
                <w:rFonts w:cs="Arial"/>
                <w:lang w:val="es-US"/>
              </w:rPr>
              <w:t>9858</w:t>
            </w:r>
          </w:p>
        </w:tc>
      </w:tr>
      <w:tr w:rsidR="00D365FF" w:rsidRPr="003B7D1A" w14:paraId="4A3A3295" w14:textId="77777777" w:rsidTr="00194658">
        <w:tc>
          <w:tcPr>
            <w:tcW w:w="4111" w:type="dxa"/>
            <w:vAlign w:val="bottom"/>
          </w:tcPr>
          <w:p w14:paraId="3E9C288D" w14:textId="77777777" w:rsidR="00D365FF" w:rsidRPr="003B7D1A" w:rsidRDefault="00D365FF" w:rsidP="00194658">
            <w:pPr>
              <w:rPr>
                <w:rFonts w:cs="Arial"/>
                <w:lang w:val="es-US"/>
              </w:rPr>
            </w:pPr>
            <w:r w:rsidRPr="003B7D1A">
              <w:rPr>
                <w:rFonts w:cs="Arial"/>
                <w:lang w:val="es-US"/>
              </w:rPr>
              <w:t xml:space="preserve">     Costos de Distribución</w:t>
            </w:r>
          </w:p>
        </w:tc>
        <w:tc>
          <w:tcPr>
            <w:tcW w:w="2410" w:type="dxa"/>
            <w:vAlign w:val="bottom"/>
          </w:tcPr>
          <w:p w14:paraId="07CC7892" w14:textId="77777777" w:rsidR="00D365FF" w:rsidRPr="003B7D1A" w:rsidRDefault="00D365FF" w:rsidP="00194658">
            <w:pPr>
              <w:jc w:val="center"/>
              <w:rPr>
                <w:rFonts w:cs="Arial"/>
                <w:lang w:val="es-US"/>
              </w:rPr>
            </w:pPr>
            <w:r w:rsidRPr="003B7D1A">
              <w:rPr>
                <w:rFonts w:cs="Arial"/>
                <w:lang w:val="es-US"/>
              </w:rPr>
              <w:t>0</w:t>
            </w:r>
            <w:r w:rsidR="00006262">
              <w:rPr>
                <w:rFonts w:cs="Arial"/>
                <w:lang w:val="es-US"/>
              </w:rPr>
              <w:t>,</w:t>
            </w:r>
            <w:r w:rsidRPr="003B7D1A">
              <w:rPr>
                <w:rFonts w:cs="Arial"/>
                <w:lang w:val="es-US"/>
              </w:rPr>
              <w:t>9822</w:t>
            </w:r>
          </w:p>
        </w:tc>
      </w:tr>
      <w:tr w:rsidR="00D365FF" w:rsidRPr="003B7D1A" w14:paraId="28089A9B" w14:textId="77777777" w:rsidTr="00194658">
        <w:tc>
          <w:tcPr>
            <w:tcW w:w="4111" w:type="dxa"/>
            <w:vAlign w:val="bottom"/>
          </w:tcPr>
          <w:p w14:paraId="35B36B27" w14:textId="77777777" w:rsidR="00D365FF" w:rsidRPr="003B7D1A" w:rsidRDefault="00D365FF" w:rsidP="00194658">
            <w:pPr>
              <w:rPr>
                <w:rFonts w:cs="Arial"/>
                <w:lang w:val="es-US"/>
              </w:rPr>
            </w:pPr>
            <w:r w:rsidRPr="003B7D1A">
              <w:rPr>
                <w:rFonts w:cs="Arial"/>
                <w:lang w:val="es-US"/>
              </w:rPr>
              <w:t xml:space="preserve">     Costos de O&amp;M de Generación</w:t>
            </w:r>
          </w:p>
        </w:tc>
        <w:tc>
          <w:tcPr>
            <w:tcW w:w="2410" w:type="dxa"/>
            <w:vAlign w:val="bottom"/>
          </w:tcPr>
          <w:p w14:paraId="3F2275A9" w14:textId="77777777" w:rsidR="00D365FF" w:rsidRPr="003B7D1A" w:rsidRDefault="00D365FF" w:rsidP="00194658">
            <w:pPr>
              <w:jc w:val="center"/>
              <w:rPr>
                <w:rFonts w:cs="Arial"/>
                <w:lang w:val="es-US"/>
              </w:rPr>
            </w:pPr>
            <w:r w:rsidRPr="003B7D1A">
              <w:rPr>
                <w:rFonts w:cs="Arial"/>
                <w:lang w:val="es-US"/>
              </w:rPr>
              <w:t>1</w:t>
            </w:r>
            <w:r w:rsidR="00006262">
              <w:rPr>
                <w:rFonts w:cs="Arial"/>
                <w:lang w:val="es-US"/>
              </w:rPr>
              <w:t>,</w:t>
            </w:r>
            <w:r w:rsidRPr="003B7D1A">
              <w:rPr>
                <w:rFonts w:cs="Arial"/>
                <w:lang w:val="es-US"/>
              </w:rPr>
              <w:t>0218</w:t>
            </w:r>
          </w:p>
        </w:tc>
      </w:tr>
      <w:tr w:rsidR="00D365FF" w:rsidRPr="003B7D1A" w14:paraId="71D16DB8" w14:textId="77777777" w:rsidTr="00194658">
        <w:tc>
          <w:tcPr>
            <w:tcW w:w="4111" w:type="dxa"/>
            <w:vAlign w:val="bottom"/>
          </w:tcPr>
          <w:p w14:paraId="6D1FE75A" w14:textId="77777777" w:rsidR="00D365FF" w:rsidRPr="003B7D1A" w:rsidRDefault="00D365FF" w:rsidP="00194658">
            <w:pPr>
              <w:rPr>
                <w:rFonts w:cs="Arial"/>
                <w:lang w:val="es-US"/>
              </w:rPr>
            </w:pPr>
            <w:r w:rsidRPr="003B7D1A">
              <w:rPr>
                <w:rFonts w:cs="Arial"/>
                <w:lang w:val="es-US"/>
              </w:rPr>
              <w:t xml:space="preserve">     Costos de O&amp;M de Transmisión</w:t>
            </w:r>
          </w:p>
        </w:tc>
        <w:tc>
          <w:tcPr>
            <w:tcW w:w="2410" w:type="dxa"/>
            <w:vAlign w:val="bottom"/>
          </w:tcPr>
          <w:p w14:paraId="7BFB46A0" w14:textId="77777777" w:rsidR="00D365FF" w:rsidRPr="003B7D1A" w:rsidRDefault="00D365FF" w:rsidP="00194658">
            <w:pPr>
              <w:jc w:val="center"/>
              <w:rPr>
                <w:rFonts w:cs="Arial"/>
                <w:lang w:val="es-US"/>
              </w:rPr>
            </w:pPr>
            <w:r w:rsidRPr="003B7D1A">
              <w:rPr>
                <w:rFonts w:cs="Arial"/>
                <w:lang w:val="es-US"/>
              </w:rPr>
              <w:t>0</w:t>
            </w:r>
            <w:r w:rsidR="00006262">
              <w:rPr>
                <w:rFonts w:cs="Arial"/>
                <w:lang w:val="es-US"/>
              </w:rPr>
              <w:t>,</w:t>
            </w:r>
            <w:r w:rsidRPr="003B7D1A">
              <w:rPr>
                <w:rFonts w:cs="Arial"/>
                <w:lang w:val="es-US"/>
              </w:rPr>
              <w:t>9919</w:t>
            </w:r>
          </w:p>
        </w:tc>
      </w:tr>
      <w:tr w:rsidR="00D365FF" w:rsidRPr="003B7D1A" w14:paraId="71C1BD99" w14:textId="77777777" w:rsidTr="00194658">
        <w:tc>
          <w:tcPr>
            <w:tcW w:w="4111" w:type="dxa"/>
            <w:vAlign w:val="bottom"/>
          </w:tcPr>
          <w:p w14:paraId="0A6B26F4" w14:textId="77777777" w:rsidR="00D365FF" w:rsidRPr="003B7D1A" w:rsidRDefault="00D365FF" w:rsidP="00194658">
            <w:pPr>
              <w:rPr>
                <w:rFonts w:cs="Arial"/>
                <w:lang w:val="es-US"/>
              </w:rPr>
            </w:pPr>
            <w:r w:rsidRPr="003B7D1A">
              <w:rPr>
                <w:rFonts w:cs="Arial"/>
                <w:lang w:val="es-US"/>
              </w:rPr>
              <w:t xml:space="preserve">     Costos de O&amp;M de Distribución</w:t>
            </w:r>
          </w:p>
        </w:tc>
        <w:tc>
          <w:tcPr>
            <w:tcW w:w="2410" w:type="dxa"/>
            <w:vAlign w:val="bottom"/>
          </w:tcPr>
          <w:p w14:paraId="4BC222E6" w14:textId="77777777" w:rsidR="00D365FF" w:rsidRPr="003B7D1A" w:rsidRDefault="00D365FF" w:rsidP="00194658">
            <w:pPr>
              <w:jc w:val="center"/>
              <w:rPr>
                <w:rFonts w:cs="Arial"/>
                <w:lang w:val="es-US"/>
              </w:rPr>
            </w:pPr>
            <w:r w:rsidRPr="003B7D1A">
              <w:rPr>
                <w:rFonts w:cs="Arial"/>
                <w:lang w:val="es-US"/>
              </w:rPr>
              <w:t>0</w:t>
            </w:r>
            <w:r w:rsidR="00006262">
              <w:rPr>
                <w:rFonts w:cs="Arial"/>
                <w:lang w:val="es-US"/>
              </w:rPr>
              <w:t>,</w:t>
            </w:r>
            <w:r w:rsidRPr="003B7D1A">
              <w:rPr>
                <w:rFonts w:cs="Arial"/>
                <w:lang w:val="es-US"/>
              </w:rPr>
              <w:t>9625</w:t>
            </w:r>
          </w:p>
        </w:tc>
      </w:tr>
    </w:tbl>
    <w:p w14:paraId="309393F0" w14:textId="77777777" w:rsidR="00D365FF" w:rsidRDefault="00D365FF" w:rsidP="00D365FF">
      <w:pPr>
        <w:spacing w:before="120"/>
        <w:jc w:val="both"/>
        <w:rPr>
          <w:rFonts w:cs="Arial"/>
          <w:lang w:val="es-ES_tradnl"/>
        </w:rPr>
      </w:pPr>
      <w:r w:rsidRPr="003B7D1A">
        <w:rPr>
          <w:rFonts w:cs="Arial"/>
          <w:lang w:val="es-US"/>
        </w:rPr>
        <w:t>Las RPC anteriores fueron aplicadas a los costos y beneficios estimados inicialmente</w:t>
      </w:r>
      <w:r w:rsidRPr="00CE4FD2">
        <w:rPr>
          <w:rFonts w:cs="Arial"/>
          <w:lang w:val="es-ES_tradnl"/>
        </w:rPr>
        <w:t xml:space="preserve"> en precios de mercado para los programas de rehabilitación de las centrales Cañaveral y Rio Lindo que fueron objeto de la evaluación económica que se presenta en este informe.</w:t>
      </w:r>
    </w:p>
    <w:p w14:paraId="289F33AF" w14:textId="77777777" w:rsidR="00F00B48" w:rsidRDefault="00F00B48">
      <w:pPr>
        <w:spacing w:after="200" w:line="276" w:lineRule="auto"/>
        <w:rPr>
          <w:rFonts w:cs="Arial"/>
          <w:lang w:val="es-ES_tradnl"/>
        </w:rPr>
      </w:pPr>
      <w:r>
        <w:rPr>
          <w:rFonts w:cs="Arial"/>
          <w:lang w:val="es-ES_tradnl"/>
        </w:rPr>
        <w:br w:type="page"/>
      </w:r>
    </w:p>
    <w:p w14:paraId="7E8E7DB6" w14:textId="77777777" w:rsidR="00F00B48" w:rsidRPr="00F00B48" w:rsidRDefault="00F00B48" w:rsidP="00F00B48">
      <w:pPr>
        <w:spacing w:after="160" w:line="259" w:lineRule="auto"/>
        <w:jc w:val="right"/>
        <w:rPr>
          <w:rFonts w:eastAsia="Calibri" w:cs="Arial"/>
          <w:b/>
          <w:lang w:val="es-US"/>
        </w:rPr>
      </w:pPr>
      <w:r w:rsidRPr="00F00B48">
        <w:rPr>
          <w:rFonts w:eastAsia="Calibri" w:cs="Arial"/>
          <w:b/>
          <w:lang w:val="es-US"/>
        </w:rPr>
        <w:lastRenderedPageBreak/>
        <w:t>Anexo E</w:t>
      </w:r>
    </w:p>
    <w:p w14:paraId="3B79B7B6" w14:textId="77777777" w:rsidR="00F00B48" w:rsidRDefault="00F00B48" w:rsidP="00C830CF">
      <w:pPr>
        <w:pStyle w:val="Heading2"/>
        <w:numPr>
          <w:ilvl w:val="0"/>
          <w:numId w:val="15"/>
        </w:numPr>
        <w:rPr>
          <w:rFonts w:eastAsia="Calibri"/>
        </w:rPr>
      </w:pPr>
      <w:bookmarkStart w:id="70" w:name="_Toc513626368"/>
      <w:r w:rsidRPr="00F00B48">
        <w:rPr>
          <w:rFonts w:eastAsia="Calibri"/>
        </w:rPr>
        <w:t xml:space="preserve">Costo </w:t>
      </w:r>
      <w:r w:rsidRPr="00F00B48">
        <w:t>Marginal</w:t>
      </w:r>
      <w:r w:rsidRPr="00F00B48">
        <w:rPr>
          <w:rFonts w:eastAsia="Calibri"/>
        </w:rPr>
        <w:t xml:space="preserve"> de Corto Plazo 2017</w:t>
      </w:r>
      <w:bookmarkEnd w:id="70"/>
    </w:p>
    <w:p w14:paraId="4789A00D" w14:textId="77777777" w:rsidR="00C830CF" w:rsidRPr="00C830CF" w:rsidRDefault="00C830CF" w:rsidP="00C830CF">
      <w:pPr>
        <w:rPr>
          <w:lang w:val="es-US" w:eastAsia="es-ES"/>
        </w:rPr>
      </w:pPr>
    </w:p>
    <w:p w14:paraId="05CDF1E3" w14:textId="77777777" w:rsidR="00F00B48" w:rsidRPr="00F00B48" w:rsidRDefault="00F00B48" w:rsidP="00F00B48">
      <w:pPr>
        <w:spacing w:after="160" w:line="259" w:lineRule="auto"/>
        <w:rPr>
          <w:rFonts w:eastAsia="Calibri" w:cs="Arial"/>
          <w:sz w:val="20"/>
          <w:szCs w:val="20"/>
          <w:lang w:val="es-US"/>
        </w:rPr>
      </w:pPr>
      <w:r w:rsidRPr="00F00B48">
        <w:rPr>
          <w:rFonts w:eastAsia="Calibri" w:cs="Arial"/>
          <w:lang w:val="es-US"/>
        </w:rPr>
        <w:t>El costo marginal de corto plazo (CMCP) calculado por la ENEE por bloque horario y por estación se muestran en el Cuadro E-1.</w:t>
      </w:r>
    </w:p>
    <w:tbl>
      <w:tblPr>
        <w:tblStyle w:val="TableGrid1"/>
        <w:tblW w:w="0" w:type="auto"/>
        <w:tblLook w:val="04A0" w:firstRow="1" w:lastRow="0" w:firstColumn="1" w:lastColumn="0" w:noHBand="0" w:noVBand="1"/>
      </w:tblPr>
      <w:tblGrid>
        <w:gridCol w:w="3505"/>
        <w:gridCol w:w="1710"/>
        <w:gridCol w:w="1710"/>
        <w:gridCol w:w="1620"/>
      </w:tblGrid>
      <w:tr w:rsidR="00F00B48" w:rsidRPr="00F00B48" w14:paraId="5120F82C" w14:textId="77777777" w:rsidTr="00C6301E">
        <w:tc>
          <w:tcPr>
            <w:tcW w:w="8545" w:type="dxa"/>
            <w:gridSpan w:val="4"/>
            <w:tcBorders>
              <w:top w:val="nil"/>
              <w:left w:val="nil"/>
              <w:bottom w:val="single" w:sz="4" w:space="0" w:color="auto"/>
              <w:right w:val="nil"/>
            </w:tcBorders>
            <w:shd w:val="clear" w:color="auto" w:fill="auto"/>
          </w:tcPr>
          <w:p w14:paraId="48C538CD" w14:textId="77777777" w:rsidR="00F00B48" w:rsidRPr="00F00B48" w:rsidRDefault="00F00B48" w:rsidP="00F00B48">
            <w:pPr>
              <w:rPr>
                <w:rFonts w:eastAsia="Times New Roman" w:cs="Arial"/>
                <w:b/>
                <w:color w:val="000000"/>
                <w:sz w:val="20"/>
                <w:szCs w:val="20"/>
                <w:lang w:val="es-US"/>
              </w:rPr>
            </w:pPr>
            <w:r w:rsidRPr="00F00B48">
              <w:rPr>
                <w:rFonts w:eastAsia="Times New Roman" w:cs="Arial"/>
                <w:b/>
                <w:color w:val="000000"/>
                <w:sz w:val="20"/>
                <w:szCs w:val="20"/>
                <w:lang w:val="es-US"/>
              </w:rPr>
              <w:t>Cuadro E-1 – CMCP para 2017-2021</w:t>
            </w:r>
          </w:p>
        </w:tc>
      </w:tr>
      <w:tr w:rsidR="00F00B48" w:rsidRPr="00F00B48" w14:paraId="64F644D3" w14:textId="77777777" w:rsidTr="00F00B48">
        <w:tc>
          <w:tcPr>
            <w:tcW w:w="3505" w:type="dxa"/>
            <w:tcBorders>
              <w:top w:val="single" w:sz="4" w:space="0" w:color="auto"/>
            </w:tcBorders>
            <w:shd w:val="clear" w:color="auto" w:fill="E2EFD9"/>
          </w:tcPr>
          <w:p w14:paraId="78DD98CE" w14:textId="77777777" w:rsidR="00F00B48" w:rsidRPr="00F00B48" w:rsidRDefault="00F00B48" w:rsidP="00F00B48">
            <w:pPr>
              <w:rPr>
                <w:rFonts w:eastAsia="Calibri" w:cs="Arial"/>
                <w:b/>
                <w:sz w:val="20"/>
                <w:szCs w:val="20"/>
                <w:lang w:val="es-US"/>
              </w:rPr>
            </w:pPr>
            <w:r w:rsidRPr="00F00B48">
              <w:rPr>
                <w:rFonts w:eastAsia="Calibri" w:cs="Times New Roman"/>
                <w:b/>
                <w:lang w:val="es-US"/>
              </w:rPr>
              <w:t>Bloque Horario</w:t>
            </w:r>
          </w:p>
        </w:tc>
        <w:tc>
          <w:tcPr>
            <w:tcW w:w="5040" w:type="dxa"/>
            <w:gridSpan w:val="3"/>
            <w:tcBorders>
              <w:top w:val="single" w:sz="4" w:space="0" w:color="auto"/>
            </w:tcBorders>
            <w:shd w:val="clear" w:color="auto" w:fill="E2EFD9"/>
          </w:tcPr>
          <w:p w14:paraId="683C1B75" w14:textId="77777777" w:rsidR="00F00B48" w:rsidRPr="00F00B48" w:rsidRDefault="00F00B48" w:rsidP="00F00B48">
            <w:pPr>
              <w:jc w:val="center"/>
              <w:rPr>
                <w:rFonts w:eastAsia="Calibri" w:cs="Times New Roman"/>
                <w:b/>
                <w:lang w:val="es-US"/>
              </w:rPr>
            </w:pPr>
            <w:r w:rsidRPr="00F00B48">
              <w:rPr>
                <w:rFonts w:eastAsia="Times New Roman" w:cs="Arial"/>
                <w:b/>
                <w:color w:val="000000"/>
                <w:sz w:val="20"/>
                <w:szCs w:val="20"/>
                <w:lang w:val="es-US"/>
              </w:rPr>
              <w:t>CMCP 2017 (US$/MWh)</w:t>
            </w:r>
          </w:p>
        </w:tc>
      </w:tr>
      <w:tr w:rsidR="00F00B48" w:rsidRPr="00F00B48" w14:paraId="0B303727" w14:textId="77777777" w:rsidTr="00F00B48">
        <w:tc>
          <w:tcPr>
            <w:tcW w:w="3505" w:type="dxa"/>
            <w:shd w:val="clear" w:color="auto" w:fill="E2EFD9"/>
          </w:tcPr>
          <w:p w14:paraId="56BB2D04" w14:textId="77777777" w:rsidR="00F00B48" w:rsidRPr="00F00B48" w:rsidRDefault="00F00B48" w:rsidP="00F00B48">
            <w:pPr>
              <w:rPr>
                <w:rFonts w:eastAsia="Calibri" w:cs="Arial"/>
                <w:b/>
                <w:sz w:val="20"/>
                <w:szCs w:val="20"/>
                <w:lang w:val="es-US"/>
              </w:rPr>
            </w:pPr>
            <w:r w:rsidRPr="00F00B48">
              <w:rPr>
                <w:rFonts w:eastAsia="Calibri" w:cs="Times New Roman"/>
                <w:b/>
                <w:lang w:val="es-US"/>
              </w:rPr>
              <w:t>Estación</w:t>
            </w:r>
          </w:p>
        </w:tc>
        <w:tc>
          <w:tcPr>
            <w:tcW w:w="1710" w:type="dxa"/>
            <w:shd w:val="clear" w:color="auto" w:fill="E2EFD9"/>
          </w:tcPr>
          <w:p w14:paraId="65BACE8A" w14:textId="77777777" w:rsidR="00F00B48" w:rsidRPr="00F00B48" w:rsidRDefault="00F00B48" w:rsidP="00F00B48">
            <w:pPr>
              <w:jc w:val="center"/>
              <w:rPr>
                <w:rFonts w:eastAsia="Calibri" w:cs="Arial"/>
                <w:b/>
                <w:sz w:val="20"/>
                <w:szCs w:val="20"/>
                <w:lang w:val="es-US"/>
              </w:rPr>
            </w:pPr>
            <w:r w:rsidRPr="00F00B48">
              <w:rPr>
                <w:rFonts w:eastAsia="Calibri" w:cs="Times New Roman"/>
                <w:b/>
                <w:lang w:val="es-US"/>
              </w:rPr>
              <w:t>Seca</w:t>
            </w:r>
          </w:p>
        </w:tc>
        <w:tc>
          <w:tcPr>
            <w:tcW w:w="1710" w:type="dxa"/>
            <w:shd w:val="clear" w:color="auto" w:fill="E2EFD9"/>
          </w:tcPr>
          <w:p w14:paraId="4A92670A" w14:textId="77777777" w:rsidR="00F00B48" w:rsidRPr="00F00B48" w:rsidRDefault="00F00B48" w:rsidP="00F00B48">
            <w:pPr>
              <w:jc w:val="center"/>
              <w:rPr>
                <w:rFonts w:eastAsia="Calibri" w:cs="Arial"/>
                <w:b/>
                <w:sz w:val="20"/>
                <w:szCs w:val="20"/>
                <w:lang w:val="es-US"/>
              </w:rPr>
            </w:pPr>
            <w:r w:rsidRPr="00F00B48">
              <w:rPr>
                <w:rFonts w:eastAsia="Calibri" w:cs="Times New Roman"/>
                <w:b/>
                <w:lang w:val="es-US"/>
              </w:rPr>
              <w:t>Lluviosa</w:t>
            </w:r>
          </w:p>
        </w:tc>
        <w:tc>
          <w:tcPr>
            <w:tcW w:w="1620" w:type="dxa"/>
            <w:shd w:val="clear" w:color="auto" w:fill="E2EFD9"/>
          </w:tcPr>
          <w:p w14:paraId="6D87BB7A" w14:textId="77777777" w:rsidR="00F00B48" w:rsidRPr="00F00B48" w:rsidRDefault="00F00B48" w:rsidP="00F00B48">
            <w:pPr>
              <w:jc w:val="center"/>
              <w:rPr>
                <w:rFonts w:eastAsia="Calibri" w:cs="Arial"/>
                <w:b/>
                <w:sz w:val="20"/>
                <w:szCs w:val="20"/>
                <w:lang w:val="es-US"/>
              </w:rPr>
            </w:pPr>
            <w:r w:rsidRPr="00F00B48">
              <w:rPr>
                <w:rFonts w:eastAsia="Calibri" w:cs="Times New Roman"/>
                <w:b/>
                <w:lang w:val="es-US"/>
              </w:rPr>
              <w:t>Promedio</w:t>
            </w:r>
          </w:p>
        </w:tc>
      </w:tr>
      <w:tr w:rsidR="00F00B48" w:rsidRPr="00F00B48" w14:paraId="081C2445" w14:textId="77777777" w:rsidTr="00C6301E">
        <w:tc>
          <w:tcPr>
            <w:tcW w:w="3505" w:type="dxa"/>
          </w:tcPr>
          <w:p w14:paraId="53C08226" w14:textId="77777777" w:rsidR="00F00B48" w:rsidRPr="00F00B48" w:rsidRDefault="00F00B48" w:rsidP="00F00B48">
            <w:pPr>
              <w:rPr>
                <w:rFonts w:eastAsia="Calibri" w:cs="Arial"/>
                <w:sz w:val="20"/>
                <w:szCs w:val="20"/>
                <w:lang w:val="es-US"/>
              </w:rPr>
            </w:pPr>
            <w:r w:rsidRPr="00F00B48">
              <w:rPr>
                <w:rFonts w:eastAsia="Calibri" w:cs="Times New Roman"/>
                <w:lang w:val="es-US"/>
              </w:rPr>
              <w:t>Punta (duración de cuatro horas)</w:t>
            </w:r>
          </w:p>
        </w:tc>
        <w:tc>
          <w:tcPr>
            <w:tcW w:w="1710" w:type="dxa"/>
          </w:tcPr>
          <w:p w14:paraId="1B4DC160"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67,57</w:t>
            </w:r>
          </w:p>
        </w:tc>
        <w:tc>
          <w:tcPr>
            <w:tcW w:w="1710" w:type="dxa"/>
          </w:tcPr>
          <w:p w14:paraId="110043FD"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67,87</w:t>
            </w:r>
          </w:p>
        </w:tc>
        <w:tc>
          <w:tcPr>
            <w:tcW w:w="1620" w:type="dxa"/>
          </w:tcPr>
          <w:p w14:paraId="523CF8A8"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67,72</w:t>
            </w:r>
          </w:p>
        </w:tc>
      </w:tr>
      <w:tr w:rsidR="00F00B48" w:rsidRPr="00F00B48" w14:paraId="7D651EB7" w14:textId="77777777" w:rsidTr="00C6301E">
        <w:tc>
          <w:tcPr>
            <w:tcW w:w="3505" w:type="dxa"/>
          </w:tcPr>
          <w:p w14:paraId="3AA8195F" w14:textId="77777777" w:rsidR="00F00B48" w:rsidRPr="00F00B48" w:rsidRDefault="00F00B48" w:rsidP="00F00B48">
            <w:pPr>
              <w:rPr>
                <w:rFonts w:eastAsia="Calibri" w:cs="Arial"/>
                <w:sz w:val="20"/>
                <w:szCs w:val="20"/>
                <w:lang w:val="es-US"/>
              </w:rPr>
            </w:pPr>
            <w:r w:rsidRPr="00F00B48">
              <w:rPr>
                <w:rFonts w:eastAsia="Calibri" w:cs="Times New Roman"/>
                <w:lang w:val="es-US"/>
              </w:rPr>
              <w:t>Intermedio (duración de diez horas)</w:t>
            </w:r>
          </w:p>
        </w:tc>
        <w:tc>
          <w:tcPr>
            <w:tcW w:w="1710" w:type="dxa"/>
          </w:tcPr>
          <w:p w14:paraId="5DE23517"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58,99</w:t>
            </w:r>
          </w:p>
        </w:tc>
        <w:tc>
          <w:tcPr>
            <w:tcW w:w="1710" w:type="dxa"/>
          </w:tcPr>
          <w:p w14:paraId="4A1B9C8E"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59,41</w:t>
            </w:r>
          </w:p>
        </w:tc>
        <w:tc>
          <w:tcPr>
            <w:tcW w:w="1620" w:type="dxa"/>
          </w:tcPr>
          <w:p w14:paraId="2051CE54"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59,21</w:t>
            </w:r>
          </w:p>
        </w:tc>
      </w:tr>
      <w:tr w:rsidR="00F00B48" w:rsidRPr="00F00B48" w14:paraId="289EF9F3" w14:textId="77777777" w:rsidTr="00C6301E">
        <w:tc>
          <w:tcPr>
            <w:tcW w:w="3505" w:type="dxa"/>
          </w:tcPr>
          <w:p w14:paraId="2B584725" w14:textId="77777777" w:rsidR="00F00B48" w:rsidRPr="00F00B48" w:rsidRDefault="00F00B48" w:rsidP="00F00B48">
            <w:pPr>
              <w:rPr>
                <w:rFonts w:eastAsia="Calibri" w:cs="Arial"/>
                <w:sz w:val="20"/>
                <w:szCs w:val="20"/>
                <w:lang w:val="es-US"/>
              </w:rPr>
            </w:pPr>
            <w:r w:rsidRPr="00F00B48">
              <w:rPr>
                <w:rFonts w:eastAsia="Calibri" w:cs="Times New Roman"/>
                <w:lang w:val="es-US"/>
              </w:rPr>
              <w:t>Valle (duración de diez horas)</w:t>
            </w:r>
          </w:p>
        </w:tc>
        <w:tc>
          <w:tcPr>
            <w:tcW w:w="1710" w:type="dxa"/>
          </w:tcPr>
          <w:p w14:paraId="74AE293C"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57,80</w:t>
            </w:r>
          </w:p>
        </w:tc>
        <w:tc>
          <w:tcPr>
            <w:tcW w:w="1710" w:type="dxa"/>
          </w:tcPr>
          <w:p w14:paraId="5870D7FC"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57,71</w:t>
            </w:r>
          </w:p>
        </w:tc>
        <w:tc>
          <w:tcPr>
            <w:tcW w:w="1620" w:type="dxa"/>
          </w:tcPr>
          <w:p w14:paraId="7C1ABBAE"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57,76</w:t>
            </w:r>
          </w:p>
        </w:tc>
      </w:tr>
      <w:tr w:rsidR="00F00B48" w:rsidRPr="00F00B48" w14:paraId="410E033B" w14:textId="77777777" w:rsidTr="00C6301E">
        <w:tc>
          <w:tcPr>
            <w:tcW w:w="3505" w:type="dxa"/>
          </w:tcPr>
          <w:p w14:paraId="75E79CF1" w14:textId="77777777" w:rsidR="00F00B48" w:rsidRPr="00F00B48" w:rsidRDefault="00F00B48" w:rsidP="00F00B48">
            <w:pPr>
              <w:rPr>
                <w:rFonts w:eastAsia="Calibri" w:cs="Arial"/>
                <w:sz w:val="20"/>
                <w:szCs w:val="20"/>
                <w:lang w:val="es-US"/>
              </w:rPr>
            </w:pPr>
            <w:r w:rsidRPr="00F00B48">
              <w:rPr>
                <w:rFonts w:eastAsia="Calibri" w:cs="Times New Roman"/>
                <w:lang w:val="es-US"/>
              </w:rPr>
              <w:t>Promedio</w:t>
            </w:r>
          </w:p>
        </w:tc>
        <w:tc>
          <w:tcPr>
            <w:tcW w:w="1710" w:type="dxa"/>
          </w:tcPr>
          <w:p w14:paraId="517CB632"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60,35</w:t>
            </w:r>
          </w:p>
        </w:tc>
        <w:tc>
          <w:tcPr>
            <w:tcW w:w="1710" w:type="dxa"/>
          </w:tcPr>
          <w:p w14:paraId="386684B1" w14:textId="77777777" w:rsidR="00F00B48" w:rsidRPr="00F00B48" w:rsidRDefault="00F00B48" w:rsidP="00F00B48">
            <w:pPr>
              <w:jc w:val="center"/>
              <w:rPr>
                <w:rFonts w:eastAsia="Calibri" w:cs="Arial"/>
                <w:sz w:val="20"/>
                <w:szCs w:val="20"/>
                <w:lang w:val="es-US"/>
              </w:rPr>
            </w:pPr>
            <w:r w:rsidRPr="00F00B48">
              <w:rPr>
                <w:rFonts w:eastAsia="Calibri" w:cs="Times New Roman"/>
                <w:lang w:val="es-US"/>
              </w:rPr>
              <w:t>60,53</w:t>
            </w:r>
          </w:p>
        </w:tc>
        <w:tc>
          <w:tcPr>
            <w:tcW w:w="1620" w:type="dxa"/>
          </w:tcPr>
          <w:p w14:paraId="4FFD3CB0" w14:textId="77777777" w:rsidR="00F00B48" w:rsidRPr="00F00B48" w:rsidRDefault="00F00B48" w:rsidP="00F00B48">
            <w:pPr>
              <w:jc w:val="center"/>
              <w:rPr>
                <w:rFonts w:eastAsia="Calibri" w:cs="Arial"/>
                <w:b/>
                <w:sz w:val="20"/>
                <w:szCs w:val="20"/>
                <w:lang w:val="es-US"/>
              </w:rPr>
            </w:pPr>
            <w:r w:rsidRPr="00F00B48">
              <w:rPr>
                <w:rFonts w:eastAsia="Calibri" w:cs="Times New Roman"/>
                <w:b/>
                <w:lang w:val="es-US"/>
              </w:rPr>
              <w:t>60.44</w:t>
            </w:r>
          </w:p>
        </w:tc>
      </w:tr>
    </w:tbl>
    <w:p w14:paraId="519EB95C" w14:textId="77777777" w:rsidR="00F00B48" w:rsidRPr="00F00B48" w:rsidRDefault="00F00B48" w:rsidP="00F00B48">
      <w:pPr>
        <w:spacing w:after="160" w:line="259" w:lineRule="auto"/>
        <w:rPr>
          <w:rFonts w:eastAsia="Calibri" w:cs="Arial"/>
          <w:sz w:val="20"/>
          <w:szCs w:val="20"/>
          <w:lang w:val="es-US"/>
        </w:rPr>
      </w:pPr>
    </w:p>
    <w:p w14:paraId="5139F0D6" w14:textId="77777777" w:rsidR="00F00B48" w:rsidRPr="00F00B48" w:rsidRDefault="00F00B48" w:rsidP="00F00B48">
      <w:pPr>
        <w:spacing w:after="160" w:line="259" w:lineRule="auto"/>
        <w:rPr>
          <w:rFonts w:eastAsia="Calibri" w:cs="Arial"/>
          <w:lang w:val="es-US"/>
        </w:rPr>
      </w:pPr>
      <w:r w:rsidRPr="00F00B48">
        <w:rPr>
          <w:rFonts w:eastAsia="Calibri" w:cs="Arial"/>
          <w:lang w:val="es-US"/>
        </w:rPr>
        <w:t>Para un día laborable se definen los costos marginales</w:t>
      </w:r>
      <w:r>
        <w:rPr>
          <w:rFonts w:eastAsia="Calibri" w:cs="Arial"/>
          <w:lang w:val="es-US"/>
        </w:rPr>
        <w:t xml:space="preserve"> por estación</w:t>
      </w:r>
      <w:r w:rsidRPr="00F00B48">
        <w:rPr>
          <w:rFonts w:eastAsia="Calibri" w:cs="Arial"/>
          <w:lang w:val="es-US"/>
        </w:rPr>
        <w:t xml:space="preserve"> en el Cuadro E-2.</w:t>
      </w:r>
    </w:p>
    <w:tbl>
      <w:tblPr>
        <w:tblStyle w:val="TableGrid1"/>
        <w:tblW w:w="8550" w:type="dxa"/>
        <w:tblLook w:val="04A0" w:firstRow="1" w:lastRow="0" w:firstColumn="1" w:lastColumn="0" w:noHBand="0" w:noVBand="1"/>
      </w:tblPr>
      <w:tblGrid>
        <w:gridCol w:w="1710"/>
        <w:gridCol w:w="3697"/>
        <w:gridCol w:w="1066"/>
        <w:gridCol w:w="1048"/>
        <w:gridCol w:w="1029"/>
      </w:tblGrid>
      <w:tr w:rsidR="00F00B48" w:rsidRPr="001A164B" w14:paraId="441D7C9E" w14:textId="77777777" w:rsidTr="00C6301E">
        <w:trPr>
          <w:trHeight w:val="270"/>
        </w:trPr>
        <w:tc>
          <w:tcPr>
            <w:tcW w:w="8550" w:type="dxa"/>
            <w:gridSpan w:val="5"/>
            <w:tcBorders>
              <w:top w:val="nil"/>
              <w:left w:val="nil"/>
              <w:right w:val="nil"/>
            </w:tcBorders>
            <w:shd w:val="clear" w:color="auto" w:fill="auto"/>
          </w:tcPr>
          <w:p w14:paraId="36D92998" w14:textId="77777777" w:rsidR="00F00B48" w:rsidRPr="00F00B48" w:rsidRDefault="00F00B48" w:rsidP="00F00B48">
            <w:pPr>
              <w:rPr>
                <w:rFonts w:eastAsia="Calibri" w:cs="Arial"/>
                <w:b/>
                <w:sz w:val="20"/>
                <w:szCs w:val="20"/>
                <w:lang w:val="es-US"/>
              </w:rPr>
            </w:pPr>
            <w:r w:rsidRPr="00F00B48">
              <w:rPr>
                <w:rFonts w:eastAsia="Calibri" w:cs="Arial"/>
                <w:b/>
                <w:sz w:val="20"/>
                <w:szCs w:val="20"/>
                <w:lang w:val="es-US"/>
              </w:rPr>
              <w:t>Cuadro E-2 – CMCP para un día laborable</w:t>
            </w:r>
          </w:p>
        </w:tc>
      </w:tr>
      <w:tr w:rsidR="00F00B48" w:rsidRPr="00F00B48" w14:paraId="5535BC3F" w14:textId="77777777" w:rsidTr="00F00B48">
        <w:trPr>
          <w:trHeight w:val="270"/>
        </w:trPr>
        <w:tc>
          <w:tcPr>
            <w:tcW w:w="1710" w:type="dxa"/>
            <w:shd w:val="clear" w:color="auto" w:fill="E2EFD9"/>
          </w:tcPr>
          <w:p w14:paraId="3A428F6B" w14:textId="77777777" w:rsidR="00F00B48" w:rsidRPr="00F00B48" w:rsidRDefault="00F00B48" w:rsidP="00F00B48">
            <w:pPr>
              <w:rPr>
                <w:b/>
              </w:rPr>
            </w:pPr>
            <w:bookmarkStart w:id="71" w:name="_Hlk513367053"/>
            <w:proofErr w:type="spellStart"/>
            <w:r w:rsidRPr="00F00B48">
              <w:rPr>
                <w:b/>
              </w:rPr>
              <w:t>Bloque</w:t>
            </w:r>
            <w:proofErr w:type="spellEnd"/>
            <w:r w:rsidRPr="00F00B48">
              <w:rPr>
                <w:b/>
              </w:rPr>
              <w:t xml:space="preserve"> </w:t>
            </w:r>
            <w:proofErr w:type="spellStart"/>
            <w:r w:rsidRPr="00F00B48">
              <w:rPr>
                <w:b/>
              </w:rPr>
              <w:t>Horario</w:t>
            </w:r>
            <w:proofErr w:type="spellEnd"/>
          </w:p>
        </w:tc>
        <w:tc>
          <w:tcPr>
            <w:tcW w:w="3697" w:type="dxa"/>
            <w:shd w:val="clear" w:color="auto" w:fill="E2EFD9"/>
          </w:tcPr>
          <w:p w14:paraId="2684C36E" w14:textId="77777777" w:rsidR="00F00B48" w:rsidRPr="00F00B48" w:rsidRDefault="00F00B48" w:rsidP="00F00B48">
            <w:pPr>
              <w:jc w:val="center"/>
              <w:rPr>
                <w:b/>
              </w:rPr>
            </w:pPr>
            <w:r w:rsidRPr="00F00B48">
              <w:rPr>
                <w:b/>
              </w:rPr>
              <w:t xml:space="preserve">Horas </w:t>
            </w:r>
            <w:proofErr w:type="spellStart"/>
            <w:r w:rsidRPr="00F00B48">
              <w:rPr>
                <w:b/>
              </w:rPr>
              <w:t>Comprendidas</w:t>
            </w:r>
            <w:proofErr w:type="spellEnd"/>
          </w:p>
        </w:tc>
        <w:tc>
          <w:tcPr>
            <w:tcW w:w="1066" w:type="dxa"/>
            <w:shd w:val="clear" w:color="auto" w:fill="E2EFD9"/>
          </w:tcPr>
          <w:p w14:paraId="4E4A1858"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Seca</w:t>
            </w:r>
          </w:p>
        </w:tc>
        <w:tc>
          <w:tcPr>
            <w:tcW w:w="1048" w:type="dxa"/>
            <w:shd w:val="clear" w:color="auto" w:fill="E2EFD9"/>
          </w:tcPr>
          <w:p w14:paraId="0B94C974"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Lluviosa</w:t>
            </w:r>
          </w:p>
        </w:tc>
        <w:tc>
          <w:tcPr>
            <w:tcW w:w="1029" w:type="dxa"/>
            <w:shd w:val="clear" w:color="auto" w:fill="E2EFD9"/>
          </w:tcPr>
          <w:p w14:paraId="660126AE"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Promedio</w:t>
            </w:r>
          </w:p>
        </w:tc>
      </w:tr>
      <w:bookmarkEnd w:id="71"/>
      <w:tr w:rsidR="00F00B48" w:rsidRPr="00F00B48" w14:paraId="611CBEDB" w14:textId="77777777" w:rsidTr="00F00B48">
        <w:tc>
          <w:tcPr>
            <w:tcW w:w="1710" w:type="dxa"/>
          </w:tcPr>
          <w:p w14:paraId="0983B154"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Punta</w:t>
            </w:r>
          </w:p>
        </w:tc>
        <w:tc>
          <w:tcPr>
            <w:tcW w:w="3697" w:type="dxa"/>
          </w:tcPr>
          <w:p w14:paraId="1C36A155"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11am – 1pm; y 6 pm – 8 pm</w:t>
            </w:r>
          </w:p>
        </w:tc>
        <w:tc>
          <w:tcPr>
            <w:tcW w:w="1066" w:type="dxa"/>
          </w:tcPr>
          <w:p w14:paraId="76D80E18"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67,57</w:t>
            </w:r>
          </w:p>
        </w:tc>
        <w:tc>
          <w:tcPr>
            <w:tcW w:w="1048" w:type="dxa"/>
          </w:tcPr>
          <w:p w14:paraId="59A1B537"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67,87</w:t>
            </w:r>
          </w:p>
        </w:tc>
        <w:tc>
          <w:tcPr>
            <w:tcW w:w="1029" w:type="dxa"/>
          </w:tcPr>
          <w:p w14:paraId="2BB1DA9F"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67,72</w:t>
            </w:r>
          </w:p>
        </w:tc>
      </w:tr>
      <w:tr w:rsidR="00F00B48" w:rsidRPr="00F00B48" w14:paraId="542E64AD" w14:textId="77777777" w:rsidTr="00F00B48">
        <w:tc>
          <w:tcPr>
            <w:tcW w:w="1710" w:type="dxa"/>
          </w:tcPr>
          <w:p w14:paraId="26D2C122"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Semivalle</w:t>
            </w:r>
          </w:p>
        </w:tc>
        <w:tc>
          <w:tcPr>
            <w:tcW w:w="3697" w:type="dxa"/>
          </w:tcPr>
          <w:p w14:paraId="7E480C91" w14:textId="77777777" w:rsidR="00F00B48" w:rsidRPr="00F00B48" w:rsidRDefault="00F00B48" w:rsidP="00F00B48">
            <w:pPr>
              <w:ind w:right="-105"/>
              <w:rPr>
                <w:rFonts w:eastAsia="Calibri" w:cs="Arial"/>
                <w:sz w:val="20"/>
                <w:szCs w:val="20"/>
              </w:rPr>
            </w:pPr>
            <w:r w:rsidRPr="00F00B48">
              <w:rPr>
                <w:rFonts w:eastAsia="Calibri" w:cs="Arial"/>
                <w:sz w:val="20"/>
                <w:szCs w:val="20"/>
              </w:rPr>
              <w:t>8am – 11am; 1pm – 6pm;  y 8pm -10pm</w:t>
            </w:r>
          </w:p>
        </w:tc>
        <w:tc>
          <w:tcPr>
            <w:tcW w:w="1066" w:type="dxa"/>
          </w:tcPr>
          <w:p w14:paraId="2D170100"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58,99</w:t>
            </w:r>
          </w:p>
        </w:tc>
        <w:tc>
          <w:tcPr>
            <w:tcW w:w="1048" w:type="dxa"/>
          </w:tcPr>
          <w:p w14:paraId="668E2D3F"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59,41</w:t>
            </w:r>
          </w:p>
        </w:tc>
        <w:tc>
          <w:tcPr>
            <w:tcW w:w="1029" w:type="dxa"/>
          </w:tcPr>
          <w:p w14:paraId="776AB854"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59,21</w:t>
            </w:r>
          </w:p>
        </w:tc>
      </w:tr>
      <w:tr w:rsidR="00F00B48" w:rsidRPr="00F00B48" w14:paraId="1F73066D" w14:textId="77777777" w:rsidTr="00F00B48">
        <w:tc>
          <w:tcPr>
            <w:tcW w:w="1710" w:type="dxa"/>
          </w:tcPr>
          <w:p w14:paraId="12D92BEC"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Valle</w:t>
            </w:r>
          </w:p>
        </w:tc>
        <w:tc>
          <w:tcPr>
            <w:tcW w:w="3697" w:type="dxa"/>
          </w:tcPr>
          <w:p w14:paraId="3076C5DE"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0m – 8am; y 10pm – 12pm</w:t>
            </w:r>
          </w:p>
        </w:tc>
        <w:tc>
          <w:tcPr>
            <w:tcW w:w="1066" w:type="dxa"/>
          </w:tcPr>
          <w:p w14:paraId="579193EA"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57,80</w:t>
            </w:r>
          </w:p>
        </w:tc>
        <w:tc>
          <w:tcPr>
            <w:tcW w:w="1048" w:type="dxa"/>
          </w:tcPr>
          <w:p w14:paraId="06E44FAD"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57,71</w:t>
            </w:r>
          </w:p>
        </w:tc>
        <w:tc>
          <w:tcPr>
            <w:tcW w:w="1029" w:type="dxa"/>
          </w:tcPr>
          <w:p w14:paraId="7FD16740"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57,76</w:t>
            </w:r>
          </w:p>
        </w:tc>
      </w:tr>
      <w:tr w:rsidR="00F00B48" w:rsidRPr="00F00B48" w14:paraId="0CA64471" w14:textId="77777777" w:rsidTr="00F00B48">
        <w:trPr>
          <w:trHeight w:val="278"/>
        </w:trPr>
        <w:tc>
          <w:tcPr>
            <w:tcW w:w="5407" w:type="dxa"/>
            <w:gridSpan w:val="2"/>
          </w:tcPr>
          <w:p w14:paraId="1ACA46F6"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Promedio</w:t>
            </w:r>
          </w:p>
        </w:tc>
        <w:tc>
          <w:tcPr>
            <w:tcW w:w="1066" w:type="dxa"/>
          </w:tcPr>
          <w:p w14:paraId="5D110A28"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60,35</w:t>
            </w:r>
          </w:p>
        </w:tc>
        <w:tc>
          <w:tcPr>
            <w:tcW w:w="1048" w:type="dxa"/>
          </w:tcPr>
          <w:p w14:paraId="71BF829C"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60,53</w:t>
            </w:r>
          </w:p>
        </w:tc>
        <w:tc>
          <w:tcPr>
            <w:tcW w:w="1029" w:type="dxa"/>
          </w:tcPr>
          <w:p w14:paraId="5B0291F5" w14:textId="77777777" w:rsidR="00F00B48" w:rsidRPr="00F00B48" w:rsidRDefault="00F00B48" w:rsidP="00F00B48">
            <w:pPr>
              <w:rPr>
                <w:rFonts w:eastAsia="Calibri" w:cs="Arial"/>
                <w:b/>
                <w:sz w:val="20"/>
                <w:szCs w:val="20"/>
                <w:lang w:val="es-US"/>
              </w:rPr>
            </w:pPr>
            <w:r w:rsidRPr="00F00B48">
              <w:rPr>
                <w:rFonts w:eastAsia="Calibri" w:cs="Arial"/>
                <w:b/>
                <w:sz w:val="20"/>
                <w:szCs w:val="20"/>
                <w:lang w:val="es-US"/>
              </w:rPr>
              <w:t>60.44</w:t>
            </w:r>
          </w:p>
        </w:tc>
      </w:tr>
    </w:tbl>
    <w:p w14:paraId="619C4DC2" w14:textId="77777777" w:rsidR="00F00B48" w:rsidRPr="00F00B48" w:rsidRDefault="00F00B48" w:rsidP="00F00B48">
      <w:pPr>
        <w:spacing w:after="160" w:line="259" w:lineRule="auto"/>
        <w:jc w:val="center"/>
        <w:rPr>
          <w:rFonts w:eastAsia="Calibri" w:cs="Arial"/>
          <w:sz w:val="20"/>
          <w:szCs w:val="20"/>
          <w:lang w:val="es-US"/>
        </w:rPr>
      </w:pPr>
    </w:p>
    <w:p w14:paraId="445FF9D9" w14:textId="77777777" w:rsidR="00F00B48" w:rsidRPr="00F00B48" w:rsidRDefault="00F00B48" w:rsidP="00F00B48">
      <w:pPr>
        <w:spacing w:after="160" w:line="259" w:lineRule="auto"/>
        <w:jc w:val="both"/>
        <w:rPr>
          <w:rFonts w:eastAsia="Calibri" w:cs="Arial"/>
          <w:lang w:val="es-US"/>
        </w:rPr>
      </w:pPr>
      <w:r w:rsidRPr="00F00B48">
        <w:rPr>
          <w:rFonts w:eastAsia="Calibri" w:cs="Arial"/>
          <w:lang w:val="es-US"/>
        </w:rPr>
        <w:t>Para un sábado se definen dos escalones que corresponden a semivalle y valle</w:t>
      </w:r>
      <w:r>
        <w:rPr>
          <w:rFonts w:eastAsia="Calibri" w:cs="Arial"/>
          <w:lang w:val="es-US"/>
        </w:rPr>
        <w:t xml:space="preserve"> por estación</w:t>
      </w:r>
      <w:r w:rsidRPr="00F00B48">
        <w:rPr>
          <w:rFonts w:eastAsia="Calibri" w:cs="Arial"/>
          <w:lang w:val="es-US"/>
        </w:rPr>
        <w:t xml:space="preserve"> (Cuadro E-3).</w:t>
      </w:r>
    </w:p>
    <w:tbl>
      <w:tblPr>
        <w:tblStyle w:val="TableGrid1"/>
        <w:tblW w:w="8550" w:type="dxa"/>
        <w:tblInd w:w="-5" w:type="dxa"/>
        <w:tblLook w:val="04A0" w:firstRow="1" w:lastRow="0" w:firstColumn="1" w:lastColumn="0" w:noHBand="0" w:noVBand="1"/>
      </w:tblPr>
      <w:tblGrid>
        <w:gridCol w:w="1625"/>
        <w:gridCol w:w="3741"/>
        <w:gridCol w:w="1061"/>
        <w:gridCol w:w="1047"/>
        <w:gridCol w:w="1076"/>
      </w:tblGrid>
      <w:tr w:rsidR="00F00B48" w:rsidRPr="006B3386" w14:paraId="0538BC84" w14:textId="77777777" w:rsidTr="00C6301E">
        <w:trPr>
          <w:trHeight w:val="270"/>
        </w:trPr>
        <w:tc>
          <w:tcPr>
            <w:tcW w:w="8550" w:type="dxa"/>
            <w:gridSpan w:val="5"/>
            <w:tcBorders>
              <w:top w:val="nil"/>
              <w:left w:val="nil"/>
              <w:right w:val="nil"/>
            </w:tcBorders>
            <w:shd w:val="clear" w:color="auto" w:fill="auto"/>
          </w:tcPr>
          <w:p w14:paraId="3100C2AA" w14:textId="77777777" w:rsidR="00F00B48" w:rsidRPr="00F00B48" w:rsidRDefault="00F00B48" w:rsidP="00F00B48">
            <w:pPr>
              <w:rPr>
                <w:rFonts w:eastAsia="Calibri" w:cs="Arial"/>
                <w:b/>
                <w:sz w:val="20"/>
                <w:szCs w:val="20"/>
                <w:lang w:val="es-US"/>
              </w:rPr>
            </w:pPr>
            <w:r w:rsidRPr="00F00B48">
              <w:rPr>
                <w:rFonts w:eastAsia="Calibri" w:cs="Arial"/>
                <w:b/>
                <w:sz w:val="20"/>
                <w:szCs w:val="20"/>
                <w:lang w:val="es-US"/>
              </w:rPr>
              <w:t xml:space="preserve">Cuadro E-3 – CMCP para un sábado </w:t>
            </w:r>
            <w:r>
              <w:rPr>
                <w:rFonts w:eastAsia="Calibri" w:cs="Arial"/>
                <w:b/>
                <w:sz w:val="20"/>
                <w:szCs w:val="20"/>
                <w:lang w:val="es-US"/>
              </w:rPr>
              <w:t>-</w:t>
            </w:r>
            <w:r w:rsidRPr="00F00B48">
              <w:rPr>
                <w:rFonts w:eastAsia="Calibri" w:cs="Arial"/>
                <w:b/>
                <w:sz w:val="20"/>
                <w:szCs w:val="20"/>
                <w:lang w:val="es-US"/>
              </w:rPr>
              <w:t xml:space="preserve"> US$/MWh</w:t>
            </w:r>
          </w:p>
        </w:tc>
      </w:tr>
      <w:tr w:rsidR="00F00B48" w:rsidRPr="00F00B48" w14:paraId="76B9B02C" w14:textId="77777777" w:rsidTr="00F00B48">
        <w:trPr>
          <w:trHeight w:val="270"/>
        </w:trPr>
        <w:tc>
          <w:tcPr>
            <w:tcW w:w="1625" w:type="dxa"/>
            <w:shd w:val="clear" w:color="auto" w:fill="E2EFD9"/>
          </w:tcPr>
          <w:p w14:paraId="6CA4D5BD" w14:textId="77777777" w:rsidR="00F00B48" w:rsidRPr="00F00B48" w:rsidRDefault="00F00B48" w:rsidP="00F00B48">
            <w:pPr>
              <w:rPr>
                <w:b/>
              </w:rPr>
            </w:pPr>
            <w:bookmarkStart w:id="72" w:name="_Hlk513370775"/>
            <w:proofErr w:type="spellStart"/>
            <w:r w:rsidRPr="00F00B48">
              <w:rPr>
                <w:b/>
              </w:rPr>
              <w:t>Bloque</w:t>
            </w:r>
            <w:proofErr w:type="spellEnd"/>
            <w:r w:rsidRPr="00F00B48">
              <w:rPr>
                <w:b/>
              </w:rPr>
              <w:t xml:space="preserve"> </w:t>
            </w:r>
            <w:proofErr w:type="spellStart"/>
            <w:r w:rsidRPr="00F00B48">
              <w:rPr>
                <w:b/>
              </w:rPr>
              <w:t>Horario</w:t>
            </w:r>
            <w:proofErr w:type="spellEnd"/>
          </w:p>
        </w:tc>
        <w:tc>
          <w:tcPr>
            <w:tcW w:w="3741" w:type="dxa"/>
            <w:shd w:val="clear" w:color="auto" w:fill="E2EFD9"/>
          </w:tcPr>
          <w:p w14:paraId="0AA89FEF" w14:textId="77777777" w:rsidR="00F00B48" w:rsidRPr="00F00B48" w:rsidRDefault="00F00B48" w:rsidP="00F00B48">
            <w:pPr>
              <w:jc w:val="center"/>
              <w:rPr>
                <w:b/>
              </w:rPr>
            </w:pPr>
            <w:r w:rsidRPr="00F00B48">
              <w:rPr>
                <w:b/>
              </w:rPr>
              <w:t xml:space="preserve">Horas </w:t>
            </w:r>
            <w:proofErr w:type="spellStart"/>
            <w:r w:rsidRPr="00F00B48">
              <w:rPr>
                <w:b/>
              </w:rPr>
              <w:t>Comprendidas</w:t>
            </w:r>
            <w:proofErr w:type="spellEnd"/>
          </w:p>
        </w:tc>
        <w:tc>
          <w:tcPr>
            <w:tcW w:w="1061" w:type="dxa"/>
            <w:shd w:val="clear" w:color="auto" w:fill="E2EFD9"/>
          </w:tcPr>
          <w:p w14:paraId="020C5970"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Seca</w:t>
            </w:r>
          </w:p>
        </w:tc>
        <w:tc>
          <w:tcPr>
            <w:tcW w:w="1047" w:type="dxa"/>
            <w:shd w:val="clear" w:color="auto" w:fill="E2EFD9"/>
          </w:tcPr>
          <w:p w14:paraId="2ECFC759"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Lluviosa</w:t>
            </w:r>
          </w:p>
        </w:tc>
        <w:tc>
          <w:tcPr>
            <w:tcW w:w="1076" w:type="dxa"/>
            <w:shd w:val="clear" w:color="auto" w:fill="E2EFD9"/>
          </w:tcPr>
          <w:p w14:paraId="741F7ADF"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Promedio</w:t>
            </w:r>
          </w:p>
        </w:tc>
      </w:tr>
      <w:bookmarkEnd w:id="72"/>
      <w:tr w:rsidR="00F00B48" w:rsidRPr="00F00B48" w14:paraId="763591E2" w14:textId="77777777" w:rsidTr="00F00B48">
        <w:tc>
          <w:tcPr>
            <w:tcW w:w="1625" w:type="dxa"/>
          </w:tcPr>
          <w:p w14:paraId="4CA88F3B" w14:textId="77777777" w:rsidR="00F00B48" w:rsidRPr="00F00B48" w:rsidRDefault="00F00B48" w:rsidP="00F00B48">
            <w:pPr>
              <w:rPr>
                <w:rFonts w:eastAsia="Calibri" w:cs="Arial"/>
                <w:sz w:val="20"/>
                <w:szCs w:val="20"/>
                <w:lang w:val="es-US"/>
              </w:rPr>
            </w:pPr>
            <w:r w:rsidRPr="00F00B48">
              <w:rPr>
                <w:rFonts w:eastAsia="Calibri" w:cs="Times New Roman"/>
              </w:rPr>
              <w:t>Semivalle</w:t>
            </w:r>
          </w:p>
        </w:tc>
        <w:tc>
          <w:tcPr>
            <w:tcW w:w="3741" w:type="dxa"/>
          </w:tcPr>
          <w:p w14:paraId="798B9F06"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8 am – 10 am</w:t>
            </w:r>
          </w:p>
        </w:tc>
        <w:tc>
          <w:tcPr>
            <w:tcW w:w="1061" w:type="dxa"/>
          </w:tcPr>
          <w:p w14:paraId="7C60AC27" w14:textId="77777777" w:rsidR="00F00B48" w:rsidRPr="00F00B48" w:rsidRDefault="00F00B48" w:rsidP="00F00B48">
            <w:pPr>
              <w:rPr>
                <w:rFonts w:eastAsia="Calibri" w:cs="Arial"/>
                <w:sz w:val="20"/>
                <w:szCs w:val="20"/>
                <w:lang w:val="es-US"/>
              </w:rPr>
            </w:pPr>
            <w:r w:rsidRPr="00F00B48">
              <w:rPr>
                <w:rFonts w:eastAsia="Calibri" w:cs="Times New Roman"/>
              </w:rPr>
              <w:t>58,99</w:t>
            </w:r>
          </w:p>
        </w:tc>
        <w:tc>
          <w:tcPr>
            <w:tcW w:w="1047" w:type="dxa"/>
          </w:tcPr>
          <w:p w14:paraId="23B9417E" w14:textId="77777777" w:rsidR="00F00B48" w:rsidRPr="00F00B48" w:rsidRDefault="00F00B48" w:rsidP="00F00B48">
            <w:pPr>
              <w:rPr>
                <w:rFonts w:eastAsia="Calibri" w:cs="Arial"/>
                <w:sz w:val="20"/>
                <w:szCs w:val="20"/>
                <w:lang w:val="es-US"/>
              </w:rPr>
            </w:pPr>
            <w:r w:rsidRPr="00F00B48">
              <w:rPr>
                <w:rFonts w:eastAsia="Calibri" w:cs="Times New Roman"/>
              </w:rPr>
              <w:t>59,41</w:t>
            </w:r>
          </w:p>
        </w:tc>
        <w:tc>
          <w:tcPr>
            <w:tcW w:w="1076" w:type="dxa"/>
          </w:tcPr>
          <w:p w14:paraId="151232DA" w14:textId="77777777" w:rsidR="00F00B48" w:rsidRPr="00F00B48" w:rsidRDefault="00F00B48" w:rsidP="00F00B48">
            <w:pPr>
              <w:rPr>
                <w:rFonts w:eastAsia="Calibri" w:cs="Arial"/>
                <w:sz w:val="20"/>
                <w:szCs w:val="20"/>
                <w:lang w:val="es-US"/>
              </w:rPr>
            </w:pPr>
            <w:r w:rsidRPr="00F00B48">
              <w:rPr>
                <w:rFonts w:eastAsia="Calibri" w:cs="Times New Roman"/>
              </w:rPr>
              <w:t>59,21</w:t>
            </w:r>
          </w:p>
        </w:tc>
      </w:tr>
      <w:tr w:rsidR="00F00B48" w:rsidRPr="00F00B48" w14:paraId="25DDB66B" w14:textId="77777777" w:rsidTr="00F00B48">
        <w:tc>
          <w:tcPr>
            <w:tcW w:w="1625" w:type="dxa"/>
          </w:tcPr>
          <w:p w14:paraId="002A9041" w14:textId="77777777" w:rsidR="00F00B48" w:rsidRPr="00F00B48" w:rsidRDefault="00F00B48" w:rsidP="00F00B48">
            <w:pPr>
              <w:rPr>
                <w:rFonts w:eastAsia="Calibri" w:cs="Arial"/>
                <w:sz w:val="20"/>
                <w:szCs w:val="20"/>
                <w:lang w:val="es-US"/>
              </w:rPr>
            </w:pPr>
            <w:r w:rsidRPr="00F00B48">
              <w:rPr>
                <w:rFonts w:eastAsia="Calibri" w:cs="Times New Roman"/>
              </w:rPr>
              <w:t>Valle</w:t>
            </w:r>
          </w:p>
        </w:tc>
        <w:tc>
          <w:tcPr>
            <w:tcW w:w="3741" w:type="dxa"/>
          </w:tcPr>
          <w:p w14:paraId="7BECB88B"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0 am – 8 am; y 10 pm – 12 pm</w:t>
            </w:r>
          </w:p>
        </w:tc>
        <w:tc>
          <w:tcPr>
            <w:tcW w:w="1061" w:type="dxa"/>
          </w:tcPr>
          <w:p w14:paraId="4370AFC6" w14:textId="77777777" w:rsidR="00F00B48" w:rsidRPr="00F00B48" w:rsidRDefault="00F00B48" w:rsidP="00F00B48">
            <w:pPr>
              <w:rPr>
                <w:rFonts w:eastAsia="Calibri" w:cs="Arial"/>
                <w:sz w:val="20"/>
                <w:szCs w:val="20"/>
                <w:lang w:val="es-US"/>
              </w:rPr>
            </w:pPr>
            <w:r w:rsidRPr="00F00B48">
              <w:rPr>
                <w:rFonts w:eastAsia="Calibri" w:cs="Times New Roman"/>
              </w:rPr>
              <w:t>57,80</w:t>
            </w:r>
          </w:p>
        </w:tc>
        <w:tc>
          <w:tcPr>
            <w:tcW w:w="1047" w:type="dxa"/>
          </w:tcPr>
          <w:p w14:paraId="551409C8" w14:textId="77777777" w:rsidR="00F00B48" w:rsidRPr="00F00B48" w:rsidRDefault="00F00B48" w:rsidP="00F00B48">
            <w:pPr>
              <w:rPr>
                <w:rFonts w:eastAsia="Calibri" w:cs="Arial"/>
                <w:sz w:val="20"/>
                <w:szCs w:val="20"/>
                <w:lang w:val="es-US"/>
              </w:rPr>
            </w:pPr>
            <w:r w:rsidRPr="00F00B48">
              <w:rPr>
                <w:rFonts w:eastAsia="Calibri" w:cs="Times New Roman"/>
              </w:rPr>
              <w:t>57,71</w:t>
            </w:r>
          </w:p>
        </w:tc>
        <w:tc>
          <w:tcPr>
            <w:tcW w:w="1076" w:type="dxa"/>
          </w:tcPr>
          <w:p w14:paraId="7CC8291A" w14:textId="77777777" w:rsidR="00F00B48" w:rsidRPr="00F00B48" w:rsidRDefault="00F00B48" w:rsidP="00F00B48">
            <w:pPr>
              <w:rPr>
                <w:rFonts w:eastAsia="Calibri" w:cs="Arial"/>
                <w:sz w:val="20"/>
                <w:szCs w:val="20"/>
                <w:lang w:val="es-US"/>
              </w:rPr>
            </w:pPr>
            <w:r w:rsidRPr="00F00B48">
              <w:rPr>
                <w:rFonts w:eastAsia="Calibri" w:cs="Times New Roman"/>
              </w:rPr>
              <w:t>57,76</w:t>
            </w:r>
          </w:p>
        </w:tc>
      </w:tr>
    </w:tbl>
    <w:p w14:paraId="45ABF6F8" w14:textId="77777777" w:rsidR="00F00B48" w:rsidRPr="00F00B48" w:rsidRDefault="00F00B48" w:rsidP="00F00B48">
      <w:pPr>
        <w:spacing w:after="160" w:line="259" w:lineRule="auto"/>
        <w:jc w:val="center"/>
        <w:rPr>
          <w:rFonts w:eastAsia="Calibri" w:cs="Arial"/>
          <w:sz w:val="20"/>
          <w:szCs w:val="20"/>
          <w:lang w:val="es-US"/>
        </w:rPr>
      </w:pPr>
    </w:p>
    <w:p w14:paraId="712E6899" w14:textId="77777777" w:rsidR="00F00B48" w:rsidRPr="00F00B48" w:rsidRDefault="00F00B48" w:rsidP="00F00B48">
      <w:pPr>
        <w:spacing w:after="160" w:line="259" w:lineRule="auto"/>
        <w:rPr>
          <w:rFonts w:eastAsia="Calibri" w:cs="Arial"/>
          <w:lang w:val="es-US"/>
        </w:rPr>
      </w:pPr>
      <w:r w:rsidRPr="00F00B48">
        <w:rPr>
          <w:rFonts w:eastAsia="Calibri" w:cs="Arial"/>
          <w:lang w:val="es-US"/>
        </w:rPr>
        <w:t>Para los domingos y días feriados se definen dos escalones que corresponden al semivalle y valle</w:t>
      </w:r>
      <w:r>
        <w:rPr>
          <w:rFonts w:eastAsia="Calibri" w:cs="Arial"/>
          <w:lang w:val="es-US"/>
        </w:rPr>
        <w:t xml:space="preserve"> por estación</w:t>
      </w:r>
      <w:r w:rsidRPr="00F00B48">
        <w:rPr>
          <w:rFonts w:eastAsia="Calibri" w:cs="Arial"/>
          <w:lang w:val="es-US"/>
        </w:rPr>
        <w:t xml:space="preserve"> (Cuadro E-4).</w:t>
      </w:r>
    </w:p>
    <w:tbl>
      <w:tblPr>
        <w:tblStyle w:val="TableGrid1"/>
        <w:tblW w:w="8550" w:type="dxa"/>
        <w:tblInd w:w="-5" w:type="dxa"/>
        <w:tblLook w:val="04A0" w:firstRow="1" w:lastRow="0" w:firstColumn="1" w:lastColumn="0" w:noHBand="0" w:noVBand="1"/>
      </w:tblPr>
      <w:tblGrid>
        <w:gridCol w:w="1625"/>
        <w:gridCol w:w="3741"/>
        <w:gridCol w:w="1061"/>
        <w:gridCol w:w="1047"/>
        <w:gridCol w:w="1076"/>
      </w:tblGrid>
      <w:tr w:rsidR="00F00B48" w:rsidRPr="006B3386" w14:paraId="0458B4E0" w14:textId="77777777" w:rsidTr="00C6301E">
        <w:trPr>
          <w:trHeight w:val="270"/>
        </w:trPr>
        <w:tc>
          <w:tcPr>
            <w:tcW w:w="8550" w:type="dxa"/>
            <w:gridSpan w:val="5"/>
            <w:tcBorders>
              <w:top w:val="nil"/>
              <w:left w:val="nil"/>
              <w:right w:val="nil"/>
            </w:tcBorders>
            <w:shd w:val="clear" w:color="auto" w:fill="auto"/>
          </w:tcPr>
          <w:p w14:paraId="1C6FB3FD" w14:textId="77777777" w:rsidR="00F00B48" w:rsidRPr="00F00B48" w:rsidRDefault="00F00B48" w:rsidP="00F00B48">
            <w:pPr>
              <w:rPr>
                <w:rFonts w:eastAsia="Calibri" w:cs="Arial"/>
                <w:b/>
                <w:sz w:val="20"/>
                <w:szCs w:val="20"/>
                <w:lang w:val="es-US"/>
              </w:rPr>
            </w:pPr>
            <w:r w:rsidRPr="00F00B48">
              <w:rPr>
                <w:rFonts w:eastAsia="Calibri" w:cs="Arial"/>
                <w:b/>
                <w:sz w:val="20"/>
                <w:szCs w:val="20"/>
                <w:lang w:val="es-US"/>
              </w:rPr>
              <w:t>Cuadro E-4 – CMCP para domingo y feriados</w:t>
            </w:r>
          </w:p>
        </w:tc>
      </w:tr>
      <w:tr w:rsidR="00F00B48" w:rsidRPr="00F00B48" w14:paraId="2F4FA7E5" w14:textId="77777777" w:rsidTr="00F00B48">
        <w:trPr>
          <w:trHeight w:val="270"/>
        </w:trPr>
        <w:tc>
          <w:tcPr>
            <w:tcW w:w="1625" w:type="dxa"/>
            <w:shd w:val="clear" w:color="auto" w:fill="E2EFD9"/>
          </w:tcPr>
          <w:p w14:paraId="5A1F9F2F" w14:textId="77777777" w:rsidR="00F00B48" w:rsidRPr="00F00B48" w:rsidRDefault="00F00B48" w:rsidP="00F00B48">
            <w:pPr>
              <w:rPr>
                <w:b/>
              </w:rPr>
            </w:pPr>
            <w:proofErr w:type="spellStart"/>
            <w:r w:rsidRPr="00F00B48">
              <w:rPr>
                <w:b/>
              </w:rPr>
              <w:t>Bloque</w:t>
            </w:r>
            <w:proofErr w:type="spellEnd"/>
            <w:r w:rsidRPr="00F00B48">
              <w:rPr>
                <w:b/>
              </w:rPr>
              <w:t xml:space="preserve"> </w:t>
            </w:r>
            <w:proofErr w:type="spellStart"/>
            <w:r w:rsidRPr="00F00B48">
              <w:rPr>
                <w:b/>
              </w:rPr>
              <w:t>Horario</w:t>
            </w:r>
            <w:proofErr w:type="spellEnd"/>
          </w:p>
        </w:tc>
        <w:tc>
          <w:tcPr>
            <w:tcW w:w="3741" w:type="dxa"/>
            <w:shd w:val="clear" w:color="auto" w:fill="E2EFD9"/>
          </w:tcPr>
          <w:p w14:paraId="0A2AB58E" w14:textId="77777777" w:rsidR="00F00B48" w:rsidRPr="00F00B48" w:rsidRDefault="00F00B48" w:rsidP="00F00B48">
            <w:pPr>
              <w:jc w:val="center"/>
              <w:rPr>
                <w:b/>
              </w:rPr>
            </w:pPr>
            <w:r w:rsidRPr="00F00B48">
              <w:rPr>
                <w:b/>
              </w:rPr>
              <w:t xml:space="preserve">Horas </w:t>
            </w:r>
            <w:proofErr w:type="spellStart"/>
            <w:r w:rsidRPr="00F00B48">
              <w:rPr>
                <w:b/>
              </w:rPr>
              <w:t>Comprendidas</w:t>
            </w:r>
            <w:proofErr w:type="spellEnd"/>
          </w:p>
        </w:tc>
        <w:tc>
          <w:tcPr>
            <w:tcW w:w="1061" w:type="dxa"/>
            <w:shd w:val="clear" w:color="auto" w:fill="E2EFD9"/>
          </w:tcPr>
          <w:p w14:paraId="2383B625"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Seca</w:t>
            </w:r>
          </w:p>
        </w:tc>
        <w:tc>
          <w:tcPr>
            <w:tcW w:w="1047" w:type="dxa"/>
            <w:shd w:val="clear" w:color="auto" w:fill="E2EFD9"/>
          </w:tcPr>
          <w:p w14:paraId="0EEF6DB4"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Lluviosa</w:t>
            </w:r>
          </w:p>
        </w:tc>
        <w:tc>
          <w:tcPr>
            <w:tcW w:w="1076" w:type="dxa"/>
            <w:shd w:val="clear" w:color="auto" w:fill="E2EFD9"/>
          </w:tcPr>
          <w:p w14:paraId="12505814" w14:textId="77777777" w:rsidR="00F00B48" w:rsidRPr="00F00B48" w:rsidRDefault="00F00B48" w:rsidP="00F00B48">
            <w:pPr>
              <w:jc w:val="center"/>
              <w:rPr>
                <w:rFonts w:eastAsia="Calibri" w:cs="Arial"/>
                <w:b/>
                <w:sz w:val="20"/>
                <w:szCs w:val="20"/>
                <w:lang w:val="es-US"/>
              </w:rPr>
            </w:pPr>
            <w:r w:rsidRPr="00F00B48">
              <w:rPr>
                <w:rFonts w:eastAsia="Calibri" w:cs="Arial"/>
                <w:b/>
                <w:sz w:val="20"/>
                <w:szCs w:val="20"/>
                <w:lang w:val="es-US"/>
              </w:rPr>
              <w:t>Promedio</w:t>
            </w:r>
          </w:p>
        </w:tc>
      </w:tr>
      <w:tr w:rsidR="00F00B48" w:rsidRPr="00F00B48" w14:paraId="5CF68EEE" w14:textId="77777777" w:rsidTr="00F00B48">
        <w:tc>
          <w:tcPr>
            <w:tcW w:w="1625" w:type="dxa"/>
          </w:tcPr>
          <w:p w14:paraId="1DE8D19D" w14:textId="77777777" w:rsidR="00F00B48" w:rsidRPr="00F00B48" w:rsidRDefault="00F00B48" w:rsidP="00F00B48">
            <w:pPr>
              <w:rPr>
                <w:rFonts w:eastAsia="Calibri" w:cs="Arial"/>
                <w:sz w:val="20"/>
                <w:szCs w:val="20"/>
                <w:lang w:val="es-US"/>
              </w:rPr>
            </w:pPr>
            <w:r w:rsidRPr="00F00B48">
              <w:rPr>
                <w:rFonts w:eastAsia="Calibri" w:cs="Times New Roman"/>
              </w:rPr>
              <w:t>Semivalle</w:t>
            </w:r>
          </w:p>
        </w:tc>
        <w:tc>
          <w:tcPr>
            <w:tcW w:w="3741" w:type="dxa"/>
          </w:tcPr>
          <w:p w14:paraId="07BE2A36"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11am – 1pm; y 6pm – 10pm</w:t>
            </w:r>
          </w:p>
        </w:tc>
        <w:tc>
          <w:tcPr>
            <w:tcW w:w="1061" w:type="dxa"/>
          </w:tcPr>
          <w:p w14:paraId="2566199C" w14:textId="77777777" w:rsidR="00F00B48" w:rsidRPr="00F00B48" w:rsidRDefault="00F00B48" w:rsidP="00F00B48">
            <w:pPr>
              <w:rPr>
                <w:rFonts w:eastAsia="Calibri" w:cs="Arial"/>
                <w:sz w:val="20"/>
                <w:szCs w:val="20"/>
                <w:lang w:val="es-US"/>
              </w:rPr>
            </w:pPr>
            <w:r w:rsidRPr="00F00B48">
              <w:rPr>
                <w:rFonts w:eastAsia="Calibri" w:cs="Times New Roman"/>
              </w:rPr>
              <w:t>58,99</w:t>
            </w:r>
          </w:p>
        </w:tc>
        <w:tc>
          <w:tcPr>
            <w:tcW w:w="1047" w:type="dxa"/>
          </w:tcPr>
          <w:p w14:paraId="58F12DCB" w14:textId="77777777" w:rsidR="00F00B48" w:rsidRPr="00F00B48" w:rsidRDefault="00F00B48" w:rsidP="00F00B48">
            <w:pPr>
              <w:rPr>
                <w:rFonts w:eastAsia="Calibri" w:cs="Arial"/>
                <w:sz w:val="20"/>
                <w:szCs w:val="20"/>
                <w:lang w:val="es-US"/>
              </w:rPr>
            </w:pPr>
            <w:r w:rsidRPr="00F00B48">
              <w:rPr>
                <w:rFonts w:eastAsia="Calibri" w:cs="Times New Roman"/>
              </w:rPr>
              <w:t>59,41</w:t>
            </w:r>
          </w:p>
        </w:tc>
        <w:tc>
          <w:tcPr>
            <w:tcW w:w="1076" w:type="dxa"/>
          </w:tcPr>
          <w:p w14:paraId="3776A076" w14:textId="77777777" w:rsidR="00F00B48" w:rsidRPr="00F00B48" w:rsidRDefault="00F00B48" w:rsidP="00F00B48">
            <w:pPr>
              <w:rPr>
                <w:rFonts w:eastAsia="Calibri" w:cs="Arial"/>
                <w:sz w:val="20"/>
                <w:szCs w:val="20"/>
                <w:lang w:val="es-US"/>
              </w:rPr>
            </w:pPr>
            <w:r w:rsidRPr="00F00B48">
              <w:rPr>
                <w:rFonts w:eastAsia="Calibri" w:cs="Times New Roman"/>
              </w:rPr>
              <w:t>59,21</w:t>
            </w:r>
          </w:p>
        </w:tc>
      </w:tr>
      <w:tr w:rsidR="00F00B48" w:rsidRPr="00F00B48" w14:paraId="2A6FACFE" w14:textId="77777777" w:rsidTr="00F00B48">
        <w:tc>
          <w:tcPr>
            <w:tcW w:w="1625" w:type="dxa"/>
          </w:tcPr>
          <w:p w14:paraId="79D625E9" w14:textId="77777777" w:rsidR="00F00B48" w:rsidRPr="00F00B48" w:rsidRDefault="00F00B48" w:rsidP="00F00B48">
            <w:pPr>
              <w:rPr>
                <w:rFonts w:eastAsia="Calibri" w:cs="Arial"/>
                <w:sz w:val="20"/>
                <w:szCs w:val="20"/>
                <w:lang w:val="es-US"/>
              </w:rPr>
            </w:pPr>
            <w:r w:rsidRPr="00F00B48">
              <w:rPr>
                <w:rFonts w:eastAsia="Calibri" w:cs="Times New Roman"/>
              </w:rPr>
              <w:t>Valle</w:t>
            </w:r>
          </w:p>
        </w:tc>
        <w:tc>
          <w:tcPr>
            <w:tcW w:w="3741" w:type="dxa"/>
          </w:tcPr>
          <w:p w14:paraId="2779599A" w14:textId="77777777" w:rsidR="00F00B48" w:rsidRPr="00F00B48" w:rsidRDefault="00F00B48" w:rsidP="00F00B48">
            <w:pPr>
              <w:rPr>
                <w:rFonts w:eastAsia="Calibri" w:cs="Arial"/>
                <w:sz w:val="20"/>
                <w:szCs w:val="20"/>
              </w:rPr>
            </w:pPr>
            <w:r w:rsidRPr="00F00B48">
              <w:rPr>
                <w:rFonts w:eastAsia="Calibri" w:cs="Arial"/>
                <w:sz w:val="20"/>
                <w:szCs w:val="20"/>
              </w:rPr>
              <w:t>0m – 11am; 1 pm – 6pm;  y 10pm -12pm</w:t>
            </w:r>
          </w:p>
        </w:tc>
        <w:tc>
          <w:tcPr>
            <w:tcW w:w="1061" w:type="dxa"/>
          </w:tcPr>
          <w:p w14:paraId="756F2975" w14:textId="77777777" w:rsidR="00F00B48" w:rsidRPr="00F00B48" w:rsidRDefault="00F00B48" w:rsidP="00F00B48">
            <w:pPr>
              <w:rPr>
                <w:rFonts w:eastAsia="Calibri" w:cs="Arial"/>
                <w:sz w:val="20"/>
                <w:szCs w:val="20"/>
                <w:lang w:val="es-US"/>
              </w:rPr>
            </w:pPr>
            <w:r w:rsidRPr="00F00B48">
              <w:rPr>
                <w:rFonts w:eastAsia="Calibri" w:cs="Times New Roman"/>
              </w:rPr>
              <w:t>57,80</w:t>
            </w:r>
          </w:p>
        </w:tc>
        <w:tc>
          <w:tcPr>
            <w:tcW w:w="1047" w:type="dxa"/>
          </w:tcPr>
          <w:p w14:paraId="44965667" w14:textId="77777777" w:rsidR="00F00B48" w:rsidRPr="00F00B48" w:rsidRDefault="00F00B48" w:rsidP="00F00B48">
            <w:pPr>
              <w:rPr>
                <w:rFonts w:eastAsia="Calibri" w:cs="Arial"/>
                <w:sz w:val="20"/>
                <w:szCs w:val="20"/>
                <w:lang w:val="es-US"/>
              </w:rPr>
            </w:pPr>
            <w:r w:rsidRPr="00F00B48">
              <w:rPr>
                <w:rFonts w:eastAsia="Calibri" w:cs="Times New Roman"/>
              </w:rPr>
              <w:t>57,71</w:t>
            </w:r>
          </w:p>
        </w:tc>
        <w:tc>
          <w:tcPr>
            <w:tcW w:w="1076" w:type="dxa"/>
          </w:tcPr>
          <w:p w14:paraId="567D92A5" w14:textId="77777777" w:rsidR="00F00B48" w:rsidRPr="00F00B48" w:rsidRDefault="00F00B48" w:rsidP="00F00B48">
            <w:pPr>
              <w:rPr>
                <w:rFonts w:eastAsia="Calibri" w:cs="Arial"/>
                <w:sz w:val="20"/>
                <w:szCs w:val="20"/>
                <w:lang w:val="es-US"/>
              </w:rPr>
            </w:pPr>
            <w:r w:rsidRPr="00F00B48">
              <w:rPr>
                <w:rFonts w:eastAsia="Calibri" w:cs="Times New Roman"/>
              </w:rPr>
              <w:t>57,76</w:t>
            </w:r>
          </w:p>
        </w:tc>
      </w:tr>
    </w:tbl>
    <w:p w14:paraId="194C5914" w14:textId="77777777" w:rsidR="00F00B48" w:rsidRPr="00F00B48" w:rsidRDefault="00F00B48" w:rsidP="00F00B48">
      <w:pPr>
        <w:spacing w:after="160" w:line="259" w:lineRule="auto"/>
        <w:jc w:val="center"/>
        <w:rPr>
          <w:rFonts w:eastAsia="Calibri" w:cs="Arial"/>
          <w:lang w:val="es-US"/>
        </w:rPr>
      </w:pPr>
    </w:p>
    <w:p w14:paraId="21020EB6" w14:textId="77777777" w:rsidR="00F00B48" w:rsidRPr="00F00B48" w:rsidRDefault="00F00B48" w:rsidP="00F00B48">
      <w:pPr>
        <w:spacing w:after="160" w:line="259" w:lineRule="auto"/>
        <w:jc w:val="both"/>
        <w:rPr>
          <w:rFonts w:eastAsia="Calibri" w:cs="Arial"/>
          <w:lang w:val="es-US"/>
        </w:rPr>
      </w:pPr>
      <w:r w:rsidRPr="00F00B48">
        <w:rPr>
          <w:rFonts w:eastAsia="Calibri" w:cs="Arial"/>
          <w:lang w:val="es-US"/>
        </w:rPr>
        <w:t>El costo marginal de potencia se presenta en el Cuadro E-5.</w:t>
      </w:r>
    </w:p>
    <w:tbl>
      <w:tblPr>
        <w:tblStyle w:val="TableGrid1"/>
        <w:tblW w:w="0" w:type="auto"/>
        <w:tblLook w:val="04A0" w:firstRow="1" w:lastRow="0" w:firstColumn="1" w:lastColumn="0" w:noHBand="0" w:noVBand="1"/>
      </w:tblPr>
      <w:tblGrid>
        <w:gridCol w:w="4765"/>
        <w:gridCol w:w="1799"/>
        <w:gridCol w:w="1171"/>
      </w:tblGrid>
      <w:tr w:rsidR="00F00B48" w:rsidRPr="00F00B48" w14:paraId="73485021" w14:textId="77777777" w:rsidTr="00B768BA">
        <w:tc>
          <w:tcPr>
            <w:tcW w:w="4765" w:type="dxa"/>
          </w:tcPr>
          <w:p w14:paraId="66FB29AA"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Costo Marginal de Potencia de Corto Plazo</w:t>
            </w:r>
          </w:p>
        </w:tc>
        <w:tc>
          <w:tcPr>
            <w:tcW w:w="1799" w:type="dxa"/>
            <w:tcBorders>
              <w:right w:val="nil"/>
            </w:tcBorders>
          </w:tcPr>
          <w:p w14:paraId="4C7A5EE2"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US$/kW-año</w:t>
            </w:r>
          </w:p>
        </w:tc>
        <w:tc>
          <w:tcPr>
            <w:tcW w:w="1171" w:type="dxa"/>
            <w:tcBorders>
              <w:left w:val="nil"/>
            </w:tcBorders>
          </w:tcPr>
          <w:p w14:paraId="0D96F52C" w14:textId="77777777" w:rsidR="00F00B48" w:rsidRPr="00F00B48" w:rsidRDefault="00F00B48" w:rsidP="00B768BA">
            <w:pPr>
              <w:jc w:val="right"/>
              <w:rPr>
                <w:rFonts w:eastAsia="Calibri" w:cs="Arial"/>
                <w:sz w:val="20"/>
                <w:szCs w:val="20"/>
                <w:lang w:val="es-US"/>
              </w:rPr>
            </w:pPr>
            <w:r w:rsidRPr="00F00B48">
              <w:rPr>
                <w:rFonts w:eastAsia="Calibri" w:cs="Arial"/>
                <w:sz w:val="20"/>
                <w:szCs w:val="20"/>
                <w:lang w:val="es-US"/>
              </w:rPr>
              <w:t>160,69</w:t>
            </w:r>
          </w:p>
        </w:tc>
      </w:tr>
      <w:tr w:rsidR="00F00B48" w:rsidRPr="00F00B48" w14:paraId="61EDD801" w14:textId="77777777" w:rsidTr="00B768BA">
        <w:tc>
          <w:tcPr>
            <w:tcW w:w="4765" w:type="dxa"/>
          </w:tcPr>
          <w:p w14:paraId="3836F634"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Costo Marginal de Potencia de Corto Plazo</w:t>
            </w:r>
            <w:r w:rsidRPr="00F00B48">
              <w:rPr>
                <w:rFonts w:eastAsia="Calibri" w:cs="Arial"/>
                <w:sz w:val="20"/>
                <w:szCs w:val="20"/>
                <w:lang w:val="es-US"/>
              </w:rPr>
              <w:tab/>
            </w:r>
          </w:p>
        </w:tc>
        <w:tc>
          <w:tcPr>
            <w:tcW w:w="1799" w:type="dxa"/>
            <w:tcBorders>
              <w:right w:val="nil"/>
            </w:tcBorders>
          </w:tcPr>
          <w:p w14:paraId="2F8FF83E"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US$/kW-mes</w:t>
            </w:r>
          </w:p>
        </w:tc>
        <w:tc>
          <w:tcPr>
            <w:tcW w:w="1171" w:type="dxa"/>
            <w:tcBorders>
              <w:left w:val="nil"/>
            </w:tcBorders>
          </w:tcPr>
          <w:p w14:paraId="413323B6" w14:textId="77777777" w:rsidR="00F00B48" w:rsidRPr="00F00B48" w:rsidRDefault="00F00B48" w:rsidP="00B768BA">
            <w:pPr>
              <w:jc w:val="right"/>
              <w:rPr>
                <w:rFonts w:eastAsia="Calibri" w:cs="Arial"/>
                <w:sz w:val="20"/>
                <w:szCs w:val="20"/>
                <w:lang w:val="es-US"/>
              </w:rPr>
            </w:pPr>
            <w:r w:rsidRPr="00F00B48">
              <w:rPr>
                <w:rFonts w:eastAsia="Calibri" w:cs="Arial"/>
                <w:sz w:val="20"/>
                <w:szCs w:val="20"/>
                <w:lang w:val="es-US"/>
              </w:rPr>
              <w:t>13,39</w:t>
            </w:r>
          </w:p>
        </w:tc>
      </w:tr>
      <w:tr w:rsidR="00F00B48" w:rsidRPr="00F00B48" w14:paraId="72EC06C1" w14:textId="77777777" w:rsidTr="00B768BA">
        <w:tc>
          <w:tcPr>
            <w:tcW w:w="4765" w:type="dxa"/>
          </w:tcPr>
          <w:p w14:paraId="7C8484DD"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Tasa de Cambio (Promedio Sept 15)</w:t>
            </w:r>
          </w:p>
        </w:tc>
        <w:tc>
          <w:tcPr>
            <w:tcW w:w="1799" w:type="dxa"/>
            <w:tcBorders>
              <w:right w:val="nil"/>
            </w:tcBorders>
          </w:tcPr>
          <w:p w14:paraId="02E9FEB6" w14:textId="77777777" w:rsidR="00F00B48" w:rsidRPr="00F00B48" w:rsidRDefault="00F00B48" w:rsidP="00F00B48">
            <w:pPr>
              <w:rPr>
                <w:rFonts w:eastAsia="Calibri" w:cs="Arial"/>
                <w:sz w:val="20"/>
                <w:szCs w:val="20"/>
                <w:lang w:val="es-US"/>
              </w:rPr>
            </w:pPr>
            <w:proofErr w:type="spellStart"/>
            <w:r w:rsidRPr="00F00B48">
              <w:rPr>
                <w:rFonts w:eastAsia="Calibri" w:cs="Arial"/>
                <w:sz w:val="20"/>
                <w:szCs w:val="20"/>
                <w:lang w:val="es-US"/>
              </w:rPr>
              <w:t>Lps</w:t>
            </w:r>
            <w:proofErr w:type="spellEnd"/>
            <w:r w:rsidRPr="00F00B48">
              <w:rPr>
                <w:rFonts w:eastAsia="Calibri" w:cs="Arial"/>
                <w:sz w:val="20"/>
                <w:szCs w:val="20"/>
                <w:lang w:val="es-US"/>
              </w:rPr>
              <w:t>/US$</w:t>
            </w:r>
          </w:p>
        </w:tc>
        <w:tc>
          <w:tcPr>
            <w:tcW w:w="1171" w:type="dxa"/>
            <w:tcBorders>
              <w:left w:val="nil"/>
            </w:tcBorders>
          </w:tcPr>
          <w:p w14:paraId="65DD394C" w14:textId="77777777" w:rsidR="00F00B48" w:rsidRPr="00F00B48" w:rsidRDefault="00F00B48" w:rsidP="00B768BA">
            <w:pPr>
              <w:jc w:val="right"/>
              <w:rPr>
                <w:rFonts w:eastAsia="Calibri" w:cs="Arial"/>
                <w:sz w:val="20"/>
                <w:szCs w:val="20"/>
                <w:lang w:val="es-US"/>
              </w:rPr>
            </w:pPr>
            <w:r w:rsidRPr="00F00B48">
              <w:rPr>
                <w:rFonts w:eastAsia="Calibri" w:cs="Arial"/>
                <w:sz w:val="20"/>
                <w:szCs w:val="20"/>
                <w:lang w:val="es-US"/>
              </w:rPr>
              <w:t>21,13</w:t>
            </w:r>
          </w:p>
        </w:tc>
      </w:tr>
      <w:tr w:rsidR="00F00B48" w:rsidRPr="00F00B48" w14:paraId="2A29AED5" w14:textId="77777777" w:rsidTr="00B768BA">
        <w:tc>
          <w:tcPr>
            <w:tcW w:w="4765" w:type="dxa"/>
          </w:tcPr>
          <w:p w14:paraId="63CC0B67" w14:textId="77777777" w:rsidR="00F00B48" w:rsidRPr="00F00B48" w:rsidRDefault="00F00B48" w:rsidP="00F00B48">
            <w:pPr>
              <w:rPr>
                <w:rFonts w:eastAsia="Calibri" w:cs="Arial"/>
                <w:sz w:val="20"/>
                <w:szCs w:val="20"/>
                <w:lang w:val="es-US"/>
              </w:rPr>
            </w:pPr>
            <w:r w:rsidRPr="00F00B48">
              <w:rPr>
                <w:rFonts w:eastAsia="Calibri" w:cs="Arial"/>
                <w:sz w:val="20"/>
                <w:szCs w:val="20"/>
                <w:lang w:val="es-US"/>
              </w:rPr>
              <w:t>Costo Marginal de Potencia de Corto Plazo</w:t>
            </w:r>
          </w:p>
        </w:tc>
        <w:tc>
          <w:tcPr>
            <w:tcW w:w="1799" w:type="dxa"/>
            <w:tcBorders>
              <w:right w:val="nil"/>
            </w:tcBorders>
          </w:tcPr>
          <w:p w14:paraId="25DE60D6" w14:textId="77777777" w:rsidR="00F00B48" w:rsidRPr="00F00B48" w:rsidRDefault="00F00B48" w:rsidP="00F00B48">
            <w:pPr>
              <w:rPr>
                <w:rFonts w:eastAsia="Calibri" w:cs="Arial"/>
                <w:sz w:val="20"/>
                <w:szCs w:val="20"/>
                <w:lang w:val="es-US"/>
              </w:rPr>
            </w:pPr>
            <w:proofErr w:type="spellStart"/>
            <w:r w:rsidRPr="00F00B48">
              <w:rPr>
                <w:rFonts w:eastAsia="Calibri" w:cs="Arial"/>
                <w:sz w:val="20"/>
                <w:szCs w:val="20"/>
                <w:lang w:val="es-US"/>
              </w:rPr>
              <w:t>Lps</w:t>
            </w:r>
            <w:proofErr w:type="spellEnd"/>
            <w:r w:rsidRPr="00F00B48">
              <w:rPr>
                <w:rFonts w:eastAsia="Calibri" w:cs="Arial"/>
                <w:sz w:val="20"/>
                <w:szCs w:val="20"/>
                <w:lang w:val="es-US"/>
              </w:rPr>
              <w:t>/kW-mes</w:t>
            </w:r>
          </w:p>
        </w:tc>
        <w:tc>
          <w:tcPr>
            <w:tcW w:w="1171" w:type="dxa"/>
            <w:tcBorders>
              <w:left w:val="nil"/>
            </w:tcBorders>
          </w:tcPr>
          <w:p w14:paraId="5F35B33A" w14:textId="77777777" w:rsidR="00F00B48" w:rsidRPr="00F00B48" w:rsidRDefault="00F00B48" w:rsidP="00B768BA">
            <w:pPr>
              <w:jc w:val="right"/>
              <w:rPr>
                <w:rFonts w:eastAsia="Calibri" w:cs="Arial"/>
                <w:sz w:val="20"/>
                <w:szCs w:val="20"/>
                <w:lang w:val="es-US"/>
              </w:rPr>
            </w:pPr>
            <w:r w:rsidRPr="00F00B48">
              <w:rPr>
                <w:rFonts w:eastAsia="Calibri" w:cs="Arial"/>
                <w:sz w:val="20"/>
                <w:szCs w:val="20"/>
                <w:lang w:val="es-US"/>
              </w:rPr>
              <w:t>309,69</w:t>
            </w:r>
          </w:p>
        </w:tc>
      </w:tr>
    </w:tbl>
    <w:p w14:paraId="1C24F766" w14:textId="77777777" w:rsidR="00F714B4" w:rsidRDefault="00F714B4" w:rsidP="002B6B7B">
      <w:pPr>
        <w:rPr>
          <w:lang w:val="es-ES_tradnl"/>
        </w:rPr>
      </w:pPr>
    </w:p>
    <w:p w14:paraId="5133CB9C" w14:textId="77777777" w:rsidR="00F714B4" w:rsidRDefault="00F714B4">
      <w:pPr>
        <w:spacing w:after="200" w:line="276" w:lineRule="auto"/>
        <w:rPr>
          <w:lang w:val="es-ES_tradnl"/>
        </w:rPr>
      </w:pPr>
      <w:r>
        <w:rPr>
          <w:lang w:val="es-ES_tradnl"/>
        </w:rPr>
        <w:br w:type="page"/>
      </w:r>
    </w:p>
    <w:p w14:paraId="4B170B6B" w14:textId="77777777" w:rsidR="00F714B4" w:rsidRDefault="00F714B4" w:rsidP="00F714B4">
      <w:pPr>
        <w:spacing w:after="120" w:line="252" w:lineRule="auto"/>
        <w:jc w:val="right"/>
        <w:rPr>
          <w:rFonts w:eastAsia="Times New Roman" w:cs="Arial"/>
          <w:b/>
          <w:lang w:val="es-US"/>
        </w:rPr>
      </w:pPr>
      <w:bookmarkStart w:id="73" w:name="_Hlk513322640"/>
      <w:r w:rsidRPr="00F714B4">
        <w:rPr>
          <w:rFonts w:eastAsia="Times New Roman" w:cs="Arial"/>
          <w:b/>
          <w:lang w:val="es-US"/>
        </w:rPr>
        <w:lastRenderedPageBreak/>
        <w:t>Anexo F</w:t>
      </w:r>
    </w:p>
    <w:p w14:paraId="4E1DE95A" w14:textId="2AC97648" w:rsidR="00F714B4" w:rsidRPr="00A431B1" w:rsidRDefault="00F714B4" w:rsidP="00F714B4">
      <w:pPr>
        <w:pStyle w:val="Heading2"/>
        <w:numPr>
          <w:ilvl w:val="0"/>
          <w:numId w:val="15"/>
        </w:numPr>
        <w:rPr>
          <w:rFonts w:eastAsia="Calibri"/>
        </w:rPr>
      </w:pPr>
      <w:bookmarkStart w:id="74" w:name="_Toc513626369"/>
      <w:r w:rsidRPr="00A431B1">
        <w:rPr>
          <w:rFonts w:eastAsia="Calibri"/>
        </w:rPr>
        <w:t xml:space="preserve">Resumen </w:t>
      </w:r>
      <w:r w:rsidR="00C248FC">
        <w:rPr>
          <w:rFonts w:eastAsia="Calibri"/>
        </w:rPr>
        <w:t xml:space="preserve">de </w:t>
      </w:r>
      <w:r w:rsidRPr="00A431B1">
        <w:rPr>
          <w:rFonts w:eastAsia="Calibri"/>
        </w:rPr>
        <w:t>supuestos adoptados para la evaluación económica</w:t>
      </w:r>
      <w:bookmarkEnd w:id="74"/>
    </w:p>
    <w:p w14:paraId="6C8E0798" w14:textId="77777777" w:rsidR="00F714B4" w:rsidRPr="00F714B4" w:rsidRDefault="00F714B4" w:rsidP="00F714B4">
      <w:pPr>
        <w:rPr>
          <w:lang w:val="es-US" w:eastAsia="es-ES"/>
        </w:rPr>
      </w:pPr>
    </w:p>
    <w:p w14:paraId="1FC6539F"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 xml:space="preserve">Los proyectos </w:t>
      </w:r>
      <w:r w:rsidRPr="00E54DF6">
        <w:rPr>
          <w:rFonts w:eastAsia="Times New Roman" w:cs="Arial"/>
          <w:lang w:val="es-US"/>
        </w:rPr>
        <w:t>que serán financiados</w:t>
      </w:r>
      <w:r w:rsidRPr="00F714B4">
        <w:rPr>
          <w:rFonts w:eastAsia="Times New Roman" w:cs="Arial"/>
          <w:lang w:val="es-US"/>
        </w:rPr>
        <w:t xml:space="preserve"> están contenidos en el Plan de Expansión de la Transmisión de la ENEE, seleccionadas según los criterios técnicos, económicos y socioambientales y de elegibilidad establecidos para el programa.</w:t>
      </w:r>
    </w:p>
    <w:p w14:paraId="1682C8EA"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Por tratarse de un programa de financiamiento del BID bajo la modalidad de Obras Múltiples, para la aprobación del financiamiento se debe contar con una muestra de proyectos identificados y evaluados que representen, como mínimo, el 30% del valor del financiamiento. La muestra evaluada representa el 31% del financiamiento contemplado.</w:t>
      </w:r>
    </w:p>
    <w:p w14:paraId="32627DCB"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Los costos y beneficios de los proyectos de la muestra son expresados en precios de mercado para la evaluación financiera.</w:t>
      </w:r>
    </w:p>
    <w:p w14:paraId="0780A4D9"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Los costos y beneficios de los proyectos de la muestra, con precios de eficiencia, utilizando las Razones de Precio de Cuenta (RPC) para Honduras para la evaluación económica. Los RPC están incluidos en Anexo D.</w:t>
      </w:r>
    </w:p>
    <w:p w14:paraId="6D40D2F9"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Los flujos netos de los costos y beneficios se utilizaron para calcular el valor presente neto financiero (VPN) y el económico (VPNE), utilizando una tasa de descuento de referencia del 12% y un horizonte de 20 años.</w:t>
      </w:r>
    </w:p>
    <w:p w14:paraId="6AEA98DC"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Costos de la inversión.  Se toman los valores de las inversiones de acuerdo con los estimados derivados del análisis de factibilidad realizado por la ENEE.</w:t>
      </w:r>
    </w:p>
    <w:p w14:paraId="44F71A3F"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 xml:space="preserve">Costos de operación y mantenimiento (O&amp;M) se estiman en un 3% de la inversión </w:t>
      </w:r>
      <w:proofErr w:type="gramStart"/>
      <w:r w:rsidRPr="00F714B4">
        <w:rPr>
          <w:rFonts w:eastAsia="Times New Roman" w:cs="Arial"/>
          <w:lang w:val="es-US"/>
        </w:rPr>
        <w:t>de acuerdo a</w:t>
      </w:r>
      <w:proofErr w:type="gramEnd"/>
      <w:r w:rsidRPr="00F714B4">
        <w:rPr>
          <w:rFonts w:eastAsia="Times New Roman" w:cs="Arial"/>
          <w:lang w:val="es-US"/>
        </w:rPr>
        <w:t xml:space="preserve"> la experiencia de ENEE y de empresas de electricidad en la región.</w:t>
      </w:r>
    </w:p>
    <w:p w14:paraId="56B6B322"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Para el cálculo del costo de transmisión de energía eléctrica en alta tensión se utilizó el Costo Unitario Monómico del Servicio de Transmisión en Alta Tensión con base en el pliego tarifario vigente: 0,3072L/kWh, o su equivalente 12,9321 US$/MWh (Anexo C) provisto por ENEE.</w:t>
      </w:r>
    </w:p>
    <w:p w14:paraId="3A030DCC"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US"/>
        </w:rPr>
        <w:t>Se identifican como los principales beneficios específicos que aportan al logro de los objetivos: (i) reducción de pérdidas técnicas de electricidad; y (ii) mejora en la confiabilidad del servicio.</w:t>
      </w:r>
    </w:p>
    <w:p w14:paraId="22351AE9" w14:textId="77777777"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C248FC">
        <w:rPr>
          <w:rFonts w:eastAsia="Times New Roman" w:cs="Arial"/>
          <w:lang w:val="es-US"/>
        </w:rPr>
        <w:t>Para evaluar los beneficios</w:t>
      </w:r>
      <w:r w:rsidRPr="00F714B4">
        <w:rPr>
          <w:rFonts w:eastAsia="Times New Roman" w:cs="Arial"/>
          <w:lang w:val="es-CO"/>
        </w:rPr>
        <w:t xml:space="preserve"> por reducción de pérdidas, se realizó una estimación de las proyecciones de energía asociadas a los proyectos de la muestra. Se utilizó como herramienta de análisis de sistemas de potencia, el programa llamado “</w:t>
      </w:r>
      <w:proofErr w:type="spellStart"/>
      <w:r w:rsidRPr="00F714B4">
        <w:rPr>
          <w:rFonts w:eastAsia="Times New Roman" w:cs="Arial"/>
          <w:i/>
          <w:lang w:val="es-CO"/>
        </w:rPr>
        <w:t>DigSilent</w:t>
      </w:r>
      <w:proofErr w:type="spellEnd"/>
      <w:r w:rsidRPr="00F714B4">
        <w:rPr>
          <w:rFonts w:eastAsia="Times New Roman" w:cs="Arial"/>
          <w:i/>
          <w:lang w:val="es-CO"/>
        </w:rPr>
        <w:t xml:space="preserve"> </w:t>
      </w:r>
      <w:proofErr w:type="spellStart"/>
      <w:r w:rsidRPr="00F714B4">
        <w:rPr>
          <w:rFonts w:eastAsia="Times New Roman" w:cs="Arial"/>
          <w:i/>
          <w:lang w:val="es-CO"/>
        </w:rPr>
        <w:t>Power</w:t>
      </w:r>
      <w:proofErr w:type="spellEnd"/>
      <w:r w:rsidRPr="00F714B4">
        <w:rPr>
          <w:rFonts w:eastAsia="Times New Roman" w:cs="Arial"/>
          <w:i/>
          <w:lang w:val="es-CO"/>
        </w:rPr>
        <w:t xml:space="preserve"> Factory</w:t>
      </w:r>
      <w:r w:rsidRPr="00F714B4">
        <w:rPr>
          <w:rFonts w:eastAsia="Times New Roman" w:cs="Arial"/>
          <w:lang w:val="es-CO"/>
        </w:rPr>
        <w:t>” empleado por ENEE</w:t>
      </w:r>
      <w:r w:rsidRPr="00F714B4">
        <w:rPr>
          <w:rFonts w:eastAsia="Times New Roman" w:cs="Arial"/>
          <w:lang w:val="es-US"/>
        </w:rPr>
        <w:t xml:space="preserve"> </w:t>
      </w:r>
      <w:r w:rsidRPr="00F714B4">
        <w:rPr>
          <w:rFonts w:eastAsia="Times New Roman" w:cs="Arial"/>
          <w:lang w:val="es-CO"/>
        </w:rPr>
        <w:t xml:space="preserve">de </w:t>
      </w:r>
      <w:r w:rsidRPr="00F714B4">
        <w:rPr>
          <w:rFonts w:eastAsia="Times New Roman" w:cs="Arial"/>
          <w:lang w:val="es-US"/>
        </w:rPr>
        <w:t>acuerdo</w:t>
      </w:r>
      <w:r w:rsidRPr="00F714B4">
        <w:rPr>
          <w:rFonts w:eastAsia="Times New Roman" w:cs="Arial"/>
          <w:lang w:val="es-CO"/>
        </w:rPr>
        <w:t xml:space="preserve"> con los siguientes criterios técnicos:</w:t>
      </w:r>
    </w:p>
    <w:p w14:paraId="6A562147" w14:textId="77777777" w:rsidR="00F714B4" w:rsidRPr="00F714B4" w:rsidRDefault="00F714B4" w:rsidP="00C248FC">
      <w:pPr>
        <w:numPr>
          <w:ilvl w:val="1"/>
          <w:numId w:val="19"/>
        </w:numPr>
        <w:spacing w:before="120" w:after="160" w:line="252" w:lineRule="auto"/>
        <w:ind w:left="1080" w:hanging="450"/>
        <w:jc w:val="both"/>
        <w:rPr>
          <w:rFonts w:eastAsia="Times New Roman" w:cs="Arial"/>
          <w:lang w:val="es-CO"/>
        </w:rPr>
      </w:pPr>
      <w:r w:rsidRPr="00F714B4">
        <w:rPr>
          <w:rFonts w:eastAsia="Times New Roman" w:cs="Arial"/>
          <w:lang w:val="es-CO"/>
        </w:rPr>
        <w:t>Las condiciones de demanda y generación son las que determinó la ENEE.</w:t>
      </w:r>
    </w:p>
    <w:p w14:paraId="05478952" w14:textId="77777777" w:rsidR="00F714B4" w:rsidRPr="00F714B4" w:rsidRDefault="00F714B4" w:rsidP="00C248FC">
      <w:pPr>
        <w:numPr>
          <w:ilvl w:val="1"/>
          <w:numId w:val="19"/>
        </w:numPr>
        <w:spacing w:before="120" w:after="160" w:line="252" w:lineRule="auto"/>
        <w:ind w:left="1080" w:hanging="450"/>
        <w:jc w:val="both"/>
        <w:rPr>
          <w:rFonts w:eastAsia="Times New Roman" w:cs="Arial"/>
          <w:lang w:val="es-CO"/>
        </w:rPr>
      </w:pPr>
      <w:r w:rsidRPr="00F714B4">
        <w:rPr>
          <w:rFonts w:eastAsia="Times New Roman" w:cs="Arial"/>
          <w:lang w:val="es-CO"/>
        </w:rPr>
        <w:t>Escenarios de demanda y generación considerados: máxima, media y mínima del SIN en las estaciones “seca y húmeda”. La estación seca implica que las centrales hidroeléctricas tienen menor disponibilidad de generación y por lo tanto es necesario disponer de más generación térmica. En el Anexo B se incluyen las proyecciones de demanda aplicadas y los resultados obtenidos.</w:t>
      </w:r>
    </w:p>
    <w:p w14:paraId="246BD12D" w14:textId="77777777" w:rsidR="00F714B4" w:rsidRPr="00F714B4" w:rsidRDefault="00F714B4" w:rsidP="00C248FC">
      <w:pPr>
        <w:numPr>
          <w:ilvl w:val="1"/>
          <w:numId w:val="19"/>
        </w:numPr>
        <w:spacing w:before="120" w:after="160" w:line="252" w:lineRule="auto"/>
        <w:ind w:left="1080" w:hanging="450"/>
        <w:jc w:val="both"/>
        <w:rPr>
          <w:rFonts w:eastAsia="Times New Roman" w:cs="Arial"/>
          <w:lang w:val="es-CO"/>
        </w:rPr>
      </w:pPr>
      <w:r w:rsidRPr="00F714B4">
        <w:rPr>
          <w:rFonts w:eastAsia="Times New Roman" w:cs="Arial"/>
          <w:lang w:val="es-CO"/>
        </w:rPr>
        <w:lastRenderedPageBreak/>
        <w:t xml:space="preserve">Los niveles de tensión en barras aceptados deben estar entre 0.95 y 1.05 </w:t>
      </w:r>
      <w:proofErr w:type="spellStart"/>
      <w:r w:rsidRPr="00F714B4">
        <w:rPr>
          <w:rFonts w:eastAsia="Times New Roman" w:cs="Arial"/>
          <w:lang w:val="es-CO"/>
        </w:rPr>
        <w:t>pu</w:t>
      </w:r>
      <w:proofErr w:type="spellEnd"/>
      <w:r w:rsidRPr="00F714B4">
        <w:rPr>
          <w:rFonts w:eastAsia="Times New Roman" w:cs="Arial"/>
          <w:lang w:val="es-CO"/>
        </w:rPr>
        <w:t xml:space="preserve">, en condiciones normales de operación; y hasta 1.10 </w:t>
      </w:r>
      <w:proofErr w:type="spellStart"/>
      <w:r w:rsidRPr="00F714B4">
        <w:rPr>
          <w:rFonts w:eastAsia="Times New Roman" w:cs="Arial"/>
          <w:lang w:val="es-CO"/>
        </w:rPr>
        <w:t>pu</w:t>
      </w:r>
      <w:proofErr w:type="spellEnd"/>
      <w:r w:rsidRPr="00F714B4">
        <w:rPr>
          <w:rFonts w:eastAsia="Times New Roman" w:cs="Arial"/>
          <w:lang w:val="es-CO"/>
        </w:rPr>
        <w:t>. en condiciones de emergencia.</w:t>
      </w:r>
    </w:p>
    <w:p w14:paraId="574482A3" w14:textId="77777777" w:rsidR="00F714B4" w:rsidRPr="00F714B4" w:rsidRDefault="00F714B4" w:rsidP="00C248FC">
      <w:pPr>
        <w:numPr>
          <w:ilvl w:val="1"/>
          <w:numId w:val="19"/>
        </w:numPr>
        <w:spacing w:before="120" w:after="160" w:line="252" w:lineRule="auto"/>
        <w:ind w:left="1080" w:hanging="450"/>
        <w:jc w:val="both"/>
        <w:rPr>
          <w:rFonts w:eastAsia="Times New Roman" w:cs="Arial"/>
          <w:lang w:val="es-CO"/>
        </w:rPr>
      </w:pPr>
      <w:r w:rsidRPr="00F714B4">
        <w:rPr>
          <w:rFonts w:eastAsia="Times New Roman" w:cs="Arial"/>
          <w:lang w:val="es-CO"/>
        </w:rPr>
        <w:t>Los niveles de carga máximos para los componentes de líneas y transformadores de transmisión y distribución no deben ser mayores al 100% de la capacidad de su límite térmico, en condiciones normales de operación; y hasta 110% en condiciones de emergencia.</w:t>
      </w:r>
    </w:p>
    <w:p w14:paraId="7A549881" w14:textId="77777777" w:rsidR="00F714B4" w:rsidRPr="00F714B4" w:rsidRDefault="00F714B4" w:rsidP="00C248FC">
      <w:pPr>
        <w:numPr>
          <w:ilvl w:val="1"/>
          <w:numId w:val="19"/>
        </w:numPr>
        <w:spacing w:before="120" w:after="160" w:line="252" w:lineRule="auto"/>
        <w:ind w:left="1080" w:hanging="450"/>
        <w:jc w:val="both"/>
        <w:rPr>
          <w:rFonts w:eastAsia="Times New Roman" w:cs="Arial"/>
          <w:lang w:val="es-US"/>
        </w:rPr>
      </w:pPr>
      <w:r w:rsidRPr="00F714B4">
        <w:rPr>
          <w:rFonts w:eastAsia="Times New Roman" w:cs="Arial"/>
          <w:lang w:val="es-CO"/>
        </w:rPr>
        <w:t>A partir de 2024, el beneficio logrado de la reducción de pérdidas se mantiene constante en términos porcentuales.</w:t>
      </w:r>
    </w:p>
    <w:p w14:paraId="1A6B7F48" w14:textId="77777777" w:rsidR="00F714B4" w:rsidRPr="00C248FC" w:rsidRDefault="00F714B4" w:rsidP="00C248FC">
      <w:pPr>
        <w:numPr>
          <w:ilvl w:val="0"/>
          <w:numId w:val="24"/>
        </w:numPr>
        <w:spacing w:after="120" w:line="252" w:lineRule="auto"/>
        <w:ind w:left="540" w:hanging="540"/>
        <w:jc w:val="both"/>
        <w:rPr>
          <w:rFonts w:eastAsia="Times New Roman" w:cs="Arial"/>
          <w:lang w:val="es-CO"/>
        </w:rPr>
      </w:pPr>
      <w:r w:rsidRPr="00F714B4">
        <w:rPr>
          <w:rFonts w:eastAsia="Times New Roman" w:cs="Arial"/>
          <w:lang w:val="es-US"/>
        </w:rPr>
        <w:t xml:space="preserve">ENEE </w:t>
      </w:r>
      <w:r w:rsidRPr="00F714B4">
        <w:rPr>
          <w:rFonts w:eastAsia="Times New Roman" w:cs="Arial"/>
          <w:lang w:val="es-CO"/>
        </w:rPr>
        <w:t>llevó</w:t>
      </w:r>
      <w:r w:rsidRPr="00F714B4">
        <w:rPr>
          <w:rFonts w:eastAsia="Times New Roman" w:cs="Arial"/>
          <w:lang w:val="es-US"/>
        </w:rPr>
        <w:t xml:space="preserve"> a cabo un estudio de Flujos de Potencia para determinar los posibles beneficios y problemas técnicos en el SIN que podrían ser producto de la entrada en operación del </w:t>
      </w:r>
      <w:bookmarkEnd w:id="73"/>
      <w:r w:rsidRPr="00F714B4">
        <w:rPr>
          <w:rFonts w:eastAsia="Times New Roman" w:cs="Arial"/>
          <w:lang w:val="es-US"/>
        </w:rPr>
        <w:t xml:space="preserve">proyecto, bajo condiciones normales. Se obtuvieron los resultados </w:t>
      </w:r>
      <w:r w:rsidRPr="00C248FC">
        <w:rPr>
          <w:rFonts w:eastAsia="Times New Roman" w:cs="Arial"/>
          <w:lang w:val="es-CO"/>
        </w:rPr>
        <w:t xml:space="preserve">proyectados de flujos de carga y despacho bajo condiciones de Alta, Media y Baja carga para 2017, 2021 y 2024 para el proyecto LT SBV-SPSS y obras asociadas; y 2017, 2021, 2024 y 2027 para para el proyecto “Laínez-Miraflores”. La base de datos completa está en ENEE. </w:t>
      </w:r>
    </w:p>
    <w:p w14:paraId="63C17D88" w14:textId="77777777" w:rsidR="00C248FC" w:rsidRPr="00C248FC" w:rsidRDefault="00F714B4" w:rsidP="00C248FC">
      <w:pPr>
        <w:numPr>
          <w:ilvl w:val="0"/>
          <w:numId w:val="24"/>
        </w:numPr>
        <w:spacing w:after="120" w:line="252" w:lineRule="auto"/>
        <w:ind w:left="540" w:hanging="540"/>
        <w:jc w:val="both"/>
        <w:rPr>
          <w:rFonts w:eastAsia="Times New Roman" w:cs="Arial"/>
          <w:lang w:val="es-CO"/>
        </w:rPr>
      </w:pPr>
      <w:r w:rsidRPr="00C248FC">
        <w:rPr>
          <w:rFonts w:eastAsia="Times New Roman" w:cs="Arial"/>
          <w:lang w:val="es-CO"/>
        </w:rPr>
        <w:t>Las proyecciones de demanda se estimaron con los costos marginales a nivel de bloque horario y por estaciones lluviosa y seca.</w:t>
      </w:r>
      <w:r w:rsidR="00C248FC" w:rsidRPr="00C248FC">
        <w:rPr>
          <w:rFonts w:eastAsia="Times New Roman" w:cs="Arial"/>
          <w:lang w:val="es-CO"/>
        </w:rPr>
        <w:t xml:space="preserve"> </w:t>
      </w:r>
    </w:p>
    <w:p w14:paraId="28FEAEB8" w14:textId="30B325E5" w:rsidR="00F714B4" w:rsidRPr="00C248FC" w:rsidRDefault="00C248FC" w:rsidP="00C248FC">
      <w:pPr>
        <w:numPr>
          <w:ilvl w:val="0"/>
          <w:numId w:val="24"/>
        </w:numPr>
        <w:spacing w:after="120" w:line="252" w:lineRule="auto"/>
        <w:ind w:left="540" w:hanging="540"/>
        <w:jc w:val="both"/>
        <w:rPr>
          <w:rFonts w:eastAsia="Times New Roman" w:cs="Arial"/>
          <w:lang w:val="es-CO"/>
        </w:rPr>
      </w:pPr>
      <w:r w:rsidRPr="00C248FC">
        <w:rPr>
          <w:rFonts w:eastAsia="Times New Roman" w:cs="Arial"/>
          <w:lang w:val="es-CO"/>
        </w:rPr>
        <w:t xml:space="preserve">La demanda atendida con proyecto se incrementa </w:t>
      </w:r>
      <w:proofErr w:type="gramStart"/>
      <w:r w:rsidRPr="00C248FC">
        <w:rPr>
          <w:rFonts w:eastAsia="Times New Roman" w:cs="Arial"/>
          <w:lang w:val="es-CO"/>
        </w:rPr>
        <w:t>de acuerdo al</w:t>
      </w:r>
      <w:proofErr w:type="gramEnd"/>
      <w:r w:rsidRPr="00C248FC">
        <w:rPr>
          <w:rFonts w:eastAsia="Times New Roman" w:cs="Arial"/>
          <w:lang w:val="es-CO"/>
        </w:rPr>
        <w:t xml:space="preserve"> incremento en capacidad de transmisión. </w:t>
      </w:r>
    </w:p>
    <w:p w14:paraId="4D81A036" w14:textId="0C7C452C" w:rsidR="00F714B4" w:rsidRPr="00C248FC" w:rsidRDefault="00F714B4" w:rsidP="00C248FC">
      <w:pPr>
        <w:numPr>
          <w:ilvl w:val="0"/>
          <w:numId w:val="24"/>
        </w:numPr>
        <w:spacing w:after="120" w:line="252" w:lineRule="auto"/>
        <w:ind w:left="540" w:hanging="540"/>
        <w:jc w:val="both"/>
        <w:rPr>
          <w:rFonts w:eastAsia="Times New Roman" w:cs="Arial"/>
          <w:lang w:val="es-CO"/>
        </w:rPr>
      </w:pPr>
      <w:r w:rsidRPr="00C248FC">
        <w:rPr>
          <w:rFonts w:eastAsia="Times New Roman" w:cs="Arial"/>
          <w:lang w:val="es-CO"/>
        </w:rPr>
        <w:t>Para la valoración de las pérdidas eléctricas se usó como referencia el valor promedio del Costo Marginal de Corto Plazo de la Energía Pura, actualizado a 2017 (60,44 US$/MWh). El cálculo se incluye en Anexo E. El nivel de pérdidas en distribución con el Proyecto LT Laínez-Miraflores se estima en 15%.</w:t>
      </w:r>
    </w:p>
    <w:p w14:paraId="00EC0985" w14:textId="18BAE928" w:rsidR="00F714B4" w:rsidRPr="00C248FC" w:rsidRDefault="00F714B4" w:rsidP="00C248FC">
      <w:pPr>
        <w:numPr>
          <w:ilvl w:val="0"/>
          <w:numId w:val="24"/>
        </w:numPr>
        <w:spacing w:after="120" w:line="252" w:lineRule="auto"/>
        <w:ind w:left="540" w:hanging="540"/>
        <w:jc w:val="both"/>
        <w:rPr>
          <w:rFonts w:eastAsia="Times New Roman" w:cs="Arial"/>
          <w:lang w:val="es-CO"/>
        </w:rPr>
      </w:pPr>
      <w:r w:rsidRPr="00C248FC">
        <w:rPr>
          <w:rFonts w:eastAsia="Times New Roman" w:cs="Arial"/>
          <w:lang w:val="es-CO"/>
        </w:rPr>
        <w:t>La reducción de energía de falla como resultado de la inversión en ampliación de la capacidad de transformación del sistema de distribución para atender el crecimiento de la demanda, se estimó en acuerdo con ENEE y el Banco, con base en un pronóstico conservador de reducción de ocurrencia de racionamientos de aproximadamente un 30%.</w:t>
      </w:r>
      <w:r w:rsidR="0050338A">
        <w:rPr>
          <w:rFonts w:eastAsia="Times New Roman" w:cs="Arial"/>
          <w:lang w:val="es-CO"/>
        </w:rPr>
        <w:t xml:space="preserve"> Los valores iniciales usados corresponden a los valores de línea de base en la Matriz de  Resultados del Programa.</w:t>
      </w:r>
    </w:p>
    <w:p w14:paraId="7A35D4E2" w14:textId="03EEB83A" w:rsidR="00F714B4" w:rsidRPr="00C248FC" w:rsidRDefault="00F714B4" w:rsidP="00C248FC">
      <w:pPr>
        <w:numPr>
          <w:ilvl w:val="0"/>
          <w:numId w:val="24"/>
        </w:numPr>
        <w:spacing w:after="120" w:line="252" w:lineRule="auto"/>
        <w:ind w:left="540" w:hanging="540"/>
        <w:jc w:val="both"/>
        <w:rPr>
          <w:rFonts w:eastAsia="Times New Roman" w:cs="Arial"/>
          <w:lang w:val="es-CO"/>
        </w:rPr>
      </w:pPr>
      <w:r w:rsidRPr="00C248FC">
        <w:rPr>
          <w:rFonts w:eastAsia="Times New Roman" w:cs="Arial"/>
          <w:lang w:val="es-CO"/>
        </w:rPr>
        <w:t xml:space="preserve">Para el cálculo del costo de la energía eléctrica no suministrada se utilizó como costo de falla, el valor de Costo de la Energía No Suministrada (CENS) según lo establecido en el Reglamento de la Ley General de la Industria Eléctrica (LGIE): </w:t>
      </w:r>
      <w:r w:rsidRPr="00F714B4">
        <w:rPr>
          <w:rFonts w:eastAsia="Times New Roman" w:cs="Arial"/>
          <w:lang w:val="es-CO"/>
        </w:rPr>
        <w:t xml:space="preserve">El equivalente a diez veces el valor por kilovatio hora de la tarifa de baja tensión, monofásica, sin cargo por demanda, del primer día y primer mes del período de evaluación. En el análisis se asume que la energía de falla crece al doble del ritmo del crecimiento de la demanda. Así resulta un CENS de 1.657,50 US$/MWh. </w:t>
      </w:r>
    </w:p>
    <w:p w14:paraId="781E47DB" w14:textId="37D98B2F" w:rsidR="00407402" w:rsidRPr="00C248FC" w:rsidRDefault="00407402" w:rsidP="00C248FC">
      <w:pPr>
        <w:numPr>
          <w:ilvl w:val="0"/>
          <w:numId w:val="24"/>
        </w:numPr>
        <w:spacing w:after="120" w:line="252" w:lineRule="auto"/>
        <w:ind w:left="540" w:hanging="540"/>
        <w:jc w:val="both"/>
        <w:rPr>
          <w:rFonts w:eastAsia="Times New Roman" w:cs="Arial"/>
          <w:lang w:val="es-CO"/>
        </w:rPr>
      </w:pPr>
      <w:r w:rsidRPr="00C248FC">
        <w:rPr>
          <w:rFonts w:eastAsia="Times New Roman" w:cs="Arial"/>
          <w:lang w:val="es-CO"/>
        </w:rPr>
        <w:t>Los refuerzos contemplados con la inversión evitarán el sobrecosto del despacho de energía fotovoltaica. En 2016 este sobrecosto fue de US$33,66 millones. El análisis incorpora este ahorro como  beneficio que se derivaría del proyecto. Este ahorro representa el estímulo o incentivo para incorporar ERNC al sistema.</w:t>
      </w:r>
    </w:p>
    <w:p w14:paraId="7E34CA53" w14:textId="248DB4F6" w:rsidR="00F714B4" w:rsidRPr="00F714B4" w:rsidRDefault="00F714B4" w:rsidP="00C248FC">
      <w:pPr>
        <w:numPr>
          <w:ilvl w:val="0"/>
          <w:numId w:val="24"/>
        </w:numPr>
        <w:spacing w:after="120" w:line="252" w:lineRule="auto"/>
        <w:ind w:left="540" w:hanging="540"/>
        <w:jc w:val="both"/>
        <w:rPr>
          <w:rFonts w:eastAsia="Times New Roman" w:cs="Arial"/>
          <w:lang w:val="es-US"/>
        </w:rPr>
      </w:pPr>
      <w:r w:rsidRPr="00F714B4">
        <w:rPr>
          <w:rFonts w:eastAsia="Times New Roman" w:cs="Arial"/>
          <w:lang w:val="es-CO"/>
        </w:rPr>
        <w:t xml:space="preserve">En el análisis de sensibilidad se usa como escenario </w:t>
      </w:r>
      <w:r w:rsidRPr="00F714B4">
        <w:rPr>
          <w:rFonts w:eastAsia="Times New Roman" w:cs="Arial"/>
          <w:lang w:val="es-US"/>
        </w:rPr>
        <w:t>del costo de la energía eléctrica no suministrada</w:t>
      </w:r>
      <w:r w:rsidRPr="00F714B4">
        <w:rPr>
          <w:rFonts w:eastAsia="Times New Roman" w:cs="Arial"/>
          <w:lang w:val="es-CO"/>
        </w:rPr>
        <w:t xml:space="preserve"> el estimado de US$ 500/MWh</w:t>
      </w:r>
      <w:r w:rsidR="00ED7D10">
        <w:rPr>
          <w:rFonts w:eastAsia="Times New Roman" w:cs="Arial"/>
          <w:lang w:val="es-CO"/>
        </w:rPr>
        <w:t>.</w:t>
      </w:r>
    </w:p>
    <w:p w14:paraId="4A42D101" w14:textId="77777777" w:rsidR="00F714B4" w:rsidRPr="00C248FC" w:rsidRDefault="00F714B4" w:rsidP="00C248FC">
      <w:pPr>
        <w:numPr>
          <w:ilvl w:val="0"/>
          <w:numId w:val="24"/>
        </w:numPr>
        <w:spacing w:after="120" w:line="252" w:lineRule="auto"/>
        <w:ind w:left="540" w:hanging="540"/>
        <w:jc w:val="both"/>
        <w:rPr>
          <w:rFonts w:eastAsia="Times New Roman" w:cs="Arial"/>
          <w:lang w:val="es-CO"/>
        </w:rPr>
      </w:pPr>
      <w:r w:rsidRPr="00F714B4">
        <w:rPr>
          <w:rFonts w:eastAsia="Times New Roman" w:cs="Arial"/>
          <w:lang w:val="es-CO"/>
        </w:rPr>
        <w:lastRenderedPageBreak/>
        <w:t xml:space="preserve">El costo unitario monómico del servicio general en baja tensión, sin incluir el costo unitario de </w:t>
      </w:r>
      <w:r w:rsidRPr="00C248FC">
        <w:rPr>
          <w:rFonts w:eastAsia="Times New Roman" w:cs="Arial"/>
          <w:lang w:val="es-CO"/>
        </w:rPr>
        <w:t>comercialización</w:t>
      </w:r>
      <w:r w:rsidRPr="00F714B4">
        <w:rPr>
          <w:rFonts w:eastAsia="Times New Roman" w:cs="Arial"/>
          <w:lang w:val="es-CO"/>
        </w:rPr>
        <w:t xml:space="preserve"> es 3.937 Lempiras/MWh, calculado por ENEE. </w:t>
      </w:r>
    </w:p>
    <w:p w14:paraId="3061E204" w14:textId="2ABA2B41" w:rsidR="0047223F" w:rsidRPr="00EC7EAD" w:rsidRDefault="00F714B4" w:rsidP="00C248FC">
      <w:pPr>
        <w:numPr>
          <w:ilvl w:val="0"/>
          <w:numId w:val="24"/>
        </w:numPr>
        <w:spacing w:after="120" w:line="252" w:lineRule="auto"/>
        <w:ind w:left="540" w:hanging="540"/>
        <w:jc w:val="both"/>
        <w:rPr>
          <w:lang w:val="es-ES_tradnl"/>
        </w:rPr>
      </w:pPr>
      <w:r w:rsidRPr="00EC7EAD">
        <w:rPr>
          <w:rFonts w:eastAsia="Times New Roman" w:cs="Arial"/>
          <w:lang w:val="es-CO"/>
        </w:rPr>
        <w:t xml:space="preserve">Se </w:t>
      </w:r>
      <w:r w:rsidRPr="00C248FC">
        <w:rPr>
          <w:rFonts w:eastAsia="Times New Roman" w:cs="Arial"/>
          <w:lang w:val="es-CO"/>
        </w:rPr>
        <w:t>realizó</w:t>
      </w:r>
      <w:r w:rsidRPr="00EC7EAD">
        <w:rPr>
          <w:rFonts w:eastAsia="Times New Roman" w:cs="Arial"/>
          <w:lang w:val="es-CO"/>
        </w:rPr>
        <w:t xml:space="preserve"> análisis de sensibilidad de los resultados de la evaluación económica ante variaciones adversas de: costos de la inversión, menores metas de reducción de pérdidas, menores costos de falla y mayor costo marginal de corto plazo, por considerase las variables más críticas que determinan los costos y beneficios de la inversión.</w:t>
      </w:r>
      <w:r w:rsidR="0047223F" w:rsidRPr="00EC7EAD">
        <w:rPr>
          <w:lang w:val="es-ES_tradnl"/>
        </w:rPr>
        <w:br w:type="page"/>
      </w:r>
    </w:p>
    <w:p w14:paraId="36287158" w14:textId="77777777" w:rsidR="00143F48" w:rsidRDefault="00143F48" w:rsidP="002B6B7B">
      <w:pPr>
        <w:rPr>
          <w:lang w:val="es-ES_tradnl"/>
        </w:rPr>
        <w:sectPr w:rsidR="00143F48" w:rsidSect="00F00B48">
          <w:pgSz w:w="12240" w:h="15840"/>
          <w:pgMar w:top="1260" w:right="1800" w:bottom="1440" w:left="1886" w:header="720" w:footer="187" w:gutter="0"/>
          <w:cols w:space="720"/>
          <w:titlePg/>
          <w:docGrid w:linePitch="360"/>
        </w:sectPr>
      </w:pPr>
    </w:p>
    <w:p w14:paraId="48911828" w14:textId="77777777" w:rsidR="003B7D1A" w:rsidRDefault="00143F48" w:rsidP="00143F48">
      <w:pPr>
        <w:jc w:val="right"/>
        <w:rPr>
          <w:b/>
          <w:lang w:val="es-ES_tradnl"/>
        </w:rPr>
      </w:pPr>
      <w:r w:rsidRPr="00143F48">
        <w:rPr>
          <w:b/>
          <w:lang w:val="es-ES_tradnl"/>
        </w:rPr>
        <w:lastRenderedPageBreak/>
        <w:t>Anexo G</w:t>
      </w:r>
    </w:p>
    <w:p w14:paraId="0158928C" w14:textId="737ED51F" w:rsidR="00143F48" w:rsidRDefault="00143F48" w:rsidP="00A66D39">
      <w:pPr>
        <w:pStyle w:val="Heading2"/>
        <w:numPr>
          <w:ilvl w:val="0"/>
          <w:numId w:val="15"/>
        </w:numPr>
        <w:rPr>
          <w:rFonts w:eastAsia="Calibri"/>
        </w:rPr>
      </w:pPr>
      <w:bookmarkStart w:id="75" w:name="_Toc513626370"/>
      <w:r w:rsidRPr="00A66D39">
        <w:rPr>
          <w:rFonts w:eastAsia="Calibri"/>
        </w:rPr>
        <w:t>Resumen de flujo</w:t>
      </w:r>
      <w:r w:rsidR="00A66D39">
        <w:rPr>
          <w:rFonts w:eastAsia="Calibri"/>
        </w:rPr>
        <w:t>s</w:t>
      </w:r>
      <w:r w:rsidRPr="00A66D39">
        <w:rPr>
          <w:rFonts w:eastAsia="Calibri"/>
        </w:rPr>
        <w:t xml:space="preserve"> financiero</w:t>
      </w:r>
      <w:r w:rsidR="00A66D39">
        <w:rPr>
          <w:rFonts w:eastAsia="Calibri"/>
        </w:rPr>
        <w:t>s y económicos</w:t>
      </w:r>
      <w:r w:rsidRPr="00A66D39">
        <w:rPr>
          <w:rFonts w:eastAsia="Calibri"/>
        </w:rPr>
        <w:t xml:space="preserve"> caso base</w:t>
      </w:r>
      <w:bookmarkEnd w:id="75"/>
    </w:p>
    <w:p w14:paraId="63C2F8E6" w14:textId="77777777" w:rsidR="00AF7745" w:rsidRPr="00AF7745" w:rsidRDefault="00AF7745" w:rsidP="00AF7745">
      <w:pPr>
        <w:rPr>
          <w:lang w:val="es-US" w:eastAsia="es-ES"/>
        </w:rPr>
      </w:pPr>
    </w:p>
    <w:p w14:paraId="3DFABA6F" w14:textId="77777777" w:rsidR="00653478" w:rsidRDefault="00653478" w:rsidP="00143F48">
      <w:pPr>
        <w:jc w:val="right"/>
        <w:rPr>
          <w:b/>
          <w:lang w:val="es-ES_tradnl"/>
        </w:rPr>
      </w:pPr>
    </w:p>
    <w:p w14:paraId="56CF094B" w14:textId="7C673763" w:rsidR="00653478" w:rsidRPr="00AF7745" w:rsidRDefault="00AF7745" w:rsidP="00AF7745">
      <w:pPr>
        <w:rPr>
          <w:b/>
          <w:sz w:val="18"/>
          <w:szCs w:val="18"/>
          <w:lang w:val="es-ES_tradnl"/>
        </w:rPr>
      </w:pPr>
      <w:bookmarkStart w:id="76" w:name="_Hlk513626518"/>
      <w:r w:rsidRPr="00AF7745">
        <w:rPr>
          <w:b/>
          <w:sz w:val="18"/>
          <w:szCs w:val="18"/>
          <w:lang w:val="es-ES_tradnl"/>
        </w:rPr>
        <w:t>Cuadro G-1</w:t>
      </w:r>
    </w:p>
    <w:bookmarkEnd w:id="76"/>
    <w:p w14:paraId="5FA466CC" w14:textId="77777777" w:rsidR="00653478" w:rsidRDefault="00653478" w:rsidP="004C73C8">
      <w:pPr>
        <w:ind w:left="-810"/>
        <w:jc w:val="right"/>
        <w:rPr>
          <w:b/>
          <w:lang w:val="es-ES_tradnl"/>
        </w:rPr>
      </w:pPr>
      <w:r>
        <w:rPr>
          <w:noProof/>
        </w:rPr>
        <w:drawing>
          <wp:inline distT="0" distB="0" distL="0" distR="0" wp14:anchorId="0E3E4339" wp14:editId="05A595C9">
            <wp:extent cx="9495790" cy="4076544"/>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538826" cy="4095019"/>
                    </a:xfrm>
                    <a:prstGeom prst="rect">
                      <a:avLst/>
                    </a:prstGeom>
                  </pic:spPr>
                </pic:pic>
              </a:graphicData>
            </a:graphic>
          </wp:inline>
        </w:drawing>
      </w:r>
    </w:p>
    <w:p w14:paraId="4108972C" w14:textId="77777777" w:rsidR="00653478" w:rsidRPr="00143F48" w:rsidRDefault="00653478" w:rsidP="00143F48">
      <w:pPr>
        <w:jc w:val="right"/>
        <w:rPr>
          <w:b/>
          <w:lang w:val="es-ES_tradnl"/>
        </w:rPr>
      </w:pPr>
    </w:p>
    <w:p w14:paraId="019C3E84" w14:textId="77777777" w:rsidR="00653478" w:rsidRDefault="00653478" w:rsidP="00143F48">
      <w:pPr>
        <w:ind w:left="-720"/>
        <w:rPr>
          <w:lang w:val="es-ES_tradnl"/>
        </w:rPr>
      </w:pPr>
    </w:p>
    <w:p w14:paraId="675ED7E2" w14:textId="77777777" w:rsidR="00AF7745" w:rsidRDefault="00AF7745" w:rsidP="00143F48">
      <w:pPr>
        <w:ind w:left="-720"/>
        <w:rPr>
          <w:lang w:val="es-ES_tradnl"/>
        </w:rPr>
      </w:pPr>
      <w:bookmarkStart w:id="77" w:name="_Hlk513626574"/>
    </w:p>
    <w:p w14:paraId="62170506" w14:textId="2D60BEA7" w:rsidR="00653478" w:rsidRPr="00AF7745" w:rsidRDefault="00AF7745" w:rsidP="00AF7745">
      <w:pPr>
        <w:ind w:left="-720" w:firstLine="720"/>
        <w:rPr>
          <w:b/>
          <w:sz w:val="18"/>
          <w:szCs w:val="18"/>
          <w:lang w:val="es-ES_tradnl"/>
        </w:rPr>
      </w:pPr>
      <w:r w:rsidRPr="00AF7745">
        <w:rPr>
          <w:b/>
          <w:sz w:val="18"/>
          <w:szCs w:val="18"/>
          <w:lang w:val="es-ES_tradnl"/>
        </w:rPr>
        <w:t>Cuadro G-2</w:t>
      </w:r>
    </w:p>
    <w:bookmarkEnd w:id="77"/>
    <w:p w14:paraId="2828A46E" w14:textId="77777777" w:rsidR="00143F48" w:rsidRDefault="00143F48" w:rsidP="00143F48">
      <w:pPr>
        <w:ind w:left="-720"/>
        <w:rPr>
          <w:lang w:val="es-ES_tradnl"/>
        </w:rPr>
      </w:pPr>
      <w:r w:rsidRPr="00143F48">
        <w:rPr>
          <w:noProof/>
        </w:rPr>
        <w:drawing>
          <wp:inline distT="0" distB="0" distL="0" distR="0" wp14:anchorId="3C6FFCB6" wp14:editId="2F3EB0E7">
            <wp:extent cx="9452949" cy="40862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9464011" cy="4091007"/>
                    </a:xfrm>
                    <a:prstGeom prst="rect">
                      <a:avLst/>
                    </a:prstGeom>
                  </pic:spPr>
                </pic:pic>
              </a:graphicData>
            </a:graphic>
          </wp:inline>
        </w:drawing>
      </w:r>
    </w:p>
    <w:p w14:paraId="3A38C875" w14:textId="77777777" w:rsidR="00653478" w:rsidRDefault="00653478" w:rsidP="00143F48">
      <w:pPr>
        <w:ind w:left="-720"/>
        <w:rPr>
          <w:lang w:val="es-ES_tradnl"/>
        </w:rPr>
      </w:pPr>
    </w:p>
    <w:p w14:paraId="2F6F08B2" w14:textId="77777777" w:rsidR="00653478" w:rsidRDefault="00653478" w:rsidP="00143F48">
      <w:pPr>
        <w:ind w:left="-720"/>
        <w:rPr>
          <w:lang w:val="es-ES_tradnl"/>
        </w:rPr>
      </w:pPr>
    </w:p>
    <w:p w14:paraId="51AD667C" w14:textId="77777777" w:rsidR="00653478" w:rsidRDefault="00653478" w:rsidP="00143F48">
      <w:pPr>
        <w:ind w:left="-720"/>
        <w:rPr>
          <w:lang w:val="es-ES_tradnl"/>
        </w:rPr>
      </w:pPr>
    </w:p>
    <w:p w14:paraId="04418A61" w14:textId="77777777" w:rsidR="00653478" w:rsidRDefault="00653478" w:rsidP="00143F48">
      <w:pPr>
        <w:ind w:left="-720"/>
        <w:rPr>
          <w:lang w:val="es-ES_tradnl"/>
        </w:rPr>
      </w:pPr>
    </w:p>
    <w:p w14:paraId="61664ADB" w14:textId="77777777" w:rsidR="00653478" w:rsidRDefault="00653478" w:rsidP="00143F48">
      <w:pPr>
        <w:ind w:left="-720"/>
        <w:rPr>
          <w:lang w:val="es-ES_tradnl"/>
        </w:rPr>
      </w:pPr>
    </w:p>
    <w:p w14:paraId="6682AB65" w14:textId="77777777" w:rsidR="00AF7745" w:rsidRDefault="00AF7745" w:rsidP="00AF7745">
      <w:pPr>
        <w:ind w:left="-720"/>
        <w:rPr>
          <w:lang w:val="es-ES_tradnl"/>
        </w:rPr>
      </w:pPr>
    </w:p>
    <w:p w14:paraId="482146FC" w14:textId="77777777" w:rsidR="00AF7745" w:rsidRDefault="00AF7745" w:rsidP="00AF7745">
      <w:pPr>
        <w:ind w:left="-720" w:firstLine="720"/>
        <w:rPr>
          <w:b/>
          <w:sz w:val="18"/>
          <w:szCs w:val="18"/>
          <w:lang w:val="es-ES_tradnl"/>
        </w:rPr>
      </w:pPr>
    </w:p>
    <w:p w14:paraId="2C52A66D" w14:textId="6E68DE33" w:rsidR="00653478" w:rsidRDefault="00AF7745" w:rsidP="00AF7745">
      <w:pPr>
        <w:ind w:left="-720" w:firstLine="720"/>
        <w:rPr>
          <w:lang w:val="es-ES_tradnl"/>
        </w:rPr>
      </w:pPr>
      <w:r w:rsidRPr="00AF7745">
        <w:rPr>
          <w:b/>
          <w:sz w:val="18"/>
          <w:szCs w:val="18"/>
          <w:lang w:val="es-ES_tradnl"/>
        </w:rPr>
        <w:t>Cuadro G-</w:t>
      </w:r>
      <w:r>
        <w:rPr>
          <w:b/>
          <w:sz w:val="18"/>
          <w:szCs w:val="18"/>
          <w:lang w:val="es-ES_tradnl"/>
        </w:rPr>
        <w:t>3</w:t>
      </w:r>
    </w:p>
    <w:p w14:paraId="79C76887" w14:textId="77777777" w:rsidR="00653478" w:rsidRDefault="004965B3" w:rsidP="004C73C8">
      <w:pPr>
        <w:ind w:left="-990"/>
        <w:rPr>
          <w:lang w:val="es-ES_tradnl"/>
        </w:rPr>
      </w:pPr>
      <w:r>
        <w:rPr>
          <w:noProof/>
        </w:rPr>
        <w:drawing>
          <wp:inline distT="0" distB="0" distL="0" distR="0" wp14:anchorId="13155F25" wp14:editId="35EFBE06">
            <wp:extent cx="9687465" cy="4257675"/>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727538" cy="4275287"/>
                    </a:xfrm>
                    <a:prstGeom prst="rect">
                      <a:avLst/>
                    </a:prstGeom>
                  </pic:spPr>
                </pic:pic>
              </a:graphicData>
            </a:graphic>
          </wp:inline>
        </w:drawing>
      </w:r>
    </w:p>
    <w:p w14:paraId="3FAD0026" w14:textId="77777777" w:rsidR="00AF7745" w:rsidRDefault="00AF7745" w:rsidP="00AF7745">
      <w:pPr>
        <w:ind w:left="-720"/>
        <w:rPr>
          <w:lang w:val="es-ES_tradnl"/>
        </w:rPr>
      </w:pPr>
    </w:p>
    <w:p w14:paraId="47916995" w14:textId="77777777" w:rsidR="00AF7745" w:rsidRDefault="00AF7745" w:rsidP="00AF7745">
      <w:pPr>
        <w:ind w:left="-720" w:firstLine="720"/>
        <w:rPr>
          <w:b/>
          <w:sz w:val="18"/>
          <w:szCs w:val="18"/>
          <w:lang w:val="es-ES_tradnl"/>
        </w:rPr>
      </w:pPr>
    </w:p>
    <w:p w14:paraId="11972E6F" w14:textId="77777777" w:rsidR="00AF7745" w:rsidRDefault="00AF7745" w:rsidP="00AF7745">
      <w:pPr>
        <w:ind w:left="-720" w:firstLine="720"/>
        <w:rPr>
          <w:b/>
          <w:sz w:val="18"/>
          <w:szCs w:val="18"/>
          <w:lang w:val="es-ES_tradnl"/>
        </w:rPr>
      </w:pPr>
    </w:p>
    <w:p w14:paraId="0F2B9CDD" w14:textId="77777777" w:rsidR="00AF7745" w:rsidRDefault="00AF7745" w:rsidP="00AF7745">
      <w:pPr>
        <w:ind w:left="-720" w:firstLine="720"/>
        <w:rPr>
          <w:b/>
          <w:sz w:val="18"/>
          <w:szCs w:val="18"/>
          <w:lang w:val="es-ES_tradnl"/>
        </w:rPr>
      </w:pPr>
    </w:p>
    <w:p w14:paraId="460241BD" w14:textId="77777777" w:rsidR="00AF7745" w:rsidRDefault="00AF7745" w:rsidP="00AF7745">
      <w:pPr>
        <w:ind w:left="-720" w:firstLine="720"/>
        <w:rPr>
          <w:b/>
          <w:sz w:val="18"/>
          <w:szCs w:val="18"/>
          <w:lang w:val="es-ES_tradnl"/>
        </w:rPr>
      </w:pPr>
    </w:p>
    <w:p w14:paraId="353F921B" w14:textId="77777777" w:rsidR="00AF7745" w:rsidRDefault="00AF7745" w:rsidP="00AF7745">
      <w:pPr>
        <w:ind w:left="-720" w:firstLine="720"/>
        <w:rPr>
          <w:b/>
          <w:sz w:val="18"/>
          <w:szCs w:val="18"/>
          <w:lang w:val="es-ES_tradnl"/>
        </w:rPr>
      </w:pPr>
    </w:p>
    <w:p w14:paraId="1C6DD6D3" w14:textId="77777777" w:rsidR="00AF7745" w:rsidRDefault="00AF7745" w:rsidP="00AF7745">
      <w:pPr>
        <w:ind w:left="-720" w:firstLine="720"/>
        <w:rPr>
          <w:b/>
          <w:sz w:val="18"/>
          <w:szCs w:val="18"/>
          <w:lang w:val="es-ES_tradnl"/>
        </w:rPr>
      </w:pPr>
    </w:p>
    <w:p w14:paraId="6AEB7A09" w14:textId="62D4E54E" w:rsidR="00AF7745" w:rsidRPr="00AF7745" w:rsidRDefault="00AF7745" w:rsidP="00AF7745">
      <w:pPr>
        <w:ind w:left="-720" w:firstLine="720"/>
        <w:rPr>
          <w:b/>
          <w:sz w:val="18"/>
          <w:szCs w:val="18"/>
          <w:lang w:val="es-ES_tradnl"/>
        </w:rPr>
      </w:pPr>
      <w:r w:rsidRPr="00AF7745">
        <w:rPr>
          <w:b/>
          <w:sz w:val="18"/>
          <w:szCs w:val="18"/>
          <w:lang w:val="es-ES_tradnl"/>
        </w:rPr>
        <w:t>Cuadro G-</w:t>
      </w:r>
      <w:r>
        <w:rPr>
          <w:b/>
          <w:sz w:val="18"/>
          <w:szCs w:val="18"/>
          <w:lang w:val="es-ES_tradnl"/>
        </w:rPr>
        <w:t>4</w:t>
      </w:r>
    </w:p>
    <w:p w14:paraId="52E45264" w14:textId="3B5CF2B1" w:rsidR="004965B3" w:rsidRPr="00613947" w:rsidRDefault="004965B3" w:rsidP="00143F48">
      <w:pPr>
        <w:ind w:left="-720"/>
        <w:rPr>
          <w:lang w:val="es-ES_tradnl"/>
        </w:rPr>
      </w:pPr>
      <w:r w:rsidRPr="004965B3">
        <w:rPr>
          <w:noProof/>
        </w:rPr>
        <w:drawing>
          <wp:inline distT="0" distB="0" distL="0" distR="0" wp14:anchorId="4959ACC5" wp14:editId="1045CB13">
            <wp:extent cx="9549499" cy="41243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9595163" cy="4144047"/>
                    </a:xfrm>
                    <a:prstGeom prst="rect">
                      <a:avLst/>
                    </a:prstGeom>
                  </pic:spPr>
                </pic:pic>
              </a:graphicData>
            </a:graphic>
          </wp:inline>
        </w:drawing>
      </w:r>
    </w:p>
    <w:sectPr w:rsidR="004965B3" w:rsidRPr="00613947" w:rsidSect="00143F48">
      <w:pgSz w:w="15840" w:h="12240" w:orient="landscape"/>
      <w:pgMar w:top="1800" w:right="1440" w:bottom="1886" w:left="1267" w:header="720" w:footer="18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7896E" w14:textId="77777777" w:rsidR="00237CAD" w:rsidRDefault="00237CAD" w:rsidP="00C67CCA">
      <w:r>
        <w:separator/>
      </w:r>
    </w:p>
  </w:endnote>
  <w:endnote w:type="continuationSeparator" w:id="0">
    <w:p w14:paraId="3A2B170C" w14:textId="77777777" w:rsidR="00237CAD" w:rsidRDefault="00237CAD" w:rsidP="00C6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65F2F" w14:textId="77777777" w:rsidR="00067B90" w:rsidRDefault="00067B90" w:rsidP="001728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AE59C0" w14:textId="77777777" w:rsidR="00067B90" w:rsidRDefault="00067B90" w:rsidP="004E3E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5B857" w14:textId="77777777" w:rsidR="00067B90" w:rsidRPr="00BF2133" w:rsidRDefault="00067B90" w:rsidP="00F6150F">
    <w:pPr>
      <w:pStyle w:val="Footer"/>
      <w:framePr w:h="720" w:hRule="exact" w:wrap="around" w:vAnchor="text" w:hAnchor="margin" w:xAlign="right"/>
      <w:rPr>
        <w:rStyle w:val="PageNumber"/>
      </w:rPr>
    </w:pPr>
    <w:r w:rsidRPr="00BF2133">
      <w:rPr>
        <w:rStyle w:val="PageNumber"/>
      </w:rPr>
      <w:fldChar w:fldCharType="begin"/>
    </w:r>
    <w:r w:rsidRPr="00BF2133">
      <w:rPr>
        <w:rStyle w:val="PageNumber"/>
      </w:rPr>
      <w:instrText xml:space="preserve">PAGE  </w:instrText>
    </w:r>
    <w:r w:rsidRPr="00BF2133">
      <w:rPr>
        <w:rStyle w:val="PageNumber"/>
      </w:rPr>
      <w:fldChar w:fldCharType="separate"/>
    </w:r>
    <w:r>
      <w:rPr>
        <w:rStyle w:val="PageNumber"/>
        <w:noProof/>
      </w:rPr>
      <w:t>20</w:t>
    </w:r>
    <w:r w:rsidRPr="00BF2133">
      <w:rPr>
        <w:rStyle w:val="PageNumber"/>
      </w:rPr>
      <w:fldChar w:fldCharType="end"/>
    </w:r>
  </w:p>
  <w:p w14:paraId="0D4DBCB9" w14:textId="5ADB5EBE" w:rsidR="00067B90" w:rsidRPr="00BF2133" w:rsidRDefault="00067B90" w:rsidP="004E3E37">
    <w:pPr>
      <w:pStyle w:val="Footer"/>
      <w:ind w:right="360"/>
      <w:rPr>
        <w:rFonts w:cs="Arial"/>
        <w:sz w:val="20"/>
        <w:szCs w:val="20"/>
      </w:rPr>
    </w:pPr>
    <w:r w:rsidRPr="00BF2133">
      <w:rPr>
        <w:rFonts w:cs="Arial"/>
        <w:sz w:val="20"/>
        <w:szCs w:val="20"/>
      </w:rPr>
      <w:t xml:space="preserve">Versión: </w:t>
    </w:r>
    <w:r w:rsidR="006B3386">
      <w:rPr>
        <w:rFonts w:cs="Arial"/>
        <w:sz w:val="20"/>
        <w:szCs w:val="20"/>
      </w:rPr>
      <w:t>11</w:t>
    </w:r>
    <w:r>
      <w:rPr>
        <w:rFonts w:cs="Arial"/>
        <w:sz w:val="20"/>
        <w:szCs w:val="20"/>
      </w:rPr>
      <w:t xml:space="preserve"> </w:t>
    </w:r>
    <w:r w:rsidRPr="00BF2133">
      <w:rPr>
        <w:rFonts w:cs="Arial"/>
        <w:sz w:val="20"/>
        <w:szCs w:val="20"/>
      </w:rPr>
      <w:t xml:space="preserve">de </w:t>
    </w:r>
    <w:r>
      <w:rPr>
        <w:rFonts w:cs="Arial"/>
        <w:sz w:val="20"/>
        <w:szCs w:val="20"/>
      </w:rPr>
      <w:t>mayo</w:t>
    </w:r>
    <w:r w:rsidRPr="00BF2133">
      <w:rPr>
        <w:rFonts w:cs="Arial"/>
        <w:sz w:val="20"/>
        <w:szCs w:val="20"/>
      </w:rPr>
      <w:t xml:space="preserve"> 201</w:t>
    </w:r>
    <w:r>
      <w:rPr>
        <w:rFonts w:cs="Arial"/>
        <w:sz w:val="20"/>
        <w:szCs w:val="20"/>
      </w:rPr>
      <w:t>8</w:t>
    </w:r>
  </w:p>
  <w:p w14:paraId="7A4DB3E2" w14:textId="77777777" w:rsidR="00067B90" w:rsidRPr="00BF2133" w:rsidRDefault="00067B90" w:rsidP="004E3E37">
    <w:pPr>
      <w:pStyle w:val="Footer"/>
      <w:ind w:right="360"/>
      <w:rPr>
        <w:rFonts w:cs="Arial"/>
        <w:sz w:val="20"/>
        <w:szCs w:val="20"/>
      </w:rPr>
    </w:pPr>
  </w:p>
  <w:p w14:paraId="11FAEB87" w14:textId="77777777" w:rsidR="00067B90" w:rsidRPr="00BC66CD" w:rsidRDefault="00067B90" w:rsidP="004E3E37">
    <w:pPr>
      <w:pStyle w:val="Footer"/>
      <w:ind w:right="360"/>
      <w:rPr>
        <w:rFonts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B4E21" w14:textId="77777777" w:rsidR="006B3386" w:rsidRDefault="006B3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8C2A5" w14:textId="77777777" w:rsidR="00237CAD" w:rsidRDefault="00237CAD" w:rsidP="00C67CCA">
      <w:r>
        <w:separator/>
      </w:r>
    </w:p>
  </w:footnote>
  <w:footnote w:type="continuationSeparator" w:id="0">
    <w:p w14:paraId="0EBBFDA4" w14:textId="77777777" w:rsidR="00237CAD" w:rsidRDefault="00237CAD" w:rsidP="00C67CCA">
      <w:r>
        <w:continuationSeparator/>
      </w:r>
    </w:p>
  </w:footnote>
  <w:footnote w:id="1">
    <w:p w14:paraId="48CD7ABC" w14:textId="77777777" w:rsidR="00067B90" w:rsidRPr="006C1198" w:rsidRDefault="00067B90" w:rsidP="00D365FF">
      <w:pPr>
        <w:pStyle w:val="FootnoteText"/>
        <w:ind w:left="360" w:hanging="360"/>
        <w:jc w:val="both"/>
        <w:rPr>
          <w:lang w:val="es-US"/>
        </w:rPr>
      </w:pPr>
      <w:r w:rsidRPr="00F30BBB">
        <w:rPr>
          <w:rStyle w:val="FootnoteReference"/>
          <w:rFonts w:ascii="Arial" w:hAnsi="Arial" w:cs="Arial"/>
          <w:sz w:val="18"/>
          <w:szCs w:val="18"/>
        </w:rPr>
        <w:footnoteRef/>
      </w:r>
      <w:r w:rsidRPr="00F30BBB">
        <w:rPr>
          <w:rFonts w:ascii="Arial" w:hAnsi="Arial" w:cs="Arial"/>
          <w:sz w:val="18"/>
          <w:szCs w:val="18"/>
          <w:lang w:val="es-US"/>
        </w:rPr>
        <w:t xml:space="preserve"> </w:t>
      </w:r>
      <w:r>
        <w:rPr>
          <w:rFonts w:ascii="Arial" w:hAnsi="Arial" w:cs="Arial"/>
          <w:sz w:val="18"/>
          <w:szCs w:val="18"/>
          <w:lang w:val="es-US"/>
        </w:rPr>
        <w:tab/>
      </w:r>
      <w:r w:rsidRPr="00F30BBB">
        <w:rPr>
          <w:rFonts w:ascii="Arial" w:hAnsi="Arial" w:cs="Arial"/>
          <w:sz w:val="18"/>
          <w:szCs w:val="18"/>
          <w:lang w:val="es-US"/>
        </w:rPr>
        <w:t>La modalidad de programas de obras múltiples financia un portafolio de proyectos de características similares pero independientes entre sí, y que cumplan con los criterios de elegibilidad definidos para el programa</w:t>
      </w:r>
      <w:r>
        <w:rPr>
          <w:rFonts w:ascii="Arial" w:hAnsi="Arial" w:cs="Arial"/>
          <w:sz w:val="18"/>
          <w:szCs w:val="18"/>
          <w:lang w:val="es-US"/>
        </w:rPr>
        <w:t>, incluyendo</w:t>
      </w:r>
      <w:r>
        <w:rPr>
          <w:lang w:val="es-US"/>
        </w:rPr>
        <w:t xml:space="preserve"> </w:t>
      </w:r>
      <w:r w:rsidRPr="008F184F">
        <w:rPr>
          <w:rFonts w:ascii="Arial" w:hAnsi="Arial" w:cs="Arial"/>
          <w:sz w:val="18"/>
          <w:szCs w:val="18"/>
          <w:lang w:val="es-US"/>
        </w:rPr>
        <w:t>criterios de calidad y confiabilidad</w:t>
      </w:r>
      <w:r>
        <w:rPr>
          <w:rFonts w:ascii="Arial" w:hAnsi="Arial" w:cs="Arial"/>
          <w:sz w:val="18"/>
          <w:szCs w:val="18"/>
          <w:lang w:val="es-US"/>
        </w:rPr>
        <w:t>,</w:t>
      </w:r>
      <w:r w:rsidRPr="008F184F">
        <w:rPr>
          <w:rFonts w:ascii="Arial" w:hAnsi="Arial" w:cs="Arial"/>
          <w:sz w:val="18"/>
          <w:szCs w:val="18"/>
          <w:lang w:val="es-US"/>
        </w:rPr>
        <w:t xml:space="preserve"> normalizados por ENEE.</w:t>
      </w:r>
      <w:r>
        <w:rPr>
          <w:rFonts w:ascii="Arial" w:hAnsi="Arial" w:cs="Arial"/>
          <w:sz w:val="18"/>
          <w:szCs w:val="18"/>
          <w:lang w:val="es-US"/>
        </w:rPr>
        <w:t xml:space="preserve"> </w:t>
      </w:r>
      <w:r w:rsidRPr="00F30BBB">
        <w:rPr>
          <w:rFonts w:ascii="Arial" w:hAnsi="Arial" w:cs="Arial"/>
          <w:sz w:val="18"/>
          <w:szCs w:val="18"/>
          <w:lang w:val="es-US"/>
        </w:rPr>
        <w:t xml:space="preserve"> Para la aprobación del financiamiento se debe contar con una muestra de proyectos identificados y evaluados que</w:t>
      </w:r>
      <w:r>
        <w:rPr>
          <w:rFonts w:ascii="Arial" w:hAnsi="Arial" w:cs="Arial"/>
          <w:sz w:val="18"/>
          <w:szCs w:val="18"/>
          <w:lang w:val="es-US"/>
        </w:rPr>
        <w:t xml:space="preserve"> </w:t>
      </w:r>
      <w:r w:rsidRPr="00F30BBB">
        <w:rPr>
          <w:rFonts w:ascii="Arial" w:hAnsi="Arial" w:cs="Arial"/>
          <w:sz w:val="18"/>
          <w:szCs w:val="18"/>
          <w:lang w:val="es-US"/>
        </w:rPr>
        <w:t>representen</w:t>
      </w:r>
      <w:r>
        <w:rPr>
          <w:rFonts w:ascii="Arial" w:hAnsi="Arial" w:cs="Arial"/>
          <w:sz w:val="18"/>
          <w:szCs w:val="18"/>
          <w:lang w:val="es-US"/>
        </w:rPr>
        <w:t>,</w:t>
      </w:r>
      <w:r w:rsidRPr="00F30BBB">
        <w:rPr>
          <w:rFonts w:ascii="Arial" w:hAnsi="Arial" w:cs="Arial"/>
          <w:sz w:val="18"/>
          <w:szCs w:val="18"/>
          <w:lang w:val="es-US"/>
        </w:rPr>
        <w:t xml:space="preserve"> como mínimo</w:t>
      </w:r>
      <w:r>
        <w:rPr>
          <w:rFonts w:ascii="Arial" w:hAnsi="Arial" w:cs="Arial"/>
          <w:sz w:val="18"/>
          <w:szCs w:val="18"/>
          <w:lang w:val="es-US"/>
        </w:rPr>
        <w:t>,</w:t>
      </w:r>
      <w:r w:rsidRPr="00F30BBB">
        <w:rPr>
          <w:rFonts w:ascii="Arial" w:hAnsi="Arial" w:cs="Arial"/>
          <w:sz w:val="18"/>
          <w:szCs w:val="18"/>
          <w:lang w:val="es-US"/>
        </w:rPr>
        <w:t xml:space="preserve"> el 30% del valor del financiamiento</w:t>
      </w:r>
      <w:r>
        <w:rPr>
          <w:lang w:val="es-US"/>
        </w:rPr>
        <w:t>.</w:t>
      </w:r>
    </w:p>
  </w:footnote>
  <w:footnote w:id="2">
    <w:p w14:paraId="0DEA596A" w14:textId="77777777" w:rsidR="00067B90" w:rsidRPr="00195E8F" w:rsidRDefault="00067B90" w:rsidP="005905E3">
      <w:pPr>
        <w:pStyle w:val="FootnoteText"/>
        <w:ind w:left="720" w:hanging="720"/>
        <w:rPr>
          <w:rFonts w:ascii="Arial" w:hAnsi="Arial" w:cs="Arial"/>
          <w:sz w:val="18"/>
          <w:szCs w:val="18"/>
          <w:lang w:val="es-US"/>
        </w:rPr>
      </w:pPr>
      <w:r w:rsidRPr="0098211A">
        <w:rPr>
          <w:rStyle w:val="FootnoteReference"/>
          <w:rFonts w:ascii="Arial" w:hAnsi="Arial" w:cs="Arial"/>
          <w:sz w:val="18"/>
          <w:szCs w:val="18"/>
        </w:rPr>
        <w:footnoteRef/>
      </w:r>
      <w:r w:rsidRPr="00195E8F">
        <w:rPr>
          <w:rFonts w:ascii="Arial" w:hAnsi="Arial" w:cs="Arial"/>
          <w:sz w:val="18"/>
          <w:szCs w:val="18"/>
          <w:lang w:val="es-US"/>
        </w:rPr>
        <w:t xml:space="preserve">   </w:t>
      </w:r>
      <w:r w:rsidRPr="00195E8F">
        <w:rPr>
          <w:rFonts w:ascii="Arial" w:hAnsi="Arial" w:cs="Arial"/>
          <w:sz w:val="18"/>
          <w:szCs w:val="18"/>
          <w:lang w:val="es-US"/>
        </w:rPr>
        <w:tab/>
        <w:t>La DMA depende directamente del Holding ENEE y presta servicios técnicos y especializados en evaluación ambiental y social a las empresas de Generación, Transmisión y Distribución de la ENEE.</w:t>
      </w:r>
    </w:p>
  </w:footnote>
  <w:footnote w:id="3">
    <w:p w14:paraId="7274E62F" w14:textId="77777777" w:rsidR="00067B90" w:rsidRPr="00195E8F" w:rsidRDefault="00067B90" w:rsidP="005905E3">
      <w:pPr>
        <w:pStyle w:val="FootnoteText"/>
        <w:ind w:left="720" w:hanging="720"/>
        <w:rPr>
          <w:lang w:val="es-US"/>
        </w:rPr>
      </w:pPr>
      <w:r w:rsidRPr="0098211A">
        <w:rPr>
          <w:rStyle w:val="FootnoteReference"/>
          <w:rFonts w:ascii="Arial" w:hAnsi="Arial" w:cs="Arial"/>
          <w:sz w:val="18"/>
          <w:szCs w:val="18"/>
        </w:rPr>
        <w:footnoteRef/>
      </w:r>
      <w:r w:rsidRPr="00195E8F">
        <w:rPr>
          <w:rFonts w:ascii="Arial" w:hAnsi="Arial" w:cs="Arial"/>
          <w:sz w:val="18"/>
          <w:szCs w:val="18"/>
          <w:lang w:val="es-US"/>
        </w:rPr>
        <w:t xml:space="preserve"> </w:t>
      </w:r>
      <w:r w:rsidRPr="00195E8F">
        <w:rPr>
          <w:rFonts w:ascii="Arial" w:hAnsi="Arial" w:cs="Arial"/>
          <w:sz w:val="18"/>
          <w:szCs w:val="18"/>
          <w:lang w:val="es-US"/>
        </w:rPr>
        <w:tab/>
        <w:t>Como parte del proceso de reforma la Secretaría de Energía incorpora en su organigrama una unidad de responsabilidad social y ambiental la cual dará lineamientos a los agentes del sector incluida la ENEE</w:t>
      </w:r>
      <w:r w:rsidRPr="00195E8F">
        <w:rPr>
          <w:lang w:val="es-US"/>
        </w:rPr>
        <w:t>.</w:t>
      </w:r>
    </w:p>
  </w:footnote>
  <w:footnote w:id="4">
    <w:p w14:paraId="09AF9F80" w14:textId="77777777" w:rsidR="00067B90" w:rsidRPr="00D764CC" w:rsidRDefault="00067B90" w:rsidP="00D365FF">
      <w:pPr>
        <w:pStyle w:val="FootnoteText"/>
        <w:ind w:left="360" w:hanging="360"/>
        <w:jc w:val="both"/>
        <w:rPr>
          <w:rFonts w:ascii="Arial" w:hAnsi="Arial" w:cs="Arial"/>
          <w:sz w:val="18"/>
          <w:szCs w:val="18"/>
          <w:lang w:val="es-US"/>
        </w:rPr>
      </w:pPr>
      <w:r w:rsidRPr="00D764CC">
        <w:rPr>
          <w:rStyle w:val="FootnoteReference"/>
          <w:rFonts w:ascii="Arial" w:hAnsi="Arial" w:cs="Arial"/>
          <w:sz w:val="18"/>
          <w:szCs w:val="18"/>
        </w:rPr>
        <w:footnoteRef/>
      </w:r>
      <w:r w:rsidRPr="00D764CC">
        <w:rPr>
          <w:rFonts w:ascii="Arial" w:hAnsi="Arial" w:cs="Arial"/>
          <w:sz w:val="18"/>
          <w:szCs w:val="18"/>
          <w:lang w:val="es-US"/>
        </w:rPr>
        <w:t xml:space="preserve">  </w:t>
      </w:r>
      <w:r w:rsidRPr="00D764CC">
        <w:rPr>
          <w:rFonts w:ascii="Arial" w:hAnsi="Arial" w:cs="Arial"/>
          <w:sz w:val="18"/>
          <w:szCs w:val="18"/>
          <w:lang w:val="es-US"/>
        </w:rPr>
        <w:tab/>
        <w:t xml:space="preserve">En Honduras se </w:t>
      </w:r>
      <w:r>
        <w:rPr>
          <w:rFonts w:ascii="Arial" w:hAnsi="Arial" w:cs="Arial"/>
          <w:sz w:val="18"/>
          <w:szCs w:val="18"/>
          <w:lang w:val="es-US"/>
        </w:rPr>
        <w:t>redujo en</w:t>
      </w:r>
      <w:r w:rsidRPr="00D764CC">
        <w:rPr>
          <w:rFonts w:ascii="Arial" w:hAnsi="Arial" w:cs="Arial"/>
          <w:sz w:val="18"/>
          <w:szCs w:val="18"/>
          <w:lang w:val="es-US"/>
        </w:rPr>
        <w:t xml:space="preserve"> 41% </w:t>
      </w:r>
      <w:r>
        <w:rPr>
          <w:rFonts w:ascii="Arial" w:hAnsi="Arial" w:cs="Arial"/>
          <w:sz w:val="18"/>
          <w:szCs w:val="18"/>
          <w:lang w:val="es-US"/>
        </w:rPr>
        <w:t xml:space="preserve">la energía no suministrada, </w:t>
      </w:r>
      <w:r w:rsidRPr="00D764CC">
        <w:rPr>
          <w:rFonts w:ascii="Arial" w:hAnsi="Arial" w:cs="Arial"/>
          <w:sz w:val="18"/>
          <w:szCs w:val="18"/>
          <w:lang w:val="es-US"/>
        </w:rPr>
        <w:t>como resultado de las recientes inversiones en la SE La Entrada</w:t>
      </w:r>
      <w:r>
        <w:rPr>
          <w:rFonts w:ascii="Arial" w:hAnsi="Arial" w:cs="Arial"/>
          <w:sz w:val="18"/>
          <w:szCs w:val="18"/>
          <w:lang w:val="es-US"/>
        </w:rPr>
        <w:t>.</w:t>
      </w:r>
    </w:p>
  </w:footnote>
  <w:footnote w:id="5">
    <w:p w14:paraId="31869FE2" w14:textId="77777777" w:rsidR="00067B90" w:rsidRPr="00A02E42" w:rsidRDefault="00067B90" w:rsidP="00D271D5">
      <w:pPr>
        <w:pStyle w:val="FootnoteText"/>
        <w:spacing w:before="60"/>
        <w:ind w:left="360" w:hanging="360"/>
        <w:jc w:val="both"/>
        <w:rPr>
          <w:rFonts w:ascii="Arial" w:hAnsi="Arial" w:cs="Arial"/>
          <w:sz w:val="18"/>
          <w:szCs w:val="18"/>
          <w:lang w:val="es-US"/>
        </w:rPr>
      </w:pPr>
      <w:r w:rsidRPr="00A02E42">
        <w:rPr>
          <w:rStyle w:val="FootnoteReference"/>
          <w:rFonts w:ascii="Arial" w:hAnsi="Arial" w:cs="Arial"/>
          <w:sz w:val="18"/>
          <w:szCs w:val="18"/>
        </w:rPr>
        <w:footnoteRef/>
      </w:r>
      <w:r w:rsidRPr="00A02E42">
        <w:rPr>
          <w:rFonts w:ascii="Arial" w:hAnsi="Arial" w:cs="Arial"/>
          <w:sz w:val="18"/>
          <w:szCs w:val="18"/>
          <w:lang w:val="es-US"/>
        </w:rPr>
        <w:t xml:space="preserve"> </w:t>
      </w:r>
      <w:r w:rsidRPr="00A02E42">
        <w:rPr>
          <w:rFonts w:ascii="Arial" w:hAnsi="Arial" w:cs="Arial"/>
          <w:sz w:val="18"/>
          <w:szCs w:val="18"/>
          <w:lang w:val="es-US"/>
        </w:rPr>
        <w:tab/>
        <w:t xml:space="preserve">El costo de racionamiento de energía, también llamado "costo de falla", es el costo por kilowatt-hora pagado (o beneficio económico perdido), en promedio, por los usuarios cuando la energía no está disponible y tiene que ser generada con unidades de emergencia o no se consume, lo que representa costos económicos para los usuarios finales. </w:t>
      </w:r>
      <w:r>
        <w:rPr>
          <w:rFonts w:ascii="Arial" w:hAnsi="Arial" w:cs="Arial"/>
          <w:sz w:val="18"/>
          <w:szCs w:val="18"/>
          <w:lang w:val="es-US"/>
        </w:rPr>
        <w:t>U</w:t>
      </w:r>
      <w:r w:rsidRPr="00A02E42">
        <w:rPr>
          <w:rFonts w:ascii="Arial" w:hAnsi="Arial" w:cs="Arial"/>
          <w:sz w:val="18"/>
          <w:szCs w:val="18"/>
          <w:lang w:val="es-US"/>
        </w:rPr>
        <w:t>na definición alternativa es el precio que los usuarios estarían dispuestos a pagar por energía disponible. Los valores de referencia de dicho costo varían mucho en América Latina, debido principalmente al mercado y a diferencias metodológicas y normativas. Su cálculo varía según la región si está asociado al suministro de un determinado nivel de demanda. Por tal razón, algunos países tienen diferentes costos de racionamiento para cada segmento de la demanda (residencias, comercial, industrial), y otros en función del porcentaje de la demanda afectada por la escasez (por ejemplo, 5%, 10%, por encima del 20%), otros países utilizan valores individuales (como Brasil, calculado utilizando los cost</w:t>
      </w:r>
      <w:r>
        <w:rPr>
          <w:rFonts w:ascii="Arial" w:hAnsi="Arial" w:cs="Arial"/>
          <w:sz w:val="18"/>
          <w:szCs w:val="18"/>
          <w:lang w:val="es-US"/>
        </w:rPr>
        <w:t>o</w:t>
      </w:r>
      <w:r w:rsidRPr="00A02E42">
        <w:rPr>
          <w:rFonts w:ascii="Arial" w:hAnsi="Arial" w:cs="Arial"/>
          <w:sz w:val="18"/>
          <w:szCs w:val="18"/>
          <w:lang w:val="es-US"/>
        </w:rPr>
        <w:t>s de generación de una unidad de emergencia hidráulica y la valoración del agua en los embalses).</w:t>
      </w:r>
    </w:p>
  </w:footnote>
  <w:footnote w:id="6">
    <w:p w14:paraId="14B0654A" w14:textId="77777777" w:rsidR="00067B90" w:rsidRPr="00D271D5" w:rsidRDefault="00067B90" w:rsidP="00D271D5">
      <w:pPr>
        <w:pStyle w:val="FootnoteText"/>
        <w:spacing w:before="60"/>
        <w:ind w:left="360" w:hanging="360"/>
        <w:jc w:val="both"/>
        <w:rPr>
          <w:lang w:val="es-US"/>
        </w:rPr>
      </w:pPr>
      <w:r>
        <w:rPr>
          <w:rStyle w:val="FootnoteReference"/>
        </w:rPr>
        <w:footnoteRef/>
      </w:r>
      <w:r w:rsidRPr="00D271D5">
        <w:rPr>
          <w:lang w:val="es-US"/>
        </w:rPr>
        <w:t xml:space="preserve"> </w:t>
      </w:r>
      <w:r>
        <w:rPr>
          <w:lang w:val="es-US"/>
        </w:rPr>
        <w:tab/>
      </w:r>
      <w:r>
        <w:rPr>
          <w:rFonts w:ascii="Arial" w:hAnsi="Arial" w:cs="Arial"/>
          <w:sz w:val="18"/>
          <w:szCs w:val="18"/>
          <w:lang w:val="es-US"/>
        </w:rPr>
        <w:t xml:space="preserve">En el análisis de sensibilidad se </w:t>
      </w:r>
      <w:r w:rsidRPr="002D4640">
        <w:rPr>
          <w:rFonts w:ascii="Arial" w:hAnsi="Arial" w:cs="Arial"/>
          <w:sz w:val="18"/>
          <w:szCs w:val="18"/>
          <w:lang w:val="es-US"/>
        </w:rPr>
        <w:t>utiliza US$ 500/MWh como costo de falla del 100% de la demanda</w:t>
      </w:r>
      <w:r>
        <w:rPr>
          <w:rFonts w:ascii="Arial" w:hAnsi="Arial" w:cs="Arial"/>
          <w:sz w:val="18"/>
          <w:szCs w:val="18"/>
          <w:lang w:val="es-US"/>
        </w:rPr>
        <w:t xml:space="preserve">, </w:t>
      </w:r>
      <w:r w:rsidRPr="002D4640">
        <w:rPr>
          <w:rFonts w:ascii="Arial" w:hAnsi="Arial" w:cs="Arial"/>
          <w:sz w:val="18"/>
          <w:szCs w:val="18"/>
          <w:lang w:val="es-US"/>
        </w:rPr>
        <w:t xml:space="preserve">el cual se compara con el rango medio evaluado y aplicado en varios países de América Latina. </w:t>
      </w:r>
      <w:r>
        <w:rPr>
          <w:rFonts w:ascii="Arial" w:hAnsi="Arial" w:cs="Arial"/>
          <w:sz w:val="18"/>
          <w:szCs w:val="18"/>
          <w:lang w:val="es-US"/>
        </w:rPr>
        <w:t>E</w:t>
      </w:r>
      <w:r w:rsidRPr="002D4640">
        <w:rPr>
          <w:rFonts w:ascii="Arial" w:hAnsi="Arial" w:cs="Arial"/>
          <w:sz w:val="18"/>
          <w:szCs w:val="18"/>
          <w:lang w:val="es-US"/>
        </w:rPr>
        <w:t>n Chile el costo de falla es de aproximadamente US$552/MWh para racionamientos de más del 20% de la demanda</w:t>
      </w:r>
      <w:r>
        <w:rPr>
          <w:rFonts w:ascii="Arial" w:hAnsi="Arial" w:cs="Arial"/>
          <w:sz w:val="18"/>
          <w:szCs w:val="18"/>
          <w:lang w:val="es-US"/>
        </w:rPr>
        <w:t>. P</w:t>
      </w:r>
      <w:r w:rsidRPr="002D4640">
        <w:rPr>
          <w:rFonts w:ascii="Arial" w:hAnsi="Arial" w:cs="Arial"/>
          <w:sz w:val="18"/>
          <w:szCs w:val="18"/>
          <w:lang w:val="es-US"/>
        </w:rPr>
        <w:t>ara el mismo porcentaje de demanda, Uruguay utiliza US$2000/MWh; Colombia US$455/MWh para el segmento residencia</w:t>
      </w:r>
      <w:r>
        <w:rPr>
          <w:rFonts w:ascii="Arial" w:hAnsi="Arial" w:cs="Arial"/>
          <w:sz w:val="18"/>
          <w:szCs w:val="18"/>
          <w:lang w:val="es-US"/>
        </w:rPr>
        <w:t>l</w:t>
      </w:r>
      <w:r w:rsidRPr="002D4640">
        <w:rPr>
          <w:rFonts w:ascii="Arial" w:hAnsi="Arial" w:cs="Arial"/>
          <w:sz w:val="18"/>
          <w:szCs w:val="18"/>
          <w:lang w:val="es-US"/>
        </w:rPr>
        <w:t xml:space="preserve"> y hasta US$1877/MWh para el industrial y comercial mediano. Perú utiliza US$746/MWh, República Dominicana US$$167.8/MWh y Brasil US$270/MWh</w:t>
      </w:r>
      <w:r>
        <w:rPr>
          <w:rFonts w:ascii="Arial" w:hAnsi="Arial" w:cs="Arial"/>
          <w:sz w:val="18"/>
          <w:szCs w:val="18"/>
          <w:lang w:val="es-US"/>
        </w:rPr>
        <w:t>.</w:t>
      </w:r>
    </w:p>
  </w:footnote>
  <w:footnote w:id="7">
    <w:p w14:paraId="4E2A8699" w14:textId="77777777" w:rsidR="00067B90" w:rsidRPr="003B7D1A" w:rsidRDefault="00067B90" w:rsidP="00D365FF">
      <w:pPr>
        <w:pStyle w:val="FootnoteText"/>
        <w:jc w:val="both"/>
        <w:rPr>
          <w:rFonts w:ascii="Arial" w:hAnsi="Arial" w:cs="Arial"/>
          <w:sz w:val="18"/>
          <w:szCs w:val="18"/>
          <w:lang w:val="es-US"/>
        </w:rPr>
      </w:pPr>
      <w:r w:rsidRPr="006805FC">
        <w:rPr>
          <w:rStyle w:val="FootnoteReference"/>
          <w:rFonts w:ascii="Arial" w:hAnsi="Arial" w:cs="Arial"/>
          <w:sz w:val="18"/>
          <w:szCs w:val="18"/>
        </w:rPr>
        <w:footnoteRef/>
      </w:r>
      <w:r w:rsidRPr="003B7D1A">
        <w:rPr>
          <w:rFonts w:ascii="Arial" w:hAnsi="Arial" w:cs="Arial"/>
          <w:sz w:val="18"/>
          <w:szCs w:val="18"/>
          <w:lang w:val="es-US"/>
        </w:rPr>
        <w:t xml:space="preserve"> Fuente: "Balanza de Pagos de Honduras", BCH, 2014. Con valores para X y M expresados en dólares americanos.</w:t>
      </w:r>
    </w:p>
  </w:footnote>
  <w:footnote w:id="8">
    <w:p w14:paraId="507A76B2" w14:textId="77777777" w:rsidR="00067B90" w:rsidRPr="003B7D1A" w:rsidRDefault="00067B90" w:rsidP="00D365FF">
      <w:pPr>
        <w:pStyle w:val="FootnoteText"/>
        <w:jc w:val="both"/>
        <w:rPr>
          <w:rFonts w:ascii="Arial" w:hAnsi="Arial" w:cs="Arial"/>
          <w:sz w:val="18"/>
          <w:szCs w:val="18"/>
          <w:lang w:val="es-US"/>
        </w:rPr>
      </w:pPr>
      <w:r w:rsidRPr="006805FC">
        <w:rPr>
          <w:rStyle w:val="FootnoteReference"/>
          <w:rFonts w:ascii="Arial" w:hAnsi="Arial" w:cs="Arial"/>
          <w:sz w:val="18"/>
          <w:szCs w:val="18"/>
        </w:rPr>
        <w:footnoteRef/>
      </w:r>
      <w:r w:rsidRPr="003B7D1A">
        <w:rPr>
          <w:rFonts w:ascii="Arial" w:hAnsi="Arial" w:cs="Arial"/>
          <w:sz w:val="18"/>
          <w:szCs w:val="18"/>
          <w:lang w:val="es-US"/>
        </w:rPr>
        <w:t xml:space="preserve"> Fuente: "Liquidación del Presupuesto General de Ingresos y Egresos de la República, Ejercicio Fiscal 2013", Secretaría de Finanzas, marzo de 2014. Con valores para los impuestos a las importaciones, T</w:t>
      </w:r>
      <w:r w:rsidRPr="003B7D1A">
        <w:rPr>
          <w:rFonts w:ascii="Arial" w:hAnsi="Arial" w:cs="Arial"/>
          <w:sz w:val="18"/>
          <w:szCs w:val="18"/>
          <w:vertAlign w:val="subscript"/>
          <w:lang w:val="es-US"/>
        </w:rPr>
        <w:t xml:space="preserve">M, </w:t>
      </w:r>
      <w:r w:rsidRPr="003B7D1A">
        <w:rPr>
          <w:rFonts w:ascii="Arial" w:hAnsi="Arial" w:cs="Arial"/>
          <w:sz w:val="18"/>
          <w:szCs w:val="18"/>
          <w:lang w:val="es-US"/>
        </w:rPr>
        <w:t>liquidados en Lempiras y expresados en dólares americanos con una tasa de cambio de L 20.5/US$. Este informe no registra impuestos liquidados para las exportaciones, T</w:t>
      </w:r>
      <w:r w:rsidRPr="003B7D1A">
        <w:rPr>
          <w:rFonts w:ascii="Arial" w:hAnsi="Arial" w:cs="Arial"/>
          <w:sz w:val="18"/>
          <w:szCs w:val="18"/>
          <w:vertAlign w:val="subscript"/>
          <w:lang w:val="es-US"/>
        </w:rPr>
        <w:t>X.</w:t>
      </w:r>
    </w:p>
  </w:footnote>
  <w:footnote w:id="9">
    <w:p w14:paraId="05285FB6" w14:textId="77777777" w:rsidR="00067B90" w:rsidRPr="003B7D1A" w:rsidRDefault="00067B90" w:rsidP="00D365FF">
      <w:pPr>
        <w:pStyle w:val="FootnoteText"/>
        <w:jc w:val="both"/>
        <w:rPr>
          <w:rFonts w:ascii="Arial" w:hAnsi="Arial" w:cs="Arial"/>
          <w:sz w:val="18"/>
          <w:szCs w:val="18"/>
          <w:lang w:val="es-US"/>
        </w:rPr>
      </w:pPr>
      <w:r w:rsidRPr="007F772C">
        <w:rPr>
          <w:rStyle w:val="FootnoteReference"/>
          <w:rFonts w:ascii="Arial" w:hAnsi="Arial" w:cs="Arial"/>
          <w:sz w:val="18"/>
          <w:szCs w:val="18"/>
        </w:rPr>
        <w:footnoteRef/>
      </w:r>
      <w:r w:rsidRPr="003B7D1A">
        <w:rPr>
          <w:rFonts w:ascii="Arial" w:hAnsi="Arial" w:cs="Arial"/>
          <w:sz w:val="18"/>
          <w:szCs w:val="18"/>
          <w:lang w:val="es-US"/>
        </w:rPr>
        <w:t xml:space="preserve">  Estimados con 260 días laborables anuales totales y remuneración adicional anual de 30 días por aguinaldo, 30 días por decimocuarto mes, 41 días por vacaciones y bonificación (bajo el supuesto de una antigüedad promedio de 3 años de los trabajadores no calificados) y 12.35% de aporte de ENEE al fondo de prestaciones sociales.</w:t>
      </w:r>
    </w:p>
  </w:footnote>
  <w:footnote w:id="10">
    <w:p w14:paraId="78EC82CF" w14:textId="77777777" w:rsidR="00067B90" w:rsidRPr="00CE4FD2" w:rsidRDefault="00067B90" w:rsidP="00D365FF">
      <w:pPr>
        <w:jc w:val="both"/>
        <w:rPr>
          <w:rFonts w:cs="Arial"/>
          <w:sz w:val="18"/>
          <w:szCs w:val="18"/>
          <w:lang w:val="es-ES_tradnl"/>
        </w:rPr>
      </w:pPr>
      <w:r w:rsidRPr="00FB7401">
        <w:rPr>
          <w:rStyle w:val="FootnoteReference"/>
          <w:sz w:val="18"/>
          <w:szCs w:val="18"/>
        </w:rPr>
        <w:footnoteRef/>
      </w:r>
      <w:r w:rsidRPr="00CE4FD2">
        <w:rPr>
          <w:sz w:val="18"/>
          <w:szCs w:val="18"/>
          <w:lang w:val="es-ES_tradnl"/>
        </w:rPr>
        <w:t xml:space="preserve"> </w:t>
      </w:r>
      <w:r w:rsidRPr="00CE4FD2">
        <w:rPr>
          <w:rFonts w:cs="Arial"/>
          <w:sz w:val="18"/>
          <w:szCs w:val="18"/>
          <w:lang w:val="es-ES_tradnl"/>
        </w:rPr>
        <w:t xml:space="preserve">Esta estructura corresponde a una situación típica de una empresa eficiente y con elevada composición de energía térmica producida a partir de combustibles fósiles.  </w:t>
      </w:r>
    </w:p>
    <w:p w14:paraId="24633A29" w14:textId="77777777" w:rsidR="00067B90" w:rsidRPr="00FB7401" w:rsidRDefault="00067B90" w:rsidP="00D365FF">
      <w:pPr>
        <w:pStyle w:val="FootnoteText"/>
        <w:rPr>
          <w:sz w:val="18"/>
          <w:szCs w:val="18"/>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033A7" w14:textId="77777777" w:rsidR="006B3386" w:rsidRDefault="006B33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63245" w14:textId="77777777" w:rsidR="006B3386" w:rsidRDefault="006B33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3FC26" w14:textId="77777777" w:rsidR="006B3386" w:rsidRDefault="006B3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pt;height:12pt;visibility:visible;mso-wrap-style:square" o:bullet="t">
        <v:imagedata r:id="rId1" o:title=""/>
      </v:shape>
    </w:pict>
  </w:numPicBullet>
  <w:abstractNum w:abstractNumId="0" w15:restartNumberingAfterBreak="0">
    <w:nsid w:val="0E0B6CF3"/>
    <w:multiLevelType w:val="hybridMultilevel"/>
    <w:tmpl w:val="7F2077CE"/>
    <w:lvl w:ilvl="0" w:tplc="8FF89194">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8F4089"/>
    <w:multiLevelType w:val="multilevel"/>
    <w:tmpl w:val="F2323326"/>
    <w:lvl w:ilvl="0">
      <w:start w:val="1"/>
      <w:numFmt w:val="upperRoman"/>
      <w:lvlText w:val="%1."/>
      <w:lvlJc w:val="left"/>
      <w:pPr>
        <w:ind w:left="3150" w:hanging="720"/>
      </w:pPr>
      <w:rPr>
        <w:rFonts w:hint="default"/>
        <w:b/>
        <w:color w:val="auto"/>
      </w:rPr>
    </w:lvl>
    <w:lvl w:ilvl="1">
      <w:start w:val="1"/>
      <w:numFmt w:val="bullet"/>
      <w:lvlText w:val=""/>
      <w:lvlJc w:val="left"/>
      <w:pPr>
        <w:ind w:left="405" w:hanging="405"/>
      </w:pPr>
      <w:rPr>
        <w:rFonts w:ascii="Symbol" w:hAnsi="Symbol" w:hint="default"/>
        <w:b w:val="0"/>
        <w:sz w:val="22"/>
        <w:szCs w:val="22"/>
      </w:rPr>
    </w:lvl>
    <w:lvl w:ilvl="2">
      <w:start w:val="1"/>
      <w:numFmt w:val="bullet"/>
      <w:lvlText w:val=""/>
      <w:lvlJc w:val="left"/>
      <w:pPr>
        <w:ind w:left="1770" w:hanging="720"/>
      </w:pPr>
      <w:rPr>
        <w:rFonts w:ascii="Symbol" w:hAnsi="Symbol"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 w15:restartNumberingAfterBreak="0">
    <w:nsid w:val="0FE150E5"/>
    <w:multiLevelType w:val="hybridMultilevel"/>
    <w:tmpl w:val="F30CA40C"/>
    <w:lvl w:ilvl="0" w:tplc="53463F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DD346F"/>
    <w:multiLevelType w:val="multilevel"/>
    <w:tmpl w:val="0409001D"/>
    <w:styleLink w:val="Style2"/>
    <w:lvl w:ilvl="0">
      <w:start w:val="1"/>
      <w:numFmt w:val="decimal"/>
      <w:lvlText w:val="%1)"/>
      <w:lvlJc w:val="left"/>
      <w:pPr>
        <w:ind w:left="360" w:hanging="360"/>
      </w:pPr>
      <w:rPr>
        <w:rFonts w:ascii="Arial" w:hAnsi="Arial"/>
        <w:b w:val="0"/>
        <w:i w:val="0"/>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E5446AA"/>
    <w:multiLevelType w:val="hybridMultilevel"/>
    <w:tmpl w:val="36549612"/>
    <w:lvl w:ilvl="0" w:tplc="0C0A0001">
      <w:start w:val="1"/>
      <w:numFmt w:val="bullet"/>
      <w:lvlText w:val=""/>
      <w:lvlJc w:val="left"/>
      <w:pPr>
        <w:tabs>
          <w:tab w:val="num" w:pos="600"/>
        </w:tabs>
        <w:ind w:left="600" w:hanging="360"/>
      </w:pPr>
      <w:rPr>
        <w:rFonts w:ascii="Symbol" w:hAnsi="Symbol" w:hint="default"/>
      </w:rPr>
    </w:lvl>
    <w:lvl w:ilvl="1" w:tplc="0C0A0003" w:tentative="1">
      <w:start w:val="1"/>
      <w:numFmt w:val="bullet"/>
      <w:lvlText w:val="o"/>
      <w:lvlJc w:val="left"/>
      <w:pPr>
        <w:tabs>
          <w:tab w:val="num" w:pos="1320"/>
        </w:tabs>
        <w:ind w:left="1320" w:hanging="360"/>
      </w:pPr>
      <w:rPr>
        <w:rFonts w:ascii="Courier New" w:hAnsi="Courier New" w:cs="Courier New" w:hint="default"/>
      </w:rPr>
    </w:lvl>
    <w:lvl w:ilvl="2" w:tplc="0C0A0005" w:tentative="1">
      <w:start w:val="1"/>
      <w:numFmt w:val="bullet"/>
      <w:lvlText w:val=""/>
      <w:lvlJc w:val="left"/>
      <w:pPr>
        <w:tabs>
          <w:tab w:val="num" w:pos="2040"/>
        </w:tabs>
        <w:ind w:left="2040" w:hanging="360"/>
      </w:pPr>
      <w:rPr>
        <w:rFonts w:ascii="Wingdings" w:hAnsi="Wingdings" w:hint="default"/>
      </w:rPr>
    </w:lvl>
    <w:lvl w:ilvl="3" w:tplc="0C0A0001" w:tentative="1">
      <w:start w:val="1"/>
      <w:numFmt w:val="bullet"/>
      <w:lvlText w:val=""/>
      <w:lvlJc w:val="left"/>
      <w:pPr>
        <w:tabs>
          <w:tab w:val="num" w:pos="2760"/>
        </w:tabs>
        <w:ind w:left="2760" w:hanging="360"/>
      </w:pPr>
      <w:rPr>
        <w:rFonts w:ascii="Symbol" w:hAnsi="Symbol" w:hint="default"/>
      </w:rPr>
    </w:lvl>
    <w:lvl w:ilvl="4" w:tplc="0C0A0003" w:tentative="1">
      <w:start w:val="1"/>
      <w:numFmt w:val="bullet"/>
      <w:lvlText w:val="o"/>
      <w:lvlJc w:val="left"/>
      <w:pPr>
        <w:tabs>
          <w:tab w:val="num" w:pos="3480"/>
        </w:tabs>
        <w:ind w:left="3480" w:hanging="360"/>
      </w:pPr>
      <w:rPr>
        <w:rFonts w:ascii="Courier New" w:hAnsi="Courier New" w:cs="Courier New" w:hint="default"/>
      </w:rPr>
    </w:lvl>
    <w:lvl w:ilvl="5" w:tplc="0C0A0005" w:tentative="1">
      <w:start w:val="1"/>
      <w:numFmt w:val="bullet"/>
      <w:lvlText w:val=""/>
      <w:lvlJc w:val="left"/>
      <w:pPr>
        <w:tabs>
          <w:tab w:val="num" w:pos="4200"/>
        </w:tabs>
        <w:ind w:left="4200" w:hanging="360"/>
      </w:pPr>
      <w:rPr>
        <w:rFonts w:ascii="Wingdings" w:hAnsi="Wingdings" w:hint="default"/>
      </w:rPr>
    </w:lvl>
    <w:lvl w:ilvl="6" w:tplc="0C0A0001" w:tentative="1">
      <w:start w:val="1"/>
      <w:numFmt w:val="bullet"/>
      <w:lvlText w:val=""/>
      <w:lvlJc w:val="left"/>
      <w:pPr>
        <w:tabs>
          <w:tab w:val="num" w:pos="4920"/>
        </w:tabs>
        <w:ind w:left="4920" w:hanging="360"/>
      </w:pPr>
      <w:rPr>
        <w:rFonts w:ascii="Symbol" w:hAnsi="Symbol" w:hint="default"/>
      </w:rPr>
    </w:lvl>
    <w:lvl w:ilvl="7" w:tplc="0C0A0003" w:tentative="1">
      <w:start w:val="1"/>
      <w:numFmt w:val="bullet"/>
      <w:lvlText w:val="o"/>
      <w:lvlJc w:val="left"/>
      <w:pPr>
        <w:tabs>
          <w:tab w:val="num" w:pos="5640"/>
        </w:tabs>
        <w:ind w:left="5640" w:hanging="360"/>
      </w:pPr>
      <w:rPr>
        <w:rFonts w:ascii="Courier New" w:hAnsi="Courier New" w:cs="Courier New" w:hint="default"/>
      </w:rPr>
    </w:lvl>
    <w:lvl w:ilvl="8" w:tplc="0C0A0005" w:tentative="1">
      <w:start w:val="1"/>
      <w:numFmt w:val="bullet"/>
      <w:lvlText w:val=""/>
      <w:lvlJc w:val="left"/>
      <w:pPr>
        <w:tabs>
          <w:tab w:val="num" w:pos="6360"/>
        </w:tabs>
        <w:ind w:left="6360" w:hanging="360"/>
      </w:pPr>
      <w:rPr>
        <w:rFonts w:ascii="Wingdings" w:hAnsi="Wingdings" w:hint="default"/>
      </w:rPr>
    </w:lvl>
  </w:abstractNum>
  <w:abstractNum w:abstractNumId="5" w15:restartNumberingAfterBreak="0">
    <w:nsid w:val="2CC4232B"/>
    <w:multiLevelType w:val="hybridMultilevel"/>
    <w:tmpl w:val="7F602660"/>
    <w:lvl w:ilvl="0" w:tplc="9378DE40">
      <w:start w:val="1"/>
      <w:numFmt w:val="decimal"/>
      <w:pStyle w:val="Banknumbered"/>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E72B8D"/>
    <w:multiLevelType w:val="multilevel"/>
    <w:tmpl w:val="63F66D3A"/>
    <w:lvl w:ilvl="0">
      <w:start w:val="1"/>
      <w:numFmt w:val="upperRoman"/>
      <w:lvlText w:val="%1."/>
      <w:lvlJc w:val="left"/>
      <w:pPr>
        <w:ind w:left="4950" w:hanging="720"/>
      </w:pPr>
      <w:rPr>
        <w:rFonts w:hint="default"/>
        <w:b/>
        <w:color w:val="auto"/>
      </w:rPr>
    </w:lvl>
    <w:lvl w:ilvl="1">
      <w:start w:val="1"/>
      <w:numFmt w:val="decimal"/>
      <w:isLgl/>
      <w:lvlText w:val="%1.%2"/>
      <w:lvlJc w:val="left"/>
      <w:pPr>
        <w:ind w:left="405" w:hanging="405"/>
      </w:pPr>
      <w:rPr>
        <w:rFonts w:ascii="Arial" w:hAnsi="Arial" w:cs="Arial" w:hint="default"/>
        <w:b w:val="0"/>
        <w:sz w:val="22"/>
        <w:szCs w:val="22"/>
      </w:rPr>
    </w:lvl>
    <w:lvl w:ilvl="2">
      <w:start w:val="1"/>
      <w:numFmt w:val="bullet"/>
      <w:lvlText w:val=""/>
      <w:lvlJc w:val="left"/>
      <w:pPr>
        <w:ind w:left="1770" w:hanging="720"/>
      </w:pPr>
      <w:rPr>
        <w:rFonts w:ascii="Symbol" w:hAnsi="Symbol"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7" w15:restartNumberingAfterBreak="0">
    <w:nsid w:val="359B4991"/>
    <w:multiLevelType w:val="multilevel"/>
    <w:tmpl w:val="732836B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8150A4C"/>
    <w:multiLevelType w:val="hybridMultilevel"/>
    <w:tmpl w:val="650A9F1C"/>
    <w:lvl w:ilvl="0" w:tplc="34C82AA4">
      <w:start w:val="1"/>
      <w:numFmt w:val="lowerRoman"/>
      <w:lvlText w:val="(%1)"/>
      <w:lvlJc w:val="left"/>
      <w:pPr>
        <w:ind w:left="1620" w:hanging="72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AB28C6"/>
    <w:multiLevelType w:val="multilevel"/>
    <w:tmpl w:val="04090027"/>
    <w:styleLink w:val="Style1"/>
    <w:lvl w:ilvl="0">
      <w:start w:val="1"/>
      <w:numFmt w:val="upperRoman"/>
      <w:lvlText w:val="%1."/>
      <w:lvlJc w:val="left"/>
      <w:pPr>
        <w:ind w:left="0" w:firstLine="0"/>
      </w:pPr>
      <w:rPr>
        <w:rFonts w:hint="default"/>
      </w:rPr>
    </w:lvl>
    <w:lvl w:ilvl="1">
      <w:start w:val="1"/>
      <w:numFmt w:val="upperLetter"/>
      <w:pStyle w:val="Heading2"/>
      <w:lvlText w:val="%2."/>
      <w:lvlJc w:val="left"/>
      <w:pPr>
        <w:ind w:left="720" w:firstLine="0"/>
      </w:pPr>
      <w:rPr>
        <w:rFonts w:ascii="Arial" w:hAnsi="Arial"/>
        <w:sz w:val="22"/>
      </w:rPr>
    </w:lvl>
    <w:lvl w:ilvl="2">
      <w:start w:val="1"/>
      <w:numFmt w:val="decimal"/>
      <w:lvlText w:val="%3."/>
      <w:lvlJc w:val="left"/>
      <w:pPr>
        <w:ind w:left="72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4E1A02F9"/>
    <w:multiLevelType w:val="hybridMultilevel"/>
    <w:tmpl w:val="D8105F9A"/>
    <w:lvl w:ilvl="0" w:tplc="BCAEF39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DE5774B"/>
    <w:multiLevelType w:val="hybridMultilevel"/>
    <w:tmpl w:val="8DC8D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BA272D"/>
    <w:multiLevelType w:val="multilevel"/>
    <w:tmpl w:val="29785906"/>
    <w:lvl w:ilvl="0">
      <w:start w:val="1"/>
      <w:numFmt w:val="upperRoman"/>
      <w:lvlRestart w:val="0"/>
      <w:lvlText w:val="%1."/>
      <w:lvlJc w:val="center"/>
      <w:pPr>
        <w:tabs>
          <w:tab w:val="num" w:pos="1800"/>
        </w:tabs>
        <w:ind w:left="1152" w:firstLine="288"/>
      </w:pPr>
      <w:rPr>
        <w:b/>
        <w:i w:val="0"/>
      </w:rPr>
    </w:lvl>
    <w:lvl w:ilvl="1">
      <w:start w:val="1"/>
      <w:numFmt w:val="lowerLetter"/>
      <w:lvlText w:val="%2."/>
      <w:lvlJc w:val="left"/>
      <w:pPr>
        <w:tabs>
          <w:tab w:val="num" w:pos="1476"/>
        </w:tabs>
        <w:ind w:left="1476" w:hanging="1296"/>
      </w:pPr>
      <w:rPr>
        <w:rFonts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662A1359"/>
    <w:multiLevelType w:val="multilevel"/>
    <w:tmpl w:val="04090027"/>
    <w:numStyleLink w:val="Style1"/>
  </w:abstractNum>
  <w:abstractNum w:abstractNumId="14" w15:restartNumberingAfterBreak="0">
    <w:nsid w:val="69367D68"/>
    <w:multiLevelType w:val="hybridMultilevel"/>
    <w:tmpl w:val="C2F83436"/>
    <w:lvl w:ilvl="0" w:tplc="5E90290C">
      <w:start w:val="1"/>
      <w:numFmt w:val="bullet"/>
      <w:lvlText w:val=""/>
      <w:lvlJc w:val="left"/>
      <w:pPr>
        <w:tabs>
          <w:tab w:val="num" w:pos="360"/>
        </w:tabs>
        <w:ind w:left="360" w:hanging="360"/>
      </w:pPr>
      <w:rPr>
        <w:rFonts w:ascii="Symbol" w:hAnsi="Symbol" w:hint="default"/>
      </w:rPr>
    </w:lvl>
    <w:lvl w:ilvl="1" w:tplc="0C0A000B">
      <w:start w:val="1"/>
      <w:numFmt w:val="bullet"/>
      <w:lvlText w:val="o"/>
      <w:lvlJc w:val="left"/>
      <w:pPr>
        <w:tabs>
          <w:tab w:val="num" w:pos="1440"/>
        </w:tabs>
        <w:ind w:left="1440" w:hanging="360"/>
      </w:pPr>
      <w:rPr>
        <w:rFonts w:ascii="Courier New" w:hAnsi="Courier New" w:hint="default"/>
      </w:rPr>
    </w:lvl>
    <w:lvl w:ilvl="2" w:tplc="9642F6D0" w:tentative="1">
      <w:start w:val="1"/>
      <w:numFmt w:val="bullet"/>
      <w:lvlText w:val=""/>
      <w:lvlJc w:val="left"/>
      <w:pPr>
        <w:tabs>
          <w:tab w:val="num" w:pos="2160"/>
        </w:tabs>
        <w:ind w:left="2160" w:hanging="360"/>
      </w:pPr>
      <w:rPr>
        <w:rFonts w:ascii="Wingdings" w:hAnsi="Wingdings" w:hint="default"/>
      </w:rPr>
    </w:lvl>
    <w:lvl w:ilvl="3" w:tplc="D9B2FAB4"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992D03"/>
    <w:multiLevelType w:val="multilevel"/>
    <w:tmpl w:val="4B68269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6" w15:restartNumberingAfterBreak="0">
    <w:nsid w:val="7634059D"/>
    <w:multiLevelType w:val="hybridMultilevel"/>
    <w:tmpl w:val="316424DA"/>
    <w:lvl w:ilvl="0" w:tplc="1312F9DE">
      <w:start w:val="1"/>
      <w:numFmt w:val="bullet"/>
      <w:lvlText w:val=""/>
      <w:lvlPicBulletId w:val="0"/>
      <w:lvlJc w:val="left"/>
      <w:pPr>
        <w:tabs>
          <w:tab w:val="num" w:pos="450"/>
        </w:tabs>
        <w:ind w:left="450" w:hanging="360"/>
      </w:pPr>
      <w:rPr>
        <w:rFonts w:ascii="Symbol" w:hAnsi="Symbol" w:hint="default"/>
      </w:rPr>
    </w:lvl>
    <w:lvl w:ilvl="1" w:tplc="47920914" w:tentative="1">
      <w:start w:val="1"/>
      <w:numFmt w:val="bullet"/>
      <w:lvlText w:val=""/>
      <w:lvlJc w:val="left"/>
      <w:pPr>
        <w:tabs>
          <w:tab w:val="num" w:pos="1170"/>
        </w:tabs>
        <w:ind w:left="1170" w:hanging="360"/>
      </w:pPr>
      <w:rPr>
        <w:rFonts w:ascii="Symbol" w:hAnsi="Symbol" w:hint="default"/>
      </w:rPr>
    </w:lvl>
    <w:lvl w:ilvl="2" w:tplc="B990657C" w:tentative="1">
      <w:start w:val="1"/>
      <w:numFmt w:val="bullet"/>
      <w:lvlText w:val=""/>
      <w:lvlJc w:val="left"/>
      <w:pPr>
        <w:tabs>
          <w:tab w:val="num" w:pos="1890"/>
        </w:tabs>
        <w:ind w:left="1890" w:hanging="360"/>
      </w:pPr>
      <w:rPr>
        <w:rFonts w:ascii="Symbol" w:hAnsi="Symbol" w:hint="default"/>
      </w:rPr>
    </w:lvl>
    <w:lvl w:ilvl="3" w:tplc="BE8C961C" w:tentative="1">
      <w:start w:val="1"/>
      <w:numFmt w:val="bullet"/>
      <w:lvlText w:val=""/>
      <w:lvlJc w:val="left"/>
      <w:pPr>
        <w:tabs>
          <w:tab w:val="num" w:pos="2610"/>
        </w:tabs>
        <w:ind w:left="2610" w:hanging="360"/>
      </w:pPr>
      <w:rPr>
        <w:rFonts w:ascii="Symbol" w:hAnsi="Symbol" w:hint="default"/>
      </w:rPr>
    </w:lvl>
    <w:lvl w:ilvl="4" w:tplc="3BACA88E" w:tentative="1">
      <w:start w:val="1"/>
      <w:numFmt w:val="bullet"/>
      <w:lvlText w:val=""/>
      <w:lvlJc w:val="left"/>
      <w:pPr>
        <w:tabs>
          <w:tab w:val="num" w:pos="3330"/>
        </w:tabs>
        <w:ind w:left="3330" w:hanging="360"/>
      </w:pPr>
      <w:rPr>
        <w:rFonts w:ascii="Symbol" w:hAnsi="Symbol" w:hint="default"/>
      </w:rPr>
    </w:lvl>
    <w:lvl w:ilvl="5" w:tplc="D348F01E" w:tentative="1">
      <w:start w:val="1"/>
      <w:numFmt w:val="bullet"/>
      <w:lvlText w:val=""/>
      <w:lvlJc w:val="left"/>
      <w:pPr>
        <w:tabs>
          <w:tab w:val="num" w:pos="4050"/>
        </w:tabs>
        <w:ind w:left="4050" w:hanging="360"/>
      </w:pPr>
      <w:rPr>
        <w:rFonts w:ascii="Symbol" w:hAnsi="Symbol" w:hint="default"/>
      </w:rPr>
    </w:lvl>
    <w:lvl w:ilvl="6" w:tplc="6C461118" w:tentative="1">
      <w:start w:val="1"/>
      <w:numFmt w:val="bullet"/>
      <w:lvlText w:val=""/>
      <w:lvlJc w:val="left"/>
      <w:pPr>
        <w:tabs>
          <w:tab w:val="num" w:pos="4770"/>
        </w:tabs>
        <w:ind w:left="4770" w:hanging="360"/>
      </w:pPr>
      <w:rPr>
        <w:rFonts w:ascii="Symbol" w:hAnsi="Symbol" w:hint="default"/>
      </w:rPr>
    </w:lvl>
    <w:lvl w:ilvl="7" w:tplc="188C3CA2" w:tentative="1">
      <w:start w:val="1"/>
      <w:numFmt w:val="bullet"/>
      <w:lvlText w:val=""/>
      <w:lvlJc w:val="left"/>
      <w:pPr>
        <w:tabs>
          <w:tab w:val="num" w:pos="5490"/>
        </w:tabs>
        <w:ind w:left="5490" w:hanging="360"/>
      </w:pPr>
      <w:rPr>
        <w:rFonts w:ascii="Symbol" w:hAnsi="Symbol" w:hint="default"/>
      </w:rPr>
    </w:lvl>
    <w:lvl w:ilvl="8" w:tplc="8BC0EA1C" w:tentative="1">
      <w:start w:val="1"/>
      <w:numFmt w:val="bullet"/>
      <w:lvlText w:val=""/>
      <w:lvlJc w:val="left"/>
      <w:pPr>
        <w:tabs>
          <w:tab w:val="num" w:pos="6210"/>
        </w:tabs>
        <w:ind w:left="6210" w:hanging="360"/>
      </w:pPr>
      <w:rPr>
        <w:rFonts w:ascii="Symbol" w:hAnsi="Symbol" w:hint="default"/>
      </w:rPr>
    </w:lvl>
  </w:abstractNum>
  <w:abstractNum w:abstractNumId="17" w15:restartNumberingAfterBreak="0">
    <w:nsid w:val="79003460"/>
    <w:multiLevelType w:val="multilevel"/>
    <w:tmpl w:val="04090027"/>
    <w:lvl w:ilvl="0">
      <w:start w:val="1"/>
      <w:numFmt w:val="upperRoman"/>
      <w:pStyle w:val="Heading1"/>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72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8" w15:restartNumberingAfterBreak="0">
    <w:nsid w:val="791867A9"/>
    <w:multiLevelType w:val="hybridMultilevel"/>
    <w:tmpl w:val="3BF6DA4A"/>
    <w:lvl w:ilvl="0" w:tplc="BE0697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5"/>
  </w:num>
  <w:num w:numId="3">
    <w:abstractNumId w:val="6"/>
  </w:num>
  <w:num w:numId="4">
    <w:abstractNumId w:val="0"/>
  </w:num>
  <w:num w:numId="5">
    <w:abstractNumId w:val="17"/>
  </w:num>
  <w:num w:numId="6">
    <w:abstractNumId w:val="10"/>
  </w:num>
  <w:num w:numId="7">
    <w:abstractNumId w:val="8"/>
  </w:num>
  <w:num w:numId="8">
    <w:abstractNumId w:val="18"/>
  </w:num>
  <w:num w:numId="9">
    <w:abstractNumId w:val="9"/>
  </w:num>
  <w:num w:numId="10">
    <w:abstractNumId w:val="13"/>
  </w:num>
  <w:num w:numId="11">
    <w:abstractNumId w:val="13"/>
    <w:lvlOverride w:ilvl="0">
      <w:startOverride w:val="1"/>
    </w:lvlOverride>
    <w:lvlOverride w:ilvl="1">
      <w:startOverride w:val="1"/>
    </w:lvlOverride>
  </w:num>
  <w:num w:numId="12">
    <w:abstractNumId w:val="3"/>
  </w:num>
  <w:num w:numId="13">
    <w:abstractNumId w:val="14"/>
  </w:num>
  <w:num w:numId="14">
    <w:abstractNumId w:val="4"/>
  </w:num>
  <w:num w:numId="15">
    <w:abstractNumId w:val="2"/>
  </w:num>
  <w:num w:numId="16">
    <w:abstractNumId w:val="13"/>
  </w:num>
  <w:num w:numId="17">
    <w:abstractNumId w:val="17"/>
  </w:num>
  <w:num w:numId="18">
    <w:abstractNumId w:val="17"/>
  </w:num>
  <w:num w:numId="19">
    <w:abstractNumId w:val="1"/>
  </w:num>
  <w:num w:numId="20">
    <w:abstractNumId w:val="13"/>
  </w:num>
  <w:num w:numId="21">
    <w:abstractNumId w:val="13"/>
  </w:num>
  <w:num w:numId="22">
    <w:abstractNumId w:val="16"/>
  </w:num>
  <w:num w:numId="23">
    <w:abstractNumId w:val="17"/>
  </w:num>
  <w:num w:numId="24">
    <w:abstractNumId w:val="11"/>
  </w:num>
  <w:num w:numId="25">
    <w:abstractNumId w:val="7"/>
  </w:num>
  <w:num w:numId="26">
    <w:abstractNumId w:val="12"/>
  </w:num>
  <w:num w:numId="27">
    <w:abstractNumId w:val="13"/>
  </w:num>
  <w:num w:numId="28">
    <w:abstractNumId w:val="13"/>
  </w:num>
  <w:num w:numId="29">
    <w:abstractNumId w:val="13"/>
  </w:num>
  <w:num w:numId="30">
    <w:abstractNumId w:val="1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ncy Jesurun-Clements">
    <w15:presenceInfo w15:providerId="Windows Live" w15:userId="fa8b842557abc1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CCA"/>
    <w:rsid w:val="00002C72"/>
    <w:rsid w:val="00003565"/>
    <w:rsid w:val="00005168"/>
    <w:rsid w:val="00006262"/>
    <w:rsid w:val="00007EFC"/>
    <w:rsid w:val="000103E2"/>
    <w:rsid w:val="00011876"/>
    <w:rsid w:val="00014E07"/>
    <w:rsid w:val="00015A30"/>
    <w:rsid w:val="00016302"/>
    <w:rsid w:val="00023085"/>
    <w:rsid w:val="00025A7D"/>
    <w:rsid w:val="00027428"/>
    <w:rsid w:val="000310E4"/>
    <w:rsid w:val="000314B3"/>
    <w:rsid w:val="00031CA8"/>
    <w:rsid w:val="00031E34"/>
    <w:rsid w:val="000355FC"/>
    <w:rsid w:val="00036076"/>
    <w:rsid w:val="00036751"/>
    <w:rsid w:val="0004375B"/>
    <w:rsid w:val="000448D5"/>
    <w:rsid w:val="00046B55"/>
    <w:rsid w:val="000515B5"/>
    <w:rsid w:val="00054481"/>
    <w:rsid w:val="00054A58"/>
    <w:rsid w:val="0006303D"/>
    <w:rsid w:val="00064196"/>
    <w:rsid w:val="00065D81"/>
    <w:rsid w:val="000661DB"/>
    <w:rsid w:val="00067B90"/>
    <w:rsid w:val="0007036E"/>
    <w:rsid w:val="0007261D"/>
    <w:rsid w:val="00074620"/>
    <w:rsid w:val="0007581E"/>
    <w:rsid w:val="000767AB"/>
    <w:rsid w:val="00077568"/>
    <w:rsid w:val="000816AE"/>
    <w:rsid w:val="000851C0"/>
    <w:rsid w:val="00085292"/>
    <w:rsid w:val="00085F62"/>
    <w:rsid w:val="00087EC8"/>
    <w:rsid w:val="00091964"/>
    <w:rsid w:val="00091E7C"/>
    <w:rsid w:val="00092033"/>
    <w:rsid w:val="00093E96"/>
    <w:rsid w:val="00094626"/>
    <w:rsid w:val="000951D2"/>
    <w:rsid w:val="000A1DD1"/>
    <w:rsid w:val="000A2DA1"/>
    <w:rsid w:val="000A6DAB"/>
    <w:rsid w:val="000A76C2"/>
    <w:rsid w:val="000B02E4"/>
    <w:rsid w:val="000B2B8C"/>
    <w:rsid w:val="000B49D6"/>
    <w:rsid w:val="000B76F0"/>
    <w:rsid w:val="000C0A93"/>
    <w:rsid w:val="000C1365"/>
    <w:rsid w:val="000C348F"/>
    <w:rsid w:val="000C3BFF"/>
    <w:rsid w:val="000C3DFB"/>
    <w:rsid w:val="000C4EE8"/>
    <w:rsid w:val="000C6D09"/>
    <w:rsid w:val="000C7152"/>
    <w:rsid w:val="000D72DE"/>
    <w:rsid w:val="000E06D1"/>
    <w:rsid w:val="000E2730"/>
    <w:rsid w:val="000E575E"/>
    <w:rsid w:val="000E70F4"/>
    <w:rsid w:val="000E745B"/>
    <w:rsid w:val="000E7B30"/>
    <w:rsid w:val="000F14BC"/>
    <w:rsid w:val="000F2687"/>
    <w:rsid w:val="000F799C"/>
    <w:rsid w:val="0010115E"/>
    <w:rsid w:val="00103A37"/>
    <w:rsid w:val="0010449B"/>
    <w:rsid w:val="0010651F"/>
    <w:rsid w:val="00106536"/>
    <w:rsid w:val="00106588"/>
    <w:rsid w:val="001106E1"/>
    <w:rsid w:val="00113B01"/>
    <w:rsid w:val="001206AB"/>
    <w:rsid w:val="001215C9"/>
    <w:rsid w:val="001232B2"/>
    <w:rsid w:val="00123D5D"/>
    <w:rsid w:val="00126B75"/>
    <w:rsid w:val="0012798A"/>
    <w:rsid w:val="00131665"/>
    <w:rsid w:val="00132DF4"/>
    <w:rsid w:val="00133449"/>
    <w:rsid w:val="00134076"/>
    <w:rsid w:val="0013778F"/>
    <w:rsid w:val="00140C36"/>
    <w:rsid w:val="0014206E"/>
    <w:rsid w:val="00143F48"/>
    <w:rsid w:val="0014789F"/>
    <w:rsid w:val="00150550"/>
    <w:rsid w:val="001561BF"/>
    <w:rsid w:val="00156DEB"/>
    <w:rsid w:val="00157183"/>
    <w:rsid w:val="00157FE5"/>
    <w:rsid w:val="001620BB"/>
    <w:rsid w:val="00163ADA"/>
    <w:rsid w:val="00172035"/>
    <w:rsid w:val="00172652"/>
    <w:rsid w:val="001727E1"/>
    <w:rsid w:val="00172832"/>
    <w:rsid w:val="00180211"/>
    <w:rsid w:val="00181F35"/>
    <w:rsid w:val="00187BAF"/>
    <w:rsid w:val="00193C15"/>
    <w:rsid w:val="00194658"/>
    <w:rsid w:val="00195E8F"/>
    <w:rsid w:val="001A164B"/>
    <w:rsid w:val="001A2633"/>
    <w:rsid w:val="001A48CF"/>
    <w:rsid w:val="001A6236"/>
    <w:rsid w:val="001B20B7"/>
    <w:rsid w:val="001B30E9"/>
    <w:rsid w:val="001B4DEE"/>
    <w:rsid w:val="001B5B60"/>
    <w:rsid w:val="001B6262"/>
    <w:rsid w:val="001B71F7"/>
    <w:rsid w:val="001C2212"/>
    <w:rsid w:val="001C5FDB"/>
    <w:rsid w:val="001D2CE4"/>
    <w:rsid w:val="001D3BC3"/>
    <w:rsid w:val="001D3E97"/>
    <w:rsid w:val="001D4386"/>
    <w:rsid w:val="001E2B29"/>
    <w:rsid w:val="001E39E8"/>
    <w:rsid w:val="001E3BE1"/>
    <w:rsid w:val="001E41A8"/>
    <w:rsid w:val="001E5FA2"/>
    <w:rsid w:val="001F5F98"/>
    <w:rsid w:val="002003AB"/>
    <w:rsid w:val="002010B0"/>
    <w:rsid w:val="00201868"/>
    <w:rsid w:val="002027C8"/>
    <w:rsid w:val="002046DB"/>
    <w:rsid w:val="002063C1"/>
    <w:rsid w:val="002078CC"/>
    <w:rsid w:val="00212504"/>
    <w:rsid w:val="002140C8"/>
    <w:rsid w:val="00214332"/>
    <w:rsid w:val="00217764"/>
    <w:rsid w:val="002224B9"/>
    <w:rsid w:val="00231B20"/>
    <w:rsid w:val="00232F8D"/>
    <w:rsid w:val="00237CAD"/>
    <w:rsid w:val="0024479A"/>
    <w:rsid w:val="002471B0"/>
    <w:rsid w:val="00247AAB"/>
    <w:rsid w:val="0025130A"/>
    <w:rsid w:val="0025158B"/>
    <w:rsid w:val="0025189A"/>
    <w:rsid w:val="00253372"/>
    <w:rsid w:val="00261F5D"/>
    <w:rsid w:val="002643AC"/>
    <w:rsid w:val="00272D99"/>
    <w:rsid w:val="0027320C"/>
    <w:rsid w:val="00280074"/>
    <w:rsid w:val="002801CE"/>
    <w:rsid w:val="00280908"/>
    <w:rsid w:val="0028149A"/>
    <w:rsid w:val="00283DBD"/>
    <w:rsid w:val="00287640"/>
    <w:rsid w:val="00287F11"/>
    <w:rsid w:val="0029078A"/>
    <w:rsid w:val="00291AFB"/>
    <w:rsid w:val="0029417E"/>
    <w:rsid w:val="00295A4E"/>
    <w:rsid w:val="002A4BE1"/>
    <w:rsid w:val="002B0DD1"/>
    <w:rsid w:val="002B126D"/>
    <w:rsid w:val="002B6B7B"/>
    <w:rsid w:val="002B77B6"/>
    <w:rsid w:val="002C0CF6"/>
    <w:rsid w:val="002C18EE"/>
    <w:rsid w:val="002C238F"/>
    <w:rsid w:val="002D0435"/>
    <w:rsid w:val="002D4640"/>
    <w:rsid w:val="002D4678"/>
    <w:rsid w:val="002D52BE"/>
    <w:rsid w:val="002D7309"/>
    <w:rsid w:val="002D7EA2"/>
    <w:rsid w:val="002E05E9"/>
    <w:rsid w:val="002E1592"/>
    <w:rsid w:val="002E1E6E"/>
    <w:rsid w:val="002E5A0C"/>
    <w:rsid w:val="002E674C"/>
    <w:rsid w:val="002E72DD"/>
    <w:rsid w:val="002E7AAB"/>
    <w:rsid w:val="002F04A2"/>
    <w:rsid w:val="002F1AFF"/>
    <w:rsid w:val="002F2127"/>
    <w:rsid w:val="002F449A"/>
    <w:rsid w:val="002F682C"/>
    <w:rsid w:val="002F6A2B"/>
    <w:rsid w:val="00300A64"/>
    <w:rsid w:val="003018CB"/>
    <w:rsid w:val="00302267"/>
    <w:rsid w:val="00304951"/>
    <w:rsid w:val="003105D1"/>
    <w:rsid w:val="00311098"/>
    <w:rsid w:val="0031162D"/>
    <w:rsid w:val="003120B3"/>
    <w:rsid w:val="00315C70"/>
    <w:rsid w:val="003163E7"/>
    <w:rsid w:val="003172E5"/>
    <w:rsid w:val="00317452"/>
    <w:rsid w:val="00323C28"/>
    <w:rsid w:val="00324787"/>
    <w:rsid w:val="00325A56"/>
    <w:rsid w:val="00325FE6"/>
    <w:rsid w:val="003342DD"/>
    <w:rsid w:val="0033684B"/>
    <w:rsid w:val="0034169A"/>
    <w:rsid w:val="0034176C"/>
    <w:rsid w:val="003434E3"/>
    <w:rsid w:val="003463F9"/>
    <w:rsid w:val="00346DC0"/>
    <w:rsid w:val="00351085"/>
    <w:rsid w:val="003542D2"/>
    <w:rsid w:val="003603C9"/>
    <w:rsid w:val="0036043B"/>
    <w:rsid w:val="003606C5"/>
    <w:rsid w:val="003625D5"/>
    <w:rsid w:val="003626E4"/>
    <w:rsid w:val="00363C7B"/>
    <w:rsid w:val="003641F3"/>
    <w:rsid w:val="00371AF7"/>
    <w:rsid w:val="00372DAB"/>
    <w:rsid w:val="0037357D"/>
    <w:rsid w:val="00377F77"/>
    <w:rsid w:val="00381339"/>
    <w:rsid w:val="00381642"/>
    <w:rsid w:val="0038309F"/>
    <w:rsid w:val="00384B19"/>
    <w:rsid w:val="00386709"/>
    <w:rsid w:val="003877DE"/>
    <w:rsid w:val="00387B90"/>
    <w:rsid w:val="00391964"/>
    <w:rsid w:val="00396A7F"/>
    <w:rsid w:val="003A1103"/>
    <w:rsid w:val="003A11E5"/>
    <w:rsid w:val="003A1769"/>
    <w:rsid w:val="003A4A12"/>
    <w:rsid w:val="003A5C1B"/>
    <w:rsid w:val="003A5C92"/>
    <w:rsid w:val="003A6125"/>
    <w:rsid w:val="003A72AB"/>
    <w:rsid w:val="003B1D22"/>
    <w:rsid w:val="003B6BD1"/>
    <w:rsid w:val="003B7D1A"/>
    <w:rsid w:val="003C13DA"/>
    <w:rsid w:val="003C223C"/>
    <w:rsid w:val="003C35BB"/>
    <w:rsid w:val="003C36F4"/>
    <w:rsid w:val="003C522F"/>
    <w:rsid w:val="003C6C0E"/>
    <w:rsid w:val="003C7E8F"/>
    <w:rsid w:val="003D07A5"/>
    <w:rsid w:val="003D2F44"/>
    <w:rsid w:val="003E21BE"/>
    <w:rsid w:val="003F1077"/>
    <w:rsid w:val="003F1637"/>
    <w:rsid w:val="003F326E"/>
    <w:rsid w:val="003F336C"/>
    <w:rsid w:val="003F472D"/>
    <w:rsid w:val="003F4B01"/>
    <w:rsid w:val="003F644A"/>
    <w:rsid w:val="0040000D"/>
    <w:rsid w:val="0040155A"/>
    <w:rsid w:val="0040217C"/>
    <w:rsid w:val="00407402"/>
    <w:rsid w:val="00407B8E"/>
    <w:rsid w:val="00413EB8"/>
    <w:rsid w:val="00413FC1"/>
    <w:rsid w:val="00414072"/>
    <w:rsid w:val="0041425D"/>
    <w:rsid w:val="00416FAA"/>
    <w:rsid w:val="004263F3"/>
    <w:rsid w:val="00430789"/>
    <w:rsid w:val="004356E7"/>
    <w:rsid w:val="00437F09"/>
    <w:rsid w:val="00441478"/>
    <w:rsid w:val="004414EB"/>
    <w:rsid w:val="004429D1"/>
    <w:rsid w:val="00446B5A"/>
    <w:rsid w:val="00451691"/>
    <w:rsid w:val="0045279F"/>
    <w:rsid w:val="004531F1"/>
    <w:rsid w:val="0045391F"/>
    <w:rsid w:val="00456A11"/>
    <w:rsid w:val="004654E9"/>
    <w:rsid w:val="004673D9"/>
    <w:rsid w:val="00471D0E"/>
    <w:rsid w:val="0047223F"/>
    <w:rsid w:val="00475825"/>
    <w:rsid w:val="00477520"/>
    <w:rsid w:val="00483C9A"/>
    <w:rsid w:val="00485B0C"/>
    <w:rsid w:val="00486627"/>
    <w:rsid w:val="0048669C"/>
    <w:rsid w:val="004875A9"/>
    <w:rsid w:val="004920DE"/>
    <w:rsid w:val="00492328"/>
    <w:rsid w:val="00492E0F"/>
    <w:rsid w:val="004947B7"/>
    <w:rsid w:val="00495F5B"/>
    <w:rsid w:val="004965B3"/>
    <w:rsid w:val="004974DB"/>
    <w:rsid w:val="004A0448"/>
    <w:rsid w:val="004A32C5"/>
    <w:rsid w:val="004A5630"/>
    <w:rsid w:val="004A586A"/>
    <w:rsid w:val="004B1D10"/>
    <w:rsid w:val="004B4C35"/>
    <w:rsid w:val="004B5511"/>
    <w:rsid w:val="004C0D3F"/>
    <w:rsid w:val="004C174B"/>
    <w:rsid w:val="004C6596"/>
    <w:rsid w:val="004C73C8"/>
    <w:rsid w:val="004D216E"/>
    <w:rsid w:val="004D285C"/>
    <w:rsid w:val="004D4214"/>
    <w:rsid w:val="004D648B"/>
    <w:rsid w:val="004E0038"/>
    <w:rsid w:val="004E1466"/>
    <w:rsid w:val="004E3E37"/>
    <w:rsid w:val="004E43F4"/>
    <w:rsid w:val="004E6002"/>
    <w:rsid w:val="004F017A"/>
    <w:rsid w:val="004F15D5"/>
    <w:rsid w:val="004F1D44"/>
    <w:rsid w:val="004F54CD"/>
    <w:rsid w:val="004F67B1"/>
    <w:rsid w:val="00502EA3"/>
    <w:rsid w:val="0050338A"/>
    <w:rsid w:val="00506CE5"/>
    <w:rsid w:val="00507544"/>
    <w:rsid w:val="00510FA0"/>
    <w:rsid w:val="00511D4B"/>
    <w:rsid w:val="00512515"/>
    <w:rsid w:val="005147AF"/>
    <w:rsid w:val="0051556C"/>
    <w:rsid w:val="00522D45"/>
    <w:rsid w:val="00525178"/>
    <w:rsid w:val="00525E16"/>
    <w:rsid w:val="0052601B"/>
    <w:rsid w:val="005321F2"/>
    <w:rsid w:val="005324B8"/>
    <w:rsid w:val="0054018F"/>
    <w:rsid w:val="00540FF7"/>
    <w:rsid w:val="00542FD1"/>
    <w:rsid w:val="00543CE0"/>
    <w:rsid w:val="00545AAD"/>
    <w:rsid w:val="00550A90"/>
    <w:rsid w:val="0055130E"/>
    <w:rsid w:val="00554332"/>
    <w:rsid w:val="00555EF4"/>
    <w:rsid w:val="00556180"/>
    <w:rsid w:val="0056187F"/>
    <w:rsid w:val="0056462D"/>
    <w:rsid w:val="0056489A"/>
    <w:rsid w:val="005654C3"/>
    <w:rsid w:val="00566BCE"/>
    <w:rsid w:val="00567D01"/>
    <w:rsid w:val="00571C50"/>
    <w:rsid w:val="00577800"/>
    <w:rsid w:val="00577D62"/>
    <w:rsid w:val="00581110"/>
    <w:rsid w:val="005826C9"/>
    <w:rsid w:val="00587075"/>
    <w:rsid w:val="005904DA"/>
    <w:rsid w:val="005905E3"/>
    <w:rsid w:val="0059079B"/>
    <w:rsid w:val="00590F31"/>
    <w:rsid w:val="00592366"/>
    <w:rsid w:val="005A1E12"/>
    <w:rsid w:val="005A40D4"/>
    <w:rsid w:val="005A6451"/>
    <w:rsid w:val="005A6C4A"/>
    <w:rsid w:val="005B1523"/>
    <w:rsid w:val="005B1993"/>
    <w:rsid w:val="005B35D5"/>
    <w:rsid w:val="005B5DE5"/>
    <w:rsid w:val="005B72F7"/>
    <w:rsid w:val="005B7428"/>
    <w:rsid w:val="005B7448"/>
    <w:rsid w:val="005C2174"/>
    <w:rsid w:val="005C2329"/>
    <w:rsid w:val="005C30D7"/>
    <w:rsid w:val="005C3E21"/>
    <w:rsid w:val="005C638C"/>
    <w:rsid w:val="005D05D6"/>
    <w:rsid w:val="005D1E44"/>
    <w:rsid w:val="005D3C27"/>
    <w:rsid w:val="005D7919"/>
    <w:rsid w:val="005E342B"/>
    <w:rsid w:val="005E3BD7"/>
    <w:rsid w:val="005E47FC"/>
    <w:rsid w:val="005E7AFB"/>
    <w:rsid w:val="005F4CE7"/>
    <w:rsid w:val="00601970"/>
    <w:rsid w:val="00604511"/>
    <w:rsid w:val="00606A52"/>
    <w:rsid w:val="00612146"/>
    <w:rsid w:val="00612ADA"/>
    <w:rsid w:val="00613947"/>
    <w:rsid w:val="00613A49"/>
    <w:rsid w:val="006142E6"/>
    <w:rsid w:val="006278F8"/>
    <w:rsid w:val="00627A75"/>
    <w:rsid w:val="006318EA"/>
    <w:rsid w:val="006349F5"/>
    <w:rsid w:val="0064230F"/>
    <w:rsid w:val="006424F0"/>
    <w:rsid w:val="00643525"/>
    <w:rsid w:val="0064385D"/>
    <w:rsid w:val="006501D0"/>
    <w:rsid w:val="00652AD4"/>
    <w:rsid w:val="0065331B"/>
    <w:rsid w:val="00653478"/>
    <w:rsid w:val="00653EAE"/>
    <w:rsid w:val="00656495"/>
    <w:rsid w:val="006568B8"/>
    <w:rsid w:val="006568F6"/>
    <w:rsid w:val="00660C1E"/>
    <w:rsid w:val="00665732"/>
    <w:rsid w:val="006658BE"/>
    <w:rsid w:val="0067073F"/>
    <w:rsid w:val="00671562"/>
    <w:rsid w:val="00673021"/>
    <w:rsid w:val="00673F2F"/>
    <w:rsid w:val="0067628D"/>
    <w:rsid w:val="006842B5"/>
    <w:rsid w:val="006844F2"/>
    <w:rsid w:val="00685774"/>
    <w:rsid w:val="00690CD8"/>
    <w:rsid w:val="006912DA"/>
    <w:rsid w:val="006922A8"/>
    <w:rsid w:val="006A037F"/>
    <w:rsid w:val="006A13A1"/>
    <w:rsid w:val="006A624A"/>
    <w:rsid w:val="006A7E90"/>
    <w:rsid w:val="006B3386"/>
    <w:rsid w:val="006B3F28"/>
    <w:rsid w:val="006B4743"/>
    <w:rsid w:val="006B57E4"/>
    <w:rsid w:val="006C102A"/>
    <w:rsid w:val="006C1198"/>
    <w:rsid w:val="006C14A4"/>
    <w:rsid w:val="006C7B4D"/>
    <w:rsid w:val="006D0BE0"/>
    <w:rsid w:val="006D323A"/>
    <w:rsid w:val="006E2198"/>
    <w:rsid w:val="006E4655"/>
    <w:rsid w:val="006E5F7A"/>
    <w:rsid w:val="006E7BB3"/>
    <w:rsid w:val="006F266E"/>
    <w:rsid w:val="006F276B"/>
    <w:rsid w:val="006F6837"/>
    <w:rsid w:val="006F713D"/>
    <w:rsid w:val="0070427F"/>
    <w:rsid w:val="00704E5E"/>
    <w:rsid w:val="00706A2D"/>
    <w:rsid w:val="00714A0B"/>
    <w:rsid w:val="0072091D"/>
    <w:rsid w:val="007240EB"/>
    <w:rsid w:val="00725BF5"/>
    <w:rsid w:val="0072682F"/>
    <w:rsid w:val="00726CC0"/>
    <w:rsid w:val="00731F9A"/>
    <w:rsid w:val="00734B17"/>
    <w:rsid w:val="00736B8E"/>
    <w:rsid w:val="00737286"/>
    <w:rsid w:val="00741310"/>
    <w:rsid w:val="0074314F"/>
    <w:rsid w:val="0074574D"/>
    <w:rsid w:val="00746017"/>
    <w:rsid w:val="00746E55"/>
    <w:rsid w:val="00750020"/>
    <w:rsid w:val="00750A10"/>
    <w:rsid w:val="00752A58"/>
    <w:rsid w:val="00753AFA"/>
    <w:rsid w:val="00755FC6"/>
    <w:rsid w:val="00756F3B"/>
    <w:rsid w:val="007579A0"/>
    <w:rsid w:val="007621F0"/>
    <w:rsid w:val="00766602"/>
    <w:rsid w:val="007675D5"/>
    <w:rsid w:val="007712DC"/>
    <w:rsid w:val="0077210A"/>
    <w:rsid w:val="00772458"/>
    <w:rsid w:val="00772EDD"/>
    <w:rsid w:val="007838B8"/>
    <w:rsid w:val="00783FBE"/>
    <w:rsid w:val="00784C31"/>
    <w:rsid w:val="00785834"/>
    <w:rsid w:val="00785BF7"/>
    <w:rsid w:val="007919FF"/>
    <w:rsid w:val="00793E4A"/>
    <w:rsid w:val="00795ADC"/>
    <w:rsid w:val="007A0260"/>
    <w:rsid w:val="007A3797"/>
    <w:rsid w:val="007B4116"/>
    <w:rsid w:val="007B66F1"/>
    <w:rsid w:val="007B6D96"/>
    <w:rsid w:val="007B7655"/>
    <w:rsid w:val="007B7662"/>
    <w:rsid w:val="007B76AD"/>
    <w:rsid w:val="007B7780"/>
    <w:rsid w:val="007C067C"/>
    <w:rsid w:val="007C067E"/>
    <w:rsid w:val="007C204C"/>
    <w:rsid w:val="007C250A"/>
    <w:rsid w:val="007C34F9"/>
    <w:rsid w:val="007C47AB"/>
    <w:rsid w:val="007C7B2E"/>
    <w:rsid w:val="007D50E6"/>
    <w:rsid w:val="007E006D"/>
    <w:rsid w:val="007E3475"/>
    <w:rsid w:val="007F01CD"/>
    <w:rsid w:val="007F043B"/>
    <w:rsid w:val="007F3D71"/>
    <w:rsid w:val="007F4AC3"/>
    <w:rsid w:val="007F630E"/>
    <w:rsid w:val="007F70D4"/>
    <w:rsid w:val="00804DD1"/>
    <w:rsid w:val="008072F8"/>
    <w:rsid w:val="00807B93"/>
    <w:rsid w:val="008135FE"/>
    <w:rsid w:val="008201F6"/>
    <w:rsid w:val="00820335"/>
    <w:rsid w:val="00820C97"/>
    <w:rsid w:val="00822CE6"/>
    <w:rsid w:val="008246B4"/>
    <w:rsid w:val="00830FEE"/>
    <w:rsid w:val="008323D7"/>
    <w:rsid w:val="00834D82"/>
    <w:rsid w:val="00837EDB"/>
    <w:rsid w:val="008420E8"/>
    <w:rsid w:val="00844868"/>
    <w:rsid w:val="008537D3"/>
    <w:rsid w:val="0085459B"/>
    <w:rsid w:val="00865FCC"/>
    <w:rsid w:val="0086649C"/>
    <w:rsid w:val="008740A8"/>
    <w:rsid w:val="00874513"/>
    <w:rsid w:val="00876637"/>
    <w:rsid w:val="00880D8B"/>
    <w:rsid w:val="00882845"/>
    <w:rsid w:val="0088326E"/>
    <w:rsid w:val="00883D1A"/>
    <w:rsid w:val="00892497"/>
    <w:rsid w:val="008A1655"/>
    <w:rsid w:val="008A20AE"/>
    <w:rsid w:val="008A3FD3"/>
    <w:rsid w:val="008A41B3"/>
    <w:rsid w:val="008A6582"/>
    <w:rsid w:val="008A75CF"/>
    <w:rsid w:val="008B3C36"/>
    <w:rsid w:val="008C19F8"/>
    <w:rsid w:val="008C3572"/>
    <w:rsid w:val="008C452C"/>
    <w:rsid w:val="008D1A43"/>
    <w:rsid w:val="008D3AA3"/>
    <w:rsid w:val="008D48E0"/>
    <w:rsid w:val="008D4967"/>
    <w:rsid w:val="008E0541"/>
    <w:rsid w:val="008E1CDD"/>
    <w:rsid w:val="008E20EE"/>
    <w:rsid w:val="008E2B40"/>
    <w:rsid w:val="008E35A7"/>
    <w:rsid w:val="008E4AA9"/>
    <w:rsid w:val="008E6BC7"/>
    <w:rsid w:val="008E6E17"/>
    <w:rsid w:val="008F157B"/>
    <w:rsid w:val="008F184F"/>
    <w:rsid w:val="008F2F61"/>
    <w:rsid w:val="008F5112"/>
    <w:rsid w:val="009003FE"/>
    <w:rsid w:val="00901AE1"/>
    <w:rsid w:val="009041D4"/>
    <w:rsid w:val="00913261"/>
    <w:rsid w:val="009135AF"/>
    <w:rsid w:val="00913634"/>
    <w:rsid w:val="0091625D"/>
    <w:rsid w:val="009206B7"/>
    <w:rsid w:val="00922DAA"/>
    <w:rsid w:val="00927916"/>
    <w:rsid w:val="00930EAA"/>
    <w:rsid w:val="0093309F"/>
    <w:rsid w:val="00933497"/>
    <w:rsid w:val="0093440C"/>
    <w:rsid w:val="00935946"/>
    <w:rsid w:val="00935C07"/>
    <w:rsid w:val="00942DB0"/>
    <w:rsid w:val="009435EE"/>
    <w:rsid w:val="00947291"/>
    <w:rsid w:val="00950547"/>
    <w:rsid w:val="00951748"/>
    <w:rsid w:val="009541C9"/>
    <w:rsid w:val="00954D5A"/>
    <w:rsid w:val="00955AD6"/>
    <w:rsid w:val="00961B54"/>
    <w:rsid w:val="00965419"/>
    <w:rsid w:val="00965F2B"/>
    <w:rsid w:val="009713A0"/>
    <w:rsid w:val="00974155"/>
    <w:rsid w:val="00974DA3"/>
    <w:rsid w:val="00975AEA"/>
    <w:rsid w:val="0097728B"/>
    <w:rsid w:val="00980F57"/>
    <w:rsid w:val="00982A87"/>
    <w:rsid w:val="009847E1"/>
    <w:rsid w:val="00984B36"/>
    <w:rsid w:val="00985491"/>
    <w:rsid w:val="009867B3"/>
    <w:rsid w:val="0098751B"/>
    <w:rsid w:val="00987F7A"/>
    <w:rsid w:val="00991073"/>
    <w:rsid w:val="00992C72"/>
    <w:rsid w:val="00992EA6"/>
    <w:rsid w:val="00996E43"/>
    <w:rsid w:val="009977D8"/>
    <w:rsid w:val="009A1FB4"/>
    <w:rsid w:val="009A4445"/>
    <w:rsid w:val="009A5BBB"/>
    <w:rsid w:val="009A71DA"/>
    <w:rsid w:val="009A7286"/>
    <w:rsid w:val="009A7AFD"/>
    <w:rsid w:val="009A7E33"/>
    <w:rsid w:val="009B08B0"/>
    <w:rsid w:val="009B0ED7"/>
    <w:rsid w:val="009B1844"/>
    <w:rsid w:val="009B373B"/>
    <w:rsid w:val="009B59A3"/>
    <w:rsid w:val="009B7A07"/>
    <w:rsid w:val="009C19CE"/>
    <w:rsid w:val="009C602A"/>
    <w:rsid w:val="009D0F06"/>
    <w:rsid w:val="009D5ED2"/>
    <w:rsid w:val="009D7F64"/>
    <w:rsid w:val="009E3B91"/>
    <w:rsid w:val="009E62D9"/>
    <w:rsid w:val="009F21A2"/>
    <w:rsid w:val="009F2AB4"/>
    <w:rsid w:val="009F3764"/>
    <w:rsid w:val="009F7099"/>
    <w:rsid w:val="00A02E42"/>
    <w:rsid w:val="00A05164"/>
    <w:rsid w:val="00A13172"/>
    <w:rsid w:val="00A16631"/>
    <w:rsid w:val="00A235DD"/>
    <w:rsid w:val="00A23CB8"/>
    <w:rsid w:val="00A26BF1"/>
    <w:rsid w:val="00A27613"/>
    <w:rsid w:val="00A27DBC"/>
    <w:rsid w:val="00A33992"/>
    <w:rsid w:val="00A347A7"/>
    <w:rsid w:val="00A34F2E"/>
    <w:rsid w:val="00A356D4"/>
    <w:rsid w:val="00A36130"/>
    <w:rsid w:val="00A36695"/>
    <w:rsid w:val="00A4032D"/>
    <w:rsid w:val="00A431B1"/>
    <w:rsid w:val="00A4481A"/>
    <w:rsid w:val="00A45157"/>
    <w:rsid w:val="00A475E8"/>
    <w:rsid w:val="00A475F0"/>
    <w:rsid w:val="00A47647"/>
    <w:rsid w:val="00A522A2"/>
    <w:rsid w:val="00A5400A"/>
    <w:rsid w:val="00A5750C"/>
    <w:rsid w:val="00A628FD"/>
    <w:rsid w:val="00A64D8D"/>
    <w:rsid w:val="00A65E71"/>
    <w:rsid w:val="00A66D39"/>
    <w:rsid w:val="00A6765A"/>
    <w:rsid w:val="00A71A66"/>
    <w:rsid w:val="00A746C4"/>
    <w:rsid w:val="00A766D4"/>
    <w:rsid w:val="00A9236E"/>
    <w:rsid w:val="00AA0A42"/>
    <w:rsid w:val="00AA10BE"/>
    <w:rsid w:val="00AA261F"/>
    <w:rsid w:val="00AA6B6F"/>
    <w:rsid w:val="00AB0FC6"/>
    <w:rsid w:val="00AB13F6"/>
    <w:rsid w:val="00AB6515"/>
    <w:rsid w:val="00AB78BE"/>
    <w:rsid w:val="00AB7FFD"/>
    <w:rsid w:val="00AC4B49"/>
    <w:rsid w:val="00AC6C51"/>
    <w:rsid w:val="00AC6E82"/>
    <w:rsid w:val="00AD59FF"/>
    <w:rsid w:val="00AD64E2"/>
    <w:rsid w:val="00AD7E06"/>
    <w:rsid w:val="00AE2707"/>
    <w:rsid w:val="00AE287E"/>
    <w:rsid w:val="00AE4583"/>
    <w:rsid w:val="00AF0542"/>
    <w:rsid w:val="00AF418B"/>
    <w:rsid w:val="00AF480B"/>
    <w:rsid w:val="00AF57A7"/>
    <w:rsid w:val="00AF7745"/>
    <w:rsid w:val="00B0084D"/>
    <w:rsid w:val="00B0276C"/>
    <w:rsid w:val="00B1021D"/>
    <w:rsid w:val="00B114D2"/>
    <w:rsid w:val="00B1202F"/>
    <w:rsid w:val="00B124A4"/>
    <w:rsid w:val="00B13345"/>
    <w:rsid w:val="00B1432E"/>
    <w:rsid w:val="00B1473F"/>
    <w:rsid w:val="00B1479F"/>
    <w:rsid w:val="00B16F77"/>
    <w:rsid w:val="00B17B4B"/>
    <w:rsid w:val="00B218FD"/>
    <w:rsid w:val="00B225F3"/>
    <w:rsid w:val="00B229E9"/>
    <w:rsid w:val="00B23925"/>
    <w:rsid w:val="00B24176"/>
    <w:rsid w:val="00B249A7"/>
    <w:rsid w:val="00B25093"/>
    <w:rsid w:val="00B30229"/>
    <w:rsid w:val="00B31481"/>
    <w:rsid w:val="00B319CA"/>
    <w:rsid w:val="00B334B3"/>
    <w:rsid w:val="00B338B6"/>
    <w:rsid w:val="00B33EF3"/>
    <w:rsid w:val="00B34316"/>
    <w:rsid w:val="00B34FC1"/>
    <w:rsid w:val="00B3569D"/>
    <w:rsid w:val="00B35BB5"/>
    <w:rsid w:val="00B3775E"/>
    <w:rsid w:val="00B40497"/>
    <w:rsid w:val="00B407A8"/>
    <w:rsid w:val="00B41C15"/>
    <w:rsid w:val="00B45A9B"/>
    <w:rsid w:val="00B5083F"/>
    <w:rsid w:val="00B511A3"/>
    <w:rsid w:val="00B518A3"/>
    <w:rsid w:val="00B552ED"/>
    <w:rsid w:val="00B55347"/>
    <w:rsid w:val="00B55CF1"/>
    <w:rsid w:val="00B56BF7"/>
    <w:rsid w:val="00B56D1A"/>
    <w:rsid w:val="00B7039F"/>
    <w:rsid w:val="00B73490"/>
    <w:rsid w:val="00B7364C"/>
    <w:rsid w:val="00B76390"/>
    <w:rsid w:val="00B768BA"/>
    <w:rsid w:val="00B76F05"/>
    <w:rsid w:val="00B84DBE"/>
    <w:rsid w:val="00B86F30"/>
    <w:rsid w:val="00B878E5"/>
    <w:rsid w:val="00B87CC5"/>
    <w:rsid w:val="00B902AA"/>
    <w:rsid w:val="00B932E1"/>
    <w:rsid w:val="00B94D0B"/>
    <w:rsid w:val="00B97D06"/>
    <w:rsid w:val="00BA03C8"/>
    <w:rsid w:val="00BA4255"/>
    <w:rsid w:val="00BA65A7"/>
    <w:rsid w:val="00BA6F62"/>
    <w:rsid w:val="00BB0CDE"/>
    <w:rsid w:val="00BB1F41"/>
    <w:rsid w:val="00BB24E6"/>
    <w:rsid w:val="00BB267D"/>
    <w:rsid w:val="00BB32A7"/>
    <w:rsid w:val="00BB35B5"/>
    <w:rsid w:val="00BB5726"/>
    <w:rsid w:val="00BB5A83"/>
    <w:rsid w:val="00BC1CB6"/>
    <w:rsid w:val="00BC4CBC"/>
    <w:rsid w:val="00BC66CD"/>
    <w:rsid w:val="00BC69F7"/>
    <w:rsid w:val="00BC6D2E"/>
    <w:rsid w:val="00BD3B06"/>
    <w:rsid w:val="00BD476B"/>
    <w:rsid w:val="00BE1D4D"/>
    <w:rsid w:val="00BF2133"/>
    <w:rsid w:val="00BF2853"/>
    <w:rsid w:val="00BF410E"/>
    <w:rsid w:val="00BF6210"/>
    <w:rsid w:val="00C007FC"/>
    <w:rsid w:val="00C04642"/>
    <w:rsid w:val="00C049E7"/>
    <w:rsid w:val="00C05E98"/>
    <w:rsid w:val="00C0616F"/>
    <w:rsid w:val="00C06649"/>
    <w:rsid w:val="00C07C12"/>
    <w:rsid w:val="00C07FD7"/>
    <w:rsid w:val="00C10B81"/>
    <w:rsid w:val="00C1125A"/>
    <w:rsid w:val="00C112B6"/>
    <w:rsid w:val="00C248FC"/>
    <w:rsid w:val="00C24A8B"/>
    <w:rsid w:val="00C255DB"/>
    <w:rsid w:val="00C31DB7"/>
    <w:rsid w:val="00C3216A"/>
    <w:rsid w:val="00C36552"/>
    <w:rsid w:val="00C42088"/>
    <w:rsid w:val="00C42924"/>
    <w:rsid w:val="00C44A01"/>
    <w:rsid w:val="00C44F1B"/>
    <w:rsid w:val="00C45814"/>
    <w:rsid w:val="00C47219"/>
    <w:rsid w:val="00C51083"/>
    <w:rsid w:val="00C5125E"/>
    <w:rsid w:val="00C60314"/>
    <w:rsid w:val="00C60D03"/>
    <w:rsid w:val="00C62491"/>
    <w:rsid w:val="00C6301E"/>
    <w:rsid w:val="00C661EE"/>
    <w:rsid w:val="00C67CCA"/>
    <w:rsid w:val="00C71406"/>
    <w:rsid w:val="00C72C16"/>
    <w:rsid w:val="00C80F99"/>
    <w:rsid w:val="00C81F9B"/>
    <w:rsid w:val="00C82682"/>
    <w:rsid w:val="00C830CF"/>
    <w:rsid w:val="00C840AA"/>
    <w:rsid w:val="00C84ACD"/>
    <w:rsid w:val="00C85FC1"/>
    <w:rsid w:val="00C86C98"/>
    <w:rsid w:val="00C917C2"/>
    <w:rsid w:val="00CA3031"/>
    <w:rsid w:val="00CA361B"/>
    <w:rsid w:val="00CA37B2"/>
    <w:rsid w:val="00CA4646"/>
    <w:rsid w:val="00CA4C83"/>
    <w:rsid w:val="00CA738E"/>
    <w:rsid w:val="00CB0887"/>
    <w:rsid w:val="00CB2828"/>
    <w:rsid w:val="00CB3CBB"/>
    <w:rsid w:val="00CB4CA8"/>
    <w:rsid w:val="00CB5574"/>
    <w:rsid w:val="00CB5A07"/>
    <w:rsid w:val="00CB6C21"/>
    <w:rsid w:val="00CC0306"/>
    <w:rsid w:val="00CC18BE"/>
    <w:rsid w:val="00CC2139"/>
    <w:rsid w:val="00CC4A0A"/>
    <w:rsid w:val="00CC4DDE"/>
    <w:rsid w:val="00CC673C"/>
    <w:rsid w:val="00CC7132"/>
    <w:rsid w:val="00CD2BD6"/>
    <w:rsid w:val="00CE1CA3"/>
    <w:rsid w:val="00CE42D9"/>
    <w:rsid w:val="00CF09F1"/>
    <w:rsid w:val="00CF1BF3"/>
    <w:rsid w:val="00CF4867"/>
    <w:rsid w:val="00CF513A"/>
    <w:rsid w:val="00CF6678"/>
    <w:rsid w:val="00CF73ED"/>
    <w:rsid w:val="00D0056E"/>
    <w:rsid w:val="00D01282"/>
    <w:rsid w:val="00D020BC"/>
    <w:rsid w:val="00D03889"/>
    <w:rsid w:val="00D073DD"/>
    <w:rsid w:val="00D13324"/>
    <w:rsid w:val="00D1343D"/>
    <w:rsid w:val="00D1469F"/>
    <w:rsid w:val="00D15248"/>
    <w:rsid w:val="00D157C6"/>
    <w:rsid w:val="00D16988"/>
    <w:rsid w:val="00D16EFD"/>
    <w:rsid w:val="00D2489B"/>
    <w:rsid w:val="00D26DBA"/>
    <w:rsid w:val="00D271D5"/>
    <w:rsid w:val="00D30679"/>
    <w:rsid w:val="00D33576"/>
    <w:rsid w:val="00D33E0F"/>
    <w:rsid w:val="00D35093"/>
    <w:rsid w:val="00D3570A"/>
    <w:rsid w:val="00D35EDE"/>
    <w:rsid w:val="00D365FF"/>
    <w:rsid w:val="00D36606"/>
    <w:rsid w:val="00D369FF"/>
    <w:rsid w:val="00D402D4"/>
    <w:rsid w:val="00D455CB"/>
    <w:rsid w:val="00D5099C"/>
    <w:rsid w:val="00D5114A"/>
    <w:rsid w:val="00D51EAA"/>
    <w:rsid w:val="00D524A8"/>
    <w:rsid w:val="00D53BDB"/>
    <w:rsid w:val="00D54765"/>
    <w:rsid w:val="00D558DC"/>
    <w:rsid w:val="00D56189"/>
    <w:rsid w:val="00D63D76"/>
    <w:rsid w:val="00D7297B"/>
    <w:rsid w:val="00D72B0D"/>
    <w:rsid w:val="00D72E33"/>
    <w:rsid w:val="00D75135"/>
    <w:rsid w:val="00D764CC"/>
    <w:rsid w:val="00D76A2A"/>
    <w:rsid w:val="00D77B2A"/>
    <w:rsid w:val="00D810C9"/>
    <w:rsid w:val="00D81F54"/>
    <w:rsid w:val="00D822D9"/>
    <w:rsid w:val="00D84478"/>
    <w:rsid w:val="00D85877"/>
    <w:rsid w:val="00D86C5E"/>
    <w:rsid w:val="00D91C47"/>
    <w:rsid w:val="00D91DF8"/>
    <w:rsid w:val="00D92439"/>
    <w:rsid w:val="00D92B9B"/>
    <w:rsid w:val="00D94DD4"/>
    <w:rsid w:val="00D952D0"/>
    <w:rsid w:val="00D97A5F"/>
    <w:rsid w:val="00DA16BE"/>
    <w:rsid w:val="00DA6C46"/>
    <w:rsid w:val="00DA7A98"/>
    <w:rsid w:val="00DB249E"/>
    <w:rsid w:val="00DB41C1"/>
    <w:rsid w:val="00DB4E35"/>
    <w:rsid w:val="00DC03DA"/>
    <w:rsid w:val="00DC0DE9"/>
    <w:rsid w:val="00DC1B77"/>
    <w:rsid w:val="00DC1D08"/>
    <w:rsid w:val="00DC67A4"/>
    <w:rsid w:val="00DC711D"/>
    <w:rsid w:val="00DC77F6"/>
    <w:rsid w:val="00DD0508"/>
    <w:rsid w:val="00DD0804"/>
    <w:rsid w:val="00DD14A0"/>
    <w:rsid w:val="00DD1FDD"/>
    <w:rsid w:val="00DD27AA"/>
    <w:rsid w:val="00DD2EDC"/>
    <w:rsid w:val="00DE1834"/>
    <w:rsid w:val="00DE2E49"/>
    <w:rsid w:val="00DE36F3"/>
    <w:rsid w:val="00DE4A5F"/>
    <w:rsid w:val="00DF2597"/>
    <w:rsid w:val="00DF35C2"/>
    <w:rsid w:val="00DF400D"/>
    <w:rsid w:val="00DF6FA6"/>
    <w:rsid w:val="00E00DA3"/>
    <w:rsid w:val="00E029A8"/>
    <w:rsid w:val="00E06EC7"/>
    <w:rsid w:val="00E07ADA"/>
    <w:rsid w:val="00E07DD3"/>
    <w:rsid w:val="00E10DFA"/>
    <w:rsid w:val="00E11C5F"/>
    <w:rsid w:val="00E121C1"/>
    <w:rsid w:val="00E14EFB"/>
    <w:rsid w:val="00E1579A"/>
    <w:rsid w:val="00E15A1E"/>
    <w:rsid w:val="00E21D13"/>
    <w:rsid w:val="00E237ED"/>
    <w:rsid w:val="00E23973"/>
    <w:rsid w:val="00E240B9"/>
    <w:rsid w:val="00E242C3"/>
    <w:rsid w:val="00E246FE"/>
    <w:rsid w:val="00E25965"/>
    <w:rsid w:val="00E32293"/>
    <w:rsid w:val="00E34446"/>
    <w:rsid w:val="00E4032A"/>
    <w:rsid w:val="00E4165A"/>
    <w:rsid w:val="00E51388"/>
    <w:rsid w:val="00E54DF6"/>
    <w:rsid w:val="00E5521D"/>
    <w:rsid w:val="00E554C0"/>
    <w:rsid w:val="00E61729"/>
    <w:rsid w:val="00E640E4"/>
    <w:rsid w:val="00E64868"/>
    <w:rsid w:val="00E65760"/>
    <w:rsid w:val="00E65D83"/>
    <w:rsid w:val="00E67C42"/>
    <w:rsid w:val="00E70723"/>
    <w:rsid w:val="00E7210E"/>
    <w:rsid w:val="00E77413"/>
    <w:rsid w:val="00E806A2"/>
    <w:rsid w:val="00E807A4"/>
    <w:rsid w:val="00E81AA4"/>
    <w:rsid w:val="00E83B2F"/>
    <w:rsid w:val="00E84551"/>
    <w:rsid w:val="00E9023C"/>
    <w:rsid w:val="00E90C01"/>
    <w:rsid w:val="00E911A5"/>
    <w:rsid w:val="00E93137"/>
    <w:rsid w:val="00E97226"/>
    <w:rsid w:val="00E9746A"/>
    <w:rsid w:val="00EA1D67"/>
    <w:rsid w:val="00EA1E5F"/>
    <w:rsid w:val="00EA6B36"/>
    <w:rsid w:val="00EA70B3"/>
    <w:rsid w:val="00EA7779"/>
    <w:rsid w:val="00EA7851"/>
    <w:rsid w:val="00EA7BA4"/>
    <w:rsid w:val="00EB319C"/>
    <w:rsid w:val="00EC46F1"/>
    <w:rsid w:val="00EC48D4"/>
    <w:rsid w:val="00EC511F"/>
    <w:rsid w:val="00EC53F0"/>
    <w:rsid w:val="00EC673F"/>
    <w:rsid w:val="00EC7EAD"/>
    <w:rsid w:val="00ED3D86"/>
    <w:rsid w:val="00ED596E"/>
    <w:rsid w:val="00ED7D10"/>
    <w:rsid w:val="00EE04AE"/>
    <w:rsid w:val="00EE0F7B"/>
    <w:rsid w:val="00EE4AE8"/>
    <w:rsid w:val="00EE745F"/>
    <w:rsid w:val="00EF01D9"/>
    <w:rsid w:val="00EF0CFB"/>
    <w:rsid w:val="00EF3F43"/>
    <w:rsid w:val="00F00B48"/>
    <w:rsid w:val="00F00ECE"/>
    <w:rsid w:val="00F0119E"/>
    <w:rsid w:val="00F01D2D"/>
    <w:rsid w:val="00F03914"/>
    <w:rsid w:val="00F03FD0"/>
    <w:rsid w:val="00F11CCC"/>
    <w:rsid w:val="00F11F5E"/>
    <w:rsid w:val="00F135C7"/>
    <w:rsid w:val="00F14CA5"/>
    <w:rsid w:val="00F16672"/>
    <w:rsid w:val="00F17127"/>
    <w:rsid w:val="00F17608"/>
    <w:rsid w:val="00F202A2"/>
    <w:rsid w:val="00F20B3D"/>
    <w:rsid w:val="00F21CC6"/>
    <w:rsid w:val="00F233FD"/>
    <w:rsid w:val="00F23807"/>
    <w:rsid w:val="00F26E04"/>
    <w:rsid w:val="00F30BBB"/>
    <w:rsid w:val="00F31CD2"/>
    <w:rsid w:val="00F32397"/>
    <w:rsid w:val="00F35F5B"/>
    <w:rsid w:val="00F35FE7"/>
    <w:rsid w:val="00F435B3"/>
    <w:rsid w:val="00F4555F"/>
    <w:rsid w:val="00F506EE"/>
    <w:rsid w:val="00F52B3B"/>
    <w:rsid w:val="00F532C5"/>
    <w:rsid w:val="00F61216"/>
    <w:rsid w:val="00F6150F"/>
    <w:rsid w:val="00F651BC"/>
    <w:rsid w:val="00F65D72"/>
    <w:rsid w:val="00F666B1"/>
    <w:rsid w:val="00F71498"/>
    <w:rsid w:val="00F714B4"/>
    <w:rsid w:val="00F727AB"/>
    <w:rsid w:val="00F7410A"/>
    <w:rsid w:val="00F74C3A"/>
    <w:rsid w:val="00F759F2"/>
    <w:rsid w:val="00F80867"/>
    <w:rsid w:val="00F854EE"/>
    <w:rsid w:val="00F865C7"/>
    <w:rsid w:val="00F87D72"/>
    <w:rsid w:val="00F91C3E"/>
    <w:rsid w:val="00F935A0"/>
    <w:rsid w:val="00F939C7"/>
    <w:rsid w:val="00F93B75"/>
    <w:rsid w:val="00FA30A0"/>
    <w:rsid w:val="00FA7029"/>
    <w:rsid w:val="00FB07BE"/>
    <w:rsid w:val="00FB15BA"/>
    <w:rsid w:val="00FB1BD9"/>
    <w:rsid w:val="00FB1C03"/>
    <w:rsid w:val="00FB1EE2"/>
    <w:rsid w:val="00FB568D"/>
    <w:rsid w:val="00FB57AB"/>
    <w:rsid w:val="00FB6690"/>
    <w:rsid w:val="00FC0076"/>
    <w:rsid w:val="00FC0E28"/>
    <w:rsid w:val="00FC339F"/>
    <w:rsid w:val="00FD0190"/>
    <w:rsid w:val="00FD1BF7"/>
    <w:rsid w:val="00FD3291"/>
    <w:rsid w:val="00FE0B90"/>
    <w:rsid w:val="00FE2B20"/>
    <w:rsid w:val="00FF2EE0"/>
    <w:rsid w:val="00FF49F4"/>
    <w:rsid w:val="00FF7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79D747"/>
  <w15:docId w15:val="{7E9A8DA5-86A9-4D3E-A0BD-D733466B8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3FD3"/>
    <w:pPr>
      <w:spacing w:after="0" w:line="240" w:lineRule="auto"/>
    </w:pPr>
  </w:style>
  <w:style w:type="paragraph" w:styleId="Heading1">
    <w:name w:val="heading 1"/>
    <w:basedOn w:val="Normal"/>
    <w:next w:val="Normal"/>
    <w:link w:val="Heading1Char"/>
    <w:uiPriority w:val="9"/>
    <w:qFormat/>
    <w:rsid w:val="00C10B81"/>
    <w:pPr>
      <w:keepNext/>
      <w:keepLines/>
      <w:numPr>
        <w:numId w:val="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qFormat/>
    <w:rsid w:val="005C2329"/>
    <w:pPr>
      <w:keepNext/>
      <w:numPr>
        <w:ilvl w:val="1"/>
        <w:numId w:val="10"/>
      </w:numPr>
      <w:spacing w:before="360"/>
      <w:jc w:val="both"/>
      <w:outlineLvl w:val="1"/>
    </w:pPr>
    <w:rPr>
      <w:rFonts w:cs="Arial"/>
      <w:b/>
      <w:bCs/>
      <w:iCs/>
      <w:smallCaps/>
      <w:lang w:val="es-US" w:eastAsia="es-ES"/>
    </w:rPr>
  </w:style>
  <w:style w:type="paragraph" w:styleId="Heading3">
    <w:name w:val="heading 3"/>
    <w:basedOn w:val="Normal"/>
    <w:next w:val="Normal"/>
    <w:link w:val="Heading3Char"/>
    <w:uiPriority w:val="9"/>
    <w:unhideWhenUsed/>
    <w:qFormat/>
    <w:rsid w:val="00F233FD"/>
    <w:pPr>
      <w:keepNext/>
      <w:keepLines/>
      <w:numPr>
        <w:ilvl w:val="2"/>
        <w:numId w:val="5"/>
      </w:numPr>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F233FD"/>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5521D"/>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5521D"/>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C67CCA"/>
    <w:pPr>
      <w:numPr>
        <w:ilvl w:val="6"/>
        <w:numId w:val="5"/>
      </w:numPr>
      <w:spacing w:before="240" w:after="60"/>
      <w:outlineLvl w:val="6"/>
    </w:pPr>
    <w:rPr>
      <w:rFonts w:ascii="Calibri" w:hAnsi="Calibri"/>
      <w:szCs w:val="24"/>
      <w:lang w:val="x-none" w:eastAsia="x-none"/>
    </w:rPr>
  </w:style>
  <w:style w:type="paragraph" w:styleId="Heading8">
    <w:name w:val="heading 8"/>
    <w:basedOn w:val="Normal"/>
    <w:next w:val="Normal"/>
    <w:link w:val="Heading8Char"/>
    <w:qFormat/>
    <w:rsid w:val="00C67CCA"/>
    <w:pPr>
      <w:numPr>
        <w:ilvl w:val="7"/>
        <w:numId w:val="5"/>
      </w:numPr>
      <w:spacing w:before="240" w:after="60"/>
      <w:outlineLvl w:val="7"/>
    </w:pPr>
    <w:rPr>
      <w:rFonts w:ascii="Calibri" w:hAnsi="Calibri"/>
      <w:i/>
      <w:iCs/>
      <w:szCs w:val="24"/>
      <w:lang w:val="x-none" w:eastAsia="x-none"/>
    </w:rPr>
  </w:style>
  <w:style w:type="paragraph" w:styleId="Heading9">
    <w:name w:val="heading 9"/>
    <w:basedOn w:val="Normal"/>
    <w:next w:val="Normal"/>
    <w:link w:val="Heading9Char"/>
    <w:qFormat/>
    <w:rsid w:val="00C67CCA"/>
    <w:pPr>
      <w:numPr>
        <w:ilvl w:val="8"/>
        <w:numId w:val="5"/>
      </w:numPr>
      <w:spacing w:before="240" w:after="60"/>
      <w:outlineLvl w:val="8"/>
    </w:pPr>
    <w:rPr>
      <w:rFonts w:ascii="Cambria"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67CCA"/>
    <w:pPr>
      <w:tabs>
        <w:tab w:val="left" w:pos="3060"/>
      </w:tabs>
      <w:jc w:val="center"/>
    </w:pPr>
    <w:rPr>
      <w:lang w:val="x-none" w:eastAsia="x-none"/>
    </w:rPr>
  </w:style>
  <w:style w:type="character" w:customStyle="1" w:styleId="BodyTextChar">
    <w:name w:val="Body Text Char"/>
    <w:basedOn w:val="DefaultParagraphFont"/>
    <w:link w:val="BodyText"/>
    <w:rsid w:val="00C67CCA"/>
    <w:rPr>
      <w:rFonts w:ascii="Times New Roman" w:eastAsia="Times New Roman" w:hAnsi="Times New Roman" w:cs="Times New Roman"/>
      <w:sz w:val="24"/>
      <w:szCs w:val="20"/>
      <w:lang w:val="x-none" w:eastAsia="x-none"/>
    </w:rPr>
  </w:style>
  <w:style w:type="paragraph" w:styleId="ListParagraph">
    <w:name w:val="List Paragraph"/>
    <w:basedOn w:val="Normal"/>
    <w:link w:val="ListParagraphChar"/>
    <w:uiPriority w:val="34"/>
    <w:qFormat/>
    <w:rsid w:val="00C67CCA"/>
    <w:pPr>
      <w:ind w:left="720"/>
    </w:pPr>
  </w:style>
  <w:style w:type="paragraph" w:customStyle="1" w:styleId="Default">
    <w:name w:val="Default"/>
    <w:rsid w:val="00C67CCA"/>
    <w:pPr>
      <w:autoSpaceDE w:val="0"/>
      <w:autoSpaceDN w:val="0"/>
      <w:adjustRightInd w:val="0"/>
      <w:spacing w:after="0" w:line="240" w:lineRule="auto"/>
    </w:pPr>
    <w:rPr>
      <w:rFonts w:ascii="Times New Roman" w:eastAsia="Times New Roman" w:hAnsi="Times New Roman" w:cs="Times New Roman"/>
      <w:color w:val="000000"/>
      <w:sz w:val="24"/>
      <w:szCs w:val="24"/>
      <w:lang w:val="es-PY" w:eastAsia="es-PY"/>
    </w:rPr>
  </w:style>
  <w:style w:type="paragraph" w:styleId="FootnoteText">
    <w:name w:val="footnote text"/>
    <w:aliases w:val="fn,Texto de rodapé,nota_rodapé,nota de rodapé,Texto nota pie IIRSA,footnote,FOOTNOTES,single space,ALTS FOOTNOTE,Footnote Text Char1,Footnote Text Char Char,Note de bas de page Car,footnote text,Fodnotetekst Tegn,Fodnotetekst Tegn Char,ADB"/>
    <w:basedOn w:val="Normal"/>
    <w:link w:val="FootnoteTextChar"/>
    <w:uiPriority w:val="99"/>
    <w:unhideWhenUsed/>
    <w:qFormat/>
    <w:rsid w:val="00C67CCA"/>
    <w:rPr>
      <w:rFonts w:asciiTheme="minorHAnsi" w:hAnsiTheme="minorHAnsi"/>
      <w:szCs w:val="24"/>
    </w:rPr>
  </w:style>
  <w:style w:type="character" w:customStyle="1" w:styleId="FootnoteTextChar">
    <w:name w:val="Footnote Text Char"/>
    <w:aliases w:val="fn Char,Texto de rodapé Char,nota_rodapé Char,nota de rodapé Char,Texto nota pie IIRSA Char,footnote Char,FOOTNOTES Char,single space Char,ALTS FOOTNOTE Char,Footnote Text Char1 Char,Footnote Text Char Char Char,footnote text Char"/>
    <w:basedOn w:val="DefaultParagraphFont"/>
    <w:link w:val="FootnoteText"/>
    <w:uiPriority w:val="99"/>
    <w:rsid w:val="00C67CCA"/>
    <w:rPr>
      <w:sz w:val="24"/>
      <w:szCs w:val="24"/>
    </w:rPr>
  </w:style>
  <w:style w:type="character" w:styleId="FootnoteReference">
    <w:name w:val="footnote reference"/>
    <w:aliases w:val="referencia nota al pie,ftref,Style 24,FC,Fußnotenzeichen DISS,16 Point,Superscript 6 Point,BVI fnr,Знак сноски 1,Footnote Referencefra,titulo 2,pie pddes,Ref. de nota al pie.,Texto de nota al pie,Ref. de nota al pie2,Nota de pie"/>
    <w:basedOn w:val="DefaultParagraphFont"/>
    <w:link w:val="Char2"/>
    <w:uiPriority w:val="99"/>
    <w:unhideWhenUsed/>
    <w:qFormat/>
    <w:rsid w:val="00C67CCA"/>
    <w:rPr>
      <w:vertAlign w:val="superscript"/>
    </w:rPr>
  </w:style>
  <w:style w:type="character" w:customStyle="1" w:styleId="Heading7Char">
    <w:name w:val="Heading 7 Char"/>
    <w:basedOn w:val="DefaultParagraphFont"/>
    <w:link w:val="Heading7"/>
    <w:rsid w:val="00C67CCA"/>
    <w:rPr>
      <w:rFonts w:ascii="Calibri" w:hAnsi="Calibri"/>
      <w:szCs w:val="24"/>
      <w:lang w:val="x-none" w:eastAsia="x-none"/>
    </w:rPr>
  </w:style>
  <w:style w:type="character" w:customStyle="1" w:styleId="Heading8Char">
    <w:name w:val="Heading 8 Char"/>
    <w:basedOn w:val="DefaultParagraphFont"/>
    <w:link w:val="Heading8"/>
    <w:rsid w:val="00C67CCA"/>
    <w:rPr>
      <w:rFonts w:ascii="Calibri" w:hAnsi="Calibri"/>
      <w:i/>
      <w:iCs/>
      <w:szCs w:val="24"/>
      <w:lang w:val="x-none" w:eastAsia="x-none"/>
    </w:rPr>
  </w:style>
  <w:style w:type="character" w:customStyle="1" w:styleId="Heading9Char">
    <w:name w:val="Heading 9 Char"/>
    <w:basedOn w:val="DefaultParagraphFont"/>
    <w:link w:val="Heading9"/>
    <w:rsid w:val="00C67CCA"/>
    <w:rPr>
      <w:rFonts w:ascii="Cambria" w:hAnsi="Cambria"/>
      <w:lang w:val="x-none" w:eastAsia="x-none"/>
    </w:rPr>
  </w:style>
  <w:style w:type="paragraph" w:styleId="Title">
    <w:name w:val="Title"/>
    <w:basedOn w:val="Normal"/>
    <w:link w:val="TitleChar"/>
    <w:qFormat/>
    <w:rsid w:val="00C67CCA"/>
    <w:pPr>
      <w:tabs>
        <w:tab w:val="left" w:pos="1440"/>
        <w:tab w:val="left" w:pos="3060"/>
      </w:tabs>
      <w:jc w:val="center"/>
      <w:outlineLvl w:val="0"/>
    </w:pPr>
    <w:rPr>
      <w:lang w:val="x-none" w:eastAsia="x-none"/>
    </w:rPr>
  </w:style>
  <w:style w:type="character" w:customStyle="1" w:styleId="TitleChar">
    <w:name w:val="Title Char"/>
    <w:basedOn w:val="DefaultParagraphFont"/>
    <w:link w:val="Title"/>
    <w:rsid w:val="00C67CCA"/>
    <w:rPr>
      <w:rFonts w:ascii="Times New Roman" w:eastAsia="Times New Roman" w:hAnsi="Times New Roman" w:cs="Times New Roman"/>
      <w:sz w:val="24"/>
      <w:szCs w:val="20"/>
      <w:lang w:val="x-none" w:eastAsia="x-none"/>
    </w:rPr>
  </w:style>
  <w:style w:type="paragraph" w:customStyle="1" w:styleId="Newpage">
    <w:name w:val="Newpage"/>
    <w:basedOn w:val="Normal"/>
    <w:rsid w:val="00C67CCA"/>
    <w:pPr>
      <w:tabs>
        <w:tab w:val="left" w:pos="1440"/>
        <w:tab w:val="left" w:pos="3060"/>
      </w:tabs>
      <w:jc w:val="center"/>
    </w:pPr>
    <w:rPr>
      <w:rFonts w:cs="Arial"/>
      <w:b/>
      <w:smallCaps/>
    </w:rPr>
  </w:style>
  <w:style w:type="paragraph" w:customStyle="1" w:styleId="Chapter">
    <w:name w:val="Chapter"/>
    <w:basedOn w:val="Normal"/>
    <w:next w:val="Normal"/>
    <w:link w:val="ChapterChar"/>
    <w:rsid w:val="00C67CCA"/>
    <w:pPr>
      <w:keepNext/>
      <w:numPr>
        <w:numId w:val="1"/>
      </w:numPr>
      <w:tabs>
        <w:tab w:val="left" w:pos="1440"/>
      </w:tabs>
      <w:spacing w:before="240" w:after="240"/>
      <w:jc w:val="center"/>
    </w:pPr>
    <w:rPr>
      <w:rFonts w:eastAsia="Calibri"/>
      <w:b/>
      <w:smallCaps/>
      <w:lang w:val="x-none" w:eastAsia="x-none"/>
    </w:rPr>
  </w:style>
  <w:style w:type="character" w:customStyle="1" w:styleId="ChapterChar">
    <w:name w:val="Chapter Char"/>
    <w:link w:val="Chapter"/>
    <w:rsid w:val="00C67CCA"/>
    <w:rPr>
      <w:rFonts w:eastAsia="Calibri"/>
      <w:b/>
      <w:smallCaps/>
      <w:lang w:val="x-none" w:eastAsia="x-none"/>
    </w:rPr>
  </w:style>
  <w:style w:type="paragraph" w:customStyle="1" w:styleId="Paragraph">
    <w:name w:val="Paragraph"/>
    <w:aliases w:val="paragraph,p,PARAGRAPH,PG,pa,at"/>
    <w:basedOn w:val="BodyTextIndent"/>
    <w:link w:val="ParagraphChar"/>
    <w:qFormat/>
    <w:rsid w:val="00C67CCA"/>
    <w:pPr>
      <w:tabs>
        <w:tab w:val="num" w:pos="720"/>
      </w:tabs>
      <w:spacing w:before="120"/>
      <w:ind w:hanging="720"/>
      <w:jc w:val="both"/>
      <w:outlineLvl w:val="1"/>
    </w:pPr>
    <w:rPr>
      <w:rFonts w:eastAsia="Calibri"/>
      <w:lang w:val="x-none" w:eastAsia="x-none"/>
    </w:rPr>
  </w:style>
  <w:style w:type="character" w:customStyle="1" w:styleId="ParagraphChar">
    <w:name w:val="Paragraph Char"/>
    <w:aliases w:val="paragraph Char,p Char,PARAGRAPH Char,PG Char,pa Char,at Char,Paragraph Char1"/>
    <w:link w:val="Paragraph"/>
    <w:rsid w:val="00C67CCA"/>
    <w:rPr>
      <w:rFonts w:ascii="Times New Roman" w:eastAsia="Calibri" w:hAnsi="Times New Roman" w:cs="Times New Roman"/>
      <w:sz w:val="24"/>
      <w:lang w:val="x-none" w:eastAsia="x-none"/>
    </w:rPr>
  </w:style>
  <w:style w:type="paragraph" w:customStyle="1" w:styleId="TableTitle">
    <w:name w:val="TableTitle"/>
    <w:basedOn w:val="Normal"/>
    <w:link w:val="TableTitleChar"/>
    <w:rsid w:val="00C67CCA"/>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C67CCA"/>
    <w:rPr>
      <w:rFonts w:ascii="Times New Roman Bold" w:eastAsia="Times New Roman" w:hAnsi="Times New Roman Bold" w:cs="Times New Roman"/>
      <w:b/>
      <w:spacing w:val="-3"/>
      <w:sz w:val="20"/>
      <w:szCs w:val="20"/>
      <w:lang w:val="es-ES" w:eastAsia="x-none"/>
    </w:rPr>
  </w:style>
  <w:style w:type="paragraph" w:styleId="TOC3">
    <w:name w:val="toc 3"/>
    <w:basedOn w:val="Normal"/>
    <w:next w:val="Normal"/>
    <w:autoRedefine/>
    <w:uiPriority w:val="39"/>
    <w:qFormat/>
    <w:rsid w:val="00B407A8"/>
    <w:pPr>
      <w:ind w:left="440"/>
    </w:pPr>
    <w:rPr>
      <w:rFonts w:asciiTheme="minorHAnsi" w:hAnsiTheme="minorHAnsi" w:cstheme="minorHAnsi"/>
      <w:i/>
      <w:iCs/>
      <w:sz w:val="20"/>
      <w:szCs w:val="20"/>
    </w:rPr>
  </w:style>
  <w:style w:type="paragraph" w:styleId="BodyText2">
    <w:name w:val="Body Text 2"/>
    <w:basedOn w:val="Normal"/>
    <w:link w:val="BodyText2Char"/>
    <w:rsid w:val="00C67CCA"/>
    <w:pPr>
      <w:spacing w:after="120" w:line="480" w:lineRule="auto"/>
    </w:pPr>
  </w:style>
  <w:style w:type="character" w:customStyle="1" w:styleId="BodyText2Char">
    <w:name w:val="Body Text 2 Char"/>
    <w:basedOn w:val="DefaultParagraphFont"/>
    <w:link w:val="BodyText2"/>
    <w:rsid w:val="00C67CCA"/>
    <w:rPr>
      <w:rFonts w:ascii="Times New Roman" w:eastAsia="Times New Roman" w:hAnsi="Times New Roman" w:cs="Times New Roman"/>
      <w:spacing w:val="-3"/>
      <w:sz w:val="24"/>
      <w:szCs w:val="20"/>
      <w:lang w:val="es-ES_tradnl"/>
    </w:rPr>
  </w:style>
  <w:style w:type="paragraph" w:styleId="BodyTextIndent">
    <w:name w:val="Body Text Indent"/>
    <w:basedOn w:val="Normal"/>
    <w:link w:val="BodyTextIndentChar"/>
    <w:uiPriority w:val="99"/>
    <w:semiHidden/>
    <w:unhideWhenUsed/>
    <w:rsid w:val="00C67CCA"/>
    <w:pPr>
      <w:spacing w:after="120"/>
      <w:ind w:left="360"/>
    </w:pPr>
  </w:style>
  <w:style w:type="character" w:customStyle="1" w:styleId="BodyTextIndentChar">
    <w:name w:val="Body Text Indent Char"/>
    <w:basedOn w:val="DefaultParagraphFont"/>
    <w:link w:val="BodyTextIndent"/>
    <w:uiPriority w:val="99"/>
    <w:semiHidden/>
    <w:rsid w:val="00C67CCA"/>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4E3E37"/>
    <w:pPr>
      <w:tabs>
        <w:tab w:val="center" w:pos="4252"/>
        <w:tab w:val="right" w:pos="8504"/>
      </w:tabs>
    </w:pPr>
  </w:style>
  <w:style w:type="character" w:customStyle="1" w:styleId="FooterChar">
    <w:name w:val="Footer Char"/>
    <w:basedOn w:val="DefaultParagraphFont"/>
    <w:link w:val="Footer"/>
    <w:uiPriority w:val="99"/>
    <w:rsid w:val="004E3E37"/>
    <w:rPr>
      <w:rFonts w:ascii="Times New Roman" w:eastAsia="Times New Roman" w:hAnsi="Times New Roman" w:cs="Times New Roman"/>
      <w:spacing w:val="-3"/>
      <w:sz w:val="24"/>
      <w:szCs w:val="20"/>
      <w:lang w:val="es-ES_tradnl"/>
    </w:rPr>
  </w:style>
  <w:style w:type="character" w:styleId="PageNumber">
    <w:name w:val="page number"/>
    <w:basedOn w:val="DefaultParagraphFont"/>
    <w:unhideWhenUsed/>
    <w:rsid w:val="004E3E37"/>
  </w:style>
  <w:style w:type="paragraph" w:styleId="Header">
    <w:name w:val="header"/>
    <w:basedOn w:val="Normal"/>
    <w:link w:val="HeaderChar"/>
    <w:unhideWhenUsed/>
    <w:rsid w:val="004E3E37"/>
    <w:pPr>
      <w:tabs>
        <w:tab w:val="center" w:pos="4252"/>
        <w:tab w:val="right" w:pos="8504"/>
      </w:tabs>
    </w:pPr>
  </w:style>
  <w:style w:type="character" w:customStyle="1" w:styleId="HeaderChar">
    <w:name w:val="Header Char"/>
    <w:basedOn w:val="DefaultParagraphFont"/>
    <w:link w:val="Header"/>
    <w:rsid w:val="004E3E37"/>
    <w:rPr>
      <w:rFonts w:ascii="Times New Roman" w:eastAsia="Times New Roman" w:hAnsi="Times New Roman" w:cs="Times New Roman"/>
      <w:spacing w:val="-3"/>
      <w:sz w:val="24"/>
      <w:szCs w:val="20"/>
      <w:lang w:val="es-ES_tradnl"/>
    </w:rPr>
  </w:style>
  <w:style w:type="character" w:styleId="CommentReference">
    <w:name w:val="annotation reference"/>
    <w:basedOn w:val="DefaultParagraphFont"/>
    <w:uiPriority w:val="99"/>
    <w:semiHidden/>
    <w:unhideWhenUsed/>
    <w:rsid w:val="00D5114A"/>
    <w:rPr>
      <w:sz w:val="16"/>
      <w:szCs w:val="16"/>
    </w:rPr>
  </w:style>
  <w:style w:type="paragraph" w:styleId="CommentText">
    <w:name w:val="annotation text"/>
    <w:basedOn w:val="Normal"/>
    <w:link w:val="CommentTextChar"/>
    <w:uiPriority w:val="99"/>
    <w:semiHidden/>
    <w:unhideWhenUsed/>
    <w:rsid w:val="00D5114A"/>
    <w:rPr>
      <w:sz w:val="20"/>
    </w:rPr>
  </w:style>
  <w:style w:type="character" w:customStyle="1" w:styleId="CommentTextChar">
    <w:name w:val="Comment Text Char"/>
    <w:basedOn w:val="DefaultParagraphFont"/>
    <w:link w:val="CommentText"/>
    <w:uiPriority w:val="99"/>
    <w:semiHidden/>
    <w:rsid w:val="00D5114A"/>
    <w:rPr>
      <w:rFonts w:ascii="Times New Roman" w:eastAsia="Times New Roman" w:hAnsi="Times New Roman" w:cs="Times New Roman"/>
      <w:spacing w:val="-3"/>
      <w:sz w:val="20"/>
      <w:szCs w:val="20"/>
      <w:lang w:val="es-ES_tradnl"/>
    </w:rPr>
  </w:style>
  <w:style w:type="paragraph" w:styleId="CommentSubject">
    <w:name w:val="annotation subject"/>
    <w:basedOn w:val="CommentText"/>
    <w:next w:val="CommentText"/>
    <w:link w:val="CommentSubjectChar"/>
    <w:uiPriority w:val="99"/>
    <w:semiHidden/>
    <w:unhideWhenUsed/>
    <w:rsid w:val="00D5114A"/>
    <w:rPr>
      <w:b/>
      <w:bCs/>
    </w:rPr>
  </w:style>
  <w:style w:type="character" w:customStyle="1" w:styleId="CommentSubjectChar">
    <w:name w:val="Comment Subject Char"/>
    <w:basedOn w:val="CommentTextChar"/>
    <w:link w:val="CommentSubject"/>
    <w:uiPriority w:val="99"/>
    <w:semiHidden/>
    <w:rsid w:val="00D5114A"/>
    <w:rPr>
      <w:rFonts w:ascii="Times New Roman" w:eastAsia="Times New Roman" w:hAnsi="Times New Roman" w:cs="Times New Roman"/>
      <w:b/>
      <w:bCs/>
      <w:spacing w:val="-3"/>
      <w:sz w:val="20"/>
      <w:szCs w:val="20"/>
      <w:lang w:val="es-ES_tradnl"/>
    </w:rPr>
  </w:style>
  <w:style w:type="paragraph" w:styleId="BalloonText">
    <w:name w:val="Balloon Text"/>
    <w:basedOn w:val="Normal"/>
    <w:link w:val="BalloonTextChar"/>
    <w:uiPriority w:val="99"/>
    <w:semiHidden/>
    <w:unhideWhenUsed/>
    <w:rsid w:val="00D5114A"/>
    <w:rPr>
      <w:rFonts w:ascii="Tahoma" w:hAnsi="Tahoma" w:cs="Tahoma"/>
      <w:sz w:val="16"/>
      <w:szCs w:val="16"/>
    </w:rPr>
  </w:style>
  <w:style w:type="character" w:customStyle="1" w:styleId="BalloonTextChar">
    <w:name w:val="Balloon Text Char"/>
    <w:basedOn w:val="DefaultParagraphFont"/>
    <w:link w:val="BalloonText"/>
    <w:uiPriority w:val="99"/>
    <w:semiHidden/>
    <w:rsid w:val="00D5114A"/>
    <w:rPr>
      <w:rFonts w:ascii="Tahoma" w:eastAsia="Times New Roman" w:hAnsi="Tahoma" w:cs="Tahoma"/>
      <w:spacing w:val="-3"/>
      <w:sz w:val="16"/>
      <w:szCs w:val="16"/>
      <w:lang w:val="es-ES_tradnl"/>
    </w:rPr>
  </w:style>
  <w:style w:type="paragraph" w:styleId="Subtitle">
    <w:name w:val="Subtitle"/>
    <w:basedOn w:val="Normal"/>
    <w:next w:val="Normal"/>
    <w:link w:val="SubtitleChar"/>
    <w:uiPriority w:val="11"/>
    <w:qFormat/>
    <w:rsid w:val="00D5114A"/>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D5114A"/>
    <w:rPr>
      <w:rFonts w:ascii="Cambria" w:eastAsia="Times New Roman" w:hAnsi="Cambria" w:cs="Times New Roman"/>
      <w:sz w:val="24"/>
      <w:szCs w:val="24"/>
    </w:rPr>
  </w:style>
  <w:style w:type="table" w:styleId="TableGrid">
    <w:name w:val="Table Grid"/>
    <w:basedOn w:val="TableNormal"/>
    <w:uiPriority w:val="39"/>
    <w:rsid w:val="00134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rsid w:val="00992EA6"/>
    <w:pPr>
      <w:spacing w:before="240"/>
    </w:pPr>
  </w:style>
  <w:style w:type="paragraph" w:customStyle="1" w:styleId="Banknumbered">
    <w:name w:val="Bank numbered"/>
    <w:link w:val="BanknumberedChar"/>
    <w:qFormat/>
    <w:rsid w:val="00992EA6"/>
    <w:pPr>
      <w:numPr>
        <w:numId w:val="2"/>
      </w:numPr>
      <w:spacing w:before="120" w:after="0" w:line="240" w:lineRule="auto"/>
    </w:pPr>
    <w:rPr>
      <w:rFonts w:ascii="Times New Roman" w:hAnsi="Times New Roman"/>
      <w:sz w:val="24"/>
      <w:szCs w:val="24"/>
      <w:lang w:val="es-ES"/>
    </w:rPr>
  </w:style>
  <w:style w:type="character" w:customStyle="1" w:styleId="BanknumberedChar">
    <w:name w:val="Bank numbered Char"/>
    <w:basedOn w:val="DefaultParagraphFont"/>
    <w:link w:val="Banknumbered"/>
    <w:rsid w:val="00992EA6"/>
    <w:rPr>
      <w:rFonts w:ascii="Times New Roman" w:hAnsi="Times New Roman"/>
      <w:sz w:val="24"/>
      <w:szCs w:val="24"/>
      <w:lang w:val="es-ES"/>
    </w:rPr>
  </w:style>
  <w:style w:type="paragraph" w:customStyle="1" w:styleId="FirstHeading">
    <w:name w:val="FirstHeading"/>
    <w:basedOn w:val="Normal"/>
    <w:next w:val="Normal"/>
    <w:uiPriority w:val="99"/>
    <w:rsid w:val="00685774"/>
    <w:pPr>
      <w:keepNext/>
      <w:tabs>
        <w:tab w:val="left" w:pos="0"/>
        <w:tab w:val="left" w:pos="86"/>
      </w:tabs>
      <w:spacing w:before="120" w:after="120"/>
      <w:ind w:left="720" w:hanging="720"/>
    </w:pPr>
    <w:rPr>
      <w:rFonts w:eastAsia="ヒラギノ角ゴ Pro W3"/>
      <w:b/>
      <w:szCs w:val="24"/>
    </w:rPr>
  </w:style>
  <w:style w:type="paragraph" w:customStyle="1" w:styleId="Body">
    <w:name w:val="Body"/>
    <w:rsid w:val="00685774"/>
    <w:pPr>
      <w:spacing w:after="0" w:line="240" w:lineRule="auto"/>
    </w:pPr>
    <w:rPr>
      <w:rFonts w:ascii="Helvetica" w:eastAsia="ヒラギノ角ゴ Pro W3" w:hAnsi="Helvetica" w:cs="Times New Roman"/>
      <w:color w:val="000000"/>
      <w:sz w:val="24"/>
      <w:szCs w:val="20"/>
    </w:rPr>
  </w:style>
  <w:style w:type="paragraph" w:customStyle="1" w:styleId="subpar">
    <w:name w:val="subpar"/>
    <w:basedOn w:val="BodyTextIndent3"/>
    <w:rsid w:val="00685774"/>
    <w:pPr>
      <w:tabs>
        <w:tab w:val="num" w:pos="360"/>
      </w:tabs>
      <w:spacing w:before="120"/>
      <w:jc w:val="both"/>
      <w:outlineLvl w:val="2"/>
    </w:pPr>
    <w:rPr>
      <w:sz w:val="24"/>
      <w:szCs w:val="20"/>
    </w:rPr>
  </w:style>
  <w:style w:type="paragraph" w:customStyle="1" w:styleId="SubSubPar">
    <w:name w:val="SubSubPar"/>
    <w:basedOn w:val="subpar"/>
    <w:rsid w:val="00685774"/>
    <w:pPr>
      <w:tabs>
        <w:tab w:val="clear" w:pos="360"/>
        <w:tab w:val="left" w:pos="0"/>
      </w:tabs>
      <w:ind w:left="0"/>
    </w:pPr>
  </w:style>
  <w:style w:type="paragraph" w:styleId="BodyTextIndent3">
    <w:name w:val="Body Text Indent 3"/>
    <w:basedOn w:val="Normal"/>
    <w:link w:val="BodyTextIndent3Char"/>
    <w:uiPriority w:val="99"/>
    <w:semiHidden/>
    <w:unhideWhenUsed/>
    <w:rsid w:val="0068577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85774"/>
    <w:rPr>
      <w:rFonts w:ascii="Times New Roman" w:eastAsia="Times New Roman" w:hAnsi="Times New Roman" w:cs="Times New Roman"/>
      <w:spacing w:val="-3"/>
      <w:sz w:val="16"/>
      <w:szCs w:val="16"/>
      <w:lang w:val="es-ES_tradnl"/>
    </w:rPr>
  </w:style>
  <w:style w:type="character" w:customStyle="1" w:styleId="ListParagraphChar">
    <w:name w:val="List Paragraph Char"/>
    <w:basedOn w:val="DefaultParagraphFont"/>
    <w:link w:val="ListParagraph"/>
    <w:uiPriority w:val="34"/>
    <w:rsid w:val="00AB13F6"/>
    <w:rPr>
      <w:rFonts w:ascii="Times New Roman" w:eastAsia="Times New Roman" w:hAnsi="Times New Roman" w:cs="Times New Roman"/>
      <w:spacing w:val="-3"/>
      <w:sz w:val="24"/>
      <w:szCs w:val="20"/>
      <w:lang w:val="es-ES_tradnl"/>
    </w:rPr>
  </w:style>
  <w:style w:type="character" w:customStyle="1" w:styleId="Heading1Char">
    <w:name w:val="Heading 1 Char"/>
    <w:basedOn w:val="DefaultParagraphFont"/>
    <w:link w:val="Heading1"/>
    <w:uiPriority w:val="9"/>
    <w:rsid w:val="00C10B8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E0B90"/>
    <w:pPr>
      <w:spacing w:line="276" w:lineRule="auto"/>
      <w:outlineLvl w:val="9"/>
    </w:pPr>
    <w:rPr>
      <w:lang w:val="es-CO" w:eastAsia="es-CO"/>
    </w:rPr>
  </w:style>
  <w:style w:type="paragraph" w:styleId="TOC1">
    <w:name w:val="toc 1"/>
    <w:basedOn w:val="Normal"/>
    <w:next w:val="Normal"/>
    <w:autoRedefine/>
    <w:uiPriority w:val="39"/>
    <w:unhideWhenUsed/>
    <w:rsid w:val="005904DA"/>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AD7E06"/>
    <w:pPr>
      <w:ind w:left="220"/>
    </w:pPr>
    <w:rPr>
      <w:rFonts w:asciiTheme="minorHAnsi" w:hAnsiTheme="minorHAnsi" w:cstheme="minorHAnsi"/>
      <w:smallCaps/>
      <w:sz w:val="20"/>
      <w:szCs w:val="20"/>
    </w:rPr>
  </w:style>
  <w:style w:type="character" w:styleId="Hyperlink">
    <w:name w:val="Hyperlink"/>
    <w:basedOn w:val="DefaultParagraphFont"/>
    <w:uiPriority w:val="99"/>
    <w:unhideWhenUsed/>
    <w:rsid w:val="00FE0B90"/>
    <w:rPr>
      <w:color w:val="0000FF" w:themeColor="hyperlink"/>
      <w:u w:val="single"/>
    </w:rPr>
  </w:style>
  <w:style w:type="paragraph" w:customStyle="1" w:styleId="Bullet">
    <w:name w:val="Bullet"/>
    <w:basedOn w:val="ListParagraph"/>
    <w:link w:val="BulletChar"/>
    <w:qFormat/>
    <w:rsid w:val="00554332"/>
    <w:pPr>
      <w:numPr>
        <w:numId w:val="4"/>
      </w:numPr>
      <w:spacing w:before="120"/>
    </w:pPr>
  </w:style>
  <w:style w:type="character" w:customStyle="1" w:styleId="BulletChar">
    <w:name w:val="Bullet Char"/>
    <w:basedOn w:val="DefaultParagraphFont"/>
    <w:link w:val="Bullet"/>
    <w:rsid w:val="00554332"/>
  </w:style>
  <w:style w:type="character" w:styleId="FollowedHyperlink">
    <w:name w:val="FollowedHyperlink"/>
    <w:basedOn w:val="DefaultParagraphFont"/>
    <w:uiPriority w:val="99"/>
    <w:semiHidden/>
    <w:unhideWhenUsed/>
    <w:rsid w:val="006349F5"/>
    <w:rPr>
      <w:color w:val="800080" w:themeColor="followedHyperlink"/>
      <w:u w:val="single"/>
    </w:rPr>
  </w:style>
  <w:style w:type="paragraph" w:styleId="NoSpacing">
    <w:name w:val="No Spacing"/>
    <w:link w:val="NoSpacingChar"/>
    <w:uiPriority w:val="1"/>
    <w:qFormat/>
    <w:rsid w:val="00F17127"/>
    <w:pPr>
      <w:spacing w:after="0" w:line="240" w:lineRule="auto"/>
    </w:pPr>
    <w:rPr>
      <w:rFonts w:eastAsiaTheme="minorEastAsia"/>
    </w:rPr>
  </w:style>
  <w:style w:type="character" w:customStyle="1" w:styleId="NoSpacingChar">
    <w:name w:val="No Spacing Char"/>
    <w:basedOn w:val="DefaultParagraphFont"/>
    <w:link w:val="NoSpacing"/>
    <w:uiPriority w:val="1"/>
    <w:rsid w:val="00F17127"/>
    <w:rPr>
      <w:rFonts w:eastAsiaTheme="minorEastAsia"/>
    </w:rPr>
  </w:style>
  <w:style w:type="character" w:customStyle="1" w:styleId="Heading2Char">
    <w:name w:val="Heading 2 Char"/>
    <w:basedOn w:val="DefaultParagraphFont"/>
    <w:link w:val="Heading2"/>
    <w:rsid w:val="005C2329"/>
    <w:rPr>
      <w:rFonts w:cs="Arial"/>
      <w:b/>
      <w:bCs/>
      <w:iCs/>
      <w:smallCaps/>
      <w:lang w:val="es-US" w:eastAsia="es-ES"/>
    </w:rPr>
  </w:style>
  <w:style w:type="paragraph" w:styleId="TOC4">
    <w:name w:val="toc 4"/>
    <w:basedOn w:val="Normal"/>
    <w:next w:val="Normal"/>
    <w:autoRedefine/>
    <w:uiPriority w:val="39"/>
    <w:unhideWhenUsed/>
    <w:rsid w:val="002B126D"/>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2B126D"/>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2B126D"/>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2B126D"/>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2B126D"/>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2B126D"/>
    <w:pPr>
      <w:ind w:left="1760"/>
    </w:pPr>
    <w:rPr>
      <w:rFonts w:asciiTheme="minorHAnsi" w:hAnsiTheme="minorHAnsi" w:cstheme="minorHAnsi"/>
      <w:sz w:val="18"/>
      <w:szCs w:val="18"/>
    </w:rPr>
  </w:style>
  <w:style w:type="character" w:customStyle="1" w:styleId="Heading3Char">
    <w:name w:val="Heading 3 Char"/>
    <w:basedOn w:val="DefaultParagraphFont"/>
    <w:link w:val="Heading3"/>
    <w:uiPriority w:val="9"/>
    <w:rsid w:val="00F233FD"/>
    <w:rPr>
      <w:rFonts w:asciiTheme="majorHAnsi" w:eastAsiaTheme="majorEastAsia" w:hAnsiTheme="majorHAnsi" w:cstheme="majorBidi"/>
      <w:color w:val="243F60" w:themeColor="accent1" w:themeShade="7F"/>
      <w:szCs w:val="24"/>
    </w:rPr>
  </w:style>
  <w:style w:type="character" w:customStyle="1" w:styleId="Heading4Char">
    <w:name w:val="Heading 4 Char"/>
    <w:basedOn w:val="DefaultParagraphFont"/>
    <w:link w:val="Heading4"/>
    <w:uiPriority w:val="9"/>
    <w:semiHidden/>
    <w:rsid w:val="00F233F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5521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5521D"/>
    <w:rPr>
      <w:rFonts w:asciiTheme="majorHAnsi" w:eastAsiaTheme="majorEastAsia" w:hAnsiTheme="majorHAnsi" w:cstheme="majorBidi"/>
      <w:color w:val="243F60" w:themeColor="accent1" w:themeShade="7F"/>
    </w:rPr>
  </w:style>
  <w:style w:type="numbering" w:customStyle="1" w:styleId="Style1">
    <w:name w:val="Style1"/>
    <w:uiPriority w:val="99"/>
    <w:rsid w:val="008072F8"/>
    <w:pPr>
      <w:numPr>
        <w:numId w:val="9"/>
      </w:numPr>
    </w:pPr>
  </w:style>
  <w:style w:type="numbering" w:customStyle="1" w:styleId="Style2">
    <w:name w:val="Style2"/>
    <w:uiPriority w:val="99"/>
    <w:rsid w:val="00E4165A"/>
    <w:pPr>
      <w:numPr>
        <w:numId w:val="12"/>
      </w:numPr>
    </w:pPr>
  </w:style>
  <w:style w:type="numbering" w:customStyle="1" w:styleId="Style11">
    <w:name w:val="Style11"/>
    <w:uiPriority w:val="99"/>
    <w:rsid w:val="00D26DBA"/>
  </w:style>
  <w:style w:type="character" w:styleId="PlaceholderText">
    <w:name w:val="Placeholder Text"/>
    <w:basedOn w:val="DefaultParagraphFont"/>
    <w:uiPriority w:val="99"/>
    <w:semiHidden/>
    <w:rsid w:val="00016302"/>
    <w:rPr>
      <w:color w:val="808080"/>
    </w:rPr>
  </w:style>
  <w:style w:type="paragraph" w:styleId="Revision">
    <w:name w:val="Revision"/>
    <w:hidden/>
    <w:uiPriority w:val="99"/>
    <w:semiHidden/>
    <w:rsid w:val="00D365FF"/>
    <w:pPr>
      <w:spacing w:after="0" w:line="240" w:lineRule="auto"/>
    </w:pPr>
  </w:style>
  <w:style w:type="paragraph" w:customStyle="1" w:styleId="Char2">
    <w:name w:val="Char2"/>
    <w:basedOn w:val="Normal"/>
    <w:link w:val="FootnoteReference"/>
    <w:uiPriority w:val="99"/>
    <w:rsid w:val="00195E8F"/>
    <w:pPr>
      <w:spacing w:after="160" w:line="240" w:lineRule="exact"/>
    </w:pPr>
    <w:rPr>
      <w:vertAlign w:val="superscript"/>
    </w:rPr>
  </w:style>
  <w:style w:type="table" w:customStyle="1" w:styleId="TableGrid1">
    <w:name w:val="Table Grid1"/>
    <w:basedOn w:val="TableNormal"/>
    <w:next w:val="TableGrid"/>
    <w:uiPriority w:val="39"/>
    <w:rsid w:val="00F00B48"/>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05724">
      <w:bodyDiv w:val="1"/>
      <w:marLeft w:val="0"/>
      <w:marRight w:val="0"/>
      <w:marTop w:val="0"/>
      <w:marBottom w:val="0"/>
      <w:divBdr>
        <w:top w:val="none" w:sz="0" w:space="0" w:color="auto"/>
        <w:left w:val="none" w:sz="0" w:space="0" w:color="auto"/>
        <w:bottom w:val="none" w:sz="0" w:space="0" w:color="auto"/>
        <w:right w:val="none" w:sz="0" w:space="0" w:color="auto"/>
      </w:divBdr>
    </w:div>
    <w:div w:id="388501566">
      <w:bodyDiv w:val="1"/>
      <w:marLeft w:val="0"/>
      <w:marRight w:val="0"/>
      <w:marTop w:val="0"/>
      <w:marBottom w:val="0"/>
      <w:divBdr>
        <w:top w:val="none" w:sz="0" w:space="0" w:color="auto"/>
        <w:left w:val="none" w:sz="0" w:space="0" w:color="auto"/>
        <w:bottom w:val="none" w:sz="0" w:space="0" w:color="auto"/>
        <w:right w:val="none" w:sz="0" w:space="0" w:color="auto"/>
      </w:divBdr>
    </w:div>
    <w:div w:id="476841727">
      <w:bodyDiv w:val="1"/>
      <w:marLeft w:val="0"/>
      <w:marRight w:val="0"/>
      <w:marTop w:val="0"/>
      <w:marBottom w:val="0"/>
      <w:divBdr>
        <w:top w:val="none" w:sz="0" w:space="0" w:color="auto"/>
        <w:left w:val="none" w:sz="0" w:space="0" w:color="auto"/>
        <w:bottom w:val="none" w:sz="0" w:space="0" w:color="auto"/>
        <w:right w:val="none" w:sz="0" w:space="0" w:color="auto"/>
      </w:divBdr>
    </w:div>
    <w:div w:id="483469597">
      <w:bodyDiv w:val="1"/>
      <w:marLeft w:val="0"/>
      <w:marRight w:val="0"/>
      <w:marTop w:val="0"/>
      <w:marBottom w:val="0"/>
      <w:divBdr>
        <w:top w:val="none" w:sz="0" w:space="0" w:color="auto"/>
        <w:left w:val="none" w:sz="0" w:space="0" w:color="auto"/>
        <w:bottom w:val="none" w:sz="0" w:space="0" w:color="auto"/>
        <w:right w:val="none" w:sz="0" w:space="0" w:color="auto"/>
      </w:divBdr>
    </w:div>
    <w:div w:id="744034583">
      <w:bodyDiv w:val="1"/>
      <w:marLeft w:val="0"/>
      <w:marRight w:val="0"/>
      <w:marTop w:val="0"/>
      <w:marBottom w:val="0"/>
      <w:divBdr>
        <w:top w:val="none" w:sz="0" w:space="0" w:color="auto"/>
        <w:left w:val="none" w:sz="0" w:space="0" w:color="auto"/>
        <w:bottom w:val="none" w:sz="0" w:space="0" w:color="auto"/>
        <w:right w:val="none" w:sz="0" w:space="0" w:color="auto"/>
      </w:divBdr>
    </w:div>
    <w:div w:id="914320487">
      <w:bodyDiv w:val="1"/>
      <w:marLeft w:val="0"/>
      <w:marRight w:val="0"/>
      <w:marTop w:val="0"/>
      <w:marBottom w:val="0"/>
      <w:divBdr>
        <w:top w:val="none" w:sz="0" w:space="0" w:color="auto"/>
        <w:left w:val="none" w:sz="0" w:space="0" w:color="auto"/>
        <w:bottom w:val="none" w:sz="0" w:space="0" w:color="auto"/>
        <w:right w:val="none" w:sz="0" w:space="0" w:color="auto"/>
      </w:divBdr>
    </w:div>
    <w:div w:id="1067652720">
      <w:bodyDiv w:val="1"/>
      <w:marLeft w:val="0"/>
      <w:marRight w:val="0"/>
      <w:marTop w:val="0"/>
      <w:marBottom w:val="0"/>
      <w:divBdr>
        <w:top w:val="none" w:sz="0" w:space="0" w:color="auto"/>
        <w:left w:val="none" w:sz="0" w:space="0" w:color="auto"/>
        <w:bottom w:val="none" w:sz="0" w:space="0" w:color="auto"/>
        <w:right w:val="none" w:sz="0" w:space="0" w:color="auto"/>
      </w:divBdr>
    </w:div>
    <w:div w:id="1075785519">
      <w:bodyDiv w:val="1"/>
      <w:marLeft w:val="0"/>
      <w:marRight w:val="0"/>
      <w:marTop w:val="0"/>
      <w:marBottom w:val="0"/>
      <w:divBdr>
        <w:top w:val="none" w:sz="0" w:space="0" w:color="auto"/>
        <w:left w:val="none" w:sz="0" w:space="0" w:color="auto"/>
        <w:bottom w:val="none" w:sz="0" w:space="0" w:color="auto"/>
        <w:right w:val="none" w:sz="0" w:space="0" w:color="auto"/>
      </w:divBdr>
    </w:div>
    <w:div w:id="1540506493">
      <w:bodyDiv w:val="1"/>
      <w:marLeft w:val="0"/>
      <w:marRight w:val="0"/>
      <w:marTop w:val="0"/>
      <w:marBottom w:val="0"/>
      <w:divBdr>
        <w:top w:val="none" w:sz="0" w:space="0" w:color="auto"/>
        <w:left w:val="none" w:sz="0" w:space="0" w:color="auto"/>
        <w:bottom w:val="none" w:sz="0" w:space="0" w:color="auto"/>
        <w:right w:val="none" w:sz="0" w:space="0" w:color="auto"/>
      </w:divBdr>
    </w:div>
    <w:div w:id="1808620071">
      <w:bodyDiv w:val="1"/>
      <w:marLeft w:val="0"/>
      <w:marRight w:val="0"/>
      <w:marTop w:val="0"/>
      <w:marBottom w:val="0"/>
      <w:divBdr>
        <w:top w:val="none" w:sz="0" w:space="0" w:color="auto"/>
        <w:left w:val="none" w:sz="0" w:space="0" w:color="auto"/>
        <w:bottom w:val="none" w:sz="0" w:space="0" w:color="auto"/>
        <w:right w:val="none" w:sz="0" w:space="0" w:color="auto"/>
      </w:divBdr>
    </w:div>
    <w:div w:id="1814785508">
      <w:bodyDiv w:val="1"/>
      <w:marLeft w:val="0"/>
      <w:marRight w:val="0"/>
      <w:marTop w:val="0"/>
      <w:marBottom w:val="0"/>
      <w:divBdr>
        <w:top w:val="none" w:sz="0" w:space="0" w:color="auto"/>
        <w:left w:val="none" w:sz="0" w:space="0" w:color="auto"/>
        <w:bottom w:val="none" w:sz="0" w:space="0" w:color="auto"/>
        <w:right w:val="none" w:sz="0" w:space="0" w:color="auto"/>
      </w:divBdr>
    </w:div>
    <w:div w:id="190390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Document.cfm?id=EZSHARE-793258498-13"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 Id="rId22" Type="http://schemas.openxmlformats.org/officeDocument/2006/relationships/image" Target="media/image8.png"/><Relationship Id="rId27"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0D6B6-33F4-4C82-9AFC-635C596F3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9202</Words>
  <Characters>52456</Characters>
  <Application>Microsoft Office Word</Application>
  <DocSecurity>0</DocSecurity>
  <Lines>437</Lines>
  <Paragraphs>123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IADB</dc:creator>
  <cp:lastModifiedBy>Cardenas Valero, Juan Carlos</cp:lastModifiedBy>
  <cp:revision>2</cp:revision>
  <cp:lastPrinted>2017-10-01T12:04:00Z</cp:lastPrinted>
  <dcterms:created xsi:type="dcterms:W3CDTF">2018-05-15T18:13:00Z</dcterms:created>
  <dcterms:modified xsi:type="dcterms:W3CDTF">2018-05-15T18:13:00Z</dcterms:modified>
</cp:coreProperties>
</file>