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633B1" w14:textId="77777777" w:rsidR="00FA62A3" w:rsidRPr="003470FB" w:rsidRDefault="00FA62A3" w:rsidP="00FA62A3">
      <w:pPr>
        <w:keepNext/>
        <w:widowControl w:val="0"/>
        <w:jc w:val="center"/>
        <w:rPr>
          <w:rFonts w:ascii="Arial" w:hAnsi="Arial" w:cs="Arial"/>
          <w:b/>
          <w:bCs/>
          <w:smallCaps/>
        </w:rPr>
      </w:pPr>
      <w:bookmarkStart w:id="0" w:name="_GoBack"/>
      <w:bookmarkEnd w:id="0"/>
      <w:r w:rsidRPr="003470FB">
        <w:rPr>
          <w:rFonts w:ascii="Arial" w:hAnsi="Arial" w:cs="Arial"/>
          <w:b/>
          <w:bCs/>
          <w:smallCaps/>
        </w:rPr>
        <w:t xml:space="preserve">Port-au-Prince Water and Sanitation Project III </w:t>
      </w:r>
    </w:p>
    <w:p w14:paraId="1629CA4C" w14:textId="77777777" w:rsidR="00806CA2" w:rsidRPr="003470FB" w:rsidRDefault="00FA62A3" w:rsidP="00FA62A3">
      <w:pPr>
        <w:jc w:val="center"/>
        <w:rPr>
          <w:rFonts w:ascii="Arial" w:hAnsi="Arial" w:cs="Arial"/>
        </w:rPr>
      </w:pPr>
      <w:r w:rsidRPr="003470FB">
        <w:rPr>
          <w:rFonts w:ascii="Arial" w:hAnsi="Arial" w:cs="Arial"/>
          <w:b/>
          <w:bCs/>
          <w:smallCaps/>
        </w:rPr>
        <w:t>(HA-L1103)</w:t>
      </w:r>
    </w:p>
    <w:p w14:paraId="5C42738A" w14:textId="3B549EC9" w:rsidR="00C75A64" w:rsidRPr="003470FB" w:rsidRDefault="00C75A64" w:rsidP="00FA62A3">
      <w:pPr>
        <w:jc w:val="center"/>
        <w:rPr>
          <w:rFonts w:ascii="Arial" w:hAnsi="Arial" w:cs="Arial"/>
          <w:b/>
        </w:rPr>
      </w:pPr>
      <w:r w:rsidRPr="003470FB">
        <w:rPr>
          <w:rFonts w:ascii="Arial" w:hAnsi="Arial" w:cs="Arial"/>
          <w:b/>
        </w:rPr>
        <w:t>Optional Link</w:t>
      </w:r>
      <w:r w:rsidR="00B77733">
        <w:rPr>
          <w:rFonts w:ascii="Arial" w:hAnsi="Arial" w:cs="Arial"/>
          <w:b/>
        </w:rPr>
        <w:t xml:space="preserve"> </w:t>
      </w:r>
      <w:r w:rsidR="00AF2FD2">
        <w:rPr>
          <w:rFonts w:ascii="Arial" w:hAnsi="Arial" w:cs="Arial"/>
          <w:b/>
        </w:rPr>
        <w:t>OEL#13</w:t>
      </w:r>
    </w:p>
    <w:p w14:paraId="7C575C3B" w14:textId="6981C4A3" w:rsidR="00C75A64" w:rsidRPr="003470FB" w:rsidRDefault="00C75A64" w:rsidP="00FA62A3">
      <w:pPr>
        <w:jc w:val="center"/>
        <w:rPr>
          <w:rFonts w:ascii="Arial" w:hAnsi="Arial" w:cs="Arial"/>
          <w:b/>
        </w:rPr>
      </w:pPr>
      <w:r w:rsidRPr="003470FB">
        <w:rPr>
          <w:rFonts w:ascii="Arial" w:hAnsi="Arial" w:cs="Arial"/>
          <w:b/>
        </w:rPr>
        <w:t xml:space="preserve">Contribution to IDB’s </w:t>
      </w:r>
      <w:r w:rsidR="004C195A" w:rsidRPr="003470FB">
        <w:rPr>
          <w:rFonts w:ascii="Arial" w:hAnsi="Arial" w:cs="Arial"/>
          <w:b/>
        </w:rPr>
        <w:t>Goal to Increase Climate Finance</w:t>
      </w:r>
    </w:p>
    <w:p w14:paraId="3E7A413D" w14:textId="77777777" w:rsidR="00C75A64" w:rsidRPr="003470FB" w:rsidRDefault="00C75A64" w:rsidP="00FA62A3">
      <w:pPr>
        <w:jc w:val="center"/>
        <w:rPr>
          <w:rFonts w:ascii="Arial" w:hAnsi="Arial" w:cs="Arial"/>
          <w:b/>
        </w:rPr>
      </w:pPr>
      <w:r w:rsidRPr="003470FB">
        <w:rPr>
          <w:rFonts w:ascii="Arial" w:hAnsi="Arial" w:cs="Arial"/>
          <w:b/>
        </w:rPr>
        <w:t>HA-L1103</w:t>
      </w:r>
    </w:p>
    <w:p w14:paraId="73259A19" w14:textId="70620755" w:rsidR="00C75A64" w:rsidRPr="003470FB" w:rsidRDefault="00FA62A3" w:rsidP="00FA62A3">
      <w:pPr>
        <w:jc w:val="center"/>
        <w:rPr>
          <w:rFonts w:ascii="Arial" w:hAnsi="Arial" w:cs="Arial"/>
          <w:b/>
        </w:rPr>
      </w:pPr>
      <w:r w:rsidRPr="003470FB">
        <w:rPr>
          <w:rFonts w:ascii="Arial" w:hAnsi="Arial" w:cs="Arial"/>
          <w:b/>
        </w:rPr>
        <w:t xml:space="preserve">(Version:  </w:t>
      </w:r>
      <w:r w:rsidR="006E4B38" w:rsidRPr="003470FB">
        <w:rPr>
          <w:rFonts w:ascii="Arial" w:hAnsi="Arial" w:cs="Arial"/>
          <w:b/>
        </w:rPr>
        <w:t xml:space="preserve">September </w:t>
      </w:r>
      <w:r w:rsidR="009E1E7E" w:rsidRPr="003470FB">
        <w:rPr>
          <w:rFonts w:ascii="Arial" w:hAnsi="Arial" w:cs="Arial"/>
          <w:b/>
        </w:rPr>
        <w:t>6</w:t>
      </w:r>
      <w:r w:rsidRPr="003470FB">
        <w:rPr>
          <w:rFonts w:ascii="Arial" w:hAnsi="Arial" w:cs="Arial"/>
          <w:b/>
        </w:rPr>
        <w:t>, 2017)</w:t>
      </w:r>
    </w:p>
    <w:p w14:paraId="495D8082" w14:textId="77777777" w:rsidR="009E1E7E" w:rsidRPr="003470FB" w:rsidRDefault="009E1E7E" w:rsidP="00883F0C">
      <w:pPr>
        <w:rPr>
          <w:rFonts w:ascii="Arial" w:hAnsi="Arial" w:cs="Arial"/>
        </w:rPr>
      </w:pPr>
    </w:p>
    <w:p w14:paraId="7B7D4955" w14:textId="27991534" w:rsidR="008C6431" w:rsidRPr="003470FB" w:rsidRDefault="00C75A64" w:rsidP="0086616E">
      <w:pPr>
        <w:jc w:val="both"/>
        <w:rPr>
          <w:rFonts w:ascii="Arial" w:hAnsi="Arial" w:cs="Arial"/>
        </w:rPr>
      </w:pPr>
      <w:r w:rsidRPr="003470FB">
        <w:rPr>
          <w:rFonts w:ascii="Arial" w:hAnsi="Arial" w:cs="Arial"/>
        </w:rPr>
        <w:t>During the preparation of the</w:t>
      </w:r>
      <w:r w:rsidR="00FA62A3" w:rsidRPr="003470FB">
        <w:rPr>
          <w:rFonts w:ascii="Arial" w:hAnsi="Arial" w:cs="Arial"/>
        </w:rPr>
        <w:t xml:space="preserve"> Port-au-Prince Water and Sanitation Project III, </w:t>
      </w:r>
      <w:r w:rsidRPr="003470FB">
        <w:rPr>
          <w:rFonts w:ascii="Arial" w:hAnsi="Arial" w:cs="Arial"/>
        </w:rPr>
        <w:t xml:space="preserve">the </w:t>
      </w:r>
      <w:r w:rsidR="00FA62A3" w:rsidRPr="003470FB">
        <w:rPr>
          <w:rFonts w:ascii="Arial" w:hAnsi="Arial" w:cs="Arial"/>
        </w:rPr>
        <w:t xml:space="preserve">IDB </w:t>
      </w:r>
      <w:r w:rsidRPr="003470FB">
        <w:rPr>
          <w:rFonts w:ascii="Arial" w:hAnsi="Arial" w:cs="Arial"/>
        </w:rPr>
        <w:t xml:space="preserve">team and its counterparts </w:t>
      </w:r>
      <w:r w:rsidR="006028B2" w:rsidRPr="003470FB">
        <w:rPr>
          <w:rFonts w:ascii="Arial" w:hAnsi="Arial" w:cs="Arial"/>
        </w:rPr>
        <w:t xml:space="preserve">at the Executing Agency </w:t>
      </w:r>
      <w:r w:rsidR="00FA62A3" w:rsidRPr="003470FB">
        <w:rPr>
          <w:rFonts w:ascii="Arial" w:hAnsi="Arial" w:cs="Arial"/>
        </w:rPr>
        <w:t xml:space="preserve">in Haiti </w:t>
      </w:r>
      <w:r w:rsidR="004C195A" w:rsidRPr="003470FB">
        <w:rPr>
          <w:rFonts w:ascii="Arial" w:hAnsi="Arial" w:cs="Arial"/>
        </w:rPr>
        <w:t xml:space="preserve">considered </w:t>
      </w:r>
      <w:r w:rsidR="006028B2" w:rsidRPr="003470FB">
        <w:rPr>
          <w:rFonts w:ascii="Arial" w:hAnsi="Arial" w:cs="Arial"/>
        </w:rPr>
        <w:t xml:space="preserve">Haiti’s climate change </w:t>
      </w:r>
      <w:r w:rsidR="00FA62A3" w:rsidRPr="003470FB">
        <w:rPr>
          <w:rFonts w:ascii="Arial" w:hAnsi="Arial" w:cs="Arial"/>
        </w:rPr>
        <w:t xml:space="preserve">challenges </w:t>
      </w:r>
      <w:r w:rsidR="004C195A" w:rsidRPr="003470FB">
        <w:rPr>
          <w:rFonts w:ascii="Arial" w:hAnsi="Arial" w:cs="Arial"/>
        </w:rPr>
        <w:t>and the appropriate Program’s response</w:t>
      </w:r>
      <w:r w:rsidR="006028B2" w:rsidRPr="003470FB">
        <w:rPr>
          <w:rFonts w:ascii="Arial" w:hAnsi="Arial" w:cs="Arial"/>
        </w:rPr>
        <w:t xml:space="preserve">.   </w:t>
      </w:r>
      <w:r w:rsidR="004C195A" w:rsidRPr="003470FB">
        <w:rPr>
          <w:rFonts w:ascii="Arial" w:hAnsi="Arial" w:cs="Arial"/>
        </w:rPr>
        <w:t>As a result, the Program addresses Haiti´s current and anticipated vulnerability to climate change and proposes targeted investments in the water and sanitation sector to reduce this vulnerability. As such, a</w:t>
      </w:r>
      <w:r w:rsidR="00FE69B6" w:rsidRPr="003470FB">
        <w:rPr>
          <w:rFonts w:ascii="Arial" w:hAnsi="Arial" w:cs="Arial"/>
        </w:rPr>
        <w:t>p</w:t>
      </w:r>
      <w:r w:rsidR="006028B2" w:rsidRPr="003470FB">
        <w:rPr>
          <w:rFonts w:ascii="Arial" w:hAnsi="Arial" w:cs="Arial"/>
        </w:rPr>
        <w:t xml:space="preserve">proximately </w:t>
      </w:r>
      <w:r w:rsidR="009E1E7E" w:rsidRPr="003470FB">
        <w:rPr>
          <w:rFonts w:ascii="Arial" w:hAnsi="Arial" w:cs="Arial"/>
        </w:rPr>
        <w:t>20.</w:t>
      </w:r>
      <w:r w:rsidR="00E12BCA" w:rsidRPr="003470FB">
        <w:rPr>
          <w:rFonts w:ascii="Arial" w:hAnsi="Arial" w:cs="Arial"/>
        </w:rPr>
        <w:t>08</w:t>
      </w:r>
      <w:r w:rsidR="00FA62A3" w:rsidRPr="003470FB">
        <w:rPr>
          <w:rFonts w:ascii="Arial" w:hAnsi="Arial" w:cs="Arial"/>
        </w:rPr>
        <w:t xml:space="preserve">% </w:t>
      </w:r>
      <w:r w:rsidR="006028B2" w:rsidRPr="003470FB">
        <w:rPr>
          <w:rFonts w:ascii="Arial" w:hAnsi="Arial" w:cs="Arial"/>
        </w:rPr>
        <w:t xml:space="preserve">of the </w:t>
      </w:r>
      <w:r w:rsidR="004C195A" w:rsidRPr="003470FB">
        <w:rPr>
          <w:rFonts w:ascii="Arial" w:hAnsi="Arial" w:cs="Arial"/>
        </w:rPr>
        <w:t xml:space="preserve">program´s </w:t>
      </w:r>
      <w:r w:rsidR="006028B2" w:rsidRPr="003470FB">
        <w:rPr>
          <w:rFonts w:ascii="Arial" w:hAnsi="Arial" w:cs="Arial"/>
        </w:rPr>
        <w:t xml:space="preserve">resources </w:t>
      </w:r>
      <w:r w:rsidR="004C195A" w:rsidRPr="003470FB">
        <w:rPr>
          <w:rFonts w:ascii="Arial" w:hAnsi="Arial" w:cs="Arial"/>
        </w:rPr>
        <w:t>are</w:t>
      </w:r>
      <w:r w:rsidR="006028B2" w:rsidRPr="003470FB">
        <w:rPr>
          <w:rFonts w:ascii="Arial" w:hAnsi="Arial" w:cs="Arial"/>
        </w:rPr>
        <w:t xml:space="preserve"> classified as </w:t>
      </w:r>
      <w:r w:rsidR="004C195A" w:rsidRPr="003470FB">
        <w:rPr>
          <w:rFonts w:ascii="Arial" w:hAnsi="Arial" w:cs="Arial"/>
        </w:rPr>
        <w:t>A</w:t>
      </w:r>
      <w:r w:rsidR="006028B2" w:rsidRPr="003470FB">
        <w:rPr>
          <w:rFonts w:ascii="Arial" w:hAnsi="Arial" w:cs="Arial"/>
        </w:rPr>
        <w:t xml:space="preserve">daptation </w:t>
      </w:r>
      <w:r w:rsidR="004C195A" w:rsidRPr="003470FB">
        <w:rPr>
          <w:rFonts w:ascii="Arial" w:hAnsi="Arial" w:cs="Arial"/>
        </w:rPr>
        <w:t>F</w:t>
      </w:r>
      <w:r w:rsidR="006028B2" w:rsidRPr="003470FB">
        <w:rPr>
          <w:rFonts w:ascii="Arial" w:hAnsi="Arial" w:cs="Arial"/>
        </w:rPr>
        <w:t xml:space="preserve">inance, according to the Joint MDB </w:t>
      </w:r>
      <w:r w:rsidR="004C195A" w:rsidRPr="003470FB">
        <w:rPr>
          <w:rFonts w:ascii="Arial" w:hAnsi="Arial" w:cs="Arial"/>
        </w:rPr>
        <w:t xml:space="preserve">approach to track </w:t>
      </w:r>
      <w:r w:rsidR="006028B2" w:rsidRPr="003470FB">
        <w:rPr>
          <w:rFonts w:ascii="Arial" w:hAnsi="Arial" w:cs="Arial"/>
        </w:rPr>
        <w:t xml:space="preserve">climate </w:t>
      </w:r>
      <w:r w:rsidR="004C195A" w:rsidRPr="003470FB">
        <w:rPr>
          <w:rFonts w:ascii="Arial" w:hAnsi="Arial" w:cs="Arial"/>
        </w:rPr>
        <w:t>finance</w:t>
      </w:r>
      <w:r w:rsidR="008C6431" w:rsidRPr="003470FB">
        <w:rPr>
          <w:rFonts w:ascii="Arial" w:hAnsi="Arial" w:cs="Arial"/>
        </w:rPr>
        <w:t>.</w:t>
      </w:r>
      <w:r w:rsidR="008C6431" w:rsidRPr="003470FB">
        <w:rPr>
          <w:rStyle w:val="FootnoteReference"/>
          <w:rFonts w:ascii="Arial" w:hAnsi="Arial" w:cs="Arial"/>
        </w:rPr>
        <w:footnoteReference w:id="1"/>
      </w:r>
      <w:r w:rsidR="006028B2" w:rsidRPr="003470FB">
        <w:rPr>
          <w:rFonts w:ascii="Arial" w:hAnsi="Arial" w:cs="Arial"/>
        </w:rPr>
        <w:t xml:space="preserve"> </w:t>
      </w:r>
    </w:p>
    <w:p w14:paraId="10733FE9" w14:textId="77777777" w:rsidR="006028B2" w:rsidRPr="003470FB" w:rsidRDefault="006028B2" w:rsidP="0086616E">
      <w:pPr>
        <w:pStyle w:val="ListParagraph"/>
        <w:numPr>
          <w:ilvl w:val="0"/>
          <w:numId w:val="10"/>
        </w:numPr>
        <w:jc w:val="both"/>
        <w:rPr>
          <w:rFonts w:ascii="Arial" w:hAnsi="Arial" w:cs="Arial"/>
          <w:b/>
        </w:rPr>
      </w:pPr>
      <w:r w:rsidRPr="003470FB">
        <w:rPr>
          <w:rFonts w:ascii="Arial" w:hAnsi="Arial" w:cs="Arial"/>
          <w:b/>
        </w:rPr>
        <w:t>The context of vulnerability</w:t>
      </w:r>
    </w:p>
    <w:p w14:paraId="30679534" w14:textId="44CABB64" w:rsidR="00053623" w:rsidRPr="003470FB" w:rsidRDefault="00053623" w:rsidP="0086616E">
      <w:pPr>
        <w:jc w:val="both"/>
        <w:rPr>
          <w:rFonts w:ascii="Arial" w:hAnsi="Arial" w:cs="Arial"/>
        </w:rPr>
      </w:pPr>
      <w:r w:rsidRPr="003470FB">
        <w:rPr>
          <w:rFonts w:ascii="Arial" w:hAnsi="Arial" w:cs="Arial"/>
        </w:rPr>
        <w:t>H</w:t>
      </w:r>
      <w:r w:rsidR="0082530C" w:rsidRPr="003470FB">
        <w:rPr>
          <w:rFonts w:ascii="Arial" w:hAnsi="Arial" w:cs="Arial"/>
        </w:rPr>
        <w:t xml:space="preserve">aiti is highly vulnerable to climate </w:t>
      </w:r>
      <w:r w:rsidR="004C195A" w:rsidRPr="003470FB">
        <w:rPr>
          <w:rFonts w:ascii="Arial" w:hAnsi="Arial" w:cs="Arial"/>
        </w:rPr>
        <w:t xml:space="preserve">change </w:t>
      </w:r>
      <w:r w:rsidR="0082530C" w:rsidRPr="003470FB">
        <w:rPr>
          <w:rFonts w:ascii="Arial" w:hAnsi="Arial" w:cs="Arial"/>
        </w:rPr>
        <w:t>impacts</w:t>
      </w:r>
      <w:r w:rsidRPr="003470FB">
        <w:rPr>
          <w:rFonts w:ascii="Arial" w:hAnsi="Arial" w:cs="Arial"/>
        </w:rPr>
        <w:t>.</w:t>
      </w:r>
      <w:r w:rsidRPr="003470FB">
        <w:rPr>
          <w:rStyle w:val="FootnoteReference"/>
          <w:rFonts w:ascii="Arial" w:hAnsi="Arial" w:cs="Arial"/>
        </w:rPr>
        <w:footnoteReference w:id="2"/>
      </w:r>
      <w:r w:rsidRPr="003470FB">
        <w:rPr>
          <w:rFonts w:ascii="Arial" w:hAnsi="Arial" w:cs="Arial"/>
        </w:rPr>
        <w:t xml:space="preserve"> Managing the existing and future surface and subsurface water resources, and coping with current and future climate threats is critical to Haiti´s </w:t>
      </w:r>
      <w:r w:rsidR="004C195A" w:rsidRPr="003470FB">
        <w:rPr>
          <w:rFonts w:ascii="Arial" w:hAnsi="Arial" w:cs="Arial"/>
        </w:rPr>
        <w:t xml:space="preserve">population, </w:t>
      </w:r>
      <w:r w:rsidRPr="003470FB">
        <w:rPr>
          <w:rFonts w:ascii="Arial" w:hAnsi="Arial" w:cs="Arial"/>
        </w:rPr>
        <w:t xml:space="preserve">economic development </w:t>
      </w:r>
      <w:r w:rsidR="004C195A" w:rsidRPr="003470FB">
        <w:rPr>
          <w:rFonts w:ascii="Arial" w:hAnsi="Arial" w:cs="Arial"/>
        </w:rPr>
        <w:t xml:space="preserve">and </w:t>
      </w:r>
      <w:r w:rsidRPr="003470FB">
        <w:rPr>
          <w:rFonts w:ascii="Arial" w:hAnsi="Arial" w:cs="Arial"/>
        </w:rPr>
        <w:t>infrastructure.</w:t>
      </w:r>
      <w:r w:rsidR="009605FF" w:rsidRPr="003470FB">
        <w:rPr>
          <w:rFonts w:ascii="Arial" w:hAnsi="Arial" w:cs="Arial"/>
        </w:rPr>
        <w:t xml:space="preserve">  Historical data and projections, both at the national level and for specific areas and watersheds in the country, show vulnerability condition</w:t>
      </w:r>
      <w:r w:rsidR="004C195A" w:rsidRPr="003470FB">
        <w:rPr>
          <w:rFonts w:ascii="Arial" w:hAnsi="Arial" w:cs="Arial"/>
        </w:rPr>
        <w:t>s</w:t>
      </w:r>
      <w:r w:rsidR="009605FF" w:rsidRPr="003470FB">
        <w:rPr>
          <w:rFonts w:ascii="Arial" w:hAnsi="Arial" w:cs="Arial"/>
        </w:rPr>
        <w:t xml:space="preserve"> that need to be addressed at the national and local levels.  These include: </w:t>
      </w:r>
    </w:p>
    <w:p w14:paraId="10D3B147" w14:textId="77777777" w:rsidR="00053623" w:rsidRPr="003470FB" w:rsidRDefault="00053623" w:rsidP="0086616E">
      <w:pPr>
        <w:pStyle w:val="ListParagraph"/>
        <w:numPr>
          <w:ilvl w:val="0"/>
          <w:numId w:val="6"/>
        </w:numPr>
        <w:jc w:val="both"/>
        <w:rPr>
          <w:rFonts w:ascii="Arial" w:hAnsi="Arial" w:cs="Arial"/>
          <w:i/>
          <w:u w:val="single"/>
        </w:rPr>
      </w:pPr>
      <w:r w:rsidRPr="003470FB">
        <w:rPr>
          <w:rFonts w:ascii="Arial" w:hAnsi="Arial" w:cs="Arial"/>
          <w:i/>
          <w:u w:val="single"/>
        </w:rPr>
        <w:t>Temperature</w:t>
      </w:r>
    </w:p>
    <w:p w14:paraId="2444ABEA" w14:textId="76794820" w:rsidR="00053623" w:rsidRPr="003470FB" w:rsidRDefault="00053623" w:rsidP="0086616E">
      <w:pPr>
        <w:autoSpaceDE w:val="0"/>
        <w:autoSpaceDN w:val="0"/>
        <w:adjustRightInd w:val="0"/>
        <w:spacing w:after="0" w:line="240" w:lineRule="auto"/>
        <w:jc w:val="both"/>
        <w:rPr>
          <w:rFonts w:ascii="Arial" w:hAnsi="Arial" w:cs="Arial"/>
        </w:rPr>
      </w:pPr>
      <w:r w:rsidRPr="003470FB">
        <w:rPr>
          <w:rFonts w:ascii="Arial" w:hAnsi="Arial" w:cs="Arial"/>
        </w:rPr>
        <w:t xml:space="preserve">Haiti’s maximum and minimum temperatures show an upward trend. </w:t>
      </w:r>
      <w:r w:rsidR="00783B04" w:rsidRPr="003470FB">
        <w:rPr>
          <w:rFonts w:ascii="Arial" w:hAnsi="Arial" w:cs="Arial"/>
        </w:rPr>
        <w:t xml:space="preserve">Historical </w:t>
      </w:r>
      <w:r w:rsidR="004C195A" w:rsidRPr="003470FB">
        <w:rPr>
          <w:rFonts w:ascii="Arial" w:hAnsi="Arial" w:cs="Arial"/>
        </w:rPr>
        <w:t>r</w:t>
      </w:r>
      <w:r w:rsidRPr="003470FB">
        <w:rPr>
          <w:rFonts w:ascii="Arial" w:hAnsi="Arial" w:cs="Arial"/>
        </w:rPr>
        <w:t xml:space="preserve">ecords </w:t>
      </w:r>
      <w:r w:rsidR="003470FB">
        <w:rPr>
          <w:rFonts w:ascii="Arial" w:hAnsi="Arial" w:cs="Arial"/>
        </w:rPr>
        <w:br/>
      </w:r>
      <w:r w:rsidRPr="003470FB">
        <w:rPr>
          <w:rFonts w:ascii="Arial" w:hAnsi="Arial" w:cs="Arial"/>
        </w:rPr>
        <w:t>(1982-2010) indicate increase</w:t>
      </w:r>
      <w:r w:rsidR="004C195A" w:rsidRPr="003470FB">
        <w:rPr>
          <w:rFonts w:ascii="Arial" w:hAnsi="Arial" w:cs="Arial"/>
        </w:rPr>
        <w:t>s</w:t>
      </w:r>
      <w:r w:rsidRPr="003470FB">
        <w:rPr>
          <w:rFonts w:ascii="Arial" w:hAnsi="Arial" w:cs="Arial"/>
        </w:rPr>
        <w:t xml:space="preserve"> in both maximum and minimum temperatures. </w:t>
      </w:r>
      <w:r w:rsidR="0007787B" w:rsidRPr="003470FB">
        <w:rPr>
          <w:rFonts w:ascii="Arial" w:hAnsi="Arial" w:cs="Arial"/>
        </w:rPr>
        <w:t>A recent analysis of</w:t>
      </w:r>
      <w:r w:rsidR="009E1E7E" w:rsidRPr="003470FB">
        <w:rPr>
          <w:rFonts w:ascii="Arial" w:hAnsi="Arial" w:cs="Arial"/>
        </w:rPr>
        <w:t xml:space="preserve"> temperature patterns for the Ri</w:t>
      </w:r>
      <w:r w:rsidR="0007787B" w:rsidRPr="003470FB">
        <w:rPr>
          <w:rFonts w:ascii="Arial" w:hAnsi="Arial" w:cs="Arial"/>
        </w:rPr>
        <w:t>viere Grise watershed within the Port-au-Prince influence area show an increase of 2.3</w:t>
      </w:r>
      <w:r w:rsidR="0007787B" w:rsidRPr="003470FB">
        <w:rPr>
          <w:rFonts w:ascii="Arial" w:hAnsi="Arial" w:cs="Arial"/>
          <w:vertAlign w:val="superscript"/>
        </w:rPr>
        <w:t>o</w:t>
      </w:r>
      <w:r w:rsidR="0007787B" w:rsidRPr="003470FB">
        <w:rPr>
          <w:rFonts w:ascii="Arial" w:hAnsi="Arial" w:cs="Arial"/>
        </w:rPr>
        <w:t xml:space="preserve">C in a 35-year period </w:t>
      </w:r>
      <w:bookmarkStart w:id="1" w:name="_Hlk492375004"/>
      <w:r w:rsidR="0007787B" w:rsidRPr="003470FB">
        <w:rPr>
          <w:rFonts w:ascii="Arial" w:hAnsi="Arial" w:cs="Arial"/>
        </w:rPr>
        <w:t>(1979-2014).</w:t>
      </w:r>
      <w:r w:rsidR="0007787B" w:rsidRPr="003470FB">
        <w:rPr>
          <w:rStyle w:val="FootnoteReference"/>
          <w:rFonts w:ascii="Arial" w:hAnsi="Arial" w:cs="Arial"/>
        </w:rPr>
        <w:footnoteReference w:id="3"/>
      </w:r>
      <w:bookmarkEnd w:id="1"/>
      <w:r w:rsidR="0007787B" w:rsidRPr="003470FB">
        <w:rPr>
          <w:rFonts w:ascii="Arial" w:hAnsi="Arial" w:cs="Arial"/>
        </w:rPr>
        <w:t xml:space="preserve"> </w:t>
      </w:r>
      <w:r w:rsidR="00783B04" w:rsidRPr="003470FB">
        <w:rPr>
          <w:rFonts w:ascii="Arial" w:hAnsi="Arial" w:cs="Arial"/>
        </w:rPr>
        <w:t xml:space="preserve">National </w:t>
      </w:r>
      <w:r w:rsidRPr="003470FB">
        <w:rPr>
          <w:rFonts w:ascii="Arial" w:hAnsi="Arial" w:cs="Arial"/>
        </w:rPr>
        <w:t>projections indicate increases in minimum, maximum and mean temperatures across all seasons of the year by the end of the century, irrespective of the climate scenario used. The mean country temperature (in degrees Celsius) wil</w:t>
      </w:r>
      <w:r w:rsidR="009605FF" w:rsidRPr="003470FB">
        <w:rPr>
          <w:rFonts w:ascii="Arial" w:hAnsi="Arial" w:cs="Arial"/>
        </w:rPr>
        <w:t>l</w:t>
      </w:r>
      <w:r w:rsidRPr="003470FB">
        <w:rPr>
          <w:rFonts w:ascii="Arial" w:hAnsi="Arial" w:cs="Arial"/>
        </w:rPr>
        <w:t xml:space="preserve"> increase </w:t>
      </w:r>
      <w:r w:rsidR="004C195A" w:rsidRPr="003470FB">
        <w:rPr>
          <w:rFonts w:ascii="Arial" w:hAnsi="Arial" w:cs="Arial"/>
        </w:rPr>
        <w:t>by approximately</w:t>
      </w:r>
      <w:r w:rsidRPr="003470FB">
        <w:rPr>
          <w:rFonts w:ascii="Arial" w:hAnsi="Arial" w:cs="Arial"/>
        </w:rPr>
        <w:t xml:space="preserve"> 0.8</w:t>
      </w:r>
      <w:r w:rsidRPr="003470FB">
        <w:rPr>
          <w:rFonts w:ascii="Arial" w:hAnsi="Arial" w:cs="Arial"/>
          <w:vertAlign w:val="superscript"/>
        </w:rPr>
        <w:t>o</w:t>
      </w:r>
      <w:r w:rsidRPr="003470FB">
        <w:rPr>
          <w:rFonts w:ascii="Arial" w:hAnsi="Arial" w:cs="Arial"/>
        </w:rPr>
        <w:t>C by 2020s, 1.1</w:t>
      </w:r>
      <w:r w:rsidRPr="003470FB">
        <w:rPr>
          <w:rFonts w:ascii="Arial" w:hAnsi="Arial" w:cs="Arial"/>
          <w:vertAlign w:val="superscript"/>
        </w:rPr>
        <w:t>o</w:t>
      </w:r>
      <w:r w:rsidR="004C195A" w:rsidRPr="003470FB">
        <w:rPr>
          <w:rFonts w:ascii="Arial" w:hAnsi="Arial" w:cs="Arial"/>
        </w:rPr>
        <w:t xml:space="preserve"> </w:t>
      </w:r>
      <w:r w:rsidRPr="003470FB">
        <w:rPr>
          <w:rFonts w:ascii="Arial" w:hAnsi="Arial" w:cs="Arial"/>
        </w:rPr>
        <w:t>C by 2030s, 1.9</w:t>
      </w:r>
      <w:r w:rsidRPr="003470FB">
        <w:rPr>
          <w:rFonts w:ascii="Arial" w:hAnsi="Arial" w:cs="Arial"/>
          <w:vertAlign w:val="superscript"/>
        </w:rPr>
        <w:t>o</w:t>
      </w:r>
      <w:r w:rsidR="004C195A" w:rsidRPr="003470FB">
        <w:rPr>
          <w:rFonts w:ascii="Arial" w:hAnsi="Arial" w:cs="Arial"/>
          <w:vertAlign w:val="superscript"/>
        </w:rPr>
        <w:t xml:space="preserve"> </w:t>
      </w:r>
      <w:r w:rsidRPr="003470FB">
        <w:rPr>
          <w:rFonts w:ascii="Arial" w:hAnsi="Arial" w:cs="Arial"/>
        </w:rPr>
        <w:t>C by 2050s and 3.3</w:t>
      </w:r>
      <w:r w:rsidRPr="003470FB">
        <w:rPr>
          <w:rFonts w:ascii="Arial" w:hAnsi="Arial" w:cs="Arial"/>
          <w:vertAlign w:val="superscript"/>
        </w:rPr>
        <w:t>o</w:t>
      </w:r>
      <w:r w:rsidR="004C195A" w:rsidRPr="003470FB">
        <w:rPr>
          <w:rFonts w:ascii="Arial" w:hAnsi="Arial" w:cs="Arial"/>
        </w:rPr>
        <w:t xml:space="preserve"> </w:t>
      </w:r>
      <w:r w:rsidRPr="003470FB">
        <w:rPr>
          <w:rFonts w:ascii="Arial" w:hAnsi="Arial" w:cs="Arial"/>
        </w:rPr>
        <w:t xml:space="preserve">C by the end </w:t>
      </w:r>
      <w:r w:rsidR="006E4B38" w:rsidRPr="003470FB">
        <w:rPr>
          <w:rFonts w:ascii="Arial" w:hAnsi="Arial" w:cs="Arial"/>
        </w:rPr>
        <w:t>of</w:t>
      </w:r>
      <w:r w:rsidRPr="003470FB">
        <w:rPr>
          <w:rFonts w:ascii="Arial" w:hAnsi="Arial" w:cs="Arial"/>
        </w:rPr>
        <w:t xml:space="preserve"> century.</w:t>
      </w:r>
      <w:r w:rsidR="00783B04" w:rsidRPr="003470FB">
        <w:rPr>
          <w:rFonts w:ascii="Arial" w:hAnsi="Arial" w:cs="Arial"/>
          <w:vertAlign w:val="superscript"/>
        </w:rPr>
        <w:footnoteReference w:id="4"/>
      </w:r>
      <w:r w:rsidR="00783B04" w:rsidRPr="003470FB">
        <w:rPr>
          <w:rFonts w:ascii="Arial" w:hAnsi="Arial" w:cs="Arial"/>
        </w:rPr>
        <w:t xml:space="preserve"> </w:t>
      </w:r>
      <w:r w:rsidRPr="003470FB">
        <w:rPr>
          <w:rFonts w:ascii="Arial" w:hAnsi="Arial" w:cs="Arial"/>
        </w:rPr>
        <w:t xml:space="preserve"> </w:t>
      </w:r>
    </w:p>
    <w:p w14:paraId="7983EF8B" w14:textId="77777777" w:rsidR="00053623" w:rsidRPr="003470FB" w:rsidRDefault="00053623" w:rsidP="0086616E">
      <w:pPr>
        <w:autoSpaceDE w:val="0"/>
        <w:autoSpaceDN w:val="0"/>
        <w:adjustRightInd w:val="0"/>
        <w:spacing w:after="0" w:line="240" w:lineRule="auto"/>
        <w:jc w:val="both"/>
        <w:rPr>
          <w:rFonts w:ascii="Arial" w:hAnsi="Arial" w:cs="Arial"/>
        </w:rPr>
      </w:pPr>
    </w:p>
    <w:p w14:paraId="5589A8E5" w14:textId="77777777" w:rsidR="00053623" w:rsidRPr="003470FB" w:rsidRDefault="00053623" w:rsidP="0086616E">
      <w:pPr>
        <w:pStyle w:val="ListParagraph"/>
        <w:numPr>
          <w:ilvl w:val="0"/>
          <w:numId w:val="6"/>
        </w:numPr>
        <w:jc w:val="both"/>
        <w:rPr>
          <w:rFonts w:ascii="Arial" w:hAnsi="Arial" w:cs="Arial"/>
          <w:i/>
          <w:u w:val="single"/>
        </w:rPr>
      </w:pPr>
      <w:r w:rsidRPr="003470FB">
        <w:rPr>
          <w:rFonts w:ascii="Arial" w:hAnsi="Arial" w:cs="Arial"/>
          <w:i/>
          <w:u w:val="single"/>
        </w:rPr>
        <w:t>Rainfalls</w:t>
      </w:r>
    </w:p>
    <w:p w14:paraId="1D214DB5" w14:textId="446F7042" w:rsidR="00053623" w:rsidRPr="003470FB" w:rsidRDefault="00053623" w:rsidP="0086616E">
      <w:pPr>
        <w:autoSpaceDE w:val="0"/>
        <w:autoSpaceDN w:val="0"/>
        <w:adjustRightInd w:val="0"/>
        <w:spacing w:after="0" w:line="240" w:lineRule="auto"/>
        <w:jc w:val="both"/>
        <w:rPr>
          <w:rFonts w:ascii="Arial" w:hAnsi="Arial" w:cs="Arial"/>
        </w:rPr>
      </w:pPr>
      <w:r w:rsidRPr="003470FB">
        <w:rPr>
          <w:rFonts w:ascii="Arial" w:hAnsi="Arial" w:cs="Arial"/>
        </w:rPr>
        <w:t xml:space="preserve">Haiti </w:t>
      </w:r>
      <w:r w:rsidR="00783B04" w:rsidRPr="003470FB">
        <w:rPr>
          <w:rFonts w:ascii="Arial" w:hAnsi="Arial" w:cs="Arial"/>
        </w:rPr>
        <w:t xml:space="preserve">has historically </w:t>
      </w:r>
      <w:r w:rsidRPr="003470FB">
        <w:rPr>
          <w:rFonts w:ascii="Arial" w:hAnsi="Arial" w:cs="Arial"/>
        </w:rPr>
        <w:t xml:space="preserve">experienced </w:t>
      </w:r>
      <w:r w:rsidR="00783B04" w:rsidRPr="003470FB">
        <w:rPr>
          <w:rFonts w:ascii="Arial" w:hAnsi="Arial" w:cs="Arial"/>
        </w:rPr>
        <w:t>s</w:t>
      </w:r>
      <w:r w:rsidRPr="003470FB">
        <w:rPr>
          <w:rFonts w:ascii="Arial" w:hAnsi="Arial" w:cs="Arial"/>
        </w:rPr>
        <w:t>ignificant year-to-year variability due to the influence of phenomenon like the El Nino Southern Oscillation (ENSO), with</w:t>
      </w:r>
      <w:r w:rsidR="00714A99" w:rsidRPr="003470FB">
        <w:rPr>
          <w:rFonts w:ascii="Arial" w:hAnsi="Arial" w:cs="Arial"/>
        </w:rPr>
        <w:t xml:space="preserve"> no overall decline in precipitation.  </w:t>
      </w:r>
      <w:r w:rsidRPr="003470FB">
        <w:rPr>
          <w:rFonts w:ascii="Arial" w:hAnsi="Arial" w:cs="Arial"/>
        </w:rPr>
        <w:t xml:space="preserve">However, </w:t>
      </w:r>
      <w:r w:rsidR="0007787B" w:rsidRPr="003470FB">
        <w:rPr>
          <w:rFonts w:ascii="Arial" w:hAnsi="Arial" w:cs="Arial"/>
        </w:rPr>
        <w:t xml:space="preserve">in the past decades some areas of Haiti have experienced a decline in precipitation. </w:t>
      </w:r>
      <w:r w:rsidR="0007787B" w:rsidRPr="003470FB">
        <w:rPr>
          <w:rFonts w:ascii="Arial" w:hAnsi="Arial" w:cs="Arial"/>
        </w:rPr>
        <w:lastRenderedPageBreak/>
        <w:t xml:space="preserve">For example, </w:t>
      </w:r>
      <w:r w:rsidR="009B5766" w:rsidRPr="003470FB">
        <w:rPr>
          <w:rFonts w:ascii="Arial" w:hAnsi="Arial" w:cs="Arial"/>
        </w:rPr>
        <w:t xml:space="preserve">total rainfall in </w:t>
      </w:r>
      <w:r w:rsidR="0007787B" w:rsidRPr="003470FB">
        <w:rPr>
          <w:rFonts w:ascii="Arial" w:hAnsi="Arial" w:cs="Arial"/>
        </w:rPr>
        <w:t>the R</w:t>
      </w:r>
      <w:r w:rsidR="0086616E" w:rsidRPr="003470FB">
        <w:rPr>
          <w:rFonts w:ascii="Arial" w:hAnsi="Arial" w:cs="Arial"/>
        </w:rPr>
        <w:t>i</w:t>
      </w:r>
      <w:r w:rsidR="0007787B" w:rsidRPr="003470FB">
        <w:rPr>
          <w:rFonts w:ascii="Arial" w:hAnsi="Arial" w:cs="Arial"/>
        </w:rPr>
        <w:t xml:space="preserve">viere Grise watershed </w:t>
      </w:r>
      <w:r w:rsidR="009B5766" w:rsidRPr="003470FB">
        <w:rPr>
          <w:rFonts w:ascii="Arial" w:hAnsi="Arial" w:cs="Arial"/>
        </w:rPr>
        <w:t>declined by 37.5% during a 35-year period, from 3,200 mm in 1979 to 2,000 mm in 2014).</w:t>
      </w:r>
      <w:r w:rsidR="009B5766" w:rsidRPr="003470FB">
        <w:rPr>
          <w:rStyle w:val="FootnoteReference"/>
          <w:rFonts w:ascii="Arial" w:hAnsi="Arial" w:cs="Arial"/>
        </w:rPr>
        <w:footnoteReference w:id="5"/>
      </w:r>
      <w:r w:rsidR="009B5766" w:rsidRPr="003470FB">
        <w:rPr>
          <w:rFonts w:ascii="Arial" w:hAnsi="Arial" w:cs="Arial"/>
        </w:rPr>
        <w:t xml:space="preserve"> Although </w:t>
      </w:r>
      <w:r w:rsidR="00714A99" w:rsidRPr="003470FB">
        <w:rPr>
          <w:rFonts w:ascii="Arial" w:hAnsi="Arial" w:cs="Arial"/>
        </w:rPr>
        <w:t xml:space="preserve">national </w:t>
      </w:r>
      <w:r w:rsidR="009B5766" w:rsidRPr="003470FB">
        <w:rPr>
          <w:rFonts w:ascii="Arial" w:hAnsi="Arial" w:cs="Arial"/>
        </w:rPr>
        <w:t>annual precipitation average</w:t>
      </w:r>
      <w:r w:rsidR="00A51D04" w:rsidRPr="003470FB">
        <w:rPr>
          <w:rFonts w:ascii="Arial" w:hAnsi="Arial" w:cs="Arial"/>
        </w:rPr>
        <w:t>s</w:t>
      </w:r>
      <w:r w:rsidR="009B5766" w:rsidRPr="003470FB">
        <w:rPr>
          <w:rFonts w:ascii="Arial" w:hAnsi="Arial" w:cs="Arial"/>
        </w:rPr>
        <w:t xml:space="preserve"> do not indicate drought conditions, current projections </w:t>
      </w:r>
      <w:r w:rsidR="00A51D04" w:rsidRPr="003470FB">
        <w:rPr>
          <w:rFonts w:ascii="Arial" w:hAnsi="Arial" w:cs="Arial"/>
        </w:rPr>
        <w:t xml:space="preserve">do </w:t>
      </w:r>
      <w:r w:rsidR="009B5766" w:rsidRPr="003470FB">
        <w:rPr>
          <w:rFonts w:ascii="Arial" w:hAnsi="Arial" w:cs="Arial"/>
        </w:rPr>
        <w:t>raise concern. C</w:t>
      </w:r>
      <w:r w:rsidRPr="003470FB">
        <w:rPr>
          <w:rFonts w:ascii="Arial" w:hAnsi="Arial" w:cs="Arial"/>
        </w:rPr>
        <w:t>limate models project an onset of a drying trend from the mid-2020s which continues into the 2030s, with 3 to 4 % less rainfall in the annual mean by the mid-2020s, and up to 6% drier by the mid</w:t>
      </w:r>
      <w:r w:rsidR="00FE69B6" w:rsidRPr="003470FB">
        <w:rPr>
          <w:rFonts w:ascii="Arial" w:hAnsi="Arial" w:cs="Arial"/>
        </w:rPr>
        <w:t>-</w:t>
      </w:r>
      <w:r w:rsidRPr="003470FB">
        <w:rPr>
          <w:rFonts w:ascii="Arial" w:hAnsi="Arial" w:cs="Arial"/>
        </w:rPr>
        <w:t xml:space="preserve">2030s. By the end of the century the country may be up to 20% drier for the most severe scenario. The </w:t>
      </w:r>
      <w:r w:rsidR="00A51D04" w:rsidRPr="003470FB">
        <w:rPr>
          <w:rFonts w:ascii="Arial" w:hAnsi="Arial" w:cs="Arial"/>
        </w:rPr>
        <w:t xml:space="preserve">decrease </w:t>
      </w:r>
      <w:r w:rsidRPr="003470FB">
        <w:rPr>
          <w:rFonts w:ascii="Arial" w:hAnsi="Arial" w:cs="Arial"/>
        </w:rPr>
        <w:t>in summer rainfall is the primary driver of the drying trend.</w:t>
      </w:r>
      <w:r w:rsidR="00783B04" w:rsidRPr="003470FB">
        <w:rPr>
          <w:rFonts w:ascii="Arial" w:hAnsi="Arial" w:cs="Arial"/>
          <w:vertAlign w:val="superscript"/>
        </w:rPr>
        <w:footnoteReference w:id="6"/>
      </w:r>
    </w:p>
    <w:p w14:paraId="21AEDD8A" w14:textId="77777777" w:rsidR="00053623" w:rsidRPr="003470FB" w:rsidRDefault="00053623" w:rsidP="0086616E">
      <w:pPr>
        <w:autoSpaceDE w:val="0"/>
        <w:autoSpaceDN w:val="0"/>
        <w:adjustRightInd w:val="0"/>
        <w:spacing w:after="0" w:line="240" w:lineRule="auto"/>
        <w:jc w:val="both"/>
        <w:rPr>
          <w:rFonts w:ascii="Arial" w:hAnsi="Arial" w:cs="Arial"/>
        </w:rPr>
      </w:pPr>
    </w:p>
    <w:p w14:paraId="4C75C73B" w14:textId="77777777" w:rsidR="00053623" w:rsidRPr="003470FB" w:rsidRDefault="00053623" w:rsidP="0086616E">
      <w:pPr>
        <w:pStyle w:val="ListParagraph"/>
        <w:numPr>
          <w:ilvl w:val="0"/>
          <w:numId w:val="6"/>
        </w:numPr>
        <w:autoSpaceDE w:val="0"/>
        <w:autoSpaceDN w:val="0"/>
        <w:adjustRightInd w:val="0"/>
        <w:spacing w:after="0" w:line="240" w:lineRule="auto"/>
        <w:jc w:val="both"/>
        <w:rPr>
          <w:rFonts w:ascii="Arial" w:hAnsi="Arial" w:cs="Arial"/>
          <w:i/>
          <w:u w:val="single"/>
        </w:rPr>
      </w:pPr>
      <w:r w:rsidRPr="003470FB">
        <w:rPr>
          <w:rFonts w:ascii="Arial" w:hAnsi="Arial" w:cs="Arial"/>
          <w:i/>
          <w:u w:val="single"/>
        </w:rPr>
        <w:t>Sea level rise</w:t>
      </w:r>
    </w:p>
    <w:p w14:paraId="5D6902F1" w14:textId="77777777" w:rsidR="00053623" w:rsidRPr="003470FB" w:rsidRDefault="00053623" w:rsidP="0086616E">
      <w:pPr>
        <w:autoSpaceDE w:val="0"/>
        <w:autoSpaceDN w:val="0"/>
        <w:adjustRightInd w:val="0"/>
        <w:spacing w:after="0" w:line="240" w:lineRule="auto"/>
        <w:jc w:val="both"/>
        <w:rPr>
          <w:rFonts w:ascii="Arial" w:hAnsi="Arial" w:cs="Arial"/>
        </w:rPr>
      </w:pPr>
    </w:p>
    <w:p w14:paraId="20A2AF98" w14:textId="1C2E6757" w:rsidR="00053623" w:rsidRPr="003470FB" w:rsidRDefault="00783B04" w:rsidP="0086616E">
      <w:pPr>
        <w:autoSpaceDE w:val="0"/>
        <w:autoSpaceDN w:val="0"/>
        <w:adjustRightInd w:val="0"/>
        <w:spacing w:after="0" w:line="240" w:lineRule="auto"/>
        <w:jc w:val="both"/>
        <w:rPr>
          <w:rFonts w:ascii="Arial" w:hAnsi="Arial" w:cs="Arial"/>
        </w:rPr>
      </w:pPr>
      <w:r w:rsidRPr="003470FB">
        <w:rPr>
          <w:rFonts w:ascii="Arial" w:hAnsi="Arial" w:cs="Arial"/>
        </w:rPr>
        <w:t xml:space="preserve">In the past decades, </w:t>
      </w:r>
      <w:r w:rsidR="00053623" w:rsidRPr="003470FB">
        <w:rPr>
          <w:rFonts w:ascii="Arial" w:hAnsi="Arial" w:cs="Arial"/>
        </w:rPr>
        <w:t xml:space="preserve">sea level </w:t>
      </w:r>
      <w:r w:rsidRPr="003470FB">
        <w:rPr>
          <w:rFonts w:ascii="Arial" w:hAnsi="Arial" w:cs="Arial"/>
        </w:rPr>
        <w:t xml:space="preserve">in Haiti </w:t>
      </w:r>
      <w:r w:rsidR="00053623" w:rsidRPr="003470FB">
        <w:rPr>
          <w:rFonts w:ascii="Arial" w:hAnsi="Arial" w:cs="Arial"/>
        </w:rPr>
        <w:t xml:space="preserve">rose at a low regional (Caribbean) rate of increase of </w:t>
      </w:r>
      <w:r w:rsidR="003470FB">
        <w:rPr>
          <w:rFonts w:ascii="Arial" w:hAnsi="Arial" w:cs="Arial"/>
        </w:rPr>
        <w:br/>
      </w:r>
      <w:r w:rsidR="00053623" w:rsidRPr="003470FB">
        <w:rPr>
          <w:rFonts w:ascii="Arial" w:hAnsi="Arial" w:cs="Arial"/>
        </w:rPr>
        <w:t>0.18 mm/year (1950 - 2010</w:t>
      </w:r>
      <w:r w:rsidRPr="003470FB">
        <w:rPr>
          <w:rFonts w:ascii="Arial" w:hAnsi="Arial" w:cs="Arial"/>
        </w:rPr>
        <w:t xml:space="preserve">), although it showed </w:t>
      </w:r>
      <w:r w:rsidR="00053623" w:rsidRPr="003470FB">
        <w:rPr>
          <w:rFonts w:ascii="Arial" w:hAnsi="Arial" w:cs="Arial"/>
        </w:rPr>
        <w:t>a higher rate of increase in the later years, of up to 3.2 mm/year (1993-2010).  The Caribbean Sea level changes are near the global mean.  The projections indicate a combined range for projected rise over all scenarios spans o</w:t>
      </w:r>
      <w:r w:rsidR="00A51D04" w:rsidRPr="003470FB">
        <w:rPr>
          <w:rFonts w:ascii="Arial" w:hAnsi="Arial" w:cs="Arial"/>
        </w:rPr>
        <w:t>f</w:t>
      </w:r>
      <w:r w:rsidR="00053623" w:rsidRPr="003470FB">
        <w:rPr>
          <w:rFonts w:ascii="Arial" w:hAnsi="Arial" w:cs="Arial"/>
        </w:rPr>
        <w:t xml:space="preserve"> 0.26 to </w:t>
      </w:r>
      <w:r w:rsidR="003470FB">
        <w:rPr>
          <w:rFonts w:ascii="Arial" w:hAnsi="Arial" w:cs="Arial"/>
        </w:rPr>
        <w:br/>
      </w:r>
      <w:r w:rsidR="00053623" w:rsidRPr="003470FB">
        <w:rPr>
          <w:rFonts w:ascii="Arial" w:hAnsi="Arial" w:cs="Arial"/>
        </w:rPr>
        <w:t>0.82 mm/ye</w:t>
      </w:r>
      <w:r w:rsidR="00C81C99" w:rsidRPr="003470FB">
        <w:rPr>
          <w:rFonts w:ascii="Arial" w:hAnsi="Arial" w:cs="Arial"/>
        </w:rPr>
        <w:t>a</w:t>
      </w:r>
      <w:r w:rsidR="00053623" w:rsidRPr="003470FB">
        <w:rPr>
          <w:rFonts w:ascii="Arial" w:hAnsi="Arial" w:cs="Arial"/>
        </w:rPr>
        <w:t xml:space="preserve">r by 2100 (relative to 1986-2005 levels). The range is 0.17-0.38 for </w:t>
      </w:r>
      <w:r w:rsidR="003470FB">
        <w:rPr>
          <w:rFonts w:ascii="Arial" w:hAnsi="Arial" w:cs="Arial"/>
        </w:rPr>
        <w:br/>
      </w:r>
      <w:r w:rsidR="00053623" w:rsidRPr="003470FB">
        <w:rPr>
          <w:rFonts w:ascii="Arial" w:hAnsi="Arial" w:cs="Arial"/>
        </w:rPr>
        <w:t>2046 – 2065.Other studies suggest an upper limit for the Caribbean of up to 1.5 mm/year under RCP8.5 projections.</w:t>
      </w:r>
      <w:r w:rsidRPr="003470FB">
        <w:rPr>
          <w:rFonts w:ascii="Arial" w:hAnsi="Arial" w:cs="Arial"/>
          <w:vertAlign w:val="superscript"/>
        </w:rPr>
        <w:footnoteReference w:id="7"/>
      </w:r>
    </w:p>
    <w:p w14:paraId="1C371E1B" w14:textId="77777777" w:rsidR="00053623" w:rsidRPr="003470FB" w:rsidRDefault="00053623" w:rsidP="0086616E">
      <w:pPr>
        <w:autoSpaceDE w:val="0"/>
        <w:autoSpaceDN w:val="0"/>
        <w:adjustRightInd w:val="0"/>
        <w:spacing w:after="0" w:line="240" w:lineRule="auto"/>
        <w:jc w:val="both"/>
        <w:rPr>
          <w:rFonts w:ascii="Arial" w:hAnsi="Arial" w:cs="Arial"/>
        </w:rPr>
      </w:pPr>
    </w:p>
    <w:p w14:paraId="098ABB04" w14:textId="77777777" w:rsidR="00053623" w:rsidRPr="003470FB" w:rsidRDefault="00053623" w:rsidP="0086616E">
      <w:pPr>
        <w:pStyle w:val="ListParagraph"/>
        <w:numPr>
          <w:ilvl w:val="0"/>
          <w:numId w:val="6"/>
        </w:numPr>
        <w:autoSpaceDE w:val="0"/>
        <w:autoSpaceDN w:val="0"/>
        <w:adjustRightInd w:val="0"/>
        <w:spacing w:after="0" w:line="240" w:lineRule="auto"/>
        <w:jc w:val="both"/>
        <w:rPr>
          <w:rFonts w:ascii="Arial" w:hAnsi="Arial" w:cs="Arial"/>
          <w:i/>
          <w:u w:val="single"/>
        </w:rPr>
      </w:pPr>
      <w:r w:rsidRPr="003470FB">
        <w:rPr>
          <w:rFonts w:ascii="Arial" w:hAnsi="Arial" w:cs="Arial"/>
          <w:i/>
          <w:u w:val="single"/>
        </w:rPr>
        <w:t>Hurricanes</w:t>
      </w:r>
    </w:p>
    <w:p w14:paraId="2A354DB0" w14:textId="77777777" w:rsidR="00053623" w:rsidRPr="003470FB" w:rsidRDefault="00053623" w:rsidP="0086616E">
      <w:pPr>
        <w:autoSpaceDE w:val="0"/>
        <w:autoSpaceDN w:val="0"/>
        <w:adjustRightInd w:val="0"/>
        <w:spacing w:after="0" w:line="240" w:lineRule="auto"/>
        <w:jc w:val="both"/>
        <w:rPr>
          <w:rFonts w:ascii="Arial" w:hAnsi="Arial" w:cs="Arial"/>
        </w:rPr>
      </w:pPr>
    </w:p>
    <w:p w14:paraId="59F22C7B" w14:textId="034B56BB" w:rsidR="00053623" w:rsidRPr="003470FB" w:rsidRDefault="00A51D04" w:rsidP="0086616E">
      <w:pPr>
        <w:autoSpaceDE w:val="0"/>
        <w:autoSpaceDN w:val="0"/>
        <w:adjustRightInd w:val="0"/>
        <w:spacing w:after="0" w:line="240" w:lineRule="auto"/>
        <w:jc w:val="both"/>
        <w:rPr>
          <w:rFonts w:ascii="Arial" w:hAnsi="Arial" w:cs="Arial"/>
        </w:rPr>
      </w:pPr>
      <w:r w:rsidRPr="003470FB">
        <w:rPr>
          <w:rFonts w:ascii="Arial" w:hAnsi="Arial" w:cs="Arial"/>
        </w:rPr>
        <w:t>Over</w:t>
      </w:r>
      <w:r w:rsidR="00783B04" w:rsidRPr="003470FB">
        <w:rPr>
          <w:rFonts w:ascii="Arial" w:hAnsi="Arial" w:cs="Arial"/>
        </w:rPr>
        <w:t xml:space="preserve"> the past 25 years </w:t>
      </w:r>
      <w:r w:rsidR="00053623" w:rsidRPr="003470FB">
        <w:rPr>
          <w:rFonts w:ascii="Arial" w:hAnsi="Arial" w:cs="Arial"/>
        </w:rPr>
        <w:t>there has been a dramatic increase in frequency and duration of Atlantic hurricanes, with a shar</w:t>
      </w:r>
      <w:r w:rsidRPr="003470FB">
        <w:rPr>
          <w:rFonts w:ascii="Arial" w:hAnsi="Arial" w:cs="Arial"/>
        </w:rPr>
        <w:t>p</w:t>
      </w:r>
      <w:r w:rsidR="00053623" w:rsidRPr="003470FB">
        <w:rPr>
          <w:rFonts w:ascii="Arial" w:hAnsi="Arial" w:cs="Arial"/>
        </w:rPr>
        <w:t xml:space="preserve"> increase in category 4 and 5 hurricanes and in rainfall intensity, associated peak wind intensities, and mean rainfall.  The most recent Hurricane (Matthew, October 2016, category 5) was the strongest hu</w:t>
      </w:r>
      <w:r w:rsidR="000A243D" w:rsidRPr="003470FB">
        <w:rPr>
          <w:rFonts w:ascii="Arial" w:hAnsi="Arial" w:cs="Arial"/>
        </w:rPr>
        <w:t>r</w:t>
      </w:r>
      <w:r w:rsidR="00053623" w:rsidRPr="003470FB">
        <w:rPr>
          <w:rFonts w:ascii="Arial" w:hAnsi="Arial" w:cs="Arial"/>
        </w:rPr>
        <w:t>ricane</w:t>
      </w:r>
      <w:r w:rsidR="000E320C" w:rsidRPr="003470FB">
        <w:rPr>
          <w:rFonts w:ascii="Arial" w:hAnsi="Arial" w:cs="Arial"/>
        </w:rPr>
        <w:t xml:space="preserve"> to hit Haiti</w:t>
      </w:r>
      <w:r w:rsidR="00053623" w:rsidRPr="003470FB">
        <w:rPr>
          <w:rFonts w:ascii="Arial" w:hAnsi="Arial" w:cs="Arial"/>
        </w:rPr>
        <w:t xml:space="preserve"> in 10 years, with winds of up to 150 mph and </w:t>
      </w:r>
      <w:r w:rsidR="00053623" w:rsidRPr="003470FB">
        <w:rPr>
          <w:rFonts w:ascii="Arial" w:hAnsi="Arial" w:cs="Arial"/>
          <w:lang w:val="en"/>
        </w:rPr>
        <w:t>an accumulated rainfall of up to 670 mm (between October 3-5, 2016) in some area</w:t>
      </w:r>
      <w:r w:rsidR="000E320C" w:rsidRPr="003470FB">
        <w:rPr>
          <w:rFonts w:ascii="Arial" w:hAnsi="Arial" w:cs="Arial"/>
          <w:lang w:val="en"/>
        </w:rPr>
        <w:t>s</w:t>
      </w:r>
      <w:r w:rsidR="00053623" w:rsidRPr="003470FB">
        <w:rPr>
          <w:rFonts w:ascii="Arial" w:hAnsi="Arial" w:cs="Arial"/>
          <w:lang w:val="en"/>
        </w:rPr>
        <w:t xml:space="preserve"> of Haiti (West of Port au Prince), causing extensive physical damage, in</w:t>
      </w:r>
      <w:r w:rsidR="00C81C99" w:rsidRPr="003470FB">
        <w:rPr>
          <w:rFonts w:ascii="Arial" w:hAnsi="Arial" w:cs="Arial"/>
          <w:lang w:val="en"/>
        </w:rPr>
        <w:t>c</w:t>
      </w:r>
      <w:r w:rsidR="00053623" w:rsidRPr="003470FB">
        <w:rPr>
          <w:rFonts w:ascii="Arial" w:hAnsi="Arial" w:cs="Arial"/>
          <w:lang w:val="en"/>
        </w:rPr>
        <w:t>luding water infrastructure and sanitation facilities.</w:t>
      </w:r>
      <w:r w:rsidR="00783B04" w:rsidRPr="003470FB">
        <w:rPr>
          <w:rStyle w:val="FootnoteReference"/>
          <w:rFonts w:ascii="Arial" w:hAnsi="Arial" w:cs="Arial"/>
        </w:rPr>
        <w:t xml:space="preserve"> </w:t>
      </w:r>
      <w:r w:rsidR="00783B04" w:rsidRPr="003470FB">
        <w:rPr>
          <w:rStyle w:val="FootnoteReference"/>
          <w:rFonts w:ascii="Arial" w:hAnsi="Arial" w:cs="Arial"/>
        </w:rPr>
        <w:footnoteReference w:id="8"/>
      </w:r>
      <w:r w:rsidR="00053623" w:rsidRPr="003470FB">
        <w:rPr>
          <w:rFonts w:ascii="Arial" w:hAnsi="Arial" w:cs="Arial"/>
        </w:rPr>
        <w:t xml:space="preserve"> </w:t>
      </w:r>
      <w:r w:rsidR="00783B04" w:rsidRPr="003470FB">
        <w:rPr>
          <w:rFonts w:ascii="Arial" w:hAnsi="Arial" w:cs="Arial"/>
        </w:rPr>
        <w:t xml:space="preserve"> </w:t>
      </w:r>
      <w:r w:rsidR="00053623" w:rsidRPr="003470FB">
        <w:rPr>
          <w:rFonts w:ascii="Arial" w:hAnsi="Arial" w:cs="Arial"/>
        </w:rPr>
        <w:t xml:space="preserve">The </w:t>
      </w:r>
      <w:r w:rsidR="00783B04" w:rsidRPr="003470FB">
        <w:rPr>
          <w:rFonts w:ascii="Arial" w:hAnsi="Arial" w:cs="Arial"/>
        </w:rPr>
        <w:t xml:space="preserve">national </w:t>
      </w:r>
      <w:r w:rsidR="00053623" w:rsidRPr="003470FB">
        <w:rPr>
          <w:rFonts w:ascii="Arial" w:hAnsi="Arial" w:cs="Arial"/>
        </w:rPr>
        <w:t xml:space="preserve">hurricane projections do not show significant changes in frequency of hurricanes, but they indicate a shift toward stronger storms by the end of the century, as measured by maximum wind speed increases (2-11%), increase in rainfall rates for the model hurricane’s inner core (20-30%), and an 80% increase in </w:t>
      </w:r>
      <w:r w:rsidR="00F21AAA" w:rsidRPr="003470FB">
        <w:rPr>
          <w:rFonts w:ascii="Arial" w:hAnsi="Arial" w:cs="Arial"/>
        </w:rPr>
        <w:t>occurrences</w:t>
      </w:r>
      <w:r w:rsidR="00766B24" w:rsidRPr="003470FB">
        <w:rPr>
          <w:rFonts w:ascii="Arial" w:hAnsi="Arial" w:cs="Arial"/>
        </w:rPr>
        <w:t xml:space="preserve"> of C</w:t>
      </w:r>
      <w:r w:rsidR="00053623" w:rsidRPr="003470FB">
        <w:rPr>
          <w:rFonts w:ascii="Arial" w:hAnsi="Arial" w:cs="Arial"/>
        </w:rPr>
        <w:t>ategory 4 and 5 Atlantic hurricanes over the next 80 years (using the A1B scenario).</w:t>
      </w:r>
      <w:r w:rsidR="00783B04" w:rsidRPr="003470FB">
        <w:rPr>
          <w:rFonts w:ascii="Arial" w:hAnsi="Arial" w:cs="Arial"/>
          <w:vertAlign w:val="superscript"/>
        </w:rPr>
        <w:t xml:space="preserve"> </w:t>
      </w:r>
      <w:r w:rsidR="00783B04" w:rsidRPr="003470FB">
        <w:rPr>
          <w:rFonts w:ascii="Arial" w:hAnsi="Arial" w:cs="Arial"/>
          <w:vertAlign w:val="superscript"/>
        </w:rPr>
        <w:footnoteReference w:id="9"/>
      </w:r>
      <w:r w:rsidR="00783B04" w:rsidRPr="003470FB">
        <w:rPr>
          <w:rFonts w:ascii="Arial" w:hAnsi="Arial" w:cs="Arial"/>
        </w:rPr>
        <w:t xml:space="preserve"> </w:t>
      </w:r>
      <w:r w:rsidR="00F21AAA" w:rsidRPr="003470FB">
        <w:rPr>
          <w:rFonts w:ascii="Arial" w:hAnsi="Arial" w:cs="Arial"/>
        </w:rPr>
        <w:t xml:space="preserve">Hurricane Irma (Sept. 4-7) is the latest Category 5 Hurricane to hit the Caribbean, the strongest hurricane recorded in the Northeastern Caribbean, with expected storm surges of up to 20 feet in some islands. </w:t>
      </w:r>
    </w:p>
    <w:p w14:paraId="3AA158D4" w14:textId="77777777" w:rsidR="008C6431" w:rsidRPr="003470FB" w:rsidRDefault="008C6431" w:rsidP="0086616E">
      <w:pPr>
        <w:autoSpaceDE w:val="0"/>
        <w:autoSpaceDN w:val="0"/>
        <w:adjustRightInd w:val="0"/>
        <w:spacing w:after="0" w:line="240" w:lineRule="auto"/>
        <w:jc w:val="both"/>
        <w:rPr>
          <w:rFonts w:ascii="Arial" w:hAnsi="Arial" w:cs="Arial"/>
        </w:rPr>
      </w:pPr>
    </w:p>
    <w:p w14:paraId="5AD9974E" w14:textId="77777777" w:rsidR="006028B2" w:rsidRPr="003470FB" w:rsidRDefault="006028B2" w:rsidP="0086616E">
      <w:pPr>
        <w:pStyle w:val="ListParagraph"/>
        <w:numPr>
          <w:ilvl w:val="0"/>
          <w:numId w:val="10"/>
        </w:numPr>
        <w:jc w:val="both"/>
        <w:rPr>
          <w:rFonts w:ascii="Arial" w:hAnsi="Arial" w:cs="Arial"/>
        </w:rPr>
      </w:pPr>
      <w:r w:rsidRPr="003470FB">
        <w:rPr>
          <w:rFonts w:ascii="Arial" w:hAnsi="Arial" w:cs="Arial"/>
          <w:b/>
        </w:rPr>
        <w:t>Objectives and intent to address climate vulnerability and risks</w:t>
      </w:r>
      <w:r w:rsidRPr="003470FB">
        <w:rPr>
          <w:rFonts w:ascii="Arial" w:hAnsi="Arial" w:cs="Arial"/>
        </w:rPr>
        <w:t>.</w:t>
      </w:r>
    </w:p>
    <w:p w14:paraId="3917292B" w14:textId="7BA54652" w:rsidR="000A243D" w:rsidRPr="003470FB" w:rsidRDefault="00FA62A3" w:rsidP="0086616E">
      <w:pPr>
        <w:jc w:val="both"/>
        <w:rPr>
          <w:rFonts w:ascii="Arial" w:hAnsi="Arial" w:cs="Arial"/>
        </w:rPr>
      </w:pPr>
      <w:r w:rsidRPr="003470FB">
        <w:rPr>
          <w:rFonts w:ascii="Arial" w:hAnsi="Arial" w:cs="Arial"/>
        </w:rPr>
        <w:t xml:space="preserve"> </w:t>
      </w:r>
      <w:r w:rsidR="00C81C99" w:rsidRPr="003470FB">
        <w:rPr>
          <w:rFonts w:ascii="Arial" w:hAnsi="Arial" w:cs="Arial"/>
        </w:rPr>
        <w:t>The climate vulnerability conditions that Haiti has experienced historically and is expected to face in the future are important driver</w:t>
      </w:r>
      <w:r w:rsidR="000E320C" w:rsidRPr="003470FB">
        <w:rPr>
          <w:rFonts w:ascii="Arial" w:hAnsi="Arial" w:cs="Arial"/>
        </w:rPr>
        <w:t>s</w:t>
      </w:r>
      <w:r w:rsidR="00C81C99" w:rsidRPr="003470FB">
        <w:rPr>
          <w:rFonts w:ascii="Arial" w:hAnsi="Arial" w:cs="Arial"/>
        </w:rPr>
        <w:t xml:space="preserve"> of the investments proposed under the </w:t>
      </w:r>
      <w:r w:rsidR="000E320C" w:rsidRPr="003470FB">
        <w:rPr>
          <w:rFonts w:ascii="Arial" w:hAnsi="Arial" w:cs="Arial"/>
        </w:rPr>
        <w:t>Program</w:t>
      </w:r>
      <w:r w:rsidR="00C81C99" w:rsidRPr="003470FB">
        <w:rPr>
          <w:rFonts w:ascii="Arial" w:hAnsi="Arial" w:cs="Arial"/>
        </w:rPr>
        <w:t xml:space="preserve">.  </w:t>
      </w:r>
      <w:r w:rsidR="00B26E88" w:rsidRPr="003470FB">
        <w:rPr>
          <w:rFonts w:ascii="Arial" w:hAnsi="Arial" w:cs="Arial"/>
        </w:rPr>
        <w:t>R</w:t>
      </w:r>
      <w:r w:rsidR="00C81C99" w:rsidRPr="003470FB">
        <w:rPr>
          <w:rFonts w:ascii="Arial" w:hAnsi="Arial" w:cs="Arial"/>
        </w:rPr>
        <w:t xml:space="preserve">educed </w:t>
      </w:r>
      <w:r w:rsidR="00B26E88" w:rsidRPr="003470FB">
        <w:rPr>
          <w:rFonts w:ascii="Arial" w:hAnsi="Arial" w:cs="Arial"/>
        </w:rPr>
        <w:t xml:space="preserve">water </w:t>
      </w:r>
      <w:r w:rsidR="00C81C99" w:rsidRPr="003470FB">
        <w:rPr>
          <w:rFonts w:ascii="Arial" w:hAnsi="Arial" w:cs="Arial"/>
        </w:rPr>
        <w:t>availability due to increasing temperature</w:t>
      </w:r>
      <w:r w:rsidR="00A51D04" w:rsidRPr="003470FB">
        <w:rPr>
          <w:rFonts w:ascii="Arial" w:hAnsi="Arial" w:cs="Arial"/>
        </w:rPr>
        <w:t>s</w:t>
      </w:r>
      <w:r w:rsidR="00C81C99" w:rsidRPr="003470FB">
        <w:rPr>
          <w:rFonts w:ascii="Arial" w:hAnsi="Arial" w:cs="Arial"/>
        </w:rPr>
        <w:t xml:space="preserve"> and less rainfall, </w:t>
      </w:r>
      <w:r w:rsidR="00B26E88" w:rsidRPr="003470FB">
        <w:rPr>
          <w:rFonts w:ascii="Arial" w:hAnsi="Arial" w:cs="Arial"/>
        </w:rPr>
        <w:t xml:space="preserve">coupled with </w:t>
      </w:r>
      <w:r w:rsidR="00C81C99" w:rsidRPr="003470FB">
        <w:rPr>
          <w:rFonts w:ascii="Arial" w:hAnsi="Arial" w:cs="Arial"/>
        </w:rPr>
        <w:t>the limited capacity of the national and local governments to</w:t>
      </w:r>
      <w:r w:rsidR="00766B24" w:rsidRPr="003470FB">
        <w:rPr>
          <w:rFonts w:ascii="Arial" w:hAnsi="Arial" w:cs="Arial"/>
        </w:rPr>
        <w:t xml:space="preserve"> assure the operation and integrity of</w:t>
      </w:r>
      <w:r w:rsidR="00C81C99" w:rsidRPr="003470FB">
        <w:rPr>
          <w:rFonts w:ascii="Arial" w:hAnsi="Arial" w:cs="Arial"/>
        </w:rPr>
        <w:t xml:space="preserve"> assure </w:t>
      </w:r>
      <w:r w:rsidR="00C81C99" w:rsidRPr="003470FB">
        <w:rPr>
          <w:rFonts w:ascii="Arial" w:hAnsi="Arial" w:cs="Arial"/>
        </w:rPr>
        <w:lastRenderedPageBreak/>
        <w:t>water reserves in reservoirs and aquifers</w:t>
      </w:r>
      <w:r w:rsidR="00631030" w:rsidRPr="003470FB">
        <w:rPr>
          <w:rFonts w:ascii="Arial" w:hAnsi="Arial" w:cs="Arial"/>
        </w:rPr>
        <w:t xml:space="preserve"> require a more adequate </w:t>
      </w:r>
      <w:r w:rsidR="00C81C99" w:rsidRPr="003470FB">
        <w:rPr>
          <w:rFonts w:ascii="Arial" w:hAnsi="Arial" w:cs="Arial"/>
        </w:rPr>
        <w:t>response</w:t>
      </w:r>
      <w:r w:rsidR="00631030" w:rsidRPr="003470FB">
        <w:rPr>
          <w:rFonts w:ascii="Arial" w:hAnsi="Arial" w:cs="Arial"/>
        </w:rPr>
        <w:t xml:space="preserve">. The proposed operation and its components </w:t>
      </w:r>
      <w:r w:rsidR="00B26E88" w:rsidRPr="003470FB">
        <w:rPr>
          <w:rFonts w:ascii="Arial" w:hAnsi="Arial" w:cs="Arial"/>
        </w:rPr>
        <w:t xml:space="preserve">intend to </w:t>
      </w:r>
      <w:r w:rsidR="00631030" w:rsidRPr="003470FB">
        <w:rPr>
          <w:rFonts w:ascii="Arial" w:hAnsi="Arial" w:cs="Arial"/>
        </w:rPr>
        <w:t xml:space="preserve">improve </w:t>
      </w:r>
      <w:r w:rsidR="004F055D" w:rsidRPr="003470FB">
        <w:rPr>
          <w:rFonts w:ascii="Arial" w:hAnsi="Arial" w:cs="Arial"/>
        </w:rPr>
        <w:t>management of surface and subsurface water resources</w:t>
      </w:r>
      <w:r w:rsidR="00631030" w:rsidRPr="003470FB">
        <w:rPr>
          <w:rFonts w:ascii="Arial" w:hAnsi="Arial" w:cs="Arial"/>
        </w:rPr>
        <w:t xml:space="preserve">, thus increasing the </w:t>
      </w:r>
      <w:r w:rsidRPr="003470FB">
        <w:rPr>
          <w:rFonts w:ascii="Arial" w:hAnsi="Arial" w:cs="Arial"/>
        </w:rPr>
        <w:t xml:space="preserve">country’s capacity to </w:t>
      </w:r>
      <w:r w:rsidR="004F055D" w:rsidRPr="003470FB">
        <w:rPr>
          <w:rFonts w:ascii="Arial" w:hAnsi="Arial" w:cs="Arial"/>
        </w:rPr>
        <w:t>cope with climate impacts</w:t>
      </w:r>
      <w:r w:rsidR="00631030" w:rsidRPr="003470FB">
        <w:rPr>
          <w:rFonts w:ascii="Arial" w:hAnsi="Arial" w:cs="Arial"/>
        </w:rPr>
        <w:t>. In the urban areas of</w:t>
      </w:r>
      <w:r w:rsidR="008C62C6" w:rsidRPr="003470FB">
        <w:rPr>
          <w:rFonts w:ascii="Arial" w:hAnsi="Arial" w:cs="Arial"/>
        </w:rPr>
        <w:t xml:space="preserve"> Port-au-Prince, better articulation of surface and subsurface water, including reducing loses in the main distribution network and better catchments and storage infrastructure, will greatly help </w:t>
      </w:r>
      <w:r w:rsidR="00766B24" w:rsidRPr="003470FB">
        <w:rPr>
          <w:rFonts w:ascii="Arial" w:hAnsi="Arial" w:cs="Arial"/>
        </w:rPr>
        <w:t xml:space="preserve">ensure </w:t>
      </w:r>
      <w:r w:rsidR="008C62C6" w:rsidRPr="003470FB">
        <w:rPr>
          <w:rFonts w:ascii="Arial" w:hAnsi="Arial" w:cs="Arial"/>
        </w:rPr>
        <w:t xml:space="preserve">current and future water supply. In the rural areas, investments in water </w:t>
      </w:r>
      <w:r w:rsidR="00766B24" w:rsidRPr="003470FB">
        <w:rPr>
          <w:rFonts w:ascii="Arial" w:hAnsi="Arial" w:cs="Arial"/>
        </w:rPr>
        <w:t xml:space="preserve">services </w:t>
      </w:r>
      <w:r w:rsidR="008C62C6" w:rsidRPr="003470FB">
        <w:rPr>
          <w:rFonts w:ascii="Arial" w:hAnsi="Arial" w:cs="Arial"/>
        </w:rPr>
        <w:t>and protection of basic water infrastructure against flooding are critical, especially with highly-vulnerable</w:t>
      </w:r>
      <w:r w:rsidR="00DE3EF7" w:rsidRPr="003470FB">
        <w:rPr>
          <w:rFonts w:ascii="Arial" w:hAnsi="Arial" w:cs="Arial"/>
        </w:rPr>
        <w:t xml:space="preserve"> poor</w:t>
      </w:r>
      <w:r w:rsidR="008C62C6" w:rsidRPr="003470FB">
        <w:rPr>
          <w:rFonts w:ascii="Arial" w:hAnsi="Arial" w:cs="Arial"/>
        </w:rPr>
        <w:t xml:space="preserve"> population</w:t>
      </w:r>
      <w:r w:rsidR="00B26E88" w:rsidRPr="003470FB">
        <w:rPr>
          <w:rFonts w:ascii="Arial" w:hAnsi="Arial" w:cs="Arial"/>
        </w:rPr>
        <w:t>s who</w:t>
      </w:r>
      <w:r w:rsidR="008C62C6" w:rsidRPr="003470FB">
        <w:rPr>
          <w:rFonts w:ascii="Arial" w:hAnsi="Arial" w:cs="Arial"/>
        </w:rPr>
        <w:t xml:space="preserve"> lack basic needs.</w:t>
      </w:r>
    </w:p>
    <w:p w14:paraId="48932718" w14:textId="77777777" w:rsidR="006028B2" w:rsidRPr="003470FB" w:rsidRDefault="006028B2" w:rsidP="0086616E">
      <w:pPr>
        <w:pStyle w:val="ListParagraph"/>
        <w:numPr>
          <w:ilvl w:val="0"/>
          <w:numId w:val="10"/>
        </w:numPr>
        <w:jc w:val="both"/>
        <w:rPr>
          <w:rFonts w:ascii="Arial" w:hAnsi="Arial" w:cs="Arial"/>
        </w:rPr>
      </w:pPr>
      <w:r w:rsidRPr="003470FB">
        <w:rPr>
          <w:rFonts w:ascii="Arial" w:hAnsi="Arial" w:cs="Arial"/>
          <w:b/>
        </w:rPr>
        <w:t>Link between climate vulnerability objectives and specific project activities/components</w:t>
      </w:r>
      <w:r w:rsidRPr="003470FB">
        <w:rPr>
          <w:rFonts w:ascii="Arial" w:hAnsi="Arial" w:cs="Arial"/>
        </w:rPr>
        <w:t>.</w:t>
      </w:r>
    </w:p>
    <w:p w14:paraId="504FA0B4" w14:textId="5C68BE91" w:rsidR="006028B2" w:rsidRPr="003470FB" w:rsidRDefault="0082530C" w:rsidP="0086616E">
      <w:pPr>
        <w:jc w:val="both"/>
        <w:rPr>
          <w:rFonts w:ascii="Arial" w:hAnsi="Arial" w:cs="Arial"/>
        </w:rPr>
      </w:pPr>
      <w:r w:rsidRPr="003470FB">
        <w:rPr>
          <w:rFonts w:ascii="Arial" w:hAnsi="Arial" w:cs="Arial"/>
        </w:rPr>
        <w:t>In response to climate risks, the operation will direct investments to reduce water loss and improve the use of existing and future water resources in Port-au-P</w:t>
      </w:r>
      <w:r w:rsidR="004F055D" w:rsidRPr="003470FB">
        <w:rPr>
          <w:rFonts w:ascii="Arial" w:hAnsi="Arial" w:cs="Arial"/>
        </w:rPr>
        <w:t xml:space="preserve">rince.  The </w:t>
      </w:r>
      <w:r w:rsidR="00B26E88" w:rsidRPr="003470FB">
        <w:rPr>
          <w:rFonts w:ascii="Arial" w:hAnsi="Arial" w:cs="Arial"/>
        </w:rPr>
        <w:t xml:space="preserve">program’s adaptation </w:t>
      </w:r>
      <w:r w:rsidR="004F055D" w:rsidRPr="003470FB">
        <w:rPr>
          <w:rFonts w:ascii="Arial" w:hAnsi="Arial" w:cs="Arial"/>
        </w:rPr>
        <w:t>activities that contribute to increas</w:t>
      </w:r>
      <w:r w:rsidR="00B26E88" w:rsidRPr="003470FB">
        <w:rPr>
          <w:rFonts w:ascii="Arial" w:hAnsi="Arial" w:cs="Arial"/>
        </w:rPr>
        <w:t>e</w:t>
      </w:r>
      <w:r w:rsidR="004F055D" w:rsidRPr="003470FB">
        <w:rPr>
          <w:rFonts w:ascii="Arial" w:hAnsi="Arial" w:cs="Arial"/>
        </w:rPr>
        <w:t xml:space="preserve"> </w:t>
      </w:r>
      <w:r w:rsidRPr="003470FB">
        <w:rPr>
          <w:rFonts w:ascii="Arial" w:hAnsi="Arial" w:cs="Arial"/>
        </w:rPr>
        <w:t xml:space="preserve">climate resilience </w:t>
      </w:r>
      <w:r w:rsidR="004F055D" w:rsidRPr="003470FB">
        <w:rPr>
          <w:rFonts w:ascii="Arial" w:hAnsi="Arial" w:cs="Arial"/>
        </w:rPr>
        <w:t xml:space="preserve">in the water system in Haiti are the following: </w:t>
      </w:r>
    </w:p>
    <w:p w14:paraId="19D50331" w14:textId="77777777" w:rsidR="007E042D" w:rsidRPr="003470FB" w:rsidRDefault="004F055D" w:rsidP="0086616E">
      <w:pPr>
        <w:pStyle w:val="ListParagraph"/>
        <w:numPr>
          <w:ilvl w:val="0"/>
          <w:numId w:val="7"/>
        </w:numPr>
        <w:jc w:val="both"/>
        <w:rPr>
          <w:rFonts w:ascii="Arial" w:hAnsi="Arial" w:cs="Arial"/>
          <w:i/>
          <w:u w:val="single"/>
        </w:rPr>
      </w:pPr>
      <w:r w:rsidRPr="003470FB">
        <w:rPr>
          <w:rFonts w:ascii="Arial" w:hAnsi="Arial" w:cs="Arial"/>
          <w:i/>
          <w:u w:val="single"/>
        </w:rPr>
        <w:t xml:space="preserve">Investments in Urban Potable Water and Sanitation Works (Component III). </w:t>
      </w:r>
    </w:p>
    <w:p w14:paraId="1BE83490" w14:textId="219C2ADD" w:rsidR="004F055D" w:rsidRPr="003470FB" w:rsidRDefault="004F055D" w:rsidP="0086616E">
      <w:pPr>
        <w:jc w:val="both"/>
        <w:rPr>
          <w:rFonts w:ascii="Arial" w:hAnsi="Arial" w:cs="Arial"/>
        </w:rPr>
      </w:pPr>
      <w:r w:rsidRPr="003470FB">
        <w:rPr>
          <w:rFonts w:ascii="Arial" w:hAnsi="Arial" w:cs="Arial"/>
        </w:rPr>
        <w:t xml:space="preserve">This component will finance the construction and rehabilitation of water works aimed at improving water storage, distribution and expansion of the water network. It includes the construction of a large-diameter main water line to provide water service to the Carrefour and the central city </w:t>
      </w:r>
      <w:r w:rsidR="006E4B38" w:rsidRPr="003470FB">
        <w:rPr>
          <w:rFonts w:ascii="Arial" w:hAnsi="Arial" w:cs="Arial"/>
        </w:rPr>
        <w:t>a</w:t>
      </w:r>
      <w:r w:rsidRPr="003470FB">
        <w:rPr>
          <w:rFonts w:ascii="Arial" w:hAnsi="Arial" w:cs="Arial"/>
        </w:rPr>
        <w:t>reas.  The new line will add flexibility and make a better use of surface and subsurface w</w:t>
      </w:r>
      <w:r w:rsidR="006E4B38" w:rsidRPr="003470FB">
        <w:rPr>
          <w:rFonts w:ascii="Arial" w:hAnsi="Arial" w:cs="Arial"/>
        </w:rPr>
        <w:t>a</w:t>
      </w:r>
      <w:r w:rsidRPr="003470FB">
        <w:rPr>
          <w:rFonts w:ascii="Arial" w:hAnsi="Arial" w:cs="Arial"/>
        </w:rPr>
        <w:t xml:space="preserve">ter distributed to </w:t>
      </w:r>
      <w:r w:rsidR="006E4B38" w:rsidRPr="003470FB">
        <w:rPr>
          <w:rFonts w:ascii="Arial" w:hAnsi="Arial" w:cs="Arial"/>
        </w:rPr>
        <w:t>a</w:t>
      </w:r>
      <w:r w:rsidRPr="003470FB">
        <w:rPr>
          <w:rFonts w:ascii="Arial" w:hAnsi="Arial" w:cs="Arial"/>
        </w:rPr>
        <w:t>rea between Mariani and downtown.  As part of th</w:t>
      </w:r>
      <w:r w:rsidR="00FE69B6" w:rsidRPr="003470FB">
        <w:rPr>
          <w:rFonts w:ascii="Arial" w:hAnsi="Arial" w:cs="Arial"/>
        </w:rPr>
        <w:t>e 1</w:t>
      </w:r>
      <w:r w:rsidRPr="003470FB">
        <w:rPr>
          <w:rFonts w:ascii="Arial" w:hAnsi="Arial" w:cs="Arial"/>
        </w:rPr>
        <w:t xml:space="preserve">7 km-long rehabilitation, a new line </w:t>
      </w:r>
      <w:r w:rsidR="003470FB">
        <w:rPr>
          <w:rFonts w:ascii="Arial" w:hAnsi="Arial" w:cs="Arial"/>
        </w:rPr>
        <w:br/>
      </w:r>
      <w:r w:rsidRPr="003470FB">
        <w:rPr>
          <w:rFonts w:ascii="Arial" w:hAnsi="Arial" w:cs="Arial"/>
        </w:rPr>
        <w:t>(6.5 km long, 600 mm diamater) will be built to link the Diquini tunn</w:t>
      </w:r>
      <w:r w:rsidR="00FE69B6" w:rsidRPr="003470FB">
        <w:rPr>
          <w:rFonts w:ascii="Arial" w:hAnsi="Arial" w:cs="Arial"/>
        </w:rPr>
        <w:t>el</w:t>
      </w:r>
      <w:r w:rsidRPr="003470FB">
        <w:rPr>
          <w:rFonts w:ascii="Arial" w:hAnsi="Arial" w:cs="Arial"/>
        </w:rPr>
        <w:t xml:space="preserve"> with the Bolosse </w:t>
      </w:r>
      <w:r w:rsidR="00FE69B6" w:rsidRPr="003470FB">
        <w:rPr>
          <w:rFonts w:ascii="Arial" w:hAnsi="Arial" w:cs="Arial"/>
        </w:rPr>
        <w:t>R</w:t>
      </w:r>
      <w:r w:rsidRPr="003470FB">
        <w:rPr>
          <w:rFonts w:ascii="Arial" w:hAnsi="Arial" w:cs="Arial"/>
        </w:rPr>
        <w:t>eservoir. This line will eliminate water losses along this segment, which now account for 60% of total w</w:t>
      </w:r>
      <w:r w:rsidR="00FE69B6" w:rsidRPr="003470FB">
        <w:rPr>
          <w:rFonts w:ascii="Arial" w:hAnsi="Arial" w:cs="Arial"/>
        </w:rPr>
        <w:t>a</w:t>
      </w:r>
      <w:r w:rsidRPr="003470FB">
        <w:rPr>
          <w:rFonts w:ascii="Arial" w:hAnsi="Arial" w:cs="Arial"/>
        </w:rPr>
        <w:t>ter loss in the Port au Prince w</w:t>
      </w:r>
      <w:r w:rsidR="00B26E88" w:rsidRPr="003470FB">
        <w:rPr>
          <w:rFonts w:ascii="Arial" w:hAnsi="Arial" w:cs="Arial"/>
        </w:rPr>
        <w:t>a</w:t>
      </w:r>
      <w:r w:rsidRPr="003470FB">
        <w:rPr>
          <w:rFonts w:ascii="Arial" w:hAnsi="Arial" w:cs="Arial"/>
        </w:rPr>
        <w:t xml:space="preserve">ter distribution system. </w:t>
      </w:r>
      <w:r w:rsidR="007E042D" w:rsidRPr="003470FB">
        <w:rPr>
          <w:rFonts w:ascii="Arial" w:hAnsi="Arial" w:cs="Arial"/>
        </w:rPr>
        <w:t>The proposed investments will</w:t>
      </w:r>
      <w:r w:rsidR="00766B24" w:rsidRPr="003470FB">
        <w:rPr>
          <w:rFonts w:ascii="Arial" w:hAnsi="Arial" w:cs="Arial"/>
        </w:rPr>
        <w:t xml:space="preserve"> include design measures that enhance resilience to climate change,</w:t>
      </w:r>
      <w:r w:rsidR="007E042D" w:rsidRPr="003470FB">
        <w:rPr>
          <w:rFonts w:ascii="Arial" w:hAnsi="Arial" w:cs="Arial"/>
        </w:rPr>
        <w:t xml:space="preserve"> by taking into considerations the avoidance of, or minimal exposure to risks </w:t>
      </w:r>
      <w:r w:rsidR="007E042D" w:rsidRPr="003470FB">
        <w:rPr>
          <w:rFonts w:ascii="Arial" w:eastAsia="Times New Roman" w:hAnsi="Arial" w:cs="Arial"/>
          <w:shd w:val="clear" w:color="auto" w:fill="FFFFFF"/>
        </w:rPr>
        <w:t xml:space="preserve">(slopes, erosion, landslides, flooding, etc.).  In addition to this critical water supply line, </w:t>
      </w:r>
      <w:r w:rsidRPr="003470FB">
        <w:rPr>
          <w:rFonts w:ascii="Arial" w:hAnsi="Arial" w:cs="Arial"/>
        </w:rPr>
        <w:t>new w</w:t>
      </w:r>
      <w:r w:rsidR="00FE69B6" w:rsidRPr="003470FB">
        <w:rPr>
          <w:rFonts w:ascii="Arial" w:hAnsi="Arial" w:cs="Arial"/>
        </w:rPr>
        <w:t>a</w:t>
      </w:r>
      <w:r w:rsidRPr="003470FB">
        <w:rPr>
          <w:rFonts w:ascii="Arial" w:hAnsi="Arial" w:cs="Arial"/>
        </w:rPr>
        <w:t>ter storage facilities (tanks) in Mariani and Vivy Mitchell will increase significantly the city’s w</w:t>
      </w:r>
      <w:r w:rsidR="007E042D" w:rsidRPr="003470FB">
        <w:rPr>
          <w:rFonts w:ascii="Arial" w:hAnsi="Arial" w:cs="Arial"/>
        </w:rPr>
        <w:t>a</w:t>
      </w:r>
      <w:r w:rsidRPr="003470FB">
        <w:rPr>
          <w:rFonts w:ascii="Arial" w:hAnsi="Arial" w:cs="Arial"/>
        </w:rPr>
        <w:t>ter reserves (</w:t>
      </w:r>
      <w:r w:rsidR="00FE69B6" w:rsidRPr="003470FB">
        <w:rPr>
          <w:rFonts w:ascii="Arial" w:hAnsi="Arial" w:cs="Arial"/>
        </w:rPr>
        <w:t>n</w:t>
      </w:r>
      <w:r w:rsidRPr="003470FB">
        <w:rPr>
          <w:rFonts w:ascii="Arial" w:hAnsi="Arial" w:cs="Arial"/>
        </w:rPr>
        <w:t>ow the w</w:t>
      </w:r>
      <w:r w:rsidR="00FE69B6" w:rsidRPr="003470FB">
        <w:rPr>
          <w:rFonts w:ascii="Arial" w:hAnsi="Arial" w:cs="Arial"/>
        </w:rPr>
        <w:t>a</w:t>
      </w:r>
      <w:r w:rsidRPr="003470FB">
        <w:rPr>
          <w:rFonts w:ascii="Arial" w:hAnsi="Arial" w:cs="Arial"/>
        </w:rPr>
        <w:t>ter resources in the Mariani watershed are lost). The new Mariani and Vivy Mitchel deposits will have a 2000 m3 storage capacity each, and their construction will secure water volumes for the city and allow the city to increase the w</w:t>
      </w:r>
      <w:r w:rsidR="00FE69B6" w:rsidRPr="003470FB">
        <w:rPr>
          <w:rFonts w:ascii="Arial" w:hAnsi="Arial" w:cs="Arial"/>
        </w:rPr>
        <w:t>a</w:t>
      </w:r>
      <w:r w:rsidRPr="003470FB">
        <w:rPr>
          <w:rFonts w:ascii="Arial" w:hAnsi="Arial" w:cs="Arial"/>
        </w:rPr>
        <w:t xml:space="preserve">ter service hours to 16 hours daily (in some </w:t>
      </w:r>
      <w:r w:rsidR="00FE69B6" w:rsidRPr="003470FB">
        <w:rPr>
          <w:rFonts w:ascii="Arial" w:hAnsi="Arial" w:cs="Arial"/>
        </w:rPr>
        <w:t>a</w:t>
      </w:r>
      <w:r w:rsidRPr="003470FB">
        <w:rPr>
          <w:rFonts w:ascii="Arial" w:hAnsi="Arial" w:cs="Arial"/>
        </w:rPr>
        <w:t xml:space="preserve">rea of the city there is only 3 hours of service). </w:t>
      </w:r>
      <w:bookmarkStart w:id="2" w:name="_Hlk492045560"/>
      <w:r w:rsidR="007E042D" w:rsidRPr="003470FB">
        <w:rPr>
          <w:rFonts w:ascii="Arial" w:hAnsi="Arial" w:cs="Arial"/>
        </w:rPr>
        <w:t xml:space="preserve">The total </w:t>
      </w:r>
      <w:r w:rsidR="00FA62A3" w:rsidRPr="003470FB">
        <w:rPr>
          <w:rFonts w:ascii="Arial" w:hAnsi="Arial" w:cs="Arial"/>
        </w:rPr>
        <w:t>investments in the Diquini tunnel-Bolosse line and the Mariani and Vivy Mitchell storage deposits (a total of $</w:t>
      </w:r>
      <w:r w:rsidR="00E12BCA" w:rsidRPr="003470FB">
        <w:rPr>
          <w:rFonts w:ascii="Arial" w:hAnsi="Arial" w:cs="Arial"/>
        </w:rPr>
        <w:t>8</w:t>
      </w:r>
      <w:r w:rsidR="00FA62A3" w:rsidRPr="003470FB">
        <w:rPr>
          <w:rFonts w:ascii="Arial" w:hAnsi="Arial" w:cs="Arial"/>
        </w:rPr>
        <w:t>.</w:t>
      </w:r>
      <w:r w:rsidR="00E12BCA" w:rsidRPr="003470FB">
        <w:rPr>
          <w:rFonts w:ascii="Arial" w:hAnsi="Arial" w:cs="Arial"/>
        </w:rPr>
        <w:t>3</w:t>
      </w:r>
      <w:r w:rsidR="00FA62A3" w:rsidRPr="003470FB">
        <w:rPr>
          <w:rFonts w:ascii="Arial" w:hAnsi="Arial" w:cs="Arial"/>
        </w:rPr>
        <w:t>00.000</w:t>
      </w:r>
      <w:r w:rsidR="00E12BCA" w:rsidRPr="003470FB">
        <w:rPr>
          <w:rFonts w:ascii="Arial" w:hAnsi="Arial" w:cs="Arial"/>
        </w:rPr>
        <w:t xml:space="preserve"> of</w:t>
      </w:r>
      <w:r w:rsidR="00FA62A3" w:rsidRPr="003470FB">
        <w:rPr>
          <w:rFonts w:ascii="Arial" w:hAnsi="Arial" w:cs="Arial"/>
        </w:rPr>
        <w:t xml:space="preserve"> Component III) are classified as </w:t>
      </w:r>
      <w:r w:rsidR="007E042D" w:rsidRPr="003470FB">
        <w:rPr>
          <w:rFonts w:ascii="Arial" w:hAnsi="Arial" w:cs="Arial"/>
        </w:rPr>
        <w:t>adaptation finance</w:t>
      </w:r>
      <w:r w:rsidR="0086616E" w:rsidRPr="003470FB">
        <w:rPr>
          <w:rFonts w:ascii="Arial" w:hAnsi="Arial" w:cs="Arial"/>
        </w:rPr>
        <w:t>.</w:t>
      </w:r>
      <w:r w:rsidR="00FA62A3" w:rsidRPr="003470FB">
        <w:rPr>
          <w:rFonts w:ascii="Arial" w:hAnsi="Arial" w:cs="Arial"/>
        </w:rPr>
        <w:t xml:space="preserve"> </w:t>
      </w:r>
    </w:p>
    <w:bookmarkEnd w:id="2"/>
    <w:p w14:paraId="36352FE9" w14:textId="77777777" w:rsidR="00FA62A3" w:rsidRPr="003470FB" w:rsidRDefault="00FA62A3" w:rsidP="0086616E">
      <w:pPr>
        <w:pStyle w:val="ListParagraph"/>
        <w:numPr>
          <w:ilvl w:val="0"/>
          <w:numId w:val="7"/>
        </w:numPr>
        <w:jc w:val="both"/>
        <w:rPr>
          <w:rFonts w:ascii="Arial" w:hAnsi="Arial" w:cs="Arial"/>
          <w:i/>
          <w:u w:val="single"/>
        </w:rPr>
      </w:pPr>
      <w:r w:rsidRPr="003470FB">
        <w:rPr>
          <w:rFonts w:ascii="Arial" w:hAnsi="Arial" w:cs="Arial"/>
          <w:i/>
          <w:u w:val="single"/>
        </w:rPr>
        <w:t>Investments in Rural Water Works (Component IV)</w:t>
      </w:r>
    </w:p>
    <w:p w14:paraId="1F90909A" w14:textId="6F666392" w:rsidR="00742AAA" w:rsidRPr="003470FB" w:rsidRDefault="00FA62A3" w:rsidP="0086616E">
      <w:pPr>
        <w:jc w:val="both"/>
        <w:rPr>
          <w:rFonts w:ascii="Arial" w:hAnsi="Arial" w:cs="Arial"/>
        </w:rPr>
      </w:pPr>
      <w:r w:rsidRPr="003470FB">
        <w:rPr>
          <w:rFonts w:ascii="Arial" w:hAnsi="Arial" w:cs="Arial"/>
        </w:rPr>
        <w:t>This component wil</w:t>
      </w:r>
      <w:r w:rsidR="00F126B1" w:rsidRPr="003470FB">
        <w:rPr>
          <w:rFonts w:ascii="Arial" w:hAnsi="Arial" w:cs="Arial"/>
        </w:rPr>
        <w:t>l</w:t>
      </w:r>
      <w:r w:rsidRPr="003470FB">
        <w:rPr>
          <w:rFonts w:ascii="Arial" w:hAnsi="Arial" w:cs="Arial"/>
        </w:rPr>
        <w:t xml:space="preserve"> provide resources for the emergency works needed to restore access to potable water in rural areas which were affected by Hurricane Matthew in the southern part of the country and Ile de la Gonave. The component will finance water systems emergency survey and planning, expansion or rehabilitation of potable water systems, protection of water sources and supervision of works in around 20 water systems. These systems will be built with technical specifications that will reduce future risks due to climate impacts.  </w:t>
      </w:r>
      <w:r w:rsidR="00051C75" w:rsidRPr="003470FB">
        <w:rPr>
          <w:rFonts w:ascii="Arial" w:hAnsi="Arial" w:cs="Arial"/>
        </w:rPr>
        <w:t>In addition, 20% of total costs of the 7 systems to improve access to water in rural areas of OREPA Ouest will account for</w:t>
      </w:r>
      <w:r w:rsidR="00FE69B6" w:rsidRPr="003470FB">
        <w:rPr>
          <w:rFonts w:ascii="Arial" w:hAnsi="Arial" w:cs="Arial"/>
        </w:rPr>
        <w:t xml:space="preserve"> climate adaptation investments (water efficiency measures and climate-</w:t>
      </w:r>
      <w:r w:rsidR="00B46E60" w:rsidRPr="003470FB">
        <w:rPr>
          <w:rFonts w:ascii="Arial" w:hAnsi="Arial" w:cs="Arial"/>
        </w:rPr>
        <w:t>resilient</w:t>
      </w:r>
      <w:r w:rsidR="00FE69B6" w:rsidRPr="003470FB">
        <w:rPr>
          <w:rFonts w:ascii="Arial" w:hAnsi="Arial" w:cs="Arial"/>
        </w:rPr>
        <w:t>/ flood protection measures).</w:t>
      </w:r>
      <w:r w:rsidR="00900B0D" w:rsidRPr="003470FB">
        <w:rPr>
          <w:rFonts w:ascii="Arial" w:hAnsi="Arial" w:cs="Arial"/>
        </w:rPr>
        <w:t xml:space="preserve"> The investments in this component that  are classified as adaptation finance include: a) t</w:t>
      </w:r>
      <w:r w:rsidRPr="003470FB">
        <w:rPr>
          <w:rFonts w:ascii="Arial" w:hAnsi="Arial" w:cs="Arial"/>
        </w:rPr>
        <w:t xml:space="preserve">he total investments </w:t>
      </w:r>
      <w:r w:rsidR="00051C75" w:rsidRPr="003470FB">
        <w:rPr>
          <w:rFonts w:ascii="Arial" w:hAnsi="Arial" w:cs="Arial"/>
        </w:rPr>
        <w:t>to restore access to potable water in areas affected by Hurricane Matthew</w:t>
      </w:r>
      <w:r w:rsidR="00900B0D" w:rsidRPr="003470FB">
        <w:rPr>
          <w:rFonts w:ascii="Arial" w:hAnsi="Arial" w:cs="Arial"/>
        </w:rPr>
        <w:t xml:space="preserve"> ($3.000.000), with better rebuilding, more resilient infrastructure ; </w:t>
      </w:r>
      <w:r w:rsidR="00051C75" w:rsidRPr="003470FB">
        <w:rPr>
          <w:rFonts w:ascii="Arial" w:hAnsi="Arial" w:cs="Arial"/>
        </w:rPr>
        <w:t>and 20% of total investments in the seven systems to provide service in OREPA Ouest ($700.000)</w:t>
      </w:r>
      <w:r w:rsidR="00900B0D" w:rsidRPr="003470FB">
        <w:rPr>
          <w:rFonts w:ascii="Arial" w:hAnsi="Arial" w:cs="Arial"/>
        </w:rPr>
        <w:t>, with built-in</w:t>
      </w:r>
      <w:r w:rsidR="00E12BCA" w:rsidRPr="003470FB">
        <w:rPr>
          <w:rFonts w:ascii="Arial" w:hAnsi="Arial" w:cs="Arial"/>
        </w:rPr>
        <w:t xml:space="preserve"> adaptation</w:t>
      </w:r>
      <w:r w:rsidR="00900B0D" w:rsidRPr="003470FB">
        <w:rPr>
          <w:rFonts w:ascii="Arial" w:hAnsi="Arial" w:cs="Arial"/>
        </w:rPr>
        <w:t xml:space="preserve"> </w:t>
      </w:r>
      <w:r w:rsidR="00900B0D" w:rsidRPr="003470FB">
        <w:rPr>
          <w:rFonts w:ascii="Arial" w:hAnsi="Arial" w:cs="Arial"/>
        </w:rPr>
        <w:lastRenderedPageBreak/>
        <w:t xml:space="preserve">measures that increase efficiencies in the water distribution system and use at households, as well as measures to protect the water infrastructure and household assets against climate adversities and risks.  The total climate finance in this component amounts to $3.700.000.  </w:t>
      </w:r>
      <w:r w:rsidR="00900B0D" w:rsidRPr="003470FB" w:rsidDel="00900B0D">
        <w:rPr>
          <w:rFonts w:ascii="Arial" w:hAnsi="Arial" w:cs="Arial"/>
        </w:rPr>
        <w:t xml:space="preserve"> </w:t>
      </w:r>
    </w:p>
    <w:p w14:paraId="50AF48AA" w14:textId="5C3D107B" w:rsidR="00742AAA" w:rsidRPr="003470FB" w:rsidRDefault="00742AAA" w:rsidP="0086616E">
      <w:pPr>
        <w:pStyle w:val="ListParagraph"/>
        <w:numPr>
          <w:ilvl w:val="0"/>
          <w:numId w:val="7"/>
        </w:numPr>
        <w:jc w:val="both"/>
        <w:rPr>
          <w:rFonts w:ascii="Arial" w:hAnsi="Arial" w:cs="Arial"/>
          <w:i/>
        </w:rPr>
      </w:pPr>
      <w:r w:rsidRPr="003470FB">
        <w:rPr>
          <w:rFonts w:ascii="Arial" w:hAnsi="Arial" w:cs="Arial"/>
          <w:i/>
        </w:rPr>
        <w:t>Support institutional strengthening to increase climate resilience</w:t>
      </w:r>
      <w:r w:rsidR="0081395B" w:rsidRPr="003470FB">
        <w:rPr>
          <w:rFonts w:ascii="Arial" w:hAnsi="Arial" w:cs="Arial"/>
          <w:i/>
        </w:rPr>
        <w:t xml:space="preserve"> (Component 1)</w:t>
      </w:r>
    </w:p>
    <w:p w14:paraId="74C2186C" w14:textId="767F42F4" w:rsidR="00742AAA" w:rsidRPr="003470FB" w:rsidRDefault="00742AAA" w:rsidP="0086616E">
      <w:pPr>
        <w:jc w:val="both"/>
        <w:rPr>
          <w:rFonts w:ascii="Arial" w:hAnsi="Arial" w:cs="Arial"/>
        </w:rPr>
      </w:pPr>
      <w:r w:rsidRPr="003470FB">
        <w:rPr>
          <w:rFonts w:ascii="Arial" w:hAnsi="Arial" w:cs="Arial"/>
        </w:rPr>
        <w:t xml:space="preserve">This component will incorporate </w:t>
      </w:r>
      <w:r w:rsidR="0081395B" w:rsidRPr="003470FB">
        <w:rPr>
          <w:rFonts w:ascii="Arial" w:hAnsi="Arial" w:cs="Arial"/>
        </w:rPr>
        <w:t xml:space="preserve">capacity building programs to mainstream climate resilience in CTE-MRPP and DINEPA planning and design activities. This may include a variety of programs to raise awareness, provide tools to better assess climate risk in water supply and distribution systems, and guide the adoption of climate adaptation measures and technologies.  The total climate finance in this component amounts to </w:t>
      </w:r>
      <w:r w:rsidR="0086616E" w:rsidRPr="003470FB">
        <w:rPr>
          <w:rFonts w:ascii="Arial" w:hAnsi="Arial" w:cs="Arial"/>
        </w:rPr>
        <w:t>US</w:t>
      </w:r>
      <w:r w:rsidR="00E12BCA" w:rsidRPr="003470FB">
        <w:rPr>
          <w:rFonts w:ascii="Arial" w:hAnsi="Arial" w:cs="Arial"/>
        </w:rPr>
        <w:t>$250.000.</w:t>
      </w:r>
    </w:p>
    <w:p w14:paraId="4DA64E59" w14:textId="4B2848A6" w:rsidR="006028B2" w:rsidRPr="003470FB" w:rsidRDefault="00C85E95" w:rsidP="0086616E">
      <w:pPr>
        <w:jc w:val="both"/>
        <w:rPr>
          <w:rFonts w:ascii="Arial" w:eastAsiaTheme="minorHAnsi" w:hAnsi="Arial" w:cs="Arial"/>
          <w:sz w:val="18"/>
          <w:szCs w:val="18"/>
        </w:rPr>
      </w:pPr>
      <w:bookmarkStart w:id="3" w:name="_Hlk492460895"/>
      <w:r w:rsidRPr="003470FB">
        <w:rPr>
          <w:rFonts w:ascii="Arial" w:hAnsi="Arial" w:cs="Arial"/>
        </w:rPr>
        <w:t xml:space="preserve">A total of </w:t>
      </w:r>
      <w:r w:rsidR="0086616E" w:rsidRPr="003470FB">
        <w:rPr>
          <w:rFonts w:ascii="Arial" w:hAnsi="Arial" w:cs="Arial"/>
        </w:rPr>
        <w:t>US</w:t>
      </w:r>
      <w:r w:rsidRPr="003470FB">
        <w:rPr>
          <w:rFonts w:ascii="Arial" w:hAnsi="Arial" w:cs="Arial"/>
        </w:rPr>
        <w:t>$1</w:t>
      </w:r>
      <w:r w:rsidR="00E12BCA" w:rsidRPr="003470FB">
        <w:rPr>
          <w:rFonts w:ascii="Arial" w:hAnsi="Arial" w:cs="Arial"/>
        </w:rPr>
        <w:t>3</w:t>
      </w:r>
      <w:r w:rsidRPr="003470FB">
        <w:rPr>
          <w:rFonts w:ascii="Arial" w:hAnsi="Arial" w:cs="Arial"/>
        </w:rPr>
        <w:t>.</w:t>
      </w:r>
      <w:r w:rsidR="00E12BCA" w:rsidRPr="003470FB">
        <w:rPr>
          <w:rFonts w:ascii="Arial" w:hAnsi="Arial" w:cs="Arial"/>
        </w:rPr>
        <w:t>053</w:t>
      </w:r>
      <w:r w:rsidRPr="003470FB">
        <w:rPr>
          <w:rFonts w:ascii="Arial" w:hAnsi="Arial" w:cs="Arial"/>
        </w:rPr>
        <w:t xml:space="preserve">.000 </w:t>
      </w:r>
      <w:r w:rsidR="00E12BCA" w:rsidRPr="003470FB">
        <w:rPr>
          <w:rFonts w:ascii="Arial" w:hAnsi="Arial" w:cs="Arial"/>
        </w:rPr>
        <w:t xml:space="preserve">(direct expenses and project administration), or </w:t>
      </w:r>
      <w:r w:rsidR="009E1E7E" w:rsidRPr="003470FB">
        <w:rPr>
          <w:rFonts w:ascii="Arial" w:hAnsi="Arial" w:cs="Arial"/>
        </w:rPr>
        <w:t>20.</w:t>
      </w:r>
      <w:r w:rsidR="00E12BCA" w:rsidRPr="003470FB">
        <w:rPr>
          <w:rFonts w:ascii="Arial" w:hAnsi="Arial" w:cs="Arial"/>
        </w:rPr>
        <w:t>08</w:t>
      </w:r>
      <w:r w:rsidRPr="003470FB">
        <w:rPr>
          <w:rFonts w:ascii="Arial" w:hAnsi="Arial" w:cs="Arial"/>
        </w:rPr>
        <w:t xml:space="preserve">% of the </w:t>
      </w:r>
      <w:r w:rsidR="00E12BCA" w:rsidRPr="003470FB">
        <w:rPr>
          <w:rFonts w:ascii="Arial" w:hAnsi="Arial" w:cs="Arial"/>
        </w:rPr>
        <w:t>full IDB loan</w:t>
      </w:r>
      <w:r w:rsidRPr="003470FB">
        <w:rPr>
          <w:rFonts w:ascii="Arial" w:hAnsi="Arial" w:cs="Arial"/>
        </w:rPr>
        <w:t xml:space="preserve"> have been c</w:t>
      </w:r>
      <w:r w:rsidR="00E12BCA" w:rsidRPr="003470FB">
        <w:rPr>
          <w:rFonts w:ascii="Arial" w:hAnsi="Arial" w:cs="Arial"/>
        </w:rPr>
        <w:t>lassified as adaptation finance.</w:t>
      </w:r>
      <w:bookmarkEnd w:id="3"/>
    </w:p>
    <w:sectPr w:rsidR="006028B2" w:rsidRPr="003470F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737A6" w14:textId="77777777" w:rsidR="00A57005" w:rsidRDefault="00A57005" w:rsidP="0082530C">
      <w:pPr>
        <w:spacing w:after="0" w:line="240" w:lineRule="auto"/>
      </w:pPr>
      <w:r>
        <w:separator/>
      </w:r>
    </w:p>
  </w:endnote>
  <w:endnote w:type="continuationSeparator" w:id="0">
    <w:p w14:paraId="065036F3" w14:textId="77777777" w:rsidR="00A57005" w:rsidRDefault="00A57005" w:rsidP="00825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04099"/>
      <w:docPartObj>
        <w:docPartGallery w:val="Page Numbers (Bottom of Page)"/>
        <w:docPartUnique/>
      </w:docPartObj>
    </w:sdtPr>
    <w:sdtEndPr>
      <w:rPr>
        <w:noProof/>
      </w:rPr>
    </w:sdtEndPr>
    <w:sdtContent>
      <w:p w14:paraId="229CA4FA" w14:textId="6EABC545" w:rsidR="00742AAA" w:rsidRDefault="00742AAA">
        <w:pPr>
          <w:pStyle w:val="Footer"/>
          <w:jc w:val="center"/>
        </w:pPr>
        <w:r>
          <w:fldChar w:fldCharType="begin"/>
        </w:r>
        <w:r>
          <w:instrText xml:space="preserve"> PAGE   \* MERGEFORMAT </w:instrText>
        </w:r>
        <w:r>
          <w:fldChar w:fldCharType="separate"/>
        </w:r>
        <w:r w:rsidR="00C347D0">
          <w:rPr>
            <w:noProof/>
          </w:rPr>
          <w:t>1</w:t>
        </w:r>
        <w:r>
          <w:rPr>
            <w:noProof/>
          </w:rPr>
          <w:fldChar w:fldCharType="end"/>
        </w:r>
      </w:p>
    </w:sdtContent>
  </w:sdt>
  <w:p w14:paraId="6E71DCC0" w14:textId="77777777" w:rsidR="00742AAA" w:rsidRDefault="00742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8EDE7" w14:textId="77777777" w:rsidR="00A57005" w:rsidRDefault="00A57005" w:rsidP="0082530C">
      <w:pPr>
        <w:spacing w:after="0" w:line="240" w:lineRule="auto"/>
      </w:pPr>
      <w:r>
        <w:separator/>
      </w:r>
    </w:p>
  </w:footnote>
  <w:footnote w:type="continuationSeparator" w:id="0">
    <w:p w14:paraId="2EE9CD7F" w14:textId="77777777" w:rsidR="00A57005" w:rsidRDefault="00A57005" w:rsidP="0082530C">
      <w:pPr>
        <w:spacing w:after="0" w:line="240" w:lineRule="auto"/>
      </w:pPr>
      <w:r>
        <w:continuationSeparator/>
      </w:r>
    </w:p>
  </w:footnote>
  <w:footnote w:id="1">
    <w:p w14:paraId="4A10D914" w14:textId="541CAC35" w:rsidR="00742AAA" w:rsidRPr="003470FB" w:rsidRDefault="00742AAA" w:rsidP="003470FB">
      <w:pPr>
        <w:spacing w:after="0"/>
        <w:ind w:left="180" w:hanging="180"/>
        <w:rPr>
          <w:rFonts w:ascii="Arial" w:hAnsi="Arial" w:cs="Arial"/>
          <w:i/>
          <w:iCs/>
          <w:color w:val="0000FF"/>
          <w:sz w:val="18"/>
          <w:szCs w:val="18"/>
          <w:u w:val="single"/>
          <w:lang w:val="es-ES_tradnl"/>
        </w:rPr>
      </w:pPr>
      <w:r w:rsidRPr="003470FB">
        <w:rPr>
          <w:rStyle w:val="FootnoteReference"/>
          <w:rFonts w:ascii="Arial" w:hAnsi="Arial" w:cs="Arial"/>
          <w:sz w:val="18"/>
          <w:szCs w:val="18"/>
        </w:rPr>
        <w:footnoteRef/>
      </w:r>
      <w:r w:rsidRPr="003470FB">
        <w:rPr>
          <w:rFonts w:ascii="Arial" w:hAnsi="Arial" w:cs="Arial"/>
          <w:sz w:val="18"/>
          <w:szCs w:val="18"/>
          <w:lang w:val="es-ES_tradnl"/>
        </w:rPr>
        <w:t xml:space="preserve"> </w:t>
      </w:r>
      <w:r w:rsidR="003470FB">
        <w:rPr>
          <w:rFonts w:ascii="Arial" w:hAnsi="Arial" w:cs="Arial"/>
          <w:sz w:val="18"/>
          <w:szCs w:val="18"/>
          <w:lang w:val="es-ES_tradnl"/>
        </w:rPr>
        <w:tab/>
      </w:r>
      <w:hyperlink r:id="rId1" w:history="1">
        <w:r w:rsidRPr="003470FB">
          <w:rPr>
            <w:rFonts w:ascii="Arial" w:hAnsi="Arial" w:cs="Arial"/>
            <w:i/>
            <w:iCs/>
            <w:color w:val="0000FF"/>
            <w:sz w:val="18"/>
            <w:szCs w:val="18"/>
            <w:u w:val="single"/>
            <w:lang w:val="es-ES_tradnl"/>
          </w:rPr>
          <w:t>metodología conjunta de los BMD de estimación de financiamiento climático</w:t>
        </w:r>
      </w:hyperlink>
      <w:r w:rsidR="003470FB">
        <w:rPr>
          <w:rFonts w:ascii="Arial" w:hAnsi="Arial" w:cs="Arial"/>
          <w:i/>
          <w:iCs/>
          <w:color w:val="0000FF"/>
          <w:sz w:val="18"/>
          <w:szCs w:val="18"/>
          <w:u w:val="single"/>
          <w:lang w:val="es-ES_tradnl"/>
        </w:rPr>
        <w:t xml:space="preserve"> </w:t>
      </w:r>
      <w:hyperlink r:id="rId2" w:history="1">
        <w:r w:rsidRPr="003470FB">
          <w:rPr>
            <w:rFonts w:ascii="Arial" w:hAnsi="Arial" w:cs="Arial"/>
            <w:sz w:val="18"/>
            <w:szCs w:val="18"/>
            <w:lang w:val="es-ES_tradnl"/>
          </w:rPr>
          <w:t>https://publications.iadb.org/bitstream/handle/11319/7807/2015-Joint-Report-On-Multilateral-Development-Banks-Climate-Finance.pdf?sequence=1&amp;isAllowed=y</w:t>
        </w:r>
      </w:hyperlink>
    </w:p>
  </w:footnote>
  <w:footnote w:id="2">
    <w:p w14:paraId="0364A724" w14:textId="72BE8D84" w:rsidR="00742AAA" w:rsidRPr="003470FB" w:rsidRDefault="00742AAA" w:rsidP="003470FB">
      <w:pPr>
        <w:pStyle w:val="FootnoteText"/>
        <w:ind w:left="180" w:hanging="180"/>
        <w:rPr>
          <w:rFonts w:ascii="Arial" w:hAnsi="Arial" w:cs="Arial"/>
          <w:sz w:val="18"/>
          <w:szCs w:val="18"/>
        </w:rPr>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hAnsi="Arial" w:cs="Arial"/>
          <w:sz w:val="18"/>
          <w:szCs w:val="18"/>
        </w:rPr>
        <w:t xml:space="preserve">Haiti:  Historical and future climatic changes.  IDB, 2015. </w:t>
      </w:r>
    </w:p>
  </w:footnote>
  <w:footnote w:id="3">
    <w:p w14:paraId="476CBF82" w14:textId="49572871" w:rsidR="00742AAA" w:rsidRPr="003470FB" w:rsidRDefault="00742AAA" w:rsidP="003470FB">
      <w:pPr>
        <w:pStyle w:val="NormalWeb"/>
        <w:spacing w:before="0" w:beforeAutospacing="0" w:after="0" w:afterAutospacing="0"/>
        <w:ind w:left="180" w:hanging="180"/>
        <w:rPr>
          <w:rFonts w:ascii="Arial" w:eastAsiaTheme="minorEastAsia" w:hAnsi="Arial" w:cs="Arial"/>
          <w:sz w:val="18"/>
          <w:szCs w:val="18"/>
        </w:rPr>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eastAsiaTheme="minorEastAsia" w:hAnsi="Arial" w:cs="Arial"/>
          <w:sz w:val="18"/>
          <w:szCs w:val="18"/>
        </w:rPr>
        <w:t xml:space="preserve">Data generated by IDB’s hydrologic modelling tool HydroBID, based on Meterological data points used in the NCEP Climate Forecast System Reanalysis (NCEP-CFSR).  </w:t>
      </w:r>
    </w:p>
  </w:footnote>
  <w:footnote w:id="4">
    <w:p w14:paraId="31FBB73E" w14:textId="1A44752C" w:rsidR="00742AAA" w:rsidRPr="00D050C9" w:rsidRDefault="00742AAA" w:rsidP="003470FB">
      <w:pPr>
        <w:pStyle w:val="FootnoteText"/>
        <w:ind w:left="180" w:hanging="180"/>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hAnsi="Arial" w:cs="Arial"/>
          <w:sz w:val="18"/>
          <w:szCs w:val="18"/>
        </w:rPr>
        <w:t>Haiti:  Historical and future climatic changes.  IDB, 2015.</w:t>
      </w:r>
      <w:r>
        <w:t xml:space="preserve"> </w:t>
      </w:r>
    </w:p>
  </w:footnote>
  <w:footnote w:id="5">
    <w:p w14:paraId="20B19746" w14:textId="2ABF33C8" w:rsidR="00742AAA" w:rsidRPr="003470FB" w:rsidRDefault="00742AAA" w:rsidP="003470FB">
      <w:pPr>
        <w:pStyle w:val="FootnoteText"/>
        <w:ind w:left="180" w:hanging="180"/>
        <w:rPr>
          <w:rFonts w:ascii="Arial" w:hAnsi="Arial" w:cs="Arial"/>
          <w:sz w:val="18"/>
          <w:szCs w:val="18"/>
        </w:rPr>
      </w:pPr>
      <w:r w:rsidRPr="003470FB">
        <w:rPr>
          <w:rStyle w:val="FootnoteReference"/>
          <w:rFonts w:ascii="Arial" w:eastAsia="Times New Roman"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hAnsi="Arial" w:cs="Arial"/>
          <w:sz w:val="18"/>
          <w:szCs w:val="18"/>
        </w:rPr>
        <w:t>Data generated by IDB’s HydroBID.</w:t>
      </w:r>
    </w:p>
  </w:footnote>
  <w:footnote w:id="6">
    <w:p w14:paraId="5805126C" w14:textId="787A343B" w:rsidR="00742AAA" w:rsidRPr="003470FB" w:rsidRDefault="00742AAA" w:rsidP="003470FB">
      <w:pPr>
        <w:pStyle w:val="FootnoteText"/>
        <w:ind w:left="180" w:hanging="180"/>
        <w:rPr>
          <w:rFonts w:ascii="Arial" w:hAnsi="Arial" w:cs="Arial"/>
          <w:sz w:val="18"/>
          <w:szCs w:val="18"/>
        </w:rPr>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hAnsi="Arial" w:cs="Arial"/>
          <w:sz w:val="18"/>
          <w:szCs w:val="18"/>
        </w:rPr>
        <w:t xml:space="preserve">Haiti:  Historical and future climatic changes.  IDB, 2015. </w:t>
      </w:r>
    </w:p>
  </w:footnote>
  <w:footnote w:id="7">
    <w:p w14:paraId="55A0A9B3" w14:textId="3234D92B" w:rsidR="00742AAA" w:rsidRPr="003470FB" w:rsidRDefault="00742AAA" w:rsidP="003470FB">
      <w:pPr>
        <w:pStyle w:val="FootnoteText"/>
        <w:ind w:left="180" w:hanging="180"/>
        <w:rPr>
          <w:rFonts w:ascii="Arial" w:hAnsi="Arial" w:cs="Arial"/>
          <w:sz w:val="18"/>
          <w:szCs w:val="18"/>
        </w:rPr>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hAnsi="Arial" w:cs="Arial"/>
          <w:sz w:val="18"/>
          <w:szCs w:val="18"/>
        </w:rPr>
        <w:t>Haiti:  Historical and future climatic changes.  IDB, 2015. The RCP8.5 combines assumptions about high population and relatively slow income growth with modest rates of technological change and energy intensity improvements, leading in the long term to high energy demand and GHG emissions in absence of climate change policies. Compared to the total set of Representative Concentration Pathways (RCPs), RCP8.5 thus corresponds to the pathway with the highest greenhouse gas emissions.</w:t>
      </w:r>
    </w:p>
  </w:footnote>
  <w:footnote w:id="8">
    <w:p w14:paraId="0F9B2A85" w14:textId="15692CB0" w:rsidR="00742AAA" w:rsidRPr="003470FB" w:rsidRDefault="00742AAA" w:rsidP="003470FB">
      <w:pPr>
        <w:autoSpaceDE w:val="0"/>
        <w:autoSpaceDN w:val="0"/>
        <w:adjustRightInd w:val="0"/>
        <w:spacing w:after="0" w:line="240" w:lineRule="auto"/>
        <w:ind w:left="180" w:hanging="180"/>
        <w:rPr>
          <w:rFonts w:ascii="Arial" w:hAnsi="Arial" w:cs="Arial"/>
          <w:sz w:val="18"/>
          <w:szCs w:val="18"/>
        </w:rPr>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hyperlink r:id="rId3" w:history="1">
        <w:r w:rsidRPr="003470FB">
          <w:rPr>
            <w:rFonts w:ascii="Arial" w:hAnsi="Arial" w:cs="Arial"/>
            <w:sz w:val="18"/>
            <w:szCs w:val="18"/>
          </w:rPr>
          <w:t>https://data.humdata.org/dataset/accumulated-gpm-imerg-data-for-haiti-hurricane-matthew-october-3-6th-2016</w:t>
        </w:r>
      </w:hyperlink>
    </w:p>
    <w:p w14:paraId="4EBAF8C6" w14:textId="77777777" w:rsidR="00742AAA" w:rsidRPr="003470FB" w:rsidRDefault="00C347D0" w:rsidP="003470FB">
      <w:pPr>
        <w:autoSpaceDE w:val="0"/>
        <w:autoSpaceDN w:val="0"/>
        <w:adjustRightInd w:val="0"/>
        <w:spacing w:after="0" w:line="240" w:lineRule="auto"/>
        <w:ind w:left="180"/>
        <w:rPr>
          <w:rFonts w:ascii="Arial" w:hAnsi="Arial" w:cs="Arial"/>
          <w:sz w:val="18"/>
          <w:szCs w:val="18"/>
        </w:rPr>
      </w:pPr>
      <w:hyperlink r:id="rId4" w:history="1">
        <w:r w:rsidR="00742AAA" w:rsidRPr="003470FB">
          <w:rPr>
            <w:rFonts w:ascii="Arial" w:hAnsi="Arial" w:cs="Arial"/>
            <w:sz w:val="18"/>
            <w:szCs w:val="18"/>
          </w:rPr>
          <w:t>https://www.theguardian.com/world/2016/oct/06/hurricane-matthew-haiti-rescuers-battle-reach-remote-areas</w:t>
        </w:r>
      </w:hyperlink>
    </w:p>
  </w:footnote>
  <w:footnote w:id="9">
    <w:p w14:paraId="75E69034" w14:textId="6A8F879D" w:rsidR="00742AAA" w:rsidRPr="003470FB" w:rsidRDefault="00742AAA" w:rsidP="003470FB">
      <w:pPr>
        <w:pStyle w:val="FootnoteText"/>
        <w:ind w:left="180" w:hanging="180"/>
        <w:rPr>
          <w:rFonts w:ascii="Arial" w:hAnsi="Arial" w:cs="Arial"/>
          <w:sz w:val="18"/>
          <w:szCs w:val="18"/>
        </w:rPr>
      </w:pPr>
      <w:r w:rsidRPr="003470FB">
        <w:rPr>
          <w:rStyle w:val="FootnoteReference"/>
          <w:rFonts w:ascii="Arial" w:hAnsi="Arial" w:cs="Arial"/>
          <w:sz w:val="18"/>
          <w:szCs w:val="18"/>
        </w:rPr>
        <w:footnoteRef/>
      </w:r>
      <w:r w:rsidRPr="003470FB">
        <w:rPr>
          <w:rFonts w:ascii="Arial" w:hAnsi="Arial" w:cs="Arial"/>
          <w:sz w:val="18"/>
          <w:szCs w:val="18"/>
        </w:rPr>
        <w:t xml:space="preserve"> </w:t>
      </w:r>
      <w:r w:rsidR="003470FB">
        <w:rPr>
          <w:rFonts w:ascii="Arial" w:hAnsi="Arial" w:cs="Arial"/>
          <w:sz w:val="18"/>
          <w:szCs w:val="18"/>
        </w:rPr>
        <w:tab/>
      </w:r>
      <w:r w:rsidRPr="003470FB">
        <w:rPr>
          <w:rFonts w:ascii="Arial" w:hAnsi="Arial" w:cs="Arial"/>
          <w:sz w:val="18"/>
          <w:szCs w:val="18"/>
        </w:rPr>
        <w:t xml:space="preserve">Haiti:  Historical and future climatic changes.  IDB, 2015.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1588"/>
    <w:multiLevelType w:val="hybridMultilevel"/>
    <w:tmpl w:val="28EE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A2B35"/>
    <w:multiLevelType w:val="multilevel"/>
    <w:tmpl w:val="DE1C52CC"/>
    <w:lvl w:ilvl="0">
      <w:start w:val="1"/>
      <w:numFmt w:val="upperRoman"/>
      <w:lvlRestart w:val="0"/>
      <w:pStyle w:val="Chapter"/>
      <w:lvlText w:val="%1."/>
      <w:lvlJc w:val="center"/>
      <w:pPr>
        <w:tabs>
          <w:tab w:val="num" w:pos="1800"/>
        </w:tabs>
        <w:ind w:left="1152" w:firstLine="288"/>
      </w:pPr>
      <w:rPr>
        <w:rFonts w:hint="default"/>
        <w:b/>
        <w:i w:val="0"/>
        <w:sz w:val="24"/>
        <w:szCs w:val="24"/>
      </w:rPr>
    </w:lvl>
    <w:lvl w:ilvl="1">
      <w:start w:val="1"/>
      <w:numFmt w:val="decimal"/>
      <w:pStyle w:val="Paragraph"/>
      <w:isLgl/>
      <w:lvlText w:val="%1.%2"/>
      <w:lvlJc w:val="left"/>
      <w:pPr>
        <w:tabs>
          <w:tab w:val="num" w:pos="3006"/>
        </w:tabs>
        <w:ind w:left="3006" w:hanging="1296"/>
      </w:pPr>
      <w:rPr>
        <w:rFonts w:ascii="Arial" w:hAnsi="Arial" w:cs="Arial" w:hint="default"/>
        <w:b w:val="0"/>
        <w:sz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 w15:restartNumberingAfterBreak="0">
    <w:nsid w:val="205F23B9"/>
    <w:multiLevelType w:val="hybridMultilevel"/>
    <w:tmpl w:val="ADF65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E44161"/>
    <w:multiLevelType w:val="hybridMultilevel"/>
    <w:tmpl w:val="B270E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036063"/>
    <w:multiLevelType w:val="hybridMultilevel"/>
    <w:tmpl w:val="9864DC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D56064"/>
    <w:multiLevelType w:val="hybridMultilevel"/>
    <w:tmpl w:val="9B6A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26296B"/>
    <w:multiLevelType w:val="hybridMultilevel"/>
    <w:tmpl w:val="CAACC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F722A0"/>
    <w:multiLevelType w:val="hybridMultilevel"/>
    <w:tmpl w:val="1F8CBB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120953"/>
    <w:multiLevelType w:val="hybridMultilevel"/>
    <w:tmpl w:val="2B0E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1"/>
  </w:num>
  <w:num w:numId="5">
    <w:abstractNumId w:val="3"/>
  </w:num>
  <w:num w:numId="6">
    <w:abstractNumId w:val="0"/>
  </w:num>
  <w:num w:numId="7">
    <w:abstractNumId w:val="7"/>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64"/>
    <w:rsid w:val="00042963"/>
    <w:rsid w:val="00051C75"/>
    <w:rsid w:val="00053623"/>
    <w:rsid w:val="0007787B"/>
    <w:rsid w:val="000A243D"/>
    <w:rsid w:val="000C6A57"/>
    <w:rsid w:val="000E320C"/>
    <w:rsid w:val="0015673F"/>
    <w:rsid w:val="00171D15"/>
    <w:rsid w:val="0018350B"/>
    <w:rsid w:val="002A57F1"/>
    <w:rsid w:val="003470FB"/>
    <w:rsid w:val="003C5FF2"/>
    <w:rsid w:val="003D6FC5"/>
    <w:rsid w:val="004C195A"/>
    <w:rsid w:val="004C281C"/>
    <w:rsid w:val="004F055D"/>
    <w:rsid w:val="004F58E3"/>
    <w:rsid w:val="00583F38"/>
    <w:rsid w:val="006028B2"/>
    <w:rsid w:val="00631030"/>
    <w:rsid w:val="006E4B38"/>
    <w:rsid w:val="006E7DB4"/>
    <w:rsid w:val="00713544"/>
    <w:rsid w:val="00714A99"/>
    <w:rsid w:val="00742AAA"/>
    <w:rsid w:val="00766B24"/>
    <w:rsid w:val="00783B04"/>
    <w:rsid w:val="00791E46"/>
    <w:rsid w:val="007E042D"/>
    <w:rsid w:val="00805A12"/>
    <w:rsid w:val="00806CA2"/>
    <w:rsid w:val="0081395B"/>
    <w:rsid w:val="0082530C"/>
    <w:rsid w:val="0086616E"/>
    <w:rsid w:val="00883F0C"/>
    <w:rsid w:val="008C62C6"/>
    <w:rsid w:val="008C6431"/>
    <w:rsid w:val="00900B0D"/>
    <w:rsid w:val="009046B8"/>
    <w:rsid w:val="009605FF"/>
    <w:rsid w:val="009B5766"/>
    <w:rsid w:val="009E1E7E"/>
    <w:rsid w:val="00A00F85"/>
    <w:rsid w:val="00A40B24"/>
    <w:rsid w:val="00A51D04"/>
    <w:rsid w:val="00A57005"/>
    <w:rsid w:val="00AA7EB9"/>
    <w:rsid w:val="00AC1ADE"/>
    <w:rsid w:val="00AF2FD2"/>
    <w:rsid w:val="00B26E88"/>
    <w:rsid w:val="00B46E60"/>
    <w:rsid w:val="00B77733"/>
    <w:rsid w:val="00BD4766"/>
    <w:rsid w:val="00BE3F9C"/>
    <w:rsid w:val="00C22AA9"/>
    <w:rsid w:val="00C347D0"/>
    <w:rsid w:val="00C5238A"/>
    <w:rsid w:val="00C75A64"/>
    <w:rsid w:val="00C81C99"/>
    <w:rsid w:val="00C85E95"/>
    <w:rsid w:val="00C872E7"/>
    <w:rsid w:val="00CF4545"/>
    <w:rsid w:val="00DE3EF7"/>
    <w:rsid w:val="00DF370E"/>
    <w:rsid w:val="00DF3FD6"/>
    <w:rsid w:val="00E12BCA"/>
    <w:rsid w:val="00E54225"/>
    <w:rsid w:val="00EA63D7"/>
    <w:rsid w:val="00F126B1"/>
    <w:rsid w:val="00F21AAA"/>
    <w:rsid w:val="00F3645A"/>
    <w:rsid w:val="00F444DF"/>
    <w:rsid w:val="00F451F8"/>
    <w:rsid w:val="00FA62A3"/>
    <w:rsid w:val="00FE6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D639E"/>
  <w15:chartTrackingRefBased/>
  <w15:docId w15:val="{A0058B2E-810D-497B-AE26-FCEFE39E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28B2"/>
    <w:rPr>
      <w:color w:val="0563C1" w:themeColor="hyperlink"/>
      <w:u w:val="single"/>
    </w:rPr>
  </w:style>
  <w:style w:type="character" w:customStyle="1" w:styleId="UnresolvedMention1">
    <w:name w:val="Unresolved Mention1"/>
    <w:basedOn w:val="DefaultParagraphFont"/>
    <w:uiPriority w:val="99"/>
    <w:semiHidden/>
    <w:unhideWhenUsed/>
    <w:rsid w:val="006028B2"/>
    <w:rPr>
      <w:color w:val="808080"/>
      <w:shd w:val="clear" w:color="auto" w:fill="E6E6E6"/>
    </w:rPr>
  </w:style>
  <w:style w:type="paragraph" w:styleId="FootnoteText">
    <w:name w:val="footnote text"/>
    <w:aliases w:val="fn,texto de nota al pie,Nota a pie/Bibliog,footnote,foottextfra,F,Texto,nota,pie,Ref.,al,Texto nota pie IIRSA,ADB,single space,FOOTNOTES,Fußnotentext Char,Footnote text,ft,Footnote Text Char2 Char,Footnote Text Char1 Char Char,Fußnotentext"/>
    <w:basedOn w:val="Normal"/>
    <w:link w:val="FootnoteTextChar"/>
    <w:unhideWhenUsed/>
    <w:rsid w:val="0082530C"/>
    <w:pPr>
      <w:spacing w:after="0" w:line="240" w:lineRule="auto"/>
    </w:pPr>
    <w:rPr>
      <w:sz w:val="20"/>
      <w:szCs w:val="20"/>
    </w:rPr>
  </w:style>
  <w:style w:type="character" w:customStyle="1" w:styleId="FootnoteTextChar">
    <w:name w:val="Footnote Text Char"/>
    <w:aliases w:val="fn Char,texto de nota al pie Char,Nota a pie/Bibliog Char,footnote Char,foottextfra Char,F Char,Texto Char,nota Char,pie Char,Ref. Char,al Char,Texto nota pie IIRSA Char,ADB Char,single space Char,FOOTNOTES Char,Fußnotentext Char Char"/>
    <w:basedOn w:val="DefaultParagraphFont"/>
    <w:link w:val="FootnoteText"/>
    <w:rsid w:val="0082530C"/>
    <w:rPr>
      <w:sz w:val="20"/>
      <w:szCs w:val="20"/>
    </w:rPr>
  </w:style>
  <w:style w:type="character" w:styleId="FootnoteReference">
    <w:name w:val="footnote reference"/>
    <w:aliases w:val="ftref,16 Point,Superscript 6 Point,Ref,de nota al pie,referencia nota al pie,(Ref. de nota al pie),Fußnotenzeichen DISS,FC,Style 24,BVI fnr, BVI fnr,Знак сноски 1"/>
    <w:basedOn w:val="DefaultParagraphFont"/>
    <w:unhideWhenUsed/>
    <w:rsid w:val="0082530C"/>
    <w:rPr>
      <w:vertAlign w:val="superscript"/>
    </w:rPr>
  </w:style>
  <w:style w:type="paragraph" w:styleId="ListParagraph">
    <w:name w:val="List Paragraph"/>
    <w:basedOn w:val="Normal"/>
    <w:uiPriority w:val="34"/>
    <w:qFormat/>
    <w:rsid w:val="00F444DF"/>
    <w:pPr>
      <w:ind w:left="720"/>
      <w:contextualSpacing/>
    </w:pPr>
  </w:style>
  <w:style w:type="paragraph" w:customStyle="1" w:styleId="Chapter">
    <w:name w:val="Chapter"/>
    <w:basedOn w:val="Normal"/>
    <w:next w:val="Normal"/>
    <w:rsid w:val="003C5FF2"/>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eastAsia="en-US"/>
    </w:rPr>
  </w:style>
  <w:style w:type="paragraph" w:customStyle="1" w:styleId="Paragraph">
    <w:name w:val="Paragraph"/>
    <w:aliases w:val="paragraph,p,PARAGRAPH,PG,pa,at"/>
    <w:basedOn w:val="BodyTextIndent"/>
    <w:link w:val="ParagraphChar"/>
    <w:qFormat/>
    <w:rsid w:val="003C5FF2"/>
    <w:pPr>
      <w:numPr>
        <w:ilvl w:val="1"/>
        <w:numId w:val="2"/>
      </w:numPr>
      <w:spacing w:before="120" w:line="240" w:lineRule="auto"/>
      <w:jc w:val="both"/>
      <w:outlineLvl w:val="1"/>
    </w:pPr>
    <w:rPr>
      <w:rFonts w:ascii="Times New Roman" w:eastAsia="Times New Roman" w:hAnsi="Times New Roman" w:cs="Times New Roman"/>
      <w:sz w:val="24"/>
      <w:szCs w:val="20"/>
      <w:lang w:val="es-ES_tradnl" w:eastAsia="en-US"/>
    </w:rPr>
  </w:style>
  <w:style w:type="paragraph" w:customStyle="1" w:styleId="subpar">
    <w:name w:val="subpar"/>
    <w:basedOn w:val="BodyTextIndent3"/>
    <w:rsid w:val="003C5FF2"/>
    <w:pPr>
      <w:numPr>
        <w:ilvl w:val="2"/>
        <w:numId w:val="2"/>
      </w:numPr>
      <w:tabs>
        <w:tab w:val="clear" w:pos="2304"/>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eastAsia="en-US"/>
    </w:rPr>
  </w:style>
  <w:style w:type="paragraph" w:customStyle="1" w:styleId="SubSubPar">
    <w:name w:val="SubSubPar"/>
    <w:basedOn w:val="subpar"/>
    <w:rsid w:val="003C5FF2"/>
    <w:pPr>
      <w:numPr>
        <w:ilvl w:val="3"/>
      </w:numPr>
      <w:tabs>
        <w:tab w:val="clear" w:pos="2736"/>
        <w:tab w:val="left" w:pos="0"/>
        <w:tab w:val="num" w:pos="360"/>
        <w:tab w:val="num" w:pos="1296"/>
      </w:tabs>
    </w:pPr>
  </w:style>
  <w:style w:type="character" w:customStyle="1" w:styleId="ParagraphChar">
    <w:name w:val="Paragraph Char"/>
    <w:aliases w:val="paragraph Char,p Char,PARAGRAPH Char,PG Char,pa Char,at Char"/>
    <w:link w:val="Paragraph"/>
    <w:locked/>
    <w:rsid w:val="003C5FF2"/>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3C5FF2"/>
    <w:pPr>
      <w:spacing w:after="120"/>
      <w:ind w:left="360"/>
    </w:pPr>
  </w:style>
  <w:style w:type="character" w:customStyle="1" w:styleId="BodyTextIndentChar">
    <w:name w:val="Body Text Indent Char"/>
    <w:basedOn w:val="DefaultParagraphFont"/>
    <w:link w:val="BodyTextIndent"/>
    <w:uiPriority w:val="99"/>
    <w:semiHidden/>
    <w:rsid w:val="003C5FF2"/>
  </w:style>
  <w:style w:type="paragraph" w:styleId="BodyTextIndent3">
    <w:name w:val="Body Text Indent 3"/>
    <w:basedOn w:val="Normal"/>
    <w:link w:val="BodyTextIndent3Char"/>
    <w:uiPriority w:val="99"/>
    <w:semiHidden/>
    <w:unhideWhenUsed/>
    <w:rsid w:val="003C5FF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C5FF2"/>
    <w:rPr>
      <w:sz w:val="16"/>
      <w:szCs w:val="16"/>
    </w:rPr>
  </w:style>
  <w:style w:type="paragraph" w:styleId="Header">
    <w:name w:val="header"/>
    <w:basedOn w:val="Normal"/>
    <w:link w:val="HeaderChar"/>
    <w:uiPriority w:val="99"/>
    <w:unhideWhenUsed/>
    <w:rsid w:val="00FA62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2A3"/>
  </w:style>
  <w:style w:type="paragraph" w:styleId="Footer">
    <w:name w:val="footer"/>
    <w:basedOn w:val="Normal"/>
    <w:link w:val="FooterChar"/>
    <w:uiPriority w:val="99"/>
    <w:unhideWhenUsed/>
    <w:rsid w:val="00FA62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2A3"/>
  </w:style>
  <w:style w:type="paragraph" w:styleId="BalloonText">
    <w:name w:val="Balloon Text"/>
    <w:basedOn w:val="Normal"/>
    <w:link w:val="BalloonTextChar"/>
    <w:uiPriority w:val="99"/>
    <w:semiHidden/>
    <w:unhideWhenUsed/>
    <w:rsid w:val="000A24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43D"/>
    <w:rPr>
      <w:rFonts w:ascii="Segoe UI" w:hAnsi="Segoe UI" w:cs="Segoe UI"/>
      <w:sz w:val="18"/>
      <w:szCs w:val="18"/>
    </w:rPr>
  </w:style>
  <w:style w:type="paragraph" w:customStyle="1" w:styleId="Default">
    <w:name w:val="Default"/>
    <w:rsid w:val="000A243D"/>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71354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A57F1"/>
    <w:rPr>
      <w:sz w:val="16"/>
      <w:szCs w:val="16"/>
    </w:rPr>
  </w:style>
  <w:style w:type="paragraph" w:styleId="CommentText">
    <w:name w:val="annotation text"/>
    <w:basedOn w:val="Normal"/>
    <w:link w:val="CommentTextChar"/>
    <w:uiPriority w:val="99"/>
    <w:semiHidden/>
    <w:unhideWhenUsed/>
    <w:rsid w:val="002A57F1"/>
    <w:pPr>
      <w:spacing w:line="240" w:lineRule="auto"/>
    </w:pPr>
    <w:rPr>
      <w:sz w:val="20"/>
      <w:szCs w:val="20"/>
    </w:rPr>
  </w:style>
  <w:style w:type="character" w:customStyle="1" w:styleId="CommentTextChar">
    <w:name w:val="Comment Text Char"/>
    <w:basedOn w:val="DefaultParagraphFont"/>
    <w:link w:val="CommentText"/>
    <w:uiPriority w:val="99"/>
    <w:semiHidden/>
    <w:rsid w:val="002A57F1"/>
    <w:rPr>
      <w:sz w:val="20"/>
      <w:szCs w:val="20"/>
    </w:rPr>
  </w:style>
  <w:style w:type="paragraph" w:styleId="CommentSubject">
    <w:name w:val="annotation subject"/>
    <w:basedOn w:val="CommentText"/>
    <w:next w:val="CommentText"/>
    <w:link w:val="CommentSubjectChar"/>
    <w:uiPriority w:val="99"/>
    <w:semiHidden/>
    <w:unhideWhenUsed/>
    <w:rsid w:val="002A57F1"/>
    <w:rPr>
      <w:b/>
      <w:bCs/>
    </w:rPr>
  </w:style>
  <w:style w:type="character" w:customStyle="1" w:styleId="CommentSubjectChar">
    <w:name w:val="Comment Subject Char"/>
    <w:basedOn w:val="CommentTextChar"/>
    <w:link w:val="CommentSubject"/>
    <w:uiPriority w:val="99"/>
    <w:semiHidden/>
    <w:rsid w:val="002A57F1"/>
    <w:rPr>
      <w:b/>
      <w:bCs/>
      <w:sz w:val="20"/>
      <w:szCs w:val="20"/>
    </w:rPr>
  </w:style>
  <w:style w:type="paragraph" w:styleId="Revision">
    <w:name w:val="Revision"/>
    <w:hidden/>
    <w:uiPriority w:val="99"/>
    <w:semiHidden/>
    <w:rsid w:val="00A00F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78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ata.humdata.org/dataset/accumulated-gpm-imerg-data-for-haiti-hurricane-matthew-october-3-6th-2016" TargetMode="External"/><Relationship Id="rId2" Type="http://schemas.openxmlformats.org/officeDocument/2006/relationships/hyperlink" Target="https://publications.iadb.org/bitstream/handle/11319/7807/2015-Joint-Report-On-Multilateral-Development-Banks-Climate-Finance.pdf?sequence=1&amp;isAllowed=y" TargetMode="External"/><Relationship Id="rId1" Type="http://schemas.openxmlformats.org/officeDocument/2006/relationships/hyperlink" Target="https://publications.iadb.org/handle/11319/7807" TargetMode="External"/><Relationship Id="rId4" Type="http://schemas.openxmlformats.org/officeDocument/2006/relationships/hyperlink" Target="https://www.theguardian.com/world/2016/oct/06/hurricane-matthew-haiti-rescuers-battle-reach-remote-ar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ECDD7-2E31-4465-9393-17F77077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1565</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 David</dc:creator>
  <cp:keywords/>
  <dc:description/>
  <cp:lastModifiedBy>Cartin Barrios, Irene</cp:lastModifiedBy>
  <cp:revision>2</cp:revision>
  <cp:lastPrinted>2017-09-06T15:43:00Z</cp:lastPrinted>
  <dcterms:created xsi:type="dcterms:W3CDTF">2017-10-12T15:08:00Z</dcterms:created>
  <dcterms:modified xsi:type="dcterms:W3CDTF">2017-10-12T15:08:00Z</dcterms:modified>
</cp:coreProperties>
</file>