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103F9A" w14:textId="77777777" w:rsidR="00CC3023" w:rsidRPr="00B34A82" w:rsidRDefault="00A123B3" w:rsidP="00A11679">
      <w:pPr>
        <w:jc w:val="center"/>
        <w:rPr>
          <w:rFonts w:ascii="Arial" w:hAnsi="Arial" w:cs="Arial"/>
          <w:b/>
          <w:sz w:val="20"/>
          <w:szCs w:val="20"/>
          <w:lang w:val="en-US"/>
        </w:rPr>
      </w:pPr>
      <w:bookmarkStart w:id="0" w:name="_GoBack"/>
      <w:bookmarkEnd w:id="0"/>
      <w:r w:rsidRPr="00B34A82">
        <w:rPr>
          <w:rFonts w:ascii="Arial" w:hAnsi="Arial" w:cs="Arial"/>
          <w:b/>
          <w:sz w:val="20"/>
          <w:szCs w:val="20"/>
          <w:lang w:val="en-US"/>
        </w:rPr>
        <w:t>HA-L1103</w:t>
      </w:r>
    </w:p>
    <w:p w14:paraId="00103F9B" w14:textId="77777777" w:rsidR="00C24F58" w:rsidRPr="00B34A82" w:rsidRDefault="006247B0" w:rsidP="00A11679">
      <w:pPr>
        <w:jc w:val="center"/>
        <w:rPr>
          <w:rFonts w:ascii="Arial" w:hAnsi="Arial" w:cs="Arial"/>
          <w:b/>
          <w:sz w:val="20"/>
          <w:szCs w:val="20"/>
          <w:lang w:val="en-US"/>
        </w:rPr>
      </w:pPr>
      <w:r w:rsidRPr="00B34A82">
        <w:rPr>
          <w:rFonts w:ascii="Arial" w:hAnsi="Arial" w:cs="Arial"/>
          <w:b/>
          <w:sz w:val="20"/>
          <w:szCs w:val="20"/>
          <w:lang w:val="en-US"/>
        </w:rPr>
        <w:t>JUSTIFICA</w:t>
      </w:r>
      <w:r w:rsidR="00A123B3" w:rsidRPr="00B34A82">
        <w:rPr>
          <w:rFonts w:ascii="Arial" w:hAnsi="Arial" w:cs="Arial"/>
          <w:b/>
          <w:sz w:val="20"/>
          <w:szCs w:val="20"/>
          <w:lang w:val="en-US"/>
        </w:rPr>
        <w:t>TION FOR THE LEGAL CONDITIONS INCLUDED IN THE ESMR</w:t>
      </w:r>
    </w:p>
    <w:p w14:paraId="00103F9C" w14:textId="77777777" w:rsidR="00A11679" w:rsidRPr="00B34A82" w:rsidRDefault="00A11679">
      <w:pPr>
        <w:rPr>
          <w:rFonts w:ascii="Arial" w:hAnsi="Arial" w:cs="Arial"/>
          <w:sz w:val="20"/>
          <w:szCs w:val="20"/>
          <w:lang w:val="en-US"/>
        </w:rPr>
      </w:pPr>
    </w:p>
    <w:tbl>
      <w:tblPr>
        <w:tblStyle w:val="TableGrid"/>
        <w:tblW w:w="7278" w:type="dxa"/>
        <w:jc w:val="center"/>
        <w:tblLook w:val="04A0" w:firstRow="1" w:lastRow="0" w:firstColumn="1" w:lastColumn="0" w:noHBand="0" w:noVBand="1"/>
      </w:tblPr>
      <w:tblGrid>
        <w:gridCol w:w="4585"/>
        <w:gridCol w:w="2693"/>
      </w:tblGrid>
      <w:tr w:rsidR="00A123B3" w:rsidRPr="00B34A82" w14:paraId="00103F9F" w14:textId="77777777" w:rsidTr="00B34A82">
        <w:trPr>
          <w:trHeight w:val="372"/>
          <w:jc w:val="center"/>
        </w:trPr>
        <w:tc>
          <w:tcPr>
            <w:tcW w:w="4585" w:type="dxa"/>
            <w:shd w:val="clear" w:color="auto" w:fill="D0CECE" w:themeFill="background2" w:themeFillShade="E6"/>
            <w:vAlign w:val="center"/>
          </w:tcPr>
          <w:p w14:paraId="00103F9D" w14:textId="77777777" w:rsidR="00A123B3" w:rsidRPr="00B34A82" w:rsidRDefault="00A123B3" w:rsidP="00AD0183">
            <w:pPr>
              <w:jc w:val="center"/>
              <w:rPr>
                <w:rFonts w:ascii="Arial" w:hAnsi="Arial" w:cs="Arial"/>
                <w:b/>
                <w:smallCaps/>
                <w:sz w:val="20"/>
                <w:szCs w:val="20"/>
                <w:highlight w:val="lightGray"/>
                <w:lang w:val="es-ES_tradnl"/>
              </w:rPr>
            </w:pPr>
            <w:r w:rsidRPr="00B34A82">
              <w:rPr>
                <w:rFonts w:ascii="Arial" w:hAnsi="Arial" w:cs="Arial"/>
                <w:b/>
                <w:smallCaps/>
                <w:sz w:val="20"/>
                <w:szCs w:val="20"/>
                <w:highlight w:val="lightGray"/>
                <w:lang w:val="es-ES_tradnl"/>
              </w:rPr>
              <w:t>CONDITIO</w:t>
            </w:r>
          </w:p>
        </w:tc>
        <w:tc>
          <w:tcPr>
            <w:tcW w:w="2693" w:type="dxa"/>
            <w:shd w:val="clear" w:color="auto" w:fill="D0CECE" w:themeFill="background2" w:themeFillShade="E6"/>
            <w:vAlign w:val="center"/>
          </w:tcPr>
          <w:p w14:paraId="00103F9E" w14:textId="77777777" w:rsidR="00A123B3" w:rsidRPr="00B34A82" w:rsidRDefault="00A123B3" w:rsidP="00AD0183">
            <w:pPr>
              <w:jc w:val="center"/>
              <w:rPr>
                <w:rFonts w:ascii="Arial" w:hAnsi="Arial" w:cs="Arial"/>
                <w:b/>
                <w:smallCaps/>
                <w:sz w:val="20"/>
                <w:szCs w:val="20"/>
                <w:highlight w:val="lightGray"/>
                <w:lang w:val="es-ES_tradnl"/>
              </w:rPr>
            </w:pPr>
            <w:r w:rsidRPr="00B34A82">
              <w:rPr>
                <w:rFonts w:ascii="Arial" w:hAnsi="Arial" w:cs="Arial"/>
                <w:b/>
                <w:smallCaps/>
                <w:sz w:val="20"/>
                <w:szCs w:val="20"/>
                <w:highlight w:val="lightGray"/>
                <w:lang w:val="es-ES_tradnl"/>
              </w:rPr>
              <w:t>JUSTIFICACIÓN</w:t>
            </w:r>
          </w:p>
        </w:tc>
      </w:tr>
      <w:tr w:rsidR="00A123B3" w:rsidRPr="009B245F" w14:paraId="00103FA2" w14:textId="77777777" w:rsidTr="00B34A82">
        <w:trPr>
          <w:jc w:val="center"/>
        </w:trPr>
        <w:tc>
          <w:tcPr>
            <w:tcW w:w="4585" w:type="dxa"/>
            <w:vAlign w:val="center"/>
          </w:tcPr>
          <w:p w14:paraId="00103FA0" w14:textId="1791C7CA" w:rsidR="00A123B3" w:rsidRPr="00B34A82" w:rsidRDefault="009B245F" w:rsidP="009B245F">
            <w:pPr>
              <w:pStyle w:val="ListParagraph"/>
              <w:ind w:left="162"/>
              <w:jc w:val="both"/>
              <w:rPr>
                <w:rFonts w:ascii="Arial" w:hAnsi="Arial" w:cs="Arial"/>
                <w:bCs/>
                <w:sz w:val="20"/>
                <w:szCs w:val="20"/>
                <w:lang w:val="en-US"/>
              </w:rPr>
            </w:pPr>
            <w:r>
              <w:rPr>
                <w:rFonts w:ascii="Arial" w:hAnsi="Arial" w:cs="Arial"/>
                <w:b/>
                <w:color w:val="0070C0"/>
                <w:sz w:val="20"/>
                <w:szCs w:val="20"/>
                <w:lang w:val="en"/>
              </w:rPr>
              <w:t xml:space="preserve">1. </w:t>
            </w:r>
            <w:r w:rsidR="009D71AA" w:rsidRPr="00B34A82">
              <w:rPr>
                <w:rFonts w:ascii="Arial" w:hAnsi="Arial" w:cs="Arial"/>
                <w:b/>
                <w:color w:val="0070C0"/>
                <w:sz w:val="20"/>
                <w:szCs w:val="20"/>
                <w:lang w:val="en"/>
              </w:rPr>
              <w:t>Conditions to be Met Prior to the First Disbursement of the Grant.</w:t>
            </w:r>
            <w:r w:rsidR="009D71AA" w:rsidRPr="00B34A82">
              <w:rPr>
                <w:rFonts w:ascii="Arial" w:hAnsi="Arial" w:cs="Arial"/>
                <w:bCs/>
                <w:sz w:val="20"/>
                <w:szCs w:val="20"/>
                <w:lang w:val="en-US"/>
              </w:rPr>
              <w:t xml:space="preserve">The Beneficiary or the Executing Agency shall present evidence that (a) it has the resources required to implement ESHS requirements; (b) </w:t>
            </w:r>
            <w:r w:rsidR="009D71AA" w:rsidRPr="00B34A82">
              <w:rPr>
                <w:rFonts w:ascii="Arial" w:hAnsi="Arial" w:cs="Arial"/>
                <w:sz w:val="20"/>
                <w:szCs w:val="20"/>
                <w:lang w:val="en-US"/>
              </w:rPr>
              <w:t>that the Executing Agency has put in place the ESHS governance structure, including 1 staff at OREPA Ouest specifically hired for the execution of this Project, and training of staff for monitoring of environmental and social issues; (c)</w:t>
            </w:r>
            <w:r w:rsidR="009D71AA" w:rsidRPr="00B34A82">
              <w:rPr>
                <w:rFonts w:ascii="Arial" w:hAnsi="Arial" w:cs="Arial"/>
                <w:bCs/>
                <w:sz w:val="20"/>
                <w:szCs w:val="20"/>
                <w:lang w:val="en-US"/>
              </w:rPr>
              <w:t xml:space="preserve"> </w:t>
            </w:r>
            <w:r w:rsidR="009D71AA" w:rsidRPr="00B34A82">
              <w:rPr>
                <w:rFonts w:ascii="Arial" w:hAnsi="Arial" w:cs="Arial"/>
                <w:sz w:val="20"/>
                <w:szCs w:val="20"/>
                <w:lang w:val="en"/>
              </w:rPr>
              <w:t>that a stakeholder engagement plan, disaster risk assessment, disaster risk management plan and grievance mechanism have been designed for the construction phase of the Project, in terms agreed upon with the Bank, and has been put in effect and has been integrated in the Operational Manual; and d</w:t>
            </w:r>
            <w:r w:rsidR="009D71AA" w:rsidRPr="00B34A82">
              <w:rPr>
                <w:rFonts w:ascii="Arial" w:hAnsi="Arial" w:cs="Arial"/>
                <w:sz w:val="20"/>
                <w:szCs w:val="20"/>
                <w:lang w:val="en-US"/>
              </w:rPr>
              <w:t xml:space="preserve">) that a socio-economic study has been conducted to determine affordable service rates for water, </w:t>
            </w:r>
            <w:r w:rsidR="009D71AA" w:rsidRPr="00B34A82">
              <w:rPr>
                <w:rFonts w:ascii="Arial" w:hAnsi="Arial" w:cs="Arial"/>
                <w:spacing w:val="-3"/>
                <w:sz w:val="20"/>
                <w:szCs w:val="20"/>
                <w:lang w:val="en-US"/>
              </w:rPr>
              <w:t>e)</w:t>
            </w:r>
            <w:r w:rsidR="009D71AA" w:rsidRPr="00B34A82">
              <w:rPr>
                <w:rFonts w:ascii="Arial" w:hAnsi="Arial" w:cs="Arial"/>
                <w:sz w:val="20"/>
                <w:szCs w:val="20"/>
                <w:lang w:val="en"/>
              </w:rPr>
              <w:t xml:space="preserve">  Prior to  starting works in Diquini  if </w:t>
            </w:r>
            <w:r w:rsidR="009D71AA" w:rsidRPr="00B34A82">
              <w:rPr>
                <w:rFonts w:ascii="Arial" w:hAnsi="Arial" w:cs="Arial"/>
                <w:bCs/>
                <w:sz w:val="20"/>
                <w:szCs w:val="20"/>
                <w:lang w:val="en-US"/>
              </w:rPr>
              <w:t>economic displacement cannot be avoided through identified mitigation measures</w:t>
            </w:r>
            <w:r w:rsidR="009D71AA" w:rsidRPr="00B34A82">
              <w:rPr>
                <w:rFonts w:ascii="Arial" w:hAnsi="Arial" w:cs="Arial"/>
                <w:sz w:val="20"/>
                <w:szCs w:val="20"/>
                <w:lang w:val="en"/>
              </w:rPr>
              <w:t xml:space="preserve"> that livelihood and restoration plan has been prepared and implemented.</w:t>
            </w:r>
            <w:r w:rsidR="00A123B3" w:rsidRPr="00B34A82">
              <w:rPr>
                <w:rFonts w:ascii="Arial" w:hAnsi="Arial" w:cs="Arial"/>
                <w:bCs/>
                <w:sz w:val="20"/>
                <w:szCs w:val="20"/>
                <w:lang w:val="en-US"/>
              </w:rPr>
              <w:t>.</w:t>
            </w:r>
          </w:p>
        </w:tc>
        <w:tc>
          <w:tcPr>
            <w:tcW w:w="2693" w:type="dxa"/>
            <w:vAlign w:val="center"/>
          </w:tcPr>
          <w:p w14:paraId="00103FA1" w14:textId="77777777" w:rsidR="00A123B3" w:rsidRPr="00B34A82" w:rsidRDefault="009D71AA" w:rsidP="00B34A82">
            <w:pPr>
              <w:jc w:val="both"/>
              <w:rPr>
                <w:rFonts w:ascii="Arial" w:hAnsi="Arial" w:cs="Arial"/>
                <w:sz w:val="20"/>
                <w:szCs w:val="20"/>
                <w:lang w:val="en-US"/>
              </w:rPr>
            </w:pPr>
            <w:r w:rsidRPr="00B34A82">
              <w:rPr>
                <w:rFonts w:ascii="Arial" w:hAnsi="Arial" w:cs="Arial"/>
                <w:sz w:val="20"/>
                <w:szCs w:val="20"/>
                <w:lang w:val="en-US"/>
              </w:rPr>
              <w:t>Ensure that (i) the Executing Agency Will have the conditions necessary to assure that the Project will be compliant with the Bank’s environmental and social safeguards policies applicable; and (ii) the project will not start construction without the applicable environmental and social safeguards in place, including required plans. .</w:t>
            </w:r>
            <w:r w:rsidR="00A123B3" w:rsidRPr="00B34A82">
              <w:rPr>
                <w:rFonts w:ascii="Arial" w:hAnsi="Arial" w:cs="Arial"/>
                <w:sz w:val="20"/>
                <w:szCs w:val="20"/>
                <w:lang w:val="en-US"/>
              </w:rPr>
              <w:t>.</w:t>
            </w:r>
          </w:p>
        </w:tc>
      </w:tr>
      <w:tr w:rsidR="00A123B3" w:rsidRPr="009B245F" w14:paraId="00103FA7" w14:textId="77777777" w:rsidTr="00B34A82">
        <w:trPr>
          <w:jc w:val="center"/>
        </w:trPr>
        <w:tc>
          <w:tcPr>
            <w:tcW w:w="4585" w:type="dxa"/>
            <w:vAlign w:val="center"/>
          </w:tcPr>
          <w:p w14:paraId="00103FA3" w14:textId="77777777" w:rsidR="009D71AA" w:rsidRPr="00B34A82" w:rsidRDefault="009D71AA" w:rsidP="009D71AA">
            <w:pPr>
              <w:spacing w:before="120" w:after="120"/>
              <w:jc w:val="both"/>
              <w:rPr>
                <w:rFonts w:ascii="Arial" w:hAnsi="Arial" w:cs="Arial"/>
                <w:b/>
                <w:color w:val="0070C0"/>
                <w:sz w:val="20"/>
                <w:szCs w:val="20"/>
                <w:lang w:val="en"/>
              </w:rPr>
            </w:pPr>
            <w:r w:rsidRPr="00B34A82">
              <w:rPr>
                <w:rFonts w:ascii="Arial" w:hAnsi="Arial" w:cs="Arial"/>
                <w:b/>
                <w:color w:val="0070C0"/>
                <w:sz w:val="20"/>
                <w:szCs w:val="20"/>
                <w:lang w:val="en"/>
              </w:rPr>
              <w:t>2. Conditions of Execution for Compliance During the Execution of the Project.</w:t>
            </w:r>
          </w:p>
          <w:p w14:paraId="00103FA4" w14:textId="77777777" w:rsidR="00A123B3" w:rsidRPr="00B34A82" w:rsidRDefault="009D71AA" w:rsidP="00B34A82">
            <w:pPr>
              <w:jc w:val="both"/>
              <w:rPr>
                <w:rFonts w:ascii="Arial" w:hAnsi="Arial" w:cs="Arial"/>
                <w:sz w:val="20"/>
                <w:szCs w:val="20"/>
                <w:lang w:val="en"/>
              </w:rPr>
            </w:pPr>
            <w:r w:rsidRPr="00B34A82">
              <w:rPr>
                <w:rFonts w:ascii="Arial" w:hAnsi="Arial" w:cs="Arial"/>
                <w:sz w:val="20"/>
                <w:szCs w:val="20"/>
                <w:lang w:val="en-US"/>
              </w:rPr>
              <w:t xml:space="preserve">a) The Beneficiary shall cause the Executing Agency and every other contractor, operator or any other person performing Project related activities to, design, build, operate, maintain and monitor the Project in compliance with: (i) the Bank's environmental and social safeguards policies, as well as their respective implementation guidelines, including: the Access to Information Policy (OP-102), the Environment and Safeguards Compliance Policy (OP-703), and the following, as applicable, the Disaster Risk Management Policy (OP-704); the Involuntary Resettlement Policy (OP-710); the Policy on Gender Equality in Development (OP-761); and the Operational Policy on Indigenous Peoples (OP-765); (ii) the ESHS requirements established by the ESMR, the Project’s Environmental and Social Assessments and the Project EIAs, and all updates agreed to by the Bank; and (iii) any specific ESHS plans, including Corrective Action Plans, (hereinafter, the “environmental and social requirements” or “ESHS requirements”). </w:t>
            </w:r>
            <w:r w:rsidRPr="00B34A82">
              <w:rPr>
                <w:rFonts w:ascii="Arial" w:hAnsi="Arial" w:cs="Arial"/>
                <w:color w:val="000000" w:themeColor="text1"/>
                <w:sz w:val="20"/>
                <w:szCs w:val="20"/>
                <w:lang w:val="en-US"/>
              </w:rPr>
              <w:t xml:space="preserve"> </w:t>
            </w:r>
          </w:p>
        </w:tc>
        <w:tc>
          <w:tcPr>
            <w:tcW w:w="2693" w:type="dxa"/>
            <w:vAlign w:val="center"/>
          </w:tcPr>
          <w:p w14:paraId="00103FA5" w14:textId="77777777" w:rsidR="009D71AA" w:rsidRPr="009D71AA" w:rsidRDefault="009D71AA" w:rsidP="00B34A8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color w:val="212121"/>
                <w:sz w:val="20"/>
                <w:szCs w:val="20"/>
                <w:lang w:val="en-US" w:eastAsia="en-US"/>
              </w:rPr>
            </w:pPr>
            <w:r w:rsidRPr="009D71AA">
              <w:rPr>
                <w:rFonts w:ascii="Arial" w:hAnsi="Arial" w:cs="Arial"/>
                <w:color w:val="212121"/>
                <w:sz w:val="20"/>
                <w:szCs w:val="20"/>
                <w:lang w:val="en" w:eastAsia="en-US"/>
              </w:rPr>
              <w:t>Ensure that the</w:t>
            </w:r>
            <w:r w:rsidRPr="00B34A82">
              <w:rPr>
                <w:rFonts w:ascii="Arial" w:hAnsi="Arial" w:cs="Arial"/>
                <w:color w:val="212121"/>
                <w:sz w:val="20"/>
                <w:szCs w:val="20"/>
                <w:lang w:val="en" w:eastAsia="en-US"/>
              </w:rPr>
              <w:t xml:space="preserve"> E</w:t>
            </w:r>
            <w:r w:rsidRPr="009D71AA">
              <w:rPr>
                <w:rFonts w:ascii="Arial" w:hAnsi="Arial" w:cs="Arial"/>
                <w:color w:val="212121"/>
                <w:sz w:val="20"/>
                <w:szCs w:val="20"/>
                <w:lang w:val="en" w:eastAsia="en-US"/>
              </w:rPr>
              <w:t xml:space="preserve">xecuting </w:t>
            </w:r>
            <w:r w:rsidRPr="00B34A82">
              <w:rPr>
                <w:rFonts w:ascii="Arial" w:hAnsi="Arial" w:cs="Arial"/>
                <w:color w:val="212121"/>
                <w:sz w:val="20"/>
                <w:szCs w:val="20"/>
                <w:lang w:val="en" w:eastAsia="en-US"/>
              </w:rPr>
              <w:t>A</w:t>
            </w:r>
            <w:r w:rsidRPr="009D71AA">
              <w:rPr>
                <w:rFonts w:ascii="Arial" w:hAnsi="Arial" w:cs="Arial"/>
                <w:color w:val="212121"/>
                <w:sz w:val="20"/>
                <w:szCs w:val="20"/>
                <w:lang w:val="en" w:eastAsia="en-US"/>
              </w:rPr>
              <w:t xml:space="preserve">gency will act in accordance with the plans and operational documents approved by the Bank and also mitigate the risk that third parties acting for the Program will </w:t>
            </w:r>
            <w:r w:rsidRPr="00B34A82">
              <w:rPr>
                <w:rFonts w:ascii="Arial" w:hAnsi="Arial" w:cs="Arial"/>
                <w:color w:val="212121"/>
                <w:sz w:val="20"/>
                <w:szCs w:val="20"/>
                <w:lang w:val="en" w:eastAsia="en-US"/>
              </w:rPr>
              <w:t xml:space="preserve">create environmental and social liabilities by acting in a manner that is not consistent </w:t>
            </w:r>
            <w:r w:rsidRPr="009D71AA">
              <w:rPr>
                <w:rFonts w:ascii="Arial" w:hAnsi="Arial" w:cs="Arial"/>
                <w:color w:val="212121"/>
                <w:sz w:val="20"/>
                <w:szCs w:val="20"/>
                <w:lang w:val="en" w:eastAsia="en-US"/>
              </w:rPr>
              <w:t>with the Bank's environmental and social safeguards policies</w:t>
            </w:r>
            <w:r w:rsidRPr="00B34A82">
              <w:rPr>
                <w:rFonts w:ascii="Arial" w:hAnsi="Arial" w:cs="Arial"/>
                <w:color w:val="212121"/>
                <w:sz w:val="20"/>
                <w:szCs w:val="20"/>
                <w:lang w:val="en" w:eastAsia="en-US"/>
              </w:rPr>
              <w:t xml:space="preserve"> and the Project documents approved by the Bank</w:t>
            </w:r>
            <w:r w:rsidRPr="009D71AA">
              <w:rPr>
                <w:rFonts w:ascii="Arial" w:hAnsi="Arial" w:cs="Arial"/>
                <w:color w:val="212121"/>
                <w:sz w:val="20"/>
                <w:szCs w:val="20"/>
                <w:lang w:val="en" w:eastAsia="en-US"/>
              </w:rPr>
              <w:t>.</w:t>
            </w:r>
          </w:p>
          <w:p w14:paraId="00103FA6" w14:textId="77777777" w:rsidR="00A123B3" w:rsidRPr="00B34A82" w:rsidRDefault="00A123B3">
            <w:pPr>
              <w:rPr>
                <w:rFonts w:ascii="Arial" w:hAnsi="Arial" w:cs="Arial"/>
                <w:sz w:val="20"/>
                <w:szCs w:val="20"/>
                <w:lang w:val="en-US"/>
              </w:rPr>
            </w:pPr>
          </w:p>
        </w:tc>
      </w:tr>
      <w:tr w:rsidR="009D71AA" w:rsidRPr="009B245F" w14:paraId="00103FAB" w14:textId="77777777" w:rsidTr="00A123B3">
        <w:trPr>
          <w:jc w:val="center"/>
        </w:trPr>
        <w:tc>
          <w:tcPr>
            <w:tcW w:w="4585" w:type="dxa"/>
            <w:vAlign w:val="center"/>
          </w:tcPr>
          <w:p w14:paraId="00103FA8" w14:textId="77777777" w:rsidR="009D71AA" w:rsidRPr="00B34A82" w:rsidRDefault="009D71AA" w:rsidP="009D71AA">
            <w:pPr>
              <w:pStyle w:val="Default"/>
              <w:jc w:val="both"/>
              <w:rPr>
                <w:rFonts w:ascii="Arial" w:hAnsi="Arial" w:cs="Arial"/>
                <w:color w:val="auto"/>
                <w:sz w:val="20"/>
                <w:szCs w:val="20"/>
                <w:lang w:val="en"/>
              </w:rPr>
            </w:pPr>
            <w:r w:rsidRPr="00B34A82">
              <w:rPr>
                <w:rFonts w:ascii="Arial" w:hAnsi="Arial" w:cs="Arial"/>
                <w:color w:val="000000" w:themeColor="text1"/>
                <w:sz w:val="20"/>
                <w:szCs w:val="20"/>
              </w:rPr>
              <w:lastRenderedPageBreak/>
              <w:t>b)</w:t>
            </w:r>
            <w:r w:rsidRPr="00B34A82">
              <w:rPr>
                <w:rFonts w:ascii="Arial" w:hAnsi="Arial" w:cs="Arial"/>
                <w:color w:val="0070C0"/>
                <w:sz w:val="20"/>
                <w:szCs w:val="20"/>
              </w:rPr>
              <w:t xml:space="preserve"> </w:t>
            </w:r>
            <w:r w:rsidRPr="00B34A82">
              <w:rPr>
                <w:rFonts w:ascii="Arial" w:hAnsi="Arial" w:cs="Arial"/>
                <w:color w:val="auto"/>
                <w:sz w:val="20"/>
                <w:szCs w:val="20"/>
                <w:lang w:val="en"/>
              </w:rPr>
              <w:t xml:space="preserve">Any substantive changes to the ESHS provisions or ESHS plans referred to herein shall be in writing and approved by the Bank in a manner consistent with the Bank's environmental and social safeguards policies. </w:t>
            </w:r>
          </w:p>
          <w:p w14:paraId="00103FA9" w14:textId="77777777" w:rsidR="009D71AA" w:rsidRPr="00B34A82" w:rsidRDefault="009D71AA">
            <w:pPr>
              <w:rPr>
                <w:rFonts w:ascii="Arial" w:hAnsi="Arial" w:cs="Arial"/>
                <w:color w:val="222222"/>
                <w:sz w:val="20"/>
                <w:szCs w:val="20"/>
                <w:lang w:val="en"/>
              </w:rPr>
            </w:pPr>
          </w:p>
        </w:tc>
        <w:tc>
          <w:tcPr>
            <w:tcW w:w="2693" w:type="dxa"/>
            <w:vAlign w:val="center"/>
          </w:tcPr>
          <w:p w14:paraId="00103FAA" w14:textId="77777777" w:rsidR="009D71AA" w:rsidRPr="00B34A82" w:rsidRDefault="00980C40" w:rsidP="00B34A82">
            <w:pPr>
              <w:jc w:val="both"/>
              <w:rPr>
                <w:rFonts w:ascii="Arial" w:hAnsi="Arial" w:cs="Arial"/>
                <w:sz w:val="20"/>
                <w:szCs w:val="20"/>
                <w:lang w:val="en-US"/>
              </w:rPr>
            </w:pPr>
            <w:r w:rsidRPr="00B34A82">
              <w:rPr>
                <w:rFonts w:ascii="Arial" w:hAnsi="Arial" w:cs="Arial"/>
                <w:sz w:val="20"/>
                <w:szCs w:val="20"/>
                <w:lang w:val="en-US"/>
              </w:rPr>
              <w:t xml:space="preserve">Ensure that all changes made in the ESHS plans approved by the Bank will be consistent with the Bank’s </w:t>
            </w:r>
            <w:r w:rsidRPr="009D71AA">
              <w:rPr>
                <w:rFonts w:ascii="Arial" w:hAnsi="Arial" w:cs="Arial"/>
                <w:color w:val="212121"/>
                <w:sz w:val="20"/>
                <w:szCs w:val="20"/>
                <w:lang w:val="en" w:eastAsia="en-US"/>
              </w:rPr>
              <w:t>environmental and social safeguards policies</w:t>
            </w:r>
            <w:r w:rsidRPr="00B34A82">
              <w:rPr>
                <w:rFonts w:ascii="Arial" w:hAnsi="Arial" w:cs="Arial"/>
                <w:color w:val="212121"/>
                <w:sz w:val="20"/>
                <w:szCs w:val="20"/>
                <w:lang w:val="en" w:eastAsia="en-US"/>
              </w:rPr>
              <w:t>.</w:t>
            </w:r>
          </w:p>
        </w:tc>
      </w:tr>
      <w:tr w:rsidR="00980C40" w:rsidRPr="009B245F" w14:paraId="00103FAF" w14:textId="77777777" w:rsidTr="00A123B3">
        <w:trPr>
          <w:jc w:val="center"/>
        </w:trPr>
        <w:tc>
          <w:tcPr>
            <w:tcW w:w="4585" w:type="dxa"/>
            <w:vAlign w:val="center"/>
          </w:tcPr>
          <w:p w14:paraId="00103FAC" w14:textId="77777777" w:rsidR="00980C40" w:rsidRPr="00B34A82" w:rsidRDefault="00980C40" w:rsidP="00980C40">
            <w:pPr>
              <w:pStyle w:val="Default"/>
              <w:jc w:val="both"/>
              <w:rPr>
                <w:rFonts w:ascii="Arial" w:hAnsi="Arial" w:cs="Arial"/>
                <w:color w:val="auto"/>
                <w:sz w:val="20"/>
                <w:szCs w:val="20"/>
              </w:rPr>
            </w:pPr>
            <w:r w:rsidRPr="00B34A82">
              <w:rPr>
                <w:rFonts w:ascii="Arial" w:hAnsi="Arial" w:cs="Arial"/>
                <w:color w:val="auto"/>
                <w:sz w:val="20"/>
                <w:szCs w:val="20"/>
              </w:rPr>
              <w:t>c</w:t>
            </w:r>
            <w:r w:rsidRPr="00B34A82">
              <w:rPr>
                <w:rFonts w:ascii="Arial" w:hAnsi="Arial" w:cs="Arial"/>
                <w:color w:val="auto"/>
                <w:sz w:val="20"/>
                <w:szCs w:val="20"/>
                <w:lang w:val="en"/>
              </w:rPr>
              <w:t xml:space="preserve">) The Executing Agency shall </w:t>
            </w:r>
            <w:r w:rsidRPr="00B34A82">
              <w:rPr>
                <w:rFonts w:ascii="Arial" w:hAnsi="Arial" w:cs="Arial"/>
                <w:color w:val="auto"/>
                <w:sz w:val="20"/>
                <w:szCs w:val="20"/>
              </w:rPr>
              <w:t xml:space="preserve">implement the Project stakeholder engagement processes that are consistent with the recommendations in the Stakeholder Engagement Framework to ensure that affected communities are informed and consulted about </w:t>
            </w:r>
            <w:r w:rsidRPr="00B34A82">
              <w:rPr>
                <w:rFonts w:ascii="Arial" w:hAnsi="Arial" w:cs="Arial"/>
                <w:color w:val="auto"/>
                <w:sz w:val="20"/>
                <w:szCs w:val="20"/>
                <w:lang w:val="en"/>
              </w:rPr>
              <w:t xml:space="preserve">the progress of the work and the ESHS management of the Project and </w:t>
            </w:r>
            <w:r w:rsidRPr="00B34A82">
              <w:rPr>
                <w:rFonts w:ascii="Arial" w:hAnsi="Arial" w:cs="Arial"/>
                <w:color w:val="auto"/>
                <w:sz w:val="20"/>
                <w:szCs w:val="20"/>
              </w:rPr>
              <w:t xml:space="preserve">have access to grievance resolution mechanisms. </w:t>
            </w:r>
          </w:p>
          <w:p w14:paraId="00103FAD" w14:textId="77777777" w:rsidR="00980C40" w:rsidRPr="00B34A82" w:rsidRDefault="00980C40" w:rsidP="009D71AA">
            <w:pPr>
              <w:pStyle w:val="Default"/>
              <w:jc w:val="both"/>
              <w:rPr>
                <w:rFonts w:ascii="Arial" w:hAnsi="Arial" w:cs="Arial"/>
                <w:color w:val="000000" w:themeColor="text1"/>
                <w:sz w:val="20"/>
                <w:szCs w:val="20"/>
              </w:rPr>
            </w:pPr>
          </w:p>
        </w:tc>
        <w:tc>
          <w:tcPr>
            <w:tcW w:w="2693" w:type="dxa"/>
            <w:vAlign w:val="center"/>
          </w:tcPr>
          <w:p w14:paraId="00103FAE" w14:textId="77777777" w:rsidR="00980C40" w:rsidRPr="00B34A82" w:rsidRDefault="00980C40" w:rsidP="00B34A82">
            <w:pPr>
              <w:jc w:val="both"/>
              <w:rPr>
                <w:rFonts w:ascii="Arial" w:hAnsi="Arial" w:cs="Arial"/>
                <w:sz w:val="20"/>
                <w:szCs w:val="20"/>
                <w:lang w:val="en-US"/>
              </w:rPr>
            </w:pPr>
            <w:r w:rsidRPr="00B34A82">
              <w:rPr>
                <w:rFonts w:ascii="Arial" w:hAnsi="Arial" w:cs="Arial"/>
                <w:sz w:val="20"/>
                <w:szCs w:val="20"/>
                <w:lang w:val="en-US"/>
              </w:rPr>
              <w:t xml:space="preserve">Ensure that the Executing Agency will execute the Project in compliance with the consultation and access to grievance mechanisms required in the Bank’s </w:t>
            </w:r>
            <w:r w:rsidRPr="009D71AA">
              <w:rPr>
                <w:rFonts w:ascii="Arial" w:hAnsi="Arial" w:cs="Arial"/>
                <w:color w:val="212121"/>
                <w:sz w:val="20"/>
                <w:szCs w:val="20"/>
                <w:lang w:val="en" w:eastAsia="en-US"/>
              </w:rPr>
              <w:t>environmental and social safeguards policies</w:t>
            </w:r>
            <w:r w:rsidRPr="00B34A82">
              <w:rPr>
                <w:rFonts w:ascii="Arial" w:hAnsi="Arial" w:cs="Arial"/>
                <w:color w:val="212121"/>
                <w:sz w:val="20"/>
                <w:szCs w:val="20"/>
                <w:lang w:val="en" w:eastAsia="en-US"/>
              </w:rPr>
              <w:t xml:space="preserve">, as they are specified in the Project documents approved. </w:t>
            </w:r>
            <w:r w:rsidRPr="00B34A82">
              <w:rPr>
                <w:rFonts w:ascii="Arial" w:hAnsi="Arial" w:cs="Arial"/>
                <w:sz w:val="20"/>
                <w:szCs w:val="20"/>
                <w:lang w:val="en-US"/>
              </w:rPr>
              <w:t xml:space="preserve"> </w:t>
            </w:r>
          </w:p>
        </w:tc>
      </w:tr>
      <w:tr w:rsidR="00D40256" w:rsidRPr="009B245F" w14:paraId="00103FB3" w14:textId="77777777" w:rsidTr="00A123B3">
        <w:trPr>
          <w:jc w:val="center"/>
        </w:trPr>
        <w:tc>
          <w:tcPr>
            <w:tcW w:w="4585" w:type="dxa"/>
            <w:vAlign w:val="center"/>
          </w:tcPr>
          <w:p w14:paraId="00103FB0" w14:textId="77777777" w:rsidR="00D40256" w:rsidRPr="00B34A82" w:rsidRDefault="00D40256" w:rsidP="00D40256">
            <w:pPr>
              <w:pStyle w:val="Default"/>
              <w:jc w:val="both"/>
              <w:rPr>
                <w:rFonts w:ascii="Arial" w:hAnsi="Arial" w:cs="Arial"/>
                <w:color w:val="auto"/>
                <w:sz w:val="20"/>
                <w:szCs w:val="20"/>
              </w:rPr>
            </w:pPr>
            <w:r w:rsidRPr="00B34A82">
              <w:rPr>
                <w:rFonts w:ascii="Arial" w:hAnsi="Arial" w:cs="Arial"/>
                <w:color w:val="auto"/>
                <w:sz w:val="20"/>
                <w:szCs w:val="20"/>
              </w:rPr>
              <w:t xml:space="preserve">d) The Executing agency shall prepare and execute detailed ESMPs for the construction and operational phases of the sample project consistent with the ESMPs that were developed </w:t>
            </w:r>
          </w:p>
          <w:p w14:paraId="00103FB1" w14:textId="77777777" w:rsidR="00D40256" w:rsidRPr="00B34A82" w:rsidRDefault="00D40256" w:rsidP="00980C40">
            <w:pPr>
              <w:pStyle w:val="Default"/>
              <w:jc w:val="both"/>
              <w:rPr>
                <w:rFonts w:ascii="Arial" w:hAnsi="Arial" w:cs="Arial"/>
                <w:color w:val="auto"/>
                <w:sz w:val="20"/>
                <w:szCs w:val="20"/>
              </w:rPr>
            </w:pPr>
          </w:p>
        </w:tc>
        <w:tc>
          <w:tcPr>
            <w:tcW w:w="2693" w:type="dxa"/>
            <w:vAlign w:val="center"/>
          </w:tcPr>
          <w:p w14:paraId="00103FB2" w14:textId="77777777" w:rsidR="00D40256" w:rsidRPr="00B34A82" w:rsidRDefault="00D40256" w:rsidP="00B34A82">
            <w:pPr>
              <w:ind w:right="-24"/>
              <w:rPr>
                <w:rFonts w:ascii="Arial" w:hAnsi="Arial" w:cs="Arial"/>
                <w:sz w:val="20"/>
                <w:szCs w:val="20"/>
                <w:lang w:val="en-US"/>
              </w:rPr>
            </w:pPr>
            <w:r w:rsidRPr="00B34A82">
              <w:rPr>
                <w:rFonts w:ascii="Arial" w:hAnsi="Arial" w:cs="Arial"/>
                <w:sz w:val="20"/>
                <w:szCs w:val="20"/>
                <w:lang w:val="en-US"/>
              </w:rPr>
              <w:t>Ensure that the Executing Agency will implement the Project in compliance with requirements of OP-703/B.5</w:t>
            </w:r>
          </w:p>
        </w:tc>
      </w:tr>
      <w:tr w:rsidR="00D40256" w:rsidRPr="009B245F" w14:paraId="00103FB7" w14:textId="77777777" w:rsidTr="00A123B3">
        <w:trPr>
          <w:jc w:val="center"/>
        </w:trPr>
        <w:tc>
          <w:tcPr>
            <w:tcW w:w="4585" w:type="dxa"/>
            <w:vAlign w:val="center"/>
          </w:tcPr>
          <w:p w14:paraId="00103FB4" w14:textId="77777777" w:rsidR="00D40256" w:rsidRPr="00B34A82" w:rsidRDefault="00D40256" w:rsidP="00D40256">
            <w:pPr>
              <w:pStyle w:val="Default"/>
              <w:jc w:val="both"/>
              <w:rPr>
                <w:rFonts w:ascii="Arial" w:hAnsi="Arial" w:cs="Arial"/>
                <w:sz w:val="20"/>
                <w:szCs w:val="20"/>
              </w:rPr>
            </w:pPr>
            <w:r w:rsidRPr="00B34A82">
              <w:rPr>
                <w:rFonts w:ascii="Arial" w:hAnsi="Arial" w:cs="Arial"/>
                <w:color w:val="auto"/>
                <w:sz w:val="20"/>
                <w:szCs w:val="20"/>
              </w:rPr>
              <w:t>e</w:t>
            </w:r>
            <w:r w:rsidRPr="00B34A82">
              <w:rPr>
                <w:rFonts w:ascii="Arial" w:hAnsi="Arial" w:cs="Arial"/>
                <w:color w:val="auto"/>
                <w:sz w:val="20"/>
                <w:szCs w:val="20"/>
                <w:lang w:val="en"/>
              </w:rPr>
              <w:t xml:space="preserve">) With respect to the Project, the Executing Agency shall notify the Bank in writing within ten (10) days of any (1) potential or actual material noncompliance with the environmental and social requirements; (2) accidents, incidents or other significant events ; (3) significant actual or imminent social conflicts; (4) ESHS regulatory action; or (5) any </w:t>
            </w:r>
            <w:r w:rsidRPr="00B34A82">
              <w:rPr>
                <w:rFonts w:ascii="Arial" w:hAnsi="Arial" w:cs="Arial"/>
                <w:color w:val="auto"/>
                <w:sz w:val="20"/>
                <w:szCs w:val="20"/>
              </w:rPr>
              <w:t>newly identified environmental and social risks and impacts, that may affect the environmental and social aspects of the Operation;</w:t>
            </w:r>
            <w:r w:rsidRPr="00B34A82">
              <w:rPr>
                <w:rFonts w:ascii="Arial" w:hAnsi="Arial" w:cs="Arial"/>
                <w:color w:val="auto"/>
                <w:sz w:val="20"/>
                <w:szCs w:val="20"/>
                <w:lang w:val="en"/>
              </w:rPr>
              <w:t xml:space="preserve"> in each case such notice shall include actions taken or proposed with respect to such events.</w:t>
            </w:r>
          </w:p>
          <w:p w14:paraId="00103FB5" w14:textId="77777777" w:rsidR="00D40256" w:rsidRPr="00B34A82" w:rsidRDefault="00D40256" w:rsidP="00D40256">
            <w:pPr>
              <w:pStyle w:val="Default"/>
              <w:jc w:val="both"/>
              <w:rPr>
                <w:rFonts w:ascii="Arial" w:hAnsi="Arial" w:cs="Arial"/>
                <w:color w:val="auto"/>
                <w:sz w:val="20"/>
                <w:szCs w:val="20"/>
              </w:rPr>
            </w:pPr>
          </w:p>
        </w:tc>
        <w:tc>
          <w:tcPr>
            <w:tcW w:w="2693" w:type="dxa"/>
            <w:vAlign w:val="center"/>
          </w:tcPr>
          <w:p w14:paraId="00103FB6" w14:textId="77777777" w:rsidR="00D40256" w:rsidRPr="00B34A82" w:rsidRDefault="00D40256" w:rsidP="00B34A82">
            <w:pPr>
              <w:jc w:val="both"/>
              <w:rPr>
                <w:rFonts w:ascii="Arial" w:hAnsi="Arial" w:cs="Arial"/>
                <w:sz w:val="20"/>
                <w:szCs w:val="20"/>
                <w:lang w:val="en-US"/>
              </w:rPr>
            </w:pPr>
            <w:r w:rsidRPr="00B34A82">
              <w:rPr>
                <w:rFonts w:ascii="Arial" w:hAnsi="Arial" w:cs="Arial"/>
                <w:sz w:val="20"/>
                <w:szCs w:val="20"/>
                <w:lang w:val="en-US"/>
              </w:rPr>
              <w:t xml:space="preserve">Ensure that the Executing Agency will promptly inform the Bank of any potential risks that could affect the Bank’s reputation or the environmental and social sustainability of the Project. </w:t>
            </w:r>
          </w:p>
        </w:tc>
      </w:tr>
      <w:tr w:rsidR="00D40256" w:rsidRPr="009B245F" w14:paraId="00103FBB" w14:textId="77777777" w:rsidTr="00A123B3">
        <w:trPr>
          <w:jc w:val="center"/>
        </w:trPr>
        <w:tc>
          <w:tcPr>
            <w:tcW w:w="4585" w:type="dxa"/>
            <w:vAlign w:val="center"/>
          </w:tcPr>
          <w:p w14:paraId="00103FB8" w14:textId="77777777" w:rsidR="00D40256" w:rsidRPr="00B34A82" w:rsidRDefault="00DF2CDB" w:rsidP="00D40256">
            <w:pPr>
              <w:tabs>
                <w:tab w:val="left" w:pos="3200"/>
              </w:tabs>
              <w:spacing w:before="120" w:after="120"/>
              <w:jc w:val="both"/>
              <w:rPr>
                <w:rFonts w:ascii="Arial" w:hAnsi="Arial" w:cs="Arial"/>
                <w:sz w:val="20"/>
                <w:szCs w:val="20"/>
                <w:shd w:val="clear" w:color="auto" w:fill="FFFFFF"/>
                <w:lang w:val="en-US"/>
              </w:rPr>
            </w:pPr>
            <w:r w:rsidRPr="00B34A82">
              <w:rPr>
                <w:rFonts w:ascii="Arial" w:hAnsi="Arial" w:cs="Arial"/>
                <w:sz w:val="20"/>
                <w:szCs w:val="20"/>
                <w:lang w:val="en"/>
              </w:rPr>
              <w:t>f</w:t>
            </w:r>
            <w:r w:rsidR="00D40256" w:rsidRPr="00B34A82">
              <w:rPr>
                <w:rFonts w:ascii="Arial" w:hAnsi="Arial" w:cs="Arial"/>
                <w:sz w:val="20"/>
                <w:szCs w:val="20"/>
                <w:lang w:val="en"/>
              </w:rPr>
              <w:t>)</w:t>
            </w:r>
            <w:r w:rsidR="00D40256" w:rsidRPr="00B34A82">
              <w:rPr>
                <w:rFonts w:ascii="Arial" w:hAnsi="Arial" w:cs="Arial"/>
                <w:sz w:val="20"/>
                <w:szCs w:val="20"/>
                <w:shd w:val="clear" w:color="auto" w:fill="FFFFFF"/>
                <w:lang w:val="en-US"/>
              </w:rPr>
              <w:t xml:space="preserve"> A disaster risk management plan be developed prior to commencement of work in Artibonite.</w:t>
            </w:r>
          </w:p>
          <w:p w14:paraId="00103FB9" w14:textId="77777777" w:rsidR="00D40256" w:rsidRPr="00B34A82" w:rsidRDefault="00D40256" w:rsidP="00D40256">
            <w:pPr>
              <w:pStyle w:val="Default"/>
              <w:jc w:val="both"/>
              <w:rPr>
                <w:rFonts w:ascii="Arial" w:hAnsi="Arial" w:cs="Arial"/>
                <w:color w:val="auto"/>
                <w:sz w:val="20"/>
                <w:szCs w:val="20"/>
              </w:rPr>
            </w:pPr>
          </w:p>
        </w:tc>
        <w:tc>
          <w:tcPr>
            <w:tcW w:w="2693" w:type="dxa"/>
            <w:vAlign w:val="center"/>
          </w:tcPr>
          <w:p w14:paraId="00103FBA" w14:textId="77777777" w:rsidR="00D40256" w:rsidRPr="00B34A82" w:rsidRDefault="00D40256" w:rsidP="00B34A82">
            <w:pPr>
              <w:jc w:val="both"/>
              <w:rPr>
                <w:rFonts w:ascii="Arial" w:hAnsi="Arial" w:cs="Arial"/>
                <w:sz w:val="20"/>
                <w:szCs w:val="20"/>
                <w:lang w:val="en-US"/>
              </w:rPr>
            </w:pPr>
            <w:r w:rsidRPr="00B34A82">
              <w:rPr>
                <w:rFonts w:ascii="Arial" w:hAnsi="Arial" w:cs="Arial"/>
                <w:sz w:val="20"/>
                <w:szCs w:val="20"/>
                <w:lang w:val="en-US"/>
              </w:rPr>
              <w:t xml:space="preserve">Ensure that the Project will be compliant with the requirements </w:t>
            </w:r>
            <w:r w:rsidR="00DF2CDB" w:rsidRPr="00B34A82">
              <w:rPr>
                <w:rFonts w:ascii="Arial" w:hAnsi="Arial" w:cs="Arial"/>
                <w:sz w:val="20"/>
                <w:szCs w:val="20"/>
                <w:lang w:val="en-US"/>
              </w:rPr>
              <w:t>of OP</w:t>
            </w:r>
            <w:r w:rsidRPr="00B34A82">
              <w:rPr>
                <w:rFonts w:ascii="Arial" w:hAnsi="Arial" w:cs="Arial"/>
                <w:sz w:val="20"/>
                <w:szCs w:val="20"/>
                <w:lang w:val="en-US"/>
              </w:rPr>
              <w:t>-704.</w:t>
            </w:r>
          </w:p>
        </w:tc>
      </w:tr>
      <w:tr w:rsidR="00D40256" w:rsidRPr="009B245F" w14:paraId="00103FC0" w14:textId="77777777" w:rsidTr="00A123B3">
        <w:trPr>
          <w:jc w:val="center"/>
        </w:trPr>
        <w:tc>
          <w:tcPr>
            <w:tcW w:w="4585" w:type="dxa"/>
            <w:vAlign w:val="center"/>
          </w:tcPr>
          <w:p w14:paraId="00103FBC" w14:textId="77777777" w:rsidR="00DF2CDB" w:rsidRPr="00B34A82" w:rsidRDefault="00DF2CDB" w:rsidP="00DF2CDB">
            <w:pPr>
              <w:spacing w:before="120" w:after="120"/>
              <w:jc w:val="both"/>
              <w:rPr>
                <w:rFonts w:ascii="Arial" w:hAnsi="Arial" w:cs="Arial"/>
                <w:sz w:val="20"/>
                <w:szCs w:val="20"/>
                <w:lang w:val="en"/>
              </w:rPr>
            </w:pPr>
            <w:r w:rsidRPr="00B34A82">
              <w:rPr>
                <w:rFonts w:ascii="Arial" w:hAnsi="Arial" w:cs="Arial"/>
                <w:sz w:val="20"/>
                <w:szCs w:val="20"/>
                <w:lang w:val="en"/>
              </w:rPr>
              <w:t>g) In the event the Bank determines that a Corrective Action Plan (CAP) is required, the Executing Agency shall submit a CAP, including the corresponding schedule and budget, that is satisfactory to the Bank within thirty days of the Bank’s request.</w:t>
            </w:r>
          </w:p>
          <w:p w14:paraId="00103FBD" w14:textId="77777777" w:rsidR="00D40256" w:rsidRPr="00B34A82" w:rsidRDefault="00D40256" w:rsidP="00D40256">
            <w:pPr>
              <w:pStyle w:val="Default"/>
              <w:jc w:val="both"/>
              <w:rPr>
                <w:rFonts w:ascii="Arial" w:hAnsi="Arial" w:cs="Arial"/>
                <w:color w:val="auto"/>
                <w:sz w:val="20"/>
                <w:szCs w:val="20"/>
                <w:lang w:val="en"/>
              </w:rPr>
            </w:pPr>
          </w:p>
        </w:tc>
        <w:tc>
          <w:tcPr>
            <w:tcW w:w="2693" w:type="dxa"/>
            <w:vAlign w:val="center"/>
          </w:tcPr>
          <w:p w14:paraId="00103FBE" w14:textId="77777777" w:rsidR="00DF2CDB" w:rsidRPr="00B34A82" w:rsidRDefault="00DF2CDB" w:rsidP="00B34A82">
            <w:pPr>
              <w:pStyle w:val="HTMLPreformatted"/>
              <w:shd w:val="clear" w:color="auto" w:fill="FFFFFF"/>
              <w:jc w:val="both"/>
              <w:rPr>
                <w:rFonts w:ascii="Arial" w:hAnsi="Arial" w:cs="Arial"/>
                <w:color w:val="212121"/>
              </w:rPr>
            </w:pPr>
            <w:r w:rsidRPr="00B34A82">
              <w:rPr>
                <w:rFonts w:ascii="Arial" w:hAnsi="Arial" w:cs="Arial"/>
                <w:color w:val="212121"/>
                <w:lang w:val="en"/>
              </w:rPr>
              <w:t>Ensure, through a CAP, that the Program will not remain in breach of the Bank's Environmental and Social Safeguards Policies.</w:t>
            </w:r>
          </w:p>
          <w:p w14:paraId="00103FBF" w14:textId="77777777" w:rsidR="00D40256" w:rsidRPr="00B34A82" w:rsidRDefault="00D40256">
            <w:pPr>
              <w:rPr>
                <w:rFonts w:ascii="Arial" w:hAnsi="Arial" w:cs="Arial"/>
                <w:sz w:val="20"/>
                <w:szCs w:val="20"/>
                <w:lang w:val="en-US"/>
              </w:rPr>
            </w:pPr>
          </w:p>
        </w:tc>
      </w:tr>
      <w:tr w:rsidR="00D40256" w:rsidRPr="009B245F" w14:paraId="00103FC4" w14:textId="77777777" w:rsidTr="00A123B3">
        <w:trPr>
          <w:jc w:val="center"/>
        </w:trPr>
        <w:tc>
          <w:tcPr>
            <w:tcW w:w="4585" w:type="dxa"/>
            <w:vAlign w:val="center"/>
          </w:tcPr>
          <w:p w14:paraId="00103FC1" w14:textId="77777777" w:rsidR="00DF2CDB" w:rsidRPr="00B34A82" w:rsidRDefault="00DF2CDB" w:rsidP="00DF2CDB">
            <w:pPr>
              <w:spacing w:before="120" w:after="120"/>
              <w:jc w:val="both"/>
              <w:rPr>
                <w:rFonts w:ascii="Arial" w:hAnsi="Arial" w:cs="Arial"/>
                <w:sz w:val="20"/>
                <w:szCs w:val="20"/>
                <w:lang w:val="en"/>
              </w:rPr>
            </w:pPr>
            <w:r w:rsidRPr="00B34A82">
              <w:rPr>
                <w:rFonts w:ascii="Arial" w:hAnsi="Arial" w:cs="Arial"/>
                <w:sz w:val="20"/>
                <w:szCs w:val="20"/>
                <w:lang w:val="en"/>
              </w:rPr>
              <w:t>h) The utilization of the resources of the Financing shall be subject to compliance with the ESHS provisions of the Grant Agreement and Operations Manual.</w:t>
            </w:r>
          </w:p>
          <w:p w14:paraId="00103FC2" w14:textId="77777777" w:rsidR="00D40256" w:rsidRPr="00B34A82" w:rsidRDefault="00D40256" w:rsidP="00D40256">
            <w:pPr>
              <w:pStyle w:val="Default"/>
              <w:jc w:val="both"/>
              <w:rPr>
                <w:rFonts w:ascii="Arial" w:hAnsi="Arial" w:cs="Arial"/>
                <w:color w:val="auto"/>
                <w:sz w:val="20"/>
                <w:szCs w:val="20"/>
                <w:lang w:val="en"/>
              </w:rPr>
            </w:pPr>
          </w:p>
        </w:tc>
        <w:tc>
          <w:tcPr>
            <w:tcW w:w="2693" w:type="dxa"/>
            <w:vAlign w:val="center"/>
          </w:tcPr>
          <w:p w14:paraId="00103FC3" w14:textId="77777777" w:rsidR="00D40256" w:rsidRPr="00B34A82" w:rsidRDefault="00DF2CDB" w:rsidP="00B34A82">
            <w:pPr>
              <w:jc w:val="both"/>
              <w:rPr>
                <w:rFonts w:ascii="Arial" w:hAnsi="Arial" w:cs="Arial"/>
                <w:sz w:val="20"/>
                <w:szCs w:val="20"/>
                <w:lang w:val="en-US"/>
              </w:rPr>
            </w:pPr>
            <w:r w:rsidRPr="00B34A82">
              <w:rPr>
                <w:rFonts w:ascii="Arial" w:hAnsi="Arial" w:cs="Arial"/>
                <w:sz w:val="20"/>
                <w:szCs w:val="20"/>
                <w:lang w:val="en-US"/>
              </w:rPr>
              <w:t xml:space="preserve">Ensure that all projects financed by the Bank will be compliant with the environmental and social policies, as they are translated in the ESHS provisions and OM. </w:t>
            </w:r>
          </w:p>
        </w:tc>
      </w:tr>
      <w:tr w:rsidR="00DF2CDB" w:rsidRPr="009B245F" w14:paraId="00103FC7" w14:textId="77777777" w:rsidTr="00B34A82">
        <w:trPr>
          <w:jc w:val="center"/>
        </w:trPr>
        <w:tc>
          <w:tcPr>
            <w:tcW w:w="4585" w:type="dxa"/>
          </w:tcPr>
          <w:p w14:paraId="00103FC5" w14:textId="77777777" w:rsidR="00DF2CDB" w:rsidRPr="00B34A82" w:rsidRDefault="00DF2CDB" w:rsidP="00DF2CDB">
            <w:pPr>
              <w:pStyle w:val="Default"/>
              <w:jc w:val="both"/>
              <w:rPr>
                <w:rFonts w:ascii="Arial" w:hAnsi="Arial" w:cs="Arial"/>
                <w:color w:val="auto"/>
                <w:sz w:val="20"/>
                <w:szCs w:val="20"/>
              </w:rPr>
            </w:pPr>
            <w:r w:rsidRPr="00B34A82">
              <w:rPr>
                <w:rFonts w:ascii="Arial" w:hAnsi="Arial" w:cs="Arial"/>
                <w:sz w:val="20"/>
                <w:szCs w:val="20"/>
                <w:lang w:val="en"/>
              </w:rPr>
              <w:lastRenderedPageBreak/>
              <w:t>i)</w:t>
            </w:r>
            <w:r w:rsidRPr="00B34A82">
              <w:rPr>
                <w:rFonts w:ascii="Arial" w:hAnsi="Arial" w:cs="Arial"/>
                <w:sz w:val="20"/>
                <w:szCs w:val="20"/>
              </w:rPr>
              <w:t xml:space="preserve"> Implementation of a livelihood restoration plan prior to starting works in areas </w:t>
            </w:r>
            <w:r w:rsidRPr="00B34A82">
              <w:rPr>
                <w:rFonts w:ascii="Arial" w:hAnsi="Arial" w:cs="Arial"/>
                <w:bCs/>
                <w:sz w:val="20"/>
                <w:szCs w:val="20"/>
              </w:rPr>
              <w:t>where economic displacement cannot be avoided through identified mitigation measures.</w:t>
            </w:r>
          </w:p>
        </w:tc>
        <w:tc>
          <w:tcPr>
            <w:tcW w:w="2693" w:type="dxa"/>
            <w:vAlign w:val="center"/>
          </w:tcPr>
          <w:p w14:paraId="00103FC6" w14:textId="77777777" w:rsidR="00DF2CDB" w:rsidRPr="00B34A82" w:rsidRDefault="00DF2CDB" w:rsidP="00B34A82">
            <w:pPr>
              <w:jc w:val="both"/>
              <w:rPr>
                <w:rFonts w:ascii="Arial" w:hAnsi="Arial" w:cs="Arial"/>
                <w:sz w:val="20"/>
                <w:szCs w:val="20"/>
                <w:lang w:val="en-US"/>
              </w:rPr>
            </w:pPr>
            <w:r w:rsidRPr="00B34A82">
              <w:rPr>
                <w:rFonts w:ascii="Arial" w:hAnsi="Arial" w:cs="Arial"/>
                <w:sz w:val="20"/>
                <w:szCs w:val="20"/>
                <w:lang w:val="en-US"/>
              </w:rPr>
              <w:t>Ensure compliance with requirements of OP-710</w:t>
            </w:r>
          </w:p>
        </w:tc>
      </w:tr>
      <w:tr w:rsidR="00DF2CDB" w:rsidRPr="009B245F" w14:paraId="00103FCA" w14:textId="77777777" w:rsidTr="00B34A82">
        <w:trPr>
          <w:jc w:val="center"/>
        </w:trPr>
        <w:tc>
          <w:tcPr>
            <w:tcW w:w="4585" w:type="dxa"/>
          </w:tcPr>
          <w:p w14:paraId="00103FC8" w14:textId="77777777" w:rsidR="00DF2CDB" w:rsidRPr="00B34A82" w:rsidRDefault="00DF2CDB" w:rsidP="00DF2CDB">
            <w:pPr>
              <w:pStyle w:val="Default"/>
              <w:jc w:val="both"/>
              <w:rPr>
                <w:rFonts w:ascii="Arial" w:hAnsi="Arial" w:cs="Arial"/>
                <w:color w:val="auto"/>
                <w:sz w:val="20"/>
                <w:szCs w:val="20"/>
              </w:rPr>
            </w:pPr>
            <w:r w:rsidRPr="00B34A82">
              <w:rPr>
                <w:rFonts w:ascii="Arial" w:hAnsi="Arial" w:cs="Arial"/>
                <w:bCs/>
                <w:sz w:val="20"/>
                <w:szCs w:val="20"/>
              </w:rPr>
              <w:t>j)</w:t>
            </w:r>
            <w:r w:rsidRPr="00B34A82">
              <w:rPr>
                <w:rFonts w:ascii="Arial" w:hAnsi="Arial" w:cs="Arial"/>
                <w:sz w:val="20"/>
                <w:szCs w:val="20"/>
              </w:rPr>
              <w:t xml:space="preserve"> that EAs including their accompanying ESMPs, DRAs, and DRMPs </w:t>
            </w:r>
            <w:r w:rsidRPr="00B34A82">
              <w:rPr>
                <w:rFonts w:ascii="Arial" w:hAnsi="Arial" w:cs="Arial"/>
                <w:spacing w:val="-3"/>
                <w:sz w:val="20"/>
                <w:szCs w:val="20"/>
              </w:rPr>
              <w:t>will be prepared for the operational and maintenance phase of each project not part of the sample and to be included in the Program.</w:t>
            </w:r>
          </w:p>
        </w:tc>
        <w:tc>
          <w:tcPr>
            <w:tcW w:w="2693" w:type="dxa"/>
            <w:vAlign w:val="center"/>
          </w:tcPr>
          <w:p w14:paraId="00103FC9" w14:textId="77777777" w:rsidR="00DF2CDB" w:rsidRPr="00B34A82" w:rsidRDefault="00DF2CDB" w:rsidP="00B34A82">
            <w:pPr>
              <w:jc w:val="both"/>
              <w:rPr>
                <w:rFonts w:ascii="Arial" w:hAnsi="Arial" w:cs="Arial"/>
                <w:sz w:val="20"/>
                <w:szCs w:val="20"/>
                <w:lang w:val="en-US"/>
              </w:rPr>
            </w:pPr>
            <w:r w:rsidRPr="00B34A82">
              <w:rPr>
                <w:rFonts w:ascii="Arial" w:hAnsi="Arial" w:cs="Arial"/>
                <w:sz w:val="20"/>
                <w:szCs w:val="20"/>
                <w:lang w:val="en-US"/>
              </w:rPr>
              <w:t>Ensure compliance with requirements of OP-703 (B.3, B.5., B.10 and B.11)</w:t>
            </w:r>
          </w:p>
        </w:tc>
      </w:tr>
      <w:tr w:rsidR="00DF2CDB" w:rsidRPr="009B245F" w14:paraId="00103FCF" w14:textId="77777777" w:rsidTr="00A123B3">
        <w:trPr>
          <w:jc w:val="center"/>
        </w:trPr>
        <w:tc>
          <w:tcPr>
            <w:tcW w:w="4585" w:type="dxa"/>
            <w:vAlign w:val="center"/>
          </w:tcPr>
          <w:p w14:paraId="00103FCB" w14:textId="363466FA" w:rsidR="00DF2CDB" w:rsidRPr="00B34A82" w:rsidRDefault="00DF2CDB" w:rsidP="00DF2CDB">
            <w:pPr>
              <w:spacing w:before="120" w:after="120"/>
              <w:jc w:val="both"/>
              <w:rPr>
                <w:rFonts w:ascii="Arial" w:hAnsi="Arial" w:cs="Arial"/>
                <w:b/>
                <w:color w:val="0070C0"/>
                <w:sz w:val="20"/>
                <w:szCs w:val="20"/>
                <w:lang w:val="en"/>
              </w:rPr>
            </w:pPr>
            <w:r w:rsidRPr="00B34A82">
              <w:rPr>
                <w:rFonts w:ascii="Arial" w:hAnsi="Arial" w:cs="Arial"/>
                <w:b/>
                <w:color w:val="0070C0"/>
                <w:sz w:val="20"/>
                <w:szCs w:val="20"/>
                <w:lang w:val="en"/>
              </w:rPr>
              <w:t>3. Monitor</w:t>
            </w:r>
            <w:r w:rsidR="009B245F">
              <w:rPr>
                <w:rFonts w:ascii="Arial" w:hAnsi="Arial" w:cs="Arial"/>
                <w:b/>
                <w:color w:val="0070C0"/>
                <w:sz w:val="20"/>
                <w:szCs w:val="20"/>
                <w:lang w:val="en"/>
              </w:rPr>
              <w:t>ing, Reporting and Supervision.</w:t>
            </w:r>
          </w:p>
          <w:p w14:paraId="00103FCC" w14:textId="77777777" w:rsidR="00DF2CDB" w:rsidRPr="00B34A82" w:rsidRDefault="00DF2CDB" w:rsidP="00DF2CDB">
            <w:pPr>
              <w:pStyle w:val="Default"/>
              <w:spacing w:before="120" w:after="120"/>
              <w:jc w:val="both"/>
              <w:rPr>
                <w:rFonts w:ascii="Arial" w:hAnsi="Arial" w:cs="Arial"/>
                <w:sz w:val="20"/>
                <w:szCs w:val="20"/>
              </w:rPr>
            </w:pPr>
            <w:r w:rsidRPr="00B34A82">
              <w:rPr>
                <w:rFonts w:ascii="Arial" w:hAnsi="Arial" w:cs="Arial"/>
                <w:sz w:val="20"/>
                <w:szCs w:val="20"/>
              </w:rPr>
              <w:t>For the purposes of monitoring and supervision of ESHS compliance, the following requirements shall apply:</w:t>
            </w:r>
          </w:p>
          <w:p w14:paraId="00103FCD" w14:textId="77777777" w:rsidR="00DF2CDB" w:rsidRPr="00B34A82" w:rsidRDefault="00DF2CDB" w:rsidP="00B34A82">
            <w:pPr>
              <w:pStyle w:val="ListParagraph"/>
              <w:numPr>
                <w:ilvl w:val="0"/>
                <w:numId w:val="2"/>
              </w:numPr>
              <w:ind w:left="252" w:hanging="270"/>
              <w:jc w:val="both"/>
              <w:rPr>
                <w:rFonts w:ascii="Arial" w:hAnsi="Arial" w:cs="Arial"/>
                <w:color w:val="222222"/>
                <w:sz w:val="20"/>
                <w:szCs w:val="20"/>
                <w:lang w:val="en-US"/>
              </w:rPr>
            </w:pPr>
            <w:r w:rsidRPr="00B34A82">
              <w:rPr>
                <w:rFonts w:ascii="Arial" w:hAnsi="Arial" w:cs="Arial"/>
                <w:sz w:val="20"/>
                <w:szCs w:val="20"/>
                <w:lang w:val="en-US"/>
              </w:rPr>
              <w:t>The Beneficiary, or the Executing Agency on behalf of the Executing Agency, shall prepare and present to the Bank’s satisfaction, an ESHS Compliance Report (ESCR), in the form and content agreed upon with the Bank, quarterly during construction, and biannually for two years after construction is completed;</w:t>
            </w:r>
          </w:p>
        </w:tc>
        <w:tc>
          <w:tcPr>
            <w:tcW w:w="2693" w:type="dxa"/>
            <w:vAlign w:val="center"/>
          </w:tcPr>
          <w:p w14:paraId="00103FCE" w14:textId="77777777" w:rsidR="00DF2CDB" w:rsidRPr="00B34A82" w:rsidRDefault="00DF2CDB">
            <w:pPr>
              <w:rPr>
                <w:rFonts w:ascii="Arial" w:hAnsi="Arial" w:cs="Arial"/>
                <w:sz w:val="20"/>
                <w:szCs w:val="20"/>
                <w:lang w:val="en-US"/>
              </w:rPr>
            </w:pPr>
          </w:p>
        </w:tc>
      </w:tr>
      <w:tr w:rsidR="00DF2CDB" w:rsidRPr="009B245F" w14:paraId="00103FD2" w14:textId="77777777" w:rsidTr="00A123B3">
        <w:trPr>
          <w:jc w:val="center"/>
        </w:trPr>
        <w:tc>
          <w:tcPr>
            <w:tcW w:w="4585" w:type="dxa"/>
            <w:vAlign w:val="center"/>
          </w:tcPr>
          <w:p w14:paraId="00103FD0" w14:textId="77777777" w:rsidR="00DF2CDB" w:rsidRPr="00B34A82" w:rsidRDefault="00DF2CDB" w:rsidP="00DF2CDB">
            <w:pPr>
              <w:spacing w:before="120" w:after="120"/>
              <w:jc w:val="both"/>
              <w:rPr>
                <w:rFonts w:ascii="Arial" w:hAnsi="Arial" w:cs="Arial"/>
                <w:b/>
                <w:color w:val="0070C0"/>
                <w:sz w:val="20"/>
                <w:szCs w:val="20"/>
                <w:lang w:val="en-US"/>
              </w:rPr>
            </w:pPr>
            <w:r w:rsidRPr="00B34A82">
              <w:rPr>
                <w:rFonts w:ascii="Arial" w:hAnsi="Arial" w:cs="Arial"/>
                <w:sz w:val="20"/>
                <w:szCs w:val="20"/>
                <w:lang w:val="en-US"/>
              </w:rPr>
              <w:t>b) The Beneficiary, or the Executing Agency on behalf of the Executing Agency, shall fully cooperate with the Bank, or an ESHS Consultant on its behalf, to carry out Project supervision and prepare supervision reports in order to (i) verify compliance of the implementation of the ESHS requirements for the Project; and (ii) address any ESHS impact or liability that has not been adequately mitigated or compensated.</w:t>
            </w:r>
          </w:p>
        </w:tc>
        <w:tc>
          <w:tcPr>
            <w:tcW w:w="2693" w:type="dxa"/>
            <w:vAlign w:val="center"/>
          </w:tcPr>
          <w:p w14:paraId="00103FD1" w14:textId="77777777" w:rsidR="00DF2CDB" w:rsidRPr="00B34A82" w:rsidRDefault="00993297" w:rsidP="00B34A82">
            <w:pPr>
              <w:jc w:val="both"/>
              <w:rPr>
                <w:rFonts w:ascii="Arial" w:hAnsi="Arial" w:cs="Arial"/>
                <w:sz w:val="20"/>
                <w:szCs w:val="20"/>
                <w:lang w:val="en-US"/>
              </w:rPr>
            </w:pPr>
            <w:r w:rsidRPr="00B34A82">
              <w:rPr>
                <w:rFonts w:ascii="Arial" w:hAnsi="Arial" w:cs="Arial"/>
                <w:sz w:val="20"/>
                <w:szCs w:val="20"/>
                <w:lang w:val="en-US"/>
              </w:rPr>
              <w:t>To ensure that the Executing Agency will demonstrate compliance with the Bank’s ESHS requirements and avoid potential environmental and social liabilities.</w:t>
            </w:r>
          </w:p>
        </w:tc>
      </w:tr>
      <w:tr w:rsidR="00DF2CDB" w:rsidRPr="009B245F" w14:paraId="00103FD5" w14:textId="77777777" w:rsidTr="00A123B3">
        <w:trPr>
          <w:jc w:val="center"/>
        </w:trPr>
        <w:tc>
          <w:tcPr>
            <w:tcW w:w="4585" w:type="dxa"/>
            <w:vAlign w:val="center"/>
          </w:tcPr>
          <w:p w14:paraId="00103FD3" w14:textId="77777777" w:rsidR="00DF2CDB" w:rsidRPr="00B34A82" w:rsidRDefault="00DF2CDB" w:rsidP="00DF2CDB">
            <w:pPr>
              <w:spacing w:before="120" w:after="120"/>
              <w:jc w:val="both"/>
              <w:rPr>
                <w:rFonts w:ascii="Arial" w:hAnsi="Arial" w:cs="Arial"/>
                <w:b/>
                <w:color w:val="0070C0"/>
                <w:sz w:val="20"/>
                <w:szCs w:val="20"/>
                <w:lang w:val="en"/>
              </w:rPr>
            </w:pPr>
          </w:p>
        </w:tc>
        <w:tc>
          <w:tcPr>
            <w:tcW w:w="2693" w:type="dxa"/>
            <w:vAlign w:val="center"/>
          </w:tcPr>
          <w:p w14:paraId="00103FD4" w14:textId="77777777" w:rsidR="00DF2CDB" w:rsidRPr="00B34A82" w:rsidRDefault="00DF2CDB">
            <w:pPr>
              <w:rPr>
                <w:rFonts w:ascii="Arial" w:hAnsi="Arial" w:cs="Arial"/>
                <w:sz w:val="20"/>
                <w:szCs w:val="20"/>
                <w:lang w:val="en-US"/>
              </w:rPr>
            </w:pPr>
          </w:p>
        </w:tc>
      </w:tr>
    </w:tbl>
    <w:p w14:paraId="00103FD6" w14:textId="77777777" w:rsidR="00A11679" w:rsidRPr="00161DDB" w:rsidRDefault="00A11679">
      <w:pPr>
        <w:rPr>
          <w:rFonts w:ascii="Arial" w:hAnsi="Arial" w:cs="Arial"/>
          <w:sz w:val="20"/>
          <w:szCs w:val="20"/>
          <w:lang w:val="en-US"/>
        </w:rPr>
      </w:pPr>
    </w:p>
    <w:sectPr w:rsidR="00A11679" w:rsidRPr="00161DDB" w:rsidSect="000108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CB4BC1"/>
    <w:multiLevelType w:val="hybridMultilevel"/>
    <w:tmpl w:val="CDC8EF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9547F67"/>
    <w:multiLevelType w:val="hybridMultilevel"/>
    <w:tmpl w:val="32401A60"/>
    <w:lvl w:ilvl="0" w:tplc="ECBA523C">
      <w:start w:val="1"/>
      <w:numFmt w:val="lowerLetter"/>
      <w:lvlText w:val="%1)"/>
      <w:lvlJc w:val="left"/>
      <w:pPr>
        <w:ind w:left="720" w:hanging="360"/>
      </w:pPr>
      <w:rPr>
        <w:rFonts w:asciiTheme="minorHAnsi" w:hAnsiTheme="minorHAnsi" w:cs="Times New Roman"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1679"/>
    <w:rsid w:val="000108CF"/>
    <w:rsid w:val="00094A1D"/>
    <w:rsid w:val="000E118D"/>
    <w:rsid w:val="00161DDB"/>
    <w:rsid w:val="00243FCA"/>
    <w:rsid w:val="002C5BDD"/>
    <w:rsid w:val="002D4725"/>
    <w:rsid w:val="00376E6D"/>
    <w:rsid w:val="003D29CB"/>
    <w:rsid w:val="0040777C"/>
    <w:rsid w:val="005232C5"/>
    <w:rsid w:val="005D23B6"/>
    <w:rsid w:val="006247B0"/>
    <w:rsid w:val="006868D3"/>
    <w:rsid w:val="0069325A"/>
    <w:rsid w:val="006D7A91"/>
    <w:rsid w:val="007453EC"/>
    <w:rsid w:val="0081785A"/>
    <w:rsid w:val="00831DB0"/>
    <w:rsid w:val="008A78ED"/>
    <w:rsid w:val="00980C40"/>
    <w:rsid w:val="00993297"/>
    <w:rsid w:val="009B245F"/>
    <w:rsid w:val="009B5972"/>
    <w:rsid w:val="009D71AA"/>
    <w:rsid w:val="00A11679"/>
    <w:rsid w:val="00A123B3"/>
    <w:rsid w:val="00AC6AD5"/>
    <w:rsid w:val="00AD0183"/>
    <w:rsid w:val="00B05628"/>
    <w:rsid w:val="00B306D1"/>
    <w:rsid w:val="00B34A82"/>
    <w:rsid w:val="00B449EE"/>
    <w:rsid w:val="00BD5F69"/>
    <w:rsid w:val="00BF300C"/>
    <w:rsid w:val="00C24F58"/>
    <w:rsid w:val="00C757BB"/>
    <w:rsid w:val="00CC3023"/>
    <w:rsid w:val="00D40256"/>
    <w:rsid w:val="00DF2CDB"/>
    <w:rsid w:val="00E0220F"/>
    <w:rsid w:val="00E1136E"/>
    <w:rsid w:val="00E35B82"/>
    <w:rsid w:val="00F935E5"/>
    <w:rsid w:val="00FD5E47"/>
  </w:rsids>
  <m:mathPr>
    <m:mathFont m:val="Cambria Math"/>
    <m:brkBin m:val="before"/>
    <m:brkBinSub m:val="--"/>
    <m:smallFrac m:val="0"/>
    <m:dispDef/>
    <m:lMargin m:val="0"/>
    <m:rMargin m:val="0"/>
    <m:defJc m:val="centerGroup"/>
    <m:wrapIndent m:val="1440"/>
    <m:intLim m:val="subSup"/>
    <m:naryLim m:val="undOvr"/>
  </m:mathPr>
  <w:themeFontLang w:val="en-US" w:eastAsia="pt-B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03F9A"/>
  <w15:chartTrackingRefBased/>
  <w15:docId w15:val="{C6C82D07-3C8E-4A24-93CD-0A0B5620A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imes New Roman" w:cs="Times New Roman"/>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116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0183"/>
    <w:pPr>
      <w:ind w:left="720"/>
      <w:contextualSpacing/>
    </w:pPr>
  </w:style>
  <w:style w:type="character" w:styleId="CommentReference">
    <w:name w:val="annotation reference"/>
    <w:basedOn w:val="DefaultParagraphFont"/>
    <w:uiPriority w:val="99"/>
    <w:semiHidden/>
    <w:unhideWhenUsed/>
    <w:rsid w:val="002D4725"/>
    <w:rPr>
      <w:sz w:val="16"/>
      <w:szCs w:val="16"/>
    </w:rPr>
  </w:style>
  <w:style w:type="paragraph" w:styleId="CommentText">
    <w:name w:val="annotation text"/>
    <w:basedOn w:val="Normal"/>
    <w:link w:val="CommentTextChar"/>
    <w:uiPriority w:val="99"/>
    <w:semiHidden/>
    <w:unhideWhenUsed/>
    <w:rsid w:val="002D4725"/>
    <w:pPr>
      <w:spacing w:line="240" w:lineRule="auto"/>
    </w:pPr>
    <w:rPr>
      <w:sz w:val="20"/>
      <w:szCs w:val="20"/>
    </w:rPr>
  </w:style>
  <w:style w:type="character" w:customStyle="1" w:styleId="CommentTextChar">
    <w:name w:val="Comment Text Char"/>
    <w:basedOn w:val="DefaultParagraphFont"/>
    <w:link w:val="CommentText"/>
    <w:uiPriority w:val="99"/>
    <w:semiHidden/>
    <w:rsid w:val="002D4725"/>
    <w:rPr>
      <w:sz w:val="20"/>
      <w:szCs w:val="20"/>
    </w:rPr>
  </w:style>
  <w:style w:type="paragraph" w:styleId="CommentSubject">
    <w:name w:val="annotation subject"/>
    <w:basedOn w:val="CommentText"/>
    <w:next w:val="CommentText"/>
    <w:link w:val="CommentSubjectChar"/>
    <w:uiPriority w:val="99"/>
    <w:semiHidden/>
    <w:unhideWhenUsed/>
    <w:rsid w:val="002D4725"/>
    <w:rPr>
      <w:b/>
      <w:bCs/>
    </w:rPr>
  </w:style>
  <w:style w:type="character" w:customStyle="1" w:styleId="CommentSubjectChar">
    <w:name w:val="Comment Subject Char"/>
    <w:basedOn w:val="CommentTextChar"/>
    <w:link w:val="CommentSubject"/>
    <w:uiPriority w:val="99"/>
    <w:semiHidden/>
    <w:rsid w:val="002D4725"/>
    <w:rPr>
      <w:b/>
      <w:bCs/>
      <w:sz w:val="20"/>
      <w:szCs w:val="20"/>
    </w:rPr>
  </w:style>
  <w:style w:type="paragraph" w:styleId="BalloonText">
    <w:name w:val="Balloon Text"/>
    <w:basedOn w:val="Normal"/>
    <w:link w:val="BalloonTextChar"/>
    <w:uiPriority w:val="99"/>
    <w:semiHidden/>
    <w:unhideWhenUsed/>
    <w:rsid w:val="002D47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725"/>
    <w:rPr>
      <w:rFonts w:ascii="Segoe UI" w:hAnsi="Segoe UI" w:cs="Segoe UI"/>
      <w:sz w:val="18"/>
      <w:szCs w:val="18"/>
    </w:rPr>
  </w:style>
  <w:style w:type="paragraph" w:styleId="HTMLPreformatted">
    <w:name w:val="HTML Preformatted"/>
    <w:basedOn w:val="Normal"/>
    <w:link w:val="HTMLPreformattedChar"/>
    <w:uiPriority w:val="99"/>
    <w:semiHidden/>
    <w:unhideWhenUsed/>
    <w:rsid w:val="009D7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9D71AA"/>
    <w:rPr>
      <w:rFonts w:ascii="Courier New" w:hAnsi="Courier New" w:cs="Courier New"/>
      <w:sz w:val="20"/>
      <w:szCs w:val="20"/>
      <w:lang w:val="en-US" w:eastAsia="en-US"/>
    </w:rPr>
  </w:style>
  <w:style w:type="paragraph" w:customStyle="1" w:styleId="Default">
    <w:name w:val="Default"/>
    <w:rsid w:val="009D71AA"/>
    <w:pPr>
      <w:autoSpaceDE w:val="0"/>
      <w:autoSpaceDN w:val="0"/>
      <w:adjustRightInd w:val="0"/>
      <w:spacing w:after="0" w:line="240" w:lineRule="auto"/>
    </w:pPr>
    <w:rPr>
      <w:rFonts w:ascii="Times New Roman"/>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4519001">
      <w:bodyDiv w:val="1"/>
      <w:marLeft w:val="0"/>
      <w:marRight w:val="0"/>
      <w:marTop w:val="0"/>
      <w:marBottom w:val="0"/>
      <w:divBdr>
        <w:top w:val="none" w:sz="0" w:space="0" w:color="auto"/>
        <w:left w:val="none" w:sz="0" w:space="0" w:color="auto"/>
        <w:bottom w:val="none" w:sz="0" w:space="0" w:color="auto"/>
        <w:right w:val="none" w:sz="0" w:space="0" w:color="auto"/>
      </w:divBdr>
    </w:div>
    <w:div w:id="1048720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1136</Words>
  <Characters>6253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Ribeiro, Paulo de Tarso Rodrigues</dc:creator>
  <cp:keywords/>
  <dc:description/>
  <cp:lastModifiedBy>Cartin Barrios, Irene</cp:lastModifiedBy>
  <cp:revision>2</cp:revision>
  <dcterms:created xsi:type="dcterms:W3CDTF">2017-10-12T15:11:00Z</dcterms:created>
  <dcterms:modified xsi:type="dcterms:W3CDTF">2017-10-12T15:11:00Z</dcterms:modified>
</cp:coreProperties>
</file>