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AEE6D" w14:textId="77777777" w:rsidR="00352AAD" w:rsidRPr="00945DD0" w:rsidRDefault="00D64CDD" w:rsidP="00945DD0">
      <w:pPr>
        <w:pStyle w:val="ListParagraph"/>
        <w:ind w:left="1080"/>
        <w:jc w:val="center"/>
        <w:rPr>
          <w:rFonts w:ascii="Times New Roman" w:hAnsi="Times New Roman" w:cs="Times New Roman"/>
          <w:b/>
          <w:sz w:val="28"/>
          <w:szCs w:val="28"/>
          <w:lang w:val="es-ES_tradnl"/>
        </w:rPr>
      </w:pPr>
      <w:bookmarkStart w:id="0" w:name="_GoBack"/>
      <w:bookmarkEnd w:id="0"/>
      <w:r w:rsidRPr="00945DD0">
        <w:rPr>
          <w:rFonts w:ascii="Times New Roman" w:hAnsi="Times New Roman" w:cs="Times New Roman"/>
          <w:b/>
          <w:sz w:val="28"/>
          <w:szCs w:val="28"/>
          <w:lang w:val="es-ES_tradnl"/>
        </w:rPr>
        <w:t>Análisis institucional</w:t>
      </w:r>
    </w:p>
    <w:p w14:paraId="5EB7DE7F" w14:textId="77777777" w:rsidR="00E018C2" w:rsidRDefault="00E018C2" w:rsidP="00D64CDD">
      <w:pPr>
        <w:jc w:val="center"/>
        <w:rPr>
          <w:rFonts w:ascii="Times New Roman" w:hAnsi="Times New Roman" w:cs="Times New Roman"/>
          <w:b/>
          <w:sz w:val="28"/>
          <w:szCs w:val="28"/>
          <w:lang w:val="es-ES_tradnl"/>
        </w:rPr>
      </w:pPr>
      <w:r>
        <w:rPr>
          <w:rFonts w:ascii="Times New Roman" w:hAnsi="Times New Roman" w:cs="Times New Roman"/>
          <w:b/>
          <w:sz w:val="28"/>
          <w:szCs w:val="28"/>
          <w:lang w:val="es-ES_tradnl"/>
        </w:rPr>
        <w:t>Proyecto de agua y saneamiento de Puerto Príncipe</w:t>
      </w:r>
      <w:r w:rsidR="005F402E">
        <w:rPr>
          <w:rFonts w:ascii="Times New Roman" w:hAnsi="Times New Roman" w:cs="Times New Roman"/>
          <w:b/>
          <w:sz w:val="28"/>
          <w:szCs w:val="28"/>
          <w:lang w:val="es-ES_tradnl"/>
        </w:rPr>
        <w:t xml:space="preserve"> - II</w:t>
      </w:r>
      <w:r w:rsidR="00EF009D">
        <w:rPr>
          <w:rFonts w:ascii="Times New Roman" w:hAnsi="Times New Roman" w:cs="Times New Roman"/>
          <w:b/>
          <w:sz w:val="28"/>
          <w:szCs w:val="28"/>
          <w:lang w:val="es-ES_tradnl"/>
        </w:rPr>
        <w:t>I</w:t>
      </w:r>
    </w:p>
    <w:p w14:paraId="7CC3C20C" w14:textId="77777777" w:rsidR="00E018C2" w:rsidRPr="00945DD0" w:rsidRDefault="00E018C2" w:rsidP="00D64CDD">
      <w:pPr>
        <w:jc w:val="center"/>
        <w:rPr>
          <w:rFonts w:ascii="Times New Roman" w:hAnsi="Times New Roman" w:cs="Times New Roman"/>
          <w:b/>
          <w:sz w:val="28"/>
          <w:szCs w:val="28"/>
          <w:lang w:val="es-ES_tradnl"/>
        </w:rPr>
      </w:pPr>
      <w:r w:rsidRPr="00945DD0">
        <w:rPr>
          <w:rFonts w:ascii="Times New Roman" w:hAnsi="Times New Roman" w:cs="Times New Roman"/>
          <w:b/>
          <w:sz w:val="28"/>
          <w:szCs w:val="28"/>
          <w:lang w:val="es-ES_tradnl"/>
        </w:rPr>
        <w:t>HA-L1</w:t>
      </w:r>
      <w:r w:rsidR="00EF009D">
        <w:rPr>
          <w:rFonts w:ascii="Times New Roman" w:hAnsi="Times New Roman" w:cs="Times New Roman"/>
          <w:b/>
          <w:sz w:val="28"/>
          <w:szCs w:val="28"/>
          <w:lang w:val="es-ES_tradnl"/>
        </w:rPr>
        <w:t>1</w:t>
      </w:r>
      <w:r w:rsidRPr="00945DD0">
        <w:rPr>
          <w:rFonts w:ascii="Times New Roman" w:hAnsi="Times New Roman" w:cs="Times New Roman"/>
          <w:b/>
          <w:sz w:val="28"/>
          <w:szCs w:val="28"/>
          <w:lang w:val="es-ES_tradnl"/>
        </w:rPr>
        <w:t>0</w:t>
      </w:r>
      <w:r w:rsidR="00EF009D">
        <w:rPr>
          <w:rFonts w:ascii="Times New Roman" w:hAnsi="Times New Roman" w:cs="Times New Roman"/>
          <w:b/>
          <w:sz w:val="28"/>
          <w:szCs w:val="28"/>
          <w:lang w:val="es-ES_tradnl"/>
        </w:rPr>
        <w:t>3</w:t>
      </w:r>
    </w:p>
    <w:p w14:paraId="152B83B1" w14:textId="77777777" w:rsidR="00E018C2" w:rsidRPr="00945DD0" w:rsidRDefault="00E018C2" w:rsidP="00945DD0">
      <w:pPr>
        <w:pStyle w:val="ListParagraph"/>
        <w:numPr>
          <w:ilvl w:val="0"/>
          <w:numId w:val="13"/>
        </w:numPr>
        <w:jc w:val="both"/>
        <w:rPr>
          <w:rFonts w:ascii="Times New Roman" w:hAnsi="Times New Roman" w:cs="Times New Roman"/>
          <w:b/>
          <w:sz w:val="24"/>
          <w:szCs w:val="24"/>
          <w:lang w:val="es-ES_tradnl"/>
        </w:rPr>
      </w:pPr>
      <w:r w:rsidRPr="00945DD0">
        <w:rPr>
          <w:rFonts w:ascii="Times New Roman" w:hAnsi="Times New Roman" w:cs="Times New Roman"/>
          <w:b/>
          <w:sz w:val="24"/>
          <w:szCs w:val="24"/>
          <w:lang w:val="es-ES_tradnl"/>
        </w:rPr>
        <w:t>La L</w:t>
      </w:r>
      <w:r w:rsidR="003E1EB7">
        <w:rPr>
          <w:rFonts w:ascii="Times New Roman" w:hAnsi="Times New Roman" w:cs="Times New Roman"/>
          <w:b/>
          <w:sz w:val="24"/>
          <w:szCs w:val="24"/>
          <w:lang w:val="es-ES_tradnl"/>
        </w:rPr>
        <w:t xml:space="preserve">ey Marco de Agua Potable y Saneamiento y la reforma del sector </w:t>
      </w:r>
    </w:p>
    <w:p w14:paraId="68E6F8D0" w14:textId="77777777" w:rsidR="007053D9" w:rsidRDefault="007053D9" w:rsidP="00BC789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En 2009, e</w:t>
      </w:r>
      <w:r w:rsidRPr="00D27CE0">
        <w:rPr>
          <w:rFonts w:ascii="Times New Roman" w:hAnsi="Times New Roman" w:cs="Times New Roman"/>
          <w:sz w:val="24"/>
          <w:szCs w:val="24"/>
          <w:lang w:val="es-ES_tradnl"/>
        </w:rPr>
        <w:t xml:space="preserve">l Gobierno de </w:t>
      </w:r>
      <w:r w:rsidR="00E57741" w:rsidRPr="00D27CE0">
        <w:rPr>
          <w:rFonts w:ascii="Times New Roman" w:hAnsi="Times New Roman" w:cs="Times New Roman"/>
          <w:sz w:val="24"/>
          <w:szCs w:val="24"/>
          <w:lang w:val="es-ES_tradnl"/>
        </w:rPr>
        <w:t>Haití</w:t>
      </w:r>
      <w:r w:rsidRPr="00D27CE0">
        <w:rPr>
          <w:rFonts w:ascii="Times New Roman" w:hAnsi="Times New Roman" w:cs="Times New Roman"/>
          <w:sz w:val="24"/>
          <w:szCs w:val="24"/>
          <w:lang w:val="es-ES_tradnl"/>
        </w:rPr>
        <w:t xml:space="preserve"> ha formulado una reforma institucional y una ley marco que echar</w:t>
      </w:r>
      <w:r w:rsidR="00E95419">
        <w:rPr>
          <w:rFonts w:ascii="Times New Roman" w:hAnsi="Times New Roman" w:cs="Times New Roman"/>
          <w:sz w:val="24"/>
          <w:szCs w:val="24"/>
          <w:lang w:val="es-ES_tradnl"/>
        </w:rPr>
        <w:t>on</w:t>
      </w:r>
      <w:r w:rsidRPr="00D27CE0">
        <w:rPr>
          <w:rFonts w:ascii="Times New Roman" w:hAnsi="Times New Roman" w:cs="Times New Roman"/>
          <w:sz w:val="24"/>
          <w:szCs w:val="24"/>
          <w:lang w:val="es-ES_tradnl"/>
        </w:rPr>
        <w:t xml:space="preserve"> las bases para el desarrollo armónico del sector. </w:t>
      </w:r>
      <w:r w:rsidR="00BC789C" w:rsidRPr="007053D9">
        <w:rPr>
          <w:rFonts w:ascii="Times New Roman" w:hAnsi="Times New Roman" w:cs="Times New Roman"/>
          <w:sz w:val="24"/>
          <w:szCs w:val="24"/>
          <w:lang w:val="es-ES_tradnl"/>
        </w:rPr>
        <w:t>Esta reforma se enunció en la Ley Marco sobre Agua Potable y Saneamiento, o Ley Marco (</w:t>
      </w:r>
      <w:r w:rsidR="00BC789C" w:rsidRPr="001A6ED8">
        <w:rPr>
          <w:rFonts w:ascii="Times New Roman" w:hAnsi="Times New Roman" w:cs="Times New Roman"/>
          <w:i/>
          <w:sz w:val="24"/>
          <w:szCs w:val="24"/>
          <w:lang w:val="es-ES_tradnl"/>
        </w:rPr>
        <w:t>Loi Cadre portant sur l’Eau Potable et l’Assainissement, o Loi Cadre</w:t>
      </w:r>
      <w:r w:rsidR="00BC789C" w:rsidRPr="007053D9">
        <w:rPr>
          <w:rFonts w:ascii="Times New Roman" w:hAnsi="Times New Roman" w:cs="Times New Roman"/>
          <w:sz w:val="24"/>
          <w:szCs w:val="24"/>
          <w:lang w:val="es-ES_tradnl"/>
        </w:rPr>
        <w:t xml:space="preserve">), que el Congreso aprobó por unanimidad en enero del 2009, y que se publicó en marzo del  mismo año. </w:t>
      </w:r>
      <w:r w:rsidRPr="00D27CE0">
        <w:rPr>
          <w:rFonts w:ascii="Times New Roman" w:hAnsi="Times New Roman" w:cs="Times New Roman"/>
          <w:sz w:val="24"/>
          <w:szCs w:val="24"/>
          <w:lang w:val="es-ES_tradnl"/>
        </w:rPr>
        <w:t>La reforma se basa en los siguientes principios:</w:t>
      </w:r>
    </w:p>
    <w:p w14:paraId="08F9CDEE" w14:textId="77777777" w:rsidR="007053D9" w:rsidRDefault="007053D9" w:rsidP="007053D9">
      <w:pPr>
        <w:pStyle w:val="ListParagraph"/>
        <w:numPr>
          <w:ilvl w:val="0"/>
          <w:numId w:val="11"/>
        </w:numPr>
        <w:rPr>
          <w:rFonts w:ascii="Times New Roman" w:hAnsi="Times New Roman" w:cs="Times New Roman"/>
          <w:sz w:val="24"/>
          <w:szCs w:val="24"/>
          <w:lang w:val="es-ES_tradnl"/>
        </w:rPr>
      </w:pPr>
      <w:r>
        <w:rPr>
          <w:rFonts w:ascii="Times New Roman" w:hAnsi="Times New Roman" w:cs="Times New Roman"/>
          <w:sz w:val="24"/>
          <w:szCs w:val="24"/>
          <w:lang w:val="es-ES_tradnl"/>
        </w:rPr>
        <w:t>Creación de una dirección nacional de agua y saneamiento (DINEPA);</w:t>
      </w:r>
    </w:p>
    <w:p w14:paraId="3AF15EAF" w14:textId="77777777" w:rsidR="007053D9" w:rsidRDefault="007053D9" w:rsidP="007053D9">
      <w:pPr>
        <w:pStyle w:val="ListParagraph"/>
        <w:numPr>
          <w:ilvl w:val="0"/>
          <w:numId w:val="11"/>
        </w:numPr>
        <w:rPr>
          <w:rFonts w:ascii="Times New Roman" w:hAnsi="Times New Roman" w:cs="Times New Roman"/>
          <w:sz w:val="24"/>
          <w:szCs w:val="24"/>
          <w:lang w:val="es-ES_tradnl"/>
        </w:rPr>
      </w:pPr>
      <w:r>
        <w:rPr>
          <w:rFonts w:ascii="Times New Roman" w:hAnsi="Times New Roman" w:cs="Times New Roman"/>
          <w:sz w:val="24"/>
          <w:szCs w:val="24"/>
          <w:lang w:val="es-ES_tradnl"/>
        </w:rPr>
        <w:t>Creación de varias oficinas regionales de agua y saneamiento (OREPAs) en sustitución del Servicio Metropolitano de Agua (CAMEP) y las oficinas del Servicio nacional de Agua (SNEP) para la gestión de los sistemas de agua y saneamiento;</w:t>
      </w:r>
    </w:p>
    <w:p w14:paraId="73591B28" w14:textId="77777777" w:rsidR="007053D9" w:rsidRDefault="007053D9" w:rsidP="007053D9">
      <w:pPr>
        <w:pStyle w:val="ListParagraph"/>
        <w:numPr>
          <w:ilvl w:val="0"/>
          <w:numId w:val="11"/>
        </w:numPr>
        <w:rPr>
          <w:rFonts w:ascii="Times New Roman" w:hAnsi="Times New Roman" w:cs="Times New Roman"/>
          <w:sz w:val="24"/>
          <w:szCs w:val="24"/>
          <w:lang w:val="es-ES_tradnl"/>
        </w:rPr>
      </w:pPr>
      <w:r>
        <w:rPr>
          <w:rFonts w:ascii="Times New Roman" w:hAnsi="Times New Roman" w:cs="Times New Roman"/>
          <w:sz w:val="24"/>
          <w:szCs w:val="24"/>
          <w:lang w:val="es-ES_tradnl"/>
        </w:rPr>
        <w:t>Normalización de los comités de suministro de agua en las zonas rurales (CAEPAs)</w:t>
      </w:r>
    </w:p>
    <w:p w14:paraId="1F93ADDC" w14:textId="77777777" w:rsidR="007053D9" w:rsidRDefault="007053D9" w:rsidP="007053D9">
      <w:pPr>
        <w:pStyle w:val="ListParagraph"/>
        <w:numPr>
          <w:ilvl w:val="0"/>
          <w:numId w:val="11"/>
        </w:numPr>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Participación del sector privado en la gestión operativa del sector; y </w:t>
      </w:r>
    </w:p>
    <w:p w14:paraId="6E6B644E" w14:textId="77777777" w:rsidR="007053D9" w:rsidRPr="00D27CE0" w:rsidRDefault="007053D9" w:rsidP="007053D9">
      <w:pPr>
        <w:pStyle w:val="ListParagraph"/>
        <w:numPr>
          <w:ilvl w:val="0"/>
          <w:numId w:val="11"/>
        </w:numPr>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Adopción de un decreto sobre tarifas para la gestión óptima del sector bajo condiciones que resulten aceptables para todos los grupos sociales. </w:t>
      </w:r>
    </w:p>
    <w:p w14:paraId="53599CD2" w14:textId="77777777" w:rsidR="00F66F8D" w:rsidRDefault="00F66F8D" w:rsidP="00E018C2">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La reforma del sector incluye: (i) el establecimiento de Centros Técnicos de Explotación (CTEs) en las ciudades con una variedad de modelos de gestión incluyendo eventualmente la participación del sector privado; (ii) el establecimiento en cada uno de los 10 departamentos del país, de Unidades Rurales Departamentales responsables por la gestión de sistemas de agua potable y saneamiento de pequeñas ciudades y áreas rurales; y (iii) la promoción de los Comités de abastecimiento en agua potable y saneamiento (CAEPAs) para manejar los servicios en áreas rurales, apoyándose en los URDs. </w:t>
      </w:r>
    </w:p>
    <w:p w14:paraId="6B50D3E9" w14:textId="77777777" w:rsidR="00F54556" w:rsidRPr="00F160A1" w:rsidRDefault="00F54556" w:rsidP="00F54556">
      <w:pPr>
        <w:pStyle w:val="ListParagraph"/>
        <w:numPr>
          <w:ilvl w:val="0"/>
          <w:numId w:val="13"/>
        </w:numPr>
        <w:jc w:val="both"/>
        <w:rPr>
          <w:rFonts w:ascii="Times New Roman" w:hAnsi="Times New Roman" w:cs="Times New Roman"/>
          <w:b/>
          <w:sz w:val="24"/>
          <w:szCs w:val="24"/>
          <w:lang w:val="es-ES_tradnl"/>
        </w:rPr>
      </w:pPr>
      <w:r w:rsidRPr="00F160A1">
        <w:rPr>
          <w:rFonts w:ascii="Times New Roman" w:hAnsi="Times New Roman" w:cs="Times New Roman"/>
          <w:b/>
          <w:sz w:val="24"/>
          <w:szCs w:val="24"/>
          <w:lang w:val="es-ES_tradnl"/>
        </w:rPr>
        <w:t>Dirección Nacional de Agua Potable y Saneamiento (DINEPA)</w:t>
      </w:r>
    </w:p>
    <w:p w14:paraId="7E736817" w14:textId="77777777" w:rsidR="00F54556" w:rsidRDefault="00F54556" w:rsidP="00F54556">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La DINEPA es una entidad autónoma bajo la responsabilidad del M</w:t>
      </w:r>
      <w:r w:rsidR="00547837">
        <w:rPr>
          <w:rFonts w:ascii="Times New Roman" w:hAnsi="Times New Roman" w:cs="Times New Roman"/>
          <w:sz w:val="24"/>
          <w:szCs w:val="24"/>
          <w:lang w:val="es-ES_tradnl"/>
        </w:rPr>
        <w:t>inisterio de Obras Públicas, Transporte y Comunicación (M</w:t>
      </w:r>
      <w:r>
        <w:rPr>
          <w:rFonts w:ascii="Times New Roman" w:hAnsi="Times New Roman" w:cs="Times New Roman"/>
          <w:sz w:val="24"/>
          <w:szCs w:val="24"/>
          <w:lang w:val="es-ES_tradnl"/>
        </w:rPr>
        <w:t>TPTC</w:t>
      </w:r>
      <w:r w:rsidR="00547837">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y responsable por el manejo de los proyectos de agua y saneamiento </w:t>
      </w:r>
      <w:r w:rsidRPr="0037485D">
        <w:rPr>
          <w:rFonts w:ascii="Times New Roman" w:hAnsi="Times New Roman" w:cs="Times New Roman"/>
          <w:sz w:val="24"/>
          <w:szCs w:val="24"/>
          <w:lang w:val="es-ES_tradnl"/>
        </w:rPr>
        <w:t xml:space="preserve">con los objetivos siguientes : (i) el desarrollo del sector </w:t>
      </w:r>
      <w:r>
        <w:rPr>
          <w:rFonts w:ascii="Times New Roman" w:hAnsi="Times New Roman" w:cs="Times New Roman"/>
          <w:sz w:val="24"/>
          <w:szCs w:val="24"/>
          <w:lang w:val="es-ES_tradnl"/>
        </w:rPr>
        <w:t>agua y saneamiento</w:t>
      </w:r>
      <w:r w:rsidRPr="0037485D">
        <w:rPr>
          <w:rFonts w:ascii="Times New Roman" w:hAnsi="Times New Roman" w:cs="Times New Roman"/>
          <w:sz w:val="24"/>
          <w:szCs w:val="24"/>
          <w:lang w:val="es-ES_tradnl"/>
        </w:rPr>
        <w:t xml:space="preserve"> al nivel nacional ; (ii) </w:t>
      </w:r>
      <w:r>
        <w:rPr>
          <w:rFonts w:ascii="Times New Roman" w:hAnsi="Times New Roman" w:cs="Times New Roman"/>
          <w:sz w:val="24"/>
          <w:szCs w:val="24"/>
          <w:lang w:val="es-ES_tradnl"/>
        </w:rPr>
        <w:t>la regulación del sector y el establecimiento de la política de tarifas del sector agua y saneamiento; (iii) el establecimiento de las normas y reglamentos sobre la calidad del agua; (iv) la preparación de los indicadores de desempeño para el sector; (v) la creación de varias oficinas regionales (OREPAs); y (vi) el control de los protagonistas (OREPAs y operadores de agua).</w:t>
      </w:r>
    </w:p>
    <w:p w14:paraId="75469A34" w14:textId="77777777" w:rsidR="0099638C" w:rsidRPr="00F54556" w:rsidRDefault="0099638C" w:rsidP="00684429">
      <w:pPr>
        <w:jc w:val="both"/>
        <w:rPr>
          <w:rFonts w:ascii="Times New Roman" w:hAnsi="Times New Roman" w:cs="Times New Roman"/>
          <w:sz w:val="24"/>
          <w:szCs w:val="24"/>
          <w:lang w:val="es-ES_tradnl"/>
        </w:rPr>
      </w:pPr>
    </w:p>
    <w:p w14:paraId="228875D9" w14:textId="77777777" w:rsidR="00F61CD9" w:rsidRDefault="00F61CD9" w:rsidP="00FA25AE">
      <w:pPr>
        <w:jc w:val="both"/>
        <w:rPr>
          <w:rFonts w:ascii="Times New Roman" w:hAnsi="Times New Roman" w:cs="Times New Roman"/>
          <w:sz w:val="24"/>
          <w:szCs w:val="24"/>
          <w:lang w:val="es-ES_tradnl"/>
        </w:rPr>
      </w:pPr>
    </w:p>
    <w:p w14:paraId="55A47AC0" w14:textId="77777777" w:rsidR="00F61CD9" w:rsidRDefault="00F61CD9" w:rsidP="00FA25AE">
      <w:pPr>
        <w:jc w:val="both"/>
        <w:rPr>
          <w:rFonts w:ascii="Times New Roman" w:hAnsi="Times New Roman" w:cs="Times New Roman"/>
          <w:sz w:val="24"/>
          <w:szCs w:val="24"/>
          <w:lang w:val="es-ES_tradnl"/>
        </w:rPr>
      </w:pPr>
      <w:r>
        <w:rPr>
          <w:rFonts w:ascii="Times New Roman" w:hAnsi="Times New Roman" w:cs="Times New Roman"/>
          <w:noProof/>
          <w:sz w:val="24"/>
          <w:szCs w:val="24"/>
        </w:rPr>
        <w:drawing>
          <wp:inline distT="0" distB="0" distL="0" distR="0" wp14:anchorId="4BD22820" wp14:editId="07777777">
            <wp:extent cx="6422065" cy="501356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18653" cy="5010896"/>
                    </a:xfrm>
                    <a:prstGeom prst="rect">
                      <a:avLst/>
                    </a:prstGeom>
                    <a:noFill/>
                  </pic:spPr>
                </pic:pic>
              </a:graphicData>
            </a:graphic>
          </wp:inline>
        </w:drawing>
      </w:r>
    </w:p>
    <w:p w14:paraId="4FA7F562" w14:textId="77777777" w:rsidR="00F61CD9" w:rsidRDefault="00F61CD9" w:rsidP="00FA25AE">
      <w:pPr>
        <w:jc w:val="both"/>
        <w:rPr>
          <w:rFonts w:ascii="Times New Roman" w:hAnsi="Times New Roman" w:cs="Times New Roman"/>
          <w:sz w:val="24"/>
          <w:szCs w:val="24"/>
          <w:lang w:val="es-ES_tradnl"/>
        </w:rPr>
      </w:pPr>
    </w:p>
    <w:p w14:paraId="00B1432E" w14:textId="77777777" w:rsidR="00F51F74" w:rsidRDefault="005577B3" w:rsidP="00FA25AE">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La DINEPA cuenta con</w:t>
      </w:r>
      <w:r w:rsidR="003903E8">
        <w:rPr>
          <w:rFonts w:ascii="Times New Roman" w:hAnsi="Times New Roman" w:cs="Times New Roman"/>
          <w:sz w:val="24"/>
          <w:szCs w:val="24"/>
          <w:lang w:val="es-ES_tradnl"/>
        </w:rPr>
        <w:t xml:space="preserve"> una planilla de </w:t>
      </w:r>
      <w:r>
        <w:rPr>
          <w:rFonts w:ascii="Times New Roman" w:hAnsi="Times New Roman" w:cs="Times New Roman"/>
          <w:sz w:val="24"/>
          <w:szCs w:val="24"/>
          <w:lang w:val="es-ES_tradnl"/>
        </w:rPr>
        <w:t>1,000 empleados (</w:t>
      </w:r>
      <w:r w:rsidR="007A237C">
        <w:rPr>
          <w:rFonts w:ascii="Times New Roman" w:hAnsi="Times New Roman" w:cs="Times New Roman"/>
          <w:sz w:val="24"/>
          <w:szCs w:val="24"/>
          <w:lang w:val="es-ES_tradnl"/>
        </w:rPr>
        <w:t xml:space="preserve">4 </w:t>
      </w:r>
      <w:r>
        <w:rPr>
          <w:rFonts w:ascii="Times New Roman" w:hAnsi="Times New Roman" w:cs="Times New Roman"/>
          <w:sz w:val="24"/>
          <w:szCs w:val="24"/>
          <w:lang w:val="es-ES_tradnl"/>
        </w:rPr>
        <w:t xml:space="preserve">Oficinas Regionales de Agua </w:t>
      </w:r>
      <w:r w:rsidR="00F51F74">
        <w:rPr>
          <w:rFonts w:ascii="Times New Roman" w:hAnsi="Times New Roman" w:cs="Times New Roman"/>
          <w:sz w:val="24"/>
          <w:szCs w:val="24"/>
          <w:lang w:val="es-ES_tradnl"/>
        </w:rPr>
        <w:t xml:space="preserve">potable </w:t>
      </w:r>
      <w:r>
        <w:rPr>
          <w:rFonts w:ascii="Times New Roman" w:hAnsi="Times New Roman" w:cs="Times New Roman"/>
          <w:sz w:val="24"/>
          <w:szCs w:val="24"/>
          <w:lang w:val="es-ES_tradnl"/>
        </w:rPr>
        <w:t xml:space="preserve">y Saneamiento, </w:t>
      </w:r>
      <w:r w:rsidR="007A237C">
        <w:rPr>
          <w:rFonts w:ascii="Times New Roman" w:hAnsi="Times New Roman" w:cs="Times New Roman"/>
          <w:sz w:val="24"/>
          <w:szCs w:val="24"/>
          <w:lang w:val="es-ES_tradnl"/>
        </w:rPr>
        <w:t xml:space="preserve">11 </w:t>
      </w:r>
      <w:r>
        <w:rPr>
          <w:rFonts w:ascii="Times New Roman" w:hAnsi="Times New Roman" w:cs="Times New Roman"/>
          <w:sz w:val="24"/>
          <w:szCs w:val="24"/>
          <w:lang w:val="es-ES_tradnl"/>
        </w:rPr>
        <w:t>Unidades Rurales Departamentales</w:t>
      </w:r>
      <w:r w:rsidR="00F61CD9">
        <w:rPr>
          <w:rFonts w:ascii="Times New Roman" w:hAnsi="Times New Roman" w:cs="Times New Roman"/>
          <w:sz w:val="24"/>
          <w:szCs w:val="24"/>
          <w:lang w:val="es-ES_tradnl"/>
        </w:rPr>
        <w:t xml:space="preserve"> y 25</w:t>
      </w:r>
      <w:r>
        <w:rPr>
          <w:rFonts w:ascii="Times New Roman" w:hAnsi="Times New Roman" w:cs="Times New Roman"/>
          <w:sz w:val="24"/>
          <w:szCs w:val="24"/>
          <w:lang w:val="es-ES_tradnl"/>
        </w:rPr>
        <w:t xml:space="preserve"> Centros Técnicos de Explotación).</w:t>
      </w:r>
      <w:r w:rsidR="005A1CCF">
        <w:rPr>
          <w:rFonts w:ascii="Times New Roman" w:hAnsi="Times New Roman" w:cs="Times New Roman"/>
          <w:sz w:val="24"/>
          <w:szCs w:val="24"/>
          <w:lang w:val="es-ES_tradnl"/>
        </w:rPr>
        <w:t xml:space="preserve"> </w:t>
      </w:r>
      <w:r w:rsidR="00593E1C">
        <w:rPr>
          <w:rFonts w:ascii="Times New Roman" w:hAnsi="Times New Roman" w:cs="Times New Roman"/>
          <w:sz w:val="24"/>
          <w:szCs w:val="24"/>
          <w:lang w:val="es-ES_tradnl"/>
        </w:rPr>
        <w:t>La Dirección de la DINEPA está compuesta de una Dirección General</w:t>
      </w:r>
      <w:r w:rsidR="00F61CD9">
        <w:rPr>
          <w:rFonts w:ascii="Times New Roman" w:hAnsi="Times New Roman" w:cs="Times New Roman"/>
          <w:sz w:val="24"/>
          <w:szCs w:val="24"/>
          <w:lang w:val="es-ES_tradnl"/>
        </w:rPr>
        <w:t>, una Coordinación general,</w:t>
      </w:r>
      <w:r w:rsidR="00593E1C">
        <w:rPr>
          <w:rFonts w:ascii="Times New Roman" w:hAnsi="Times New Roman" w:cs="Times New Roman"/>
          <w:sz w:val="24"/>
          <w:szCs w:val="24"/>
          <w:lang w:val="es-ES_tradnl"/>
        </w:rPr>
        <w:t xml:space="preserve"> una Dirección administrativa-financiera, </w:t>
      </w:r>
      <w:r w:rsidR="00F61CD9">
        <w:rPr>
          <w:rFonts w:ascii="Times New Roman" w:hAnsi="Times New Roman" w:cs="Times New Roman"/>
          <w:sz w:val="24"/>
          <w:szCs w:val="24"/>
          <w:lang w:val="es-ES_tradnl"/>
        </w:rPr>
        <w:t xml:space="preserve">una </w:t>
      </w:r>
      <w:r w:rsidR="00593E1C">
        <w:rPr>
          <w:rFonts w:ascii="Times New Roman" w:hAnsi="Times New Roman" w:cs="Times New Roman"/>
          <w:sz w:val="24"/>
          <w:szCs w:val="24"/>
          <w:lang w:val="es-ES_tradnl"/>
        </w:rPr>
        <w:t xml:space="preserve">Dirección de recursos humanos, </w:t>
      </w:r>
      <w:r w:rsidR="00F61CD9">
        <w:rPr>
          <w:rFonts w:ascii="Times New Roman" w:hAnsi="Times New Roman" w:cs="Times New Roman"/>
          <w:sz w:val="24"/>
          <w:szCs w:val="24"/>
          <w:lang w:val="es-ES_tradnl"/>
        </w:rPr>
        <w:t>una</w:t>
      </w:r>
      <w:r w:rsidR="00593E1C">
        <w:rPr>
          <w:rFonts w:ascii="Times New Roman" w:hAnsi="Times New Roman" w:cs="Times New Roman"/>
          <w:sz w:val="24"/>
          <w:szCs w:val="24"/>
          <w:lang w:val="es-ES_tradnl"/>
        </w:rPr>
        <w:t xml:space="preserve"> Dirección técnica, </w:t>
      </w:r>
      <w:r w:rsidR="00F61CD9">
        <w:rPr>
          <w:rFonts w:ascii="Times New Roman" w:hAnsi="Times New Roman" w:cs="Times New Roman"/>
          <w:sz w:val="24"/>
          <w:szCs w:val="24"/>
          <w:lang w:val="es-ES_tradnl"/>
        </w:rPr>
        <w:t xml:space="preserve">una </w:t>
      </w:r>
      <w:r w:rsidR="00593E1C">
        <w:rPr>
          <w:rFonts w:ascii="Times New Roman" w:hAnsi="Times New Roman" w:cs="Times New Roman"/>
          <w:sz w:val="24"/>
          <w:szCs w:val="24"/>
          <w:lang w:val="es-ES_tradnl"/>
        </w:rPr>
        <w:t>Dirección del saneamiento</w:t>
      </w:r>
      <w:r w:rsidR="00F51F74">
        <w:rPr>
          <w:rFonts w:ascii="Times New Roman" w:hAnsi="Times New Roman" w:cs="Times New Roman"/>
          <w:sz w:val="24"/>
          <w:szCs w:val="24"/>
          <w:lang w:val="es-ES_tradnl"/>
        </w:rPr>
        <w:t xml:space="preserve"> y una </w:t>
      </w:r>
      <w:r w:rsidR="00593E1C">
        <w:rPr>
          <w:rFonts w:ascii="Times New Roman" w:hAnsi="Times New Roman" w:cs="Times New Roman"/>
          <w:sz w:val="24"/>
          <w:szCs w:val="24"/>
          <w:lang w:val="es-ES_tradnl"/>
        </w:rPr>
        <w:t xml:space="preserve">Dirección de las operaciones regionales. </w:t>
      </w:r>
      <w:r w:rsidR="00F51F74">
        <w:rPr>
          <w:rFonts w:ascii="Times New Roman" w:hAnsi="Times New Roman" w:cs="Times New Roman"/>
          <w:sz w:val="24"/>
          <w:szCs w:val="24"/>
          <w:lang w:val="es-ES_tradnl"/>
        </w:rPr>
        <w:t>Puede contar también con el apoyo de dos asesores jurídicos.</w:t>
      </w:r>
    </w:p>
    <w:p w14:paraId="2F60FAA5" w14:textId="77777777" w:rsidR="008A338F" w:rsidRDefault="008A338F" w:rsidP="00FA25AE">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El cuadro abajo presenta un resumen de los proyectos que la DINEPA</w:t>
      </w:r>
      <w:r w:rsidR="00F51F74">
        <w:rPr>
          <w:rFonts w:ascii="Times New Roman" w:hAnsi="Times New Roman" w:cs="Times New Roman"/>
          <w:sz w:val="24"/>
          <w:szCs w:val="24"/>
          <w:lang w:val="es-ES_tradnl"/>
        </w:rPr>
        <w:t xml:space="preserve"> tiene a cargo para los años 2016-2020.</w:t>
      </w:r>
    </w:p>
    <w:p w14:paraId="5442C781" w14:textId="77777777" w:rsidR="00F54556" w:rsidRDefault="00F54556" w:rsidP="00FA25AE">
      <w:pPr>
        <w:jc w:val="both"/>
        <w:rPr>
          <w:rFonts w:ascii="Times New Roman" w:hAnsi="Times New Roman" w:cs="Times New Roman"/>
          <w:sz w:val="24"/>
          <w:szCs w:val="24"/>
          <w:lang w:val="es-ES_tradnl"/>
        </w:rPr>
      </w:pPr>
    </w:p>
    <w:p w14:paraId="6D2D3FA0" w14:textId="77777777" w:rsidR="005A0B78" w:rsidRDefault="005A0B78" w:rsidP="00FA25AE">
      <w:pPr>
        <w:jc w:val="both"/>
        <w:rPr>
          <w:rFonts w:ascii="Times New Roman" w:hAnsi="Times New Roman" w:cs="Times New Roman"/>
          <w:sz w:val="24"/>
          <w:szCs w:val="24"/>
          <w:lang w:val="es-ES_tradnl"/>
        </w:rPr>
      </w:pPr>
    </w:p>
    <w:tbl>
      <w:tblPr>
        <w:tblStyle w:val="TableGrid"/>
        <w:tblW w:w="0" w:type="auto"/>
        <w:tblLook w:val="04A0" w:firstRow="1" w:lastRow="0" w:firstColumn="1" w:lastColumn="0" w:noHBand="0" w:noVBand="1"/>
      </w:tblPr>
      <w:tblGrid>
        <w:gridCol w:w="2958"/>
        <w:gridCol w:w="2640"/>
        <w:gridCol w:w="2083"/>
        <w:gridCol w:w="1895"/>
      </w:tblGrid>
      <w:tr w:rsidR="008A338F" w:rsidRPr="000E71CA" w14:paraId="344297F1" w14:textId="77777777" w:rsidTr="00F6299F">
        <w:tc>
          <w:tcPr>
            <w:tcW w:w="9576" w:type="dxa"/>
            <w:gridSpan w:val="4"/>
          </w:tcPr>
          <w:p w14:paraId="23A42798" w14:textId="77777777" w:rsidR="008A338F" w:rsidRPr="008A338F" w:rsidRDefault="008A338F" w:rsidP="00F51F74">
            <w:pPr>
              <w:jc w:val="center"/>
              <w:rPr>
                <w:rFonts w:ascii="Times New Roman" w:hAnsi="Times New Roman" w:cs="Times New Roman"/>
                <w:b/>
                <w:sz w:val="24"/>
                <w:szCs w:val="24"/>
                <w:lang w:val="es-ES_tradnl"/>
              </w:rPr>
            </w:pPr>
            <w:r w:rsidRPr="008A338F">
              <w:rPr>
                <w:rFonts w:ascii="Times New Roman" w:hAnsi="Times New Roman" w:cs="Times New Roman"/>
                <w:b/>
                <w:sz w:val="24"/>
                <w:szCs w:val="24"/>
                <w:lang w:val="es-ES_tradnl"/>
              </w:rPr>
              <w:lastRenderedPageBreak/>
              <w:t>Financiamientos comprometidos de la DINEPA (201</w:t>
            </w:r>
            <w:r w:rsidR="00F51F74">
              <w:rPr>
                <w:rFonts w:ascii="Times New Roman" w:hAnsi="Times New Roman" w:cs="Times New Roman"/>
                <w:b/>
                <w:sz w:val="24"/>
                <w:szCs w:val="24"/>
                <w:lang w:val="es-ES_tradnl"/>
              </w:rPr>
              <w:t>6</w:t>
            </w:r>
            <w:r w:rsidRPr="008A338F">
              <w:rPr>
                <w:rFonts w:ascii="Times New Roman" w:hAnsi="Times New Roman" w:cs="Times New Roman"/>
                <w:b/>
                <w:sz w:val="24"/>
                <w:szCs w:val="24"/>
                <w:lang w:val="es-ES_tradnl"/>
              </w:rPr>
              <w:t>-20</w:t>
            </w:r>
            <w:r w:rsidR="00F51F74">
              <w:rPr>
                <w:rFonts w:ascii="Times New Roman" w:hAnsi="Times New Roman" w:cs="Times New Roman"/>
                <w:b/>
                <w:sz w:val="24"/>
                <w:szCs w:val="24"/>
                <w:lang w:val="es-ES_tradnl"/>
              </w:rPr>
              <w:t>20</w:t>
            </w:r>
            <w:r w:rsidRPr="008A338F">
              <w:rPr>
                <w:rFonts w:ascii="Times New Roman" w:hAnsi="Times New Roman" w:cs="Times New Roman"/>
                <w:b/>
                <w:sz w:val="24"/>
                <w:szCs w:val="24"/>
                <w:lang w:val="es-ES_tradnl"/>
              </w:rPr>
              <w:t>)</w:t>
            </w:r>
          </w:p>
        </w:tc>
      </w:tr>
      <w:tr w:rsidR="008A338F" w14:paraId="239B3997" w14:textId="77777777" w:rsidTr="00B81B06">
        <w:tc>
          <w:tcPr>
            <w:tcW w:w="2958" w:type="dxa"/>
          </w:tcPr>
          <w:p w14:paraId="48233A73" w14:textId="77777777" w:rsidR="008A338F" w:rsidRPr="008A338F" w:rsidRDefault="008A338F" w:rsidP="008A338F">
            <w:pPr>
              <w:jc w:val="center"/>
              <w:rPr>
                <w:rFonts w:ascii="Times New Roman" w:hAnsi="Times New Roman" w:cs="Times New Roman"/>
                <w:b/>
                <w:sz w:val="24"/>
                <w:szCs w:val="24"/>
                <w:lang w:val="es-ES_tradnl"/>
              </w:rPr>
            </w:pPr>
            <w:r w:rsidRPr="008A338F">
              <w:rPr>
                <w:rFonts w:ascii="Times New Roman" w:hAnsi="Times New Roman" w:cs="Times New Roman"/>
                <w:b/>
                <w:sz w:val="24"/>
                <w:szCs w:val="24"/>
                <w:lang w:val="es-ES_tradnl"/>
              </w:rPr>
              <w:t>Proyecto/programa</w:t>
            </w:r>
          </w:p>
        </w:tc>
        <w:tc>
          <w:tcPr>
            <w:tcW w:w="2640" w:type="dxa"/>
          </w:tcPr>
          <w:p w14:paraId="4A69F857" w14:textId="77777777" w:rsidR="008A338F" w:rsidRPr="008A338F" w:rsidRDefault="008A338F" w:rsidP="008A338F">
            <w:pPr>
              <w:jc w:val="center"/>
              <w:rPr>
                <w:rFonts w:ascii="Times New Roman" w:hAnsi="Times New Roman" w:cs="Times New Roman"/>
                <w:b/>
                <w:sz w:val="24"/>
                <w:szCs w:val="24"/>
                <w:lang w:val="es-ES_tradnl"/>
              </w:rPr>
            </w:pPr>
            <w:r w:rsidRPr="008A338F">
              <w:rPr>
                <w:rFonts w:ascii="Times New Roman" w:hAnsi="Times New Roman" w:cs="Times New Roman"/>
                <w:b/>
                <w:sz w:val="24"/>
                <w:szCs w:val="24"/>
                <w:lang w:val="es-ES_tradnl"/>
              </w:rPr>
              <w:t>Operación</w:t>
            </w:r>
          </w:p>
        </w:tc>
        <w:tc>
          <w:tcPr>
            <w:tcW w:w="2083" w:type="dxa"/>
          </w:tcPr>
          <w:p w14:paraId="549ABCE3" w14:textId="77777777" w:rsidR="008A338F" w:rsidRPr="008A338F" w:rsidRDefault="008A338F" w:rsidP="008A338F">
            <w:pPr>
              <w:jc w:val="center"/>
              <w:rPr>
                <w:rFonts w:ascii="Times New Roman" w:hAnsi="Times New Roman" w:cs="Times New Roman"/>
                <w:b/>
                <w:sz w:val="24"/>
                <w:szCs w:val="24"/>
                <w:lang w:val="es-ES_tradnl"/>
              </w:rPr>
            </w:pPr>
            <w:r w:rsidRPr="008A338F">
              <w:rPr>
                <w:rFonts w:ascii="Times New Roman" w:hAnsi="Times New Roman" w:cs="Times New Roman"/>
                <w:b/>
                <w:sz w:val="24"/>
                <w:szCs w:val="24"/>
                <w:lang w:val="es-ES_tradnl"/>
              </w:rPr>
              <w:t>Donante</w:t>
            </w:r>
          </w:p>
        </w:tc>
        <w:tc>
          <w:tcPr>
            <w:tcW w:w="1895" w:type="dxa"/>
          </w:tcPr>
          <w:p w14:paraId="551D6833" w14:textId="77777777" w:rsidR="008A338F" w:rsidRPr="008A338F" w:rsidRDefault="008A338F" w:rsidP="008A338F">
            <w:pPr>
              <w:jc w:val="center"/>
              <w:rPr>
                <w:rFonts w:ascii="Times New Roman" w:hAnsi="Times New Roman" w:cs="Times New Roman"/>
                <w:b/>
                <w:sz w:val="24"/>
                <w:szCs w:val="24"/>
                <w:lang w:val="es-ES_tradnl"/>
              </w:rPr>
            </w:pPr>
            <w:r w:rsidRPr="008A338F">
              <w:rPr>
                <w:rFonts w:ascii="Times New Roman" w:hAnsi="Times New Roman" w:cs="Times New Roman"/>
                <w:b/>
                <w:sz w:val="24"/>
                <w:szCs w:val="24"/>
                <w:lang w:val="es-ES_tradnl"/>
              </w:rPr>
              <w:t>Monto en USD</w:t>
            </w:r>
          </w:p>
        </w:tc>
      </w:tr>
      <w:tr w:rsidR="008A338F" w14:paraId="1361F515" w14:textId="77777777" w:rsidTr="00B81B06">
        <w:tc>
          <w:tcPr>
            <w:tcW w:w="2958" w:type="dxa"/>
          </w:tcPr>
          <w:p w14:paraId="149AB10E" w14:textId="77777777" w:rsidR="008A338F" w:rsidRDefault="008A338F" w:rsidP="00F51F74">
            <w:pPr>
              <w:rPr>
                <w:rFonts w:ascii="Times New Roman" w:hAnsi="Times New Roman" w:cs="Times New Roman"/>
                <w:sz w:val="24"/>
                <w:szCs w:val="24"/>
                <w:lang w:val="es-ES_tradnl"/>
              </w:rPr>
            </w:pPr>
            <w:r>
              <w:rPr>
                <w:rFonts w:ascii="Times New Roman" w:hAnsi="Times New Roman" w:cs="Times New Roman"/>
                <w:sz w:val="24"/>
                <w:szCs w:val="24"/>
                <w:lang w:val="es-ES_tradnl"/>
              </w:rPr>
              <w:t>Fondo bilateral</w:t>
            </w:r>
          </w:p>
        </w:tc>
        <w:tc>
          <w:tcPr>
            <w:tcW w:w="2640" w:type="dxa"/>
          </w:tcPr>
          <w:p w14:paraId="73CF2CD3" w14:textId="77777777" w:rsidR="008A338F" w:rsidRDefault="008A338F"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HI-003-8</w:t>
            </w:r>
          </w:p>
        </w:tc>
        <w:tc>
          <w:tcPr>
            <w:tcW w:w="2083" w:type="dxa"/>
          </w:tcPr>
          <w:p w14:paraId="12DA6A7F" w14:textId="77777777" w:rsidR="008A338F" w:rsidRDefault="008A338F"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AECID</w:t>
            </w:r>
          </w:p>
        </w:tc>
        <w:tc>
          <w:tcPr>
            <w:tcW w:w="1895" w:type="dxa"/>
          </w:tcPr>
          <w:p w14:paraId="2C093632" w14:textId="77777777" w:rsidR="008A338F" w:rsidRDefault="008A338F" w:rsidP="00F51F74">
            <w:pPr>
              <w:jc w:val="right"/>
              <w:rPr>
                <w:rFonts w:ascii="Times New Roman" w:hAnsi="Times New Roman" w:cs="Times New Roman"/>
                <w:sz w:val="24"/>
                <w:szCs w:val="24"/>
                <w:lang w:val="es-ES_tradnl"/>
              </w:rPr>
            </w:pPr>
            <w:r>
              <w:rPr>
                <w:rFonts w:ascii="Times New Roman" w:hAnsi="Times New Roman" w:cs="Times New Roman"/>
                <w:sz w:val="24"/>
                <w:szCs w:val="24"/>
                <w:lang w:val="es-ES_tradnl"/>
              </w:rPr>
              <w:t>103,600,000</w:t>
            </w:r>
          </w:p>
        </w:tc>
      </w:tr>
      <w:tr w:rsidR="008A338F" w14:paraId="65B3233C" w14:textId="77777777" w:rsidTr="00B81B06">
        <w:tc>
          <w:tcPr>
            <w:tcW w:w="2958" w:type="dxa"/>
          </w:tcPr>
          <w:p w14:paraId="1AA9D2A1" w14:textId="77777777" w:rsidR="008A338F" w:rsidRDefault="008A338F" w:rsidP="00531467">
            <w:pPr>
              <w:rPr>
                <w:rFonts w:ascii="Times New Roman" w:hAnsi="Times New Roman" w:cs="Times New Roman"/>
                <w:sz w:val="24"/>
                <w:szCs w:val="24"/>
                <w:lang w:val="es-ES_tradnl"/>
              </w:rPr>
            </w:pPr>
            <w:r>
              <w:rPr>
                <w:rFonts w:ascii="Times New Roman" w:hAnsi="Times New Roman" w:cs="Times New Roman"/>
                <w:sz w:val="24"/>
                <w:szCs w:val="24"/>
                <w:lang w:val="es-ES_tradnl"/>
              </w:rPr>
              <w:t>Programa agua potable y saneamiento P</w:t>
            </w:r>
            <w:r w:rsidR="00531467">
              <w:rPr>
                <w:rFonts w:ascii="Times New Roman" w:hAnsi="Times New Roman" w:cs="Times New Roman"/>
                <w:sz w:val="24"/>
                <w:szCs w:val="24"/>
                <w:lang w:val="es-ES_tradnl"/>
              </w:rPr>
              <w:t>ort-au-Prince</w:t>
            </w:r>
            <w:r w:rsidR="00F51F74">
              <w:rPr>
                <w:rFonts w:ascii="Times New Roman" w:hAnsi="Times New Roman" w:cs="Times New Roman"/>
                <w:sz w:val="24"/>
                <w:szCs w:val="24"/>
                <w:lang w:val="es-ES_tradnl"/>
              </w:rPr>
              <w:t xml:space="preserve"> I </w:t>
            </w:r>
          </w:p>
        </w:tc>
        <w:tc>
          <w:tcPr>
            <w:tcW w:w="2640" w:type="dxa"/>
          </w:tcPr>
          <w:p w14:paraId="68D2BEEC" w14:textId="77777777" w:rsidR="00B81B06" w:rsidRDefault="008A338F"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2351/GR-HA</w:t>
            </w:r>
            <w:r w:rsidR="00B81B06">
              <w:rPr>
                <w:rFonts w:ascii="Times New Roman" w:hAnsi="Times New Roman" w:cs="Times New Roman"/>
                <w:sz w:val="24"/>
                <w:szCs w:val="24"/>
                <w:lang w:val="es-ES_tradnl"/>
              </w:rPr>
              <w:t xml:space="preserve"> </w:t>
            </w:r>
          </w:p>
          <w:p w14:paraId="04212996" w14:textId="77777777" w:rsidR="008A338F" w:rsidRDefault="00F51F74"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GRT/WS-12277-HA</w:t>
            </w:r>
          </w:p>
        </w:tc>
        <w:tc>
          <w:tcPr>
            <w:tcW w:w="2083" w:type="dxa"/>
          </w:tcPr>
          <w:p w14:paraId="34925931" w14:textId="77777777" w:rsidR="008A338F" w:rsidRDefault="008A338F"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BID/AECID</w:t>
            </w:r>
          </w:p>
        </w:tc>
        <w:tc>
          <w:tcPr>
            <w:tcW w:w="1895" w:type="dxa"/>
          </w:tcPr>
          <w:p w14:paraId="2C6F894C" w14:textId="77777777" w:rsidR="008A338F" w:rsidRDefault="008A338F" w:rsidP="00F51F74">
            <w:pPr>
              <w:jc w:val="right"/>
              <w:rPr>
                <w:rFonts w:ascii="Times New Roman" w:hAnsi="Times New Roman" w:cs="Times New Roman"/>
                <w:sz w:val="24"/>
                <w:szCs w:val="24"/>
                <w:lang w:val="es-ES_tradnl"/>
              </w:rPr>
            </w:pPr>
            <w:r>
              <w:rPr>
                <w:rFonts w:ascii="Times New Roman" w:hAnsi="Times New Roman" w:cs="Times New Roman"/>
                <w:sz w:val="24"/>
                <w:szCs w:val="24"/>
                <w:lang w:val="es-ES_tradnl"/>
              </w:rPr>
              <w:t>50,000,000</w:t>
            </w:r>
          </w:p>
        </w:tc>
      </w:tr>
      <w:tr w:rsidR="00F51F74" w:rsidRPr="00F51F74" w14:paraId="42A5CC4F" w14:textId="77777777" w:rsidTr="00B81B06">
        <w:tc>
          <w:tcPr>
            <w:tcW w:w="2958" w:type="dxa"/>
          </w:tcPr>
          <w:p w14:paraId="2806A999" w14:textId="77777777" w:rsidR="00F51F74" w:rsidRDefault="00F51F74" w:rsidP="00531467">
            <w:pPr>
              <w:rPr>
                <w:rFonts w:ascii="Times New Roman" w:hAnsi="Times New Roman" w:cs="Times New Roman"/>
                <w:sz w:val="24"/>
                <w:szCs w:val="24"/>
                <w:lang w:val="es-ES_tradnl"/>
              </w:rPr>
            </w:pPr>
            <w:r>
              <w:rPr>
                <w:rFonts w:ascii="Times New Roman" w:hAnsi="Times New Roman" w:cs="Times New Roman"/>
                <w:sz w:val="24"/>
                <w:szCs w:val="24"/>
                <w:lang w:val="es-ES_tradnl"/>
              </w:rPr>
              <w:t>Programa agua potable y saneamiento P</w:t>
            </w:r>
            <w:r w:rsidR="00531467">
              <w:rPr>
                <w:rFonts w:ascii="Times New Roman" w:hAnsi="Times New Roman" w:cs="Times New Roman"/>
                <w:sz w:val="24"/>
                <w:szCs w:val="24"/>
                <w:lang w:val="es-ES_tradnl"/>
              </w:rPr>
              <w:t>ort-au-Prince</w:t>
            </w:r>
            <w:r>
              <w:rPr>
                <w:rFonts w:ascii="Times New Roman" w:hAnsi="Times New Roman" w:cs="Times New Roman"/>
                <w:sz w:val="24"/>
                <w:szCs w:val="24"/>
                <w:lang w:val="es-ES_tradnl"/>
              </w:rPr>
              <w:t xml:space="preserve"> II</w:t>
            </w:r>
          </w:p>
        </w:tc>
        <w:tc>
          <w:tcPr>
            <w:tcW w:w="2640" w:type="dxa"/>
          </w:tcPr>
          <w:p w14:paraId="41B194D3" w14:textId="77777777" w:rsidR="00F51F74" w:rsidRDefault="00F51F74"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2946/GR-HA</w:t>
            </w:r>
          </w:p>
        </w:tc>
        <w:tc>
          <w:tcPr>
            <w:tcW w:w="2083" w:type="dxa"/>
          </w:tcPr>
          <w:p w14:paraId="182E12EA" w14:textId="77777777" w:rsidR="00F51F74" w:rsidRDefault="00F51F74"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BID</w:t>
            </w:r>
          </w:p>
        </w:tc>
        <w:tc>
          <w:tcPr>
            <w:tcW w:w="1895" w:type="dxa"/>
          </w:tcPr>
          <w:p w14:paraId="25B16BA4" w14:textId="77777777" w:rsidR="00F51F74" w:rsidRDefault="00F51F74" w:rsidP="00F51F74">
            <w:pPr>
              <w:jc w:val="right"/>
              <w:rPr>
                <w:rFonts w:ascii="Times New Roman" w:hAnsi="Times New Roman" w:cs="Times New Roman"/>
                <w:sz w:val="24"/>
                <w:szCs w:val="24"/>
                <w:lang w:val="es-ES_tradnl"/>
              </w:rPr>
            </w:pPr>
            <w:r>
              <w:rPr>
                <w:rFonts w:ascii="Times New Roman" w:hAnsi="Times New Roman" w:cs="Times New Roman"/>
                <w:sz w:val="24"/>
                <w:szCs w:val="24"/>
                <w:lang w:val="es-ES_tradnl"/>
              </w:rPr>
              <w:t>35,500,000</w:t>
            </w:r>
          </w:p>
        </w:tc>
      </w:tr>
      <w:tr w:rsidR="008A338F" w14:paraId="3C188E16" w14:textId="77777777" w:rsidTr="00B81B06">
        <w:tc>
          <w:tcPr>
            <w:tcW w:w="2958" w:type="dxa"/>
          </w:tcPr>
          <w:p w14:paraId="01C6CB15" w14:textId="77777777" w:rsidR="008A338F" w:rsidRDefault="008A338F" w:rsidP="00F51F74">
            <w:pPr>
              <w:rPr>
                <w:rFonts w:ascii="Times New Roman" w:hAnsi="Times New Roman" w:cs="Times New Roman"/>
                <w:sz w:val="24"/>
                <w:szCs w:val="24"/>
                <w:lang w:val="es-ES_tradnl"/>
              </w:rPr>
            </w:pPr>
            <w:r>
              <w:rPr>
                <w:rFonts w:ascii="Times New Roman" w:hAnsi="Times New Roman" w:cs="Times New Roman"/>
                <w:sz w:val="24"/>
                <w:szCs w:val="24"/>
                <w:lang w:val="es-ES_tradnl"/>
              </w:rPr>
              <w:t>Agua potable y saneamiento- ciudades intermedias II</w:t>
            </w:r>
          </w:p>
        </w:tc>
        <w:tc>
          <w:tcPr>
            <w:tcW w:w="2640" w:type="dxa"/>
          </w:tcPr>
          <w:p w14:paraId="40C00464" w14:textId="77777777" w:rsidR="008A338F" w:rsidRDefault="008A338F"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2190/GR-HA</w:t>
            </w:r>
          </w:p>
        </w:tc>
        <w:tc>
          <w:tcPr>
            <w:tcW w:w="2083" w:type="dxa"/>
          </w:tcPr>
          <w:p w14:paraId="506DFA33" w14:textId="77777777" w:rsidR="008A338F" w:rsidRDefault="008A338F"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BID-AECID</w:t>
            </w:r>
          </w:p>
        </w:tc>
        <w:tc>
          <w:tcPr>
            <w:tcW w:w="1895" w:type="dxa"/>
          </w:tcPr>
          <w:p w14:paraId="53F35CF4" w14:textId="77777777" w:rsidR="008A338F" w:rsidRDefault="008A338F" w:rsidP="00F51F74">
            <w:pPr>
              <w:jc w:val="right"/>
              <w:rPr>
                <w:rFonts w:ascii="Times New Roman" w:hAnsi="Times New Roman" w:cs="Times New Roman"/>
                <w:sz w:val="24"/>
                <w:szCs w:val="24"/>
                <w:lang w:val="es-ES_tradnl"/>
              </w:rPr>
            </w:pPr>
            <w:r>
              <w:rPr>
                <w:rFonts w:ascii="Times New Roman" w:hAnsi="Times New Roman" w:cs="Times New Roman"/>
                <w:sz w:val="24"/>
                <w:szCs w:val="24"/>
                <w:lang w:val="es-ES_tradnl"/>
              </w:rPr>
              <w:t>39,000,000</w:t>
            </w:r>
          </w:p>
        </w:tc>
      </w:tr>
      <w:tr w:rsidR="00F51F74" w:rsidRPr="00F51F74" w14:paraId="3EC02804" w14:textId="77777777" w:rsidTr="00B81B06">
        <w:tc>
          <w:tcPr>
            <w:tcW w:w="2958" w:type="dxa"/>
          </w:tcPr>
          <w:p w14:paraId="0A822E26" w14:textId="77777777" w:rsidR="00F51F74" w:rsidRDefault="00F51F74" w:rsidP="00F51F74">
            <w:pPr>
              <w:rPr>
                <w:rFonts w:ascii="Times New Roman" w:hAnsi="Times New Roman" w:cs="Times New Roman"/>
                <w:sz w:val="24"/>
                <w:szCs w:val="24"/>
                <w:lang w:val="es-ES_tradnl"/>
              </w:rPr>
            </w:pPr>
            <w:r>
              <w:rPr>
                <w:rFonts w:ascii="Times New Roman" w:hAnsi="Times New Roman" w:cs="Times New Roman"/>
                <w:sz w:val="24"/>
                <w:szCs w:val="24"/>
                <w:lang w:val="es-ES_tradnl"/>
              </w:rPr>
              <w:t>Reforma del sector e inversiones</w:t>
            </w:r>
          </w:p>
        </w:tc>
        <w:tc>
          <w:tcPr>
            <w:tcW w:w="2640" w:type="dxa"/>
          </w:tcPr>
          <w:p w14:paraId="786A9F56" w14:textId="77777777" w:rsidR="00F51F74" w:rsidRDefault="00F51F74"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900/OP-HA</w:t>
            </w:r>
          </w:p>
        </w:tc>
        <w:tc>
          <w:tcPr>
            <w:tcW w:w="2083" w:type="dxa"/>
          </w:tcPr>
          <w:p w14:paraId="0118B7C0" w14:textId="77777777" w:rsidR="00F51F74" w:rsidRDefault="00F51F74"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OPEP</w:t>
            </w:r>
          </w:p>
        </w:tc>
        <w:tc>
          <w:tcPr>
            <w:tcW w:w="1895" w:type="dxa"/>
          </w:tcPr>
          <w:p w14:paraId="56F5426C" w14:textId="77777777" w:rsidR="00F51F74" w:rsidRDefault="00F51F74" w:rsidP="00F51F74">
            <w:pPr>
              <w:jc w:val="right"/>
              <w:rPr>
                <w:rFonts w:ascii="Times New Roman" w:hAnsi="Times New Roman" w:cs="Times New Roman"/>
                <w:sz w:val="24"/>
                <w:szCs w:val="24"/>
                <w:lang w:val="es-ES_tradnl"/>
              </w:rPr>
            </w:pPr>
            <w:r>
              <w:rPr>
                <w:rFonts w:ascii="Times New Roman" w:hAnsi="Times New Roman" w:cs="Times New Roman"/>
                <w:sz w:val="24"/>
                <w:szCs w:val="24"/>
                <w:lang w:val="es-ES_tradnl"/>
              </w:rPr>
              <w:t>6,600,000</w:t>
            </w:r>
          </w:p>
        </w:tc>
      </w:tr>
      <w:tr w:rsidR="008A338F" w14:paraId="7279FA8C" w14:textId="77777777" w:rsidTr="00B81B06">
        <w:tc>
          <w:tcPr>
            <w:tcW w:w="2958" w:type="dxa"/>
          </w:tcPr>
          <w:p w14:paraId="0CB8567C" w14:textId="77777777" w:rsidR="008A338F" w:rsidRDefault="008A338F" w:rsidP="00F51F74">
            <w:pPr>
              <w:rPr>
                <w:rFonts w:ascii="Times New Roman" w:hAnsi="Times New Roman" w:cs="Times New Roman"/>
                <w:sz w:val="24"/>
                <w:szCs w:val="24"/>
                <w:lang w:val="es-ES_tradnl"/>
              </w:rPr>
            </w:pPr>
            <w:r>
              <w:rPr>
                <w:rFonts w:ascii="Times New Roman" w:hAnsi="Times New Roman" w:cs="Times New Roman"/>
                <w:sz w:val="24"/>
                <w:szCs w:val="24"/>
                <w:lang w:val="es-ES_tradnl"/>
              </w:rPr>
              <w:t>Agua potable y saneamiento rural II</w:t>
            </w:r>
          </w:p>
        </w:tc>
        <w:tc>
          <w:tcPr>
            <w:tcW w:w="2640" w:type="dxa"/>
          </w:tcPr>
          <w:p w14:paraId="3B13B6E7" w14:textId="77777777" w:rsidR="008A338F" w:rsidRDefault="008A338F"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GRT/WS-12147-HA</w:t>
            </w:r>
          </w:p>
        </w:tc>
        <w:tc>
          <w:tcPr>
            <w:tcW w:w="2083" w:type="dxa"/>
          </w:tcPr>
          <w:p w14:paraId="59288875" w14:textId="77777777" w:rsidR="008A338F" w:rsidRDefault="008A338F"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AECID/BID</w:t>
            </w:r>
          </w:p>
        </w:tc>
        <w:tc>
          <w:tcPr>
            <w:tcW w:w="1895" w:type="dxa"/>
          </w:tcPr>
          <w:p w14:paraId="4D08493D" w14:textId="77777777" w:rsidR="008A338F" w:rsidRDefault="008A338F" w:rsidP="00F51F74">
            <w:pPr>
              <w:jc w:val="right"/>
              <w:rPr>
                <w:rFonts w:ascii="Times New Roman" w:hAnsi="Times New Roman" w:cs="Times New Roman"/>
                <w:sz w:val="24"/>
                <w:szCs w:val="24"/>
                <w:lang w:val="es-ES_tradnl"/>
              </w:rPr>
            </w:pPr>
            <w:r>
              <w:rPr>
                <w:rFonts w:ascii="Times New Roman" w:hAnsi="Times New Roman" w:cs="Times New Roman"/>
                <w:sz w:val="24"/>
                <w:szCs w:val="24"/>
                <w:lang w:val="es-ES_tradnl"/>
              </w:rPr>
              <w:t>10,000,000</w:t>
            </w:r>
          </w:p>
        </w:tc>
      </w:tr>
      <w:tr w:rsidR="00EE3500" w:rsidRPr="00EE3500" w14:paraId="1E7D0079" w14:textId="77777777" w:rsidTr="00F67028">
        <w:tc>
          <w:tcPr>
            <w:tcW w:w="9576" w:type="dxa"/>
            <w:gridSpan w:val="4"/>
          </w:tcPr>
          <w:p w14:paraId="345F110A" w14:textId="77777777" w:rsidR="00EE3500" w:rsidRPr="00EE3500" w:rsidRDefault="00EE3500" w:rsidP="00EE3500">
            <w:pPr>
              <w:jc w:val="center"/>
              <w:rPr>
                <w:rFonts w:ascii="Times New Roman" w:hAnsi="Times New Roman" w:cs="Times New Roman"/>
                <w:b/>
                <w:sz w:val="24"/>
                <w:szCs w:val="24"/>
                <w:lang w:val="es-ES_tradnl"/>
              </w:rPr>
            </w:pPr>
            <w:r w:rsidRPr="00EE3500">
              <w:rPr>
                <w:rFonts w:ascii="Times New Roman" w:hAnsi="Times New Roman" w:cs="Times New Roman"/>
                <w:b/>
                <w:sz w:val="24"/>
                <w:szCs w:val="24"/>
                <w:lang w:val="es-ES_tradnl"/>
              </w:rPr>
              <w:t>OTROS DONANTES</w:t>
            </w:r>
          </w:p>
        </w:tc>
      </w:tr>
      <w:tr w:rsidR="00F51F74" w:rsidRPr="00F51F74" w14:paraId="65D3F67B" w14:textId="77777777" w:rsidTr="00B81B06">
        <w:tc>
          <w:tcPr>
            <w:tcW w:w="2958" w:type="dxa"/>
          </w:tcPr>
          <w:p w14:paraId="5FF72613" w14:textId="77777777" w:rsidR="00F51F74" w:rsidRPr="008C5AFC" w:rsidRDefault="008C5AFC" w:rsidP="008C5AFC">
            <w:pPr>
              <w:rPr>
                <w:rFonts w:ascii="Times New Roman" w:hAnsi="Times New Roman" w:cs="Times New Roman"/>
                <w:sz w:val="24"/>
                <w:szCs w:val="24"/>
                <w:lang w:val="es-ES_tradnl"/>
              </w:rPr>
            </w:pPr>
            <w:r w:rsidRPr="008C5AFC">
              <w:rPr>
                <w:rFonts w:ascii="Times New Roman" w:hAnsi="Times New Roman" w:cs="Times New Roman"/>
                <w:sz w:val="24"/>
                <w:szCs w:val="24"/>
                <w:lang w:val="es-ES_tradnl"/>
              </w:rPr>
              <w:t>Agua potable y saneamiento durable en medio rural</w:t>
            </w:r>
          </w:p>
        </w:tc>
        <w:tc>
          <w:tcPr>
            <w:tcW w:w="2640" w:type="dxa"/>
          </w:tcPr>
          <w:p w14:paraId="0AF8FCCE" w14:textId="77777777" w:rsidR="00F51F74" w:rsidRPr="008C5AFC" w:rsidRDefault="008C5AFC" w:rsidP="00F51F74">
            <w:pPr>
              <w:jc w:val="center"/>
              <w:rPr>
                <w:rFonts w:ascii="Times New Roman" w:hAnsi="Times New Roman" w:cs="Times New Roman"/>
                <w:sz w:val="24"/>
                <w:szCs w:val="24"/>
                <w:lang w:val="es-ES_tradnl"/>
              </w:rPr>
            </w:pPr>
            <w:r w:rsidRPr="008C5AFC">
              <w:rPr>
                <w:rFonts w:ascii="Times New Roman" w:hAnsi="Times New Roman" w:cs="Times New Roman"/>
                <w:sz w:val="24"/>
                <w:szCs w:val="24"/>
                <w:lang w:val="es-ES_tradnl"/>
              </w:rPr>
              <w:t>IDA Q9370</w:t>
            </w:r>
          </w:p>
        </w:tc>
        <w:tc>
          <w:tcPr>
            <w:tcW w:w="2083" w:type="dxa"/>
          </w:tcPr>
          <w:p w14:paraId="7A9C377A" w14:textId="77777777" w:rsidR="00F51F74" w:rsidRPr="008C5AFC" w:rsidRDefault="00F51F74" w:rsidP="00F51F74">
            <w:pPr>
              <w:jc w:val="center"/>
              <w:rPr>
                <w:rFonts w:ascii="Times New Roman" w:hAnsi="Times New Roman" w:cs="Times New Roman"/>
                <w:sz w:val="24"/>
                <w:szCs w:val="24"/>
                <w:lang w:val="es-ES_tradnl"/>
              </w:rPr>
            </w:pPr>
            <w:r w:rsidRPr="008C5AFC">
              <w:rPr>
                <w:rFonts w:ascii="Times New Roman" w:hAnsi="Times New Roman" w:cs="Times New Roman"/>
                <w:sz w:val="24"/>
                <w:szCs w:val="24"/>
                <w:lang w:val="es-ES_tradnl"/>
              </w:rPr>
              <w:t>Banco Mundial</w:t>
            </w:r>
          </w:p>
        </w:tc>
        <w:tc>
          <w:tcPr>
            <w:tcW w:w="1895" w:type="dxa"/>
          </w:tcPr>
          <w:p w14:paraId="407F3253" w14:textId="77777777" w:rsidR="00F51F74" w:rsidRPr="00F51F74" w:rsidRDefault="00F51F74" w:rsidP="00F51F74">
            <w:pPr>
              <w:jc w:val="right"/>
              <w:rPr>
                <w:rFonts w:ascii="Times New Roman" w:hAnsi="Times New Roman" w:cs="Times New Roman"/>
                <w:sz w:val="24"/>
                <w:szCs w:val="24"/>
                <w:lang w:val="es-ES_tradnl"/>
              </w:rPr>
            </w:pPr>
            <w:r w:rsidRPr="008C5AFC">
              <w:rPr>
                <w:rFonts w:ascii="Times New Roman" w:hAnsi="Times New Roman" w:cs="Times New Roman"/>
                <w:sz w:val="24"/>
                <w:szCs w:val="24"/>
                <w:lang w:val="es-ES_tradnl"/>
              </w:rPr>
              <w:t>50,000,000</w:t>
            </w:r>
          </w:p>
        </w:tc>
      </w:tr>
      <w:tr w:rsidR="008C5AFC" w:rsidRPr="008C5AFC" w14:paraId="3F479DB7" w14:textId="77777777" w:rsidTr="00B81B06">
        <w:tc>
          <w:tcPr>
            <w:tcW w:w="2958" w:type="dxa"/>
          </w:tcPr>
          <w:p w14:paraId="18C044DB" w14:textId="77777777" w:rsidR="008C5AFC" w:rsidRPr="008C5AFC" w:rsidRDefault="008C5AFC" w:rsidP="008C5AFC">
            <w:pPr>
              <w:rPr>
                <w:rFonts w:ascii="Times New Roman" w:hAnsi="Times New Roman" w:cs="Times New Roman"/>
                <w:sz w:val="24"/>
                <w:szCs w:val="24"/>
                <w:lang w:val="es-ES_tradnl"/>
              </w:rPr>
            </w:pPr>
            <w:r>
              <w:rPr>
                <w:rFonts w:ascii="Times New Roman" w:hAnsi="Times New Roman" w:cs="Times New Roman"/>
                <w:sz w:val="24"/>
                <w:szCs w:val="24"/>
                <w:lang w:val="es-ES_tradnl"/>
              </w:rPr>
              <w:t>Construcción de un sistema de agua potable en Leogane</w:t>
            </w:r>
          </w:p>
        </w:tc>
        <w:tc>
          <w:tcPr>
            <w:tcW w:w="2640" w:type="dxa"/>
          </w:tcPr>
          <w:p w14:paraId="5A9CC793" w14:textId="77777777" w:rsidR="008C5AFC" w:rsidRPr="008C5AFC" w:rsidRDefault="008C5AFC" w:rsidP="00F51F74">
            <w:pPr>
              <w:jc w:val="center"/>
              <w:rPr>
                <w:rFonts w:ascii="Times New Roman" w:hAnsi="Times New Roman" w:cs="Times New Roman"/>
                <w:sz w:val="24"/>
                <w:szCs w:val="24"/>
                <w:lang w:val="es-ES_tradnl"/>
              </w:rPr>
            </w:pPr>
            <w:r w:rsidRPr="008C5AFC">
              <w:rPr>
                <w:rFonts w:ascii="Times New Roman" w:hAnsi="Times New Roman" w:cs="Times New Roman"/>
                <w:sz w:val="24"/>
                <w:szCs w:val="24"/>
                <w:lang w:val="es-ES_tradnl"/>
              </w:rPr>
              <w:t>1360920</w:t>
            </w:r>
          </w:p>
        </w:tc>
        <w:tc>
          <w:tcPr>
            <w:tcW w:w="2083" w:type="dxa"/>
          </w:tcPr>
          <w:p w14:paraId="39B5B6EC" w14:textId="77777777" w:rsidR="008C5AFC" w:rsidRPr="008C5AFC" w:rsidRDefault="008C5AFC"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Japón</w:t>
            </w:r>
          </w:p>
        </w:tc>
        <w:tc>
          <w:tcPr>
            <w:tcW w:w="1895" w:type="dxa"/>
          </w:tcPr>
          <w:p w14:paraId="5183512A" w14:textId="77777777" w:rsidR="008C5AFC" w:rsidRPr="008C5AFC" w:rsidRDefault="008C5AFC" w:rsidP="00F51F74">
            <w:pPr>
              <w:jc w:val="right"/>
              <w:rPr>
                <w:rFonts w:ascii="Times New Roman" w:hAnsi="Times New Roman" w:cs="Times New Roman"/>
                <w:sz w:val="24"/>
                <w:szCs w:val="24"/>
                <w:lang w:val="es-ES_tradnl"/>
              </w:rPr>
            </w:pPr>
            <w:r w:rsidRPr="008C5AFC">
              <w:rPr>
                <w:rFonts w:ascii="Times New Roman" w:hAnsi="Times New Roman" w:cs="Times New Roman"/>
                <w:sz w:val="24"/>
                <w:szCs w:val="24"/>
                <w:lang w:val="es-ES_tradnl"/>
              </w:rPr>
              <w:t>4</w:t>
            </w:r>
            <w:r>
              <w:rPr>
                <w:rFonts w:ascii="Times New Roman" w:hAnsi="Times New Roman" w:cs="Times New Roman"/>
                <w:sz w:val="24"/>
                <w:szCs w:val="24"/>
                <w:lang w:val="es-ES_tradnl"/>
              </w:rPr>
              <w:t>,</w:t>
            </w:r>
            <w:r w:rsidRPr="008C5AFC">
              <w:rPr>
                <w:rFonts w:ascii="Times New Roman" w:hAnsi="Times New Roman" w:cs="Times New Roman"/>
                <w:sz w:val="24"/>
                <w:szCs w:val="24"/>
                <w:lang w:val="es-ES_tradnl"/>
              </w:rPr>
              <w:t>641</w:t>
            </w:r>
            <w:r>
              <w:rPr>
                <w:rFonts w:ascii="Times New Roman" w:hAnsi="Times New Roman" w:cs="Times New Roman"/>
                <w:sz w:val="24"/>
                <w:szCs w:val="24"/>
                <w:lang w:val="es-ES_tradnl"/>
              </w:rPr>
              <w:t>,</w:t>
            </w:r>
            <w:r w:rsidRPr="008C5AFC">
              <w:rPr>
                <w:rFonts w:ascii="Times New Roman" w:hAnsi="Times New Roman" w:cs="Times New Roman"/>
                <w:sz w:val="24"/>
                <w:szCs w:val="24"/>
                <w:lang w:val="es-ES_tradnl"/>
              </w:rPr>
              <w:t>207</w:t>
            </w:r>
          </w:p>
        </w:tc>
      </w:tr>
      <w:tr w:rsidR="008C5AFC" w:rsidRPr="008C5AFC" w14:paraId="1B159C31" w14:textId="77777777" w:rsidTr="00B81B06">
        <w:tc>
          <w:tcPr>
            <w:tcW w:w="2958" w:type="dxa"/>
          </w:tcPr>
          <w:p w14:paraId="5441B9E1" w14:textId="77777777" w:rsidR="008C5AFC" w:rsidRPr="008C5AFC" w:rsidRDefault="008C5AFC" w:rsidP="008C5AFC">
            <w:pPr>
              <w:rPr>
                <w:rFonts w:ascii="Times New Roman" w:hAnsi="Times New Roman" w:cs="Times New Roman"/>
                <w:sz w:val="24"/>
                <w:szCs w:val="24"/>
                <w:lang w:val="es-ES_tradnl"/>
              </w:rPr>
            </w:pPr>
            <w:r>
              <w:rPr>
                <w:rFonts w:ascii="Times New Roman" w:hAnsi="Times New Roman" w:cs="Times New Roman"/>
                <w:sz w:val="24"/>
                <w:szCs w:val="24"/>
                <w:lang w:val="es-ES_tradnl"/>
              </w:rPr>
              <w:t>Proyecto de control de calidad del agua en medio rural</w:t>
            </w:r>
          </w:p>
        </w:tc>
        <w:tc>
          <w:tcPr>
            <w:tcW w:w="2640" w:type="dxa"/>
          </w:tcPr>
          <w:p w14:paraId="6CBB2E55" w14:textId="77777777" w:rsidR="008C5AFC" w:rsidRPr="008C5AFC" w:rsidRDefault="008C5AFC"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N/D</w:t>
            </w:r>
          </w:p>
        </w:tc>
        <w:tc>
          <w:tcPr>
            <w:tcW w:w="2083" w:type="dxa"/>
          </w:tcPr>
          <w:p w14:paraId="2C3C1DE8" w14:textId="77777777" w:rsidR="008C5AFC" w:rsidRPr="008C5AFC" w:rsidRDefault="008C5AFC"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Suiza</w:t>
            </w:r>
          </w:p>
        </w:tc>
        <w:tc>
          <w:tcPr>
            <w:tcW w:w="1895" w:type="dxa"/>
          </w:tcPr>
          <w:p w14:paraId="2B7BAACD" w14:textId="77777777" w:rsidR="008C5AFC" w:rsidRPr="008C5AFC" w:rsidRDefault="008C5AFC" w:rsidP="00F51F74">
            <w:pPr>
              <w:jc w:val="right"/>
              <w:rPr>
                <w:rFonts w:ascii="Times New Roman" w:hAnsi="Times New Roman" w:cs="Times New Roman"/>
                <w:sz w:val="24"/>
                <w:szCs w:val="24"/>
                <w:lang w:val="es-ES_tradnl"/>
              </w:rPr>
            </w:pPr>
            <w:r w:rsidRPr="008C5AFC">
              <w:rPr>
                <w:rFonts w:ascii="Times New Roman" w:hAnsi="Times New Roman" w:cs="Times New Roman"/>
                <w:sz w:val="24"/>
                <w:szCs w:val="24"/>
                <w:lang w:val="es-ES_tradnl"/>
              </w:rPr>
              <w:t>1</w:t>
            </w:r>
            <w:r>
              <w:rPr>
                <w:rFonts w:ascii="Times New Roman" w:hAnsi="Times New Roman" w:cs="Times New Roman"/>
                <w:sz w:val="24"/>
                <w:szCs w:val="24"/>
                <w:lang w:val="es-ES_tradnl"/>
              </w:rPr>
              <w:t>,</w:t>
            </w:r>
            <w:r w:rsidRPr="008C5AFC">
              <w:rPr>
                <w:rFonts w:ascii="Times New Roman" w:hAnsi="Times New Roman" w:cs="Times New Roman"/>
                <w:sz w:val="24"/>
                <w:szCs w:val="24"/>
                <w:lang w:val="es-ES_tradnl"/>
              </w:rPr>
              <w:t>047</w:t>
            </w:r>
            <w:r>
              <w:rPr>
                <w:rFonts w:ascii="Times New Roman" w:hAnsi="Times New Roman" w:cs="Times New Roman"/>
                <w:sz w:val="24"/>
                <w:szCs w:val="24"/>
                <w:lang w:val="es-ES_tradnl"/>
              </w:rPr>
              <w:t>,</w:t>
            </w:r>
            <w:r w:rsidRPr="008C5AFC">
              <w:rPr>
                <w:rFonts w:ascii="Times New Roman" w:hAnsi="Times New Roman" w:cs="Times New Roman"/>
                <w:sz w:val="24"/>
                <w:szCs w:val="24"/>
                <w:lang w:val="es-ES_tradnl"/>
              </w:rPr>
              <w:t>337</w:t>
            </w:r>
          </w:p>
        </w:tc>
      </w:tr>
      <w:tr w:rsidR="008C5AFC" w:rsidRPr="008C5AFC" w14:paraId="1C148507" w14:textId="77777777" w:rsidTr="00B81B06">
        <w:tc>
          <w:tcPr>
            <w:tcW w:w="2958" w:type="dxa"/>
          </w:tcPr>
          <w:p w14:paraId="7DF2BBF3" w14:textId="77777777" w:rsidR="008C5AFC" w:rsidRPr="008C5AFC" w:rsidRDefault="008C5AFC" w:rsidP="008C5AFC">
            <w:pPr>
              <w:rPr>
                <w:rFonts w:ascii="Times New Roman" w:hAnsi="Times New Roman" w:cs="Times New Roman"/>
                <w:sz w:val="24"/>
                <w:szCs w:val="24"/>
                <w:lang w:val="es-ES_tradnl"/>
              </w:rPr>
            </w:pPr>
            <w:r>
              <w:rPr>
                <w:rFonts w:ascii="Times New Roman" w:hAnsi="Times New Roman" w:cs="Times New Roman"/>
                <w:sz w:val="24"/>
                <w:szCs w:val="24"/>
                <w:lang w:val="es-ES_tradnl"/>
              </w:rPr>
              <w:t>Proyecto de apoyo a la salud materna e infantil</w:t>
            </w:r>
          </w:p>
        </w:tc>
        <w:tc>
          <w:tcPr>
            <w:tcW w:w="2640" w:type="dxa"/>
          </w:tcPr>
          <w:p w14:paraId="6782AB80" w14:textId="77777777" w:rsidR="008C5AFC" w:rsidRPr="008C5AFC" w:rsidRDefault="008C5AFC"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N/D</w:t>
            </w:r>
          </w:p>
        </w:tc>
        <w:tc>
          <w:tcPr>
            <w:tcW w:w="2083" w:type="dxa"/>
          </w:tcPr>
          <w:p w14:paraId="465C6F5E" w14:textId="77777777" w:rsidR="008C5AFC" w:rsidRPr="008C5AFC" w:rsidRDefault="008C5AFC" w:rsidP="00F51F74">
            <w:pPr>
              <w:jc w:val="center"/>
              <w:rPr>
                <w:rFonts w:ascii="Times New Roman" w:hAnsi="Times New Roman" w:cs="Times New Roman"/>
                <w:sz w:val="24"/>
                <w:szCs w:val="24"/>
                <w:lang w:val="es-ES_tradnl"/>
              </w:rPr>
            </w:pPr>
            <w:r>
              <w:rPr>
                <w:rFonts w:ascii="Times New Roman" w:hAnsi="Times New Roman" w:cs="Times New Roman"/>
                <w:sz w:val="24"/>
                <w:szCs w:val="24"/>
                <w:lang w:val="es-ES_tradnl"/>
              </w:rPr>
              <w:t>Banco Mundial</w:t>
            </w:r>
          </w:p>
        </w:tc>
        <w:tc>
          <w:tcPr>
            <w:tcW w:w="1895" w:type="dxa"/>
          </w:tcPr>
          <w:p w14:paraId="09A9F3F3" w14:textId="77777777" w:rsidR="008C5AFC" w:rsidRPr="008C5AFC" w:rsidRDefault="008C5AFC" w:rsidP="00F51F74">
            <w:pPr>
              <w:jc w:val="right"/>
              <w:rPr>
                <w:rFonts w:ascii="Times New Roman" w:hAnsi="Times New Roman" w:cs="Times New Roman"/>
                <w:sz w:val="24"/>
                <w:szCs w:val="24"/>
                <w:lang w:val="es-ES_tradnl"/>
              </w:rPr>
            </w:pPr>
            <w:r>
              <w:rPr>
                <w:rFonts w:ascii="Times New Roman" w:hAnsi="Times New Roman" w:cs="Times New Roman"/>
                <w:sz w:val="24"/>
                <w:szCs w:val="24"/>
                <w:lang w:val="es-ES_tradnl"/>
              </w:rPr>
              <w:t>876,153</w:t>
            </w:r>
          </w:p>
        </w:tc>
      </w:tr>
      <w:tr w:rsidR="00924A56" w:rsidRPr="00EE3500" w14:paraId="042CC2B0" w14:textId="77777777" w:rsidTr="00B81B06">
        <w:tc>
          <w:tcPr>
            <w:tcW w:w="2958" w:type="dxa"/>
          </w:tcPr>
          <w:p w14:paraId="012A0B3F" w14:textId="77777777" w:rsidR="00924A56" w:rsidRPr="00924A56" w:rsidRDefault="00924A56" w:rsidP="00FA25AE">
            <w:pPr>
              <w:jc w:val="both"/>
              <w:rPr>
                <w:rFonts w:ascii="Times New Roman" w:hAnsi="Times New Roman" w:cs="Times New Roman"/>
                <w:b/>
                <w:sz w:val="24"/>
                <w:szCs w:val="24"/>
                <w:lang w:val="es-ES_tradnl"/>
              </w:rPr>
            </w:pPr>
            <w:r w:rsidRPr="00924A56">
              <w:rPr>
                <w:rFonts w:ascii="Times New Roman" w:hAnsi="Times New Roman" w:cs="Times New Roman"/>
                <w:b/>
                <w:sz w:val="24"/>
                <w:szCs w:val="24"/>
                <w:lang w:val="es-ES_tradnl"/>
              </w:rPr>
              <w:t>TOTAL</w:t>
            </w:r>
          </w:p>
        </w:tc>
        <w:tc>
          <w:tcPr>
            <w:tcW w:w="2640" w:type="dxa"/>
          </w:tcPr>
          <w:p w14:paraId="54A1CD10" w14:textId="77777777" w:rsidR="00924A56" w:rsidRPr="00924A56" w:rsidRDefault="00924A56" w:rsidP="00FA25AE">
            <w:pPr>
              <w:jc w:val="both"/>
              <w:rPr>
                <w:rFonts w:ascii="Times New Roman" w:hAnsi="Times New Roman" w:cs="Times New Roman"/>
                <w:b/>
                <w:sz w:val="24"/>
                <w:szCs w:val="24"/>
                <w:lang w:val="es-ES_tradnl"/>
              </w:rPr>
            </w:pPr>
          </w:p>
        </w:tc>
        <w:tc>
          <w:tcPr>
            <w:tcW w:w="2083" w:type="dxa"/>
          </w:tcPr>
          <w:p w14:paraId="0A1882E8" w14:textId="77777777" w:rsidR="00924A56" w:rsidRPr="00924A56" w:rsidRDefault="00924A56" w:rsidP="00EE3500">
            <w:pPr>
              <w:jc w:val="both"/>
              <w:rPr>
                <w:rFonts w:ascii="Times New Roman" w:hAnsi="Times New Roman" w:cs="Times New Roman"/>
                <w:b/>
                <w:sz w:val="24"/>
                <w:szCs w:val="24"/>
                <w:lang w:val="es-ES_tradnl"/>
              </w:rPr>
            </w:pPr>
          </w:p>
        </w:tc>
        <w:tc>
          <w:tcPr>
            <w:tcW w:w="1895" w:type="dxa"/>
          </w:tcPr>
          <w:p w14:paraId="7B648D7C" w14:textId="77777777" w:rsidR="00924A56" w:rsidRPr="00924A56" w:rsidRDefault="008C5AFC" w:rsidP="00F51F74">
            <w:pPr>
              <w:jc w:val="right"/>
              <w:rPr>
                <w:rFonts w:ascii="Times New Roman" w:hAnsi="Times New Roman" w:cs="Times New Roman"/>
                <w:b/>
                <w:sz w:val="24"/>
                <w:szCs w:val="24"/>
                <w:lang w:val="es-ES_tradnl"/>
              </w:rPr>
            </w:pPr>
            <w:r>
              <w:rPr>
                <w:rFonts w:ascii="Times New Roman" w:hAnsi="Times New Roman" w:cs="Times New Roman"/>
                <w:b/>
                <w:sz w:val="24"/>
                <w:szCs w:val="24"/>
                <w:lang w:val="es-ES_tradnl"/>
              </w:rPr>
              <w:t>301,264,697</w:t>
            </w:r>
          </w:p>
        </w:tc>
      </w:tr>
    </w:tbl>
    <w:p w14:paraId="11C1B2BF" w14:textId="77777777" w:rsidR="00E42DAE" w:rsidRDefault="00E42DAE" w:rsidP="008661E6">
      <w:pPr>
        <w:jc w:val="both"/>
        <w:rPr>
          <w:rFonts w:ascii="Times New Roman" w:hAnsi="Times New Roman" w:cs="Times New Roman"/>
          <w:sz w:val="24"/>
          <w:szCs w:val="24"/>
          <w:lang w:val="es-ES_tradnl"/>
        </w:rPr>
      </w:pPr>
    </w:p>
    <w:p w14:paraId="5513F3C5" w14:textId="77777777" w:rsidR="008661E6" w:rsidRPr="008C5AFC" w:rsidRDefault="008661E6" w:rsidP="008661E6">
      <w:pPr>
        <w:jc w:val="both"/>
        <w:rPr>
          <w:rFonts w:ascii="Times New Roman" w:hAnsi="Times New Roman" w:cs="Times New Roman"/>
          <w:sz w:val="24"/>
          <w:szCs w:val="24"/>
          <w:lang w:val="es-ES_tradnl"/>
        </w:rPr>
      </w:pPr>
      <w:r w:rsidRPr="00D530FB">
        <w:rPr>
          <w:rFonts w:ascii="Times New Roman" w:hAnsi="Times New Roman" w:cs="Times New Roman"/>
          <w:sz w:val="24"/>
          <w:szCs w:val="24"/>
          <w:lang w:val="es-ES_tradnl"/>
        </w:rPr>
        <w:t>El Director General es nombrado por Decreto Presidencial</w:t>
      </w:r>
      <w:r>
        <w:rPr>
          <w:rFonts w:ascii="Times New Roman" w:hAnsi="Times New Roman" w:cs="Times New Roman"/>
          <w:sz w:val="24"/>
          <w:szCs w:val="24"/>
          <w:lang w:val="es-ES_tradnl"/>
        </w:rPr>
        <w:t xml:space="preserve">. </w:t>
      </w:r>
      <w:r w:rsidRPr="00D530FB">
        <w:rPr>
          <w:rFonts w:ascii="Times New Roman" w:hAnsi="Times New Roman" w:cs="Times New Roman"/>
          <w:sz w:val="24"/>
          <w:szCs w:val="24"/>
          <w:lang w:val="es-ES_tradnl"/>
        </w:rPr>
        <w:t xml:space="preserve">El Consejo de Administración comprende </w:t>
      </w:r>
      <w:r w:rsidR="00E81EC0">
        <w:rPr>
          <w:rFonts w:ascii="Times New Roman" w:hAnsi="Times New Roman" w:cs="Times New Roman"/>
          <w:sz w:val="24"/>
          <w:szCs w:val="24"/>
          <w:lang w:val="es-ES_tradnl"/>
        </w:rPr>
        <w:t>7</w:t>
      </w:r>
      <w:r w:rsidRPr="00D530FB">
        <w:rPr>
          <w:rFonts w:ascii="Times New Roman" w:hAnsi="Times New Roman" w:cs="Times New Roman"/>
          <w:sz w:val="24"/>
          <w:szCs w:val="24"/>
          <w:lang w:val="es-ES_tradnl"/>
        </w:rPr>
        <w:t xml:space="preserve"> miembros (el Ministro de MTPTC quien es el Presidente del Consejo, el  representante del ministro de Economía y Finanzas, quien es el Vice-Presidente del Consejo, </w:t>
      </w:r>
      <w:r w:rsidR="00E81EC0">
        <w:rPr>
          <w:rFonts w:ascii="Times New Roman" w:hAnsi="Times New Roman" w:cs="Times New Roman"/>
          <w:sz w:val="24"/>
          <w:szCs w:val="24"/>
          <w:lang w:val="es-ES_tradnl"/>
        </w:rPr>
        <w:t>E</w:t>
      </w:r>
      <w:r w:rsidR="000E71CA">
        <w:rPr>
          <w:rFonts w:ascii="Times New Roman" w:hAnsi="Times New Roman" w:cs="Times New Roman"/>
          <w:sz w:val="24"/>
          <w:szCs w:val="24"/>
          <w:lang w:val="es-ES_tradnl"/>
        </w:rPr>
        <w:t>l</w:t>
      </w:r>
      <w:r w:rsidR="00E81EC0">
        <w:rPr>
          <w:rFonts w:ascii="Times New Roman" w:hAnsi="Times New Roman" w:cs="Times New Roman"/>
          <w:sz w:val="24"/>
          <w:szCs w:val="24"/>
          <w:lang w:val="es-ES_tradnl"/>
        </w:rPr>
        <w:t xml:space="preserve"> Director general de la DINEPA como secretaria executivo del Consejo </w:t>
      </w:r>
      <w:r w:rsidRPr="00D530FB">
        <w:rPr>
          <w:rFonts w:ascii="Times New Roman" w:hAnsi="Times New Roman" w:cs="Times New Roman"/>
          <w:sz w:val="24"/>
          <w:szCs w:val="24"/>
          <w:lang w:val="es-ES_tradnl"/>
        </w:rPr>
        <w:t>y son representados tambi</w:t>
      </w:r>
      <w:r>
        <w:rPr>
          <w:rFonts w:ascii="Times New Roman" w:hAnsi="Times New Roman" w:cs="Times New Roman"/>
          <w:sz w:val="24"/>
          <w:szCs w:val="24"/>
          <w:lang w:val="es-ES_tradnl"/>
        </w:rPr>
        <w:t>én</w:t>
      </w:r>
      <w:r w:rsidRPr="00D530FB">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el</w:t>
      </w:r>
      <w:r w:rsidRPr="00D530FB">
        <w:rPr>
          <w:rFonts w:ascii="Times New Roman" w:hAnsi="Times New Roman" w:cs="Times New Roman"/>
          <w:sz w:val="24"/>
          <w:szCs w:val="24"/>
          <w:lang w:val="es-ES_tradnl"/>
        </w:rPr>
        <w:t xml:space="preserve"> Ministr</w:t>
      </w:r>
      <w:r>
        <w:rPr>
          <w:rFonts w:ascii="Times New Roman" w:hAnsi="Times New Roman" w:cs="Times New Roman"/>
          <w:sz w:val="24"/>
          <w:szCs w:val="24"/>
          <w:lang w:val="es-ES_tradnl"/>
        </w:rPr>
        <w:t>o</w:t>
      </w:r>
      <w:r w:rsidRPr="00D530FB">
        <w:rPr>
          <w:rFonts w:ascii="Times New Roman" w:hAnsi="Times New Roman" w:cs="Times New Roman"/>
          <w:sz w:val="24"/>
          <w:szCs w:val="24"/>
          <w:lang w:val="es-ES_tradnl"/>
        </w:rPr>
        <w:t xml:space="preserve"> de</w:t>
      </w:r>
      <w:r>
        <w:rPr>
          <w:rFonts w:ascii="Times New Roman" w:hAnsi="Times New Roman" w:cs="Times New Roman"/>
          <w:sz w:val="24"/>
          <w:szCs w:val="24"/>
          <w:lang w:val="es-ES_tradnl"/>
        </w:rPr>
        <w:t>l Interior</w:t>
      </w:r>
      <w:r w:rsidRPr="00D530FB">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el </w:t>
      </w:r>
      <w:r w:rsidRPr="00D530FB">
        <w:rPr>
          <w:rFonts w:ascii="Times New Roman" w:hAnsi="Times New Roman" w:cs="Times New Roman"/>
          <w:sz w:val="24"/>
          <w:szCs w:val="24"/>
          <w:lang w:val="es-ES_tradnl"/>
        </w:rPr>
        <w:t>Ministr</w:t>
      </w:r>
      <w:r>
        <w:rPr>
          <w:rFonts w:ascii="Times New Roman" w:hAnsi="Times New Roman" w:cs="Times New Roman"/>
          <w:sz w:val="24"/>
          <w:szCs w:val="24"/>
          <w:lang w:val="es-ES_tradnl"/>
        </w:rPr>
        <w:t>o</w:t>
      </w:r>
      <w:r w:rsidRPr="00D530FB">
        <w:rPr>
          <w:rFonts w:ascii="Times New Roman" w:hAnsi="Times New Roman" w:cs="Times New Roman"/>
          <w:sz w:val="24"/>
          <w:szCs w:val="24"/>
          <w:lang w:val="es-ES_tradnl"/>
        </w:rPr>
        <w:t xml:space="preserve"> de</w:t>
      </w:r>
      <w:r>
        <w:rPr>
          <w:rFonts w:ascii="Times New Roman" w:hAnsi="Times New Roman" w:cs="Times New Roman"/>
          <w:sz w:val="24"/>
          <w:szCs w:val="24"/>
          <w:lang w:val="es-ES_tradnl"/>
        </w:rPr>
        <w:t>l Medio ambiente</w:t>
      </w:r>
      <w:r w:rsidRPr="00D530FB">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el</w:t>
      </w:r>
      <w:r w:rsidRPr="00D530FB">
        <w:rPr>
          <w:rFonts w:ascii="Times New Roman" w:hAnsi="Times New Roman" w:cs="Times New Roman"/>
          <w:sz w:val="24"/>
          <w:szCs w:val="24"/>
          <w:lang w:val="es-ES_tradnl"/>
        </w:rPr>
        <w:t xml:space="preserve"> Ministr</w:t>
      </w:r>
      <w:r>
        <w:rPr>
          <w:rFonts w:ascii="Times New Roman" w:hAnsi="Times New Roman" w:cs="Times New Roman"/>
          <w:sz w:val="24"/>
          <w:szCs w:val="24"/>
          <w:lang w:val="es-ES_tradnl"/>
        </w:rPr>
        <w:t>o de la Salud</w:t>
      </w:r>
      <w:r w:rsidRPr="00D530FB">
        <w:rPr>
          <w:rFonts w:ascii="Times New Roman" w:hAnsi="Times New Roman" w:cs="Times New Roman"/>
          <w:sz w:val="24"/>
          <w:szCs w:val="24"/>
          <w:lang w:val="es-ES_tradnl"/>
        </w:rPr>
        <w:t xml:space="preserve"> p</w:t>
      </w:r>
      <w:r>
        <w:rPr>
          <w:rFonts w:ascii="Times New Roman" w:hAnsi="Times New Roman" w:cs="Times New Roman"/>
          <w:sz w:val="24"/>
          <w:szCs w:val="24"/>
          <w:lang w:val="es-ES_tradnl"/>
        </w:rPr>
        <w:t>ú</w:t>
      </w:r>
      <w:r w:rsidRPr="00D530FB">
        <w:rPr>
          <w:rFonts w:ascii="Times New Roman" w:hAnsi="Times New Roman" w:cs="Times New Roman"/>
          <w:sz w:val="24"/>
          <w:szCs w:val="24"/>
          <w:lang w:val="es-ES_tradnl"/>
        </w:rPr>
        <w:t>bli</w:t>
      </w:r>
      <w:r>
        <w:rPr>
          <w:rFonts w:ascii="Times New Roman" w:hAnsi="Times New Roman" w:cs="Times New Roman"/>
          <w:sz w:val="24"/>
          <w:szCs w:val="24"/>
          <w:lang w:val="es-ES_tradnl"/>
        </w:rPr>
        <w:t>ca</w:t>
      </w:r>
      <w:r w:rsidRPr="00D530FB">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y la Federación de las Cámaras de Comercio e Industria</w:t>
      </w:r>
      <w:r w:rsidRPr="00D530FB">
        <w:rPr>
          <w:rFonts w:ascii="Times New Roman" w:hAnsi="Times New Roman" w:cs="Times New Roman"/>
          <w:sz w:val="24"/>
          <w:szCs w:val="24"/>
          <w:lang w:val="es-ES_tradnl"/>
        </w:rPr>
        <w:t>).</w:t>
      </w:r>
      <w:r w:rsidR="00E81EC0" w:rsidRPr="00E81EC0">
        <w:rPr>
          <w:sz w:val="18"/>
          <w:szCs w:val="18"/>
          <w:lang w:val="es-ES_tradnl"/>
        </w:rPr>
        <w:t xml:space="preserve"> </w:t>
      </w:r>
    </w:p>
    <w:p w14:paraId="733928AF" w14:textId="77777777" w:rsidR="005A0B78" w:rsidRDefault="005A0B78" w:rsidP="005A0B78">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Desde su creación en el 2009, la DINEPA mejor</w:t>
      </w:r>
      <w:r w:rsidR="00EE7004">
        <w:rPr>
          <w:rFonts w:ascii="Times New Roman" w:hAnsi="Times New Roman" w:cs="Times New Roman"/>
          <w:sz w:val="24"/>
          <w:szCs w:val="24"/>
          <w:lang w:val="es-ES_tradnl"/>
        </w:rPr>
        <w:t>ó</w:t>
      </w:r>
      <w:r>
        <w:rPr>
          <w:rFonts w:ascii="Times New Roman" w:hAnsi="Times New Roman" w:cs="Times New Roman"/>
          <w:sz w:val="24"/>
          <w:szCs w:val="24"/>
          <w:lang w:val="es-ES_tradnl"/>
        </w:rPr>
        <w:t xml:space="preserve"> mucho su capacidad de ejecución. Los desembolsos de proyectos financiados por el Banco pasaron de USD9 millones en el 2009 a USD</w:t>
      </w:r>
      <w:r w:rsidR="00255472">
        <w:rPr>
          <w:rFonts w:ascii="Times New Roman" w:hAnsi="Times New Roman" w:cs="Times New Roman"/>
          <w:sz w:val="24"/>
          <w:szCs w:val="24"/>
          <w:lang w:val="es-ES_tradnl"/>
        </w:rPr>
        <w:t>19</w:t>
      </w:r>
      <w:r>
        <w:rPr>
          <w:rFonts w:ascii="Times New Roman" w:hAnsi="Times New Roman" w:cs="Times New Roman"/>
          <w:sz w:val="24"/>
          <w:szCs w:val="24"/>
          <w:lang w:val="es-ES_tradnl"/>
        </w:rPr>
        <w:t xml:space="preserve"> millones en el 201</w:t>
      </w:r>
      <w:r w:rsidR="00255472">
        <w:rPr>
          <w:rFonts w:ascii="Times New Roman" w:hAnsi="Times New Roman" w:cs="Times New Roman"/>
          <w:sz w:val="24"/>
          <w:szCs w:val="24"/>
          <w:lang w:val="es-ES_tradnl"/>
        </w:rPr>
        <w:t>5</w:t>
      </w:r>
      <w:r>
        <w:rPr>
          <w:rFonts w:ascii="Times New Roman" w:hAnsi="Times New Roman" w:cs="Times New Roman"/>
          <w:sz w:val="24"/>
          <w:szCs w:val="24"/>
          <w:lang w:val="es-ES_tradnl"/>
        </w:rPr>
        <w:t xml:space="preserve">. </w:t>
      </w:r>
      <w:r w:rsidR="00626A2A">
        <w:rPr>
          <w:rFonts w:ascii="Times New Roman" w:hAnsi="Times New Roman" w:cs="Times New Roman"/>
          <w:sz w:val="24"/>
          <w:szCs w:val="24"/>
          <w:lang w:val="es-ES_tradnl"/>
        </w:rPr>
        <w:t xml:space="preserve">La DINEPA tenía una </w:t>
      </w:r>
      <w:r>
        <w:rPr>
          <w:rFonts w:ascii="Times New Roman" w:hAnsi="Times New Roman" w:cs="Times New Roman"/>
          <w:sz w:val="24"/>
          <w:szCs w:val="24"/>
          <w:lang w:val="es-ES_tradnl"/>
        </w:rPr>
        <w:t>capacidad limitada para gestionar proyectos, para manejar procesos  de adquisiciones y procesar pagos de los proveedores, lo que produce numerosos retrasos en la ejecución de los proyectos.</w:t>
      </w:r>
      <w:r w:rsidR="00626A2A">
        <w:rPr>
          <w:rFonts w:ascii="Times New Roman" w:hAnsi="Times New Roman" w:cs="Times New Roman"/>
          <w:sz w:val="24"/>
          <w:szCs w:val="24"/>
          <w:lang w:val="es-ES_tradnl"/>
        </w:rPr>
        <w:t xml:space="preserve"> Desde 2014, la DINEPA intent</w:t>
      </w:r>
      <w:r w:rsidR="0054769D">
        <w:rPr>
          <w:rFonts w:ascii="Times New Roman" w:hAnsi="Times New Roman" w:cs="Times New Roman"/>
          <w:sz w:val="24"/>
          <w:szCs w:val="24"/>
          <w:lang w:val="es-ES_tradnl"/>
        </w:rPr>
        <w:t>ó</w:t>
      </w:r>
      <w:r w:rsidR="00626A2A">
        <w:rPr>
          <w:rFonts w:ascii="Times New Roman" w:hAnsi="Times New Roman" w:cs="Times New Roman"/>
          <w:sz w:val="24"/>
          <w:szCs w:val="24"/>
          <w:lang w:val="es-ES_tradnl"/>
        </w:rPr>
        <w:t xml:space="preserve"> desc</w:t>
      </w:r>
      <w:r w:rsidR="0054769D">
        <w:rPr>
          <w:rFonts w:ascii="Times New Roman" w:hAnsi="Times New Roman" w:cs="Times New Roman"/>
          <w:sz w:val="24"/>
          <w:szCs w:val="24"/>
          <w:lang w:val="es-ES_tradnl"/>
        </w:rPr>
        <w:t>oncentrar</w:t>
      </w:r>
      <w:r w:rsidR="00626A2A">
        <w:rPr>
          <w:rFonts w:ascii="Times New Roman" w:hAnsi="Times New Roman" w:cs="Times New Roman"/>
          <w:sz w:val="24"/>
          <w:szCs w:val="24"/>
          <w:lang w:val="es-ES_tradnl"/>
        </w:rPr>
        <w:t xml:space="preserve"> ciertas competencias fiduciarias como las funcion</w:t>
      </w:r>
      <w:r w:rsidR="0054769D">
        <w:rPr>
          <w:rFonts w:ascii="Times New Roman" w:hAnsi="Times New Roman" w:cs="Times New Roman"/>
          <w:sz w:val="24"/>
          <w:szCs w:val="24"/>
          <w:lang w:val="es-ES_tradnl"/>
        </w:rPr>
        <w:t>es de adquisiciones a las OREPAs</w:t>
      </w:r>
      <w:r w:rsidR="00626A2A">
        <w:rPr>
          <w:rFonts w:ascii="Times New Roman" w:hAnsi="Times New Roman" w:cs="Times New Roman"/>
          <w:sz w:val="24"/>
          <w:szCs w:val="24"/>
          <w:lang w:val="es-ES_tradnl"/>
        </w:rPr>
        <w:t xml:space="preserve"> </w:t>
      </w:r>
      <w:r w:rsidR="0054769D">
        <w:rPr>
          <w:rFonts w:ascii="Times New Roman" w:hAnsi="Times New Roman" w:cs="Times New Roman"/>
          <w:sz w:val="24"/>
          <w:szCs w:val="24"/>
          <w:lang w:val="es-ES_tradnl"/>
        </w:rPr>
        <w:t xml:space="preserve">para aumentar su capacitad de gestionar proyectos y reducir los plazos de ejecución. </w:t>
      </w:r>
      <w:r w:rsidR="00EE7004">
        <w:rPr>
          <w:rFonts w:ascii="Times New Roman" w:hAnsi="Times New Roman" w:cs="Times New Roman"/>
          <w:sz w:val="24"/>
          <w:szCs w:val="24"/>
          <w:lang w:val="es-ES_tradnl"/>
        </w:rPr>
        <w:t>Es</w:t>
      </w:r>
      <w:r w:rsidR="0054769D">
        <w:rPr>
          <w:rFonts w:ascii="Times New Roman" w:hAnsi="Times New Roman" w:cs="Times New Roman"/>
          <w:sz w:val="24"/>
          <w:szCs w:val="24"/>
          <w:lang w:val="es-ES_tradnl"/>
        </w:rPr>
        <w:t xml:space="preserve"> el caso con </w:t>
      </w:r>
      <w:r w:rsidR="00EE7004">
        <w:rPr>
          <w:rFonts w:ascii="Times New Roman" w:hAnsi="Times New Roman" w:cs="Times New Roman"/>
          <w:sz w:val="24"/>
          <w:szCs w:val="24"/>
          <w:lang w:val="es-ES_tradnl"/>
        </w:rPr>
        <w:t>los</w:t>
      </w:r>
      <w:r w:rsidR="0054769D">
        <w:rPr>
          <w:rFonts w:ascii="Times New Roman" w:hAnsi="Times New Roman" w:cs="Times New Roman"/>
          <w:sz w:val="24"/>
          <w:szCs w:val="24"/>
          <w:lang w:val="es-ES_tradnl"/>
        </w:rPr>
        <w:t xml:space="preserve"> proyecto</w:t>
      </w:r>
      <w:r w:rsidR="00EE7004">
        <w:rPr>
          <w:rFonts w:ascii="Times New Roman" w:hAnsi="Times New Roman" w:cs="Times New Roman"/>
          <w:sz w:val="24"/>
          <w:szCs w:val="24"/>
          <w:lang w:val="es-ES_tradnl"/>
        </w:rPr>
        <w:t>s</w:t>
      </w:r>
      <w:r w:rsidR="0054769D">
        <w:rPr>
          <w:rFonts w:ascii="Times New Roman" w:hAnsi="Times New Roman" w:cs="Times New Roman"/>
          <w:sz w:val="24"/>
          <w:szCs w:val="24"/>
          <w:lang w:val="es-ES_tradnl"/>
        </w:rPr>
        <w:t xml:space="preserve"> </w:t>
      </w:r>
      <w:r w:rsidR="00EE7004">
        <w:rPr>
          <w:rFonts w:ascii="Times New Roman" w:hAnsi="Times New Roman" w:cs="Times New Roman"/>
          <w:sz w:val="24"/>
          <w:szCs w:val="24"/>
          <w:lang w:val="es-ES_tradnl"/>
        </w:rPr>
        <w:t xml:space="preserve">HA-L1044 y </w:t>
      </w:r>
      <w:r w:rsidR="0054769D">
        <w:rPr>
          <w:rFonts w:ascii="Times New Roman" w:hAnsi="Times New Roman" w:cs="Times New Roman"/>
          <w:sz w:val="24"/>
          <w:szCs w:val="24"/>
          <w:lang w:val="es-ES_tradnl"/>
        </w:rPr>
        <w:t xml:space="preserve">HA-L1075 para </w:t>
      </w:r>
      <w:r w:rsidR="00EE7004">
        <w:rPr>
          <w:rFonts w:ascii="Times New Roman" w:hAnsi="Times New Roman" w:cs="Times New Roman"/>
          <w:sz w:val="24"/>
          <w:szCs w:val="24"/>
          <w:lang w:val="es-ES_tradnl"/>
        </w:rPr>
        <w:t>los</w:t>
      </w:r>
      <w:r w:rsidR="0054769D">
        <w:rPr>
          <w:rFonts w:ascii="Times New Roman" w:hAnsi="Times New Roman" w:cs="Times New Roman"/>
          <w:sz w:val="24"/>
          <w:szCs w:val="24"/>
          <w:lang w:val="es-ES_tradnl"/>
        </w:rPr>
        <w:t xml:space="preserve"> cual</w:t>
      </w:r>
      <w:r w:rsidR="00EE7004">
        <w:rPr>
          <w:rFonts w:ascii="Times New Roman" w:hAnsi="Times New Roman" w:cs="Times New Roman"/>
          <w:sz w:val="24"/>
          <w:szCs w:val="24"/>
          <w:lang w:val="es-ES_tradnl"/>
        </w:rPr>
        <w:t>es</w:t>
      </w:r>
      <w:r w:rsidR="0054769D">
        <w:rPr>
          <w:rFonts w:ascii="Times New Roman" w:hAnsi="Times New Roman" w:cs="Times New Roman"/>
          <w:sz w:val="24"/>
          <w:szCs w:val="24"/>
          <w:lang w:val="es-ES_tradnl"/>
        </w:rPr>
        <w:t xml:space="preserve"> todas las actividades de </w:t>
      </w:r>
      <w:r w:rsidR="0054769D">
        <w:rPr>
          <w:rFonts w:ascii="Times New Roman" w:hAnsi="Times New Roman" w:cs="Times New Roman"/>
          <w:sz w:val="24"/>
          <w:szCs w:val="24"/>
          <w:lang w:val="es-ES_tradnl"/>
        </w:rPr>
        <w:lastRenderedPageBreak/>
        <w:t>adquisición se realizan al nivel de la OREPA Oeste</w:t>
      </w:r>
      <w:r w:rsidR="00EE7004">
        <w:rPr>
          <w:rFonts w:ascii="Times New Roman" w:hAnsi="Times New Roman" w:cs="Times New Roman"/>
          <w:sz w:val="24"/>
          <w:szCs w:val="24"/>
          <w:lang w:val="es-ES_tradnl"/>
        </w:rPr>
        <w:t>, con una validación del departamento de adquisiciones de la DINEPA</w:t>
      </w:r>
      <w:r w:rsidR="0054769D">
        <w:rPr>
          <w:rFonts w:ascii="Times New Roman" w:hAnsi="Times New Roman" w:cs="Times New Roman"/>
          <w:sz w:val="24"/>
          <w:szCs w:val="24"/>
          <w:lang w:val="es-ES_tradnl"/>
        </w:rPr>
        <w:t>. La DINEPA tiene como objetivo de sistematizar esta desconcentración de sus actividades de gestión de proyecto al nivel de las OREPAs. Esta fórmula se aplica con los nuevos financiamientos; por ejemplo, se involucran las OREPAs el Sur y del Centro en la gestión de la operación de US$50</w:t>
      </w:r>
      <w:r w:rsidR="00531467">
        <w:rPr>
          <w:rFonts w:ascii="Times New Roman" w:hAnsi="Times New Roman" w:cs="Times New Roman"/>
          <w:sz w:val="24"/>
          <w:szCs w:val="24"/>
          <w:lang w:val="es-ES_tradnl"/>
        </w:rPr>
        <w:t xml:space="preserve"> millones</w:t>
      </w:r>
      <w:r w:rsidR="0054769D">
        <w:rPr>
          <w:rFonts w:ascii="Times New Roman" w:hAnsi="Times New Roman" w:cs="Times New Roman"/>
          <w:sz w:val="24"/>
          <w:szCs w:val="24"/>
          <w:lang w:val="es-ES_tradnl"/>
        </w:rPr>
        <w:t xml:space="preserve"> financiada por el Banco Mundial desde 2015.</w:t>
      </w:r>
      <w:r w:rsidR="003549F4">
        <w:rPr>
          <w:rFonts w:ascii="Times New Roman" w:hAnsi="Times New Roman" w:cs="Times New Roman"/>
          <w:sz w:val="24"/>
          <w:szCs w:val="24"/>
          <w:lang w:val="es-ES_tradnl"/>
        </w:rPr>
        <w:t xml:space="preserve"> Un manual de desconcentración de las funciones de adquisiciones a las OREPA está en curso de finalización.</w:t>
      </w:r>
    </w:p>
    <w:p w14:paraId="0DF17C25" w14:textId="77777777" w:rsidR="00EE7004" w:rsidRDefault="008661E6" w:rsidP="00D64CDD">
      <w:pPr>
        <w:jc w:val="both"/>
        <w:rPr>
          <w:rFonts w:ascii="Times New Roman" w:hAnsi="Times New Roman" w:cs="Times New Roman"/>
          <w:sz w:val="24"/>
          <w:szCs w:val="24"/>
          <w:lang w:val="es-ES_tradnl"/>
        </w:rPr>
      </w:pPr>
      <w:r>
        <w:rPr>
          <w:rFonts w:ascii="Times New Roman" w:hAnsi="Times New Roman" w:cs="Times New Roman"/>
          <w:sz w:val="24"/>
          <w:szCs w:val="24"/>
          <w:lang w:val="es-ES"/>
        </w:rPr>
        <w:t>Un tema crítico e</w:t>
      </w:r>
      <w:r w:rsidR="005A0B78">
        <w:rPr>
          <w:rFonts w:ascii="Times New Roman" w:hAnsi="Times New Roman" w:cs="Times New Roman"/>
          <w:sz w:val="24"/>
          <w:szCs w:val="24"/>
          <w:lang w:val="es-ES"/>
        </w:rPr>
        <w:t>s</w:t>
      </w:r>
      <w:r>
        <w:rPr>
          <w:rFonts w:ascii="Times New Roman" w:hAnsi="Times New Roman" w:cs="Times New Roman"/>
          <w:sz w:val="24"/>
          <w:szCs w:val="24"/>
          <w:lang w:val="es-ES"/>
        </w:rPr>
        <w:t xml:space="preserve"> la sostenibilidad de la DINEPA en el futuro</w:t>
      </w:r>
      <w:r w:rsidR="005A0B78">
        <w:rPr>
          <w:rFonts w:ascii="Times New Roman" w:hAnsi="Times New Roman" w:cs="Times New Roman"/>
          <w:sz w:val="24"/>
          <w:szCs w:val="24"/>
          <w:lang w:val="es-ES"/>
        </w:rPr>
        <w:t>. L</w:t>
      </w:r>
      <w:r w:rsidR="00DF5735">
        <w:rPr>
          <w:rFonts w:ascii="Times New Roman" w:hAnsi="Times New Roman" w:cs="Times New Roman"/>
          <w:sz w:val="24"/>
          <w:szCs w:val="24"/>
          <w:lang w:val="es-ES"/>
        </w:rPr>
        <w:t>a DINEPA depende financieramente en su casi totalidad del apoyo de los donantes. Los donantes principales son el</w:t>
      </w:r>
      <w:r w:rsidR="00E57741">
        <w:rPr>
          <w:rFonts w:ascii="Times New Roman" w:hAnsi="Times New Roman" w:cs="Times New Roman"/>
          <w:sz w:val="24"/>
          <w:szCs w:val="24"/>
          <w:lang w:val="es-ES"/>
        </w:rPr>
        <w:t xml:space="preserve"> BID</w:t>
      </w:r>
      <w:r w:rsidR="00EE7004">
        <w:rPr>
          <w:rFonts w:ascii="Times New Roman" w:hAnsi="Times New Roman" w:cs="Times New Roman"/>
          <w:sz w:val="24"/>
          <w:szCs w:val="24"/>
          <w:lang w:val="es-ES"/>
        </w:rPr>
        <w:t>,</w:t>
      </w:r>
      <w:r w:rsidR="00E57741">
        <w:rPr>
          <w:rFonts w:ascii="Times New Roman" w:hAnsi="Times New Roman" w:cs="Times New Roman"/>
          <w:sz w:val="24"/>
          <w:szCs w:val="24"/>
          <w:lang w:val="es-ES"/>
        </w:rPr>
        <w:t xml:space="preserve"> el Fondo de Cooperación E</w:t>
      </w:r>
      <w:r w:rsidR="00DF5735">
        <w:rPr>
          <w:rFonts w:ascii="Times New Roman" w:hAnsi="Times New Roman" w:cs="Times New Roman"/>
          <w:sz w:val="24"/>
          <w:szCs w:val="24"/>
          <w:lang w:val="es-ES"/>
        </w:rPr>
        <w:t>spañol para el Caribe y América latina, el Banco Mundial, la UNICEF</w:t>
      </w:r>
      <w:r w:rsidR="00EE7004">
        <w:rPr>
          <w:rFonts w:ascii="Times New Roman" w:hAnsi="Times New Roman" w:cs="Times New Roman"/>
          <w:sz w:val="24"/>
          <w:szCs w:val="24"/>
          <w:lang w:val="es-ES"/>
        </w:rPr>
        <w:t xml:space="preserve"> y la Cooperación Suiza</w:t>
      </w:r>
      <w:r w:rsidR="00DF5735">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00EE7004">
        <w:rPr>
          <w:rFonts w:ascii="Times New Roman" w:hAnsi="Times New Roman" w:cs="Times New Roman"/>
          <w:sz w:val="24"/>
          <w:szCs w:val="24"/>
          <w:lang w:val="es-ES"/>
        </w:rPr>
        <w:t>Los donantes</w:t>
      </w:r>
      <w:r w:rsidR="00864176">
        <w:rPr>
          <w:rFonts w:ascii="Times New Roman" w:hAnsi="Times New Roman" w:cs="Times New Roman"/>
          <w:sz w:val="24"/>
          <w:szCs w:val="24"/>
          <w:lang w:val="es-ES_tradnl"/>
        </w:rPr>
        <w:t xml:space="preserve"> </w:t>
      </w:r>
      <w:r w:rsidR="00EE7004">
        <w:rPr>
          <w:rFonts w:ascii="Times New Roman" w:hAnsi="Times New Roman" w:cs="Times New Roman"/>
          <w:sz w:val="24"/>
          <w:szCs w:val="24"/>
          <w:lang w:val="es-ES_tradnl"/>
        </w:rPr>
        <w:t>financian</w:t>
      </w:r>
      <w:r w:rsidR="00D75056">
        <w:rPr>
          <w:rFonts w:ascii="Times New Roman" w:hAnsi="Times New Roman" w:cs="Times New Roman"/>
          <w:sz w:val="24"/>
          <w:szCs w:val="24"/>
          <w:lang w:val="es-ES_tradnl"/>
        </w:rPr>
        <w:t xml:space="preserve"> casi la totalidad de </w:t>
      </w:r>
      <w:r w:rsidR="00864176">
        <w:rPr>
          <w:rFonts w:ascii="Times New Roman" w:hAnsi="Times New Roman" w:cs="Times New Roman"/>
          <w:sz w:val="24"/>
          <w:szCs w:val="24"/>
          <w:lang w:val="es-ES_tradnl"/>
        </w:rPr>
        <w:t>los gastos operativos de la DINEPA</w:t>
      </w:r>
      <w:r w:rsidR="00D75056">
        <w:rPr>
          <w:rFonts w:ascii="Times New Roman" w:hAnsi="Times New Roman" w:cs="Times New Roman"/>
          <w:sz w:val="24"/>
          <w:szCs w:val="24"/>
          <w:lang w:val="es-ES_tradnl"/>
        </w:rPr>
        <w:t>, lo que p</w:t>
      </w:r>
      <w:r w:rsidR="00EE7004">
        <w:rPr>
          <w:rFonts w:ascii="Times New Roman" w:hAnsi="Times New Roman" w:cs="Times New Roman"/>
          <w:sz w:val="24"/>
          <w:szCs w:val="24"/>
          <w:lang w:val="es-ES_tradnl"/>
        </w:rPr>
        <w:t>one</w:t>
      </w:r>
      <w:r w:rsidR="00D75056">
        <w:rPr>
          <w:rFonts w:ascii="Times New Roman" w:hAnsi="Times New Roman" w:cs="Times New Roman"/>
          <w:sz w:val="24"/>
          <w:szCs w:val="24"/>
          <w:lang w:val="es-ES_tradnl"/>
        </w:rPr>
        <w:t xml:space="preserve"> en cuestión su sostenibilidad a largo plazo</w:t>
      </w:r>
      <w:r w:rsidR="00EE7004">
        <w:rPr>
          <w:rFonts w:ascii="Times New Roman" w:hAnsi="Times New Roman" w:cs="Times New Roman"/>
          <w:sz w:val="24"/>
          <w:szCs w:val="24"/>
          <w:lang w:val="es-ES_tradnl"/>
        </w:rPr>
        <w:t>. La contribución del GOH, desde 2012, no supera los 6% de los gastos de funcionamiento de la DINEPA y, de su presupuesto de inversión, la contribución del GOH representa menos de 2%.</w:t>
      </w:r>
      <w:r w:rsidR="00D75056">
        <w:rPr>
          <w:rFonts w:ascii="Times New Roman" w:hAnsi="Times New Roman" w:cs="Times New Roman"/>
          <w:sz w:val="24"/>
          <w:szCs w:val="24"/>
          <w:lang w:val="es-ES_tradnl"/>
        </w:rPr>
        <w:t xml:space="preserve"> </w:t>
      </w:r>
      <w:r w:rsidR="00EE7004">
        <w:rPr>
          <w:rFonts w:ascii="Times New Roman" w:hAnsi="Times New Roman" w:cs="Times New Roman"/>
          <w:sz w:val="24"/>
          <w:szCs w:val="24"/>
          <w:lang w:val="es-ES_tradnl"/>
        </w:rPr>
        <w:t xml:space="preserve">Desde 2013, los donantes </w:t>
      </w:r>
      <w:r w:rsidR="00D60E6E">
        <w:rPr>
          <w:rFonts w:ascii="Times New Roman" w:hAnsi="Times New Roman" w:cs="Times New Roman"/>
          <w:sz w:val="24"/>
          <w:szCs w:val="24"/>
          <w:lang w:val="es-ES_tradnl"/>
        </w:rPr>
        <w:t>subvencionan</w:t>
      </w:r>
      <w:r w:rsidR="00EE7004">
        <w:rPr>
          <w:rFonts w:ascii="Times New Roman" w:hAnsi="Times New Roman" w:cs="Times New Roman"/>
          <w:sz w:val="24"/>
          <w:szCs w:val="24"/>
          <w:lang w:val="es-ES_tradnl"/>
        </w:rPr>
        <w:t xml:space="preserve"> los costos de funcionamiento</w:t>
      </w:r>
      <w:r w:rsidR="00D60E6E">
        <w:rPr>
          <w:rFonts w:ascii="Times New Roman" w:hAnsi="Times New Roman" w:cs="Times New Roman"/>
          <w:sz w:val="24"/>
          <w:szCs w:val="24"/>
          <w:lang w:val="es-ES_tradnl"/>
        </w:rPr>
        <w:t xml:space="preserve"> de la DINEPA</w:t>
      </w:r>
      <w:r w:rsidR="00EE7004">
        <w:rPr>
          <w:rFonts w:ascii="Times New Roman" w:hAnsi="Times New Roman" w:cs="Times New Roman"/>
          <w:sz w:val="24"/>
          <w:szCs w:val="24"/>
          <w:lang w:val="es-ES_tradnl"/>
        </w:rPr>
        <w:t xml:space="preserve"> en base a indicadores de resultados asignados a cada </w:t>
      </w:r>
      <w:r w:rsidR="00D60E6E">
        <w:rPr>
          <w:rFonts w:ascii="Times New Roman" w:hAnsi="Times New Roman" w:cs="Times New Roman"/>
          <w:sz w:val="24"/>
          <w:szCs w:val="24"/>
          <w:lang w:val="es-ES_tradnl"/>
        </w:rPr>
        <w:t xml:space="preserve">de sus </w:t>
      </w:r>
      <w:r w:rsidR="00EE7004">
        <w:rPr>
          <w:rFonts w:ascii="Times New Roman" w:hAnsi="Times New Roman" w:cs="Times New Roman"/>
          <w:sz w:val="24"/>
          <w:szCs w:val="24"/>
          <w:lang w:val="es-ES_tradnl"/>
        </w:rPr>
        <w:t>direcci</w:t>
      </w:r>
      <w:r w:rsidR="00D60E6E">
        <w:rPr>
          <w:rFonts w:ascii="Times New Roman" w:hAnsi="Times New Roman" w:cs="Times New Roman"/>
          <w:sz w:val="24"/>
          <w:szCs w:val="24"/>
          <w:lang w:val="es-ES_tradnl"/>
        </w:rPr>
        <w:t>ones</w:t>
      </w:r>
      <w:r w:rsidR="00EE7004">
        <w:rPr>
          <w:rFonts w:ascii="Times New Roman" w:hAnsi="Times New Roman" w:cs="Times New Roman"/>
          <w:sz w:val="24"/>
          <w:szCs w:val="24"/>
          <w:lang w:val="es-ES_tradnl"/>
        </w:rPr>
        <w:t xml:space="preserve">, y desde 2015, a las OREPAs. </w:t>
      </w:r>
      <w:r w:rsidR="00D60E6E">
        <w:rPr>
          <w:rFonts w:ascii="Times New Roman" w:hAnsi="Times New Roman" w:cs="Times New Roman"/>
          <w:sz w:val="24"/>
          <w:szCs w:val="24"/>
          <w:lang w:val="es-ES_tradnl"/>
        </w:rPr>
        <w:t xml:space="preserve">Este mecanismo innovador – no hay otra experiencia al nivel de los organismos de ejecución en Haití – </w:t>
      </w:r>
      <w:r w:rsidR="000E71CA">
        <w:rPr>
          <w:rFonts w:ascii="Times New Roman" w:hAnsi="Times New Roman" w:cs="Times New Roman"/>
          <w:sz w:val="24"/>
          <w:szCs w:val="24"/>
          <w:lang w:val="es-ES_tradnl"/>
        </w:rPr>
        <w:t>incentiva</w:t>
      </w:r>
      <w:r w:rsidR="00186BAF">
        <w:rPr>
          <w:rFonts w:ascii="Times New Roman" w:hAnsi="Times New Roman" w:cs="Times New Roman"/>
          <w:sz w:val="24"/>
          <w:szCs w:val="24"/>
          <w:lang w:val="es-ES_tradnl"/>
        </w:rPr>
        <w:t xml:space="preserve"> al</w:t>
      </w:r>
      <w:r w:rsidR="00D60E6E">
        <w:rPr>
          <w:rFonts w:ascii="Times New Roman" w:hAnsi="Times New Roman" w:cs="Times New Roman"/>
          <w:sz w:val="24"/>
          <w:szCs w:val="24"/>
          <w:lang w:val="es-ES_tradnl"/>
        </w:rPr>
        <w:t xml:space="preserve"> personal de la DINEPA </w:t>
      </w:r>
      <w:r w:rsidR="00186BAF">
        <w:rPr>
          <w:rFonts w:ascii="Times New Roman" w:hAnsi="Times New Roman" w:cs="Times New Roman"/>
          <w:sz w:val="24"/>
          <w:szCs w:val="24"/>
          <w:lang w:val="es-ES_tradnl"/>
        </w:rPr>
        <w:t>p</w:t>
      </w:r>
      <w:r w:rsidR="00D60E6E">
        <w:rPr>
          <w:rFonts w:ascii="Times New Roman" w:hAnsi="Times New Roman" w:cs="Times New Roman"/>
          <w:sz w:val="24"/>
          <w:szCs w:val="24"/>
          <w:lang w:val="es-ES_tradnl"/>
        </w:rPr>
        <w:t>a</w:t>
      </w:r>
      <w:r w:rsidR="00186BAF">
        <w:rPr>
          <w:rFonts w:ascii="Times New Roman" w:hAnsi="Times New Roman" w:cs="Times New Roman"/>
          <w:sz w:val="24"/>
          <w:szCs w:val="24"/>
          <w:lang w:val="es-ES_tradnl"/>
        </w:rPr>
        <w:t>ra</w:t>
      </w:r>
      <w:r w:rsidR="00D60E6E">
        <w:rPr>
          <w:rFonts w:ascii="Times New Roman" w:hAnsi="Times New Roman" w:cs="Times New Roman"/>
          <w:sz w:val="24"/>
          <w:szCs w:val="24"/>
          <w:lang w:val="es-ES_tradnl"/>
        </w:rPr>
        <w:t xml:space="preserve"> producir los resultados esperados tanto al nivel de la institución que al nivel de la ejecución de los proyectos.</w:t>
      </w:r>
    </w:p>
    <w:p w14:paraId="2DBF0805" w14:textId="77777777" w:rsidR="000D2CA0" w:rsidRDefault="00186BAF" w:rsidP="00D64CDD">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Una de las actividades en curso con la actualización del plan estratégico sectorial (HA-T1194) corresponde a la elaboración del plan de financiamiento del sector para los próximos </w:t>
      </w:r>
      <w:r w:rsidR="000D2CA0">
        <w:rPr>
          <w:rFonts w:ascii="Times New Roman" w:hAnsi="Times New Roman" w:cs="Times New Roman"/>
          <w:sz w:val="24"/>
          <w:szCs w:val="24"/>
          <w:lang w:val="es-ES_tradnl"/>
        </w:rPr>
        <w:t xml:space="preserve">cinco </w:t>
      </w:r>
      <w:r>
        <w:rPr>
          <w:rFonts w:ascii="Times New Roman" w:hAnsi="Times New Roman" w:cs="Times New Roman"/>
          <w:sz w:val="24"/>
          <w:szCs w:val="24"/>
          <w:lang w:val="es-ES_tradnl"/>
        </w:rPr>
        <w:t xml:space="preserve">años (2016-2020), </w:t>
      </w:r>
      <w:r w:rsidR="000E71CA">
        <w:rPr>
          <w:rFonts w:ascii="Times New Roman" w:hAnsi="Times New Roman" w:cs="Times New Roman"/>
          <w:sz w:val="24"/>
          <w:szCs w:val="24"/>
          <w:lang w:val="es-ES_tradnl"/>
        </w:rPr>
        <w:t>con</w:t>
      </w:r>
      <w:r>
        <w:rPr>
          <w:rFonts w:ascii="Times New Roman" w:hAnsi="Times New Roman" w:cs="Times New Roman"/>
          <w:sz w:val="24"/>
          <w:szCs w:val="24"/>
          <w:lang w:val="es-ES_tradnl"/>
        </w:rPr>
        <w:t xml:space="preserve"> base a proyecciones de la evolución de los tres principales recursos financieros posibles del sector (venta de agua, contribución del Estado y apoyo de los donantes).</w:t>
      </w:r>
      <w:r w:rsidR="000D2CA0">
        <w:rPr>
          <w:rFonts w:ascii="Times New Roman" w:hAnsi="Times New Roman" w:cs="Times New Roman"/>
          <w:sz w:val="24"/>
          <w:szCs w:val="24"/>
          <w:lang w:val="es-ES_tradnl"/>
        </w:rPr>
        <w:t xml:space="preserve"> La DINEPA cuenta con este análisis para facilitar una mejor comprensión de los desafíos financieros del sector por parte del GOH particularmente.</w:t>
      </w:r>
    </w:p>
    <w:p w14:paraId="2AF8A120" w14:textId="77777777" w:rsidR="007B6C8E" w:rsidRDefault="00AE7F86" w:rsidP="007B6C8E">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La DINEPA hasta hoy no ha podido </w:t>
      </w:r>
      <w:r w:rsidR="009E30E8">
        <w:rPr>
          <w:rFonts w:ascii="Times New Roman" w:hAnsi="Times New Roman" w:cs="Times New Roman"/>
          <w:sz w:val="24"/>
          <w:szCs w:val="24"/>
          <w:lang w:val="es-ES_tradnl"/>
        </w:rPr>
        <w:t xml:space="preserve">concentrarse </w:t>
      </w:r>
      <w:r w:rsidR="000E71CA">
        <w:rPr>
          <w:rFonts w:ascii="Times New Roman" w:hAnsi="Times New Roman" w:cs="Times New Roman"/>
          <w:sz w:val="24"/>
          <w:szCs w:val="24"/>
          <w:lang w:val="es-ES_tradnl"/>
        </w:rPr>
        <w:t>en</w:t>
      </w:r>
      <w:r>
        <w:rPr>
          <w:rFonts w:ascii="Times New Roman" w:hAnsi="Times New Roman" w:cs="Times New Roman"/>
          <w:sz w:val="24"/>
          <w:szCs w:val="24"/>
          <w:lang w:val="es-ES_tradnl"/>
        </w:rPr>
        <w:t xml:space="preserve"> su rol de regulador </w:t>
      </w:r>
      <w:r w:rsidR="000E71CA">
        <w:rPr>
          <w:rFonts w:ascii="Times New Roman" w:hAnsi="Times New Roman" w:cs="Times New Roman"/>
          <w:sz w:val="24"/>
          <w:szCs w:val="24"/>
          <w:lang w:val="es-ES_tradnl"/>
        </w:rPr>
        <w:t>de</w:t>
      </w:r>
      <w:r>
        <w:rPr>
          <w:rFonts w:ascii="Times New Roman" w:hAnsi="Times New Roman" w:cs="Times New Roman"/>
          <w:sz w:val="24"/>
          <w:szCs w:val="24"/>
          <w:lang w:val="es-ES_tradnl"/>
        </w:rPr>
        <w:t xml:space="preserve">l sector. </w:t>
      </w:r>
      <w:r w:rsidR="009E30E8">
        <w:rPr>
          <w:rFonts w:ascii="Times New Roman" w:hAnsi="Times New Roman" w:cs="Times New Roman"/>
          <w:sz w:val="24"/>
          <w:szCs w:val="24"/>
          <w:lang w:val="es-ES_tradnl"/>
        </w:rPr>
        <w:t>Siete</w:t>
      </w:r>
      <w:r w:rsidR="007A73AD">
        <w:rPr>
          <w:rFonts w:ascii="Times New Roman" w:hAnsi="Times New Roman" w:cs="Times New Roman"/>
          <w:sz w:val="24"/>
          <w:szCs w:val="24"/>
          <w:lang w:val="es-ES_tradnl"/>
        </w:rPr>
        <w:t xml:space="preserve"> años después de la promulgación de la L</w:t>
      </w:r>
      <w:r w:rsidR="009E30E8">
        <w:rPr>
          <w:rFonts w:ascii="Times New Roman" w:hAnsi="Times New Roman" w:cs="Times New Roman"/>
          <w:sz w:val="24"/>
          <w:szCs w:val="24"/>
          <w:lang w:val="es-ES_tradnl"/>
        </w:rPr>
        <w:t xml:space="preserve">ey </w:t>
      </w:r>
      <w:r w:rsidR="000E71CA">
        <w:rPr>
          <w:rFonts w:ascii="Times New Roman" w:hAnsi="Times New Roman" w:cs="Times New Roman"/>
          <w:sz w:val="24"/>
          <w:szCs w:val="24"/>
          <w:lang w:val="es-ES_tradnl"/>
        </w:rPr>
        <w:t>M</w:t>
      </w:r>
      <w:r w:rsidR="009E30E8">
        <w:rPr>
          <w:rFonts w:ascii="Times New Roman" w:hAnsi="Times New Roman" w:cs="Times New Roman"/>
          <w:sz w:val="24"/>
          <w:szCs w:val="24"/>
          <w:lang w:val="es-ES_tradnl"/>
        </w:rPr>
        <w:t>arco</w:t>
      </w:r>
      <w:r w:rsidR="000E71CA">
        <w:rPr>
          <w:rFonts w:ascii="Times New Roman" w:hAnsi="Times New Roman" w:cs="Times New Roman"/>
          <w:sz w:val="24"/>
          <w:szCs w:val="24"/>
          <w:lang w:val="es-ES_tradnl"/>
        </w:rPr>
        <w:t xml:space="preserve"> de Agua Potable y Saneamiento</w:t>
      </w:r>
      <w:r w:rsidR="007A73AD">
        <w:rPr>
          <w:rFonts w:ascii="Times New Roman" w:hAnsi="Times New Roman" w:cs="Times New Roman"/>
          <w:sz w:val="24"/>
          <w:szCs w:val="24"/>
          <w:lang w:val="es-ES_tradnl"/>
        </w:rPr>
        <w:t xml:space="preserve">, la DINEPA no ha podido </w:t>
      </w:r>
      <w:r w:rsidR="008022B7">
        <w:rPr>
          <w:rFonts w:ascii="Times New Roman" w:hAnsi="Times New Roman" w:cs="Times New Roman"/>
          <w:sz w:val="24"/>
          <w:szCs w:val="24"/>
          <w:lang w:val="es-ES_tradnl"/>
        </w:rPr>
        <w:t>finalizar</w:t>
      </w:r>
      <w:r w:rsidR="007A73AD">
        <w:rPr>
          <w:rFonts w:ascii="Times New Roman" w:hAnsi="Times New Roman" w:cs="Times New Roman"/>
          <w:sz w:val="24"/>
          <w:szCs w:val="24"/>
          <w:lang w:val="es-ES_tradnl"/>
        </w:rPr>
        <w:t xml:space="preserve"> las normas del sector de agua y saneamiento, en particular sobre: (i) la calidad del agua  para el consumo humano; (ii) los vertidos de aguas residuales e industriales; (iii) la gestión y operación de los sistemas  de agua y saneamiento (condiciones de distribución, reducción del agua no contabilizada); (iv) manejo del cliente</w:t>
      </w:r>
      <w:r w:rsidR="00725642">
        <w:rPr>
          <w:rFonts w:ascii="Times New Roman" w:hAnsi="Times New Roman" w:cs="Times New Roman"/>
          <w:sz w:val="24"/>
          <w:szCs w:val="24"/>
          <w:lang w:val="es-ES_tradnl"/>
        </w:rPr>
        <w:t xml:space="preserve"> y (v) la reestructuración de las categorías tarifarias.</w:t>
      </w:r>
      <w:r w:rsidR="008661E6">
        <w:rPr>
          <w:rFonts w:ascii="Times New Roman" w:hAnsi="Times New Roman" w:cs="Times New Roman"/>
          <w:sz w:val="24"/>
          <w:szCs w:val="24"/>
          <w:lang w:val="es-ES_tradnl"/>
        </w:rPr>
        <w:t xml:space="preserve"> Se necesita fortalecer la DINEPA para que pueda asumir su papel de regulador del sector y prestar apoyo técnico.</w:t>
      </w:r>
      <w:r w:rsidR="009E30E8">
        <w:rPr>
          <w:rFonts w:ascii="Times New Roman" w:hAnsi="Times New Roman" w:cs="Times New Roman"/>
          <w:sz w:val="24"/>
          <w:szCs w:val="24"/>
          <w:lang w:val="es-ES_tradnl"/>
        </w:rPr>
        <w:t xml:space="preserve"> Con el </w:t>
      </w:r>
      <w:r w:rsidR="007B6C8E">
        <w:rPr>
          <w:rFonts w:ascii="Times New Roman" w:hAnsi="Times New Roman" w:cs="Times New Roman"/>
          <w:sz w:val="24"/>
          <w:szCs w:val="24"/>
          <w:lang w:val="es-ES_tradnl"/>
        </w:rPr>
        <w:t>P</w:t>
      </w:r>
      <w:r w:rsidR="009E30E8">
        <w:rPr>
          <w:rFonts w:ascii="Times New Roman" w:hAnsi="Times New Roman" w:cs="Times New Roman"/>
          <w:sz w:val="24"/>
          <w:szCs w:val="24"/>
          <w:lang w:val="es-ES_tradnl"/>
        </w:rPr>
        <w:t>rograma de fortalecimiento institucional y de reforma del sector (HA-L1090</w:t>
      </w:r>
      <w:r w:rsidR="000E71CA">
        <w:rPr>
          <w:rFonts w:ascii="Times New Roman" w:hAnsi="Times New Roman" w:cs="Times New Roman"/>
          <w:sz w:val="24"/>
          <w:szCs w:val="24"/>
          <w:lang w:val="es-ES_tradnl"/>
        </w:rPr>
        <w:t>)</w:t>
      </w:r>
      <w:r w:rsidR="007B6C8E">
        <w:rPr>
          <w:rFonts w:ascii="Times New Roman" w:hAnsi="Times New Roman" w:cs="Times New Roman"/>
          <w:sz w:val="24"/>
          <w:szCs w:val="24"/>
          <w:lang w:val="es-ES_tradnl"/>
        </w:rPr>
        <w:t xml:space="preserve">, </w:t>
      </w:r>
      <w:r w:rsidR="000E71CA">
        <w:rPr>
          <w:rFonts w:ascii="Times New Roman" w:hAnsi="Times New Roman" w:cs="Times New Roman"/>
          <w:sz w:val="24"/>
          <w:szCs w:val="24"/>
          <w:lang w:val="es-ES_tradnl"/>
        </w:rPr>
        <w:t xml:space="preserve">un </w:t>
      </w:r>
      <w:r w:rsidR="007B6C8E" w:rsidRPr="007B6C8E">
        <w:rPr>
          <w:rFonts w:ascii="Times New Roman" w:hAnsi="Times New Roman" w:cs="Times New Roman"/>
          <w:sz w:val="24"/>
          <w:szCs w:val="24"/>
          <w:lang w:val="es-ES_tradnl"/>
        </w:rPr>
        <w:t>financiamiento</w:t>
      </w:r>
      <w:r w:rsidR="007B6C8E">
        <w:rPr>
          <w:rFonts w:ascii="Times New Roman" w:hAnsi="Times New Roman" w:cs="Times New Roman"/>
          <w:sz w:val="24"/>
          <w:szCs w:val="24"/>
          <w:lang w:val="es-ES_tradnl"/>
        </w:rPr>
        <w:t xml:space="preserve"> </w:t>
      </w:r>
      <w:r w:rsidR="007B6C8E" w:rsidRPr="007B6C8E">
        <w:rPr>
          <w:rFonts w:ascii="Times New Roman" w:hAnsi="Times New Roman" w:cs="Times New Roman"/>
          <w:sz w:val="24"/>
          <w:szCs w:val="24"/>
          <w:lang w:val="es-ES_tradnl"/>
        </w:rPr>
        <w:t>programático no reembolsable en apoyo de reformas de política de una serie de tres</w:t>
      </w:r>
      <w:r w:rsidR="007B6C8E">
        <w:rPr>
          <w:rFonts w:ascii="Times New Roman" w:hAnsi="Times New Roman" w:cs="Times New Roman"/>
          <w:sz w:val="24"/>
          <w:szCs w:val="24"/>
          <w:lang w:val="es-ES_tradnl"/>
        </w:rPr>
        <w:t xml:space="preserve"> </w:t>
      </w:r>
      <w:r w:rsidR="007B6C8E" w:rsidRPr="007B6C8E">
        <w:rPr>
          <w:rFonts w:ascii="Times New Roman" w:hAnsi="Times New Roman" w:cs="Times New Roman"/>
          <w:sz w:val="24"/>
          <w:szCs w:val="24"/>
          <w:lang w:val="es-ES_tradnl"/>
        </w:rPr>
        <w:t>previstas para respaldar al gobierno en la implementación de reformas de política,</w:t>
      </w:r>
      <w:r w:rsidR="007B6C8E">
        <w:rPr>
          <w:rFonts w:ascii="Times New Roman" w:hAnsi="Times New Roman" w:cs="Times New Roman"/>
          <w:sz w:val="24"/>
          <w:szCs w:val="24"/>
          <w:lang w:val="es-ES_tradnl"/>
        </w:rPr>
        <w:t xml:space="preserve"> </w:t>
      </w:r>
      <w:r w:rsidR="007B6C8E" w:rsidRPr="007B6C8E">
        <w:rPr>
          <w:rFonts w:ascii="Times New Roman" w:hAnsi="Times New Roman" w:cs="Times New Roman"/>
          <w:sz w:val="24"/>
          <w:szCs w:val="24"/>
          <w:lang w:val="es-ES_tradnl"/>
        </w:rPr>
        <w:t>institucionales y jurídicas en el sector de agua y saneamiento</w:t>
      </w:r>
      <w:r w:rsidR="007B6C8E">
        <w:rPr>
          <w:rFonts w:ascii="Times New Roman" w:hAnsi="Times New Roman" w:cs="Times New Roman"/>
          <w:sz w:val="24"/>
          <w:szCs w:val="24"/>
          <w:lang w:val="es-ES_tradnl"/>
        </w:rPr>
        <w:t>)</w:t>
      </w:r>
      <w:r w:rsidR="007B6C8E" w:rsidRPr="007B6C8E">
        <w:rPr>
          <w:rFonts w:ascii="Times New Roman" w:hAnsi="Times New Roman" w:cs="Times New Roman"/>
          <w:sz w:val="24"/>
          <w:szCs w:val="24"/>
          <w:lang w:val="es-ES_tradnl"/>
        </w:rPr>
        <w:t xml:space="preserve"> </w:t>
      </w:r>
      <w:r w:rsidR="007B6C8E">
        <w:rPr>
          <w:rFonts w:ascii="Times New Roman" w:hAnsi="Times New Roman" w:cs="Times New Roman"/>
          <w:sz w:val="24"/>
          <w:szCs w:val="24"/>
          <w:lang w:val="es-ES_tradnl"/>
        </w:rPr>
        <w:t xml:space="preserve">en 2014, </w:t>
      </w:r>
      <w:r w:rsidR="009E30E8">
        <w:rPr>
          <w:rFonts w:ascii="Times New Roman" w:hAnsi="Times New Roman" w:cs="Times New Roman"/>
          <w:sz w:val="24"/>
          <w:szCs w:val="24"/>
          <w:lang w:val="es-ES_tradnl"/>
        </w:rPr>
        <w:t xml:space="preserve">ciertos procesos de reforma se hicieron (primer paso hasta la creación del consejo de administración de la DINEPA, validación de las directivas técnicas de construcción, actualización del plan estratégico etc.). </w:t>
      </w:r>
    </w:p>
    <w:p w14:paraId="678A0FF3" w14:textId="77777777" w:rsidR="00D17FBB" w:rsidRDefault="00D17FBB" w:rsidP="007B6C8E">
      <w:pPr>
        <w:jc w:val="both"/>
        <w:rPr>
          <w:rFonts w:ascii="Times New Roman" w:hAnsi="Times New Roman" w:cs="Times New Roman"/>
          <w:sz w:val="24"/>
          <w:szCs w:val="24"/>
          <w:lang w:val="es-ES_tradnl"/>
        </w:rPr>
      </w:pPr>
    </w:p>
    <w:p w14:paraId="0DF288D3" w14:textId="77777777" w:rsidR="00F21822" w:rsidRPr="005A0B78" w:rsidRDefault="000C5809" w:rsidP="005A0B78">
      <w:pPr>
        <w:pStyle w:val="ListParagraph"/>
        <w:numPr>
          <w:ilvl w:val="0"/>
          <w:numId w:val="13"/>
        </w:numPr>
        <w:jc w:val="both"/>
        <w:rPr>
          <w:rFonts w:ascii="Times New Roman" w:hAnsi="Times New Roman" w:cs="Times New Roman"/>
          <w:sz w:val="24"/>
          <w:szCs w:val="24"/>
          <w:lang w:val="es-ES_tradnl"/>
        </w:rPr>
      </w:pPr>
      <w:r w:rsidRPr="005A0B78">
        <w:rPr>
          <w:rFonts w:ascii="Times New Roman" w:hAnsi="Times New Roman" w:cs="Times New Roman"/>
          <w:b/>
          <w:sz w:val="24"/>
          <w:szCs w:val="24"/>
          <w:lang w:val="es-ES_tradnl"/>
        </w:rPr>
        <w:t>Esquema de ejecución del proyecto HA-L1</w:t>
      </w:r>
      <w:r w:rsidR="007B6C8E">
        <w:rPr>
          <w:rFonts w:ascii="Times New Roman" w:hAnsi="Times New Roman" w:cs="Times New Roman"/>
          <w:b/>
          <w:sz w:val="24"/>
          <w:szCs w:val="24"/>
          <w:lang w:val="es-ES_tradnl"/>
        </w:rPr>
        <w:t>1</w:t>
      </w:r>
      <w:r w:rsidRPr="005A0B78">
        <w:rPr>
          <w:rFonts w:ascii="Times New Roman" w:hAnsi="Times New Roman" w:cs="Times New Roman"/>
          <w:b/>
          <w:sz w:val="24"/>
          <w:szCs w:val="24"/>
          <w:lang w:val="es-ES_tradnl"/>
        </w:rPr>
        <w:t>0</w:t>
      </w:r>
      <w:r w:rsidR="007B6C8E">
        <w:rPr>
          <w:rFonts w:ascii="Times New Roman" w:hAnsi="Times New Roman" w:cs="Times New Roman"/>
          <w:b/>
          <w:sz w:val="24"/>
          <w:szCs w:val="24"/>
          <w:lang w:val="es-ES_tradnl"/>
        </w:rPr>
        <w:t>3</w:t>
      </w:r>
    </w:p>
    <w:p w14:paraId="0E46BB45" w14:textId="77777777" w:rsidR="007C65EC" w:rsidRDefault="000E71CA" w:rsidP="007C65E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Con respecto a </w:t>
      </w:r>
      <w:r w:rsidR="003549F4">
        <w:rPr>
          <w:rFonts w:ascii="Times New Roman" w:hAnsi="Times New Roman" w:cs="Times New Roman"/>
          <w:sz w:val="24"/>
          <w:szCs w:val="24"/>
          <w:lang w:val="es-ES_tradnl"/>
        </w:rPr>
        <w:t>la parte urbana, e</w:t>
      </w:r>
      <w:r w:rsidR="0084463D">
        <w:rPr>
          <w:rFonts w:ascii="Times New Roman" w:hAnsi="Times New Roman" w:cs="Times New Roman"/>
          <w:sz w:val="24"/>
          <w:szCs w:val="24"/>
          <w:lang w:val="es-ES_tradnl"/>
        </w:rPr>
        <w:t xml:space="preserve">l organismo ejecutor </w:t>
      </w:r>
      <w:r w:rsidR="00FB2B31">
        <w:rPr>
          <w:rFonts w:ascii="Times New Roman" w:hAnsi="Times New Roman" w:cs="Times New Roman"/>
          <w:sz w:val="24"/>
          <w:szCs w:val="24"/>
          <w:lang w:val="es-ES_tradnl"/>
        </w:rPr>
        <w:t>será DINEPA/CTE RMPP</w:t>
      </w:r>
      <w:r w:rsidR="0084463D">
        <w:rPr>
          <w:rFonts w:ascii="Times New Roman" w:hAnsi="Times New Roman" w:cs="Times New Roman"/>
          <w:sz w:val="24"/>
          <w:szCs w:val="24"/>
          <w:lang w:val="es-ES_tradnl"/>
        </w:rPr>
        <w:t xml:space="preserve">. Con el objetivo de </w:t>
      </w:r>
      <w:r w:rsidR="00ED62AC">
        <w:rPr>
          <w:rFonts w:ascii="Times New Roman" w:hAnsi="Times New Roman" w:cs="Times New Roman"/>
          <w:sz w:val="24"/>
          <w:szCs w:val="24"/>
          <w:lang w:val="es-ES_tradnl"/>
        </w:rPr>
        <w:t>mantener la agilización</w:t>
      </w:r>
      <w:r w:rsidR="0084463D">
        <w:rPr>
          <w:rFonts w:ascii="Times New Roman" w:hAnsi="Times New Roman" w:cs="Times New Roman"/>
          <w:sz w:val="24"/>
          <w:szCs w:val="24"/>
          <w:lang w:val="es-ES_tradnl"/>
        </w:rPr>
        <w:t xml:space="preserve"> </w:t>
      </w:r>
      <w:r w:rsidR="00ED62AC">
        <w:rPr>
          <w:rFonts w:ascii="Times New Roman" w:hAnsi="Times New Roman" w:cs="Times New Roman"/>
          <w:sz w:val="24"/>
          <w:szCs w:val="24"/>
          <w:lang w:val="es-ES_tradnl"/>
        </w:rPr>
        <w:t xml:space="preserve">de </w:t>
      </w:r>
      <w:r w:rsidR="0084463D">
        <w:rPr>
          <w:rFonts w:ascii="Times New Roman" w:hAnsi="Times New Roman" w:cs="Times New Roman"/>
          <w:sz w:val="24"/>
          <w:szCs w:val="24"/>
          <w:lang w:val="es-ES_tradnl"/>
        </w:rPr>
        <w:t>los procesos administrativos para la ejecución de</w:t>
      </w:r>
      <w:r w:rsidR="007B6C8E">
        <w:rPr>
          <w:rFonts w:ascii="Times New Roman" w:hAnsi="Times New Roman" w:cs="Times New Roman"/>
          <w:sz w:val="24"/>
          <w:szCs w:val="24"/>
          <w:lang w:val="es-ES_tradnl"/>
        </w:rPr>
        <w:t xml:space="preserve"> </w:t>
      </w:r>
      <w:r w:rsidR="0084463D">
        <w:rPr>
          <w:rFonts w:ascii="Times New Roman" w:hAnsi="Times New Roman" w:cs="Times New Roman"/>
          <w:sz w:val="24"/>
          <w:szCs w:val="24"/>
          <w:lang w:val="es-ES_tradnl"/>
        </w:rPr>
        <w:t>l</w:t>
      </w:r>
      <w:r w:rsidR="007B6C8E">
        <w:rPr>
          <w:rFonts w:ascii="Times New Roman" w:hAnsi="Times New Roman" w:cs="Times New Roman"/>
          <w:sz w:val="24"/>
          <w:szCs w:val="24"/>
          <w:lang w:val="es-ES_tradnl"/>
        </w:rPr>
        <w:t>os</w:t>
      </w:r>
      <w:r w:rsidR="0084463D">
        <w:rPr>
          <w:rFonts w:ascii="Times New Roman" w:hAnsi="Times New Roman" w:cs="Times New Roman"/>
          <w:sz w:val="24"/>
          <w:szCs w:val="24"/>
          <w:lang w:val="es-ES_tradnl"/>
        </w:rPr>
        <w:t xml:space="preserve"> proyecto</w:t>
      </w:r>
      <w:r w:rsidR="007B6C8E">
        <w:rPr>
          <w:rFonts w:ascii="Times New Roman" w:hAnsi="Times New Roman" w:cs="Times New Roman"/>
          <w:sz w:val="24"/>
          <w:szCs w:val="24"/>
          <w:lang w:val="es-ES_tradnl"/>
        </w:rPr>
        <w:t>s</w:t>
      </w:r>
      <w:r w:rsidR="005A0B78">
        <w:rPr>
          <w:rFonts w:ascii="Times New Roman" w:hAnsi="Times New Roman" w:cs="Times New Roman"/>
          <w:sz w:val="24"/>
          <w:szCs w:val="24"/>
          <w:lang w:val="es-ES_tradnl"/>
        </w:rPr>
        <w:t xml:space="preserve"> existente</w:t>
      </w:r>
      <w:r w:rsidR="007B6C8E">
        <w:rPr>
          <w:rFonts w:ascii="Times New Roman" w:hAnsi="Times New Roman" w:cs="Times New Roman"/>
          <w:sz w:val="24"/>
          <w:szCs w:val="24"/>
          <w:lang w:val="es-ES_tradnl"/>
        </w:rPr>
        <w:t>s</w:t>
      </w:r>
      <w:r w:rsidR="005A0B78">
        <w:rPr>
          <w:rFonts w:ascii="Times New Roman" w:hAnsi="Times New Roman" w:cs="Times New Roman"/>
          <w:sz w:val="24"/>
          <w:szCs w:val="24"/>
          <w:lang w:val="es-ES_tradnl"/>
        </w:rPr>
        <w:t xml:space="preserve"> (HA-L1044</w:t>
      </w:r>
      <w:r w:rsidR="007B6C8E">
        <w:rPr>
          <w:rFonts w:ascii="Times New Roman" w:hAnsi="Times New Roman" w:cs="Times New Roman"/>
          <w:sz w:val="24"/>
          <w:szCs w:val="24"/>
          <w:lang w:val="es-ES_tradnl"/>
        </w:rPr>
        <w:t>, HA-X1021 y HA-L1075</w:t>
      </w:r>
      <w:r w:rsidR="005A0B78">
        <w:rPr>
          <w:rFonts w:ascii="Times New Roman" w:hAnsi="Times New Roman" w:cs="Times New Roman"/>
          <w:sz w:val="24"/>
          <w:szCs w:val="24"/>
          <w:lang w:val="es-ES_tradnl"/>
        </w:rPr>
        <w:t>) y del proyecto en preparación (HA-L1</w:t>
      </w:r>
      <w:r w:rsidR="007C65EC">
        <w:rPr>
          <w:rFonts w:ascii="Times New Roman" w:hAnsi="Times New Roman" w:cs="Times New Roman"/>
          <w:sz w:val="24"/>
          <w:szCs w:val="24"/>
          <w:lang w:val="es-ES_tradnl"/>
        </w:rPr>
        <w:t>1</w:t>
      </w:r>
      <w:r w:rsidR="005A0B78">
        <w:rPr>
          <w:rFonts w:ascii="Times New Roman" w:hAnsi="Times New Roman" w:cs="Times New Roman"/>
          <w:sz w:val="24"/>
          <w:szCs w:val="24"/>
          <w:lang w:val="es-ES_tradnl"/>
        </w:rPr>
        <w:t>0</w:t>
      </w:r>
      <w:r w:rsidR="007C65EC">
        <w:rPr>
          <w:rFonts w:ascii="Times New Roman" w:hAnsi="Times New Roman" w:cs="Times New Roman"/>
          <w:sz w:val="24"/>
          <w:szCs w:val="24"/>
          <w:lang w:val="es-ES_tradnl"/>
        </w:rPr>
        <w:t>3</w:t>
      </w:r>
      <w:r w:rsidR="005A0B78">
        <w:rPr>
          <w:rFonts w:ascii="Times New Roman" w:hAnsi="Times New Roman" w:cs="Times New Roman"/>
          <w:sz w:val="24"/>
          <w:szCs w:val="24"/>
          <w:lang w:val="es-ES_tradnl"/>
        </w:rPr>
        <w:t>)</w:t>
      </w:r>
      <w:r w:rsidR="0084463D">
        <w:rPr>
          <w:rFonts w:ascii="Times New Roman" w:hAnsi="Times New Roman" w:cs="Times New Roman"/>
          <w:sz w:val="24"/>
          <w:szCs w:val="24"/>
          <w:lang w:val="es-ES_tradnl"/>
        </w:rPr>
        <w:t xml:space="preserve">, </w:t>
      </w:r>
      <w:r w:rsidR="007C65EC">
        <w:rPr>
          <w:rFonts w:ascii="Times New Roman" w:hAnsi="Times New Roman" w:cs="Times New Roman"/>
          <w:sz w:val="24"/>
          <w:szCs w:val="24"/>
          <w:lang w:val="es-ES_tradnl"/>
        </w:rPr>
        <w:t xml:space="preserve">el equipo de proyecto </w:t>
      </w:r>
      <w:r w:rsidR="00ED62AC">
        <w:rPr>
          <w:rFonts w:ascii="Times New Roman" w:hAnsi="Times New Roman" w:cs="Times New Roman"/>
          <w:sz w:val="24"/>
          <w:szCs w:val="24"/>
          <w:lang w:val="es-ES_tradnl"/>
        </w:rPr>
        <w:t>se mantendrá</w:t>
      </w:r>
      <w:r w:rsidR="007C65EC">
        <w:rPr>
          <w:rFonts w:ascii="Times New Roman" w:hAnsi="Times New Roman" w:cs="Times New Roman"/>
          <w:sz w:val="24"/>
          <w:szCs w:val="24"/>
          <w:lang w:val="es-ES_tradnl"/>
        </w:rPr>
        <w:t xml:space="preserve"> al nivel del CTE RMPP </w:t>
      </w:r>
      <w:r w:rsidR="00531467">
        <w:rPr>
          <w:rFonts w:ascii="Times New Roman" w:hAnsi="Times New Roman" w:cs="Times New Roman"/>
          <w:sz w:val="24"/>
          <w:szCs w:val="24"/>
          <w:lang w:val="es-ES_tradnl"/>
        </w:rPr>
        <w:t>e incluirá:</w:t>
      </w:r>
      <w:r w:rsidR="007C65EC">
        <w:rPr>
          <w:rFonts w:ascii="Times New Roman" w:hAnsi="Times New Roman" w:cs="Times New Roman"/>
          <w:sz w:val="24"/>
          <w:szCs w:val="24"/>
          <w:lang w:val="es-ES_tradnl"/>
        </w:rPr>
        <w:t xml:space="preserve"> (i) el </w:t>
      </w:r>
      <w:r w:rsidR="005A0B78">
        <w:rPr>
          <w:rFonts w:ascii="Times New Roman" w:hAnsi="Times New Roman" w:cs="Times New Roman"/>
          <w:sz w:val="24"/>
          <w:szCs w:val="24"/>
          <w:lang w:val="es-ES_tradnl"/>
        </w:rPr>
        <w:t xml:space="preserve">jefe del proyecto </w:t>
      </w:r>
      <w:r w:rsidR="007C65EC">
        <w:rPr>
          <w:rFonts w:ascii="Times New Roman" w:hAnsi="Times New Roman" w:cs="Times New Roman"/>
          <w:sz w:val="24"/>
          <w:szCs w:val="24"/>
          <w:lang w:val="es-ES_tradnl"/>
        </w:rPr>
        <w:t>quien es el director general del CTE</w:t>
      </w:r>
      <w:r w:rsidR="00531467">
        <w:rPr>
          <w:rFonts w:ascii="Times New Roman" w:hAnsi="Times New Roman" w:cs="Times New Roman"/>
          <w:sz w:val="24"/>
          <w:szCs w:val="24"/>
          <w:lang w:val="es-ES_tradnl"/>
        </w:rPr>
        <w:t>;</w:t>
      </w:r>
      <w:r w:rsidR="007C65EC">
        <w:rPr>
          <w:rFonts w:ascii="Times New Roman" w:hAnsi="Times New Roman" w:cs="Times New Roman"/>
          <w:sz w:val="24"/>
          <w:szCs w:val="24"/>
          <w:lang w:val="es-ES_tradnl"/>
        </w:rPr>
        <w:t xml:space="preserve"> (ii) el asis</w:t>
      </w:r>
      <w:r w:rsidR="00531467">
        <w:rPr>
          <w:rFonts w:ascii="Times New Roman" w:hAnsi="Times New Roman" w:cs="Times New Roman"/>
          <w:sz w:val="24"/>
          <w:szCs w:val="24"/>
          <w:lang w:val="es-ES_tradnl"/>
        </w:rPr>
        <w:t>tente del jefe de proyecto; y</w:t>
      </w:r>
      <w:r w:rsidR="007C65EC">
        <w:rPr>
          <w:rFonts w:ascii="Times New Roman" w:hAnsi="Times New Roman" w:cs="Times New Roman"/>
          <w:sz w:val="24"/>
          <w:szCs w:val="24"/>
          <w:lang w:val="es-ES_tradnl"/>
        </w:rPr>
        <w:t xml:space="preserve"> (iii) el especialista financiero</w:t>
      </w:r>
      <w:r w:rsidR="005A0B78">
        <w:rPr>
          <w:rFonts w:ascii="Times New Roman" w:hAnsi="Times New Roman" w:cs="Times New Roman"/>
          <w:sz w:val="24"/>
          <w:szCs w:val="24"/>
          <w:lang w:val="es-ES_tradnl"/>
        </w:rPr>
        <w:t xml:space="preserve"> </w:t>
      </w:r>
      <w:r w:rsidR="007C65EC">
        <w:rPr>
          <w:rFonts w:ascii="Times New Roman" w:hAnsi="Times New Roman" w:cs="Times New Roman"/>
          <w:sz w:val="24"/>
          <w:szCs w:val="24"/>
          <w:lang w:val="es-ES_tradnl"/>
        </w:rPr>
        <w:t xml:space="preserve">quien </w:t>
      </w:r>
      <w:r w:rsidR="005A0B78">
        <w:rPr>
          <w:rFonts w:ascii="Times New Roman" w:hAnsi="Times New Roman" w:cs="Times New Roman"/>
          <w:sz w:val="24"/>
          <w:szCs w:val="24"/>
          <w:lang w:val="es-ES_tradnl"/>
        </w:rPr>
        <w:t xml:space="preserve">ocupa </w:t>
      </w:r>
      <w:r w:rsidR="007C65EC">
        <w:rPr>
          <w:rFonts w:ascii="Times New Roman" w:hAnsi="Times New Roman" w:cs="Times New Roman"/>
          <w:sz w:val="24"/>
          <w:szCs w:val="24"/>
          <w:lang w:val="es-ES_tradnl"/>
        </w:rPr>
        <w:t xml:space="preserve">también </w:t>
      </w:r>
      <w:r w:rsidR="005A0B78">
        <w:rPr>
          <w:rFonts w:ascii="Times New Roman" w:hAnsi="Times New Roman" w:cs="Times New Roman"/>
          <w:sz w:val="24"/>
          <w:szCs w:val="24"/>
          <w:lang w:val="es-ES_tradnl"/>
        </w:rPr>
        <w:t>el puesto de Jefe de Unidad Financiera del CTE</w:t>
      </w:r>
      <w:r w:rsidR="007C65EC">
        <w:rPr>
          <w:rFonts w:ascii="Times New Roman" w:hAnsi="Times New Roman" w:cs="Times New Roman"/>
          <w:sz w:val="24"/>
          <w:szCs w:val="24"/>
          <w:lang w:val="es-ES_tradnl"/>
        </w:rPr>
        <w:t xml:space="preserve">. </w:t>
      </w:r>
    </w:p>
    <w:p w14:paraId="4232B31D" w14:textId="77777777" w:rsidR="007901B0" w:rsidRDefault="007C65EC" w:rsidP="007C65E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especialista de adquisición del proyecto es el especialista de la OREPA Oeste desde 2015 y se prevé funcionar de </w:t>
      </w:r>
      <w:r w:rsidR="00531467">
        <w:rPr>
          <w:rFonts w:ascii="Times New Roman" w:hAnsi="Times New Roman" w:cs="Times New Roman"/>
          <w:sz w:val="24"/>
          <w:szCs w:val="24"/>
          <w:lang w:val="es-ES_tradnl"/>
        </w:rPr>
        <w:t>manera similar en</w:t>
      </w:r>
      <w:r>
        <w:rPr>
          <w:rFonts w:ascii="Times New Roman" w:hAnsi="Times New Roman" w:cs="Times New Roman"/>
          <w:sz w:val="24"/>
          <w:szCs w:val="24"/>
          <w:lang w:val="es-ES_tradnl"/>
        </w:rPr>
        <w:t xml:space="preserve"> </w:t>
      </w:r>
      <w:r w:rsidR="00531467">
        <w:rPr>
          <w:rFonts w:ascii="Times New Roman" w:hAnsi="Times New Roman" w:cs="Times New Roman"/>
          <w:sz w:val="24"/>
          <w:szCs w:val="24"/>
          <w:lang w:val="es-ES_tradnl"/>
        </w:rPr>
        <w:t>este</w:t>
      </w:r>
      <w:r>
        <w:rPr>
          <w:rFonts w:ascii="Times New Roman" w:hAnsi="Times New Roman" w:cs="Times New Roman"/>
          <w:sz w:val="24"/>
          <w:szCs w:val="24"/>
          <w:lang w:val="es-ES_tradnl"/>
        </w:rPr>
        <w:t xml:space="preserve"> nuevo proyecto. La función de adquisición está localizada al nivel del OREPA Oeste, en harmonía con el proceso de desconcentración de ciertas funciones de la DINEPA a sus entidades desconcentradas. Este </w:t>
      </w:r>
      <w:r w:rsidR="00531467">
        <w:rPr>
          <w:rFonts w:ascii="Times New Roman" w:hAnsi="Times New Roman" w:cs="Times New Roman"/>
          <w:sz w:val="24"/>
          <w:szCs w:val="24"/>
          <w:lang w:val="es-ES_tradnl"/>
        </w:rPr>
        <w:t>esquema</w:t>
      </w:r>
      <w:r>
        <w:rPr>
          <w:rFonts w:ascii="Times New Roman" w:hAnsi="Times New Roman" w:cs="Times New Roman"/>
          <w:sz w:val="24"/>
          <w:szCs w:val="24"/>
          <w:lang w:val="es-ES_tradnl"/>
        </w:rPr>
        <w:t xml:space="preserve"> ha sido </w:t>
      </w:r>
      <w:r w:rsidR="007901B0">
        <w:rPr>
          <w:rFonts w:ascii="Times New Roman" w:hAnsi="Times New Roman" w:cs="Times New Roman"/>
          <w:sz w:val="24"/>
          <w:szCs w:val="24"/>
          <w:lang w:val="es-ES_tradnl"/>
        </w:rPr>
        <w:t>apropiado para la ejecución de los proyectos en curso</w:t>
      </w:r>
      <w:r w:rsidR="003549F4">
        <w:rPr>
          <w:rFonts w:ascii="Times New Roman" w:hAnsi="Times New Roman" w:cs="Times New Roman"/>
          <w:sz w:val="24"/>
          <w:szCs w:val="24"/>
          <w:lang w:val="es-ES_tradnl"/>
        </w:rPr>
        <w:t xml:space="preserve"> (HA-L1044, HA-X1021 y HA-L1075)</w:t>
      </w:r>
      <w:r w:rsidR="007901B0">
        <w:rPr>
          <w:rFonts w:ascii="Times New Roman" w:hAnsi="Times New Roman" w:cs="Times New Roman"/>
          <w:sz w:val="24"/>
          <w:szCs w:val="24"/>
          <w:lang w:val="es-ES_tradnl"/>
        </w:rPr>
        <w:t>.</w:t>
      </w:r>
    </w:p>
    <w:p w14:paraId="61BA6EBF" w14:textId="77777777" w:rsidR="00D17FBB" w:rsidRPr="00D17FBB" w:rsidRDefault="00100AEB" w:rsidP="00D17FBB">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Además, el Banco </w:t>
      </w:r>
      <w:r w:rsidR="00D17FBB">
        <w:rPr>
          <w:rFonts w:ascii="Times New Roman" w:hAnsi="Times New Roman" w:cs="Times New Roman"/>
          <w:sz w:val="24"/>
          <w:szCs w:val="24"/>
          <w:lang w:val="es-ES_tradnl"/>
        </w:rPr>
        <w:t>actualizo</w:t>
      </w:r>
      <w:r w:rsidR="00634457">
        <w:rPr>
          <w:rFonts w:ascii="Times New Roman" w:hAnsi="Times New Roman" w:cs="Times New Roman"/>
          <w:sz w:val="24"/>
          <w:szCs w:val="24"/>
          <w:lang w:val="es-ES_tradnl"/>
        </w:rPr>
        <w:t xml:space="preserve"> la evaluación de</w:t>
      </w:r>
      <w:r>
        <w:rPr>
          <w:rFonts w:ascii="Times New Roman" w:hAnsi="Times New Roman" w:cs="Times New Roman"/>
          <w:sz w:val="24"/>
          <w:szCs w:val="24"/>
          <w:lang w:val="es-ES_tradnl"/>
        </w:rPr>
        <w:t xml:space="preserve"> capacidad del CTE para ejecutar el proyecto con el apoyo de la herramienta SECI</w:t>
      </w:r>
      <w:r w:rsidR="00D17FBB">
        <w:rPr>
          <w:rFonts w:ascii="Times New Roman" w:hAnsi="Times New Roman" w:cs="Times New Roman"/>
          <w:sz w:val="24"/>
          <w:szCs w:val="24"/>
          <w:lang w:val="es-ES_tradnl"/>
        </w:rPr>
        <w:t xml:space="preserve"> en marzo de 2016</w:t>
      </w:r>
      <w:r>
        <w:rPr>
          <w:rFonts w:ascii="Times New Roman" w:hAnsi="Times New Roman" w:cs="Times New Roman"/>
          <w:sz w:val="24"/>
          <w:szCs w:val="24"/>
          <w:lang w:val="es-ES_tradnl"/>
        </w:rPr>
        <w:t>. El SECI es una metodología aplicada a la evaluación de la capacidad institucional de un organismo o agencia ejecutora de proyectos financiados con recursos del Banco, y comprende principalmente la evaluación de capacidades y procedimientos internos en materia  de planificación, organizacional, administrativa y de control. A través de la aplicación de una serie de cuestionarios y procesos interactivos entre el evaluador y las instancias pertinentes del organismo ejecutor</w:t>
      </w:r>
      <w:r w:rsidR="00EB4772">
        <w:rPr>
          <w:rFonts w:ascii="Times New Roman" w:hAnsi="Times New Roman" w:cs="Times New Roman"/>
          <w:sz w:val="24"/>
          <w:szCs w:val="24"/>
          <w:lang w:val="es-ES_tradnl"/>
        </w:rPr>
        <w:t xml:space="preserve">, así como el análisis de información institucional provista, se lleva a cabo una evaluación de los recursos de la institución en materia de personal, infraestructura, equipamiento, materiales, sistemas de información y otros. La misma se constituye en un insumo para determinar la capacidad de los organismos ejecutores para cumplir con los requisitos del BID en materia de responsabilidad </w:t>
      </w:r>
      <w:r w:rsidR="00EB4772" w:rsidRPr="00D17FBB">
        <w:rPr>
          <w:rFonts w:ascii="Times New Roman" w:hAnsi="Times New Roman" w:cs="Times New Roman"/>
          <w:sz w:val="24"/>
          <w:szCs w:val="24"/>
          <w:lang w:val="es-ES_tradnl"/>
        </w:rPr>
        <w:t>fiduciaria y de gestión administrativa y técnica, control interno y auditoría externa.</w:t>
      </w:r>
      <w:r w:rsidR="00D17FBB" w:rsidRPr="00D17FBB">
        <w:rPr>
          <w:rFonts w:ascii="Times New Roman" w:hAnsi="Times New Roman" w:cs="Times New Roman"/>
          <w:sz w:val="24"/>
          <w:szCs w:val="24"/>
          <w:lang w:val="es-ES_tradnl"/>
        </w:rPr>
        <w:t xml:space="preserve"> Esta evaluación concluye que los mecanismos de funcionamiento de la entidad son satisfactorios y el nivel de riesgo es bajo. </w:t>
      </w:r>
    </w:p>
    <w:p w14:paraId="0D35161C" w14:textId="77777777" w:rsidR="00634457" w:rsidRDefault="00634457" w:rsidP="00634457">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En conformidad con el protocolo entre la DINEPA, el OREPA Oeste y el CTE firmado en 201</w:t>
      </w:r>
      <w:r w:rsidR="007058E6">
        <w:rPr>
          <w:rFonts w:ascii="Times New Roman" w:hAnsi="Times New Roman" w:cs="Times New Roman"/>
          <w:sz w:val="24"/>
          <w:szCs w:val="24"/>
          <w:lang w:val="es-ES_tradnl"/>
        </w:rPr>
        <w:t>2</w:t>
      </w:r>
      <w:r>
        <w:rPr>
          <w:rFonts w:ascii="Times New Roman" w:hAnsi="Times New Roman" w:cs="Times New Roman"/>
          <w:sz w:val="24"/>
          <w:szCs w:val="24"/>
          <w:lang w:val="es-ES_tradnl"/>
        </w:rPr>
        <w:t>, este último está autorizado a procesar los pagos de montos inferiores a 5</w:t>
      </w:r>
      <w:r w:rsidR="00EB3345">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000 dólares. </w:t>
      </w:r>
      <w:r w:rsidR="007058E6">
        <w:rPr>
          <w:rFonts w:ascii="Times New Roman" w:hAnsi="Times New Roman" w:cs="Times New Roman"/>
          <w:sz w:val="24"/>
          <w:szCs w:val="24"/>
          <w:lang w:val="es-ES_tradnl"/>
        </w:rPr>
        <w:t>Tomando en cuenta los resultados de la evaluación SECI, está prevista la elaboración de un nuevo protocolo entre esas tres entidades para revisar los montos de la delegación (i) de la DINEPA a la OREPA Oeste para los procesos de adquisición (en conformidad con el circular de delegación de la DINEPA a las OREPAs del 19 de diciembre de 2014) y (ii) de la DINEPA al CTE para procesar los pagos.</w:t>
      </w:r>
    </w:p>
    <w:p w14:paraId="2B153429" w14:textId="77777777" w:rsidR="00D27CE0" w:rsidRDefault="00ED62AC" w:rsidP="00ED62A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Con el apoyo de la ATO II, la </w:t>
      </w:r>
      <w:r w:rsidR="00E95419" w:rsidRPr="00292981">
        <w:rPr>
          <w:rFonts w:ascii="Times New Roman" w:hAnsi="Times New Roman" w:cs="Times New Roman"/>
          <w:sz w:val="24"/>
          <w:szCs w:val="24"/>
          <w:lang w:val="es-ES_tradnl"/>
        </w:rPr>
        <w:t>reorganización del CTE de P</w:t>
      </w:r>
      <w:r w:rsidR="00120643">
        <w:rPr>
          <w:rFonts w:ascii="Times New Roman" w:hAnsi="Times New Roman" w:cs="Times New Roman"/>
          <w:sz w:val="24"/>
          <w:szCs w:val="24"/>
          <w:lang w:val="es-ES_tradnl"/>
        </w:rPr>
        <w:t>uerto Príncipe</w:t>
      </w:r>
      <w:r>
        <w:rPr>
          <w:rFonts w:ascii="Times New Roman" w:hAnsi="Times New Roman" w:cs="Times New Roman"/>
          <w:sz w:val="24"/>
          <w:szCs w:val="24"/>
          <w:lang w:val="es-ES_tradnl"/>
        </w:rPr>
        <w:t xml:space="preserve"> sigue siendo una prioridad de la DINEPA. A fines de </w:t>
      </w:r>
      <w:r w:rsidR="00E95419" w:rsidRPr="00292981">
        <w:rPr>
          <w:rFonts w:ascii="Times New Roman" w:hAnsi="Times New Roman" w:cs="Times New Roman"/>
          <w:sz w:val="24"/>
          <w:szCs w:val="24"/>
          <w:lang w:val="es-ES_tradnl"/>
        </w:rPr>
        <w:t>marzo del 2011, el CTE te</w:t>
      </w:r>
      <w:r>
        <w:rPr>
          <w:rFonts w:ascii="Times New Roman" w:hAnsi="Times New Roman" w:cs="Times New Roman"/>
          <w:sz w:val="24"/>
          <w:szCs w:val="24"/>
          <w:lang w:val="es-ES_tradnl"/>
        </w:rPr>
        <w:t>nía a 645 empleados. A fines de diciembre del 2015</w:t>
      </w:r>
      <w:r w:rsidR="00E95419" w:rsidRPr="00292981">
        <w:rPr>
          <w:rFonts w:ascii="Times New Roman" w:hAnsi="Times New Roman" w:cs="Times New Roman"/>
          <w:sz w:val="24"/>
          <w:szCs w:val="24"/>
          <w:lang w:val="es-ES_tradnl"/>
        </w:rPr>
        <w:t>, el CTE tenía a 5</w:t>
      </w:r>
      <w:r>
        <w:rPr>
          <w:rFonts w:ascii="Times New Roman" w:hAnsi="Times New Roman" w:cs="Times New Roman"/>
          <w:sz w:val="24"/>
          <w:szCs w:val="24"/>
          <w:lang w:val="es-ES_tradnl"/>
        </w:rPr>
        <w:t>17</w:t>
      </w:r>
      <w:r w:rsidR="00E95419" w:rsidRPr="00292981">
        <w:rPr>
          <w:rFonts w:ascii="Times New Roman" w:hAnsi="Times New Roman" w:cs="Times New Roman"/>
          <w:sz w:val="24"/>
          <w:szCs w:val="24"/>
          <w:lang w:val="es-ES_tradnl"/>
        </w:rPr>
        <w:t xml:space="preserve"> empleados. El CTE </w:t>
      </w:r>
      <w:r>
        <w:rPr>
          <w:rFonts w:ascii="Times New Roman" w:hAnsi="Times New Roman" w:cs="Times New Roman"/>
          <w:sz w:val="24"/>
          <w:szCs w:val="24"/>
          <w:lang w:val="es-ES_tradnl"/>
        </w:rPr>
        <w:t xml:space="preserve">mejoró su gobernanza con la creación de </w:t>
      </w:r>
      <w:r w:rsidR="00E95419" w:rsidRPr="00292981">
        <w:rPr>
          <w:rFonts w:ascii="Times New Roman" w:hAnsi="Times New Roman" w:cs="Times New Roman"/>
          <w:sz w:val="24"/>
          <w:szCs w:val="24"/>
          <w:lang w:val="es-ES_tradnl"/>
        </w:rPr>
        <w:t>un comité de dirección</w:t>
      </w:r>
      <w:r>
        <w:rPr>
          <w:rFonts w:ascii="Times New Roman" w:hAnsi="Times New Roman" w:cs="Times New Roman"/>
          <w:sz w:val="24"/>
          <w:szCs w:val="24"/>
          <w:lang w:val="es-ES_tradnl"/>
        </w:rPr>
        <w:t xml:space="preserve"> cuyo se reúne regularmente</w:t>
      </w:r>
      <w:r w:rsidR="00E95419" w:rsidRPr="00292981">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Ciertos cambios de directores </w:t>
      </w:r>
      <w:r>
        <w:rPr>
          <w:rFonts w:ascii="Times New Roman" w:hAnsi="Times New Roman" w:cs="Times New Roman"/>
          <w:sz w:val="24"/>
          <w:szCs w:val="24"/>
          <w:lang w:val="es-ES_tradnl"/>
        </w:rPr>
        <w:lastRenderedPageBreak/>
        <w:t xml:space="preserve">han ocurrido desde 2013 los cuales demuestran también una voluntad de modernizar la empresa, nombrando personas competentes (dirección administrativa y financiera por ejemplo). </w:t>
      </w:r>
    </w:p>
    <w:p w14:paraId="7B995BC2" w14:textId="77777777" w:rsidR="000D4780" w:rsidRDefault="003549F4" w:rsidP="005C418C">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La componente rural del programa se ejecutará con el Departamento del Medio Rural (DMR) de la DINEPA que ya fue involucrado en la gestión de proyectos financiados por el Banco (HA-G1021 y HA-X1014). Este departamento cuenta con un equipo de ingenieros competente</w:t>
      </w:r>
      <w:r w:rsidR="000D4780">
        <w:rPr>
          <w:rFonts w:ascii="Times New Roman" w:hAnsi="Times New Roman" w:cs="Times New Roman"/>
          <w:sz w:val="24"/>
          <w:szCs w:val="24"/>
          <w:lang w:val="es-ES_tradnl"/>
        </w:rPr>
        <w:t>s</w:t>
      </w:r>
      <w:r>
        <w:rPr>
          <w:rFonts w:ascii="Times New Roman" w:hAnsi="Times New Roman" w:cs="Times New Roman"/>
          <w:sz w:val="24"/>
          <w:szCs w:val="24"/>
          <w:lang w:val="es-ES_tradnl"/>
        </w:rPr>
        <w:t xml:space="preserve"> que t</w:t>
      </w:r>
      <w:r w:rsidR="000D4780">
        <w:rPr>
          <w:rFonts w:ascii="Times New Roman" w:hAnsi="Times New Roman" w:cs="Times New Roman"/>
          <w:sz w:val="24"/>
          <w:szCs w:val="24"/>
          <w:lang w:val="es-ES_tradnl"/>
        </w:rPr>
        <w:t xml:space="preserve">ienen también competencias en gestión de proyecto. </w:t>
      </w:r>
      <w:r>
        <w:rPr>
          <w:rFonts w:ascii="Times New Roman" w:hAnsi="Times New Roman" w:cs="Times New Roman"/>
          <w:sz w:val="24"/>
          <w:szCs w:val="24"/>
          <w:lang w:val="es-ES_tradnl"/>
        </w:rPr>
        <w:t xml:space="preserve">El DMR asumirá las funciones de planificación y ejecución </w:t>
      </w:r>
      <w:r w:rsidR="000D4780">
        <w:rPr>
          <w:rFonts w:ascii="Times New Roman" w:hAnsi="Times New Roman" w:cs="Times New Roman"/>
          <w:sz w:val="24"/>
          <w:szCs w:val="24"/>
          <w:lang w:val="es-ES_tradnl"/>
        </w:rPr>
        <w:t xml:space="preserve">general </w:t>
      </w:r>
      <w:r>
        <w:rPr>
          <w:rFonts w:ascii="Times New Roman" w:hAnsi="Times New Roman" w:cs="Times New Roman"/>
          <w:sz w:val="24"/>
          <w:szCs w:val="24"/>
          <w:lang w:val="es-ES_tradnl"/>
        </w:rPr>
        <w:t xml:space="preserve">de la componente rural del proyecto </w:t>
      </w:r>
      <w:r w:rsidR="000D4780">
        <w:rPr>
          <w:rFonts w:ascii="Times New Roman" w:hAnsi="Times New Roman" w:cs="Times New Roman"/>
          <w:sz w:val="24"/>
          <w:szCs w:val="24"/>
          <w:lang w:val="es-ES_tradnl"/>
        </w:rPr>
        <w:t>y aportará su asistencia técnica a las OREPAs involucradas en el programa. En términos de adquisición, en conformidad con el proceso de desconcentración, las OREPAs asumirán esta función.</w:t>
      </w:r>
    </w:p>
    <w:p w14:paraId="427F2D5D" w14:textId="77777777" w:rsidR="00F54556" w:rsidRDefault="00F54556" w:rsidP="005C418C">
      <w:pPr>
        <w:jc w:val="both"/>
        <w:rPr>
          <w:rFonts w:ascii="Times New Roman" w:hAnsi="Times New Roman" w:cs="Times New Roman"/>
          <w:sz w:val="24"/>
          <w:szCs w:val="24"/>
          <w:lang w:val="es-ES_tradnl"/>
        </w:rPr>
      </w:pPr>
    </w:p>
    <w:sectPr w:rsidR="00F545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FBF89" w14:textId="77777777" w:rsidR="00B35155" w:rsidRDefault="00B35155" w:rsidP="00F21822">
      <w:pPr>
        <w:spacing w:after="0" w:line="240" w:lineRule="auto"/>
      </w:pPr>
      <w:r>
        <w:separator/>
      </w:r>
    </w:p>
  </w:endnote>
  <w:endnote w:type="continuationSeparator" w:id="0">
    <w:p w14:paraId="75D1329F" w14:textId="77777777" w:rsidR="00B35155" w:rsidRDefault="00B35155" w:rsidP="00F21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DA608" w14:textId="77777777" w:rsidR="00B35155" w:rsidRDefault="00B35155" w:rsidP="00F21822">
      <w:pPr>
        <w:spacing w:after="0" w:line="240" w:lineRule="auto"/>
      </w:pPr>
      <w:r>
        <w:separator/>
      </w:r>
    </w:p>
  </w:footnote>
  <w:footnote w:type="continuationSeparator" w:id="0">
    <w:p w14:paraId="6D3CD6D9" w14:textId="77777777" w:rsidR="00B35155" w:rsidRDefault="00B35155" w:rsidP="00F218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74507"/>
    <w:multiLevelType w:val="hybridMultilevel"/>
    <w:tmpl w:val="BE4ACA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AB7FC9"/>
    <w:multiLevelType w:val="multilevel"/>
    <w:tmpl w:val="6874C074"/>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1476"/>
        </w:tabs>
        <w:ind w:left="1476" w:hanging="1296"/>
      </w:pPr>
      <w:rPr>
        <w:rFonts w:hint="default"/>
        <w:b w:val="0"/>
        <w:i w:val="0"/>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none"/>
      <w:lvlText w:val=""/>
      <w:lvlJc w:val="left"/>
      <w:pPr>
        <w:tabs>
          <w:tab w:val="num" w:pos="4392"/>
        </w:tabs>
        <w:ind w:left="4032" w:firstLine="0"/>
      </w:pPr>
      <w:rPr>
        <w:rFonts w:hint="default"/>
      </w:rPr>
    </w:lvl>
    <w:lvl w:ilvl="5">
      <w:start w:val="1"/>
      <w:numFmt w:val="none"/>
      <w:lvlText w:val=""/>
      <w:lvlJc w:val="left"/>
      <w:pPr>
        <w:tabs>
          <w:tab w:val="num" w:pos="5112"/>
        </w:tabs>
        <w:ind w:left="4752" w:firstLine="0"/>
      </w:pPr>
      <w:rPr>
        <w:rFonts w:hint="default"/>
      </w:rPr>
    </w:lvl>
    <w:lvl w:ilvl="6">
      <w:start w:val="1"/>
      <w:numFmt w:val="none"/>
      <w:lvlText w:val=""/>
      <w:lvlJc w:val="left"/>
      <w:pPr>
        <w:tabs>
          <w:tab w:val="num" w:pos="5832"/>
        </w:tabs>
        <w:ind w:left="5472" w:firstLine="0"/>
      </w:pPr>
      <w:rPr>
        <w:rFonts w:hint="default"/>
      </w:rPr>
    </w:lvl>
    <w:lvl w:ilvl="7">
      <w:start w:val="1"/>
      <w:numFmt w:val="none"/>
      <w:lvlText w:val=""/>
      <w:lvlJc w:val="left"/>
      <w:pPr>
        <w:tabs>
          <w:tab w:val="num" w:pos="6552"/>
        </w:tabs>
        <w:ind w:left="6192" w:firstLine="0"/>
      </w:pPr>
      <w:rPr>
        <w:rFonts w:hint="default"/>
      </w:rPr>
    </w:lvl>
    <w:lvl w:ilvl="8">
      <w:start w:val="1"/>
      <w:numFmt w:val="none"/>
      <w:lvlText w:val=""/>
      <w:lvlJc w:val="left"/>
      <w:pPr>
        <w:tabs>
          <w:tab w:val="num" w:pos="7272"/>
        </w:tabs>
        <w:ind w:left="6912" w:firstLine="0"/>
      </w:pPr>
      <w:rPr>
        <w:rFonts w:hint="default"/>
      </w:rPr>
    </w:lvl>
  </w:abstractNum>
  <w:abstractNum w:abstractNumId="2" w15:restartNumberingAfterBreak="0">
    <w:nsid w:val="24D369D6"/>
    <w:multiLevelType w:val="hybridMultilevel"/>
    <w:tmpl w:val="F984EAD6"/>
    <w:lvl w:ilvl="0" w:tplc="D584E624">
      <w:start w:val="6"/>
      <w:numFmt w:val="decimal"/>
      <w:lvlText w:val="%1."/>
      <w:lvlJc w:val="left"/>
      <w:pPr>
        <w:tabs>
          <w:tab w:val="num" w:pos="720"/>
        </w:tabs>
        <w:ind w:left="720" w:hanging="360"/>
      </w:pPr>
    </w:lvl>
    <w:lvl w:ilvl="1" w:tplc="745C6F36" w:tentative="1">
      <w:start w:val="1"/>
      <w:numFmt w:val="decimal"/>
      <w:lvlText w:val="%2."/>
      <w:lvlJc w:val="left"/>
      <w:pPr>
        <w:tabs>
          <w:tab w:val="num" w:pos="1440"/>
        </w:tabs>
        <w:ind w:left="1440" w:hanging="360"/>
      </w:pPr>
    </w:lvl>
    <w:lvl w:ilvl="2" w:tplc="C98C95FC" w:tentative="1">
      <w:start w:val="1"/>
      <w:numFmt w:val="decimal"/>
      <w:lvlText w:val="%3."/>
      <w:lvlJc w:val="left"/>
      <w:pPr>
        <w:tabs>
          <w:tab w:val="num" w:pos="2160"/>
        </w:tabs>
        <w:ind w:left="2160" w:hanging="360"/>
      </w:pPr>
    </w:lvl>
    <w:lvl w:ilvl="3" w:tplc="695EDB62" w:tentative="1">
      <w:start w:val="1"/>
      <w:numFmt w:val="decimal"/>
      <w:lvlText w:val="%4."/>
      <w:lvlJc w:val="left"/>
      <w:pPr>
        <w:tabs>
          <w:tab w:val="num" w:pos="2880"/>
        </w:tabs>
        <w:ind w:left="2880" w:hanging="360"/>
      </w:pPr>
    </w:lvl>
    <w:lvl w:ilvl="4" w:tplc="E59628B8" w:tentative="1">
      <w:start w:val="1"/>
      <w:numFmt w:val="decimal"/>
      <w:lvlText w:val="%5."/>
      <w:lvlJc w:val="left"/>
      <w:pPr>
        <w:tabs>
          <w:tab w:val="num" w:pos="3600"/>
        </w:tabs>
        <w:ind w:left="3600" w:hanging="360"/>
      </w:pPr>
    </w:lvl>
    <w:lvl w:ilvl="5" w:tplc="62B41662" w:tentative="1">
      <w:start w:val="1"/>
      <w:numFmt w:val="decimal"/>
      <w:lvlText w:val="%6."/>
      <w:lvlJc w:val="left"/>
      <w:pPr>
        <w:tabs>
          <w:tab w:val="num" w:pos="4320"/>
        </w:tabs>
        <w:ind w:left="4320" w:hanging="360"/>
      </w:pPr>
    </w:lvl>
    <w:lvl w:ilvl="6" w:tplc="05E6C944" w:tentative="1">
      <w:start w:val="1"/>
      <w:numFmt w:val="decimal"/>
      <w:lvlText w:val="%7."/>
      <w:lvlJc w:val="left"/>
      <w:pPr>
        <w:tabs>
          <w:tab w:val="num" w:pos="5040"/>
        </w:tabs>
        <w:ind w:left="5040" w:hanging="360"/>
      </w:pPr>
    </w:lvl>
    <w:lvl w:ilvl="7" w:tplc="F2460D5A" w:tentative="1">
      <w:start w:val="1"/>
      <w:numFmt w:val="decimal"/>
      <w:lvlText w:val="%8."/>
      <w:lvlJc w:val="left"/>
      <w:pPr>
        <w:tabs>
          <w:tab w:val="num" w:pos="5760"/>
        </w:tabs>
        <w:ind w:left="5760" w:hanging="360"/>
      </w:pPr>
    </w:lvl>
    <w:lvl w:ilvl="8" w:tplc="9A46EA50" w:tentative="1">
      <w:start w:val="1"/>
      <w:numFmt w:val="decimal"/>
      <w:lvlText w:val="%9."/>
      <w:lvlJc w:val="left"/>
      <w:pPr>
        <w:tabs>
          <w:tab w:val="num" w:pos="6480"/>
        </w:tabs>
        <w:ind w:left="6480" w:hanging="360"/>
      </w:pPr>
    </w:lvl>
  </w:abstractNum>
  <w:abstractNum w:abstractNumId="3" w15:restartNumberingAfterBreak="0">
    <w:nsid w:val="271D2CFD"/>
    <w:multiLevelType w:val="hybridMultilevel"/>
    <w:tmpl w:val="6214291E"/>
    <w:lvl w:ilvl="0" w:tplc="A6EC487A">
      <w:start w:val="1"/>
      <w:numFmt w:val="decimal"/>
      <w:lvlText w:val="%1."/>
      <w:lvlJc w:val="left"/>
      <w:pPr>
        <w:tabs>
          <w:tab w:val="num" w:pos="720"/>
        </w:tabs>
        <w:ind w:left="720" w:hanging="360"/>
      </w:pPr>
    </w:lvl>
    <w:lvl w:ilvl="1" w:tplc="C3C6F866" w:tentative="1">
      <w:start w:val="1"/>
      <w:numFmt w:val="decimal"/>
      <w:lvlText w:val="%2."/>
      <w:lvlJc w:val="left"/>
      <w:pPr>
        <w:tabs>
          <w:tab w:val="num" w:pos="1440"/>
        </w:tabs>
        <w:ind w:left="1440" w:hanging="360"/>
      </w:pPr>
    </w:lvl>
    <w:lvl w:ilvl="2" w:tplc="F6E2F1A6" w:tentative="1">
      <w:start w:val="1"/>
      <w:numFmt w:val="decimal"/>
      <w:lvlText w:val="%3."/>
      <w:lvlJc w:val="left"/>
      <w:pPr>
        <w:tabs>
          <w:tab w:val="num" w:pos="2160"/>
        </w:tabs>
        <w:ind w:left="2160" w:hanging="360"/>
      </w:pPr>
    </w:lvl>
    <w:lvl w:ilvl="3" w:tplc="16807E68" w:tentative="1">
      <w:start w:val="1"/>
      <w:numFmt w:val="decimal"/>
      <w:lvlText w:val="%4."/>
      <w:lvlJc w:val="left"/>
      <w:pPr>
        <w:tabs>
          <w:tab w:val="num" w:pos="2880"/>
        </w:tabs>
        <w:ind w:left="2880" w:hanging="360"/>
      </w:pPr>
    </w:lvl>
    <w:lvl w:ilvl="4" w:tplc="C1CC429E" w:tentative="1">
      <w:start w:val="1"/>
      <w:numFmt w:val="decimal"/>
      <w:lvlText w:val="%5."/>
      <w:lvlJc w:val="left"/>
      <w:pPr>
        <w:tabs>
          <w:tab w:val="num" w:pos="3600"/>
        </w:tabs>
        <w:ind w:left="3600" w:hanging="360"/>
      </w:pPr>
    </w:lvl>
    <w:lvl w:ilvl="5" w:tplc="3272BE8A" w:tentative="1">
      <w:start w:val="1"/>
      <w:numFmt w:val="decimal"/>
      <w:lvlText w:val="%6."/>
      <w:lvlJc w:val="left"/>
      <w:pPr>
        <w:tabs>
          <w:tab w:val="num" w:pos="4320"/>
        </w:tabs>
        <w:ind w:left="4320" w:hanging="360"/>
      </w:pPr>
    </w:lvl>
    <w:lvl w:ilvl="6" w:tplc="3E78F81C" w:tentative="1">
      <w:start w:val="1"/>
      <w:numFmt w:val="decimal"/>
      <w:lvlText w:val="%7."/>
      <w:lvlJc w:val="left"/>
      <w:pPr>
        <w:tabs>
          <w:tab w:val="num" w:pos="5040"/>
        </w:tabs>
        <w:ind w:left="5040" w:hanging="360"/>
      </w:pPr>
    </w:lvl>
    <w:lvl w:ilvl="7" w:tplc="D5362B0E" w:tentative="1">
      <w:start w:val="1"/>
      <w:numFmt w:val="decimal"/>
      <w:lvlText w:val="%8."/>
      <w:lvlJc w:val="left"/>
      <w:pPr>
        <w:tabs>
          <w:tab w:val="num" w:pos="5760"/>
        </w:tabs>
        <w:ind w:left="5760" w:hanging="360"/>
      </w:pPr>
    </w:lvl>
    <w:lvl w:ilvl="8" w:tplc="FB34AB14" w:tentative="1">
      <w:start w:val="1"/>
      <w:numFmt w:val="decimal"/>
      <w:lvlText w:val="%9."/>
      <w:lvlJc w:val="left"/>
      <w:pPr>
        <w:tabs>
          <w:tab w:val="num" w:pos="6480"/>
        </w:tabs>
        <w:ind w:left="6480" w:hanging="360"/>
      </w:pPr>
    </w:lvl>
  </w:abstractNum>
  <w:abstractNum w:abstractNumId="4" w15:restartNumberingAfterBreak="0">
    <w:nsid w:val="2A152273"/>
    <w:multiLevelType w:val="hybridMultilevel"/>
    <w:tmpl w:val="8134182A"/>
    <w:lvl w:ilvl="0" w:tplc="4B66E9F2">
      <w:start w:val="2"/>
      <w:numFmt w:val="decimal"/>
      <w:lvlText w:val="%1."/>
      <w:lvlJc w:val="left"/>
      <w:pPr>
        <w:tabs>
          <w:tab w:val="num" w:pos="720"/>
        </w:tabs>
        <w:ind w:left="720" w:hanging="360"/>
      </w:pPr>
    </w:lvl>
    <w:lvl w:ilvl="1" w:tplc="96465FA8" w:tentative="1">
      <w:start w:val="1"/>
      <w:numFmt w:val="decimal"/>
      <w:lvlText w:val="%2."/>
      <w:lvlJc w:val="left"/>
      <w:pPr>
        <w:tabs>
          <w:tab w:val="num" w:pos="1440"/>
        </w:tabs>
        <w:ind w:left="1440" w:hanging="360"/>
      </w:pPr>
    </w:lvl>
    <w:lvl w:ilvl="2" w:tplc="46906B9A" w:tentative="1">
      <w:start w:val="1"/>
      <w:numFmt w:val="decimal"/>
      <w:lvlText w:val="%3."/>
      <w:lvlJc w:val="left"/>
      <w:pPr>
        <w:tabs>
          <w:tab w:val="num" w:pos="2160"/>
        </w:tabs>
        <w:ind w:left="2160" w:hanging="360"/>
      </w:pPr>
    </w:lvl>
    <w:lvl w:ilvl="3" w:tplc="5914DBC2" w:tentative="1">
      <w:start w:val="1"/>
      <w:numFmt w:val="decimal"/>
      <w:lvlText w:val="%4."/>
      <w:lvlJc w:val="left"/>
      <w:pPr>
        <w:tabs>
          <w:tab w:val="num" w:pos="2880"/>
        </w:tabs>
        <w:ind w:left="2880" w:hanging="360"/>
      </w:pPr>
    </w:lvl>
    <w:lvl w:ilvl="4" w:tplc="368639EE" w:tentative="1">
      <w:start w:val="1"/>
      <w:numFmt w:val="decimal"/>
      <w:lvlText w:val="%5."/>
      <w:lvlJc w:val="left"/>
      <w:pPr>
        <w:tabs>
          <w:tab w:val="num" w:pos="3600"/>
        </w:tabs>
        <w:ind w:left="3600" w:hanging="360"/>
      </w:pPr>
    </w:lvl>
    <w:lvl w:ilvl="5" w:tplc="B394A642" w:tentative="1">
      <w:start w:val="1"/>
      <w:numFmt w:val="decimal"/>
      <w:lvlText w:val="%6."/>
      <w:lvlJc w:val="left"/>
      <w:pPr>
        <w:tabs>
          <w:tab w:val="num" w:pos="4320"/>
        </w:tabs>
        <w:ind w:left="4320" w:hanging="360"/>
      </w:pPr>
    </w:lvl>
    <w:lvl w:ilvl="6" w:tplc="D1C4062C" w:tentative="1">
      <w:start w:val="1"/>
      <w:numFmt w:val="decimal"/>
      <w:lvlText w:val="%7."/>
      <w:lvlJc w:val="left"/>
      <w:pPr>
        <w:tabs>
          <w:tab w:val="num" w:pos="5040"/>
        </w:tabs>
        <w:ind w:left="5040" w:hanging="360"/>
      </w:pPr>
    </w:lvl>
    <w:lvl w:ilvl="7" w:tplc="22F6B388" w:tentative="1">
      <w:start w:val="1"/>
      <w:numFmt w:val="decimal"/>
      <w:lvlText w:val="%8."/>
      <w:lvlJc w:val="left"/>
      <w:pPr>
        <w:tabs>
          <w:tab w:val="num" w:pos="5760"/>
        </w:tabs>
        <w:ind w:left="5760" w:hanging="360"/>
      </w:pPr>
    </w:lvl>
    <w:lvl w:ilvl="8" w:tplc="06C4F3BC" w:tentative="1">
      <w:start w:val="1"/>
      <w:numFmt w:val="decimal"/>
      <w:lvlText w:val="%9."/>
      <w:lvlJc w:val="left"/>
      <w:pPr>
        <w:tabs>
          <w:tab w:val="num" w:pos="6480"/>
        </w:tabs>
        <w:ind w:left="6480" w:hanging="360"/>
      </w:pPr>
    </w:lvl>
  </w:abstractNum>
  <w:abstractNum w:abstractNumId="5" w15:restartNumberingAfterBreak="0">
    <w:nsid w:val="37724EC0"/>
    <w:multiLevelType w:val="hybridMultilevel"/>
    <w:tmpl w:val="0ABC3CA0"/>
    <w:lvl w:ilvl="0" w:tplc="D6287D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1E1A50"/>
    <w:multiLevelType w:val="hybridMultilevel"/>
    <w:tmpl w:val="CA7C984E"/>
    <w:lvl w:ilvl="0" w:tplc="3558CD0C">
      <w:start w:val="2"/>
      <w:numFmt w:val="upperRoman"/>
      <w:lvlText w:val="%1."/>
      <w:lvlJc w:val="left"/>
      <w:pPr>
        <w:ind w:left="1800" w:hanging="72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9BC6353"/>
    <w:multiLevelType w:val="hybridMultilevel"/>
    <w:tmpl w:val="445A94D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E4E54C8"/>
    <w:multiLevelType w:val="hybridMultilevel"/>
    <w:tmpl w:val="BBFE7F0E"/>
    <w:lvl w:ilvl="0" w:tplc="D7FEBB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E96AE9"/>
    <w:multiLevelType w:val="hybridMultilevel"/>
    <w:tmpl w:val="94D642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1F65BA"/>
    <w:multiLevelType w:val="hybridMultilevel"/>
    <w:tmpl w:val="BE820C88"/>
    <w:lvl w:ilvl="0" w:tplc="22B0442A">
      <w:start w:val="1"/>
      <w:numFmt w:val="bullet"/>
      <w:lvlText w:val=""/>
      <w:lvlJc w:val="left"/>
      <w:pPr>
        <w:tabs>
          <w:tab w:val="num" w:pos="720"/>
        </w:tabs>
        <w:ind w:left="720" w:hanging="360"/>
      </w:pPr>
      <w:rPr>
        <w:rFonts w:ascii="Wingdings" w:hAnsi="Wingdings" w:hint="default"/>
      </w:rPr>
    </w:lvl>
    <w:lvl w:ilvl="1" w:tplc="4D1ED904" w:tentative="1">
      <w:start w:val="1"/>
      <w:numFmt w:val="bullet"/>
      <w:lvlText w:val=""/>
      <w:lvlJc w:val="left"/>
      <w:pPr>
        <w:tabs>
          <w:tab w:val="num" w:pos="1440"/>
        </w:tabs>
        <w:ind w:left="1440" w:hanging="360"/>
      </w:pPr>
      <w:rPr>
        <w:rFonts w:ascii="Wingdings" w:hAnsi="Wingdings" w:hint="default"/>
      </w:rPr>
    </w:lvl>
    <w:lvl w:ilvl="2" w:tplc="190AEA5A" w:tentative="1">
      <w:start w:val="1"/>
      <w:numFmt w:val="bullet"/>
      <w:lvlText w:val=""/>
      <w:lvlJc w:val="left"/>
      <w:pPr>
        <w:tabs>
          <w:tab w:val="num" w:pos="2160"/>
        </w:tabs>
        <w:ind w:left="2160" w:hanging="360"/>
      </w:pPr>
      <w:rPr>
        <w:rFonts w:ascii="Wingdings" w:hAnsi="Wingdings" w:hint="default"/>
      </w:rPr>
    </w:lvl>
    <w:lvl w:ilvl="3" w:tplc="362A73B6" w:tentative="1">
      <w:start w:val="1"/>
      <w:numFmt w:val="bullet"/>
      <w:lvlText w:val=""/>
      <w:lvlJc w:val="left"/>
      <w:pPr>
        <w:tabs>
          <w:tab w:val="num" w:pos="2880"/>
        </w:tabs>
        <w:ind w:left="2880" w:hanging="360"/>
      </w:pPr>
      <w:rPr>
        <w:rFonts w:ascii="Wingdings" w:hAnsi="Wingdings" w:hint="default"/>
      </w:rPr>
    </w:lvl>
    <w:lvl w:ilvl="4" w:tplc="965CEA8A" w:tentative="1">
      <w:start w:val="1"/>
      <w:numFmt w:val="bullet"/>
      <w:lvlText w:val=""/>
      <w:lvlJc w:val="left"/>
      <w:pPr>
        <w:tabs>
          <w:tab w:val="num" w:pos="3600"/>
        </w:tabs>
        <w:ind w:left="3600" w:hanging="360"/>
      </w:pPr>
      <w:rPr>
        <w:rFonts w:ascii="Wingdings" w:hAnsi="Wingdings" w:hint="default"/>
      </w:rPr>
    </w:lvl>
    <w:lvl w:ilvl="5" w:tplc="32704466" w:tentative="1">
      <w:start w:val="1"/>
      <w:numFmt w:val="bullet"/>
      <w:lvlText w:val=""/>
      <w:lvlJc w:val="left"/>
      <w:pPr>
        <w:tabs>
          <w:tab w:val="num" w:pos="4320"/>
        </w:tabs>
        <w:ind w:left="4320" w:hanging="360"/>
      </w:pPr>
      <w:rPr>
        <w:rFonts w:ascii="Wingdings" w:hAnsi="Wingdings" w:hint="default"/>
      </w:rPr>
    </w:lvl>
    <w:lvl w:ilvl="6" w:tplc="93B071F0" w:tentative="1">
      <w:start w:val="1"/>
      <w:numFmt w:val="bullet"/>
      <w:lvlText w:val=""/>
      <w:lvlJc w:val="left"/>
      <w:pPr>
        <w:tabs>
          <w:tab w:val="num" w:pos="5040"/>
        </w:tabs>
        <w:ind w:left="5040" w:hanging="360"/>
      </w:pPr>
      <w:rPr>
        <w:rFonts w:ascii="Wingdings" w:hAnsi="Wingdings" w:hint="default"/>
      </w:rPr>
    </w:lvl>
    <w:lvl w:ilvl="7" w:tplc="83EEE210" w:tentative="1">
      <w:start w:val="1"/>
      <w:numFmt w:val="bullet"/>
      <w:lvlText w:val=""/>
      <w:lvlJc w:val="left"/>
      <w:pPr>
        <w:tabs>
          <w:tab w:val="num" w:pos="5760"/>
        </w:tabs>
        <w:ind w:left="5760" w:hanging="360"/>
      </w:pPr>
      <w:rPr>
        <w:rFonts w:ascii="Wingdings" w:hAnsi="Wingdings" w:hint="default"/>
      </w:rPr>
    </w:lvl>
    <w:lvl w:ilvl="8" w:tplc="0B168EC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9776FD"/>
    <w:multiLevelType w:val="hybridMultilevel"/>
    <w:tmpl w:val="0ED8B23E"/>
    <w:lvl w:ilvl="0" w:tplc="80EC601A">
      <w:start w:val="1"/>
      <w:numFmt w:val="bullet"/>
      <w:lvlText w:val="•"/>
      <w:lvlJc w:val="left"/>
      <w:pPr>
        <w:tabs>
          <w:tab w:val="num" w:pos="720"/>
        </w:tabs>
        <w:ind w:left="720" w:hanging="360"/>
      </w:pPr>
      <w:rPr>
        <w:rFonts w:ascii="Times New Roman" w:hAnsi="Times New Roman" w:hint="default"/>
      </w:rPr>
    </w:lvl>
    <w:lvl w:ilvl="1" w:tplc="1C60FB4A" w:tentative="1">
      <w:start w:val="1"/>
      <w:numFmt w:val="bullet"/>
      <w:lvlText w:val="•"/>
      <w:lvlJc w:val="left"/>
      <w:pPr>
        <w:tabs>
          <w:tab w:val="num" w:pos="1440"/>
        </w:tabs>
        <w:ind w:left="1440" w:hanging="360"/>
      </w:pPr>
      <w:rPr>
        <w:rFonts w:ascii="Times New Roman" w:hAnsi="Times New Roman" w:hint="default"/>
      </w:rPr>
    </w:lvl>
    <w:lvl w:ilvl="2" w:tplc="E6201E16" w:tentative="1">
      <w:start w:val="1"/>
      <w:numFmt w:val="bullet"/>
      <w:lvlText w:val="•"/>
      <w:lvlJc w:val="left"/>
      <w:pPr>
        <w:tabs>
          <w:tab w:val="num" w:pos="2160"/>
        </w:tabs>
        <w:ind w:left="2160" w:hanging="360"/>
      </w:pPr>
      <w:rPr>
        <w:rFonts w:ascii="Times New Roman" w:hAnsi="Times New Roman" w:hint="default"/>
      </w:rPr>
    </w:lvl>
    <w:lvl w:ilvl="3" w:tplc="87C651D2" w:tentative="1">
      <w:start w:val="1"/>
      <w:numFmt w:val="bullet"/>
      <w:lvlText w:val="•"/>
      <w:lvlJc w:val="left"/>
      <w:pPr>
        <w:tabs>
          <w:tab w:val="num" w:pos="2880"/>
        </w:tabs>
        <w:ind w:left="2880" w:hanging="360"/>
      </w:pPr>
      <w:rPr>
        <w:rFonts w:ascii="Times New Roman" w:hAnsi="Times New Roman" w:hint="default"/>
      </w:rPr>
    </w:lvl>
    <w:lvl w:ilvl="4" w:tplc="3CBA0212" w:tentative="1">
      <w:start w:val="1"/>
      <w:numFmt w:val="bullet"/>
      <w:lvlText w:val="•"/>
      <w:lvlJc w:val="left"/>
      <w:pPr>
        <w:tabs>
          <w:tab w:val="num" w:pos="3600"/>
        </w:tabs>
        <w:ind w:left="3600" w:hanging="360"/>
      </w:pPr>
      <w:rPr>
        <w:rFonts w:ascii="Times New Roman" w:hAnsi="Times New Roman" w:hint="default"/>
      </w:rPr>
    </w:lvl>
    <w:lvl w:ilvl="5" w:tplc="E0EE8460" w:tentative="1">
      <w:start w:val="1"/>
      <w:numFmt w:val="bullet"/>
      <w:lvlText w:val="•"/>
      <w:lvlJc w:val="left"/>
      <w:pPr>
        <w:tabs>
          <w:tab w:val="num" w:pos="4320"/>
        </w:tabs>
        <w:ind w:left="4320" w:hanging="360"/>
      </w:pPr>
      <w:rPr>
        <w:rFonts w:ascii="Times New Roman" w:hAnsi="Times New Roman" w:hint="default"/>
      </w:rPr>
    </w:lvl>
    <w:lvl w:ilvl="6" w:tplc="EB14E320" w:tentative="1">
      <w:start w:val="1"/>
      <w:numFmt w:val="bullet"/>
      <w:lvlText w:val="•"/>
      <w:lvlJc w:val="left"/>
      <w:pPr>
        <w:tabs>
          <w:tab w:val="num" w:pos="5040"/>
        </w:tabs>
        <w:ind w:left="5040" w:hanging="360"/>
      </w:pPr>
      <w:rPr>
        <w:rFonts w:ascii="Times New Roman" w:hAnsi="Times New Roman" w:hint="default"/>
      </w:rPr>
    </w:lvl>
    <w:lvl w:ilvl="7" w:tplc="D6E48752" w:tentative="1">
      <w:start w:val="1"/>
      <w:numFmt w:val="bullet"/>
      <w:lvlText w:val="•"/>
      <w:lvlJc w:val="left"/>
      <w:pPr>
        <w:tabs>
          <w:tab w:val="num" w:pos="5760"/>
        </w:tabs>
        <w:ind w:left="5760" w:hanging="360"/>
      </w:pPr>
      <w:rPr>
        <w:rFonts w:ascii="Times New Roman" w:hAnsi="Times New Roman" w:hint="default"/>
      </w:rPr>
    </w:lvl>
    <w:lvl w:ilvl="8" w:tplc="B866AAC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6BA3EA4"/>
    <w:multiLevelType w:val="hybridMultilevel"/>
    <w:tmpl w:val="BF3A8E6C"/>
    <w:lvl w:ilvl="0" w:tplc="3C8C2B0C">
      <w:start w:val="1"/>
      <w:numFmt w:val="bullet"/>
      <w:lvlText w:val="•"/>
      <w:lvlJc w:val="left"/>
      <w:pPr>
        <w:tabs>
          <w:tab w:val="num" w:pos="720"/>
        </w:tabs>
        <w:ind w:left="720" w:hanging="360"/>
      </w:pPr>
      <w:rPr>
        <w:rFonts w:ascii="Times New Roman" w:hAnsi="Times New Roman" w:hint="default"/>
      </w:rPr>
    </w:lvl>
    <w:lvl w:ilvl="1" w:tplc="F36642AE" w:tentative="1">
      <w:start w:val="1"/>
      <w:numFmt w:val="bullet"/>
      <w:lvlText w:val="•"/>
      <w:lvlJc w:val="left"/>
      <w:pPr>
        <w:tabs>
          <w:tab w:val="num" w:pos="1440"/>
        </w:tabs>
        <w:ind w:left="1440" w:hanging="360"/>
      </w:pPr>
      <w:rPr>
        <w:rFonts w:ascii="Times New Roman" w:hAnsi="Times New Roman" w:hint="default"/>
      </w:rPr>
    </w:lvl>
    <w:lvl w:ilvl="2" w:tplc="78D62E12" w:tentative="1">
      <w:start w:val="1"/>
      <w:numFmt w:val="bullet"/>
      <w:lvlText w:val="•"/>
      <w:lvlJc w:val="left"/>
      <w:pPr>
        <w:tabs>
          <w:tab w:val="num" w:pos="2160"/>
        </w:tabs>
        <w:ind w:left="2160" w:hanging="360"/>
      </w:pPr>
      <w:rPr>
        <w:rFonts w:ascii="Times New Roman" w:hAnsi="Times New Roman" w:hint="default"/>
      </w:rPr>
    </w:lvl>
    <w:lvl w:ilvl="3" w:tplc="DCB6C44E" w:tentative="1">
      <w:start w:val="1"/>
      <w:numFmt w:val="bullet"/>
      <w:lvlText w:val="•"/>
      <w:lvlJc w:val="left"/>
      <w:pPr>
        <w:tabs>
          <w:tab w:val="num" w:pos="2880"/>
        </w:tabs>
        <w:ind w:left="2880" w:hanging="360"/>
      </w:pPr>
      <w:rPr>
        <w:rFonts w:ascii="Times New Roman" w:hAnsi="Times New Roman" w:hint="default"/>
      </w:rPr>
    </w:lvl>
    <w:lvl w:ilvl="4" w:tplc="67CEB4EA" w:tentative="1">
      <w:start w:val="1"/>
      <w:numFmt w:val="bullet"/>
      <w:lvlText w:val="•"/>
      <w:lvlJc w:val="left"/>
      <w:pPr>
        <w:tabs>
          <w:tab w:val="num" w:pos="3600"/>
        </w:tabs>
        <w:ind w:left="3600" w:hanging="360"/>
      </w:pPr>
      <w:rPr>
        <w:rFonts w:ascii="Times New Roman" w:hAnsi="Times New Roman" w:hint="default"/>
      </w:rPr>
    </w:lvl>
    <w:lvl w:ilvl="5" w:tplc="02862EC2" w:tentative="1">
      <w:start w:val="1"/>
      <w:numFmt w:val="bullet"/>
      <w:lvlText w:val="•"/>
      <w:lvlJc w:val="left"/>
      <w:pPr>
        <w:tabs>
          <w:tab w:val="num" w:pos="4320"/>
        </w:tabs>
        <w:ind w:left="4320" w:hanging="360"/>
      </w:pPr>
      <w:rPr>
        <w:rFonts w:ascii="Times New Roman" w:hAnsi="Times New Roman" w:hint="default"/>
      </w:rPr>
    </w:lvl>
    <w:lvl w:ilvl="6" w:tplc="2578CFF6" w:tentative="1">
      <w:start w:val="1"/>
      <w:numFmt w:val="bullet"/>
      <w:lvlText w:val="•"/>
      <w:lvlJc w:val="left"/>
      <w:pPr>
        <w:tabs>
          <w:tab w:val="num" w:pos="5040"/>
        </w:tabs>
        <w:ind w:left="5040" w:hanging="360"/>
      </w:pPr>
      <w:rPr>
        <w:rFonts w:ascii="Times New Roman" w:hAnsi="Times New Roman" w:hint="default"/>
      </w:rPr>
    </w:lvl>
    <w:lvl w:ilvl="7" w:tplc="B0B2455C" w:tentative="1">
      <w:start w:val="1"/>
      <w:numFmt w:val="bullet"/>
      <w:lvlText w:val="•"/>
      <w:lvlJc w:val="left"/>
      <w:pPr>
        <w:tabs>
          <w:tab w:val="num" w:pos="5760"/>
        </w:tabs>
        <w:ind w:left="5760" w:hanging="360"/>
      </w:pPr>
      <w:rPr>
        <w:rFonts w:ascii="Times New Roman" w:hAnsi="Times New Roman" w:hint="default"/>
      </w:rPr>
    </w:lvl>
    <w:lvl w:ilvl="8" w:tplc="6F98993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690C41BA"/>
    <w:multiLevelType w:val="hybridMultilevel"/>
    <w:tmpl w:val="79FC2DAA"/>
    <w:lvl w:ilvl="0" w:tplc="19F8C98E">
      <w:start w:val="3"/>
      <w:numFmt w:val="decimal"/>
      <w:lvlText w:val="%1."/>
      <w:lvlJc w:val="left"/>
      <w:pPr>
        <w:tabs>
          <w:tab w:val="num" w:pos="720"/>
        </w:tabs>
        <w:ind w:left="720" w:hanging="360"/>
      </w:pPr>
    </w:lvl>
    <w:lvl w:ilvl="1" w:tplc="DBB2FCDA" w:tentative="1">
      <w:start w:val="1"/>
      <w:numFmt w:val="decimal"/>
      <w:lvlText w:val="%2."/>
      <w:lvlJc w:val="left"/>
      <w:pPr>
        <w:tabs>
          <w:tab w:val="num" w:pos="1440"/>
        </w:tabs>
        <w:ind w:left="1440" w:hanging="360"/>
      </w:pPr>
    </w:lvl>
    <w:lvl w:ilvl="2" w:tplc="D46CE7CE" w:tentative="1">
      <w:start w:val="1"/>
      <w:numFmt w:val="decimal"/>
      <w:lvlText w:val="%3."/>
      <w:lvlJc w:val="left"/>
      <w:pPr>
        <w:tabs>
          <w:tab w:val="num" w:pos="2160"/>
        </w:tabs>
        <w:ind w:left="2160" w:hanging="360"/>
      </w:pPr>
    </w:lvl>
    <w:lvl w:ilvl="3" w:tplc="69CC3F3E" w:tentative="1">
      <w:start w:val="1"/>
      <w:numFmt w:val="decimal"/>
      <w:lvlText w:val="%4."/>
      <w:lvlJc w:val="left"/>
      <w:pPr>
        <w:tabs>
          <w:tab w:val="num" w:pos="2880"/>
        </w:tabs>
        <w:ind w:left="2880" w:hanging="360"/>
      </w:pPr>
    </w:lvl>
    <w:lvl w:ilvl="4" w:tplc="82C41910" w:tentative="1">
      <w:start w:val="1"/>
      <w:numFmt w:val="decimal"/>
      <w:lvlText w:val="%5."/>
      <w:lvlJc w:val="left"/>
      <w:pPr>
        <w:tabs>
          <w:tab w:val="num" w:pos="3600"/>
        </w:tabs>
        <w:ind w:left="3600" w:hanging="360"/>
      </w:pPr>
    </w:lvl>
    <w:lvl w:ilvl="5" w:tplc="EB50D94C" w:tentative="1">
      <w:start w:val="1"/>
      <w:numFmt w:val="decimal"/>
      <w:lvlText w:val="%6."/>
      <w:lvlJc w:val="left"/>
      <w:pPr>
        <w:tabs>
          <w:tab w:val="num" w:pos="4320"/>
        </w:tabs>
        <w:ind w:left="4320" w:hanging="360"/>
      </w:pPr>
    </w:lvl>
    <w:lvl w:ilvl="6" w:tplc="E75AFAC2" w:tentative="1">
      <w:start w:val="1"/>
      <w:numFmt w:val="decimal"/>
      <w:lvlText w:val="%7."/>
      <w:lvlJc w:val="left"/>
      <w:pPr>
        <w:tabs>
          <w:tab w:val="num" w:pos="5040"/>
        </w:tabs>
        <w:ind w:left="5040" w:hanging="360"/>
      </w:pPr>
    </w:lvl>
    <w:lvl w:ilvl="7" w:tplc="9D28B51A" w:tentative="1">
      <w:start w:val="1"/>
      <w:numFmt w:val="decimal"/>
      <w:lvlText w:val="%8."/>
      <w:lvlJc w:val="left"/>
      <w:pPr>
        <w:tabs>
          <w:tab w:val="num" w:pos="5760"/>
        </w:tabs>
        <w:ind w:left="5760" w:hanging="360"/>
      </w:pPr>
    </w:lvl>
    <w:lvl w:ilvl="8" w:tplc="5A5A8098" w:tentative="1">
      <w:start w:val="1"/>
      <w:numFmt w:val="decimal"/>
      <w:lvlText w:val="%9."/>
      <w:lvlJc w:val="left"/>
      <w:pPr>
        <w:tabs>
          <w:tab w:val="num" w:pos="6480"/>
        </w:tabs>
        <w:ind w:left="6480" w:hanging="360"/>
      </w:pPr>
    </w:lvl>
  </w:abstractNum>
  <w:abstractNum w:abstractNumId="14" w15:restartNumberingAfterBreak="0">
    <w:nsid w:val="6FC95312"/>
    <w:multiLevelType w:val="hybridMultilevel"/>
    <w:tmpl w:val="4A481CFC"/>
    <w:lvl w:ilvl="0" w:tplc="6E16B2E2">
      <w:start w:val="1"/>
      <w:numFmt w:val="upperRoman"/>
      <w:lvlText w:val="%1."/>
      <w:lvlJc w:val="left"/>
      <w:pPr>
        <w:ind w:left="117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4"/>
  </w:num>
  <w:num w:numId="4">
    <w:abstractNumId w:val="13"/>
  </w:num>
  <w:num w:numId="5">
    <w:abstractNumId w:val="2"/>
  </w:num>
  <w:num w:numId="6">
    <w:abstractNumId w:val="12"/>
  </w:num>
  <w:num w:numId="7">
    <w:abstractNumId w:val="11"/>
  </w:num>
  <w:num w:numId="8">
    <w:abstractNumId w:val="9"/>
  </w:num>
  <w:num w:numId="9">
    <w:abstractNumId w:val="0"/>
  </w:num>
  <w:num w:numId="10">
    <w:abstractNumId w:val="1"/>
  </w:num>
  <w:num w:numId="11">
    <w:abstractNumId w:val="7"/>
  </w:num>
  <w:num w:numId="12">
    <w:abstractNumId w:val="5"/>
  </w:num>
  <w:num w:numId="13">
    <w:abstractNumId w:val="14"/>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CDD"/>
    <w:rsid w:val="00000B1C"/>
    <w:rsid w:val="00014AFE"/>
    <w:rsid w:val="00027242"/>
    <w:rsid w:val="000813D6"/>
    <w:rsid w:val="000843B6"/>
    <w:rsid w:val="000B72CF"/>
    <w:rsid w:val="000C251B"/>
    <w:rsid w:val="000C5809"/>
    <w:rsid w:val="000D2CA0"/>
    <w:rsid w:val="000D3F7A"/>
    <w:rsid w:val="000D4780"/>
    <w:rsid w:val="000E71CA"/>
    <w:rsid w:val="00100AEB"/>
    <w:rsid w:val="00120643"/>
    <w:rsid w:val="00126F15"/>
    <w:rsid w:val="00130BEC"/>
    <w:rsid w:val="0013299F"/>
    <w:rsid w:val="00134CA8"/>
    <w:rsid w:val="0017096F"/>
    <w:rsid w:val="00186BAF"/>
    <w:rsid w:val="001A6ED8"/>
    <w:rsid w:val="0020694D"/>
    <w:rsid w:val="00215EC5"/>
    <w:rsid w:val="00246F9B"/>
    <w:rsid w:val="00255472"/>
    <w:rsid w:val="00274F89"/>
    <w:rsid w:val="0029134F"/>
    <w:rsid w:val="00292981"/>
    <w:rsid w:val="00297B03"/>
    <w:rsid w:val="002A66B7"/>
    <w:rsid w:val="00341773"/>
    <w:rsid w:val="0034477B"/>
    <w:rsid w:val="00352AAD"/>
    <w:rsid w:val="003549F4"/>
    <w:rsid w:val="003657A1"/>
    <w:rsid w:val="0037485D"/>
    <w:rsid w:val="003903E8"/>
    <w:rsid w:val="003B1B9B"/>
    <w:rsid w:val="003B70D4"/>
    <w:rsid w:val="003E1EB7"/>
    <w:rsid w:val="00436F78"/>
    <w:rsid w:val="00447A3E"/>
    <w:rsid w:val="00473E24"/>
    <w:rsid w:val="00490DE7"/>
    <w:rsid w:val="004C203A"/>
    <w:rsid w:val="004E6CE7"/>
    <w:rsid w:val="005114F7"/>
    <w:rsid w:val="005137AA"/>
    <w:rsid w:val="0051597F"/>
    <w:rsid w:val="00531467"/>
    <w:rsid w:val="0054769D"/>
    <w:rsid w:val="00547837"/>
    <w:rsid w:val="005577B3"/>
    <w:rsid w:val="00593E1C"/>
    <w:rsid w:val="005A0B78"/>
    <w:rsid w:val="005A1CCF"/>
    <w:rsid w:val="005C205D"/>
    <w:rsid w:val="005C418C"/>
    <w:rsid w:val="005F402E"/>
    <w:rsid w:val="00603849"/>
    <w:rsid w:val="00626A2A"/>
    <w:rsid w:val="00634457"/>
    <w:rsid w:val="00684429"/>
    <w:rsid w:val="006A400E"/>
    <w:rsid w:val="006E40F3"/>
    <w:rsid w:val="006F0EE5"/>
    <w:rsid w:val="00704733"/>
    <w:rsid w:val="007053D9"/>
    <w:rsid w:val="007058E6"/>
    <w:rsid w:val="00725642"/>
    <w:rsid w:val="00756AE7"/>
    <w:rsid w:val="00774FC3"/>
    <w:rsid w:val="00776574"/>
    <w:rsid w:val="007901B0"/>
    <w:rsid w:val="007A237C"/>
    <w:rsid w:val="007A73AD"/>
    <w:rsid w:val="007B6C8E"/>
    <w:rsid w:val="007C65EC"/>
    <w:rsid w:val="007C6808"/>
    <w:rsid w:val="007E33CB"/>
    <w:rsid w:val="008022B7"/>
    <w:rsid w:val="0084463D"/>
    <w:rsid w:val="0086172E"/>
    <w:rsid w:val="00864176"/>
    <w:rsid w:val="008661E6"/>
    <w:rsid w:val="008843B9"/>
    <w:rsid w:val="00892763"/>
    <w:rsid w:val="008A338F"/>
    <w:rsid w:val="008A628B"/>
    <w:rsid w:val="008C5AFC"/>
    <w:rsid w:val="008E70E0"/>
    <w:rsid w:val="00924A56"/>
    <w:rsid w:val="00945DD0"/>
    <w:rsid w:val="0099638C"/>
    <w:rsid w:val="009C2344"/>
    <w:rsid w:val="009D11AA"/>
    <w:rsid w:val="009D1C8E"/>
    <w:rsid w:val="009E30E8"/>
    <w:rsid w:val="009E4A53"/>
    <w:rsid w:val="009F0A17"/>
    <w:rsid w:val="00A162CE"/>
    <w:rsid w:val="00A56871"/>
    <w:rsid w:val="00A57041"/>
    <w:rsid w:val="00AC649B"/>
    <w:rsid w:val="00AE7F86"/>
    <w:rsid w:val="00B11BD6"/>
    <w:rsid w:val="00B13DFE"/>
    <w:rsid w:val="00B23057"/>
    <w:rsid w:val="00B253C8"/>
    <w:rsid w:val="00B35155"/>
    <w:rsid w:val="00B6518A"/>
    <w:rsid w:val="00B81B06"/>
    <w:rsid w:val="00B93B26"/>
    <w:rsid w:val="00BC25E9"/>
    <w:rsid w:val="00BC789C"/>
    <w:rsid w:val="00BE0ABC"/>
    <w:rsid w:val="00C1757A"/>
    <w:rsid w:val="00C4087C"/>
    <w:rsid w:val="00C47447"/>
    <w:rsid w:val="00C87174"/>
    <w:rsid w:val="00CC0D63"/>
    <w:rsid w:val="00CE5501"/>
    <w:rsid w:val="00CF3564"/>
    <w:rsid w:val="00CF75D1"/>
    <w:rsid w:val="00D04455"/>
    <w:rsid w:val="00D17FBB"/>
    <w:rsid w:val="00D223F3"/>
    <w:rsid w:val="00D27CE0"/>
    <w:rsid w:val="00D530FB"/>
    <w:rsid w:val="00D60E6E"/>
    <w:rsid w:val="00D64CDD"/>
    <w:rsid w:val="00D65BED"/>
    <w:rsid w:val="00D75056"/>
    <w:rsid w:val="00DB1E21"/>
    <w:rsid w:val="00DD1229"/>
    <w:rsid w:val="00DF5735"/>
    <w:rsid w:val="00E018C2"/>
    <w:rsid w:val="00E32692"/>
    <w:rsid w:val="00E341B7"/>
    <w:rsid w:val="00E42DAE"/>
    <w:rsid w:val="00E57741"/>
    <w:rsid w:val="00E81EC0"/>
    <w:rsid w:val="00E95419"/>
    <w:rsid w:val="00EA23C5"/>
    <w:rsid w:val="00EA4F43"/>
    <w:rsid w:val="00EB2FDA"/>
    <w:rsid w:val="00EB3345"/>
    <w:rsid w:val="00EB4772"/>
    <w:rsid w:val="00EC03FB"/>
    <w:rsid w:val="00ED62AC"/>
    <w:rsid w:val="00ED7F00"/>
    <w:rsid w:val="00EE288E"/>
    <w:rsid w:val="00EE3500"/>
    <w:rsid w:val="00EE7004"/>
    <w:rsid w:val="00EF009D"/>
    <w:rsid w:val="00EF663A"/>
    <w:rsid w:val="00F160A1"/>
    <w:rsid w:val="00F21822"/>
    <w:rsid w:val="00F51F74"/>
    <w:rsid w:val="00F54556"/>
    <w:rsid w:val="00F61CD9"/>
    <w:rsid w:val="00F66F8D"/>
    <w:rsid w:val="00F75144"/>
    <w:rsid w:val="00FA25AE"/>
    <w:rsid w:val="00FB2B31"/>
    <w:rsid w:val="00FB4CB3"/>
    <w:rsid w:val="00FF2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84125"/>
  <w15:docId w15:val="{80B65210-66C8-4237-9844-D2E88445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18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8C2"/>
    <w:rPr>
      <w:rFonts w:ascii="Tahoma" w:hAnsi="Tahoma" w:cs="Tahoma"/>
      <w:sz w:val="16"/>
      <w:szCs w:val="16"/>
    </w:rPr>
  </w:style>
  <w:style w:type="paragraph" w:styleId="NormalWeb">
    <w:name w:val="Normal (Web)"/>
    <w:basedOn w:val="Normal"/>
    <w:uiPriority w:val="99"/>
    <w:semiHidden/>
    <w:unhideWhenUsed/>
    <w:rsid w:val="00684429"/>
    <w:pPr>
      <w:spacing w:before="100" w:beforeAutospacing="1" w:after="100" w:afterAutospacing="1" w:line="240" w:lineRule="auto"/>
    </w:pPr>
    <w:rPr>
      <w:rFonts w:ascii="Times New Roman" w:eastAsiaTheme="minorEastAsia" w:hAnsi="Times New Roman" w:cs="Times New Roman"/>
      <w:sz w:val="24"/>
      <w:szCs w:val="24"/>
    </w:rPr>
  </w:style>
  <w:style w:type="paragraph" w:styleId="FootnoteText">
    <w:name w:val="footnote text"/>
    <w:aliases w:val="fn"/>
    <w:basedOn w:val="Normal"/>
    <w:link w:val="FootnoteTextChar"/>
    <w:semiHidden/>
    <w:rsid w:val="00F2182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
    <w:basedOn w:val="DefaultParagraphFont"/>
    <w:link w:val="FootnoteText"/>
    <w:semiHidden/>
    <w:rsid w:val="00F21822"/>
    <w:rPr>
      <w:rFonts w:ascii="Times New Roman" w:eastAsia="Times New Roman" w:hAnsi="Times New Roman" w:cs="Times New Roman"/>
      <w:sz w:val="20"/>
      <w:szCs w:val="20"/>
    </w:rPr>
  </w:style>
  <w:style w:type="character" w:styleId="FootnoteReference">
    <w:name w:val="footnote reference"/>
    <w:basedOn w:val="DefaultParagraphFont"/>
    <w:semiHidden/>
    <w:rsid w:val="00F21822"/>
    <w:rPr>
      <w:vertAlign w:val="superscript"/>
    </w:rPr>
  </w:style>
  <w:style w:type="paragraph" w:customStyle="1" w:styleId="Chapter">
    <w:name w:val="Chapter"/>
    <w:basedOn w:val="Normal"/>
    <w:next w:val="Normal"/>
    <w:rsid w:val="00F21822"/>
    <w:pPr>
      <w:keepNext/>
      <w:numPr>
        <w:numId w:val="10"/>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rPr>
  </w:style>
  <w:style w:type="paragraph" w:customStyle="1" w:styleId="Paragraph">
    <w:name w:val="Paragraph"/>
    <w:basedOn w:val="BodyTextIndent"/>
    <w:rsid w:val="00F21822"/>
    <w:pPr>
      <w:numPr>
        <w:ilvl w:val="1"/>
        <w:numId w:val="10"/>
      </w:numPr>
      <w:tabs>
        <w:tab w:val="clear" w:pos="1476"/>
        <w:tab w:val="num" w:pos="720"/>
        <w:tab w:val="num" w:pos="1440"/>
      </w:tabs>
      <w:spacing w:before="120" w:line="240" w:lineRule="auto"/>
      <w:ind w:left="720" w:hanging="720"/>
      <w:jc w:val="both"/>
      <w:outlineLvl w:val="1"/>
    </w:pPr>
    <w:rPr>
      <w:rFonts w:ascii="Times New Roman" w:eastAsia="Times New Roman" w:hAnsi="Times New Roman" w:cs="Times New Roman"/>
      <w:sz w:val="24"/>
      <w:szCs w:val="20"/>
    </w:rPr>
  </w:style>
  <w:style w:type="paragraph" w:customStyle="1" w:styleId="subpar">
    <w:name w:val="subpar"/>
    <w:basedOn w:val="BodyTextIndent3"/>
    <w:rsid w:val="00F21822"/>
    <w:pPr>
      <w:numPr>
        <w:ilvl w:val="2"/>
        <w:numId w:val="10"/>
      </w:numPr>
      <w:tabs>
        <w:tab w:val="clear" w:pos="2304"/>
        <w:tab w:val="num" w:pos="1152"/>
        <w:tab w:val="num" w:pos="2160"/>
      </w:tabs>
      <w:spacing w:before="120" w:line="240" w:lineRule="auto"/>
      <w:ind w:left="1152" w:hanging="360"/>
      <w:jc w:val="both"/>
      <w:outlineLvl w:val="2"/>
    </w:pPr>
    <w:rPr>
      <w:rFonts w:ascii="Times New Roman" w:eastAsia="Times New Roman" w:hAnsi="Times New Roman" w:cs="Times New Roman"/>
      <w:sz w:val="24"/>
      <w:szCs w:val="20"/>
    </w:rPr>
  </w:style>
  <w:style w:type="paragraph" w:customStyle="1" w:styleId="SubSubPar">
    <w:name w:val="SubSubPar"/>
    <w:basedOn w:val="subpar"/>
    <w:rsid w:val="00F21822"/>
    <w:pPr>
      <w:numPr>
        <w:ilvl w:val="3"/>
      </w:numPr>
      <w:tabs>
        <w:tab w:val="clear" w:pos="2736"/>
        <w:tab w:val="left" w:pos="0"/>
        <w:tab w:val="num" w:pos="1296"/>
        <w:tab w:val="num" w:pos="2160"/>
        <w:tab w:val="num" w:pos="2880"/>
      </w:tabs>
      <w:ind w:left="1296" w:hanging="360"/>
    </w:pPr>
  </w:style>
  <w:style w:type="paragraph" w:styleId="BodyTextIndent">
    <w:name w:val="Body Text Indent"/>
    <w:basedOn w:val="Normal"/>
    <w:link w:val="BodyTextIndentChar"/>
    <w:uiPriority w:val="99"/>
    <w:semiHidden/>
    <w:unhideWhenUsed/>
    <w:rsid w:val="00F21822"/>
    <w:pPr>
      <w:spacing w:after="120"/>
      <w:ind w:left="360"/>
    </w:pPr>
  </w:style>
  <w:style w:type="character" w:customStyle="1" w:styleId="BodyTextIndentChar">
    <w:name w:val="Body Text Indent Char"/>
    <w:basedOn w:val="DefaultParagraphFont"/>
    <w:link w:val="BodyTextIndent"/>
    <w:uiPriority w:val="99"/>
    <w:semiHidden/>
    <w:rsid w:val="00F21822"/>
  </w:style>
  <w:style w:type="paragraph" w:styleId="BodyTextIndent3">
    <w:name w:val="Body Text Indent 3"/>
    <w:basedOn w:val="Normal"/>
    <w:link w:val="BodyTextIndent3Char"/>
    <w:uiPriority w:val="99"/>
    <w:semiHidden/>
    <w:unhideWhenUsed/>
    <w:rsid w:val="00F2182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21822"/>
    <w:rPr>
      <w:sz w:val="16"/>
      <w:szCs w:val="16"/>
    </w:rPr>
  </w:style>
  <w:style w:type="paragraph" w:styleId="ListParagraph">
    <w:name w:val="List Paragraph"/>
    <w:basedOn w:val="Normal"/>
    <w:uiPriority w:val="34"/>
    <w:qFormat/>
    <w:rsid w:val="00D27CE0"/>
    <w:pPr>
      <w:ind w:left="720"/>
      <w:contextualSpacing/>
    </w:pPr>
  </w:style>
  <w:style w:type="table" w:styleId="TableGrid">
    <w:name w:val="Table Grid"/>
    <w:basedOn w:val="TableNormal"/>
    <w:uiPriority w:val="59"/>
    <w:rsid w:val="008A3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68086">
      <w:bodyDiv w:val="1"/>
      <w:marLeft w:val="0"/>
      <w:marRight w:val="0"/>
      <w:marTop w:val="0"/>
      <w:marBottom w:val="0"/>
      <w:divBdr>
        <w:top w:val="none" w:sz="0" w:space="0" w:color="auto"/>
        <w:left w:val="none" w:sz="0" w:space="0" w:color="auto"/>
        <w:bottom w:val="none" w:sz="0" w:space="0" w:color="auto"/>
        <w:right w:val="none" w:sz="0" w:space="0" w:color="auto"/>
      </w:divBdr>
      <w:divsChild>
        <w:div w:id="571084669">
          <w:marLeft w:val="0"/>
          <w:marRight w:val="0"/>
          <w:marTop w:val="168"/>
          <w:marBottom w:val="0"/>
          <w:divBdr>
            <w:top w:val="none" w:sz="0" w:space="0" w:color="auto"/>
            <w:left w:val="none" w:sz="0" w:space="0" w:color="auto"/>
            <w:bottom w:val="none" w:sz="0" w:space="0" w:color="auto"/>
            <w:right w:val="none" w:sz="0" w:space="0" w:color="auto"/>
          </w:divBdr>
        </w:div>
        <w:div w:id="1443111638">
          <w:marLeft w:val="0"/>
          <w:marRight w:val="0"/>
          <w:marTop w:val="168"/>
          <w:marBottom w:val="0"/>
          <w:divBdr>
            <w:top w:val="none" w:sz="0" w:space="0" w:color="auto"/>
            <w:left w:val="none" w:sz="0" w:space="0" w:color="auto"/>
            <w:bottom w:val="none" w:sz="0" w:space="0" w:color="auto"/>
            <w:right w:val="none" w:sz="0" w:space="0" w:color="auto"/>
          </w:divBdr>
        </w:div>
        <w:div w:id="900793184">
          <w:marLeft w:val="0"/>
          <w:marRight w:val="0"/>
          <w:marTop w:val="168"/>
          <w:marBottom w:val="0"/>
          <w:divBdr>
            <w:top w:val="none" w:sz="0" w:space="0" w:color="auto"/>
            <w:left w:val="none" w:sz="0" w:space="0" w:color="auto"/>
            <w:bottom w:val="none" w:sz="0" w:space="0" w:color="auto"/>
            <w:right w:val="none" w:sz="0" w:space="0" w:color="auto"/>
          </w:divBdr>
        </w:div>
      </w:divsChild>
    </w:div>
    <w:div w:id="1054818355">
      <w:bodyDiv w:val="1"/>
      <w:marLeft w:val="0"/>
      <w:marRight w:val="0"/>
      <w:marTop w:val="0"/>
      <w:marBottom w:val="0"/>
      <w:divBdr>
        <w:top w:val="none" w:sz="0" w:space="0" w:color="auto"/>
        <w:left w:val="none" w:sz="0" w:space="0" w:color="auto"/>
        <w:bottom w:val="none" w:sz="0" w:space="0" w:color="auto"/>
        <w:right w:val="none" w:sz="0" w:space="0" w:color="auto"/>
      </w:divBdr>
      <w:divsChild>
        <w:div w:id="365956885">
          <w:marLeft w:val="806"/>
          <w:marRight w:val="0"/>
          <w:marTop w:val="134"/>
          <w:marBottom w:val="101"/>
          <w:divBdr>
            <w:top w:val="none" w:sz="0" w:space="0" w:color="auto"/>
            <w:left w:val="none" w:sz="0" w:space="0" w:color="auto"/>
            <w:bottom w:val="none" w:sz="0" w:space="0" w:color="auto"/>
            <w:right w:val="none" w:sz="0" w:space="0" w:color="auto"/>
          </w:divBdr>
        </w:div>
        <w:div w:id="1648777254">
          <w:marLeft w:val="806"/>
          <w:marRight w:val="0"/>
          <w:marTop w:val="134"/>
          <w:marBottom w:val="101"/>
          <w:divBdr>
            <w:top w:val="none" w:sz="0" w:space="0" w:color="auto"/>
            <w:left w:val="none" w:sz="0" w:space="0" w:color="auto"/>
            <w:bottom w:val="none" w:sz="0" w:space="0" w:color="auto"/>
            <w:right w:val="none" w:sz="0" w:space="0" w:color="auto"/>
          </w:divBdr>
        </w:div>
      </w:divsChild>
    </w:div>
    <w:div w:id="1598712556">
      <w:bodyDiv w:val="1"/>
      <w:marLeft w:val="0"/>
      <w:marRight w:val="0"/>
      <w:marTop w:val="0"/>
      <w:marBottom w:val="0"/>
      <w:divBdr>
        <w:top w:val="none" w:sz="0" w:space="0" w:color="auto"/>
        <w:left w:val="none" w:sz="0" w:space="0" w:color="auto"/>
        <w:bottom w:val="none" w:sz="0" w:space="0" w:color="auto"/>
        <w:right w:val="none" w:sz="0" w:space="0" w:color="auto"/>
      </w:divBdr>
      <w:divsChild>
        <w:div w:id="1784418285">
          <w:marLeft w:val="547"/>
          <w:marRight w:val="0"/>
          <w:marTop w:val="96"/>
          <w:marBottom w:val="0"/>
          <w:divBdr>
            <w:top w:val="none" w:sz="0" w:space="0" w:color="auto"/>
            <w:left w:val="none" w:sz="0" w:space="0" w:color="auto"/>
            <w:bottom w:val="none" w:sz="0" w:space="0" w:color="auto"/>
            <w:right w:val="none" w:sz="0" w:space="0" w:color="auto"/>
          </w:divBdr>
        </w:div>
        <w:div w:id="1759712691">
          <w:marLeft w:val="547"/>
          <w:marRight w:val="0"/>
          <w:marTop w:val="96"/>
          <w:marBottom w:val="0"/>
          <w:divBdr>
            <w:top w:val="none" w:sz="0" w:space="0" w:color="auto"/>
            <w:left w:val="none" w:sz="0" w:space="0" w:color="auto"/>
            <w:bottom w:val="none" w:sz="0" w:space="0" w:color="auto"/>
            <w:right w:val="none" w:sz="0" w:space="0" w:color="auto"/>
          </w:divBdr>
        </w:div>
        <w:div w:id="152141408">
          <w:marLeft w:val="547"/>
          <w:marRight w:val="0"/>
          <w:marTop w:val="96"/>
          <w:marBottom w:val="0"/>
          <w:divBdr>
            <w:top w:val="none" w:sz="0" w:space="0" w:color="auto"/>
            <w:left w:val="none" w:sz="0" w:space="0" w:color="auto"/>
            <w:bottom w:val="none" w:sz="0" w:space="0" w:color="auto"/>
            <w:right w:val="none" w:sz="0" w:space="0" w:color="auto"/>
          </w:divBdr>
        </w:div>
      </w:divsChild>
    </w:div>
    <w:div w:id="1630816891">
      <w:bodyDiv w:val="1"/>
      <w:marLeft w:val="0"/>
      <w:marRight w:val="0"/>
      <w:marTop w:val="0"/>
      <w:marBottom w:val="0"/>
      <w:divBdr>
        <w:top w:val="none" w:sz="0" w:space="0" w:color="auto"/>
        <w:left w:val="none" w:sz="0" w:space="0" w:color="auto"/>
        <w:bottom w:val="none" w:sz="0" w:space="0" w:color="auto"/>
        <w:right w:val="none" w:sz="0" w:space="0" w:color="auto"/>
      </w:divBdr>
      <w:divsChild>
        <w:div w:id="1384601716">
          <w:marLeft w:val="806"/>
          <w:marRight w:val="0"/>
          <w:marTop w:val="134"/>
          <w:marBottom w:val="101"/>
          <w:divBdr>
            <w:top w:val="none" w:sz="0" w:space="0" w:color="auto"/>
            <w:left w:val="none" w:sz="0" w:space="0" w:color="auto"/>
            <w:bottom w:val="none" w:sz="0" w:space="0" w:color="auto"/>
            <w:right w:val="none" w:sz="0" w:space="0" w:color="auto"/>
          </w:divBdr>
        </w:div>
        <w:div w:id="162621859">
          <w:marLeft w:val="806"/>
          <w:marRight w:val="0"/>
          <w:marTop w:val="134"/>
          <w:marBottom w:val="101"/>
          <w:divBdr>
            <w:top w:val="none" w:sz="0" w:space="0" w:color="auto"/>
            <w:left w:val="none" w:sz="0" w:space="0" w:color="auto"/>
            <w:bottom w:val="none" w:sz="0" w:space="0" w:color="auto"/>
            <w:right w:val="none" w:sz="0" w:space="0" w:color="auto"/>
          </w:divBdr>
        </w:div>
        <w:div w:id="1014263221">
          <w:marLeft w:val="806"/>
          <w:marRight w:val="0"/>
          <w:marTop w:val="134"/>
          <w:marBottom w:val="101"/>
          <w:divBdr>
            <w:top w:val="none" w:sz="0" w:space="0" w:color="auto"/>
            <w:left w:val="none" w:sz="0" w:space="0" w:color="auto"/>
            <w:bottom w:val="none" w:sz="0" w:space="0" w:color="auto"/>
            <w:right w:val="none" w:sz="0" w:space="0" w:color="auto"/>
          </w:divBdr>
        </w:div>
      </w:divsChild>
    </w:div>
    <w:div w:id="1653752404">
      <w:bodyDiv w:val="1"/>
      <w:marLeft w:val="0"/>
      <w:marRight w:val="0"/>
      <w:marTop w:val="0"/>
      <w:marBottom w:val="0"/>
      <w:divBdr>
        <w:top w:val="none" w:sz="0" w:space="0" w:color="auto"/>
        <w:left w:val="none" w:sz="0" w:space="0" w:color="auto"/>
        <w:bottom w:val="none" w:sz="0" w:space="0" w:color="auto"/>
        <w:right w:val="none" w:sz="0" w:space="0" w:color="auto"/>
      </w:divBdr>
      <w:divsChild>
        <w:div w:id="698705238">
          <w:marLeft w:val="806"/>
          <w:marRight w:val="0"/>
          <w:marTop w:val="134"/>
          <w:marBottom w:val="101"/>
          <w:divBdr>
            <w:top w:val="none" w:sz="0" w:space="0" w:color="auto"/>
            <w:left w:val="none" w:sz="0" w:space="0" w:color="auto"/>
            <w:bottom w:val="none" w:sz="0" w:space="0" w:color="auto"/>
            <w:right w:val="none" w:sz="0" w:space="0" w:color="auto"/>
          </w:divBdr>
        </w:div>
        <w:div w:id="168640064">
          <w:marLeft w:val="806"/>
          <w:marRight w:val="0"/>
          <w:marTop w:val="134"/>
          <w:marBottom w:val="101"/>
          <w:divBdr>
            <w:top w:val="none" w:sz="0" w:space="0" w:color="auto"/>
            <w:left w:val="none" w:sz="0" w:space="0" w:color="auto"/>
            <w:bottom w:val="none" w:sz="0" w:space="0" w:color="auto"/>
            <w:right w:val="none" w:sz="0" w:space="0" w:color="auto"/>
          </w:divBdr>
        </w:div>
        <w:div w:id="1916891136">
          <w:marLeft w:val="806"/>
          <w:marRight w:val="0"/>
          <w:marTop w:val="134"/>
          <w:marBottom w:val="101"/>
          <w:divBdr>
            <w:top w:val="none" w:sz="0" w:space="0" w:color="auto"/>
            <w:left w:val="none" w:sz="0" w:space="0" w:color="auto"/>
            <w:bottom w:val="none" w:sz="0" w:space="0" w:color="auto"/>
            <w:right w:val="none" w:sz="0" w:space="0" w:color="auto"/>
          </w:divBdr>
        </w:div>
      </w:divsChild>
    </w:div>
    <w:div w:id="1753163519">
      <w:bodyDiv w:val="1"/>
      <w:marLeft w:val="0"/>
      <w:marRight w:val="0"/>
      <w:marTop w:val="0"/>
      <w:marBottom w:val="0"/>
      <w:divBdr>
        <w:top w:val="none" w:sz="0" w:space="0" w:color="auto"/>
        <w:left w:val="none" w:sz="0" w:space="0" w:color="auto"/>
        <w:bottom w:val="none" w:sz="0" w:space="0" w:color="auto"/>
        <w:right w:val="none" w:sz="0" w:space="0" w:color="auto"/>
      </w:divBdr>
      <w:divsChild>
        <w:div w:id="2088721783">
          <w:marLeft w:val="0"/>
          <w:marRight w:val="0"/>
          <w:marTop w:val="216"/>
          <w:marBottom w:val="0"/>
          <w:divBdr>
            <w:top w:val="none" w:sz="0" w:space="0" w:color="auto"/>
            <w:left w:val="none" w:sz="0" w:space="0" w:color="auto"/>
            <w:bottom w:val="none" w:sz="0" w:space="0" w:color="auto"/>
            <w:right w:val="none" w:sz="0" w:space="0" w:color="auto"/>
          </w:divBdr>
        </w:div>
        <w:div w:id="1969621439">
          <w:marLeft w:val="0"/>
          <w:marRight w:val="0"/>
          <w:marTop w:val="21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1946</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lastModifiedBy>Cartin Barrios, Irene</cp:lastModifiedBy>
  <cp:revision>2</cp:revision>
  <cp:lastPrinted>2013-03-18T14:03:00Z</cp:lastPrinted>
  <dcterms:created xsi:type="dcterms:W3CDTF">2017-10-12T14:55:00Z</dcterms:created>
  <dcterms:modified xsi:type="dcterms:W3CDTF">2017-10-12T14:55:00Z</dcterms:modified>
</cp:coreProperties>
</file>