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E7282" w14:textId="5F061181" w:rsidR="00BA5A46" w:rsidRDefault="00DB40CD">
      <w:pPr>
        <w:spacing w:before="200" w:after="200"/>
        <w:jc w:val="center"/>
        <w:rPr>
          <w:rFonts w:ascii="Arial" w:hAnsi="Arial" w:cs="Arial"/>
          <w:b/>
        </w:rPr>
      </w:pPr>
      <w:r w:rsidRPr="00416B73">
        <w:rPr>
          <w:rFonts w:ascii="Arial" w:hAnsi="Arial" w:cs="Arial"/>
          <w:b/>
        </w:rPr>
        <w:t>ABSTRACTO DE COOPERACIÓN TÉCNICA</w:t>
      </w:r>
    </w:p>
    <w:p w14:paraId="06DA599C" w14:textId="77777777" w:rsidR="00B16657" w:rsidRPr="00416B73" w:rsidRDefault="00B16657">
      <w:pPr>
        <w:spacing w:before="200" w:after="200"/>
        <w:jc w:val="center"/>
      </w:pPr>
    </w:p>
    <w:p w14:paraId="561BB39A" w14:textId="77777777" w:rsidR="00BA5A46" w:rsidRPr="00416B73" w:rsidRDefault="00DB40CD">
      <w:pPr>
        <w:spacing w:before="120" w:after="120"/>
        <w:ind w:left="579" w:hanging="579"/>
      </w:pPr>
      <w:r w:rsidRPr="00416B73">
        <w:rPr>
          <w:rFonts w:ascii="Arial" w:hAnsi="Arial" w:cs="Arial"/>
          <w:b/>
        </w:rPr>
        <w:t>I.</w:t>
      </w:r>
      <w:r w:rsidRPr="00416B73">
        <w:rPr>
          <w:rFonts w:ascii="Arial" w:hAnsi="Arial" w:cs="Arial"/>
          <w:b/>
        </w:rPr>
        <w:tab/>
        <w:t>Información Básica del Proyecto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3150"/>
        <w:gridCol w:w="5152"/>
      </w:tblGrid>
      <w:tr w:rsidR="00BA5A46" w:rsidRPr="00416B73" w14:paraId="00644FEA" w14:textId="77777777" w:rsidTr="00D85A88">
        <w:trPr>
          <w:jc w:val="center"/>
        </w:trPr>
        <w:tc>
          <w:tcPr>
            <w:tcW w:w="3150" w:type="dxa"/>
          </w:tcPr>
          <w:p w14:paraId="7FC5F4A2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País/Región:</w:t>
            </w:r>
          </w:p>
        </w:tc>
        <w:tc>
          <w:tcPr>
            <w:tcW w:w="5152" w:type="dxa"/>
          </w:tcPr>
          <w:p w14:paraId="6846D4F3" w14:textId="69E28A27" w:rsidR="00BA5A46" w:rsidRPr="00416B73" w:rsidRDefault="00DB40CD" w:rsidP="00B20B00">
            <w:pPr>
              <w:spacing w:before="40" w:after="40"/>
              <w:jc w:val="both"/>
            </w:pPr>
            <w:r w:rsidRPr="00416B73">
              <w:rPr>
                <w:rFonts w:ascii="Arial" w:hAnsi="Arial" w:cs="Arial"/>
                <w:sz w:val="18"/>
                <w:szCs w:val="18"/>
              </w:rPr>
              <w:t>NICARAGUA</w:t>
            </w:r>
            <w:r w:rsidR="00441BD3">
              <w:rPr>
                <w:rFonts w:ascii="Arial" w:hAnsi="Arial" w:cs="Arial"/>
                <w:sz w:val="18"/>
                <w:szCs w:val="18"/>
              </w:rPr>
              <w:t xml:space="preserve"> / CID</w:t>
            </w:r>
          </w:p>
        </w:tc>
      </w:tr>
      <w:tr w:rsidR="00BA5A46" w:rsidRPr="00416B73" w14:paraId="6034B7A9" w14:textId="77777777" w:rsidTr="00D85A88">
        <w:trPr>
          <w:jc w:val="center"/>
        </w:trPr>
        <w:tc>
          <w:tcPr>
            <w:tcW w:w="3150" w:type="dxa"/>
          </w:tcPr>
          <w:p w14:paraId="235A6B1F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Nombre de la CT:</w:t>
            </w:r>
          </w:p>
        </w:tc>
        <w:tc>
          <w:tcPr>
            <w:tcW w:w="5152" w:type="dxa"/>
          </w:tcPr>
          <w:p w14:paraId="5ECC570F" w14:textId="77777777" w:rsidR="00BA5A46" w:rsidRPr="00416B73" w:rsidRDefault="00DB40CD" w:rsidP="00B20B00">
            <w:pPr>
              <w:spacing w:before="40" w:after="40"/>
              <w:jc w:val="both"/>
            </w:pPr>
            <w:r w:rsidRPr="00416B73">
              <w:rPr>
                <w:rFonts w:ascii="Arial" w:hAnsi="Arial" w:cs="Arial"/>
                <w:sz w:val="18"/>
                <w:szCs w:val="18"/>
              </w:rPr>
              <w:t>Apoyo al Programa de Integración Fronteriza</w:t>
            </w:r>
          </w:p>
        </w:tc>
      </w:tr>
      <w:tr w:rsidR="00BA5A46" w14:paraId="0976AA2C" w14:textId="77777777" w:rsidTr="00D85A88">
        <w:trPr>
          <w:jc w:val="center"/>
        </w:trPr>
        <w:tc>
          <w:tcPr>
            <w:tcW w:w="3150" w:type="dxa"/>
          </w:tcPr>
          <w:p w14:paraId="6176A6BC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Número de CT:</w:t>
            </w:r>
          </w:p>
        </w:tc>
        <w:tc>
          <w:tcPr>
            <w:tcW w:w="5152" w:type="dxa"/>
          </w:tcPr>
          <w:p w14:paraId="1FE75A0F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NI-T1288</w:t>
            </w:r>
          </w:p>
        </w:tc>
      </w:tr>
      <w:tr w:rsidR="00BA5A46" w14:paraId="288C8A6D" w14:textId="77777777" w:rsidTr="00D85A88">
        <w:trPr>
          <w:jc w:val="center"/>
        </w:trPr>
        <w:tc>
          <w:tcPr>
            <w:tcW w:w="3150" w:type="dxa"/>
          </w:tcPr>
          <w:p w14:paraId="286B20B8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Jefe de Equipo/Miembros:</w:t>
            </w:r>
          </w:p>
        </w:tc>
        <w:tc>
          <w:tcPr>
            <w:tcW w:w="5152" w:type="dxa"/>
          </w:tcPr>
          <w:p w14:paraId="30D2F84E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LIBBY HERNANDEZ, </w:t>
            </w:r>
            <w:r>
              <w:rPr>
                <w:rFonts w:ascii="Arial" w:hAnsi="Arial" w:cs="Arial"/>
                <w:sz w:val="18"/>
                <w:szCs w:val="18"/>
              </w:rPr>
              <w:t>MARGARITA (INT/TIN) Líder del Equipo; CASTILLO SEQUEIRA, SOBEYDA DEL CARMEN (CID/CNI); ESTEVES, YASMIN (INT/INT); GOMEZ GONZALEZ, MARIA MARGARITA (INT/TIN); LUGO MORENO, MONICA BIBIANA (LEG/SGO); MENDEZ MEJIA, ERICK DANIEL (INT/TIN); ALFARO ZUNIGA, CINTHYA</w:t>
            </w:r>
            <w:r>
              <w:rPr>
                <w:rFonts w:ascii="Arial" w:hAnsi="Arial" w:cs="Arial"/>
                <w:sz w:val="18"/>
                <w:szCs w:val="18"/>
              </w:rPr>
              <w:t xml:space="preserve"> GRACIELA (INT/TIN); VASCO HENAO, OSCAR DARIO (INT/TIN)</w:t>
            </w:r>
          </w:p>
        </w:tc>
      </w:tr>
      <w:tr w:rsidR="00BA5A46" w14:paraId="31373E34" w14:textId="77777777" w:rsidTr="00D85A88">
        <w:trPr>
          <w:trHeight w:val="202"/>
          <w:jc w:val="center"/>
        </w:trPr>
        <w:tc>
          <w:tcPr>
            <w:tcW w:w="3150" w:type="dxa"/>
          </w:tcPr>
          <w:p w14:paraId="32A73304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Taxonomía:</w:t>
            </w:r>
          </w:p>
        </w:tc>
        <w:tc>
          <w:tcPr>
            <w:tcW w:w="5152" w:type="dxa"/>
          </w:tcPr>
          <w:p w14:paraId="535CFBDD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Apoyo Operativo</w:t>
            </w:r>
          </w:p>
        </w:tc>
      </w:tr>
      <w:tr w:rsidR="00BA5A46" w:rsidRPr="00416B73" w14:paraId="1A027DAE" w14:textId="77777777" w:rsidTr="00D85A88">
        <w:trPr>
          <w:trHeight w:val="985"/>
          <w:jc w:val="center"/>
        </w:trPr>
        <w:tc>
          <w:tcPr>
            <w:tcW w:w="3150" w:type="dxa"/>
          </w:tcPr>
          <w:p w14:paraId="2F5A2077" w14:textId="77777777" w:rsidR="00BA5A46" w:rsidRPr="00416B73" w:rsidRDefault="00DB40CD">
            <w:pPr>
              <w:spacing w:before="40" w:after="40"/>
              <w:ind w:left="115" w:hanging="115"/>
            </w:pPr>
            <w:r w:rsidRPr="00416B73">
              <w:rPr>
                <w:rFonts w:ascii="Arial" w:hAnsi="Arial" w:cs="Arial"/>
                <w:sz w:val="18"/>
                <w:szCs w:val="18"/>
              </w:rPr>
              <w:t>▪</w:t>
            </w:r>
            <w:r w:rsidRPr="00416B73">
              <w:rPr>
                <w:rFonts w:ascii="Arial" w:hAnsi="Arial" w:cs="Arial"/>
                <w:sz w:val="18"/>
                <w:szCs w:val="18"/>
              </w:rPr>
              <w:t xml:space="preserve"> Número y nombre de la operación que apoyará la CT:</w:t>
            </w:r>
          </w:p>
        </w:tc>
        <w:tc>
          <w:tcPr>
            <w:tcW w:w="5152" w:type="dxa"/>
          </w:tcPr>
          <w:p w14:paraId="3F9D5356" w14:textId="77777777" w:rsidR="00B20B00" w:rsidRDefault="00DB40CD" w:rsidP="00B20B0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16B73">
              <w:rPr>
                <w:rFonts w:ascii="Arial" w:hAnsi="Arial" w:cs="Arial"/>
                <w:sz w:val="18"/>
                <w:szCs w:val="18"/>
              </w:rPr>
              <w:t xml:space="preserve">Programa de Integración Fronteriza - NI-L1083 </w:t>
            </w:r>
          </w:p>
          <w:p w14:paraId="2F9C4B53" w14:textId="79F82481" w:rsidR="00BA5A46" w:rsidRPr="00416B73" w:rsidRDefault="00DB40CD" w:rsidP="00B20B00">
            <w:pPr>
              <w:spacing w:before="40" w:after="40"/>
              <w:jc w:val="both"/>
            </w:pPr>
            <w:r w:rsidRPr="00416B73">
              <w:rPr>
                <w:rFonts w:ascii="Arial" w:hAnsi="Arial" w:cs="Arial"/>
                <w:sz w:val="18"/>
                <w:szCs w:val="18"/>
              </w:rPr>
              <w:br/>
            </w:r>
            <w:r w:rsidRPr="00416B73">
              <w:rPr>
                <w:rFonts w:ascii="Arial" w:hAnsi="Arial" w:cs="Arial"/>
                <w:sz w:val="18"/>
                <w:szCs w:val="18"/>
              </w:rPr>
              <w:t xml:space="preserve">“Programa de Integración Fronteriza” y financiamiento complementario a través de una contribución no reembolsable para proyecto específico - NI-G1020 </w:t>
            </w:r>
          </w:p>
        </w:tc>
      </w:tr>
      <w:tr w:rsidR="00BA5A46" w14:paraId="32970A18" w14:textId="77777777" w:rsidTr="00D85A88">
        <w:trPr>
          <w:jc w:val="center"/>
        </w:trPr>
        <w:tc>
          <w:tcPr>
            <w:tcW w:w="3150" w:type="dxa"/>
          </w:tcPr>
          <w:p w14:paraId="6C9C3D79" w14:textId="77777777" w:rsidR="00BA5A46" w:rsidRPr="00416B73" w:rsidRDefault="00DB40CD">
            <w:pPr>
              <w:spacing w:before="40" w:after="40"/>
              <w:ind w:left="115" w:hanging="115"/>
            </w:pPr>
            <w:r w:rsidRPr="00416B73">
              <w:rPr>
                <w:rFonts w:ascii="Arial" w:hAnsi="Arial" w:cs="Arial"/>
                <w:sz w:val="18"/>
                <w:szCs w:val="18"/>
              </w:rPr>
              <w:t>▪</w:t>
            </w:r>
            <w:r w:rsidRPr="00416B73">
              <w:rPr>
                <w:rFonts w:ascii="Arial" w:hAnsi="Arial" w:cs="Arial"/>
                <w:sz w:val="18"/>
                <w:szCs w:val="18"/>
              </w:rPr>
              <w:t xml:space="preserve"> Fecha del Abstracto de CT:</w:t>
            </w:r>
          </w:p>
        </w:tc>
        <w:tc>
          <w:tcPr>
            <w:tcW w:w="5152" w:type="dxa"/>
          </w:tcPr>
          <w:p w14:paraId="40EF2CD0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07 May 2020</w:t>
            </w:r>
          </w:p>
        </w:tc>
      </w:tr>
      <w:tr w:rsidR="00BA5A46" w14:paraId="46B21222" w14:textId="77777777" w:rsidTr="00D85A88">
        <w:trPr>
          <w:jc w:val="center"/>
        </w:trPr>
        <w:tc>
          <w:tcPr>
            <w:tcW w:w="3150" w:type="dxa"/>
          </w:tcPr>
          <w:p w14:paraId="676B0F16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Beneficiario:</w:t>
            </w:r>
          </w:p>
        </w:tc>
        <w:tc>
          <w:tcPr>
            <w:tcW w:w="5152" w:type="dxa"/>
          </w:tcPr>
          <w:p w14:paraId="112EAD11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Nicaragua</w:t>
            </w:r>
          </w:p>
        </w:tc>
      </w:tr>
      <w:tr w:rsidR="00BA5A46" w14:paraId="619FED38" w14:textId="77777777" w:rsidTr="00D85A88">
        <w:trPr>
          <w:jc w:val="center"/>
        </w:trPr>
        <w:tc>
          <w:tcPr>
            <w:tcW w:w="3150" w:type="dxa"/>
          </w:tcPr>
          <w:p w14:paraId="386E7B98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Agencia Ejecutora:</w:t>
            </w:r>
          </w:p>
        </w:tc>
        <w:tc>
          <w:tcPr>
            <w:tcW w:w="5152" w:type="dxa"/>
          </w:tcPr>
          <w:p w14:paraId="01883683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INTER-AMERIC</w:t>
            </w:r>
            <w:r>
              <w:rPr>
                <w:rFonts w:ascii="Arial" w:hAnsi="Arial" w:cs="Arial"/>
                <w:sz w:val="18"/>
                <w:szCs w:val="18"/>
              </w:rPr>
              <w:t>AN DEVELOPMENT BANK</w:t>
            </w:r>
          </w:p>
        </w:tc>
      </w:tr>
      <w:tr w:rsidR="00BA5A46" w14:paraId="57AC9F54" w14:textId="77777777" w:rsidTr="00D85A88">
        <w:trPr>
          <w:jc w:val="center"/>
        </w:trPr>
        <w:tc>
          <w:tcPr>
            <w:tcW w:w="3150" w:type="dxa"/>
          </w:tcPr>
          <w:p w14:paraId="4F5C6EF0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Financiamiento solicitado del BID:</w:t>
            </w:r>
          </w:p>
        </w:tc>
        <w:tc>
          <w:tcPr>
            <w:tcW w:w="5152" w:type="dxa"/>
          </w:tcPr>
          <w:p w14:paraId="2818BA37" w14:textId="77777777" w:rsidR="00BA5A46" w:rsidRDefault="00DB40CD" w:rsidP="00B20B00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US$200,000.00</w:t>
            </w:r>
          </w:p>
        </w:tc>
      </w:tr>
      <w:tr w:rsidR="00BA5A46" w14:paraId="7392C050" w14:textId="77777777" w:rsidTr="00D85A88">
        <w:trPr>
          <w:jc w:val="center"/>
        </w:trPr>
        <w:tc>
          <w:tcPr>
            <w:tcW w:w="3150" w:type="dxa"/>
          </w:tcPr>
          <w:p w14:paraId="14694112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Contrapartida Local:</w:t>
            </w:r>
          </w:p>
        </w:tc>
        <w:tc>
          <w:tcPr>
            <w:tcW w:w="5152" w:type="dxa"/>
          </w:tcPr>
          <w:p w14:paraId="24F20411" w14:textId="77777777" w:rsidR="00BA5A46" w:rsidRDefault="00DB40CD" w:rsidP="00B20B00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BA5A46" w14:paraId="486E0800" w14:textId="77777777" w:rsidTr="00D85A88">
        <w:trPr>
          <w:jc w:val="center"/>
        </w:trPr>
        <w:tc>
          <w:tcPr>
            <w:tcW w:w="3150" w:type="dxa"/>
          </w:tcPr>
          <w:p w14:paraId="5FE8A97B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Periodo de Desembolso:</w:t>
            </w:r>
          </w:p>
        </w:tc>
        <w:tc>
          <w:tcPr>
            <w:tcW w:w="5152" w:type="dxa"/>
          </w:tcPr>
          <w:p w14:paraId="7BBACD97" w14:textId="77777777" w:rsidR="00BA5A46" w:rsidRDefault="00DB40CD" w:rsidP="00B20B00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meses</w:t>
            </w:r>
          </w:p>
        </w:tc>
      </w:tr>
      <w:tr w:rsidR="00BA5A46" w14:paraId="34C1C8CF" w14:textId="77777777" w:rsidTr="00D85A88">
        <w:trPr>
          <w:jc w:val="center"/>
        </w:trPr>
        <w:tc>
          <w:tcPr>
            <w:tcW w:w="3150" w:type="dxa"/>
          </w:tcPr>
          <w:p w14:paraId="4035C270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Tipos de consultores:</w:t>
            </w:r>
          </w:p>
        </w:tc>
        <w:tc>
          <w:tcPr>
            <w:tcW w:w="5152" w:type="dxa"/>
          </w:tcPr>
          <w:p w14:paraId="697125BE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Individuos; Empresas</w:t>
            </w:r>
          </w:p>
        </w:tc>
      </w:tr>
      <w:tr w:rsidR="00BA5A46" w14:paraId="63CE644C" w14:textId="77777777" w:rsidTr="00D85A88">
        <w:trPr>
          <w:jc w:val="center"/>
        </w:trPr>
        <w:tc>
          <w:tcPr>
            <w:tcW w:w="3150" w:type="dxa"/>
          </w:tcPr>
          <w:p w14:paraId="09417E6D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Responsable de Preparación:</w:t>
            </w:r>
          </w:p>
        </w:tc>
        <w:tc>
          <w:tcPr>
            <w:tcW w:w="5152" w:type="dxa"/>
          </w:tcPr>
          <w:p w14:paraId="309BCB2E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INT/TIN - Trade &amp; </w:t>
            </w:r>
            <w:r>
              <w:rPr>
                <w:rFonts w:ascii="Arial" w:hAnsi="Arial" w:cs="Arial"/>
                <w:sz w:val="18"/>
                <w:szCs w:val="18"/>
              </w:rPr>
              <w:t>Investment</w:t>
            </w:r>
          </w:p>
        </w:tc>
      </w:tr>
      <w:tr w:rsidR="00BA5A46" w14:paraId="5B0D4305" w14:textId="77777777" w:rsidTr="00D85A88">
        <w:trPr>
          <w:jc w:val="center"/>
        </w:trPr>
        <w:tc>
          <w:tcPr>
            <w:tcW w:w="3150" w:type="dxa"/>
          </w:tcPr>
          <w:p w14:paraId="7FEAA779" w14:textId="77777777" w:rsidR="00BA5A46" w:rsidRDefault="00DB40CD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Responsable de Desembolso:</w:t>
            </w:r>
          </w:p>
        </w:tc>
        <w:tc>
          <w:tcPr>
            <w:tcW w:w="5152" w:type="dxa"/>
          </w:tcPr>
          <w:p w14:paraId="6827D46D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CID/CNI - Representación Nicaragua</w:t>
            </w:r>
          </w:p>
        </w:tc>
      </w:tr>
      <w:tr w:rsidR="00BA5A46" w14:paraId="40EFE6F7" w14:textId="77777777" w:rsidTr="00D85A88">
        <w:trPr>
          <w:jc w:val="center"/>
        </w:trPr>
        <w:tc>
          <w:tcPr>
            <w:tcW w:w="3150" w:type="dxa"/>
          </w:tcPr>
          <w:p w14:paraId="26D10676" w14:textId="77777777" w:rsidR="00BA5A46" w:rsidRDefault="00DB40CD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CT incluida en la Estrategia de País (s/n):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▪ CT incluida en CPD (s/n):</w:t>
            </w:r>
          </w:p>
        </w:tc>
        <w:tc>
          <w:tcPr>
            <w:tcW w:w="5152" w:type="dxa"/>
          </w:tcPr>
          <w:p w14:paraId="3BF1A912" w14:textId="77777777" w:rsidR="00BA5A46" w:rsidRDefault="00DB40CD" w:rsidP="00B20B00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No</w:t>
            </w:r>
          </w:p>
        </w:tc>
      </w:tr>
      <w:tr w:rsidR="00BA5A46" w14:paraId="43F42E4F" w14:textId="77777777" w:rsidTr="00D85A88">
        <w:trPr>
          <w:jc w:val="center"/>
        </w:trPr>
        <w:tc>
          <w:tcPr>
            <w:tcW w:w="3150" w:type="dxa"/>
          </w:tcPr>
          <w:p w14:paraId="4E7C59E3" w14:textId="77777777" w:rsidR="00BA5A46" w:rsidRPr="00416B73" w:rsidRDefault="00DB40CD">
            <w:pPr>
              <w:spacing w:before="40" w:after="40"/>
              <w:ind w:left="115" w:hanging="115"/>
            </w:pPr>
            <w:r w:rsidRPr="00416B73">
              <w:rPr>
                <w:rFonts w:ascii="Arial" w:hAnsi="Arial" w:cs="Arial"/>
                <w:sz w:val="18"/>
                <w:szCs w:val="18"/>
              </w:rPr>
              <w:t>▪</w:t>
            </w:r>
            <w:r w:rsidRPr="00416B73">
              <w:rPr>
                <w:rFonts w:ascii="Arial" w:hAnsi="Arial" w:cs="Arial"/>
                <w:sz w:val="18"/>
                <w:szCs w:val="18"/>
              </w:rPr>
              <w:t xml:space="preserve"> Alineación a la Actualización de la Estrategia Institucional 2010-2020:</w:t>
            </w:r>
          </w:p>
        </w:tc>
        <w:tc>
          <w:tcPr>
            <w:tcW w:w="5152" w:type="dxa"/>
          </w:tcPr>
          <w:p w14:paraId="1391303C" w14:textId="77777777" w:rsidR="00BA5A46" w:rsidRDefault="00DB40CD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Integración económica</w:t>
            </w:r>
          </w:p>
        </w:tc>
      </w:tr>
    </w:tbl>
    <w:p w14:paraId="07D7FE54" w14:textId="77777777" w:rsidR="00416B73" w:rsidRDefault="00416B73">
      <w:pPr>
        <w:spacing w:before="120" w:after="120"/>
        <w:ind w:left="579" w:hanging="579"/>
        <w:rPr>
          <w:rFonts w:ascii="Arial" w:hAnsi="Arial" w:cs="Arial"/>
          <w:b/>
        </w:rPr>
      </w:pPr>
    </w:p>
    <w:p w14:paraId="3119050E" w14:textId="5C2F421E" w:rsidR="00BA5A46" w:rsidRDefault="00DB40CD">
      <w:pPr>
        <w:spacing w:before="120" w:after="120"/>
        <w:ind w:left="579" w:hanging="579"/>
        <w:rPr>
          <w:rFonts w:ascii="Arial" w:hAnsi="Arial" w:cs="Arial"/>
          <w:b/>
        </w:rPr>
      </w:pPr>
      <w:r w:rsidRPr="00416B73">
        <w:rPr>
          <w:rFonts w:ascii="Arial" w:hAnsi="Arial" w:cs="Arial"/>
          <w:b/>
        </w:rPr>
        <w:t>II.</w:t>
      </w:r>
      <w:r w:rsidRPr="00416B73">
        <w:rPr>
          <w:rFonts w:ascii="Arial" w:hAnsi="Arial" w:cs="Arial"/>
          <w:b/>
        </w:rPr>
        <w:tab/>
      </w:r>
      <w:r w:rsidRPr="00416B73">
        <w:rPr>
          <w:rFonts w:ascii="Arial" w:hAnsi="Arial" w:cs="Arial"/>
          <w:b/>
        </w:rPr>
        <w:t>Objetivos y Justificación de la CT</w:t>
      </w:r>
    </w:p>
    <w:p w14:paraId="1C085C68" w14:textId="77777777" w:rsidR="00B16657" w:rsidRPr="00416B73" w:rsidRDefault="00B16657">
      <w:pPr>
        <w:spacing w:before="120" w:after="120"/>
        <w:ind w:left="579" w:hanging="579"/>
      </w:pPr>
    </w:p>
    <w:p w14:paraId="27E3A488" w14:textId="5C906A38" w:rsidR="00BA5A46" w:rsidRDefault="00DB40CD">
      <w:pPr>
        <w:spacing w:before="120" w:after="120"/>
        <w:ind w:left="579" w:hanging="579"/>
        <w:jc w:val="both"/>
        <w:rPr>
          <w:rFonts w:ascii="Arial" w:hAnsi="Arial" w:cs="Arial"/>
        </w:rPr>
      </w:pPr>
      <w:r w:rsidRPr="00416B73">
        <w:rPr>
          <w:rFonts w:ascii="Arial" w:hAnsi="Arial" w:cs="Arial"/>
        </w:rPr>
        <w:t>2.1</w:t>
      </w:r>
      <w:r w:rsidRPr="00416B73">
        <w:rPr>
          <w:rFonts w:ascii="Arial" w:hAnsi="Arial" w:cs="Arial"/>
        </w:rPr>
        <w:tab/>
        <w:t xml:space="preserve">El objetivo de esta cooperación técnica consiste en complementar acciones en un doble propósito, por un lado, que aporten a la ejecución del Programa de Integración Fronteriza" </w:t>
      </w:r>
      <w:r w:rsidRPr="00416B73">
        <w:rPr>
          <w:rFonts w:ascii="Arial" w:hAnsi="Arial" w:cs="Arial"/>
        </w:rPr>
        <w:t>(NI-L1083) y Investment Grant NI-G1020, apoyando en la implementación de acciones para el cumplimiento de condiciones de borde vinculados al Programa, así como la creación de capacidades, divulgación y el monitoreo sobre el desempeño de los contratos asoci</w:t>
      </w:r>
      <w:r w:rsidRPr="00416B73">
        <w:rPr>
          <w:rFonts w:ascii="Arial" w:hAnsi="Arial" w:cs="Arial"/>
        </w:rPr>
        <w:t>ados a la ejecución del Programa. De otra parte, busca contribuir con acciones para a la identificación y fortalecimiento de mecanismos, procesos, infraestructura y equipamientos, que den respuesta inmediata a los efectos del COVID-19, aportando a la conti</w:t>
      </w:r>
      <w:r w:rsidRPr="00416B73">
        <w:rPr>
          <w:rFonts w:ascii="Arial" w:hAnsi="Arial" w:cs="Arial"/>
        </w:rPr>
        <w:t xml:space="preserve">nuidad en el abastecimiento, distribución de mercancías estratégicas en cada país y la atención primaria querida en los puestos de </w:t>
      </w:r>
      <w:r w:rsidRPr="00416B73">
        <w:rPr>
          <w:rFonts w:ascii="Arial" w:hAnsi="Arial" w:cs="Arial"/>
        </w:rPr>
        <w:lastRenderedPageBreak/>
        <w:t>frontera, para la identificación de contagio, estabilización, aseguramiento vital y el traslado de personas en puntos de ingr</w:t>
      </w:r>
      <w:r w:rsidRPr="00416B73">
        <w:rPr>
          <w:rFonts w:ascii="Arial" w:hAnsi="Arial" w:cs="Arial"/>
        </w:rPr>
        <w:t>eso y salida de personas afectadas en las zonas de influencia a los puestos de frontera.</w:t>
      </w:r>
    </w:p>
    <w:p w14:paraId="273D6A1F" w14:textId="77777777" w:rsidR="00416B73" w:rsidRDefault="00DB40CD" w:rsidP="00D85A88">
      <w:pPr>
        <w:spacing w:before="240" w:after="240"/>
        <w:ind w:left="576" w:hanging="576"/>
        <w:jc w:val="both"/>
        <w:rPr>
          <w:rFonts w:ascii="Arial" w:hAnsi="Arial" w:cs="Arial"/>
        </w:rPr>
      </w:pPr>
      <w:r w:rsidRPr="00416B73">
        <w:rPr>
          <w:rFonts w:ascii="Arial" w:hAnsi="Arial" w:cs="Arial"/>
        </w:rPr>
        <w:t>2.2</w:t>
      </w:r>
      <w:r w:rsidRPr="00416B73">
        <w:rPr>
          <w:rFonts w:ascii="Arial" w:hAnsi="Arial" w:cs="Arial"/>
        </w:rPr>
        <w:tab/>
        <w:t>Nicaragua es una economía pequeña que depende del comercio internacional para su crecimiento y desarrollo siendo especialmente importante con sus países vecinos. E</w:t>
      </w:r>
      <w:r w:rsidRPr="00416B73">
        <w:rPr>
          <w:rFonts w:ascii="Arial" w:hAnsi="Arial" w:cs="Arial"/>
        </w:rPr>
        <w:t>n 2017, el 26,4% de las exportaciones y el 34,1% de las importaciones tuvieron como socio a un país de Mesoamérica, su segundo socio comercial después de Estados Unidos. Por esta razón, una parte considerable del comercio se realiza vía terrestre.</w:t>
      </w:r>
      <w:r w:rsidRPr="00416B73">
        <w:rPr>
          <w:rFonts w:ascii="Arial" w:hAnsi="Arial" w:cs="Arial"/>
        </w:rPr>
        <w:br/>
        <w:t>En el añ</w:t>
      </w:r>
      <w:r w:rsidRPr="00416B73">
        <w:rPr>
          <w:rFonts w:ascii="Arial" w:hAnsi="Arial" w:cs="Arial"/>
        </w:rPr>
        <w:t>o 2018 la crisis política y social del país generó una recesión económica de considerable impacto en el país. Debido a los disturbios experimentados desde abril de 2018, la economía se contrajo un 3,8 %. Previo a la crisis provocada por la pandemia del COV</w:t>
      </w:r>
      <w:r w:rsidRPr="00416B73">
        <w:rPr>
          <w:rFonts w:ascii="Arial" w:hAnsi="Arial" w:cs="Arial"/>
        </w:rPr>
        <w:t xml:space="preserve">ID-19, en el 2019 se esperaba que el crecimiento cayera al -5,0 %, y se recuperaría lentamente a 0,6 % para el 2021. Sin embargo, todos los pronósticos han cambiado y por lo tanto como efectos del COVID-19, se prevé una pérdida de empleos </w:t>
      </w:r>
      <w:proofErr w:type="gramStart"/>
      <w:r w:rsidRPr="00416B73">
        <w:rPr>
          <w:rFonts w:ascii="Arial" w:hAnsi="Arial" w:cs="Arial"/>
        </w:rPr>
        <w:t>que</w:t>
      </w:r>
      <w:proofErr w:type="gramEnd"/>
      <w:r w:rsidRPr="00416B73">
        <w:rPr>
          <w:rFonts w:ascii="Arial" w:hAnsi="Arial" w:cs="Arial"/>
        </w:rPr>
        <w:t xml:space="preserve"> sumado a un d</w:t>
      </w:r>
      <w:r w:rsidRPr="00416B73">
        <w:rPr>
          <w:rFonts w:ascii="Arial" w:hAnsi="Arial" w:cs="Arial"/>
        </w:rPr>
        <w:t>eclive en sectores, como turismo y construcción, han tenido un alto costo social y económico, amenazando los amplios esfuerzos realizados para reducir la pobreza.</w:t>
      </w:r>
    </w:p>
    <w:p w14:paraId="632BC2F5" w14:textId="5E84A8C7" w:rsidR="00BA5A46" w:rsidRDefault="00DB40CD">
      <w:pPr>
        <w:spacing w:before="120" w:after="120"/>
        <w:ind w:left="579" w:hanging="579"/>
        <w:jc w:val="both"/>
        <w:rPr>
          <w:rFonts w:ascii="Arial" w:hAnsi="Arial" w:cs="Arial"/>
        </w:rPr>
      </w:pPr>
      <w:r w:rsidRPr="00416B73">
        <w:rPr>
          <w:rFonts w:ascii="Arial" w:hAnsi="Arial" w:cs="Arial"/>
        </w:rPr>
        <w:br/>
        <w:t>La crisis derivada del COVID-19 de alcance mundial y con efectos económicos negativos de gran</w:t>
      </w:r>
      <w:r w:rsidRPr="00416B73">
        <w:rPr>
          <w:rFonts w:ascii="Arial" w:hAnsi="Arial" w:cs="Arial"/>
        </w:rPr>
        <w:t xml:space="preserve"> impacto, demanda un fortalecimiento en los ámbitos asociados con el comercio, en cuanto al aseguramiento y abastecimiento de productos en las economías domésticas. En este sentido, la implementación de acciones relacionadas con la detección, monitoreo y c</w:t>
      </w:r>
      <w:r w:rsidRPr="00416B73">
        <w:rPr>
          <w:rFonts w:ascii="Arial" w:hAnsi="Arial" w:cs="Arial"/>
        </w:rPr>
        <w:t xml:space="preserve">ontrol de episodios sanitarios con alto nivel de contagio en medio de los procesos logísticos del comercio resulta transversal a las iniciativas a desarrollar y se complementa con acciones similares y coordinadas regionalmente. </w:t>
      </w:r>
      <w:r w:rsidRPr="00416B73">
        <w:rPr>
          <w:rFonts w:ascii="Arial" w:hAnsi="Arial" w:cs="Arial"/>
        </w:rPr>
        <w:br/>
        <w:t>La región está implementand</w:t>
      </w:r>
      <w:r w:rsidRPr="00416B73">
        <w:rPr>
          <w:rFonts w:ascii="Arial" w:hAnsi="Arial" w:cs="Arial"/>
        </w:rPr>
        <w:t>o mecanismos de mejora en los procesos comerciales, teniendo un acompañamiento por el BID a través de una serie de iniciativas de orden regional como el Proyecto para el Diseño e Implementación de la Plataforma Digital de Comercio de Centroamérica/PDCC, (A</w:t>
      </w:r>
      <w:r w:rsidRPr="00416B73">
        <w:rPr>
          <w:rFonts w:ascii="Arial" w:hAnsi="Arial" w:cs="Arial"/>
        </w:rPr>
        <w:t>TN/ER-16366-RG); el Apoyo al Proceso de Integración Profunda del Triángulo Norte (ATN/MR-17300-RG) y mejoras en los pasos de frontera de Corredor Pacífico, con la instalación de equipos de identificación por radiofrecuencia (ATN/MR-14890-RG) y el equipamie</w:t>
      </w:r>
      <w:r w:rsidRPr="00416B73">
        <w:rPr>
          <w:rFonts w:ascii="Arial" w:hAnsi="Arial" w:cs="Arial"/>
        </w:rPr>
        <w:t>nto con sistemas de monitoreo mediante cámaras  (ATN/OC-16478-RG), así como programas específicos de modernización en Costa Rica (3488/OC-CR) y en Panamá (4517/OC-PN).</w:t>
      </w:r>
    </w:p>
    <w:p w14:paraId="224BBDBA" w14:textId="77777777" w:rsidR="00B20B00" w:rsidRPr="00416B73" w:rsidRDefault="00B20B00">
      <w:pPr>
        <w:spacing w:before="120" w:after="120"/>
        <w:ind w:left="579" w:hanging="579"/>
        <w:jc w:val="both"/>
      </w:pPr>
    </w:p>
    <w:p w14:paraId="20E30AC5" w14:textId="07CDBDA7" w:rsidR="00BA5A46" w:rsidRDefault="00DB40CD">
      <w:pPr>
        <w:spacing w:before="120" w:after="120"/>
        <w:ind w:left="579" w:hanging="579"/>
        <w:rPr>
          <w:rFonts w:ascii="Arial" w:hAnsi="Arial" w:cs="Arial"/>
          <w:b/>
        </w:rPr>
      </w:pPr>
      <w:r w:rsidRPr="00416B73">
        <w:rPr>
          <w:rFonts w:ascii="Arial" w:hAnsi="Arial" w:cs="Arial"/>
          <w:b/>
        </w:rPr>
        <w:t>III.</w:t>
      </w:r>
      <w:r w:rsidRPr="00416B73">
        <w:rPr>
          <w:rFonts w:ascii="Arial" w:hAnsi="Arial" w:cs="Arial"/>
          <w:b/>
        </w:rPr>
        <w:tab/>
        <w:t>Descripción de las Actividades y Resultados</w:t>
      </w:r>
    </w:p>
    <w:p w14:paraId="4120F245" w14:textId="4EBA3D78" w:rsidR="00BA5A46" w:rsidRDefault="00DB40CD" w:rsidP="00441BD3">
      <w:pPr>
        <w:spacing w:before="240" w:after="240"/>
        <w:ind w:left="576" w:hanging="576"/>
        <w:jc w:val="both"/>
        <w:rPr>
          <w:rFonts w:ascii="Arial" w:hAnsi="Arial" w:cs="Arial"/>
        </w:rPr>
      </w:pPr>
      <w:r w:rsidRPr="00416B73">
        <w:rPr>
          <w:rFonts w:ascii="Arial" w:hAnsi="Arial" w:cs="Arial"/>
        </w:rPr>
        <w:t>3.1</w:t>
      </w:r>
      <w:r w:rsidRPr="00416B73">
        <w:rPr>
          <w:rFonts w:ascii="Arial" w:hAnsi="Arial" w:cs="Arial"/>
        </w:rPr>
        <w:tab/>
      </w:r>
      <w:r w:rsidRPr="00416B73">
        <w:rPr>
          <w:rFonts w:ascii="Arial" w:hAnsi="Arial" w:cs="Arial"/>
          <w:b/>
        </w:rPr>
        <w:t>Componente I: Apoyo para incrementa</w:t>
      </w:r>
      <w:r w:rsidRPr="00416B73">
        <w:rPr>
          <w:rFonts w:ascii="Arial" w:hAnsi="Arial" w:cs="Arial"/>
          <w:b/>
        </w:rPr>
        <w:t xml:space="preserve">r y fortalecer capacidades de planificación, gestión y administración de contratos y las relaciones binacionales, incluyendo mecanismos de atención a los efectos del COVID-19. </w:t>
      </w:r>
      <w:r w:rsidRPr="00416B73">
        <w:rPr>
          <w:rFonts w:ascii="Arial" w:hAnsi="Arial" w:cs="Arial"/>
        </w:rPr>
        <w:t>El resultado de este componente será haber mejorado las capacidades de las insti</w:t>
      </w:r>
      <w:r w:rsidRPr="00416B73">
        <w:rPr>
          <w:rFonts w:ascii="Arial" w:hAnsi="Arial" w:cs="Arial"/>
        </w:rPr>
        <w:t>tuciones vinculadas con la gestión de los contratos asociados con la implementación de los programas, tanto en sus fases de condiciones previas como la fase inicial</w:t>
      </w:r>
    </w:p>
    <w:p w14:paraId="59D50793" w14:textId="77777777" w:rsidR="00B20B00" w:rsidRPr="00416B73" w:rsidRDefault="00B20B00">
      <w:pPr>
        <w:spacing w:before="120" w:after="120"/>
        <w:ind w:left="579" w:hanging="579"/>
        <w:jc w:val="both"/>
      </w:pPr>
    </w:p>
    <w:p w14:paraId="27FB1E94" w14:textId="10F95E37" w:rsidR="00BA5A46" w:rsidRDefault="00DB40CD">
      <w:pPr>
        <w:spacing w:before="120" w:after="120"/>
        <w:ind w:left="579" w:hanging="579"/>
        <w:jc w:val="both"/>
        <w:rPr>
          <w:rFonts w:ascii="Arial" w:hAnsi="Arial" w:cs="Arial"/>
        </w:rPr>
      </w:pPr>
      <w:r w:rsidRPr="00416B73">
        <w:rPr>
          <w:rFonts w:ascii="Arial" w:hAnsi="Arial" w:cs="Arial"/>
        </w:rPr>
        <w:t>3.2</w:t>
      </w:r>
      <w:r w:rsidRPr="00416B73">
        <w:rPr>
          <w:rFonts w:ascii="Arial" w:hAnsi="Arial" w:cs="Arial"/>
        </w:rPr>
        <w:tab/>
      </w:r>
      <w:r w:rsidRPr="00416B73">
        <w:rPr>
          <w:rFonts w:ascii="Arial" w:hAnsi="Arial" w:cs="Arial"/>
          <w:b/>
        </w:rPr>
        <w:t>Componente II: Fortalecimiento a las capacidades locales vinculadas a los Puestos de Fr</w:t>
      </w:r>
      <w:r w:rsidRPr="00416B73">
        <w:rPr>
          <w:rFonts w:ascii="Arial" w:hAnsi="Arial" w:cs="Arial"/>
          <w:b/>
        </w:rPr>
        <w:t xml:space="preserve">ontera, con especial énfasis en las Micro y Pequeñas Empresas. </w:t>
      </w:r>
      <w:r w:rsidRPr="00416B73">
        <w:rPr>
          <w:rFonts w:ascii="Arial" w:hAnsi="Arial" w:cs="Arial"/>
        </w:rPr>
        <w:t>Busca contribuir a la generación de condiciones para incrementar capacidades de comercio en las empresas locales, gestión de desechos, y fomento a la industria</w:t>
      </w:r>
      <w:r w:rsidR="00B20B00">
        <w:rPr>
          <w:rFonts w:ascii="Arial" w:hAnsi="Arial" w:cs="Arial"/>
        </w:rPr>
        <w:t>.</w:t>
      </w:r>
    </w:p>
    <w:p w14:paraId="49A02638" w14:textId="1FE6FBB3" w:rsidR="00B20B00" w:rsidRDefault="00B20B00">
      <w:pPr>
        <w:spacing w:before="120" w:after="120"/>
        <w:ind w:left="579" w:hanging="579"/>
        <w:jc w:val="both"/>
        <w:rPr>
          <w:rFonts w:ascii="Arial" w:hAnsi="Arial" w:cs="Arial"/>
        </w:rPr>
      </w:pPr>
    </w:p>
    <w:p w14:paraId="67D0E19D" w14:textId="77777777" w:rsidR="00BA5A46" w:rsidRDefault="00DB40CD">
      <w:pPr>
        <w:spacing w:before="120" w:after="120"/>
        <w:ind w:left="579" w:hanging="579"/>
      </w:pPr>
      <w:r>
        <w:rPr>
          <w:rFonts w:ascii="Arial" w:hAnsi="Arial" w:cs="Arial"/>
          <w:b/>
        </w:rPr>
        <w:lastRenderedPageBreak/>
        <w:t>IV.</w:t>
      </w:r>
      <w:r>
        <w:rPr>
          <w:rFonts w:ascii="Arial" w:hAnsi="Arial" w:cs="Arial"/>
          <w:b/>
        </w:rPr>
        <w:tab/>
        <w:t>Presupuesto</w:t>
      </w:r>
    </w:p>
    <w:p w14:paraId="536C39AC" w14:textId="20B26AF8" w:rsidR="00BA5A46" w:rsidRPr="00B16657" w:rsidRDefault="00DB40CD">
      <w:pPr>
        <w:spacing w:before="240" w:after="120"/>
        <w:jc w:val="center"/>
        <w:rPr>
          <w:rFonts w:ascii="Arial" w:hAnsi="Arial" w:cs="Arial"/>
          <w:b/>
        </w:rPr>
      </w:pPr>
      <w:r w:rsidRPr="00B16657">
        <w:rPr>
          <w:rFonts w:ascii="Arial" w:hAnsi="Arial" w:cs="Arial"/>
          <w:b/>
        </w:rPr>
        <w:t>Presupuesto Indicativo</w:t>
      </w:r>
    </w:p>
    <w:tbl>
      <w:tblPr>
        <w:tblStyle w:val="TableGrid"/>
        <w:tblW w:w="0" w:type="auto"/>
        <w:tblInd w:w="738" w:type="dxa"/>
        <w:tblLayout w:type="fixed"/>
        <w:tblLook w:val="04A0" w:firstRow="1" w:lastRow="0" w:firstColumn="1" w:lastColumn="0" w:noHBand="0" w:noVBand="1"/>
      </w:tblPr>
      <w:tblGrid>
        <w:gridCol w:w="3240"/>
        <w:gridCol w:w="1710"/>
        <w:gridCol w:w="1440"/>
        <w:gridCol w:w="1620"/>
      </w:tblGrid>
      <w:tr w:rsidR="00BA5A46" w14:paraId="18D713AC" w14:textId="77777777" w:rsidTr="00D85A88">
        <w:tc>
          <w:tcPr>
            <w:tcW w:w="3240" w:type="dxa"/>
            <w:vAlign w:val="center"/>
          </w:tcPr>
          <w:p w14:paraId="79ED5C10" w14:textId="77777777" w:rsidR="00BA5A46" w:rsidRDefault="00DB40CD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Actividad/Componente</w:t>
            </w:r>
          </w:p>
        </w:tc>
        <w:tc>
          <w:tcPr>
            <w:tcW w:w="1710" w:type="dxa"/>
          </w:tcPr>
          <w:p w14:paraId="21F1D730" w14:textId="77777777" w:rsidR="00BA5A46" w:rsidRDefault="00DB40CD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BID/Financiamiento por Fondo</w:t>
            </w:r>
          </w:p>
        </w:tc>
        <w:tc>
          <w:tcPr>
            <w:tcW w:w="1440" w:type="dxa"/>
          </w:tcPr>
          <w:p w14:paraId="55D90C33" w14:textId="77777777" w:rsidR="00BA5A46" w:rsidRDefault="00DB40CD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Contrapartida Local</w:t>
            </w:r>
          </w:p>
        </w:tc>
        <w:tc>
          <w:tcPr>
            <w:tcW w:w="1620" w:type="dxa"/>
          </w:tcPr>
          <w:p w14:paraId="02B5F079" w14:textId="77777777" w:rsidR="00BA5A46" w:rsidRDefault="00DB40CD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Financiamiento Total</w:t>
            </w:r>
          </w:p>
        </w:tc>
      </w:tr>
      <w:tr w:rsidR="00BA5A46" w14:paraId="5545573D" w14:textId="77777777" w:rsidTr="00D85A88">
        <w:tc>
          <w:tcPr>
            <w:tcW w:w="3240" w:type="dxa"/>
            <w:vAlign w:val="center"/>
          </w:tcPr>
          <w:p w14:paraId="0E1A6C6E" w14:textId="77777777" w:rsidR="00BA5A46" w:rsidRPr="00416B73" w:rsidRDefault="00DB40CD">
            <w:pPr>
              <w:spacing w:before="40" w:after="40"/>
            </w:pPr>
            <w:r w:rsidRPr="00416B73">
              <w:rPr>
                <w:rFonts w:ascii="Arial" w:hAnsi="Arial" w:cs="Arial"/>
                <w:sz w:val="18"/>
                <w:szCs w:val="18"/>
              </w:rPr>
              <w:t>Apoyo para incrementar y fortalecer capacidades de planificación, gestión y administración de contratos y las relaciones binacionales, incluy</w:t>
            </w:r>
            <w:r w:rsidRPr="00416B73">
              <w:rPr>
                <w:rFonts w:ascii="Arial" w:hAnsi="Arial" w:cs="Arial"/>
                <w:sz w:val="18"/>
                <w:szCs w:val="18"/>
              </w:rPr>
              <w:t>endo mecanismos de atención a los efectos del COVID-19</w:t>
            </w:r>
          </w:p>
        </w:tc>
        <w:tc>
          <w:tcPr>
            <w:tcW w:w="1710" w:type="dxa"/>
            <w:vAlign w:val="center"/>
          </w:tcPr>
          <w:p w14:paraId="26BE7242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  <w:tc>
          <w:tcPr>
            <w:tcW w:w="1440" w:type="dxa"/>
            <w:vAlign w:val="center"/>
          </w:tcPr>
          <w:p w14:paraId="73320D96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620" w:type="dxa"/>
            <w:vAlign w:val="center"/>
          </w:tcPr>
          <w:p w14:paraId="62403BDC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</w:tr>
      <w:tr w:rsidR="00BA5A46" w14:paraId="0968858B" w14:textId="77777777" w:rsidTr="00D85A88">
        <w:tc>
          <w:tcPr>
            <w:tcW w:w="3240" w:type="dxa"/>
            <w:vAlign w:val="center"/>
          </w:tcPr>
          <w:p w14:paraId="6030A3B6" w14:textId="77777777" w:rsidR="00BA5A46" w:rsidRPr="00416B73" w:rsidRDefault="00DB40CD">
            <w:pPr>
              <w:spacing w:before="40" w:after="40"/>
            </w:pPr>
            <w:r w:rsidRPr="00416B73">
              <w:rPr>
                <w:rFonts w:ascii="Arial" w:hAnsi="Arial" w:cs="Arial"/>
                <w:sz w:val="18"/>
                <w:szCs w:val="18"/>
              </w:rPr>
              <w:t>Fortalecimiento a las capacidades locales vinculadas a los Puestos de Frontera, con especial énfasis en las Micro y Pequeñas Empresas</w:t>
            </w:r>
          </w:p>
        </w:tc>
        <w:tc>
          <w:tcPr>
            <w:tcW w:w="1710" w:type="dxa"/>
            <w:vAlign w:val="center"/>
          </w:tcPr>
          <w:p w14:paraId="4505742E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  <w:tc>
          <w:tcPr>
            <w:tcW w:w="1440" w:type="dxa"/>
            <w:vAlign w:val="center"/>
          </w:tcPr>
          <w:p w14:paraId="7D46D43C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620" w:type="dxa"/>
            <w:vAlign w:val="center"/>
          </w:tcPr>
          <w:p w14:paraId="21490599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</w:tr>
      <w:tr w:rsidR="00BA5A46" w14:paraId="23DE8491" w14:textId="77777777" w:rsidTr="00D85A88">
        <w:tc>
          <w:tcPr>
            <w:tcW w:w="3240" w:type="dxa"/>
            <w:vAlign w:val="center"/>
          </w:tcPr>
          <w:p w14:paraId="09D7D980" w14:textId="77777777" w:rsidR="00BA5A46" w:rsidRDefault="00DB40CD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710" w:type="dxa"/>
            <w:vAlign w:val="center"/>
          </w:tcPr>
          <w:p w14:paraId="38BFB939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US$200,000.00</w:t>
            </w:r>
          </w:p>
        </w:tc>
        <w:tc>
          <w:tcPr>
            <w:tcW w:w="1440" w:type="dxa"/>
            <w:vAlign w:val="center"/>
          </w:tcPr>
          <w:p w14:paraId="2E31A29D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1620" w:type="dxa"/>
            <w:vAlign w:val="center"/>
          </w:tcPr>
          <w:p w14:paraId="413831E2" w14:textId="77777777" w:rsidR="00BA5A46" w:rsidRDefault="00DB40CD" w:rsidP="00D85A88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US$200,000.00</w:t>
            </w:r>
          </w:p>
        </w:tc>
      </w:tr>
    </w:tbl>
    <w:p w14:paraId="21966CAD" w14:textId="77777777" w:rsidR="00B16657" w:rsidRDefault="00B16657">
      <w:pPr>
        <w:spacing w:before="120" w:after="120"/>
        <w:ind w:left="579" w:hanging="579"/>
        <w:rPr>
          <w:rFonts w:ascii="Arial" w:hAnsi="Arial" w:cs="Arial"/>
          <w:b/>
        </w:rPr>
      </w:pPr>
    </w:p>
    <w:p w14:paraId="2A9083DF" w14:textId="1A35EB73" w:rsidR="00BA5A46" w:rsidRPr="00416B73" w:rsidRDefault="00DB40CD">
      <w:pPr>
        <w:spacing w:before="120" w:after="120"/>
        <w:ind w:left="579" w:hanging="579"/>
      </w:pPr>
      <w:r w:rsidRPr="00416B73">
        <w:rPr>
          <w:rFonts w:ascii="Arial" w:hAnsi="Arial" w:cs="Arial"/>
          <w:b/>
        </w:rPr>
        <w:t>V.</w:t>
      </w:r>
      <w:r w:rsidRPr="00416B73">
        <w:rPr>
          <w:rFonts w:ascii="Arial" w:hAnsi="Arial" w:cs="Arial"/>
          <w:b/>
        </w:rPr>
        <w:tab/>
        <w:t>Agencia Ejecutora y Estructura de Ejecución</w:t>
      </w:r>
    </w:p>
    <w:p w14:paraId="051FC9A6" w14:textId="77777777" w:rsidR="00BA5A46" w:rsidRPr="00416B73" w:rsidRDefault="00DB40CD">
      <w:pPr>
        <w:spacing w:before="200" w:after="200"/>
        <w:ind w:left="579" w:hanging="579"/>
        <w:jc w:val="both"/>
      </w:pPr>
      <w:r w:rsidRPr="00416B73">
        <w:rPr>
          <w:rFonts w:ascii="Arial" w:hAnsi="Arial" w:cs="Arial"/>
        </w:rPr>
        <w:t>5.1</w:t>
      </w:r>
      <w:r w:rsidRPr="00416B73">
        <w:rPr>
          <w:rFonts w:ascii="Arial" w:hAnsi="Arial" w:cs="Arial"/>
        </w:rPr>
        <w:tab/>
        <w:t>Esta CT será ejecutada por el Banco Interamericano de Desarrollo (BID) a través de la División de Comercio e Inversión (INT/TIN) del Sector de Inte</w:t>
      </w:r>
      <w:r w:rsidRPr="00416B73">
        <w:rPr>
          <w:rFonts w:ascii="Arial" w:hAnsi="Arial" w:cs="Arial"/>
        </w:rPr>
        <w:t>gración y Comercio (INT/INT).</w:t>
      </w:r>
    </w:p>
    <w:p w14:paraId="2F878B4B" w14:textId="5A563F32" w:rsidR="00BA5A46" w:rsidRDefault="00DB40CD" w:rsidP="00B16657">
      <w:pPr>
        <w:spacing w:before="240" w:after="240"/>
        <w:ind w:left="576" w:hanging="576"/>
        <w:jc w:val="both"/>
        <w:rPr>
          <w:rFonts w:ascii="Arial" w:hAnsi="Arial" w:cs="Arial"/>
        </w:rPr>
      </w:pPr>
      <w:r w:rsidRPr="00416B73">
        <w:rPr>
          <w:rFonts w:ascii="Arial" w:hAnsi="Arial" w:cs="Arial"/>
        </w:rPr>
        <w:t>5.2</w:t>
      </w:r>
      <w:r w:rsidRPr="00416B73">
        <w:rPr>
          <w:rFonts w:ascii="Arial" w:hAnsi="Arial" w:cs="Arial"/>
        </w:rPr>
        <w:tab/>
        <w:t>El Banco tiene una amplia experiencia técnica y operativa en programas similares que se ejecutan en la región, derivadas de las medidas de facilitación comercial, así como por la capacidad de ejecución en el tiempo estable</w:t>
      </w:r>
      <w:r w:rsidRPr="00416B73">
        <w:rPr>
          <w:rFonts w:ascii="Arial" w:hAnsi="Arial" w:cs="Arial"/>
        </w:rPr>
        <w:t>cido para generar los entregables en el plazo convenido. Las actividades bajo esta operación serán ejecutadas de acuerdo con los métodos de adquisiciones establecidos del BID, a saber: (i) Contratación de consultores individuales, según lo establecido en l</w:t>
      </w:r>
      <w:r w:rsidRPr="00416B73">
        <w:rPr>
          <w:rFonts w:ascii="Arial" w:hAnsi="Arial" w:cs="Arial"/>
        </w:rPr>
        <w:t>as normas AM-650; (</w:t>
      </w:r>
      <w:proofErr w:type="spellStart"/>
      <w:r w:rsidRPr="00416B73">
        <w:rPr>
          <w:rFonts w:ascii="Arial" w:hAnsi="Arial" w:cs="Arial"/>
        </w:rPr>
        <w:t>ii</w:t>
      </w:r>
      <w:proofErr w:type="spellEnd"/>
      <w:r w:rsidRPr="00416B73">
        <w:rPr>
          <w:rFonts w:ascii="Arial" w:hAnsi="Arial" w:cs="Arial"/>
        </w:rPr>
        <w:t>) Contratación de firmas consultoras para servicios de naturaleza intelectual según la GN-2765-4 y sus guías operativas asociadas (OP-1155-4); y (</w:t>
      </w:r>
      <w:proofErr w:type="spellStart"/>
      <w:r w:rsidRPr="00416B73">
        <w:rPr>
          <w:rFonts w:ascii="Arial" w:hAnsi="Arial" w:cs="Arial"/>
        </w:rPr>
        <w:t>iii</w:t>
      </w:r>
      <w:proofErr w:type="spellEnd"/>
      <w:r w:rsidRPr="00416B73">
        <w:rPr>
          <w:rFonts w:ascii="Arial" w:hAnsi="Arial" w:cs="Arial"/>
        </w:rPr>
        <w:t xml:space="preserve">) Contratación de servicios logísticos y otros servicios distintos a consultoría, </w:t>
      </w:r>
      <w:proofErr w:type="gramStart"/>
      <w:r w:rsidRPr="00416B73">
        <w:rPr>
          <w:rFonts w:ascii="Arial" w:hAnsi="Arial" w:cs="Arial"/>
        </w:rPr>
        <w:t>de a</w:t>
      </w:r>
      <w:r w:rsidRPr="00416B73">
        <w:rPr>
          <w:rFonts w:ascii="Arial" w:hAnsi="Arial" w:cs="Arial"/>
        </w:rPr>
        <w:t>cuerdo a</w:t>
      </w:r>
      <w:proofErr w:type="gramEnd"/>
      <w:r w:rsidRPr="00416B73">
        <w:rPr>
          <w:rFonts w:ascii="Arial" w:hAnsi="Arial" w:cs="Arial"/>
        </w:rPr>
        <w:t xml:space="preserve"> la política GN-2303-28.</w:t>
      </w:r>
    </w:p>
    <w:p w14:paraId="7DF7999A" w14:textId="31D9BD32" w:rsidR="00BA5A46" w:rsidRDefault="00DB40CD">
      <w:pPr>
        <w:spacing w:before="120" w:after="120"/>
        <w:ind w:left="579" w:hanging="579"/>
        <w:rPr>
          <w:rFonts w:ascii="Arial" w:hAnsi="Arial" w:cs="Arial"/>
          <w:b/>
        </w:rPr>
      </w:pPr>
      <w:r w:rsidRPr="00416B73">
        <w:rPr>
          <w:rFonts w:ascii="Arial" w:hAnsi="Arial" w:cs="Arial"/>
          <w:b/>
        </w:rPr>
        <w:t>VI.</w:t>
      </w:r>
      <w:r w:rsidRPr="00416B73">
        <w:rPr>
          <w:rFonts w:ascii="Arial" w:hAnsi="Arial" w:cs="Arial"/>
          <w:b/>
        </w:rPr>
        <w:tab/>
        <w:t>Riesgos Importantes</w:t>
      </w:r>
    </w:p>
    <w:p w14:paraId="1ECCB597" w14:textId="11C6E685" w:rsidR="00BA5A46" w:rsidRDefault="00DB40CD" w:rsidP="00B16657">
      <w:pPr>
        <w:spacing w:before="240" w:after="240"/>
        <w:ind w:left="576" w:hanging="576"/>
        <w:jc w:val="both"/>
        <w:rPr>
          <w:rFonts w:ascii="Arial" w:hAnsi="Arial" w:cs="Arial"/>
        </w:rPr>
      </w:pPr>
      <w:r w:rsidRPr="00416B73">
        <w:rPr>
          <w:rFonts w:ascii="Arial" w:hAnsi="Arial" w:cs="Arial"/>
        </w:rPr>
        <w:t>6.1</w:t>
      </w:r>
      <w:r w:rsidRPr="00416B73">
        <w:rPr>
          <w:rFonts w:ascii="Arial" w:hAnsi="Arial" w:cs="Arial"/>
        </w:rPr>
        <w:tab/>
        <w:t>La situación del país sigue previendo escenarios de conflictos políticos, sin embargo, la experiencia en el proceso de modernización del Puesto de Frontera de Peñas Blancas demostró que es posibl</w:t>
      </w:r>
      <w:r w:rsidRPr="00416B73">
        <w:rPr>
          <w:rFonts w:ascii="Arial" w:hAnsi="Arial" w:cs="Arial"/>
        </w:rPr>
        <w:t xml:space="preserve">e identificar medidas de mitigación para reducir impactos; en todo caso, se prevé que, a la fecha de ejecución fuerte de las obras (a partir de 2021), se hayan generado condiciones contractuales para la adjudicación de los contratos de las obras. Por otro </w:t>
      </w:r>
      <w:r w:rsidRPr="00416B73">
        <w:rPr>
          <w:rFonts w:ascii="Arial" w:hAnsi="Arial" w:cs="Arial"/>
        </w:rPr>
        <w:t xml:space="preserve">lado, el efecto del COVID-19 ha generado un impacto económico y social, cuyo alcance está siendo evaluado a nivel global. Por ello, la CT propone incorporar al esquema de coordinación la participación de autoridades sanitarias para una efectiva aplicación </w:t>
      </w:r>
      <w:r w:rsidRPr="00416B73">
        <w:rPr>
          <w:rFonts w:ascii="Arial" w:hAnsi="Arial" w:cs="Arial"/>
        </w:rPr>
        <w:t>de las recomendaciones de organismos internacionales como la Organización Mundial de la Salud y la Organización Panamericana de Salud.</w:t>
      </w:r>
    </w:p>
    <w:p w14:paraId="2E5F1316" w14:textId="77777777" w:rsidR="00BA5A46" w:rsidRPr="00416B73" w:rsidRDefault="00DB40CD" w:rsidP="00B16657">
      <w:pPr>
        <w:spacing w:before="240" w:after="240"/>
        <w:ind w:left="576" w:hanging="576"/>
      </w:pPr>
      <w:r w:rsidRPr="00416B73">
        <w:rPr>
          <w:rFonts w:ascii="Arial" w:hAnsi="Arial" w:cs="Arial"/>
          <w:b/>
        </w:rPr>
        <w:t>VII.</w:t>
      </w:r>
      <w:r w:rsidRPr="00416B73">
        <w:rPr>
          <w:rFonts w:ascii="Arial" w:hAnsi="Arial" w:cs="Arial"/>
          <w:b/>
        </w:rPr>
        <w:tab/>
        <w:t>Salvaguardias Ambientales</w:t>
      </w:r>
    </w:p>
    <w:p w14:paraId="106BF36F" w14:textId="77777777" w:rsidR="00BA5A46" w:rsidRPr="00416B73" w:rsidRDefault="00DB40CD">
      <w:pPr>
        <w:spacing w:before="240" w:after="120"/>
        <w:ind w:left="579" w:hanging="579"/>
        <w:jc w:val="both"/>
      </w:pPr>
      <w:r w:rsidRPr="00416B73">
        <w:rPr>
          <w:rFonts w:ascii="Arial" w:hAnsi="Arial" w:cs="Arial"/>
        </w:rPr>
        <w:t>7.1</w:t>
      </w:r>
      <w:r w:rsidRPr="00416B73">
        <w:rPr>
          <w:rFonts w:ascii="Arial" w:hAnsi="Arial" w:cs="Arial"/>
        </w:rPr>
        <w:tab/>
        <w:t>La clasificación ESG para esta operación es "C".</w:t>
      </w:r>
    </w:p>
    <w:sectPr w:rsidR="00BA5A46" w:rsidRPr="00416B73" w:rsidSect="00FC302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992C0" w14:textId="77777777" w:rsidR="00DB40CD" w:rsidRDefault="00DB40CD">
      <w:r>
        <w:separator/>
      </w:r>
    </w:p>
  </w:endnote>
  <w:endnote w:type="continuationSeparator" w:id="0">
    <w:p w14:paraId="720FA612" w14:textId="77777777" w:rsidR="00DB40CD" w:rsidRDefault="00DB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92B62" w14:textId="77777777" w:rsidR="00BA5A46" w:rsidRDefault="00DB40CD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416B73">
      <w:fldChar w:fldCharType="separate"/>
    </w:r>
    <w:r w:rsidR="00416B73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EA4B1" w14:textId="77777777" w:rsidR="00DB40CD" w:rsidRDefault="00DB40CD">
      <w:r>
        <w:separator/>
      </w:r>
    </w:p>
  </w:footnote>
  <w:footnote w:type="continuationSeparator" w:id="0">
    <w:p w14:paraId="6C77AC22" w14:textId="77777777" w:rsidR="00DB40CD" w:rsidRDefault="00DB4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915A3"/>
    <w:rsid w:val="00217F62"/>
    <w:rsid w:val="00416B73"/>
    <w:rsid w:val="00441BD3"/>
    <w:rsid w:val="00A906D8"/>
    <w:rsid w:val="00AB5A74"/>
    <w:rsid w:val="00B16657"/>
    <w:rsid w:val="00B20B00"/>
    <w:rsid w:val="00BA5A46"/>
    <w:rsid w:val="00D85A88"/>
    <w:rsid w:val="00DB40CD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612B0"/>
  <w15:docId w15:val="{BF6A55B5-A8BE-4F7E-904B-33A0973D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  <w:rPr>
      <w:lang w:val="es-CO"/>
    </w:rPr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36B6E687798E94ABDA0613FAC18846C" ma:contentTypeVersion="0" ma:contentTypeDescription="A content type to manage public (operations) IDB documents" ma:contentTypeScope="" ma:versionID="daba4975ff8262122ec52343aa317e3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d7fa302a9c3e1b29ce4a9367497cce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NI-T128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Nicaragua</TermName>
          <TermId xmlns="http://schemas.microsoft.com/office/infopath/2007/PartnerControls">69900e44-351c-4695-b42f-d4fe027272ef</TermId>
        </TermInfo>
      </Terms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Vasco Henao Oscar Dario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 FACILITATION TRADE LOGISTICS AND CUSTOMS</TermName>
          <TermId xmlns="http://schemas.microsoft.com/office/infopath/2007/PartnerControls">63421c8f-8163-4512-8241-166181a16906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RIN</TermName>
          <TermId xmlns="http://schemas.microsoft.com/office/infopath/2007/PartnerControls">1f24c1c3-8b43-4567-b6c6-b7c857230d8b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228</Value>
      <Value>227</Value>
      <Value>2</Value>
      <Value>203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NI-T1288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Record_x0020_Number xmlns="cdc7663a-08f0-4737-9e8c-148ce897a09c" xsi:nil="true"/>
    <_dlc_DocId xmlns="cdc7663a-08f0-4737-9e8c-148ce897a09c">EZSHARE-1660428559-2</_dlc_DocId>
    <_dlc_DocIdUrl xmlns="cdc7663a-08f0-4737-9e8c-148ce897a09c">
      <Url>https://idbg.sharepoint.com/teams/EZ-NI-TCP/NI-T1288/_layouts/15/DocIdRedir.aspx?ID=EZSHARE-1660428559-2</Url>
      <Description>EZSHARE-1660428559-2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6D2318C-60EE-444B-AFDF-D7A8B631CA4A}"/>
</file>

<file path=customXml/itemProps2.xml><?xml version="1.0" encoding="utf-8"?>
<ds:datastoreItem xmlns:ds="http://schemas.openxmlformats.org/officeDocument/2006/customXml" ds:itemID="{DA137EFF-82FB-4B0D-A707-171743A5D0EA}"/>
</file>

<file path=customXml/itemProps3.xml><?xml version="1.0" encoding="utf-8"?>
<ds:datastoreItem xmlns:ds="http://schemas.openxmlformats.org/officeDocument/2006/customXml" ds:itemID="{57E3BEED-240E-4889-ACE3-B6256F2762EA}"/>
</file>

<file path=customXml/itemProps4.xml><?xml version="1.0" encoding="utf-8"?>
<ds:datastoreItem xmlns:ds="http://schemas.openxmlformats.org/officeDocument/2006/customXml" ds:itemID="{676233B1-CC29-4F88-B7CE-CADE185B25FD}"/>
</file>

<file path=customXml/itemProps5.xml><?xml version="1.0" encoding="utf-8"?>
<ds:datastoreItem xmlns:ds="http://schemas.openxmlformats.org/officeDocument/2006/customXml" ds:itemID="{7E44CEB6-5665-445C-87DE-09B4C1502A58}"/>
</file>

<file path=customXml/itemProps6.xml><?xml version="1.0" encoding="utf-8"?>
<ds:datastoreItem xmlns:ds="http://schemas.openxmlformats.org/officeDocument/2006/customXml" ds:itemID="{824D15F5-60F3-48F3-9D7F-23E6CE5C02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1270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Vasco Henao, Oscar Dario</dc:creator>
  <cp:keywords/>
  <cp:lastModifiedBy>Vasco Henao, Oscar Dario</cp:lastModifiedBy>
  <cp:revision>2</cp:revision>
  <dcterms:created xsi:type="dcterms:W3CDTF">2020-06-17T04:07:00Z</dcterms:created>
  <dcterms:modified xsi:type="dcterms:W3CDTF">2020-06-17T04:07:00Z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228;#TRADE FACILITATION TRADE LOGISTICS AND CUSTOMS|63421c8f-8163-4512-8241-166181a16906</vt:lpwstr>
  </property>
  <property fmtid="{D5CDD505-2E9C-101B-9397-08002B2CF9AE}" pid="7" name="Fund IDB">
    <vt:lpwstr>203;#RIN|1f24c1c3-8b43-4567-b6c6-b7c857230d8b</vt:lpwstr>
  </property>
  <property fmtid="{D5CDD505-2E9C-101B-9397-08002B2CF9AE}" pid="8" name="Country">
    <vt:lpwstr>27;#Nicaragua|69900e44-351c-4695-b42f-d4fe027272ef</vt:lpwstr>
  </property>
  <property fmtid="{D5CDD505-2E9C-101B-9397-08002B2CF9AE}" pid="9" name="Sector IDB">
    <vt:lpwstr>227;#TRADE|4f84c989-30b4-4e40-b7c1-3021a996f7c5</vt:lpwstr>
  </property>
  <property fmtid="{D5CDD505-2E9C-101B-9397-08002B2CF9AE}" pid="10" name="Function Operations IDB">
    <vt:lpwstr>2;#Project Preparation Planning and Design|29ca0c72-1fc4-435f-a09c-28585cb5eac9</vt:lpwstr>
  </property>
  <property fmtid="{D5CDD505-2E9C-101B-9397-08002B2CF9AE}" pid="11" name="_dlc_DocIdItemGuid">
    <vt:lpwstr>1827041a-d649-4382-93a1-4c5f3e9dc04e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0x0101001A458A224826124E8B45B1D613300CFC00236B6E687798E94ABDA0613FAC18846C</vt:lpwstr>
  </property>
</Properties>
</file>