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E2E6D9" w14:textId="3DC50386" w:rsidR="000315FE" w:rsidRPr="004B3DF0" w:rsidRDefault="00426D7C" w:rsidP="00894A9E">
      <w:pPr>
        <w:pStyle w:val="Heading2"/>
        <w:rPr>
          <w:lang w:val="es-ES"/>
        </w:rPr>
      </w:pPr>
      <w:r>
        <w:rPr>
          <w:lang w:val="es-ES"/>
        </w:rPr>
        <w:t xml:space="preserve">Octubre </w:t>
      </w:r>
      <w:r w:rsidR="000D77CA">
        <w:rPr>
          <w:lang w:val="es-ES"/>
        </w:rPr>
        <w:t>13</w:t>
      </w:r>
      <w:r w:rsidR="000315FE" w:rsidRPr="004B3DF0">
        <w:rPr>
          <w:lang w:val="es-ES"/>
        </w:rPr>
        <w:t>, 2017</w:t>
      </w:r>
    </w:p>
    <w:p w14:paraId="6C8748C6" w14:textId="77777777" w:rsidR="000315FE" w:rsidRDefault="000315FE" w:rsidP="000315FE">
      <w:pPr>
        <w:rPr>
          <w:rFonts w:ascii="Arial" w:hAnsi="Arial" w:cs="Arial"/>
          <w:b/>
          <w:bCs/>
          <w:lang w:val="es-ES"/>
        </w:rPr>
      </w:pPr>
    </w:p>
    <w:p w14:paraId="41389067" w14:textId="77777777" w:rsidR="0052355A" w:rsidRPr="00166580" w:rsidRDefault="0052355A" w:rsidP="0052355A">
      <w:pPr>
        <w:jc w:val="both"/>
        <w:rPr>
          <w:b/>
          <w:sz w:val="28"/>
          <w:lang w:val="es-MX"/>
        </w:rPr>
      </w:pPr>
    </w:p>
    <w:p w14:paraId="32089583" w14:textId="77777777" w:rsidR="0052355A" w:rsidRPr="00166580" w:rsidRDefault="0052355A" w:rsidP="0052355A">
      <w:pPr>
        <w:jc w:val="both"/>
        <w:rPr>
          <w:b/>
          <w:sz w:val="28"/>
          <w:lang w:val="es-MX"/>
        </w:rPr>
      </w:pPr>
    </w:p>
    <w:p w14:paraId="0E5C911E" w14:textId="77777777" w:rsidR="0052355A" w:rsidRPr="00166580" w:rsidRDefault="0052355A" w:rsidP="0052355A">
      <w:pPr>
        <w:jc w:val="both"/>
        <w:rPr>
          <w:b/>
          <w:sz w:val="28"/>
          <w:lang w:val="es-MX"/>
        </w:rPr>
      </w:pPr>
    </w:p>
    <w:p w14:paraId="1037ED2A" w14:textId="77777777" w:rsidR="0052355A" w:rsidRPr="00166580" w:rsidRDefault="0052355A" w:rsidP="0052355A">
      <w:pPr>
        <w:jc w:val="both"/>
        <w:rPr>
          <w:b/>
          <w:sz w:val="28"/>
          <w:lang w:val="es-MX"/>
        </w:rPr>
      </w:pPr>
    </w:p>
    <w:p w14:paraId="4C921FC0" w14:textId="0E517109" w:rsidR="0052355A" w:rsidRPr="00903982" w:rsidRDefault="0052355A" w:rsidP="0052355A">
      <w:pPr>
        <w:jc w:val="center"/>
        <w:rPr>
          <w:b/>
          <w:sz w:val="32"/>
          <w:lang w:val="es-ES_tradnl"/>
        </w:rPr>
      </w:pPr>
      <w:r w:rsidRPr="00903982">
        <w:rPr>
          <w:b/>
          <w:sz w:val="32"/>
          <w:lang w:val="es-ES_tradnl"/>
        </w:rPr>
        <w:t xml:space="preserve">Informe </w:t>
      </w:r>
      <w:r w:rsidR="000D77CA">
        <w:rPr>
          <w:b/>
          <w:sz w:val="32"/>
          <w:lang w:val="es-ES_tradnl"/>
        </w:rPr>
        <w:t>Final</w:t>
      </w:r>
    </w:p>
    <w:p w14:paraId="1CD8EB22" w14:textId="77777777" w:rsidR="0052355A" w:rsidRPr="00903982" w:rsidRDefault="0052355A" w:rsidP="0052355A">
      <w:pPr>
        <w:jc w:val="center"/>
        <w:rPr>
          <w:b/>
          <w:sz w:val="32"/>
          <w:lang w:val="es-ES_tradnl"/>
        </w:rPr>
      </w:pPr>
    </w:p>
    <w:p w14:paraId="48C13DC9" w14:textId="383866B5" w:rsidR="0052355A" w:rsidRDefault="0052355A" w:rsidP="0052355A">
      <w:pPr>
        <w:jc w:val="center"/>
        <w:rPr>
          <w:b/>
          <w:sz w:val="56"/>
          <w:lang w:val="es-ES_tradnl"/>
        </w:rPr>
      </w:pPr>
      <w:r w:rsidRPr="00903982">
        <w:rPr>
          <w:b/>
          <w:sz w:val="56"/>
          <w:lang w:val="es-ES_tradnl"/>
        </w:rPr>
        <w:t xml:space="preserve">México - </w:t>
      </w:r>
      <w:r>
        <w:rPr>
          <w:b/>
          <w:sz w:val="56"/>
          <w:lang w:val="es-ES_tradnl"/>
        </w:rPr>
        <w:t>A</w:t>
      </w:r>
      <w:r w:rsidRPr="001D305D">
        <w:rPr>
          <w:b/>
          <w:sz w:val="56"/>
          <w:lang w:val="es-ES_tradnl"/>
        </w:rPr>
        <w:t xml:space="preserve">nálisis costo-beneficio del </w:t>
      </w:r>
      <w:r w:rsidR="00ED1432">
        <w:rPr>
          <w:b/>
          <w:sz w:val="56"/>
          <w:lang w:val="es-ES_tradnl"/>
        </w:rPr>
        <w:t>Proyecto</w:t>
      </w:r>
      <w:r w:rsidRPr="001D305D">
        <w:rPr>
          <w:b/>
          <w:sz w:val="56"/>
          <w:lang w:val="es-ES_tradnl"/>
        </w:rPr>
        <w:t xml:space="preserve"> de Eficiencia Energética en Edificios de Oficinas de la Administración Pública Federal (EOAPF).</w:t>
      </w:r>
    </w:p>
    <w:p w14:paraId="386C17F8" w14:textId="77777777" w:rsidR="0052355A" w:rsidRDefault="0052355A" w:rsidP="0052355A">
      <w:pPr>
        <w:jc w:val="center"/>
        <w:rPr>
          <w:b/>
          <w:sz w:val="56"/>
          <w:lang w:val="es-ES_tradnl"/>
        </w:rPr>
      </w:pPr>
    </w:p>
    <w:p w14:paraId="25E057AB" w14:textId="77777777" w:rsidR="0052355A" w:rsidRPr="00903982" w:rsidRDefault="0052355A" w:rsidP="0052355A">
      <w:pPr>
        <w:jc w:val="center"/>
        <w:rPr>
          <w:b/>
          <w:sz w:val="32"/>
          <w:lang w:val="es-ES_tradnl"/>
        </w:rPr>
      </w:pPr>
      <w:r w:rsidRPr="00903982">
        <w:rPr>
          <w:b/>
          <w:sz w:val="32"/>
          <w:lang w:val="es-ES_tradnl"/>
        </w:rPr>
        <w:t>Preparado a solicitud del Banco Interamericano de Desarrollo</w:t>
      </w:r>
    </w:p>
    <w:p w14:paraId="2A8FF50B" w14:textId="3C47F6D0" w:rsidR="0052355A" w:rsidRPr="00903982" w:rsidRDefault="00087B63" w:rsidP="00087B63">
      <w:pPr>
        <w:tabs>
          <w:tab w:val="left" w:pos="6420"/>
        </w:tabs>
        <w:jc w:val="both"/>
        <w:rPr>
          <w:lang w:val="es-ES_tradnl"/>
        </w:rPr>
      </w:pPr>
      <w:r>
        <w:rPr>
          <w:lang w:val="es-ES_tradnl"/>
        </w:rPr>
        <w:tab/>
      </w:r>
    </w:p>
    <w:p w14:paraId="6FB86A21" w14:textId="77777777" w:rsidR="0052355A" w:rsidRPr="00903982" w:rsidRDefault="0052355A" w:rsidP="0052355A">
      <w:pPr>
        <w:jc w:val="both"/>
        <w:rPr>
          <w:lang w:val="es-ES_tradnl"/>
        </w:rPr>
      </w:pPr>
    </w:p>
    <w:p w14:paraId="10CC6A9A" w14:textId="77777777" w:rsidR="0052355A" w:rsidRPr="00903982" w:rsidRDefault="0052355A" w:rsidP="0052355A">
      <w:pPr>
        <w:jc w:val="both"/>
        <w:rPr>
          <w:lang w:val="es-ES_tradnl"/>
        </w:rPr>
      </w:pPr>
    </w:p>
    <w:p w14:paraId="0D225E1B" w14:textId="77777777" w:rsidR="0052355A" w:rsidRPr="00903982" w:rsidRDefault="0052355A" w:rsidP="0052355A">
      <w:pPr>
        <w:jc w:val="both"/>
        <w:rPr>
          <w:lang w:val="es-ES_tradnl"/>
        </w:rPr>
      </w:pPr>
    </w:p>
    <w:p w14:paraId="7A80E236" w14:textId="58DB2824" w:rsidR="0052355A" w:rsidRPr="00903982" w:rsidRDefault="0052355A" w:rsidP="0052355A">
      <w:pPr>
        <w:jc w:val="right"/>
        <w:rPr>
          <w:lang w:val="es-ES_tradnl"/>
        </w:rPr>
      </w:pPr>
      <w:r>
        <w:rPr>
          <w:lang w:val="es-ES_tradnl"/>
        </w:rPr>
        <w:t>Elaborado por</w:t>
      </w:r>
      <w:r w:rsidRPr="00903982">
        <w:rPr>
          <w:lang w:val="es-ES_tradnl"/>
        </w:rPr>
        <w:t xml:space="preserve">: </w:t>
      </w:r>
      <w:r>
        <w:rPr>
          <w:lang w:val="es-ES_tradnl"/>
        </w:rPr>
        <w:t>Oscar González</w:t>
      </w:r>
      <w:r w:rsidR="0043472D">
        <w:rPr>
          <w:lang w:val="es-ES_tradnl"/>
        </w:rPr>
        <w:t xml:space="preserve"> Rivera</w:t>
      </w:r>
    </w:p>
    <w:p w14:paraId="3D73187F" w14:textId="4D009E57" w:rsidR="0052355A" w:rsidRPr="00903982" w:rsidRDefault="0052355A" w:rsidP="0052355A">
      <w:pPr>
        <w:jc w:val="right"/>
        <w:rPr>
          <w:lang w:val="es-ES_tradnl"/>
        </w:rPr>
      </w:pPr>
      <w:r w:rsidRPr="00903982">
        <w:rPr>
          <w:lang w:val="es-ES_tradnl"/>
        </w:rPr>
        <w:t xml:space="preserve">Fecha: </w:t>
      </w:r>
      <w:r w:rsidR="000D77CA">
        <w:rPr>
          <w:lang w:val="es-ES_tradnl"/>
        </w:rPr>
        <w:t>13</w:t>
      </w:r>
      <w:r w:rsidR="007D46C8">
        <w:rPr>
          <w:lang w:val="es-ES_tradnl"/>
        </w:rPr>
        <w:t xml:space="preserve"> de octubre</w:t>
      </w:r>
      <w:r w:rsidR="0078387C">
        <w:rPr>
          <w:lang w:val="es-ES_tradnl"/>
        </w:rPr>
        <w:t xml:space="preserve"> </w:t>
      </w:r>
      <w:r w:rsidRPr="00903982">
        <w:rPr>
          <w:lang w:val="es-ES_tradnl"/>
        </w:rPr>
        <w:t>de 2017</w:t>
      </w:r>
    </w:p>
    <w:p w14:paraId="037F82C1" w14:textId="77777777" w:rsidR="0052355A" w:rsidRPr="00903982" w:rsidRDefault="0052355A" w:rsidP="0052355A">
      <w:pPr>
        <w:rPr>
          <w:lang w:val="es-ES_tradnl"/>
        </w:rPr>
      </w:pPr>
      <w:r w:rsidRPr="00903982">
        <w:rPr>
          <w:lang w:val="es-ES_tradnl"/>
        </w:rPr>
        <w:br w:type="page"/>
      </w:r>
    </w:p>
    <w:sdt>
      <w:sdtPr>
        <w:rPr>
          <w:rFonts w:asciiTheme="minorHAnsi" w:eastAsiaTheme="minorHAnsi" w:hAnsiTheme="minorHAnsi" w:cs="Times New Roman"/>
          <w:color w:val="auto"/>
          <w:sz w:val="20"/>
          <w:szCs w:val="24"/>
          <w:lang w:val="es-ES_tradnl" w:eastAsia="en-US"/>
        </w:rPr>
        <w:id w:val="1060600324"/>
        <w:docPartObj>
          <w:docPartGallery w:val="Table of Contents"/>
          <w:docPartUnique/>
        </w:docPartObj>
      </w:sdtPr>
      <w:sdtEndPr>
        <w:rPr>
          <w:rFonts w:cstheme="minorBidi"/>
          <w:szCs w:val="22"/>
        </w:rPr>
      </w:sdtEndPr>
      <w:sdtContent>
        <w:p w14:paraId="4DC7C595" w14:textId="77777777" w:rsidR="0052355A" w:rsidRPr="00903982" w:rsidRDefault="0052355A" w:rsidP="0052355A">
          <w:pPr>
            <w:pStyle w:val="TOCHeading"/>
            <w:rPr>
              <w:rStyle w:val="Heading1Char"/>
              <w:lang w:val="es-ES_tradnl"/>
            </w:rPr>
          </w:pPr>
          <w:r w:rsidRPr="00903982">
            <w:rPr>
              <w:rStyle w:val="Heading1Char"/>
              <w:lang w:val="es-ES_tradnl"/>
            </w:rPr>
            <w:t>Tabla de Contenido</w:t>
          </w:r>
        </w:p>
        <w:p w14:paraId="03F3CA10" w14:textId="77777777" w:rsidR="0052355A" w:rsidRPr="00903982" w:rsidRDefault="0052355A" w:rsidP="0052355A">
          <w:pPr>
            <w:rPr>
              <w:sz w:val="20"/>
              <w:lang w:val="es-ES_tradnl"/>
            </w:rPr>
          </w:pPr>
        </w:p>
        <w:p w14:paraId="3A9B6EA0" w14:textId="3D602820" w:rsidR="0052355A" w:rsidRPr="00903982" w:rsidRDefault="00E97E2E" w:rsidP="0052355A">
          <w:pPr>
            <w:rPr>
              <w:sz w:val="20"/>
              <w:lang w:val="es-ES_tradnl"/>
            </w:rPr>
          </w:pPr>
          <w:r>
            <w:rPr>
              <w:sz w:val="20"/>
              <w:lang w:val="es-ES_tradnl"/>
            </w:rPr>
            <w:t>Resumen Ejecutivo</w:t>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t xml:space="preserve">            4</w:t>
          </w:r>
        </w:p>
        <w:p w14:paraId="77EFCD68" w14:textId="77777777" w:rsidR="0052355A" w:rsidRPr="00903982" w:rsidRDefault="0052355A" w:rsidP="0052355A">
          <w:pPr>
            <w:rPr>
              <w:sz w:val="20"/>
              <w:lang w:val="es-ES_tradnl"/>
            </w:rPr>
          </w:pPr>
        </w:p>
        <w:p w14:paraId="45A81474" w14:textId="72D29A6A" w:rsidR="0052355A" w:rsidRPr="00903982" w:rsidRDefault="00E97E2E" w:rsidP="0052355A">
          <w:pPr>
            <w:rPr>
              <w:sz w:val="20"/>
              <w:lang w:val="es-ES_tradnl"/>
            </w:rPr>
          </w:pPr>
          <w:r>
            <w:rPr>
              <w:sz w:val="20"/>
              <w:lang w:val="es-ES_tradnl"/>
            </w:rPr>
            <w:t xml:space="preserve">Fundamentos </w:t>
          </w:r>
          <w:r w:rsidR="00087B63">
            <w:rPr>
              <w:sz w:val="20"/>
              <w:lang w:val="es-ES_tradnl"/>
            </w:rPr>
            <w:t>del Modelo</w:t>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t xml:space="preserve">            </w:t>
          </w:r>
          <w:r w:rsidR="00F3346B">
            <w:rPr>
              <w:sz w:val="20"/>
              <w:lang w:val="es-ES_tradnl"/>
            </w:rPr>
            <w:t>7</w:t>
          </w:r>
        </w:p>
        <w:p w14:paraId="5C2581C7" w14:textId="77777777" w:rsidR="0052355A" w:rsidRPr="00903982" w:rsidRDefault="0052355A" w:rsidP="0052355A">
          <w:pPr>
            <w:rPr>
              <w:sz w:val="20"/>
              <w:lang w:val="es-ES_tradnl"/>
            </w:rPr>
          </w:pPr>
        </w:p>
        <w:p w14:paraId="25F08EC1" w14:textId="0A8E3E76" w:rsidR="0052355A" w:rsidRPr="00903982" w:rsidRDefault="00E97E2E" w:rsidP="0052355A">
          <w:pPr>
            <w:rPr>
              <w:sz w:val="20"/>
              <w:lang w:val="es-ES_tradnl"/>
            </w:rPr>
          </w:pPr>
          <w:r>
            <w:rPr>
              <w:sz w:val="20"/>
              <w:lang w:val="es-ES_tradnl"/>
            </w:rPr>
            <w:t>Consideraci</w:t>
          </w:r>
          <w:r w:rsidR="00087B63">
            <w:rPr>
              <w:sz w:val="20"/>
              <w:lang w:val="es-ES_tradnl"/>
            </w:rPr>
            <w:t>ones clave</w:t>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t xml:space="preserve">            </w:t>
          </w:r>
          <w:r w:rsidR="00F3346B">
            <w:rPr>
              <w:sz w:val="20"/>
              <w:lang w:val="es-ES_tradnl"/>
            </w:rPr>
            <w:t>9</w:t>
          </w:r>
        </w:p>
        <w:p w14:paraId="18A14554" w14:textId="77777777" w:rsidR="0052355A" w:rsidRPr="00903982" w:rsidRDefault="0052355A" w:rsidP="0052355A">
          <w:pPr>
            <w:rPr>
              <w:sz w:val="20"/>
              <w:lang w:val="es-ES_tradnl"/>
            </w:rPr>
          </w:pPr>
        </w:p>
        <w:p w14:paraId="7DED585E" w14:textId="38BED7F7" w:rsidR="0052355A" w:rsidRPr="00903982" w:rsidRDefault="00E97E2E" w:rsidP="0052355A">
          <w:pPr>
            <w:rPr>
              <w:sz w:val="20"/>
              <w:lang w:val="es-ES_tradnl"/>
            </w:rPr>
          </w:pPr>
          <w:r>
            <w:rPr>
              <w:sz w:val="20"/>
              <w:lang w:val="es-ES_tradnl"/>
            </w:rPr>
            <w:t>Caso base</w:t>
          </w:r>
          <w:r>
            <w:rPr>
              <w:sz w:val="20"/>
              <w:lang w:val="es-ES_tradnl"/>
            </w:rPr>
            <w:tab/>
          </w:r>
          <w:r>
            <w:rPr>
              <w:sz w:val="20"/>
              <w:lang w:val="es-ES_tradnl"/>
            </w:rPr>
            <w:tab/>
          </w:r>
          <w:r w:rsidR="0052355A" w:rsidRPr="00903982">
            <w:rPr>
              <w:sz w:val="20"/>
              <w:lang w:val="es-ES_tradnl"/>
            </w:rPr>
            <w:t xml:space="preserve"> </w:t>
          </w:r>
          <w:r w:rsidR="0052355A" w:rsidRPr="00903982">
            <w:rPr>
              <w:sz w:val="20"/>
              <w:lang w:val="es-ES_tradnl"/>
            </w:rPr>
            <w:tab/>
          </w:r>
          <w:r w:rsidR="0052355A" w:rsidRPr="00903982">
            <w:rPr>
              <w:sz w:val="20"/>
              <w:lang w:val="es-ES_tradnl"/>
            </w:rPr>
            <w:tab/>
          </w:r>
          <w:r w:rsidR="0052355A" w:rsidRPr="00903982">
            <w:rPr>
              <w:sz w:val="20"/>
              <w:lang w:val="es-ES_tradnl"/>
            </w:rPr>
            <w:tab/>
          </w:r>
          <w:r w:rsidR="0052355A" w:rsidRPr="00903982">
            <w:rPr>
              <w:sz w:val="20"/>
              <w:lang w:val="es-ES_tradnl"/>
            </w:rPr>
            <w:tab/>
          </w:r>
          <w:r w:rsidR="00087B63">
            <w:rPr>
              <w:sz w:val="20"/>
              <w:lang w:val="es-ES_tradnl"/>
            </w:rPr>
            <w:tab/>
          </w:r>
          <w:r w:rsidR="00087B63">
            <w:rPr>
              <w:sz w:val="20"/>
              <w:lang w:val="es-ES_tradnl"/>
            </w:rPr>
            <w:tab/>
          </w:r>
          <w:r w:rsidR="00087B63">
            <w:rPr>
              <w:sz w:val="20"/>
              <w:lang w:val="es-ES_tradnl"/>
            </w:rPr>
            <w:tab/>
            <w:t xml:space="preserve">                           1</w:t>
          </w:r>
          <w:r w:rsidR="00F3346B">
            <w:rPr>
              <w:sz w:val="20"/>
              <w:lang w:val="es-ES_tradnl"/>
            </w:rPr>
            <w:t>1</w:t>
          </w:r>
        </w:p>
        <w:p w14:paraId="1563F87A" w14:textId="77777777" w:rsidR="0052355A" w:rsidRPr="00903982" w:rsidRDefault="0052355A" w:rsidP="0052355A">
          <w:pPr>
            <w:rPr>
              <w:sz w:val="20"/>
              <w:lang w:val="es-ES_tradnl"/>
            </w:rPr>
          </w:pPr>
        </w:p>
        <w:p w14:paraId="37400A35" w14:textId="74305861" w:rsidR="0052355A" w:rsidRPr="00903982" w:rsidRDefault="00E97E2E" w:rsidP="0052355A">
          <w:pPr>
            <w:rPr>
              <w:sz w:val="20"/>
              <w:lang w:val="es-ES_tradnl"/>
            </w:rPr>
          </w:pPr>
          <w:r w:rsidRPr="00E97E2E">
            <w:rPr>
              <w:sz w:val="20"/>
              <w:lang w:val="es-ES_tradnl"/>
            </w:rPr>
            <w:t>Análisis de sensibilidad</w:t>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r>
          <w:r w:rsidR="00087B63">
            <w:rPr>
              <w:sz w:val="20"/>
              <w:lang w:val="es-ES_tradnl"/>
            </w:rPr>
            <w:tab/>
            <w:t xml:space="preserve">           1</w:t>
          </w:r>
          <w:r w:rsidR="00F3346B">
            <w:rPr>
              <w:sz w:val="20"/>
              <w:lang w:val="es-ES_tradnl"/>
            </w:rPr>
            <w:t>3</w:t>
          </w:r>
        </w:p>
        <w:p w14:paraId="2ED45B56" w14:textId="77777777" w:rsidR="0052355A" w:rsidRPr="00903982" w:rsidRDefault="0052355A" w:rsidP="0052355A">
          <w:pPr>
            <w:rPr>
              <w:sz w:val="20"/>
              <w:lang w:val="es-ES_tradnl"/>
            </w:rPr>
          </w:pPr>
        </w:p>
        <w:p w14:paraId="23C0C20B" w14:textId="06F2409E" w:rsidR="0052355A" w:rsidRPr="00903982" w:rsidRDefault="00E97E2E" w:rsidP="003B0605">
          <w:pPr>
            <w:rPr>
              <w:sz w:val="20"/>
              <w:lang w:val="es-ES_tradnl"/>
            </w:rPr>
          </w:pPr>
          <w:r w:rsidRPr="00E97E2E">
            <w:rPr>
              <w:sz w:val="20"/>
              <w:lang w:val="es-ES_tradnl"/>
            </w:rPr>
            <w:t>Conclusiones</w:t>
          </w:r>
          <w:r w:rsidR="003B0605">
            <w:rPr>
              <w:sz w:val="20"/>
              <w:lang w:val="es-ES_tradnl"/>
            </w:rPr>
            <w:t xml:space="preserve">                        </w:t>
          </w:r>
          <w:r>
            <w:rPr>
              <w:sz w:val="20"/>
              <w:lang w:val="es-ES_tradnl"/>
            </w:rPr>
            <w:t xml:space="preserve"> </w:t>
          </w:r>
          <w:r>
            <w:rPr>
              <w:sz w:val="20"/>
              <w:lang w:val="es-ES_tradnl"/>
            </w:rPr>
            <w:tab/>
          </w:r>
          <w:r>
            <w:rPr>
              <w:sz w:val="20"/>
              <w:lang w:val="es-ES_tradnl"/>
            </w:rPr>
            <w:tab/>
          </w:r>
          <w:r>
            <w:rPr>
              <w:sz w:val="20"/>
              <w:lang w:val="es-ES_tradnl"/>
            </w:rPr>
            <w:tab/>
          </w:r>
          <w:r>
            <w:rPr>
              <w:sz w:val="20"/>
              <w:lang w:val="es-ES_tradnl"/>
            </w:rPr>
            <w:tab/>
          </w:r>
          <w:r>
            <w:rPr>
              <w:sz w:val="20"/>
              <w:lang w:val="es-ES_tradnl"/>
            </w:rPr>
            <w:tab/>
          </w:r>
          <w:r>
            <w:rPr>
              <w:sz w:val="20"/>
              <w:lang w:val="es-ES_tradnl"/>
            </w:rPr>
            <w:tab/>
          </w:r>
          <w:r w:rsidR="00087B63">
            <w:rPr>
              <w:sz w:val="20"/>
              <w:lang w:val="es-ES_tradnl"/>
            </w:rPr>
            <w:tab/>
          </w:r>
          <w:r w:rsidR="00087B63">
            <w:rPr>
              <w:sz w:val="20"/>
              <w:lang w:val="es-ES_tradnl"/>
            </w:rPr>
            <w:tab/>
          </w:r>
          <w:r w:rsidR="00087B63">
            <w:rPr>
              <w:sz w:val="20"/>
              <w:lang w:val="es-ES_tradnl"/>
            </w:rPr>
            <w:tab/>
            <w:t>14</w:t>
          </w:r>
        </w:p>
      </w:sdtContent>
    </w:sdt>
    <w:p w14:paraId="34E0E4A2" w14:textId="77777777" w:rsidR="0052355A" w:rsidRPr="00903982" w:rsidRDefault="0052355A" w:rsidP="0052355A">
      <w:pPr>
        <w:rPr>
          <w:b/>
          <w:bCs/>
          <w:sz w:val="20"/>
          <w:lang w:val="es-ES_tradnl"/>
        </w:rPr>
      </w:pPr>
      <w:r w:rsidRPr="00903982">
        <w:rPr>
          <w:b/>
          <w:bCs/>
          <w:sz w:val="20"/>
          <w:lang w:val="es-ES_tradnl"/>
        </w:rPr>
        <w:br w:type="page"/>
      </w:r>
    </w:p>
    <w:p w14:paraId="7B6A9633" w14:textId="77777777" w:rsidR="0052355A" w:rsidRDefault="0052355A" w:rsidP="000315FE">
      <w:pPr>
        <w:rPr>
          <w:rFonts w:ascii="Arial" w:hAnsi="Arial" w:cs="Arial"/>
          <w:b/>
          <w:bCs/>
          <w:lang w:val="es-ES"/>
        </w:rPr>
      </w:pPr>
    </w:p>
    <w:p w14:paraId="33285A05" w14:textId="77777777" w:rsidR="0052355A" w:rsidRPr="00903982" w:rsidRDefault="0052355A" w:rsidP="0052355A">
      <w:pPr>
        <w:pStyle w:val="ListParagraph"/>
        <w:spacing w:after="100" w:afterAutospacing="1" w:line="240" w:lineRule="auto"/>
        <w:ind w:left="0"/>
        <w:jc w:val="both"/>
        <w:outlineLvl w:val="0"/>
        <w:rPr>
          <w:rFonts w:cs="Arial"/>
          <w:b/>
          <w:bCs/>
          <w:lang w:val="es-ES_tradnl"/>
        </w:rPr>
      </w:pPr>
      <w:r w:rsidRPr="00903982">
        <w:rPr>
          <w:rFonts w:cs="Arial"/>
          <w:b/>
          <w:bCs/>
          <w:lang w:val="es-ES_tradnl"/>
        </w:rPr>
        <w:t>Glosario</w:t>
      </w:r>
    </w:p>
    <w:p w14:paraId="2E123E2B" w14:textId="77777777" w:rsidR="0052355A" w:rsidRDefault="0052355A" w:rsidP="0052355A">
      <w:pPr>
        <w:pStyle w:val="ListParagraph"/>
        <w:spacing w:after="100" w:afterAutospacing="1" w:line="240" w:lineRule="auto"/>
        <w:ind w:left="0"/>
        <w:jc w:val="both"/>
        <w:outlineLvl w:val="0"/>
        <w:rPr>
          <w:rFonts w:cs="Arial"/>
          <w:bCs/>
          <w:lang w:val="es-ES_tradnl"/>
        </w:rPr>
      </w:pPr>
    </w:p>
    <w:p w14:paraId="0CE7D4FC" w14:textId="77777777" w:rsidR="0052355A" w:rsidRDefault="0052355A" w:rsidP="0052355A">
      <w:pPr>
        <w:pStyle w:val="ListParagraph"/>
        <w:spacing w:after="100" w:afterAutospacing="1" w:line="240" w:lineRule="auto"/>
        <w:ind w:left="0"/>
        <w:jc w:val="both"/>
        <w:outlineLvl w:val="0"/>
        <w:rPr>
          <w:rFonts w:cs="Arial"/>
          <w:bCs/>
          <w:lang w:val="es-ES_tradnl"/>
        </w:rPr>
      </w:pPr>
      <w:r>
        <w:rPr>
          <w:rFonts w:cs="Arial"/>
          <w:bCs/>
          <w:lang w:val="es-ES_tradnl"/>
        </w:rPr>
        <w:t>APF</w:t>
      </w:r>
      <w:r>
        <w:rPr>
          <w:rFonts w:cs="Arial"/>
          <w:bCs/>
          <w:lang w:val="es-ES_tradnl"/>
        </w:rPr>
        <w:tab/>
      </w:r>
      <w:r>
        <w:rPr>
          <w:rFonts w:cs="Arial"/>
          <w:bCs/>
          <w:lang w:val="es-ES_tradnl"/>
        </w:rPr>
        <w:tab/>
        <w:t>Administración Pública Federal</w:t>
      </w:r>
    </w:p>
    <w:p w14:paraId="34E28776" w14:textId="77777777" w:rsidR="0052355A" w:rsidRDefault="0052355A" w:rsidP="0052355A">
      <w:pPr>
        <w:pStyle w:val="ListParagraph"/>
        <w:spacing w:after="100" w:afterAutospacing="1" w:line="240" w:lineRule="auto"/>
        <w:ind w:left="0"/>
        <w:jc w:val="both"/>
        <w:outlineLvl w:val="0"/>
        <w:rPr>
          <w:rFonts w:cs="Arial"/>
          <w:bCs/>
          <w:lang w:val="es-ES_tradnl"/>
        </w:rPr>
      </w:pPr>
      <w:r>
        <w:rPr>
          <w:rFonts w:cs="Arial"/>
          <w:bCs/>
          <w:lang w:val="es-ES_tradnl"/>
        </w:rPr>
        <w:t>BID</w:t>
      </w:r>
      <w:r>
        <w:rPr>
          <w:rFonts w:cs="Arial"/>
          <w:bCs/>
          <w:lang w:val="es-ES_tradnl"/>
        </w:rPr>
        <w:tab/>
      </w:r>
      <w:r>
        <w:rPr>
          <w:rFonts w:cs="Arial"/>
          <w:bCs/>
          <w:lang w:val="es-ES_tradnl"/>
        </w:rPr>
        <w:tab/>
        <w:t>Banco Interamericano de Desarrollo</w:t>
      </w:r>
    </w:p>
    <w:p w14:paraId="71739161" w14:textId="77777777" w:rsidR="0052355A" w:rsidRDefault="0052355A" w:rsidP="0052355A">
      <w:pPr>
        <w:pStyle w:val="ListParagraph"/>
        <w:spacing w:after="100" w:afterAutospacing="1" w:line="240" w:lineRule="auto"/>
        <w:ind w:left="0"/>
        <w:jc w:val="both"/>
        <w:outlineLvl w:val="0"/>
        <w:rPr>
          <w:rFonts w:cs="Arial"/>
          <w:bCs/>
          <w:lang w:val="es-ES_tradnl"/>
        </w:rPr>
      </w:pPr>
      <w:r w:rsidRPr="00903982">
        <w:rPr>
          <w:rFonts w:cs="Arial"/>
          <w:bCs/>
          <w:lang w:val="es-ES_tradnl"/>
        </w:rPr>
        <w:t>CONUEE</w:t>
      </w:r>
      <w:r w:rsidRPr="00903982">
        <w:rPr>
          <w:rFonts w:cs="Arial"/>
          <w:bCs/>
          <w:lang w:val="es-ES_tradnl"/>
        </w:rPr>
        <w:tab/>
      </w:r>
      <w:proofErr w:type="spellStart"/>
      <w:r w:rsidRPr="00903982">
        <w:rPr>
          <w:rFonts w:cs="Arial"/>
          <w:bCs/>
          <w:lang w:val="es-ES_tradnl"/>
        </w:rPr>
        <w:t>Comisión</w:t>
      </w:r>
      <w:proofErr w:type="spellEnd"/>
      <w:r w:rsidRPr="00903982">
        <w:rPr>
          <w:rFonts w:cs="Arial"/>
          <w:bCs/>
          <w:lang w:val="es-ES_tradnl"/>
        </w:rPr>
        <w:t xml:space="preserve"> Nacional para el Uso Eficiente de la </w:t>
      </w:r>
      <w:proofErr w:type="spellStart"/>
      <w:r w:rsidRPr="00903982">
        <w:rPr>
          <w:rFonts w:cs="Arial"/>
          <w:bCs/>
          <w:lang w:val="es-ES_tradnl"/>
        </w:rPr>
        <w:t>Energía</w:t>
      </w:r>
      <w:proofErr w:type="spellEnd"/>
      <w:r w:rsidRPr="00903982">
        <w:rPr>
          <w:rFonts w:cs="Arial"/>
          <w:bCs/>
          <w:lang w:val="es-ES_tradnl"/>
        </w:rPr>
        <w:t xml:space="preserve"> </w:t>
      </w:r>
    </w:p>
    <w:p w14:paraId="799D3C6F" w14:textId="77777777" w:rsidR="0052355A" w:rsidRDefault="0052355A" w:rsidP="0052355A">
      <w:pPr>
        <w:pStyle w:val="ListParagraph"/>
        <w:spacing w:after="100" w:afterAutospacing="1" w:line="240" w:lineRule="auto"/>
        <w:ind w:left="0"/>
        <w:jc w:val="both"/>
        <w:outlineLvl w:val="0"/>
        <w:rPr>
          <w:rFonts w:cs="Arial"/>
          <w:bCs/>
          <w:lang w:val="es-ES_tradnl"/>
        </w:rPr>
      </w:pPr>
      <w:r>
        <w:rPr>
          <w:rFonts w:cs="Arial"/>
          <w:bCs/>
          <w:lang w:val="es-ES_tradnl"/>
        </w:rPr>
        <w:t>EE</w:t>
      </w:r>
      <w:r>
        <w:rPr>
          <w:rFonts w:cs="Arial"/>
          <w:bCs/>
          <w:lang w:val="es-ES_tradnl"/>
        </w:rPr>
        <w:tab/>
      </w:r>
      <w:r>
        <w:rPr>
          <w:rFonts w:cs="Arial"/>
          <w:bCs/>
          <w:lang w:val="es-ES_tradnl"/>
        </w:rPr>
        <w:tab/>
        <w:t>Eficiencia Energética</w:t>
      </w:r>
    </w:p>
    <w:p w14:paraId="20245474" w14:textId="77777777" w:rsidR="0052355A" w:rsidRDefault="0052355A" w:rsidP="0052355A">
      <w:pPr>
        <w:pStyle w:val="ListParagraph"/>
        <w:spacing w:after="100" w:afterAutospacing="1" w:line="240" w:lineRule="auto"/>
        <w:ind w:left="0"/>
        <w:jc w:val="both"/>
        <w:outlineLvl w:val="0"/>
        <w:rPr>
          <w:rFonts w:cs="Arial"/>
          <w:bCs/>
          <w:lang w:val="es-ES_tradnl"/>
        </w:rPr>
      </w:pPr>
      <w:r>
        <w:rPr>
          <w:rFonts w:cs="Arial"/>
          <w:bCs/>
          <w:lang w:val="es-ES_tradnl"/>
        </w:rPr>
        <w:t>EOAPF</w:t>
      </w:r>
      <w:r>
        <w:rPr>
          <w:rFonts w:cs="Arial"/>
          <w:bCs/>
          <w:lang w:val="es-ES_tradnl"/>
        </w:rPr>
        <w:tab/>
      </w:r>
      <w:r>
        <w:rPr>
          <w:rFonts w:cs="Arial"/>
          <w:bCs/>
          <w:lang w:val="es-ES_tradnl"/>
        </w:rPr>
        <w:tab/>
        <w:t>Edificios de Oficinas de la Administración Pública Federal</w:t>
      </w:r>
    </w:p>
    <w:p w14:paraId="2CC8AFCC" w14:textId="77777777" w:rsidR="0052355A" w:rsidRDefault="0052355A" w:rsidP="0052355A">
      <w:pPr>
        <w:pStyle w:val="ListParagraph"/>
        <w:spacing w:after="100" w:afterAutospacing="1" w:line="240" w:lineRule="auto"/>
        <w:ind w:left="0"/>
        <w:jc w:val="both"/>
        <w:outlineLvl w:val="0"/>
        <w:rPr>
          <w:rFonts w:cs="Arial"/>
          <w:bCs/>
          <w:lang w:val="es-ES_tradnl"/>
        </w:rPr>
      </w:pPr>
      <w:r>
        <w:rPr>
          <w:rFonts w:cs="Arial"/>
          <w:bCs/>
          <w:lang w:val="es-ES_tradnl"/>
        </w:rPr>
        <w:t>GdM</w:t>
      </w:r>
      <w:r>
        <w:rPr>
          <w:rFonts w:cs="Arial"/>
          <w:bCs/>
          <w:lang w:val="es-ES_tradnl"/>
        </w:rPr>
        <w:tab/>
      </w:r>
      <w:r>
        <w:rPr>
          <w:rFonts w:cs="Arial"/>
          <w:bCs/>
          <w:lang w:val="es-ES_tradnl"/>
        </w:rPr>
        <w:tab/>
        <w:t>Gobierno de México</w:t>
      </w:r>
    </w:p>
    <w:p w14:paraId="2A0CEDCB" w14:textId="77777777" w:rsidR="0052355A" w:rsidRDefault="0052355A" w:rsidP="0052355A">
      <w:pPr>
        <w:pStyle w:val="ListParagraph"/>
        <w:spacing w:after="100" w:afterAutospacing="1" w:line="240" w:lineRule="auto"/>
        <w:ind w:left="0"/>
        <w:jc w:val="both"/>
        <w:outlineLvl w:val="0"/>
        <w:rPr>
          <w:rFonts w:cs="Arial"/>
          <w:bCs/>
          <w:lang w:val="es-ES_tradnl"/>
        </w:rPr>
      </w:pPr>
      <w:r>
        <w:rPr>
          <w:rFonts w:cs="Arial"/>
          <w:bCs/>
          <w:lang w:val="es-ES_tradnl"/>
        </w:rPr>
        <w:t>GEI</w:t>
      </w:r>
      <w:r>
        <w:rPr>
          <w:rFonts w:cs="Arial"/>
          <w:bCs/>
          <w:lang w:val="es-ES_tradnl"/>
        </w:rPr>
        <w:tab/>
      </w:r>
      <w:r>
        <w:rPr>
          <w:rFonts w:cs="Arial"/>
          <w:bCs/>
          <w:lang w:val="es-ES_tradnl"/>
        </w:rPr>
        <w:tab/>
        <w:t>Gases de Efecto Invernadero</w:t>
      </w:r>
    </w:p>
    <w:p w14:paraId="4D0B3F90" w14:textId="77777777" w:rsidR="0052355A" w:rsidRDefault="0052355A" w:rsidP="0052355A">
      <w:pPr>
        <w:pStyle w:val="ListParagraph"/>
        <w:spacing w:after="100" w:afterAutospacing="1" w:line="240" w:lineRule="auto"/>
        <w:ind w:left="0"/>
        <w:jc w:val="both"/>
        <w:outlineLvl w:val="0"/>
        <w:rPr>
          <w:rFonts w:cs="Arial"/>
          <w:bCs/>
          <w:lang w:val="es-ES_tradnl"/>
        </w:rPr>
      </w:pPr>
      <w:r>
        <w:rPr>
          <w:rFonts w:cs="Arial"/>
          <w:bCs/>
          <w:lang w:val="es-ES_tradnl"/>
        </w:rPr>
        <w:t>MDD</w:t>
      </w:r>
      <w:r>
        <w:rPr>
          <w:rFonts w:cs="Arial"/>
          <w:bCs/>
          <w:lang w:val="es-ES_tradnl"/>
        </w:rPr>
        <w:tab/>
      </w:r>
      <w:r>
        <w:rPr>
          <w:rFonts w:cs="Arial"/>
          <w:bCs/>
          <w:lang w:val="es-ES_tradnl"/>
        </w:rPr>
        <w:tab/>
        <w:t>Millones de Dólares de los Estados Unidos de América</w:t>
      </w:r>
    </w:p>
    <w:p w14:paraId="439267B4" w14:textId="7F432DC5" w:rsidR="0052355A" w:rsidRDefault="0052355A" w:rsidP="0052355A">
      <w:pPr>
        <w:pStyle w:val="ListParagraph"/>
        <w:spacing w:after="100" w:afterAutospacing="1" w:line="240" w:lineRule="auto"/>
        <w:ind w:left="0"/>
        <w:jc w:val="both"/>
        <w:outlineLvl w:val="0"/>
        <w:rPr>
          <w:rFonts w:cs="Arial"/>
          <w:bCs/>
          <w:lang w:val="es-ES_tradnl"/>
        </w:rPr>
      </w:pPr>
      <w:r>
        <w:rPr>
          <w:rFonts w:cs="Arial"/>
          <w:bCs/>
          <w:lang w:val="es-ES_tradnl"/>
        </w:rPr>
        <w:t>M</w:t>
      </w:r>
      <w:r w:rsidR="0004521F">
        <w:rPr>
          <w:rFonts w:cs="Arial"/>
          <w:bCs/>
          <w:lang w:val="es-ES_tradnl"/>
        </w:rPr>
        <w:t>DP</w:t>
      </w:r>
      <w:r w:rsidR="0004521F">
        <w:rPr>
          <w:rFonts w:cs="Arial"/>
          <w:bCs/>
          <w:lang w:val="es-ES_tradnl"/>
        </w:rPr>
        <w:tab/>
      </w:r>
      <w:r w:rsidR="0004521F">
        <w:rPr>
          <w:rFonts w:cs="Arial"/>
          <w:bCs/>
          <w:lang w:val="es-ES_tradnl"/>
        </w:rPr>
        <w:tab/>
        <w:t>Millones de Pesos MX</w:t>
      </w:r>
      <w:r>
        <w:rPr>
          <w:rFonts w:cs="Arial"/>
          <w:bCs/>
          <w:lang w:val="es-ES_tradnl"/>
        </w:rPr>
        <w:t>N</w:t>
      </w:r>
    </w:p>
    <w:p w14:paraId="62A14FE9" w14:textId="77777777" w:rsidR="0052355A" w:rsidRDefault="0052355A" w:rsidP="0052355A">
      <w:pPr>
        <w:pStyle w:val="ListParagraph"/>
        <w:spacing w:after="100" w:afterAutospacing="1" w:line="240" w:lineRule="auto"/>
        <w:ind w:left="0"/>
        <w:jc w:val="both"/>
        <w:outlineLvl w:val="0"/>
        <w:rPr>
          <w:rFonts w:cs="Arial"/>
          <w:bCs/>
          <w:lang w:val="es-ES_tradnl"/>
        </w:rPr>
      </w:pPr>
      <w:r>
        <w:rPr>
          <w:rFonts w:cs="Arial"/>
          <w:bCs/>
          <w:lang w:val="es-ES_tradnl"/>
        </w:rPr>
        <w:t>MEE</w:t>
      </w:r>
      <w:r>
        <w:rPr>
          <w:rFonts w:cs="Arial"/>
          <w:bCs/>
          <w:lang w:val="es-ES_tradnl"/>
        </w:rPr>
        <w:tab/>
      </w:r>
      <w:r>
        <w:rPr>
          <w:rFonts w:cs="Arial"/>
          <w:bCs/>
          <w:lang w:val="es-ES_tradnl"/>
        </w:rPr>
        <w:tab/>
        <w:t>Medidas de Eficiencia Energética</w:t>
      </w:r>
    </w:p>
    <w:p w14:paraId="61839095" w14:textId="77777777" w:rsidR="0052355A" w:rsidRDefault="0052355A" w:rsidP="0052355A">
      <w:pPr>
        <w:pStyle w:val="ListParagraph"/>
        <w:spacing w:after="100" w:afterAutospacing="1" w:line="240" w:lineRule="auto"/>
        <w:ind w:left="0"/>
        <w:jc w:val="both"/>
        <w:outlineLvl w:val="0"/>
        <w:rPr>
          <w:rFonts w:cs="Arial"/>
          <w:bCs/>
          <w:lang w:val="es-ES_tradnl"/>
        </w:rPr>
      </w:pPr>
      <w:r>
        <w:rPr>
          <w:rFonts w:cs="Arial"/>
          <w:bCs/>
          <w:lang w:val="es-ES_tradnl"/>
        </w:rPr>
        <w:t>MDP</w:t>
      </w:r>
      <w:r>
        <w:rPr>
          <w:rFonts w:cs="Arial"/>
          <w:bCs/>
          <w:lang w:val="es-ES_tradnl"/>
        </w:rPr>
        <w:tab/>
      </w:r>
      <w:r>
        <w:rPr>
          <w:rFonts w:cs="Arial"/>
          <w:bCs/>
          <w:lang w:val="es-ES_tradnl"/>
        </w:rPr>
        <w:tab/>
        <w:t>Millones de pesos</w:t>
      </w:r>
    </w:p>
    <w:p w14:paraId="0F4E9666" w14:textId="77777777" w:rsidR="0052355A" w:rsidRDefault="0052355A" w:rsidP="0052355A">
      <w:pPr>
        <w:pStyle w:val="ListParagraph"/>
        <w:spacing w:after="100" w:afterAutospacing="1" w:line="240" w:lineRule="auto"/>
        <w:ind w:left="1418" w:hanging="1418"/>
        <w:jc w:val="both"/>
        <w:outlineLvl w:val="0"/>
        <w:rPr>
          <w:rFonts w:cs="Arial"/>
          <w:bCs/>
          <w:lang w:val="es-ES_tradnl"/>
        </w:rPr>
      </w:pPr>
      <w:r>
        <w:rPr>
          <w:rFonts w:cs="Arial"/>
          <w:bCs/>
          <w:lang w:val="es-ES_tradnl"/>
        </w:rPr>
        <w:t>PSR</w:t>
      </w:r>
      <w:r>
        <w:rPr>
          <w:rFonts w:cs="Arial"/>
          <w:bCs/>
          <w:lang w:val="es-ES_tradnl"/>
        </w:rPr>
        <w:tab/>
      </w:r>
      <w:r>
        <w:rPr>
          <w:lang w:val="es-ES_tradnl"/>
        </w:rPr>
        <w:t>Periodo Simple de R</w:t>
      </w:r>
      <w:r w:rsidRPr="00B93C1B">
        <w:rPr>
          <w:lang w:val="es-ES_tradnl"/>
        </w:rPr>
        <w:t>e</w:t>
      </w:r>
      <w:r>
        <w:rPr>
          <w:lang w:val="es-ES_tradnl"/>
        </w:rPr>
        <w:t>cuperación de la Inversión, medido en años (monto de la inversión entre ahorros anuales)</w:t>
      </w:r>
    </w:p>
    <w:p w14:paraId="54EC7A9B" w14:textId="77777777" w:rsidR="0052355A" w:rsidRDefault="0052355A" w:rsidP="0052355A">
      <w:pPr>
        <w:pStyle w:val="ListParagraph"/>
        <w:spacing w:after="100" w:afterAutospacing="1" w:line="240" w:lineRule="auto"/>
        <w:ind w:left="0"/>
        <w:jc w:val="both"/>
        <w:outlineLvl w:val="0"/>
        <w:rPr>
          <w:rFonts w:cs="Arial"/>
          <w:bCs/>
          <w:lang w:val="es-ES_tradnl"/>
        </w:rPr>
      </w:pPr>
      <w:r>
        <w:rPr>
          <w:rFonts w:cs="Arial"/>
          <w:bCs/>
          <w:lang w:val="es-ES_tradnl"/>
        </w:rPr>
        <w:t>SENER</w:t>
      </w:r>
      <w:r>
        <w:rPr>
          <w:rFonts w:cs="Arial"/>
          <w:bCs/>
          <w:lang w:val="es-ES_tradnl"/>
        </w:rPr>
        <w:tab/>
      </w:r>
      <w:r>
        <w:rPr>
          <w:rFonts w:cs="Arial"/>
          <w:bCs/>
          <w:lang w:val="es-ES_tradnl"/>
        </w:rPr>
        <w:tab/>
        <w:t>Secretarí</w:t>
      </w:r>
      <w:r w:rsidRPr="00903982">
        <w:rPr>
          <w:rFonts w:cs="Arial"/>
          <w:bCs/>
          <w:lang w:val="es-ES_tradnl"/>
        </w:rPr>
        <w:t>a de Energía</w:t>
      </w:r>
    </w:p>
    <w:p w14:paraId="0F2864F4" w14:textId="77777777" w:rsidR="0052355A" w:rsidRPr="00903982" w:rsidRDefault="0052355A" w:rsidP="0052355A">
      <w:pPr>
        <w:pStyle w:val="ListParagraph"/>
        <w:spacing w:after="100" w:afterAutospacing="1" w:line="240" w:lineRule="auto"/>
        <w:ind w:left="0"/>
        <w:jc w:val="both"/>
        <w:outlineLvl w:val="0"/>
        <w:rPr>
          <w:rFonts w:cs="Arial"/>
          <w:bCs/>
          <w:lang w:val="es-ES_tradnl"/>
        </w:rPr>
      </w:pPr>
      <w:r>
        <w:rPr>
          <w:rFonts w:cs="Arial"/>
          <w:bCs/>
          <w:lang w:val="es-ES_tradnl"/>
        </w:rPr>
        <w:t>VPN</w:t>
      </w:r>
      <w:r>
        <w:rPr>
          <w:rFonts w:cs="Arial"/>
          <w:bCs/>
          <w:lang w:val="es-ES_tradnl"/>
        </w:rPr>
        <w:tab/>
      </w:r>
      <w:r>
        <w:rPr>
          <w:rFonts w:cs="Arial"/>
          <w:bCs/>
          <w:lang w:val="es-ES_tradnl"/>
        </w:rPr>
        <w:tab/>
        <w:t>Valor Presente Neto</w:t>
      </w:r>
    </w:p>
    <w:p w14:paraId="1BB5938C" w14:textId="77777777" w:rsidR="0052355A" w:rsidRDefault="0052355A" w:rsidP="0052355A">
      <w:pPr>
        <w:pStyle w:val="ListParagraph"/>
        <w:spacing w:after="100" w:afterAutospacing="1" w:line="240" w:lineRule="auto"/>
        <w:ind w:left="0"/>
        <w:jc w:val="both"/>
        <w:outlineLvl w:val="0"/>
        <w:rPr>
          <w:rFonts w:cs="Arial"/>
          <w:bCs/>
          <w:lang w:val="es-ES_tradnl"/>
        </w:rPr>
      </w:pPr>
    </w:p>
    <w:p w14:paraId="1FEA3076" w14:textId="77777777" w:rsidR="0052355A" w:rsidRDefault="0052355A" w:rsidP="0052355A">
      <w:pPr>
        <w:pStyle w:val="ListParagraph"/>
        <w:spacing w:after="100" w:afterAutospacing="1" w:line="240" w:lineRule="auto"/>
        <w:ind w:left="0"/>
        <w:jc w:val="both"/>
        <w:outlineLvl w:val="0"/>
        <w:rPr>
          <w:rFonts w:cs="Arial"/>
          <w:bCs/>
          <w:lang w:val="es-ES_tradnl"/>
        </w:rPr>
      </w:pPr>
    </w:p>
    <w:p w14:paraId="7A61BD33" w14:textId="01E37358" w:rsidR="003E1FFA" w:rsidRDefault="003E1FFA" w:rsidP="003E1FFA">
      <w:pPr>
        <w:pStyle w:val="ListParagraph"/>
        <w:spacing w:after="100" w:afterAutospacing="1" w:line="240" w:lineRule="auto"/>
        <w:ind w:left="0"/>
        <w:jc w:val="both"/>
        <w:outlineLvl w:val="0"/>
        <w:rPr>
          <w:rFonts w:cs="Arial"/>
          <w:bCs/>
          <w:lang w:val="es-ES_tradnl"/>
        </w:rPr>
      </w:pPr>
      <w:r>
        <w:rPr>
          <w:rFonts w:cs="Arial"/>
          <w:bCs/>
          <w:lang w:val="es-ES_tradnl"/>
        </w:rPr>
        <w:t>Índice de tablas</w:t>
      </w:r>
    </w:p>
    <w:p w14:paraId="31909B6F" w14:textId="77777777" w:rsidR="008155AC" w:rsidRDefault="008155AC" w:rsidP="003E1FFA">
      <w:pPr>
        <w:pStyle w:val="ListParagraph"/>
        <w:spacing w:after="100" w:afterAutospacing="1" w:line="240" w:lineRule="auto"/>
        <w:ind w:left="0"/>
        <w:jc w:val="both"/>
        <w:outlineLvl w:val="0"/>
        <w:rPr>
          <w:rFonts w:cs="Arial"/>
          <w:bCs/>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5"/>
        <w:gridCol w:w="595"/>
      </w:tblGrid>
      <w:tr w:rsidR="008155AC" w:rsidRPr="008155AC" w14:paraId="439094F6" w14:textId="77777777" w:rsidTr="008155AC">
        <w:trPr>
          <w:trHeight w:val="335"/>
        </w:trPr>
        <w:tc>
          <w:tcPr>
            <w:tcW w:w="8784" w:type="dxa"/>
          </w:tcPr>
          <w:p w14:paraId="0E32EBAC" w14:textId="6EB1E251" w:rsidR="008155AC" w:rsidRPr="008155AC" w:rsidRDefault="008155AC" w:rsidP="003E1FFA">
            <w:pPr>
              <w:pStyle w:val="ListParagraph"/>
              <w:spacing w:after="100" w:afterAutospacing="1"/>
              <w:ind w:left="0"/>
              <w:jc w:val="both"/>
              <w:outlineLvl w:val="0"/>
              <w:rPr>
                <w:lang w:val="es-MX"/>
              </w:rPr>
            </w:pPr>
            <w:r w:rsidRPr="008155AC">
              <w:rPr>
                <w:lang w:val="es-MX"/>
              </w:rPr>
              <w:t>Número y titulo de tabla</w:t>
            </w:r>
          </w:p>
        </w:tc>
        <w:tc>
          <w:tcPr>
            <w:tcW w:w="566" w:type="dxa"/>
          </w:tcPr>
          <w:p w14:paraId="5287ECB4" w14:textId="07B8755D" w:rsidR="008155AC" w:rsidRPr="008155AC" w:rsidRDefault="008155AC" w:rsidP="008155AC">
            <w:pPr>
              <w:pStyle w:val="ListParagraph"/>
              <w:spacing w:after="100" w:afterAutospacing="1"/>
              <w:ind w:left="0"/>
              <w:jc w:val="right"/>
              <w:outlineLvl w:val="0"/>
              <w:rPr>
                <w:rFonts w:cs="Arial"/>
                <w:bCs/>
                <w:lang w:val="es-ES_tradnl"/>
              </w:rPr>
            </w:pPr>
            <w:r w:rsidRPr="008155AC">
              <w:rPr>
                <w:rFonts w:cs="Arial"/>
                <w:bCs/>
                <w:lang w:val="es-ES_tradnl"/>
              </w:rPr>
              <w:t>Pag</w:t>
            </w:r>
            <w:r>
              <w:rPr>
                <w:rFonts w:cs="Arial"/>
                <w:bCs/>
                <w:lang w:val="es-ES_tradnl"/>
              </w:rPr>
              <w:t>.</w:t>
            </w:r>
          </w:p>
        </w:tc>
      </w:tr>
      <w:tr w:rsidR="008155AC" w14:paraId="363D91AE" w14:textId="77777777" w:rsidTr="008155AC">
        <w:tc>
          <w:tcPr>
            <w:tcW w:w="8784" w:type="dxa"/>
          </w:tcPr>
          <w:p w14:paraId="70288D34" w14:textId="45E24A2C" w:rsidR="008155AC" w:rsidRDefault="008155AC" w:rsidP="003E1FFA">
            <w:pPr>
              <w:pStyle w:val="ListParagraph"/>
              <w:spacing w:after="100" w:afterAutospacing="1"/>
              <w:ind w:left="0"/>
              <w:jc w:val="both"/>
              <w:outlineLvl w:val="0"/>
              <w:rPr>
                <w:rFonts w:cs="Arial"/>
                <w:bCs/>
                <w:lang w:val="es-ES_tradnl"/>
              </w:rPr>
            </w:pPr>
            <w:r w:rsidRPr="000B6758">
              <w:rPr>
                <w:i/>
                <w:lang w:val="es-MX"/>
              </w:rPr>
              <w:t xml:space="preserve">1: </w:t>
            </w:r>
            <w:r>
              <w:rPr>
                <w:i/>
                <w:lang w:val="es-MX"/>
              </w:rPr>
              <w:t xml:space="preserve">Indicadores resultantes del análisis costo/beneficio para el caso base del </w:t>
            </w:r>
            <w:r w:rsidR="00ED1432">
              <w:rPr>
                <w:i/>
                <w:lang w:val="es-MX"/>
              </w:rPr>
              <w:t>Proyecto</w:t>
            </w:r>
            <w:r>
              <w:rPr>
                <w:i/>
                <w:lang w:val="es-MX"/>
              </w:rPr>
              <w:t xml:space="preserve"> de EEEOAPF</w:t>
            </w:r>
          </w:p>
        </w:tc>
        <w:tc>
          <w:tcPr>
            <w:tcW w:w="566" w:type="dxa"/>
          </w:tcPr>
          <w:p w14:paraId="5EBDE66B" w14:textId="52EC8865" w:rsidR="008155AC" w:rsidRDefault="008155AC" w:rsidP="008155AC">
            <w:pPr>
              <w:pStyle w:val="ListParagraph"/>
              <w:spacing w:after="100" w:afterAutospacing="1"/>
              <w:ind w:left="0"/>
              <w:jc w:val="right"/>
              <w:outlineLvl w:val="0"/>
              <w:rPr>
                <w:rFonts w:cs="Arial"/>
                <w:bCs/>
                <w:lang w:val="es-ES_tradnl"/>
              </w:rPr>
            </w:pPr>
            <w:r>
              <w:rPr>
                <w:rFonts w:cs="Arial"/>
                <w:bCs/>
                <w:lang w:val="es-ES_tradnl"/>
              </w:rPr>
              <w:t>5</w:t>
            </w:r>
          </w:p>
        </w:tc>
      </w:tr>
      <w:tr w:rsidR="008155AC" w14:paraId="7E9A7872" w14:textId="77777777" w:rsidTr="008155AC">
        <w:tc>
          <w:tcPr>
            <w:tcW w:w="8784" w:type="dxa"/>
          </w:tcPr>
          <w:p w14:paraId="730A8EE2" w14:textId="05E1DA59" w:rsidR="008155AC" w:rsidRDefault="008155AC" w:rsidP="003E1FFA">
            <w:pPr>
              <w:pStyle w:val="ListParagraph"/>
              <w:spacing w:after="100" w:afterAutospacing="1"/>
              <w:ind w:left="0"/>
              <w:jc w:val="both"/>
              <w:outlineLvl w:val="0"/>
              <w:rPr>
                <w:rFonts w:cs="Arial"/>
                <w:bCs/>
                <w:lang w:val="es-ES_tradnl"/>
              </w:rPr>
            </w:pPr>
            <w:r>
              <w:rPr>
                <w:i/>
                <w:lang w:val="es-MX"/>
              </w:rPr>
              <w:t>2</w:t>
            </w:r>
            <w:r w:rsidRPr="00E1518A">
              <w:rPr>
                <w:i/>
                <w:lang w:val="es-MX"/>
              </w:rPr>
              <w:t xml:space="preserve">: </w:t>
            </w:r>
            <w:r>
              <w:rPr>
                <w:i/>
                <w:lang w:val="es-MX"/>
              </w:rPr>
              <w:t>Indicadores resultantes del análisis costo/beneficio para variaciones en el PSR de las inversiones.</w:t>
            </w:r>
          </w:p>
        </w:tc>
        <w:tc>
          <w:tcPr>
            <w:tcW w:w="566" w:type="dxa"/>
          </w:tcPr>
          <w:p w14:paraId="771869A9" w14:textId="448234B1" w:rsidR="008155AC" w:rsidRDefault="008155AC" w:rsidP="008155AC">
            <w:pPr>
              <w:pStyle w:val="ListParagraph"/>
              <w:spacing w:after="100" w:afterAutospacing="1"/>
              <w:ind w:left="0"/>
              <w:jc w:val="right"/>
              <w:outlineLvl w:val="0"/>
              <w:rPr>
                <w:rFonts w:cs="Arial"/>
                <w:bCs/>
                <w:lang w:val="es-ES_tradnl"/>
              </w:rPr>
            </w:pPr>
            <w:r>
              <w:rPr>
                <w:rFonts w:cs="Arial"/>
                <w:bCs/>
                <w:lang w:val="es-ES_tradnl"/>
              </w:rPr>
              <w:t>6</w:t>
            </w:r>
          </w:p>
        </w:tc>
      </w:tr>
      <w:tr w:rsidR="008155AC" w14:paraId="7734C7F1" w14:textId="77777777" w:rsidTr="008155AC">
        <w:tc>
          <w:tcPr>
            <w:tcW w:w="8784" w:type="dxa"/>
          </w:tcPr>
          <w:p w14:paraId="070B9797" w14:textId="48677FA4" w:rsidR="008155AC" w:rsidRPr="008155AC" w:rsidRDefault="008155AC" w:rsidP="008155AC">
            <w:pPr>
              <w:rPr>
                <w:b/>
                <w:i/>
                <w:lang w:val="es-ES_tradnl"/>
              </w:rPr>
            </w:pPr>
            <w:r>
              <w:rPr>
                <w:i/>
                <w:lang w:val="es-MX"/>
              </w:rPr>
              <w:t>3</w:t>
            </w:r>
            <w:r w:rsidRPr="00E1518A">
              <w:rPr>
                <w:i/>
                <w:lang w:val="es-MX"/>
              </w:rPr>
              <w:t xml:space="preserve">: </w:t>
            </w:r>
            <w:r>
              <w:rPr>
                <w:i/>
                <w:lang w:val="es-MX"/>
              </w:rPr>
              <w:t xml:space="preserve">Indicadores resultantes de la sensibilización de otras variables operativas y financieras. </w:t>
            </w:r>
          </w:p>
        </w:tc>
        <w:tc>
          <w:tcPr>
            <w:tcW w:w="566" w:type="dxa"/>
          </w:tcPr>
          <w:p w14:paraId="62C33E2A" w14:textId="5CC2CAB1" w:rsidR="008155AC" w:rsidRDefault="008155AC" w:rsidP="008155AC">
            <w:pPr>
              <w:pStyle w:val="ListParagraph"/>
              <w:spacing w:after="100" w:afterAutospacing="1"/>
              <w:ind w:left="0"/>
              <w:jc w:val="right"/>
              <w:outlineLvl w:val="0"/>
              <w:rPr>
                <w:rFonts w:cs="Arial"/>
                <w:bCs/>
                <w:lang w:val="es-ES_tradnl"/>
              </w:rPr>
            </w:pPr>
            <w:r>
              <w:rPr>
                <w:rFonts w:cs="Arial"/>
                <w:bCs/>
                <w:lang w:val="es-ES_tradnl"/>
              </w:rPr>
              <w:t>6</w:t>
            </w:r>
          </w:p>
        </w:tc>
      </w:tr>
      <w:tr w:rsidR="008155AC" w14:paraId="77429905" w14:textId="77777777" w:rsidTr="008155AC">
        <w:tc>
          <w:tcPr>
            <w:tcW w:w="8784" w:type="dxa"/>
          </w:tcPr>
          <w:p w14:paraId="3EE75DF7" w14:textId="2ACC8F96" w:rsidR="008155AC" w:rsidRDefault="008155AC" w:rsidP="003E1FFA">
            <w:pPr>
              <w:pStyle w:val="ListParagraph"/>
              <w:spacing w:after="100" w:afterAutospacing="1"/>
              <w:ind w:left="0"/>
              <w:jc w:val="both"/>
              <w:outlineLvl w:val="0"/>
              <w:rPr>
                <w:rFonts w:cs="Arial"/>
                <w:bCs/>
                <w:lang w:val="es-ES_tradnl"/>
              </w:rPr>
            </w:pPr>
            <w:r>
              <w:rPr>
                <w:i/>
                <w:lang w:val="es-MX"/>
              </w:rPr>
              <w:t>4</w:t>
            </w:r>
            <w:r w:rsidRPr="00E1518A">
              <w:rPr>
                <w:i/>
                <w:lang w:val="es-MX"/>
              </w:rPr>
              <w:t>:</w:t>
            </w:r>
            <w:r>
              <w:rPr>
                <w:i/>
                <w:lang w:val="es-MX"/>
              </w:rPr>
              <w:t xml:space="preserve"> </w:t>
            </w:r>
            <w:r w:rsidRPr="00DF459E">
              <w:rPr>
                <w:i/>
                <w:lang w:val="es-MX"/>
              </w:rPr>
              <w:t>Conclusiones del estudio “Evaluación de Potenciales y Propuestas de Estrategia Financiera-Administrativa para Implementar Medidas de Eficiencia Energética (EE) en Edificios la Administración Pública Federal”</w:t>
            </w:r>
            <w:r>
              <w:rPr>
                <w:i/>
                <w:lang w:val="es-MX"/>
              </w:rPr>
              <w:t>.</w:t>
            </w:r>
          </w:p>
        </w:tc>
        <w:tc>
          <w:tcPr>
            <w:tcW w:w="566" w:type="dxa"/>
          </w:tcPr>
          <w:p w14:paraId="4D0C987C" w14:textId="04AD4829" w:rsidR="008155AC" w:rsidRDefault="008155AC" w:rsidP="008155AC">
            <w:pPr>
              <w:pStyle w:val="ListParagraph"/>
              <w:spacing w:after="100" w:afterAutospacing="1"/>
              <w:ind w:left="0"/>
              <w:jc w:val="right"/>
              <w:outlineLvl w:val="0"/>
              <w:rPr>
                <w:rFonts w:cs="Arial"/>
                <w:bCs/>
                <w:lang w:val="es-ES_tradnl"/>
              </w:rPr>
            </w:pPr>
            <w:r>
              <w:rPr>
                <w:rFonts w:cs="Arial"/>
                <w:bCs/>
                <w:lang w:val="es-ES_tradnl"/>
              </w:rPr>
              <w:t>8</w:t>
            </w:r>
          </w:p>
        </w:tc>
      </w:tr>
      <w:tr w:rsidR="008155AC" w14:paraId="0BD1C065" w14:textId="77777777" w:rsidTr="008155AC">
        <w:tc>
          <w:tcPr>
            <w:tcW w:w="8784" w:type="dxa"/>
          </w:tcPr>
          <w:p w14:paraId="50F55C10" w14:textId="7F87FF26" w:rsidR="008155AC" w:rsidRPr="008155AC" w:rsidRDefault="008155AC" w:rsidP="008155AC">
            <w:pPr>
              <w:rPr>
                <w:b/>
                <w:i/>
                <w:lang w:val="es-ES_tradnl"/>
              </w:rPr>
            </w:pPr>
            <w:r>
              <w:rPr>
                <w:i/>
                <w:lang w:val="es-MX"/>
              </w:rPr>
              <w:t xml:space="preserve">5: Porcentaje del potencial de ahorro en EEOAPF a cubrir con el crédito de 33 MDD. </w:t>
            </w:r>
          </w:p>
        </w:tc>
        <w:tc>
          <w:tcPr>
            <w:tcW w:w="566" w:type="dxa"/>
          </w:tcPr>
          <w:p w14:paraId="6FD9A667" w14:textId="1F544AAB" w:rsidR="008155AC" w:rsidRDefault="008155AC" w:rsidP="008155AC">
            <w:pPr>
              <w:pStyle w:val="ListParagraph"/>
              <w:spacing w:after="100" w:afterAutospacing="1"/>
              <w:ind w:left="0"/>
              <w:jc w:val="right"/>
              <w:outlineLvl w:val="0"/>
              <w:rPr>
                <w:rFonts w:cs="Arial"/>
                <w:bCs/>
                <w:lang w:val="es-ES_tradnl"/>
              </w:rPr>
            </w:pPr>
            <w:r>
              <w:rPr>
                <w:rFonts w:cs="Arial"/>
                <w:bCs/>
                <w:lang w:val="es-ES_tradnl"/>
              </w:rPr>
              <w:t>9</w:t>
            </w:r>
          </w:p>
        </w:tc>
      </w:tr>
      <w:tr w:rsidR="008155AC" w14:paraId="257EBF36" w14:textId="77777777" w:rsidTr="008155AC">
        <w:tc>
          <w:tcPr>
            <w:tcW w:w="8784" w:type="dxa"/>
          </w:tcPr>
          <w:p w14:paraId="08CEA9A7" w14:textId="15B8E624" w:rsidR="008155AC" w:rsidRPr="008155AC" w:rsidRDefault="008155AC" w:rsidP="008155AC">
            <w:pPr>
              <w:rPr>
                <w:lang w:val="es-MX"/>
              </w:rPr>
            </w:pPr>
            <w:r>
              <w:rPr>
                <w:i/>
                <w:lang w:val="es-MX"/>
              </w:rPr>
              <w:t xml:space="preserve">6: Cifras relevantes del caso base establecido para el estudio. </w:t>
            </w:r>
          </w:p>
        </w:tc>
        <w:tc>
          <w:tcPr>
            <w:tcW w:w="566" w:type="dxa"/>
          </w:tcPr>
          <w:p w14:paraId="7B4F1FAA" w14:textId="2B3E92B7" w:rsidR="008155AC" w:rsidRDefault="008155AC" w:rsidP="008155AC">
            <w:pPr>
              <w:pStyle w:val="ListParagraph"/>
              <w:spacing w:after="100" w:afterAutospacing="1"/>
              <w:ind w:left="0"/>
              <w:jc w:val="right"/>
              <w:outlineLvl w:val="0"/>
              <w:rPr>
                <w:rFonts w:cs="Arial"/>
                <w:bCs/>
                <w:lang w:val="es-ES_tradnl"/>
              </w:rPr>
            </w:pPr>
            <w:r>
              <w:rPr>
                <w:rFonts w:cs="Arial"/>
                <w:bCs/>
                <w:lang w:val="es-ES_tradnl"/>
              </w:rPr>
              <w:t>12</w:t>
            </w:r>
          </w:p>
        </w:tc>
      </w:tr>
      <w:tr w:rsidR="008155AC" w14:paraId="2D40EC61" w14:textId="77777777" w:rsidTr="008155AC">
        <w:tc>
          <w:tcPr>
            <w:tcW w:w="8784" w:type="dxa"/>
          </w:tcPr>
          <w:p w14:paraId="0A7A373D" w14:textId="7814658C" w:rsidR="008155AC" w:rsidRDefault="008155AC" w:rsidP="003E1FFA">
            <w:pPr>
              <w:pStyle w:val="ListParagraph"/>
              <w:spacing w:after="100" w:afterAutospacing="1"/>
              <w:ind w:left="0"/>
              <w:jc w:val="both"/>
              <w:outlineLvl w:val="0"/>
              <w:rPr>
                <w:rFonts w:cs="Arial"/>
                <w:bCs/>
                <w:lang w:val="es-ES_tradnl"/>
              </w:rPr>
            </w:pPr>
            <w:r>
              <w:rPr>
                <w:i/>
                <w:lang w:val="es-MX"/>
              </w:rPr>
              <w:t>7</w:t>
            </w:r>
            <w:r w:rsidRPr="00E1518A">
              <w:rPr>
                <w:i/>
                <w:lang w:val="es-MX"/>
              </w:rPr>
              <w:t xml:space="preserve">: </w:t>
            </w:r>
            <w:r>
              <w:rPr>
                <w:i/>
                <w:lang w:val="es-MX"/>
              </w:rPr>
              <w:t xml:space="preserve">Indicadores resultantes del análisis costo/beneficio para el caso base del </w:t>
            </w:r>
            <w:r w:rsidR="00ED1432">
              <w:rPr>
                <w:i/>
                <w:lang w:val="es-MX"/>
              </w:rPr>
              <w:t>Proyecto</w:t>
            </w:r>
            <w:r>
              <w:rPr>
                <w:i/>
                <w:lang w:val="es-MX"/>
              </w:rPr>
              <w:t xml:space="preserve"> de EEEOAPF</w:t>
            </w:r>
          </w:p>
        </w:tc>
        <w:tc>
          <w:tcPr>
            <w:tcW w:w="566" w:type="dxa"/>
          </w:tcPr>
          <w:p w14:paraId="0DA5D09E" w14:textId="1A8F4A2E" w:rsidR="008155AC" w:rsidRDefault="008155AC" w:rsidP="008155AC">
            <w:pPr>
              <w:pStyle w:val="ListParagraph"/>
              <w:spacing w:after="100" w:afterAutospacing="1"/>
              <w:ind w:left="0"/>
              <w:jc w:val="right"/>
              <w:outlineLvl w:val="0"/>
              <w:rPr>
                <w:rFonts w:cs="Arial"/>
                <w:bCs/>
                <w:lang w:val="es-ES_tradnl"/>
              </w:rPr>
            </w:pPr>
            <w:r>
              <w:rPr>
                <w:rFonts w:cs="Arial"/>
                <w:bCs/>
                <w:lang w:val="es-ES_tradnl"/>
              </w:rPr>
              <w:t>12</w:t>
            </w:r>
          </w:p>
        </w:tc>
      </w:tr>
      <w:tr w:rsidR="008155AC" w14:paraId="375E23CF" w14:textId="77777777" w:rsidTr="008155AC">
        <w:tc>
          <w:tcPr>
            <w:tcW w:w="8784" w:type="dxa"/>
          </w:tcPr>
          <w:p w14:paraId="2EB91ACF" w14:textId="5B08F396" w:rsidR="008155AC" w:rsidRDefault="008155AC" w:rsidP="003E1FFA">
            <w:pPr>
              <w:pStyle w:val="ListParagraph"/>
              <w:spacing w:after="100" w:afterAutospacing="1"/>
              <w:ind w:left="0"/>
              <w:jc w:val="both"/>
              <w:outlineLvl w:val="0"/>
              <w:rPr>
                <w:rFonts w:cs="Arial"/>
                <w:bCs/>
                <w:lang w:val="es-ES_tradnl"/>
              </w:rPr>
            </w:pPr>
            <w:r>
              <w:rPr>
                <w:i/>
                <w:lang w:val="es-MX"/>
              </w:rPr>
              <w:t>8</w:t>
            </w:r>
            <w:r w:rsidRPr="00E1518A">
              <w:rPr>
                <w:i/>
                <w:lang w:val="es-MX"/>
              </w:rPr>
              <w:t xml:space="preserve">: </w:t>
            </w:r>
            <w:r>
              <w:rPr>
                <w:i/>
                <w:lang w:val="es-MX"/>
              </w:rPr>
              <w:t>Indicadores resultantes de la sensibilización de otras variables operativas y financieras.</w:t>
            </w:r>
          </w:p>
        </w:tc>
        <w:tc>
          <w:tcPr>
            <w:tcW w:w="566" w:type="dxa"/>
          </w:tcPr>
          <w:p w14:paraId="0E463B50" w14:textId="0175AE84" w:rsidR="008155AC" w:rsidRDefault="008155AC" w:rsidP="008155AC">
            <w:pPr>
              <w:pStyle w:val="ListParagraph"/>
              <w:spacing w:after="100" w:afterAutospacing="1"/>
              <w:ind w:left="0"/>
              <w:jc w:val="right"/>
              <w:outlineLvl w:val="0"/>
              <w:rPr>
                <w:rFonts w:cs="Arial"/>
                <w:bCs/>
                <w:lang w:val="es-ES_tradnl"/>
              </w:rPr>
            </w:pPr>
            <w:r>
              <w:rPr>
                <w:rFonts w:cs="Arial"/>
                <w:bCs/>
                <w:lang w:val="es-ES_tradnl"/>
              </w:rPr>
              <w:t>13</w:t>
            </w:r>
          </w:p>
        </w:tc>
      </w:tr>
    </w:tbl>
    <w:p w14:paraId="416CB188" w14:textId="77777777" w:rsidR="003E1FFA" w:rsidRDefault="003E1FFA" w:rsidP="003E1FFA">
      <w:pPr>
        <w:pStyle w:val="ListParagraph"/>
        <w:spacing w:after="100" w:afterAutospacing="1" w:line="240" w:lineRule="auto"/>
        <w:ind w:left="0"/>
        <w:jc w:val="both"/>
        <w:outlineLvl w:val="0"/>
        <w:rPr>
          <w:rFonts w:cs="Arial"/>
          <w:bCs/>
          <w:lang w:val="es-ES_tradnl"/>
        </w:rPr>
      </w:pPr>
    </w:p>
    <w:p w14:paraId="4311244E" w14:textId="7651E718" w:rsidR="0052355A" w:rsidRDefault="0052355A" w:rsidP="0052355A">
      <w:pPr>
        <w:rPr>
          <w:rFonts w:ascii="Arial" w:hAnsi="Arial" w:cs="Arial"/>
          <w:b/>
          <w:bCs/>
          <w:lang w:val="es-ES"/>
        </w:rPr>
      </w:pPr>
      <w:r w:rsidRPr="00903982">
        <w:rPr>
          <w:rFonts w:cs="Arial"/>
          <w:b/>
          <w:bCs/>
          <w:lang w:val="es-ES_tradnl"/>
        </w:rPr>
        <w:br w:type="page"/>
      </w:r>
    </w:p>
    <w:p w14:paraId="03AA8EE5" w14:textId="77777777" w:rsidR="0052355A" w:rsidRDefault="0052355A" w:rsidP="000315FE">
      <w:pPr>
        <w:rPr>
          <w:rFonts w:ascii="Arial" w:hAnsi="Arial" w:cs="Arial"/>
          <w:b/>
          <w:bCs/>
          <w:lang w:val="es-ES"/>
        </w:rPr>
      </w:pPr>
    </w:p>
    <w:p w14:paraId="33FDEA54" w14:textId="321E407E" w:rsidR="00F3346B" w:rsidRPr="00E1518A" w:rsidRDefault="00ED1432" w:rsidP="00F3346B">
      <w:pPr>
        <w:rPr>
          <w:rFonts w:cs="Arial"/>
          <w:b/>
          <w:bCs/>
          <w:sz w:val="24"/>
          <w:szCs w:val="24"/>
          <w:lang w:val="es-ES"/>
        </w:rPr>
      </w:pPr>
      <w:r>
        <w:rPr>
          <w:rFonts w:cs="Arial"/>
          <w:b/>
          <w:bCs/>
          <w:sz w:val="24"/>
          <w:szCs w:val="24"/>
          <w:lang w:val="es-ES"/>
        </w:rPr>
        <w:t>Proyecto</w:t>
      </w:r>
      <w:r w:rsidR="000315FE" w:rsidRPr="000B6758">
        <w:rPr>
          <w:rFonts w:cs="Arial"/>
          <w:b/>
          <w:bCs/>
          <w:sz w:val="24"/>
          <w:szCs w:val="24"/>
          <w:lang w:val="es-ES"/>
        </w:rPr>
        <w:t xml:space="preserve"> de Eficiencia Energética en Edificios de Oficinas de la Administración Pública Federal (EOAPF) – ME-L1267</w:t>
      </w:r>
      <w:r w:rsidR="00F3346B">
        <w:rPr>
          <w:rFonts w:cs="Arial"/>
          <w:b/>
          <w:bCs/>
          <w:sz w:val="24"/>
          <w:szCs w:val="24"/>
          <w:lang w:val="es-ES"/>
        </w:rPr>
        <w:t xml:space="preserve"> - </w:t>
      </w:r>
      <w:r w:rsidR="00F3346B" w:rsidRPr="00E1518A">
        <w:rPr>
          <w:rFonts w:cs="Arial"/>
          <w:b/>
          <w:bCs/>
          <w:sz w:val="24"/>
          <w:szCs w:val="24"/>
          <w:lang w:val="es-ES"/>
        </w:rPr>
        <w:t>Análisis Económico</w:t>
      </w:r>
    </w:p>
    <w:p w14:paraId="1CFFC24D" w14:textId="4F420D1D" w:rsidR="000315FE" w:rsidRPr="000B6758" w:rsidRDefault="000315FE" w:rsidP="000315FE">
      <w:pPr>
        <w:rPr>
          <w:rFonts w:cs="Arial"/>
          <w:b/>
          <w:bCs/>
          <w:sz w:val="24"/>
          <w:szCs w:val="24"/>
          <w:lang w:val="es-ES"/>
        </w:rPr>
      </w:pPr>
    </w:p>
    <w:p w14:paraId="0AD89B90" w14:textId="4A219BE9" w:rsidR="002766B3" w:rsidRPr="000B6758" w:rsidRDefault="002766B3" w:rsidP="002766B3">
      <w:pPr>
        <w:pStyle w:val="Heading1"/>
        <w:rPr>
          <w:rFonts w:asciiTheme="minorHAnsi" w:hAnsiTheme="minorHAnsi"/>
          <w:b/>
          <w:sz w:val="22"/>
          <w:szCs w:val="22"/>
          <w:lang w:val="es-MX"/>
        </w:rPr>
      </w:pPr>
      <w:r w:rsidRPr="000B6758">
        <w:rPr>
          <w:rFonts w:asciiTheme="minorHAnsi" w:hAnsiTheme="minorHAnsi"/>
          <w:b/>
          <w:sz w:val="24"/>
          <w:szCs w:val="24"/>
          <w:lang w:val="es-MX"/>
        </w:rPr>
        <w:t>Resumen Ejecutivo</w:t>
      </w:r>
    </w:p>
    <w:p w14:paraId="513A5384" w14:textId="77777777" w:rsidR="0052355A" w:rsidRPr="000E6F1C" w:rsidRDefault="0052355A" w:rsidP="0052355A">
      <w:pPr>
        <w:jc w:val="both"/>
        <w:rPr>
          <w:lang w:val="es-ES_tradnl"/>
        </w:rPr>
      </w:pPr>
    </w:p>
    <w:p w14:paraId="0A1E8200" w14:textId="77777777" w:rsidR="0052355A" w:rsidRPr="000E6F1C" w:rsidRDefault="0052355A" w:rsidP="0052355A">
      <w:pPr>
        <w:jc w:val="both"/>
        <w:rPr>
          <w:lang w:val="es-ES_tradnl"/>
        </w:rPr>
      </w:pPr>
      <w:r w:rsidRPr="000E6F1C">
        <w:rPr>
          <w:lang w:val="es-ES_tradnl"/>
        </w:rPr>
        <w:t xml:space="preserve">Con el fin de avanzar en el cumplimiento de las metas de eficiencia en el uso de energía, y con ello contribuir a la seguridad energética y a la reducción de emisiones de GEI, el GdM planea desarrollar acciones encaminadas en lograr ahorros energéticos y económicos en instalaciones públicas como los EOAPF, edificios de gobiernos estatales, hospitales e instalaciones del sector salud, y en escuelas. </w:t>
      </w:r>
    </w:p>
    <w:p w14:paraId="419ADF4C" w14:textId="19EC2D88" w:rsidR="0052355A" w:rsidRPr="000E6F1C" w:rsidRDefault="0052355A" w:rsidP="0052355A">
      <w:pPr>
        <w:jc w:val="both"/>
        <w:rPr>
          <w:lang w:val="es-ES_tradnl"/>
        </w:rPr>
      </w:pPr>
      <w:r w:rsidRPr="000E6F1C">
        <w:rPr>
          <w:lang w:val="es-ES_tradnl"/>
        </w:rPr>
        <w:t xml:space="preserve">Como punto de partida en la implementación de estas acciones, el GdM solicitó al BID estructurar un financiamiento para llevar a cabo un </w:t>
      </w:r>
      <w:r w:rsidR="00ED1432">
        <w:rPr>
          <w:lang w:val="es-ES_tradnl"/>
        </w:rPr>
        <w:t>Proyecto</w:t>
      </w:r>
      <w:r w:rsidRPr="000E6F1C">
        <w:rPr>
          <w:lang w:val="es-ES_tradnl"/>
        </w:rPr>
        <w:t xml:space="preserve"> de Eficiencia Energética para EOAPF, el cual será de carácter demostrativo, a fin de poder extenderlo a nivel nacional, tanto en hospitales, escuelas como otro tipo de edificios de gobiernos estatales y municipales. </w:t>
      </w:r>
    </w:p>
    <w:p w14:paraId="0CA4BB31" w14:textId="28CDB48B" w:rsidR="0052355A" w:rsidRPr="000E6F1C" w:rsidRDefault="0052355A" w:rsidP="0052355A">
      <w:pPr>
        <w:jc w:val="both"/>
        <w:rPr>
          <w:lang w:val="es-ES_tradnl"/>
        </w:rPr>
      </w:pPr>
      <w:r w:rsidRPr="000E6F1C">
        <w:rPr>
          <w:lang w:val="es-ES_tradnl"/>
        </w:rPr>
        <w:t xml:space="preserve">El </w:t>
      </w:r>
      <w:r w:rsidR="00ED1432">
        <w:rPr>
          <w:lang w:val="es-ES_tradnl"/>
        </w:rPr>
        <w:t>Proyecto</w:t>
      </w:r>
      <w:r w:rsidRPr="000E6F1C">
        <w:rPr>
          <w:lang w:val="es-ES_tradnl"/>
        </w:rPr>
        <w:t xml:space="preserve"> de Eficiencia Energética para EOAPF contempla la implementació</w:t>
      </w:r>
      <w:r w:rsidR="006568B7">
        <w:rPr>
          <w:lang w:val="es-ES_tradnl"/>
        </w:rPr>
        <w:t xml:space="preserve">n de MEE en más de 800 </w:t>
      </w:r>
      <w:proofErr w:type="spellStart"/>
      <w:r w:rsidR="006568B7">
        <w:rPr>
          <w:lang w:val="es-ES_tradnl"/>
        </w:rPr>
        <w:t>EOAPFs</w:t>
      </w:r>
      <w:proofErr w:type="spellEnd"/>
      <w:r w:rsidR="006568B7">
        <w:rPr>
          <w:lang w:val="es-ES_tradnl"/>
        </w:rPr>
        <w:t>;</w:t>
      </w:r>
      <w:r w:rsidRPr="000E6F1C">
        <w:rPr>
          <w:lang w:val="es-ES_tradnl"/>
        </w:rPr>
        <w:t xml:space="preserve"> requerirá una inversión de 755 MDP y podría generar durante 10 años ahorros anuales por 189.5 MDP. Las MEE consisten en sustituir sistemas de aire acondicionado e iluminación por tecnologías de alta eficiencia, y en algunos casos instalar equipo que permita cambiar a una tarifa eléctrica más baja.</w:t>
      </w:r>
      <w:r w:rsidR="003017BE" w:rsidRPr="000E6F1C">
        <w:rPr>
          <w:lang w:val="es-ES_tradnl"/>
        </w:rPr>
        <w:t xml:space="preserve"> El criterio económico que debe cumplir la sustitución de equipo es presentar un PSR de hasta 4.29 años para iluminación y de hasta 3.8 años para aire acondicionado y cambio de tarifa. </w:t>
      </w:r>
      <w:r w:rsidRPr="000E6F1C">
        <w:rPr>
          <w:lang w:val="es-ES_tradnl"/>
        </w:rPr>
        <w:t xml:space="preserve"> </w:t>
      </w:r>
    </w:p>
    <w:p w14:paraId="2B89922D" w14:textId="6B37BE9D" w:rsidR="008F5585" w:rsidRDefault="0052355A" w:rsidP="0052355A">
      <w:pPr>
        <w:jc w:val="both"/>
        <w:rPr>
          <w:lang w:val="es-ES_tradnl"/>
        </w:rPr>
      </w:pPr>
      <w:r w:rsidRPr="000E6F1C">
        <w:rPr>
          <w:lang w:val="es-ES_tradnl"/>
        </w:rPr>
        <w:t xml:space="preserve">A fin de que sea posible la implementación de dicho </w:t>
      </w:r>
      <w:r w:rsidR="00ED1432">
        <w:rPr>
          <w:lang w:val="es-ES_tradnl"/>
        </w:rPr>
        <w:t>Proyecto</w:t>
      </w:r>
      <w:r w:rsidRPr="000E6F1C">
        <w:rPr>
          <w:lang w:val="es-ES_tradnl"/>
        </w:rPr>
        <w:t xml:space="preserve">, el BID está analizando la viabilidad de otorgar un crédito al GdM por un monto de 33 millones de dólares estadounidenses a un plazo de 15 años, con amortizaciones </w:t>
      </w:r>
      <w:r w:rsidRPr="0068098E">
        <w:rPr>
          <w:lang w:val="es-ES_tradnl"/>
        </w:rPr>
        <w:t xml:space="preserve">anuales. </w:t>
      </w:r>
      <w:r w:rsidR="003B0605" w:rsidRPr="0068098E">
        <w:rPr>
          <w:lang w:val="es-ES_tradnl"/>
        </w:rPr>
        <w:t xml:space="preserve">De los 33 MDD, </w:t>
      </w:r>
      <w:r w:rsidR="008F5585">
        <w:rPr>
          <w:lang w:val="es-ES_tradnl"/>
        </w:rPr>
        <w:t>1.75 MDD se destinarían a proyectos ejecutivos</w:t>
      </w:r>
      <w:r w:rsidR="008F5585" w:rsidRPr="0068098E">
        <w:rPr>
          <w:lang w:val="es-ES_tradnl"/>
        </w:rPr>
        <w:t xml:space="preserve"> </w:t>
      </w:r>
      <w:r w:rsidR="008F5585">
        <w:rPr>
          <w:lang w:val="es-ES_tradnl"/>
        </w:rPr>
        <w:t xml:space="preserve">requeridos para precisar las características de las MEE a implementar en cada inmueble, en tanto </w:t>
      </w:r>
      <w:proofErr w:type="gramStart"/>
      <w:r w:rsidR="008F5585">
        <w:rPr>
          <w:lang w:val="es-ES_tradnl"/>
        </w:rPr>
        <w:t xml:space="preserve">que </w:t>
      </w:r>
      <w:r w:rsidR="008F5585" w:rsidRPr="0068098E">
        <w:rPr>
          <w:lang w:val="es-ES_tradnl"/>
        </w:rPr>
        <w:t xml:space="preserve"> </w:t>
      </w:r>
      <w:r w:rsidR="0093670E">
        <w:rPr>
          <w:lang w:val="es-ES_tradnl"/>
        </w:rPr>
        <w:t>28.25</w:t>
      </w:r>
      <w:proofErr w:type="gramEnd"/>
      <w:r w:rsidR="0093670E" w:rsidRPr="0068098E">
        <w:rPr>
          <w:lang w:val="es-ES_tradnl"/>
        </w:rPr>
        <w:t xml:space="preserve"> </w:t>
      </w:r>
      <w:r w:rsidR="003B0605" w:rsidRPr="0068098E">
        <w:rPr>
          <w:lang w:val="es-ES_tradnl"/>
        </w:rPr>
        <w:t>MDD se destinarían a adquisición e implementación de MEE</w:t>
      </w:r>
      <w:r w:rsidR="005A56DD">
        <w:rPr>
          <w:lang w:val="es-ES_tradnl"/>
        </w:rPr>
        <w:t>; l</w:t>
      </w:r>
      <w:r w:rsidR="008F5585">
        <w:rPr>
          <w:lang w:val="es-ES_tradnl"/>
        </w:rPr>
        <w:t>os</w:t>
      </w:r>
      <w:r w:rsidR="003B0605" w:rsidRPr="0068098E">
        <w:rPr>
          <w:lang w:val="es-ES_tradnl"/>
        </w:rPr>
        <w:t xml:space="preserve"> 3 MDD </w:t>
      </w:r>
      <w:r w:rsidR="008F5585">
        <w:rPr>
          <w:lang w:val="es-ES_tradnl"/>
        </w:rPr>
        <w:t xml:space="preserve">restantes </w:t>
      </w:r>
      <w:r w:rsidR="003B0605" w:rsidRPr="0068098E">
        <w:rPr>
          <w:lang w:val="es-ES_tradnl"/>
        </w:rPr>
        <w:t xml:space="preserve">se destinarían a </w:t>
      </w:r>
      <w:r w:rsidR="0093670E">
        <w:rPr>
          <w:lang w:val="es-ES_tradnl"/>
        </w:rPr>
        <w:t xml:space="preserve">asistencia técnica y apoyo para la implementación </w:t>
      </w:r>
      <w:r w:rsidR="003B0605" w:rsidRPr="0068098E">
        <w:rPr>
          <w:lang w:val="es-ES_tradnl"/>
        </w:rPr>
        <w:t xml:space="preserve">del </w:t>
      </w:r>
      <w:r w:rsidR="00ED1432">
        <w:rPr>
          <w:lang w:val="es-ES_tradnl"/>
        </w:rPr>
        <w:t>Proyecto</w:t>
      </w:r>
      <w:r w:rsidR="008F5585">
        <w:rPr>
          <w:lang w:val="es-ES_tradnl"/>
        </w:rPr>
        <w:t xml:space="preserve">. </w:t>
      </w:r>
    </w:p>
    <w:p w14:paraId="070C40BA" w14:textId="7952C738" w:rsidR="0052355A" w:rsidRPr="000E6F1C" w:rsidRDefault="0052355A" w:rsidP="0052355A">
      <w:pPr>
        <w:jc w:val="both"/>
        <w:rPr>
          <w:lang w:val="es-ES_tradnl"/>
        </w:rPr>
      </w:pPr>
      <w:r w:rsidRPr="000E6F1C">
        <w:rPr>
          <w:lang w:val="es-ES_tradnl"/>
        </w:rPr>
        <w:t>Para este financiamiento se contempla que el GdM aportaría a su vez 3 MDD de contrapartida adicionales al crédito</w:t>
      </w:r>
      <w:r w:rsidR="00AD4159">
        <w:rPr>
          <w:lang w:val="es-ES_tradnl"/>
        </w:rPr>
        <w:t xml:space="preserve"> </w:t>
      </w:r>
      <w:r w:rsidRPr="000E6F1C">
        <w:rPr>
          <w:lang w:val="es-ES_tradnl"/>
        </w:rPr>
        <w:t xml:space="preserve">para cubrir los costos de la administración y operación </w:t>
      </w:r>
      <w:r w:rsidR="00062210">
        <w:rPr>
          <w:lang w:val="es-ES_tradnl"/>
        </w:rPr>
        <w:t xml:space="preserve">inherentes a la estructura bajo la cual </w:t>
      </w:r>
      <w:proofErr w:type="gramStart"/>
      <w:r w:rsidR="00062210">
        <w:rPr>
          <w:lang w:val="es-ES_tradnl"/>
        </w:rPr>
        <w:t xml:space="preserve">ejecutará </w:t>
      </w:r>
      <w:r w:rsidR="00AB2D58">
        <w:rPr>
          <w:lang w:val="es-ES_tradnl"/>
        </w:rPr>
        <w:t xml:space="preserve"> el</w:t>
      </w:r>
      <w:proofErr w:type="gramEnd"/>
      <w:r w:rsidR="00AB2D58">
        <w:rPr>
          <w:lang w:val="es-ES_tradnl"/>
        </w:rPr>
        <w:t xml:space="preserve"> </w:t>
      </w:r>
      <w:r w:rsidR="00ED1432">
        <w:rPr>
          <w:lang w:val="es-ES_tradnl"/>
        </w:rPr>
        <w:t>Proyecto</w:t>
      </w:r>
      <w:r w:rsidR="000E6F1C" w:rsidRPr="000E6F1C">
        <w:rPr>
          <w:lang w:val="es-ES_tradnl"/>
        </w:rPr>
        <w:t>.</w:t>
      </w:r>
    </w:p>
    <w:p w14:paraId="39C13387" w14:textId="730229B6" w:rsidR="00A410D3" w:rsidRDefault="00A410D3" w:rsidP="0052355A">
      <w:pPr>
        <w:jc w:val="both"/>
        <w:rPr>
          <w:lang w:val="es-ES_tradnl"/>
        </w:rPr>
      </w:pPr>
      <w:r>
        <w:rPr>
          <w:lang w:val="es-ES_tradnl"/>
        </w:rPr>
        <w:t>El proyecto</w:t>
      </w:r>
      <w:r w:rsidRPr="00A410D3">
        <w:rPr>
          <w:lang w:val="es-ES_tradnl"/>
        </w:rPr>
        <w:t xml:space="preserve"> </w:t>
      </w:r>
      <w:proofErr w:type="spellStart"/>
      <w:r w:rsidRPr="00A410D3">
        <w:rPr>
          <w:lang w:val="es-ES_tradnl"/>
        </w:rPr>
        <w:t>sera</w:t>
      </w:r>
      <w:proofErr w:type="spellEnd"/>
      <w:r w:rsidRPr="00A410D3">
        <w:rPr>
          <w:lang w:val="es-ES_tradnl"/>
        </w:rPr>
        <w:t xml:space="preserve">́ ejecutado por la SENER, que contratará al FIDE, a fin de que </w:t>
      </w:r>
      <w:proofErr w:type="spellStart"/>
      <w:r w:rsidRPr="00A410D3">
        <w:rPr>
          <w:lang w:val="es-ES_tradnl"/>
        </w:rPr>
        <w:t>éste</w:t>
      </w:r>
      <w:proofErr w:type="spellEnd"/>
      <w:r w:rsidRPr="00A410D3">
        <w:rPr>
          <w:lang w:val="es-ES_tradnl"/>
        </w:rPr>
        <w:t xml:space="preserve"> lleve a cabo las actividades correspondientes a la propuesta e </w:t>
      </w:r>
      <w:proofErr w:type="spellStart"/>
      <w:r w:rsidRPr="00A410D3">
        <w:rPr>
          <w:lang w:val="es-ES_tradnl"/>
        </w:rPr>
        <w:t>implementación</w:t>
      </w:r>
      <w:proofErr w:type="spellEnd"/>
      <w:r w:rsidRPr="00A410D3">
        <w:rPr>
          <w:lang w:val="es-ES_tradnl"/>
        </w:rPr>
        <w:t xml:space="preserve"> de los procedimientos para: (i) </w:t>
      </w:r>
      <w:proofErr w:type="spellStart"/>
      <w:r w:rsidRPr="00A410D3">
        <w:rPr>
          <w:lang w:val="es-ES_tradnl"/>
        </w:rPr>
        <w:t>preparación</w:t>
      </w:r>
      <w:proofErr w:type="spellEnd"/>
      <w:r w:rsidRPr="00A410D3">
        <w:rPr>
          <w:lang w:val="es-ES_tradnl"/>
        </w:rPr>
        <w:t xml:space="preserve"> de los proyectos ejecutivos para los EOAPF; (ii) procesos licitatorios; (iii) </w:t>
      </w:r>
      <w:proofErr w:type="spellStart"/>
      <w:r w:rsidRPr="00A410D3">
        <w:rPr>
          <w:lang w:val="es-ES_tradnl"/>
        </w:rPr>
        <w:t>contratación</w:t>
      </w:r>
      <w:proofErr w:type="spellEnd"/>
      <w:r w:rsidRPr="00A410D3">
        <w:rPr>
          <w:lang w:val="es-ES_tradnl"/>
        </w:rPr>
        <w:t xml:space="preserve">, </w:t>
      </w:r>
      <w:proofErr w:type="spellStart"/>
      <w:r w:rsidRPr="00A410D3">
        <w:rPr>
          <w:lang w:val="es-ES_tradnl"/>
        </w:rPr>
        <w:t>supervisión</w:t>
      </w:r>
      <w:proofErr w:type="spellEnd"/>
      <w:r w:rsidRPr="00A410D3">
        <w:rPr>
          <w:lang w:val="es-ES_tradnl"/>
        </w:rPr>
        <w:t xml:space="preserve">, pagos y finiquito por la </w:t>
      </w:r>
      <w:proofErr w:type="spellStart"/>
      <w:r w:rsidRPr="00A410D3">
        <w:rPr>
          <w:lang w:val="es-ES_tradnl"/>
        </w:rPr>
        <w:t>proveduría</w:t>
      </w:r>
      <w:proofErr w:type="spellEnd"/>
      <w:r w:rsidRPr="00A410D3">
        <w:rPr>
          <w:lang w:val="es-ES_tradnl"/>
        </w:rPr>
        <w:t xml:space="preserve"> de equipos y su </w:t>
      </w:r>
      <w:proofErr w:type="spellStart"/>
      <w:r w:rsidRPr="00A410D3">
        <w:rPr>
          <w:lang w:val="es-ES_tradnl"/>
        </w:rPr>
        <w:t>instalación</w:t>
      </w:r>
      <w:proofErr w:type="spellEnd"/>
      <w:r w:rsidRPr="00A410D3">
        <w:rPr>
          <w:lang w:val="es-ES_tradnl"/>
        </w:rPr>
        <w:t>; (iv) retiro y manejo de los equipos reemplazados y sus residuos; (v) r</w:t>
      </w:r>
      <w:r w:rsidR="00AB2D58">
        <w:rPr>
          <w:lang w:val="es-ES_tradnl"/>
        </w:rPr>
        <w:t xml:space="preserve">egistro de la contabilidad del </w:t>
      </w:r>
      <w:r w:rsidR="00ED1432">
        <w:rPr>
          <w:lang w:val="es-ES_tradnl"/>
        </w:rPr>
        <w:t>Proyecto</w:t>
      </w:r>
      <w:r w:rsidRPr="00A410D3">
        <w:rPr>
          <w:lang w:val="es-ES_tradnl"/>
        </w:rPr>
        <w:t xml:space="preserve">; (vi) </w:t>
      </w:r>
      <w:proofErr w:type="spellStart"/>
      <w:r w:rsidRPr="00A410D3">
        <w:rPr>
          <w:lang w:val="es-ES_tradnl"/>
        </w:rPr>
        <w:t>presentación</w:t>
      </w:r>
      <w:proofErr w:type="spellEnd"/>
      <w:r w:rsidRPr="00A410D3">
        <w:rPr>
          <w:lang w:val="es-ES_tradnl"/>
        </w:rPr>
        <w:t xml:space="preserve"> de los programas anuales de trabajo; y (vii) </w:t>
      </w:r>
      <w:proofErr w:type="spellStart"/>
      <w:r w:rsidRPr="00A410D3">
        <w:rPr>
          <w:lang w:val="es-ES_tradnl"/>
        </w:rPr>
        <w:t>presentación</w:t>
      </w:r>
      <w:proofErr w:type="spellEnd"/>
      <w:r w:rsidRPr="00A410D3">
        <w:rPr>
          <w:lang w:val="es-ES_tradnl"/>
        </w:rPr>
        <w:t xml:space="preserve"> de informes de avance.</w:t>
      </w:r>
    </w:p>
    <w:p w14:paraId="7C1BCAA7" w14:textId="1BEFC201" w:rsidR="0052355A" w:rsidRPr="000E6F1C" w:rsidRDefault="0052355A" w:rsidP="0052355A">
      <w:pPr>
        <w:jc w:val="both"/>
        <w:rPr>
          <w:lang w:val="es-ES_tradnl"/>
        </w:rPr>
      </w:pPr>
      <w:r w:rsidRPr="000E6F1C">
        <w:rPr>
          <w:lang w:val="es-ES_tradnl"/>
        </w:rPr>
        <w:t xml:space="preserve">En este sentido, en el </w:t>
      </w:r>
      <w:r w:rsidRPr="0068098E">
        <w:rPr>
          <w:lang w:val="es-ES_tradnl"/>
        </w:rPr>
        <w:t xml:space="preserve">presente documento se desarrolla un análisis costo-beneficio del </w:t>
      </w:r>
      <w:r w:rsidR="00ED1432">
        <w:rPr>
          <w:lang w:val="es-ES_tradnl"/>
        </w:rPr>
        <w:t>Proyecto</w:t>
      </w:r>
      <w:r w:rsidRPr="0068098E">
        <w:rPr>
          <w:lang w:val="es-ES_tradnl"/>
        </w:rPr>
        <w:t xml:space="preserve"> de Eficiencia Energética en Edificios de Oficinas de la Administración Pública Federal, con el propósito de dar mayores elemento</w:t>
      </w:r>
      <w:r w:rsidR="00023CCF" w:rsidRPr="0068098E">
        <w:rPr>
          <w:lang w:val="es-ES_tradnl"/>
        </w:rPr>
        <w:t xml:space="preserve">s para la formulación de dicho </w:t>
      </w:r>
      <w:r w:rsidR="00ED1432">
        <w:rPr>
          <w:lang w:val="es-ES_tradnl"/>
        </w:rPr>
        <w:t>Proyecto</w:t>
      </w:r>
      <w:r w:rsidRPr="0068098E">
        <w:rPr>
          <w:lang w:val="es-ES_tradnl"/>
        </w:rPr>
        <w:t>.</w:t>
      </w:r>
      <w:r w:rsidRPr="000E6F1C">
        <w:rPr>
          <w:lang w:val="es-ES_tradnl"/>
        </w:rPr>
        <w:t xml:space="preserve"> </w:t>
      </w:r>
    </w:p>
    <w:p w14:paraId="06670C12" w14:textId="0986AE40" w:rsidR="002766B3" w:rsidRPr="000E6F1C" w:rsidRDefault="000E6F1C" w:rsidP="0052355A">
      <w:pPr>
        <w:jc w:val="both"/>
        <w:rPr>
          <w:lang w:val="es-ES_tradnl"/>
        </w:rPr>
      </w:pPr>
      <w:r w:rsidRPr="000E6F1C">
        <w:rPr>
          <w:lang w:val="es-ES_tradnl"/>
        </w:rPr>
        <w:lastRenderedPageBreak/>
        <w:t>A fin de efectuar los cálculos correspondientes s</w:t>
      </w:r>
      <w:r w:rsidR="002766B3" w:rsidRPr="000E6F1C">
        <w:rPr>
          <w:lang w:val="es-ES_tradnl"/>
        </w:rPr>
        <w:t xml:space="preserve">e realizó un modelo en hoja de cálculo para estimar bajo distintos escenarios el valor presente neto del </w:t>
      </w:r>
      <w:r w:rsidR="00ED1432">
        <w:rPr>
          <w:lang w:val="es-ES_tradnl"/>
        </w:rPr>
        <w:t>Proyecto</w:t>
      </w:r>
      <w:r w:rsidR="002766B3" w:rsidRPr="000E6F1C">
        <w:rPr>
          <w:lang w:val="es-ES_tradnl"/>
        </w:rPr>
        <w:t xml:space="preserve"> de Eficiencia Energética en Edificios de Oficinas de la Administración Pública Federal.</w:t>
      </w:r>
    </w:p>
    <w:p w14:paraId="49C6A6A4" w14:textId="215C695B" w:rsidR="00DA621B" w:rsidRPr="0068098E" w:rsidRDefault="00DA621B" w:rsidP="0052355A">
      <w:pPr>
        <w:jc w:val="both"/>
        <w:rPr>
          <w:lang w:val="es-ES_tradnl"/>
        </w:rPr>
      </w:pPr>
      <w:r w:rsidRPr="000E6F1C">
        <w:rPr>
          <w:lang w:val="es-ES_tradnl"/>
        </w:rPr>
        <w:t xml:space="preserve">El modelo es construido trimestralmente y considera que las medidas de eficiencia energética pueden tener demoras </w:t>
      </w:r>
      <w:r w:rsidRPr="0068098E">
        <w:rPr>
          <w:lang w:val="es-ES_tradnl"/>
        </w:rPr>
        <w:t xml:space="preserve">de hasta </w:t>
      </w:r>
      <w:r w:rsidR="009448BE" w:rsidRPr="0068098E">
        <w:rPr>
          <w:lang w:val="es-ES_tradnl"/>
        </w:rPr>
        <w:t>3</w:t>
      </w:r>
      <w:r w:rsidRPr="0068098E">
        <w:rPr>
          <w:lang w:val="es-ES_tradnl"/>
        </w:rPr>
        <w:t xml:space="preserve"> trimestre</w:t>
      </w:r>
      <w:r w:rsidR="009448BE" w:rsidRPr="0068098E">
        <w:rPr>
          <w:lang w:val="es-ES_tradnl"/>
        </w:rPr>
        <w:t>s</w:t>
      </w:r>
      <w:r w:rsidRPr="0068098E">
        <w:rPr>
          <w:lang w:val="es-ES_tradnl"/>
        </w:rPr>
        <w:t xml:space="preserve"> en su implementación.</w:t>
      </w:r>
    </w:p>
    <w:p w14:paraId="2856CB9D" w14:textId="5753C527" w:rsidR="00723F65" w:rsidRPr="0068098E" w:rsidRDefault="00723F65" w:rsidP="00AF60D9">
      <w:pPr>
        <w:spacing w:after="100" w:afterAutospacing="1"/>
        <w:jc w:val="both"/>
        <w:rPr>
          <w:lang w:val="es-ES_tradnl"/>
        </w:rPr>
      </w:pPr>
      <w:r w:rsidRPr="0068098E">
        <w:rPr>
          <w:lang w:val="es-ES_tradnl"/>
        </w:rPr>
        <w:t xml:space="preserve">En el estudio se utilizó una tasa de descuento igual a 10%.  Esta tasa </w:t>
      </w:r>
      <w:r w:rsidR="005E6025" w:rsidRPr="0068098E">
        <w:rPr>
          <w:lang w:val="es-ES_tradnl"/>
        </w:rPr>
        <w:t xml:space="preserve">se considera en disposiciones de la Subsecretaría de Egresos de la Secretaría de Hacienda y Crédito Público para entidades de la Administración Pública Federal, como constatado en el Oficio Circular No. 400.1.410.14.009 del 13 de enero de 2014, y además </w:t>
      </w:r>
      <w:r w:rsidRPr="0068098E">
        <w:rPr>
          <w:lang w:val="es-ES_tradnl"/>
        </w:rPr>
        <w:t xml:space="preserve">corresponde al descuento aplicado en el ámbito social en México, tal como lo documenta la publicación del IADB, “Tasa de descuento social y </w:t>
      </w:r>
      <w:proofErr w:type="spellStart"/>
      <w:r w:rsidRPr="0068098E">
        <w:rPr>
          <w:lang w:val="es-ES_tradnl"/>
        </w:rPr>
        <w:t>evaluación</w:t>
      </w:r>
      <w:proofErr w:type="spellEnd"/>
      <w:r w:rsidRPr="0068098E">
        <w:rPr>
          <w:lang w:val="es-ES_tradnl"/>
        </w:rPr>
        <w:t xml:space="preserve"> de proyectos, Algunas reflexiones </w:t>
      </w:r>
      <w:proofErr w:type="spellStart"/>
      <w:r w:rsidRPr="0068098E">
        <w:rPr>
          <w:lang w:val="es-ES_tradnl"/>
        </w:rPr>
        <w:t>prácticas</w:t>
      </w:r>
      <w:proofErr w:type="spellEnd"/>
      <w:r w:rsidRPr="0068098E">
        <w:rPr>
          <w:lang w:val="es-ES_tradnl"/>
        </w:rPr>
        <w:t xml:space="preserve"> para </w:t>
      </w:r>
      <w:proofErr w:type="spellStart"/>
      <w:r w:rsidRPr="0068098E">
        <w:rPr>
          <w:lang w:val="es-ES_tradnl"/>
        </w:rPr>
        <w:t>América</w:t>
      </w:r>
      <w:proofErr w:type="spellEnd"/>
      <w:r w:rsidRPr="0068098E">
        <w:rPr>
          <w:lang w:val="es-ES_tradnl"/>
        </w:rPr>
        <w:t xml:space="preserve"> Latina y el Caribe”. </w:t>
      </w:r>
    </w:p>
    <w:p w14:paraId="03380763" w14:textId="76CD8C19" w:rsidR="004A025B" w:rsidRDefault="009448BE" w:rsidP="004A025B">
      <w:pPr>
        <w:jc w:val="both"/>
        <w:rPr>
          <w:lang w:val="es-ES_tradnl"/>
        </w:rPr>
      </w:pPr>
      <w:r w:rsidRPr="0068098E">
        <w:rPr>
          <w:lang w:val="es-ES_tradnl"/>
        </w:rPr>
        <w:t>El caso base fue construido a partir de resultados del estudio</w:t>
      </w:r>
      <w:r w:rsidRPr="000E6F1C">
        <w:rPr>
          <w:lang w:val="es-ES_tradnl"/>
        </w:rPr>
        <w:t xml:space="preserve"> “Evaluación de Potenciales y Propuestas de Estrategia Financiera-Administrativa para Implementar Medidas de Eficiencia Energética (EE) en Edificios la Administración Pública Federal”, realizado con apoyo del BID</w:t>
      </w:r>
      <w:r>
        <w:rPr>
          <w:lang w:val="es-ES_tradnl"/>
        </w:rPr>
        <w:t xml:space="preserve">. Contempla la implementación de medidas de eficiencia energética en aire acondicionado, iluminación y cambio de tarifa eléctrica que queden dentro del alcance del crédito, y por lo tanto equivalen a </w:t>
      </w:r>
      <w:r w:rsidR="0032045D">
        <w:rPr>
          <w:lang w:val="es-ES_tradnl"/>
        </w:rPr>
        <w:t xml:space="preserve">28.25 </w:t>
      </w:r>
      <w:r w:rsidR="00310D28">
        <w:rPr>
          <w:lang w:val="es-ES_tradnl"/>
        </w:rPr>
        <w:t>MDD</w:t>
      </w:r>
      <w:r>
        <w:rPr>
          <w:lang w:val="es-ES_tradnl"/>
        </w:rPr>
        <w:t xml:space="preserve"> en inversiones directas</w:t>
      </w:r>
      <w:r w:rsidR="0032045D">
        <w:rPr>
          <w:lang w:val="es-ES_tradnl"/>
        </w:rPr>
        <w:t>, tras considerar proyectos ejecutivos</w:t>
      </w:r>
      <w:r>
        <w:rPr>
          <w:lang w:val="es-ES_tradnl"/>
        </w:rPr>
        <w:t>.</w:t>
      </w:r>
      <w:r w:rsidRPr="000E6F1C">
        <w:rPr>
          <w:lang w:val="es-ES_tradnl"/>
        </w:rPr>
        <w:t xml:space="preserve"> </w:t>
      </w:r>
    </w:p>
    <w:p w14:paraId="7438AB37" w14:textId="01F26B3E" w:rsidR="004A025B" w:rsidRDefault="004A025B" w:rsidP="009448BE">
      <w:pPr>
        <w:jc w:val="both"/>
        <w:rPr>
          <w:lang w:val="es-ES_tradnl"/>
        </w:rPr>
      </w:pPr>
      <w:r>
        <w:rPr>
          <w:lang w:val="es-ES_tradnl"/>
        </w:rPr>
        <w:t xml:space="preserve">Para determinar </w:t>
      </w:r>
      <w:r w:rsidRPr="00A85437">
        <w:rPr>
          <w:lang w:val="es-ES_tradnl"/>
        </w:rPr>
        <w:t xml:space="preserve">los indicadores de bondad económica, el modelo considera como ingresos los ahorros económicos a generar durante la vida útil de las </w:t>
      </w:r>
      <w:proofErr w:type="gramStart"/>
      <w:r w:rsidRPr="00A85437">
        <w:rPr>
          <w:lang w:val="es-ES_tradnl"/>
        </w:rPr>
        <w:t>MEE</w:t>
      </w:r>
      <w:proofErr w:type="gramEnd"/>
      <w:r w:rsidRPr="00A85437">
        <w:rPr>
          <w:lang w:val="es-MX"/>
        </w:rPr>
        <w:t xml:space="preserve"> así como los ahorros en emisiones de dióxido de carbono</w:t>
      </w:r>
      <w:r w:rsidRPr="00A85437">
        <w:rPr>
          <w:lang w:val="es-ES_tradnl"/>
        </w:rPr>
        <w:t xml:space="preserve">, y como costos considera </w:t>
      </w:r>
      <w:r w:rsidR="00B4261F" w:rsidRPr="00A85437">
        <w:rPr>
          <w:lang w:val="es-ES_tradnl"/>
        </w:rPr>
        <w:t>tanto la</w:t>
      </w:r>
      <w:r w:rsidRPr="00A85437">
        <w:rPr>
          <w:lang w:val="es-ES_tradnl"/>
        </w:rPr>
        <w:t xml:space="preserve"> inversión por 28.25 MDD como los 1.75 MDD que se destinarían a los proyectos ejecutivos </w:t>
      </w:r>
      <w:r w:rsidRPr="00B4261F">
        <w:rPr>
          <w:lang w:val="es-ES_tradnl"/>
        </w:rPr>
        <w:t xml:space="preserve">correspondientes. </w:t>
      </w:r>
    </w:p>
    <w:p w14:paraId="5A940031" w14:textId="7E357CEF" w:rsidR="009448BE" w:rsidRPr="000E6F1C" w:rsidRDefault="009448BE" w:rsidP="009448BE">
      <w:pPr>
        <w:jc w:val="both"/>
        <w:rPr>
          <w:lang w:val="es-ES_tradnl"/>
        </w:rPr>
      </w:pPr>
      <w:r>
        <w:rPr>
          <w:lang w:val="es-ES_tradnl"/>
        </w:rPr>
        <w:t xml:space="preserve">El modelo del caso base </w:t>
      </w:r>
      <w:r w:rsidRPr="000E6F1C">
        <w:rPr>
          <w:lang w:val="es-ES_tradnl"/>
        </w:rPr>
        <w:t xml:space="preserve">estimó los siguientes indicadores de bondad económica para el </w:t>
      </w:r>
      <w:r w:rsidR="00ED1432">
        <w:rPr>
          <w:lang w:val="es-ES_tradnl"/>
        </w:rPr>
        <w:t>Proyecto</w:t>
      </w:r>
      <w:r w:rsidRPr="000E6F1C">
        <w:rPr>
          <w:lang w:val="es-ES_tradnl"/>
        </w:rPr>
        <w:t>:</w:t>
      </w:r>
    </w:p>
    <w:p w14:paraId="418FDDDA" w14:textId="540F3F37" w:rsidR="002766B3" w:rsidRPr="000B6758" w:rsidRDefault="002E28A8" w:rsidP="0052355A">
      <w:pPr>
        <w:jc w:val="both"/>
        <w:rPr>
          <w:i/>
          <w:lang w:val="es-ES_tradnl"/>
        </w:rPr>
      </w:pPr>
      <w:r w:rsidRPr="000B6758">
        <w:rPr>
          <w:i/>
          <w:lang w:val="es-MX"/>
        </w:rPr>
        <w:t xml:space="preserve">Tabla 1: </w:t>
      </w:r>
      <w:r w:rsidR="00DF459E">
        <w:rPr>
          <w:i/>
          <w:lang w:val="es-MX"/>
        </w:rPr>
        <w:t xml:space="preserve">Indicadores resultantes del análisis costo/beneficio para el caso base del </w:t>
      </w:r>
      <w:r w:rsidR="00ED1432">
        <w:rPr>
          <w:i/>
          <w:lang w:val="es-MX"/>
        </w:rPr>
        <w:t>Proyecto</w:t>
      </w:r>
      <w:r w:rsidR="00DF459E">
        <w:rPr>
          <w:i/>
          <w:lang w:val="es-MX"/>
        </w:rPr>
        <w:t xml:space="preserve"> de EEEOAPF</w:t>
      </w:r>
    </w:p>
    <w:tbl>
      <w:tblPr>
        <w:tblStyle w:val="TableGrid"/>
        <w:tblW w:w="0" w:type="auto"/>
        <w:tblLook w:val="04A0" w:firstRow="1" w:lastRow="0" w:firstColumn="1" w:lastColumn="0" w:noHBand="0" w:noVBand="1"/>
      </w:tblPr>
      <w:tblGrid>
        <w:gridCol w:w="4675"/>
        <w:gridCol w:w="4675"/>
      </w:tblGrid>
      <w:tr w:rsidR="00DA621B" w:rsidRPr="000E6F1C" w14:paraId="080A7E8B" w14:textId="77777777" w:rsidTr="00C22F7B">
        <w:tc>
          <w:tcPr>
            <w:tcW w:w="4675" w:type="dxa"/>
          </w:tcPr>
          <w:p w14:paraId="720CAFA5" w14:textId="77777777" w:rsidR="00DA621B" w:rsidRPr="00D54C6B" w:rsidRDefault="00DA621B" w:rsidP="00C22F7B">
            <w:pPr>
              <w:rPr>
                <w:b/>
                <w:highlight w:val="yellow"/>
                <w:lang w:val="es-MX"/>
              </w:rPr>
            </w:pPr>
            <w:r w:rsidRPr="0026776C">
              <w:rPr>
                <w:b/>
                <w:lang w:val="es-MX"/>
              </w:rPr>
              <w:t>Indicador de bondad económica</w:t>
            </w:r>
          </w:p>
        </w:tc>
        <w:tc>
          <w:tcPr>
            <w:tcW w:w="4675" w:type="dxa"/>
          </w:tcPr>
          <w:p w14:paraId="6BBB35C4" w14:textId="77777777" w:rsidR="00DA621B" w:rsidRPr="000E6F1C" w:rsidRDefault="00DA621B" w:rsidP="00C22F7B">
            <w:pPr>
              <w:rPr>
                <w:b/>
                <w:lang w:val="es-MX"/>
              </w:rPr>
            </w:pPr>
            <w:r w:rsidRPr="000E6F1C">
              <w:rPr>
                <w:b/>
                <w:lang w:val="es-MX"/>
              </w:rPr>
              <w:t>Valor</w:t>
            </w:r>
          </w:p>
        </w:tc>
      </w:tr>
      <w:tr w:rsidR="00DA621B" w:rsidRPr="000E6F1C" w14:paraId="7CF46BDE" w14:textId="77777777" w:rsidTr="00C22F7B">
        <w:tc>
          <w:tcPr>
            <w:tcW w:w="4675" w:type="dxa"/>
          </w:tcPr>
          <w:p w14:paraId="15A541FC" w14:textId="77777777" w:rsidR="00DA621B" w:rsidRPr="005D2933" w:rsidRDefault="00DA621B" w:rsidP="00C22F7B">
            <w:pPr>
              <w:rPr>
                <w:rFonts w:ascii="Calibri" w:hAnsi="Calibri" w:cs="Calibri"/>
                <w:color w:val="000000"/>
              </w:rPr>
            </w:pPr>
            <w:r w:rsidRPr="005D2933">
              <w:rPr>
                <w:rFonts w:ascii="Calibri" w:hAnsi="Calibri" w:cs="Calibri"/>
                <w:color w:val="000000"/>
              </w:rPr>
              <w:t xml:space="preserve">Valor </w:t>
            </w:r>
            <w:proofErr w:type="spellStart"/>
            <w:r w:rsidRPr="005D2933">
              <w:rPr>
                <w:rFonts w:ascii="Calibri" w:hAnsi="Calibri" w:cs="Calibri"/>
                <w:color w:val="000000"/>
              </w:rPr>
              <w:t>Presente</w:t>
            </w:r>
            <w:proofErr w:type="spellEnd"/>
            <w:r w:rsidRPr="005D2933">
              <w:rPr>
                <w:rFonts w:ascii="Calibri" w:hAnsi="Calibri" w:cs="Calibri"/>
                <w:color w:val="000000"/>
              </w:rPr>
              <w:t xml:space="preserve"> </w:t>
            </w:r>
            <w:proofErr w:type="spellStart"/>
            <w:r w:rsidRPr="005D2933">
              <w:rPr>
                <w:rFonts w:ascii="Calibri" w:hAnsi="Calibri" w:cs="Calibri"/>
                <w:color w:val="000000"/>
              </w:rPr>
              <w:t>Neto</w:t>
            </w:r>
            <w:proofErr w:type="spellEnd"/>
          </w:p>
        </w:tc>
        <w:tc>
          <w:tcPr>
            <w:tcW w:w="4675" w:type="dxa"/>
          </w:tcPr>
          <w:p w14:paraId="7FE12FD1" w14:textId="03295D53" w:rsidR="00DA621B" w:rsidRPr="005D2933" w:rsidRDefault="0026776C" w:rsidP="00C22F7B">
            <w:pPr>
              <w:rPr>
                <w:rFonts w:ascii="Calibri" w:hAnsi="Calibri" w:cs="Calibri"/>
                <w:color w:val="000000"/>
              </w:rPr>
            </w:pPr>
            <w:r>
              <w:rPr>
                <w:rFonts w:ascii="Calibri" w:hAnsi="Calibri" w:cs="Calibri"/>
                <w:color w:val="000000"/>
              </w:rPr>
              <w:t>$</w:t>
            </w:r>
            <w:r w:rsidR="008F5585">
              <w:rPr>
                <w:rFonts w:ascii="Calibri" w:hAnsi="Calibri" w:cs="Calibri"/>
                <w:color w:val="000000"/>
              </w:rPr>
              <w:t xml:space="preserve"> </w:t>
            </w:r>
            <w:r w:rsidR="00A32212">
              <w:rPr>
                <w:rFonts w:ascii="Calibri" w:hAnsi="Calibri" w:cs="Calibri"/>
                <w:color w:val="000000"/>
              </w:rPr>
              <w:t>377,111,287</w:t>
            </w:r>
            <w:r w:rsidR="008F5585">
              <w:rPr>
                <w:rFonts w:ascii="Calibri" w:hAnsi="Calibri" w:cs="Calibri"/>
                <w:color w:val="000000"/>
              </w:rPr>
              <w:t xml:space="preserve"> </w:t>
            </w:r>
            <w:r>
              <w:rPr>
                <w:rFonts w:ascii="Calibri" w:hAnsi="Calibri" w:cs="Calibri"/>
                <w:color w:val="000000"/>
              </w:rPr>
              <w:t>p</w:t>
            </w:r>
            <w:r w:rsidR="00DA621B" w:rsidRPr="005D2933">
              <w:rPr>
                <w:rFonts w:ascii="Calibri" w:hAnsi="Calibri" w:cs="Calibri"/>
                <w:color w:val="000000"/>
              </w:rPr>
              <w:t>esos</w:t>
            </w:r>
          </w:p>
        </w:tc>
      </w:tr>
      <w:tr w:rsidR="00DA621B" w:rsidRPr="00F05C71" w14:paraId="33457942" w14:textId="77777777" w:rsidTr="00C22F7B">
        <w:tc>
          <w:tcPr>
            <w:tcW w:w="4675" w:type="dxa"/>
          </w:tcPr>
          <w:p w14:paraId="47DB2918" w14:textId="77777777" w:rsidR="00DA621B" w:rsidRPr="005D2933" w:rsidRDefault="00DA621B" w:rsidP="00C22F7B">
            <w:pPr>
              <w:rPr>
                <w:rFonts w:ascii="Calibri" w:hAnsi="Calibri" w:cs="Calibri"/>
                <w:color w:val="000000"/>
              </w:rPr>
            </w:pPr>
            <w:proofErr w:type="spellStart"/>
            <w:r w:rsidRPr="005D2933">
              <w:rPr>
                <w:rFonts w:ascii="Calibri" w:hAnsi="Calibri" w:cs="Calibri"/>
                <w:color w:val="000000"/>
              </w:rPr>
              <w:t>Período</w:t>
            </w:r>
            <w:proofErr w:type="spellEnd"/>
            <w:r w:rsidRPr="005D2933">
              <w:rPr>
                <w:rFonts w:ascii="Calibri" w:hAnsi="Calibri" w:cs="Calibri"/>
                <w:color w:val="000000"/>
              </w:rPr>
              <w:t xml:space="preserve"> Simple de </w:t>
            </w:r>
            <w:proofErr w:type="spellStart"/>
            <w:r w:rsidRPr="005D2933">
              <w:rPr>
                <w:rFonts w:ascii="Calibri" w:hAnsi="Calibri" w:cs="Calibri"/>
                <w:color w:val="000000"/>
              </w:rPr>
              <w:t>Retorno</w:t>
            </w:r>
            <w:proofErr w:type="spellEnd"/>
          </w:p>
        </w:tc>
        <w:tc>
          <w:tcPr>
            <w:tcW w:w="4675" w:type="dxa"/>
          </w:tcPr>
          <w:p w14:paraId="3DC46AE4" w14:textId="64EDE582" w:rsidR="00DA621B" w:rsidRPr="0026776C" w:rsidRDefault="00F05C71" w:rsidP="00C22F7B">
            <w:pPr>
              <w:rPr>
                <w:rFonts w:ascii="Calibri" w:hAnsi="Calibri" w:cs="Calibri"/>
                <w:color w:val="000000"/>
                <w:lang w:val="es-MX"/>
              </w:rPr>
            </w:pPr>
            <w:r>
              <w:rPr>
                <w:rFonts w:ascii="Calibri" w:hAnsi="Calibri" w:cs="Calibri"/>
                <w:color w:val="000000"/>
                <w:lang w:val="es-MX"/>
              </w:rPr>
              <w:t>5.06</w:t>
            </w:r>
            <w:r w:rsidR="00D81391" w:rsidRPr="0026776C">
              <w:rPr>
                <w:rFonts w:ascii="Calibri" w:hAnsi="Calibri" w:cs="Calibri"/>
                <w:color w:val="000000"/>
                <w:lang w:val="es-MX"/>
              </w:rPr>
              <w:t xml:space="preserve"> </w:t>
            </w:r>
            <w:r w:rsidR="00DA621B" w:rsidRPr="0026776C">
              <w:rPr>
                <w:rFonts w:ascii="Calibri" w:hAnsi="Calibri" w:cs="Calibri"/>
                <w:color w:val="000000"/>
                <w:lang w:val="es-MX"/>
              </w:rPr>
              <w:t>años</w:t>
            </w:r>
          </w:p>
        </w:tc>
      </w:tr>
      <w:tr w:rsidR="00DA621B" w:rsidRPr="00F05C71" w14:paraId="5C5360A5" w14:textId="77777777" w:rsidTr="00C22F7B">
        <w:tc>
          <w:tcPr>
            <w:tcW w:w="4675" w:type="dxa"/>
          </w:tcPr>
          <w:p w14:paraId="0B4996F2" w14:textId="77777777" w:rsidR="00DA621B" w:rsidRPr="00426D7C" w:rsidRDefault="00DA621B" w:rsidP="00C22F7B">
            <w:pPr>
              <w:rPr>
                <w:rFonts w:ascii="Calibri" w:hAnsi="Calibri" w:cs="Calibri"/>
                <w:color w:val="000000"/>
                <w:lang w:val="es-MX"/>
              </w:rPr>
            </w:pPr>
            <w:r w:rsidRPr="00426D7C">
              <w:rPr>
                <w:rFonts w:ascii="Calibri" w:hAnsi="Calibri" w:cs="Calibri"/>
                <w:color w:val="000000"/>
                <w:lang w:val="es-MX"/>
              </w:rPr>
              <w:t>Tasa interna de retorno económico</w:t>
            </w:r>
          </w:p>
        </w:tc>
        <w:tc>
          <w:tcPr>
            <w:tcW w:w="4675" w:type="dxa"/>
          </w:tcPr>
          <w:p w14:paraId="21307DB6" w14:textId="0E8457C8" w:rsidR="00DA621B" w:rsidRPr="005D2933" w:rsidRDefault="00F05C71" w:rsidP="00C22F7B">
            <w:pPr>
              <w:rPr>
                <w:rFonts w:ascii="Calibri" w:hAnsi="Calibri" w:cs="Calibri"/>
                <w:color w:val="000000"/>
                <w:lang w:val="es-MX"/>
              </w:rPr>
            </w:pPr>
            <w:r>
              <w:rPr>
                <w:rFonts w:ascii="Calibri" w:hAnsi="Calibri" w:cs="Calibri"/>
                <w:color w:val="000000"/>
                <w:lang w:val="es-MX"/>
              </w:rPr>
              <w:t>24.76</w:t>
            </w:r>
            <w:r w:rsidR="00DA621B" w:rsidRPr="005D2933">
              <w:rPr>
                <w:rFonts w:ascii="Calibri" w:hAnsi="Calibri" w:cs="Calibri"/>
                <w:color w:val="000000"/>
                <w:lang w:val="es-MX"/>
              </w:rPr>
              <w:t>% anual</w:t>
            </w:r>
          </w:p>
        </w:tc>
      </w:tr>
      <w:tr w:rsidR="00DA621B" w:rsidRPr="00F05C71" w14:paraId="565CC34C" w14:textId="77777777" w:rsidTr="00C22F7B">
        <w:tc>
          <w:tcPr>
            <w:tcW w:w="4675" w:type="dxa"/>
          </w:tcPr>
          <w:p w14:paraId="05AF7642" w14:textId="77777777" w:rsidR="00DA621B" w:rsidRPr="005D2933" w:rsidRDefault="00DA621B" w:rsidP="00C22F7B">
            <w:pPr>
              <w:rPr>
                <w:rFonts w:ascii="Calibri" w:hAnsi="Calibri" w:cs="Calibri"/>
                <w:color w:val="000000"/>
                <w:lang w:val="es-MX"/>
              </w:rPr>
            </w:pPr>
            <w:r w:rsidRPr="005D2933">
              <w:rPr>
                <w:rFonts w:ascii="Calibri" w:hAnsi="Calibri" w:cs="Calibri"/>
                <w:color w:val="000000"/>
                <w:lang w:val="es-MX"/>
              </w:rPr>
              <w:t>TIR – tasa de descuento</w:t>
            </w:r>
          </w:p>
        </w:tc>
        <w:tc>
          <w:tcPr>
            <w:tcW w:w="4675" w:type="dxa"/>
          </w:tcPr>
          <w:p w14:paraId="37586D10" w14:textId="06285586" w:rsidR="00DA621B" w:rsidRPr="005D2933" w:rsidRDefault="00F05C71" w:rsidP="00C22F7B">
            <w:pPr>
              <w:rPr>
                <w:rFonts w:ascii="Calibri" w:hAnsi="Calibri" w:cs="Calibri"/>
                <w:color w:val="000000"/>
                <w:lang w:val="es-MX"/>
              </w:rPr>
            </w:pPr>
            <w:r>
              <w:rPr>
                <w:rFonts w:ascii="Calibri" w:hAnsi="Calibri" w:cs="Calibri"/>
                <w:color w:val="000000"/>
                <w:lang w:val="es-MX"/>
              </w:rPr>
              <w:t>14.76</w:t>
            </w:r>
            <w:r w:rsidR="00DA621B" w:rsidRPr="005D2933">
              <w:rPr>
                <w:rFonts w:ascii="Calibri" w:hAnsi="Calibri" w:cs="Calibri"/>
                <w:color w:val="000000"/>
                <w:lang w:val="es-MX"/>
              </w:rPr>
              <w:t>%</w:t>
            </w:r>
          </w:p>
        </w:tc>
      </w:tr>
      <w:tr w:rsidR="00DA621B" w:rsidRPr="00F05C71" w14:paraId="48EFA513" w14:textId="77777777" w:rsidTr="00C22F7B">
        <w:tc>
          <w:tcPr>
            <w:tcW w:w="4675" w:type="dxa"/>
          </w:tcPr>
          <w:p w14:paraId="3FBD1533" w14:textId="77777777" w:rsidR="00DA621B" w:rsidRPr="005D2933" w:rsidRDefault="00DA621B" w:rsidP="00C22F7B">
            <w:pPr>
              <w:rPr>
                <w:rFonts w:ascii="Calibri" w:hAnsi="Calibri" w:cs="Calibri"/>
                <w:color w:val="000000"/>
                <w:lang w:val="es-MX"/>
              </w:rPr>
            </w:pPr>
            <w:r w:rsidRPr="005D2933">
              <w:rPr>
                <w:rFonts w:ascii="Calibri" w:hAnsi="Calibri" w:cs="Calibri"/>
                <w:color w:val="000000"/>
                <w:lang w:val="es-MX"/>
              </w:rPr>
              <w:t>Razón costo/beneficio</w:t>
            </w:r>
          </w:p>
        </w:tc>
        <w:tc>
          <w:tcPr>
            <w:tcW w:w="4675" w:type="dxa"/>
          </w:tcPr>
          <w:p w14:paraId="53E31028" w14:textId="5465A7B2" w:rsidR="00DA621B" w:rsidRPr="005D2933" w:rsidRDefault="00F05C71" w:rsidP="00C22F7B">
            <w:pPr>
              <w:rPr>
                <w:rFonts w:ascii="Calibri" w:hAnsi="Calibri" w:cs="Calibri"/>
                <w:color w:val="000000"/>
                <w:lang w:val="es-MX"/>
              </w:rPr>
            </w:pPr>
            <w:r>
              <w:rPr>
                <w:rFonts w:ascii="Calibri" w:hAnsi="Calibri" w:cs="Calibri"/>
                <w:color w:val="000000"/>
                <w:lang w:val="es-MX"/>
              </w:rPr>
              <w:t>3.163</w:t>
            </w:r>
          </w:p>
        </w:tc>
      </w:tr>
    </w:tbl>
    <w:p w14:paraId="02AFFC03" w14:textId="71DB5CB3" w:rsidR="00DA621B" w:rsidRPr="000B6758" w:rsidRDefault="00DF459E" w:rsidP="00A93D10">
      <w:pPr>
        <w:jc w:val="right"/>
        <w:rPr>
          <w:sz w:val="18"/>
          <w:szCs w:val="18"/>
          <w:lang w:val="es-ES_tradnl"/>
        </w:rPr>
      </w:pPr>
      <w:r w:rsidRPr="000B6758">
        <w:rPr>
          <w:i/>
          <w:sz w:val="18"/>
          <w:szCs w:val="18"/>
          <w:lang w:val="es-MX"/>
        </w:rPr>
        <w:t>Fuente: Elaboración propia</w:t>
      </w:r>
    </w:p>
    <w:p w14:paraId="7F954925" w14:textId="5916954B" w:rsidR="00085CAE" w:rsidRDefault="00DA621B" w:rsidP="0052355A">
      <w:pPr>
        <w:jc w:val="both"/>
        <w:rPr>
          <w:lang w:val="es-ES_tradnl"/>
        </w:rPr>
      </w:pPr>
      <w:r w:rsidRPr="000E6F1C">
        <w:rPr>
          <w:lang w:val="es-ES_tradnl"/>
        </w:rPr>
        <w:t>Adicionalmente</w:t>
      </w:r>
      <w:r w:rsidR="00F10479">
        <w:rPr>
          <w:lang w:val="es-ES_tradnl"/>
        </w:rPr>
        <w:t xml:space="preserve"> </w:t>
      </w:r>
      <w:r w:rsidR="00085CAE">
        <w:rPr>
          <w:lang w:val="es-ES_tradnl"/>
        </w:rPr>
        <w:t>y considerando los factores que</w:t>
      </w:r>
      <w:r w:rsidR="00F10479">
        <w:rPr>
          <w:lang w:val="es-ES_tradnl"/>
        </w:rPr>
        <w:t xml:space="preserve"> por la naturaleza propia de la implementación </w:t>
      </w:r>
      <w:r w:rsidR="00AB2D58">
        <w:rPr>
          <w:lang w:val="es-ES_tradnl"/>
        </w:rPr>
        <w:t xml:space="preserve">del </w:t>
      </w:r>
      <w:r w:rsidR="00ED1432">
        <w:rPr>
          <w:lang w:val="es-ES_tradnl"/>
        </w:rPr>
        <w:t>Proyecto</w:t>
      </w:r>
      <w:r w:rsidR="00F10479">
        <w:rPr>
          <w:lang w:val="es-ES_tradnl"/>
        </w:rPr>
        <w:t xml:space="preserve"> pudieran tener variaciones m</w:t>
      </w:r>
      <w:r w:rsidR="00085CAE">
        <w:rPr>
          <w:lang w:val="es-ES_tradnl"/>
        </w:rPr>
        <w:t>á</w:t>
      </w:r>
      <w:r w:rsidR="00F10479">
        <w:rPr>
          <w:lang w:val="es-ES_tradnl"/>
        </w:rPr>
        <w:t xml:space="preserve">s relevantes, </w:t>
      </w:r>
      <w:r w:rsidRPr="000E6F1C">
        <w:rPr>
          <w:lang w:val="es-ES_tradnl"/>
        </w:rPr>
        <w:t xml:space="preserve">se </w:t>
      </w:r>
      <w:r w:rsidR="00085CAE">
        <w:rPr>
          <w:lang w:val="es-ES_tradnl"/>
        </w:rPr>
        <w:t>realizó un</w:t>
      </w:r>
      <w:r w:rsidRPr="000E6F1C">
        <w:rPr>
          <w:lang w:val="es-ES_tradnl"/>
        </w:rPr>
        <w:t xml:space="preserve"> análisis de sensibilidad para verificar los cambios esperados en el valor presente neto del proyecto a partir de distintos escenarios al </w:t>
      </w:r>
      <w:r w:rsidR="00085CAE">
        <w:rPr>
          <w:lang w:val="es-ES_tradnl"/>
        </w:rPr>
        <w:t>modificar las estimaciones para las siguientes variables:</w:t>
      </w:r>
    </w:p>
    <w:p w14:paraId="572F7021" w14:textId="5E278946" w:rsidR="00085CAE" w:rsidRPr="00085CAE" w:rsidRDefault="00085CAE" w:rsidP="00085CAE">
      <w:pPr>
        <w:pStyle w:val="ListParagraph"/>
        <w:numPr>
          <w:ilvl w:val="0"/>
          <w:numId w:val="2"/>
        </w:numPr>
        <w:jc w:val="both"/>
        <w:rPr>
          <w:lang w:val="es-ES_tradnl"/>
        </w:rPr>
      </w:pPr>
      <w:r w:rsidRPr="00085CAE">
        <w:rPr>
          <w:lang w:val="es-ES_tradnl"/>
        </w:rPr>
        <w:t>L</w:t>
      </w:r>
      <w:r w:rsidR="00DA621B" w:rsidRPr="00085CAE">
        <w:rPr>
          <w:lang w:val="es-ES_tradnl"/>
        </w:rPr>
        <w:t>os períodos simples de retorno de las medidas de eficiencia eléctrica</w:t>
      </w:r>
      <w:r>
        <w:rPr>
          <w:lang w:val="es-ES_tradnl"/>
        </w:rPr>
        <w:t xml:space="preserve">, asumiendo que estos podrían </w:t>
      </w:r>
      <w:r w:rsidRPr="0068098E">
        <w:rPr>
          <w:lang w:val="es-ES_tradnl"/>
        </w:rPr>
        <w:t>ser mayores o menores</w:t>
      </w:r>
      <w:r>
        <w:rPr>
          <w:lang w:val="es-ES_tradnl"/>
        </w:rPr>
        <w:t xml:space="preserve"> a lo contemplado</w:t>
      </w:r>
      <w:r w:rsidR="00621997">
        <w:rPr>
          <w:lang w:val="es-ES_tradnl"/>
        </w:rPr>
        <w:t>. Previo a la implementación de MEE en cada EOAPF se preparará</w:t>
      </w:r>
      <w:r w:rsidR="00621997" w:rsidRPr="00621997">
        <w:rPr>
          <w:lang w:val="es-ES_tradnl"/>
        </w:rPr>
        <w:t xml:space="preserve"> </w:t>
      </w:r>
      <w:r w:rsidR="00621997">
        <w:rPr>
          <w:lang w:val="es-ES_tradnl"/>
        </w:rPr>
        <w:t xml:space="preserve">un </w:t>
      </w:r>
      <w:r w:rsidR="00621997" w:rsidRPr="00621997">
        <w:rPr>
          <w:lang w:val="es-ES_tradnl"/>
        </w:rPr>
        <w:t>p</w:t>
      </w:r>
      <w:r w:rsidR="00621997">
        <w:rPr>
          <w:lang w:val="es-ES_tradnl"/>
        </w:rPr>
        <w:t>royecto ejecutivo que precisará las características del equipo a sustituir, y se ejecutará un proceso licitatorio que asegure las características técnicas requeridas y obtenga un costo óptimo</w:t>
      </w:r>
      <w:r w:rsidR="00020D0B">
        <w:rPr>
          <w:lang w:val="es-ES_tradnl"/>
        </w:rPr>
        <w:t xml:space="preserve">; en un escenario optimista se esperaría que derivado de esto se pudieran obtener </w:t>
      </w:r>
      <w:proofErr w:type="spellStart"/>
      <w:r w:rsidR="00020D0B">
        <w:rPr>
          <w:lang w:val="es-ES_tradnl"/>
        </w:rPr>
        <w:lastRenderedPageBreak/>
        <w:t>PSRs</w:t>
      </w:r>
      <w:proofErr w:type="spellEnd"/>
      <w:r w:rsidR="00020D0B">
        <w:rPr>
          <w:lang w:val="es-ES_tradnl"/>
        </w:rPr>
        <w:t xml:space="preserve"> menores. Por otro lado, en un escenario pesimista se podrían presentar circunstancias que incrementaran el PSR de la inversión, como pudieran ser</w:t>
      </w:r>
      <w:r w:rsidR="0078387C">
        <w:rPr>
          <w:lang w:val="es-ES_tradnl"/>
        </w:rPr>
        <w:t xml:space="preserve"> variaciones cambiarias, por </w:t>
      </w:r>
      <w:r w:rsidR="00AF60D9">
        <w:rPr>
          <w:lang w:val="es-ES_tradnl"/>
        </w:rPr>
        <w:t>estacionalidad, por una implementación o coordinación imperfecta o por sesgos en la información disponible para elaborar el estudio anterior, entre otros factores</w:t>
      </w:r>
      <w:r w:rsidR="00020D0B">
        <w:rPr>
          <w:lang w:val="es-ES_tradnl"/>
        </w:rPr>
        <w:t>.</w:t>
      </w:r>
    </w:p>
    <w:p w14:paraId="65614FC0" w14:textId="64F30C58" w:rsidR="00085CAE" w:rsidRPr="00085CAE" w:rsidRDefault="00020D0B" w:rsidP="00085CAE">
      <w:pPr>
        <w:pStyle w:val="ListParagraph"/>
        <w:numPr>
          <w:ilvl w:val="0"/>
          <w:numId w:val="2"/>
        </w:numPr>
        <w:jc w:val="both"/>
        <w:rPr>
          <w:lang w:val="es-ES_tradnl"/>
        </w:rPr>
      </w:pPr>
      <w:r>
        <w:rPr>
          <w:lang w:val="es-ES_tradnl"/>
        </w:rPr>
        <w:t>Se podrían</w:t>
      </w:r>
      <w:r w:rsidRPr="00085CAE">
        <w:rPr>
          <w:lang w:val="es-ES_tradnl"/>
        </w:rPr>
        <w:t xml:space="preserve"> </w:t>
      </w:r>
      <w:r>
        <w:rPr>
          <w:lang w:val="es-ES_tradnl"/>
        </w:rPr>
        <w:t xml:space="preserve">presentar </w:t>
      </w:r>
      <w:r w:rsidR="00DA621B" w:rsidRPr="00085CAE">
        <w:rPr>
          <w:lang w:val="es-ES_tradnl"/>
        </w:rPr>
        <w:t>retrasos en la</w:t>
      </w:r>
      <w:r w:rsidR="00085CAE" w:rsidRPr="00085CAE">
        <w:rPr>
          <w:lang w:val="es-ES_tradnl"/>
        </w:rPr>
        <w:t xml:space="preserve"> implementación de las medidas</w:t>
      </w:r>
      <w:r>
        <w:rPr>
          <w:lang w:val="es-ES_tradnl"/>
        </w:rPr>
        <w:t>, de tal manera que la generación de los ahorros se retrasara respecto a las fechas originalmente contempladas.</w:t>
      </w:r>
    </w:p>
    <w:p w14:paraId="0465014B" w14:textId="41B515D3" w:rsidR="004A2F2B" w:rsidRPr="004A2F2B" w:rsidRDefault="00085CAE" w:rsidP="000B6758">
      <w:pPr>
        <w:pStyle w:val="ListParagraph"/>
        <w:numPr>
          <w:ilvl w:val="0"/>
          <w:numId w:val="2"/>
        </w:numPr>
        <w:jc w:val="both"/>
        <w:rPr>
          <w:lang w:val="es-ES_tradnl"/>
        </w:rPr>
      </w:pPr>
      <w:r w:rsidRPr="00085CAE">
        <w:rPr>
          <w:lang w:val="es-ES_tradnl"/>
        </w:rPr>
        <w:t>L</w:t>
      </w:r>
      <w:r w:rsidR="00DA621B" w:rsidRPr="00085CAE">
        <w:rPr>
          <w:lang w:val="es-ES_tradnl"/>
        </w:rPr>
        <w:t>a valoración de las emisiones de carbono en los mercados globales</w:t>
      </w:r>
      <w:r w:rsidRPr="00085CAE">
        <w:rPr>
          <w:lang w:val="es-ES_tradnl"/>
        </w:rPr>
        <w:t>,</w:t>
      </w:r>
      <w:r w:rsidR="0078387C">
        <w:rPr>
          <w:lang w:val="es-ES_tradnl"/>
        </w:rPr>
        <w:t xml:space="preserve"> considerando que las emisiones obtienen diferentes cotizaciones en distintos mercados</w:t>
      </w:r>
      <w:r w:rsidR="00266469">
        <w:rPr>
          <w:lang w:val="es-ES_tradnl"/>
        </w:rPr>
        <w:t>. Se utilizaron valores de futuros de emisiones de carbono del Intercontinental Exchange, basado en el Reino Unido</w:t>
      </w:r>
      <w:r w:rsidR="00D37DFC">
        <w:rPr>
          <w:lang w:val="es-ES_tradnl"/>
        </w:rPr>
        <w:t xml:space="preserve"> (como reportados en </w:t>
      </w:r>
      <w:r w:rsidR="00D37DFC" w:rsidRPr="00D37DFC">
        <w:rPr>
          <w:i/>
          <w:lang w:val="es-ES_tradnl"/>
        </w:rPr>
        <w:t>Investing.com</w:t>
      </w:r>
      <w:r w:rsidR="00D37DFC">
        <w:rPr>
          <w:lang w:val="es-ES_tradnl"/>
        </w:rPr>
        <w:t>)</w:t>
      </w:r>
      <w:r w:rsidR="005313ED">
        <w:rPr>
          <w:rStyle w:val="FootnoteReference"/>
          <w:lang w:val="es-ES_tradnl"/>
        </w:rPr>
        <w:footnoteReference w:id="1"/>
      </w:r>
      <w:r w:rsidR="00266469">
        <w:rPr>
          <w:lang w:val="es-ES_tradnl"/>
        </w:rPr>
        <w:t>, y del mercado de carbono de California</w:t>
      </w:r>
      <w:r w:rsidR="005313ED" w:rsidRPr="000E6F1C">
        <w:rPr>
          <w:rStyle w:val="FootnoteReference"/>
          <w:lang w:val="es-MX"/>
        </w:rPr>
        <w:footnoteReference w:id="2"/>
      </w:r>
      <w:r w:rsidR="00266469">
        <w:rPr>
          <w:lang w:val="es-ES_tradnl"/>
        </w:rPr>
        <w:t>.</w:t>
      </w:r>
      <w:r w:rsidR="009E2D3A" w:rsidRPr="00085CAE">
        <w:rPr>
          <w:lang w:val="es-ES_tradnl"/>
        </w:rPr>
        <w:t xml:space="preserve"> </w:t>
      </w:r>
    </w:p>
    <w:p w14:paraId="6CDBD1A6" w14:textId="21B6FAFE" w:rsidR="002766B3" w:rsidRDefault="000E6F1C" w:rsidP="0052355A">
      <w:pPr>
        <w:jc w:val="both"/>
        <w:rPr>
          <w:lang w:val="es-ES_tradnl"/>
        </w:rPr>
      </w:pPr>
      <w:r w:rsidRPr="000E6F1C">
        <w:rPr>
          <w:lang w:val="es-ES_tradnl"/>
        </w:rPr>
        <w:t>Los resultados de las sensibilizaciones efectuadas se muestras a continuación:</w:t>
      </w:r>
    </w:p>
    <w:p w14:paraId="03C79454" w14:textId="45207C57" w:rsidR="00965EC6" w:rsidRPr="003A4427" w:rsidRDefault="00DF459E" w:rsidP="003A4427">
      <w:pPr>
        <w:jc w:val="both"/>
        <w:rPr>
          <w:i/>
          <w:lang w:val="es-ES_tradnl"/>
        </w:rPr>
      </w:pPr>
      <w:r>
        <w:rPr>
          <w:i/>
          <w:lang w:val="es-MX"/>
        </w:rPr>
        <w:t>Tabla 2</w:t>
      </w:r>
      <w:r w:rsidRPr="00E1518A">
        <w:rPr>
          <w:i/>
          <w:lang w:val="es-MX"/>
        </w:rPr>
        <w:t xml:space="preserve">: </w:t>
      </w:r>
      <w:r>
        <w:rPr>
          <w:i/>
          <w:lang w:val="es-MX"/>
        </w:rPr>
        <w:t>Indicadores resultantes del análisis costo/beneficio para variaciones en el PSR de las inversiones.</w:t>
      </w:r>
    </w:p>
    <w:tbl>
      <w:tblPr>
        <w:tblStyle w:val="TableGrid"/>
        <w:tblW w:w="0" w:type="auto"/>
        <w:jc w:val="center"/>
        <w:tblLayout w:type="fixed"/>
        <w:tblLook w:val="04A0" w:firstRow="1" w:lastRow="0" w:firstColumn="1" w:lastColumn="0" w:noHBand="0" w:noVBand="1"/>
      </w:tblPr>
      <w:tblGrid>
        <w:gridCol w:w="2085"/>
        <w:gridCol w:w="1222"/>
        <w:gridCol w:w="1130"/>
        <w:gridCol w:w="1222"/>
      </w:tblGrid>
      <w:tr w:rsidR="00C931BD" w:rsidRPr="00AF60D9" w14:paraId="723B3598" w14:textId="5C8B5C0C" w:rsidTr="00965EC6">
        <w:trPr>
          <w:jc w:val="center"/>
        </w:trPr>
        <w:tc>
          <w:tcPr>
            <w:tcW w:w="2085" w:type="dxa"/>
          </w:tcPr>
          <w:p w14:paraId="19E7C895" w14:textId="77777777" w:rsidR="00C931BD" w:rsidRPr="0004521F" w:rsidRDefault="00C931BD" w:rsidP="00C931BD">
            <w:pPr>
              <w:jc w:val="both"/>
              <w:rPr>
                <w:sz w:val="18"/>
                <w:szCs w:val="20"/>
                <w:lang w:val="es-MX"/>
              </w:rPr>
            </w:pPr>
          </w:p>
        </w:tc>
        <w:tc>
          <w:tcPr>
            <w:tcW w:w="1222" w:type="dxa"/>
          </w:tcPr>
          <w:p w14:paraId="6C06AF87" w14:textId="77777777" w:rsidR="00C931BD" w:rsidRPr="0004521F" w:rsidRDefault="00C931BD" w:rsidP="00C931BD">
            <w:pPr>
              <w:jc w:val="both"/>
              <w:rPr>
                <w:sz w:val="18"/>
                <w:szCs w:val="20"/>
                <w:lang w:val="es-MX"/>
              </w:rPr>
            </w:pPr>
            <w:r w:rsidRPr="0004521F">
              <w:rPr>
                <w:sz w:val="18"/>
                <w:szCs w:val="20"/>
                <w:lang w:val="es-MX"/>
              </w:rPr>
              <w:t>Caso base</w:t>
            </w:r>
          </w:p>
        </w:tc>
        <w:tc>
          <w:tcPr>
            <w:tcW w:w="1130" w:type="dxa"/>
          </w:tcPr>
          <w:p w14:paraId="5788BF1C" w14:textId="676C8353" w:rsidR="00C931BD" w:rsidRPr="0004521F" w:rsidRDefault="00C931BD" w:rsidP="00C931BD">
            <w:pPr>
              <w:jc w:val="both"/>
              <w:rPr>
                <w:sz w:val="18"/>
                <w:szCs w:val="20"/>
                <w:lang w:val="es-MX"/>
              </w:rPr>
            </w:pPr>
            <w:r w:rsidRPr="0004521F">
              <w:rPr>
                <w:sz w:val="18"/>
                <w:szCs w:val="20"/>
                <w:lang w:val="es-MX"/>
              </w:rPr>
              <w:t xml:space="preserve">PSR </w:t>
            </w:r>
            <w:r w:rsidR="00992231">
              <w:rPr>
                <w:sz w:val="18"/>
                <w:szCs w:val="20"/>
                <w:lang w:val="es-MX"/>
              </w:rPr>
              <w:t>pesimista</w:t>
            </w:r>
          </w:p>
        </w:tc>
        <w:tc>
          <w:tcPr>
            <w:tcW w:w="1222" w:type="dxa"/>
          </w:tcPr>
          <w:p w14:paraId="341872C2" w14:textId="77777777" w:rsidR="00C931BD" w:rsidRPr="0004521F" w:rsidRDefault="00C931BD" w:rsidP="00C931BD">
            <w:pPr>
              <w:jc w:val="both"/>
              <w:rPr>
                <w:sz w:val="18"/>
                <w:szCs w:val="20"/>
                <w:lang w:val="es-MX"/>
              </w:rPr>
            </w:pPr>
            <w:r w:rsidRPr="0004521F">
              <w:rPr>
                <w:sz w:val="18"/>
                <w:szCs w:val="20"/>
                <w:lang w:val="es-MX"/>
              </w:rPr>
              <w:t>PSR optimista</w:t>
            </w:r>
          </w:p>
        </w:tc>
      </w:tr>
      <w:tr w:rsidR="00C931BD" w:rsidRPr="000E6F1C" w14:paraId="4D9237CD" w14:textId="4C989DBE" w:rsidTr="00965EC6">
        <w:trPr>
          <w:jc w:val="center"/>
        </w:trPr>
        <w:tc>
          <w:tcPr>
            <w:tcW w:w="2085" w:type="dxa"/>
          </w:tcPr>
          <w:p w14:paraId="6484001A" w14:textId="77777777" w:rsidR="00C931BD" w:rsidRPr="0004521F" w:rsidRDefault="00C931BD" w:rsidP="00C931BD">
            <w:pPr>
              <w:jc w:val="both"/>
              <w:rPr>
                <w:sz w:val="18"/>
                <w:szCs w:val="20"/>
              </w:rPr>
            </w:pPr>
            <w:r w:rsidRPr="0004521F">
              <w:rPr>
                <w:sz w:val="18"/>
                <w:szCs w:val="20"/>
                <w:lang w:val="es-MX"/>
              </w:rPr>
              <w:t xml:space="preserve">PSR de MEE </w:t>
            </w:r>
            <w:r w:rsidRPr="0004521F">
              <w:rPr>
                <w:sz w:val="18"/>
                <w:szCs w:val="20"/>
              </w:rPr>
              <w:t>(</w:t>
            </w:r>
            <w:proofErr w:type="spellStart"/>
            <w:r w:rsidRPr="0004521F">
              <w:rPr>
                <w:sz w:val="18"/>
                <w:szCs w:val="20"/>
              </w:rPr>
              <w:t>Iluminación</w:t>
            </w:r>
            <w:proofErr w:type="spellEnd"/>
            <w:r w:rsidRPr="0004521F">
              <w:rPr>
                <w:sz w:val="18"/>
                <w:szCs w:val="20"/>
              </w:rPr>
              <w:t>)</w:t>
            </w:r>
          </w:p>
        </w:tc>
        <w:tc>
          <w:tcPr>
            <w:tcW w:w="1222" w:type="dxa"/>
          </w:tcPr>
          <w:p w14:paraId="3704D743" w14:textId="77777777" w:rsidR="00C931BD" w:rsidRPr="0004521F" w:rsidRDefault="00C931BD" w:rsidP="00C931BD">
            <w:pPr>
              <w:jc w:val="both"/>
              <w:rPr>
                <w:sz w:val="18"/>
                <w:szCs w:val="20"/>
                <w:lang w:val="es-MX"/>
              </w:rPr>
            </w:pPr>
            <w:r w:rsidRPr="0004521F">
              <w:rPr>
                <w:sz w:val="18"/>
                <w:szCs w:val="20"/>
                <w:lang w:val="es-MX"/>
              </w:rPr>
              <w:t>3.80</w:t>
            </w:r>
          </w:p>
        </w:tc>
        <w:tc>
          <w:tcPr>
            <w:tcW w:w="1130" w:type="dxa"/>
          </w:tcPr>
          <w:p w14:paraId="4FC2FBCE" w14:textId="77777777" w:rsidR="00C931BD" w:rsidRPr="0004521F" w:rsidRDefault="00C931BD" w:rsidP="00C931BD">
            <w:pPr>
              <w:jc w:val="both"/>
              <w:rPr>
                <w:sz w:val="18"/>
                <w:szCs w:val="20"/>
                <w:lang w:val="es-MX"/>
              </w:rPr>
            </w:pPr>
            <w:r w:rsidRPr="0004521F">
              <w:rPr>
                <w:sz w:val="18"/>
                <w:szCs w:val="20"/>
                <w:lang w:val="es-MX"/>
              </w:rPr>
              <w:t>4.80</w:t>
            </w:r>
          </w:p>
        </w:tc>
        <w:tc>
          <w:tcPr>
            <w:tcW w:w="1222" w:type="dxa"/>
          </w:tcPr>
          <w:p w14:paraId="0642FF35" w14:textId="77777777" w:rsidR="00C931BD" w:rsidRPr="0004521F" w:rsidRDefault="00C931BD" w:rsidP="00C931BD">
            <w:pPr>
              <w:jc w:val="both"/>
              <w:rPr>
                <w:sz w:val="18"/>
                <w:szCs w:val="20"/>
                <w:lang w:val="es-MX"/>
              </w:rPr>
            </w:pPr>
            <w:r w:rsidRPr="0004521F">
              <w:rPr>
                <w:sz w:val="18"/>
                <w:szCs w:val="20"/>
              </w:rPr>
              <w:t>3.30</w:t>
            </w:r>
          </w:p>
        </w:tc>
      </w:tr>
      <w:tr w:rsidR="00C931BD" w:rsidRPr="000E6F1C" w14:paraId="7FFEFD69" w14:textId="0DCB6274" w:rsidTr="00965EC6">
        <w:trPr>
          <w:jc w:val="center"/>
        </w:trPr>
        <w:tc>
          <w:tcPr>
            <w:tcW w:w="2085" w:type="dxa"/>
          </w:tcPr>
          <w:p w14:paraId="7D738CC9" w14:textId="77777777" w:rsidR="00C931BD" w:rsidRPr="0004521F" w:rsidRDefault="00C931BD" w:rsidP="00C931BD">
            <w:pPr>
              <w:jc w:val="both"/>
              <w:rPr>
                <w:sz w:val="18"/>
                <w:szCs w:val="20"/>
                <w:lang w:val="es-MX"/>
              </w:rPr>
            </w:pPr>
            <w:r w:rsidRPr="0004521F">
              <w:rPr>
                <w:sz w:val="18"/>
                <w:szCs w:val="20"/>
                <w:lang w:val="es-MX"/>
              </w:rPr>
              <w:t xml:space="preserve">PSR de MEE </w:t>
            </w:r>
            <w:r w:rsidRPr="0004521F">
              <w:rPr>
                <w:sz w:val="18"/>
                <w:szCs w:val="20"/>
              </w:rPr>
              <w:t>(AC)</w:t>
            </w:r>
          </w:p>
        </w:tc>
        <w:tc>
          <w:tcPr>
            <w:tcW w:w="1222" w:type="dxa"/>
          </w:tcPr>
          <w:p w14:paraId="54ECE8A4" w14:textId="77777777" w:rsidR="00C931BD" w:rsidRPr="0004521F" w:rsidRDefault="00C931BD" w:rsidP="00C931BD">
            <w:pPr>
              <w:jc w:val="both"/>
              <w:rPr>
                <w:sz w:val="18"/>
                <w:szCs w:val="20"/>
                <w:lang w:val="es-MX"/>
              </w:rPr>
            </w:pPr>
            <w:r w:rsidRPr="0004521F">
              <w:rPr>
                <w:sz w:val="18"/>
                <w:szCs w:val="20"/>
                <w:lang w:val="es-MX"/>
              </w:rPr>
              <w:t>4.29</w:t>
            </w:r>
          </w:p>
        </w:tc>
        <w:tc>
          <w:tcPr>
            <w:tcW w:w="1130" w:type="dxa"/>
          </w:tcPr>
          <w:p w14:paraId="1FA5AB87" w14:textId="77777777" w:rsidR="00C931BD" w:rsidRPr="0004521F" w:rsidRDefault="00C931BD" w:rsidP="00C931BD">
            <w:pPr>
              <w:jc w:val="both"/>
              <w:rPr>
                <w:sz w:val="18"/>
                <w:szCs w:val="20"/>
                <w:lang w:val="es-MX"/>
              </w:rPr>
            </w:pPr>
            <w:r w:rsidRPr="0004521F">
              <w:rPr>
                <w:sz w:val="18"/>
                <w:szCs w:val="20"/>
                <w:lang w:val="es-MX"/>
              </w:rPr>
              <w:t>5.29</w:t>
            </w:r>
          </w:p>
        </w:tc>
        <w:tc>
          <w:tcPr>
            <w:tcW w:w="1222" w:type="dxa"/>
          </w:tcPr>
          <w:p w14:paraId="31B22C9D" w14:textId="77777777" w:rsidR="00C931BD" w:rsidRPr="0004521F" w:rsidRDefault="00C931BD" w:rsidP="00C931BD">
            <w:pPr>
              <w:jc w:val="both"/>
              <w:rPr>
                <w:sz w:val="18"/>
                <w:szCs w:val="20"/>
                <w:lang w:val="es-MX"/>
              </w:rPr>
            </w:pPr>
            <w:r w:rsidRPr="0004521F">
              <w:rPr>
                <w:sz w:val="18"/>
                <w:szCs w:val="20"/>
                <w:lang w:val="es-MX"/>
              </w:rPr>
              <w:t>3.79</w:t>
            </w:r>
          </w:p>
        </w:tc>
      </w:tr>
      <w:tr w:rsidR="00C931BD" w:rsidRPr="000E6F1C" w14:paraId="7206B425" w14:textId="05963972" w:rsidTr="00965EC6">
        <w:trPr>
          <w:trHeight w:val="771"/>
          <w:jc w:val="center"/>
        </w:trPr>
        <w:tc>
          <w:tcPr>
            <w:tcW w:w="2085" w:type="dxa"/>
          </w:tcPr>
          <w:p w14:paraId="744C9B4E" w14:textId="77777777" w:rsidR="00C931BD" w:rsidRPr="0004521F" w:rsidRDefault="00C931BD" w:rsidP="00C931BD">
            <w:pPr>
              <w:jc w:val="both"/>
              <w:rPr>
                <w:sz w:val="18"/>
                <w:szCs w:val="20"/>
                <w:lang w:val="es-MX"/>
              </w:rPr>
            </w:pPr>
            <w:r w:rsidRPr="0004521F">
              <w:rPr>
                <w:sz w:val="18"/>
                <w:szCs w:val="20"/>
                <w:lang w:val="es-MX"/>
              </w:rPr>
              <w:t>PSR de MEE (Cambio tarifa)</w:t>
            </w:r>
          </w:p>
        </w:tc>
        <w:tc>
          <w:tcPr>
            <w:tcW w:w="1222" w:type="dxa"/>
          </w:tcPr>
          <w:p w14:paraId="39EEEA69" w14:textId="77777777" w:rsidR="00C931BD" w:rsidRPr="0004521F" w:rsidRDefault="00C931BD" w:rsidP="00C931BD">
            <w:pPr>
              <w:jc w:val="both"/>
              <w:rPr>
                <w:sz w:val="18"/>
                <w:szCs w:val="20"/>
                <w:lang w:val="es-MX"/>
              </w:rPr>
            </w:pPr>
            <w:r w:rsidRPr="0004521F">
              <w:rPr>
                <w:sz w:val="18"/>
                <w:szCs w:val="20"/>
                <w:lang w:val="es-MX"/>
              </w:rPr>
              <w:t>3.81</w:t>
            </w:r>
          </w:p>
        </w:tc>
        <w:tc>
          <w:tcPr>
            <w:tcW w:w="1130" w:type="dxa"/>
          </w:tcPr>
          <w:p w14:paraId="1DA3875A" w14:textId="77777777" w:rsidR="00C931BD" w:rsidRPr="0004521F" w:rsidRDefault="00C931BD" w:rsidP="00C931BD">
            <w:pPr>
              <w:jc w:val="both"/>
              <w:rPr>
                <w:sz w:val="18"/>
                <w:szCs w:val="20"/>
                <w:lang w:val="es-MX"/>
              </w:rPr>
            </w:pPr>
            <w:r w:rsidRPr="0004521F">
              <w:rPr>
                <w:sz w:val="18"/>
                <w:szCs w:val="20"/>
                <w:lang w:val="es-MX"/>
              </w:rPr>
              <w:t>4.81</w:t>
            </w:r>
          </w:p>
        </w:tc>
        <w:tc>
          <w:tcPr>
            <w:tcW w:w="1222" w:type="dxa"/>
          </w:tcPr>
          <w:p w14:paraId="258C4CEE" w14:textId="77777777" w:rsidR="00C931BD" w:rsidRPr="0004521F" w:rsidRDefault="00C931BD" w:rsidP="00C931BD">
            <w:pPr>
              <w:jc w:val="both"/>
              <w:rPr>
                <w:sz w:val="18"/>
                <w:szCs w:val="20"/>
                <w:lang w:val="es-MX"/>
              </w:rPr>
            </w:pPr>
            <w:r w:rsidRPr="0004521F">
              <w:rPr>
                <w:sz w:val="18"/>
                <w:szCs w:val="20"/>
              </w:rPr>
              <w:t>3.31</w:t>
            </w:r>
          </w:p>
        </w:tc>
      </w:tr>
      <w:tr w:rsidR="00C931BD" w:rsidRPr="000E6F1C" w14:paraId="5F7F5ACF" w14:textId="335C3E21" w:rsidTr="00965EC6">
        <w:trPr>
          <w:jc w:val="center"/>
        </w:trPr>
        <w:tc>
          <w:tcPr>
            <w:tcW w:w="2085" w:type="dxa"/>
          </w:tcPr>
          <w:p w14:paraId="0639DD71" w14:textId="77777777" w:rsidR="00C931BD" w:rsidRPr="0004521F" w:rsidRDefault="00C931BD" w:rsidP="00C931BD">
            <w:pPr>
              <w:jc w:val="both"/>
              <w:rPr>
                <w:sz w:val="18"/>
                <w:szCs w:val="20"/>
                <w:lang w:val="es-MX"/>
              </w:rPr>
            </w:pPr>
            <w:r w:rsidRPr="0004521F">
              <w:rPr>
                <w:sz w:val="18"/>
                <w:szCs w:val="20"/>
                <w:lang w:val="es-MX"/>
              </w:rPr>
              <w:t xml:space="preserve">Costo operativo </w:t>
            </w:r>
          </w:p>
        </w:tc>
        <w:tc>
          <w:tcPr>
            <w:tcW w:w="1222" w:type="dxa"/>
          </w:tcPr>
          <w:p w14:paraId="74F0F51D" w14:textId="325D45F4" w:rsidR="00C931BD" w:rsidRPr="0004521F" w:rsidRDefault="00C931BD" w:rsidP="00C931BD">
            <w:pPr>
              <w:jc w:val="both"/>
              <w:rPr>
                <w:sz w:val="18"/>
                <w:szCs w:val="20"/>
              </w:rPr>
            </w:pPr>
            <w:r w:rsidRPr="0004521F">
              <w:rPr>
                <w:sz w:val="18"/>
                <w:szCs w:val="20"/>
                <w:lang w:val="es-MX"/>
              </w:rPr>
              <w:t xml:space="preserve">3 </w:t>
            </w:r>
            <w:r w:rsidR="00310D28">
              <w:rPr>
                <w:sz w:val="18"/>
                <w:szCs w:val="20"/>
                <w:lang w:val="es-MX"/>
              </w:rPr>
              <w:t>MDD</w:t>
            </w:r>
          </w:p>
        </w:tc>
        <w:tc>
          <w:tcPr>
            <w:tcW w:w="1130" w:type="dxa"/>
          </w:tcPr>
          <w:p w14:paraId="5AF85B29" w14:textId="3F517629" w:rsidR="00C931BD" w:rsidRPr="0004521F" w:rsidRDefault="00C931BD" w:rsidP="00C931BD">
            <w:pPr>
              <w:jc w:val="both"/>
              <w:rPr>
                <w:sz w:val="18"/>
                <w:szCs w:val="20"/>
              </w:rPr>
            </w:pPr>
            <w:r w:rsidRPr="0004521F">
              <w:rPr>
                <w:sz w:val="18"/>
                <w:szCs w:val="20"/>
                <w:lang w:val="es-MX"/>
              </w:rPr>
              <w:t xml:space="preserve">3 </w:t>
            </w:r>
            <w:r w:rsidR="00310D28">
              <w:rPr>
                <w:sz w:val="18"/>
                <w:szCs w:val="20"/>
                <w:lang w:val="es-MX"/>
              </w:rPr>
              <w:t>MDD</w:t>
            </w:r>
          </w:p>
        </w:tc>
        <w:tc>
          <w:tcPr>
            <w:tcW w:w="1222" w:type="dxa"/>
          </w:tcPr>
          <w:p w14:paraId="04CE1707" w14:textId="332ED88A" w:rsidR="00C931BD" w:rsidRPr="0004521F" w:rsidRDefault="00C931BD" w:rsidP="00C931BD">
            <w:pPr>
              <w:jc w:val="both"/>
              <w:rPr>
                <w:sz w:val="18"/>
                <w:szCs w:val="20"/>
                <w:lang w:val="es-MX"/>
              </w:rPr>
            </w:pPr>
            <w:r w:rsidRPr="0004521F">
              <w:rPr>
                <w:sz w:val="18"/>
                <w:szCs w:val="20"/>
                <w:lang w:val="es-MX"/>
              </w:rPr>
              <w:t xml:space="preserve">3 </w:t>
            </w:r>
            <w:r w:rsidR="00310D28">
              <w:rPr>
                <w:sz w:val="18"/>
                <w:szCs w:val="20"/>
                <w:lang w:val="es-MX"/>
              </w:rPr>
              <w:t>MDD</w:t>
            </w:r>
          </w:p>
        </w:tc>
      </w:tr>
      <w:tr w:rsidR="00C931BD" w:rsidRPr="000E6F1C" w14:paraId="6A7A21C1" w14:textId="43348C7B" w:rsidTr="00965EC6">
        <w:trPr>
          <w:jc w:val="center"/>
        </w:trPr>
        <w:tc>
          <w:tcPr>
            <w:tcW w:w="2085" w:type="dxa"/>
          </w:tcPr>
          <w:p w14:paraId="33CB8E58" w14:textId="77777777" w:rsidR="00C931BD" w:rsidRPr="0004521F" w:rsidRDefault="00C931BD" w:rsidP="00C931BD">
            <w:pPr>
              <w:jc w:val="both"/>
              <w:rPr>
                <w:sz w:val="18"/>
                <w:szCs w:val="20"/>
                <w:lang w:val="es-MX"/>
              </w:rPr>
            </w:pPr>
            <w:r w:rsidRPr="0004521F">
              <w:rPr>
                <w:sz w:val="18"/>
                <w:szCs w:val="20"/>
                <w:lang w:val="es-MX"/>
              </w:rPr>
              <w:t>Desfase entre inversión y generación de ahorros</w:t>
            </w:r>
          </w:p>
        </w:tc>
        <w:tc>
          <w:tcPr>
            <w:tcW w:w="1222" w:type="dxa"/>
          </w:tcPr>
          <w:p w14:paraId="232082F6" w14:textId="77777777" w:rsidR="00C931BD" w:rsidRPr="0004521F" w:rsidRDefault="00C931BD" w:rsidP="00C931BD">
            <w:pPr>
              <w:jc w:val="both"/>
              <w:rPr>
                <w:sz w:val="18"/>
                <w:szCs w:val="20"/>
              </w:rPr>
            </w:pPr>
            <w:r w:rsidRPr="0004521F">
              <w:rPr>
                <w:sz w:val="18"/>
                <w:szCs w:val="20"/>
                <w:lang w:val="es-MX"/>
              </w:rPr>
              <w:t>1 trimestre</w:t>
            </w:r>
          </w:p>
        </w:tc>
        <w:tc>
          <w:tcPr>
            <w:tcW w:w="1130" w:type="dxa"/>
          </w:tcPr>
          <w:p w14:paraId="314CEBAA" w14:textId="77777777" w:rsidR="00C931BD" w:rsidRPr="0004521F" w:rsidRDefault="00C931BD" w:rsidP="00C931BD">
            <w:pPr>
              <w:jc w:val="both"/>
              <w:rPr>
                <w:sz w:val="18"/>
                <w:szCs w:val="20"/>
              </w:rPr>
            </w:pPr>
            <w:r w:rsidRPr="0004521F">
              <w:rPr>
                <w:sz w:val="18"/>
                <w:szCs w:val="20"/>
                <w:lang w:val="es-MX"/>
              </w:rPr>
              <w:t>1 trimestre</w:t>
            </w:r>
          </w:p>
        </w:tc>
        <w:tc>
          <w:tcPr>
            <w:tcW w:w="1222" w:type="dxa"/>
          </w:tcPr>
          <w:p w14:paraId="6EF9997E" w14:textId="77777777" w:rsidR="00C931BD" w:rsidRPr="0004521F" w:rsidRDefault="00C931BD" w:rsidP="00C931BD">
            <w:pPr>
              <w:jc w:val="both"/>
              <w:rPr>
                <w:sz w:val="18"/>
                <w:szCs w:val="20"/>
                <w:lang w:val="es-MX"/>
              </w:rPr>
            </w:pPr>
            <w:r w:rsidRPr="0004521F">
              <w:rPr>
                <w:sz w:val="18"/>
                <w:szCs w:val="20"/>
                <w:lang w:val="es-MX"/>
              </w:rPr>
              <w:t>1 trimestre</w:t>
            </w:r>
          </w:p>
        </w:tc>
      </w:tr>
      <w:tr w:rsidR="00C931BD" w:rsidRPr="00266469" w14:paraId="76EBEECF" w14:textId="1F80E6B2" w:rsidTr="00965EC6">
        <w:trPr>
          <w:jc w:val="center"/>
        </w:trPr>
        <w:tc>
          <w:tcPr>
            <w:tcW w:w="2085" w:type="dxa"/>
          </w:tcPr>
          <w:p w14:paraId="6A6DD515" w14:textId="77777777" w:rsidR="00C931BD" w:rsidRPr="0004521F" w:rsidRDefault="00C931BD" w:rsidP="00C931BD">
            <w:pPr>
              <w:jc w:val="both"/>
              <w:rPr>
                <w:sz w:val="18"/>
                <w:szCs w:val="20"/>
                <w:lang w:val="es-MX"/>
              </w:rPr>
            </w:pPr>
            <w:r w:rsidRPr="0004521F">
              <w:rPr>
                <w:sz w:val="18"/>
                <w:szCs w:val="20"/>
                <w:lang w:val="es-MX"/>
              </w:rPr>
              <w:t>Precio de tonelada CO2</w:t>
            </w:r>
          </w:p>
        </w:tc>
        <w:tc>
          <w:tcPr>
            <w:tcW w:w="1222" w:type="dxa"/>
          </w:tcPr>
          <w:p w14:paraId="12947D05" w14:textId="3A159221" w:rsidR="00C931BD" w:rsidRPr="00C931BD" w:rsidRDefault="00C931BD" w:rsidP="00C931BD">
            <w:pPr>
              <w:jc w:val="both"/>
              <w:rPr>
                <w:sz w:val="18"/>
                <w:szCs w:val="20"/>
              </w:rPr>
            </w:pPr>
            <w:r w:rsidRPr="00C931BD">
              <w:rPr>
                <w:sz w:val="18"/>
                <w:szCs w:val="20"/>
              </w:rPr>
              <w:t>$8.45 USD</w:t>
            </w:r>
          </w:p>
        </w:tc>
        <w:tc>
          <w:tcPr>
            <w:tcW w:w="1130" w:type="dxa"/>
          </w:tcPr>
          <w:p w14:paraId="658CDBFE" w14:textId="2C4551CA" w:rsidR="00C931BD" w:rsidRPr="00C931BD" w:rsidRDefault="00C931BD" w:rsidP="00C931BD">
            <w:pPr>
              <w:jc w:val="both"/>
              <w:rPr>
                <w:color w:val="FF0000"/>
                <w:sz w:val="18"/>
                <w:szCs w:val="20"/>
              </w:rPr>
            </w:pPr>
            <w:r w:rsidRPr="00C931BD">
              <w:rPr>
                <w:sz w:val="18"/>
                <w:szCs w:val="20"/>
              </w:rPr>
              <w:t>$8.45 USD</w:t>
            </w:r>
          </w:p>
        </w:tc>
        <w:tc>
          <w:tcPr>
            <w:tcW w:w="1222" w:type="dxa"/>
          </w:tcPr>
          <w:p w14:paraId="67E07B6F" w14:textId="71D5C56D" w:rsidR="00C931BD" w:rsidRPr="00C931BD" w:rsidRDefault="00C931BD" w:rsidP="00C931BD">
            <w:pPr>
              <w:jc w:val="both"/>
              <w:rPr>
                <w:sz w:val="18"/>
                <w:szCs w:val="20"/>
              </w:rPr>
            </w:pPr>
            <w:r w:rsidRPr="00C931BD">
              <w:rPr>
                <w:sz w:val="18"/>
                <w:szCs w:val="20"/>
              </w:rPr>
              <w:t>$8.45 USD</w:t>
            </w:r>
          </w:p>
        </w:tc>
      </w:tr>
      <w:tr w:rsidR="00C931BD" w:rsidRPr="00266469" w14:paraId="151DDBF0" w14:textId="77777777" w:rsidTr="00965EC6">
        <w:trPr>
          <w:jc w:val="center"/>
        </w:trPr>
        <w:tc>
          <w:tcPr>
            <w:tcW w:w="2085" w:type="dxa"/>
          </w:tcPr>
          <w:p w14:paraId="3FE0DBCF" w14:textId="2753E30B" w:rsidR="00C931BD" w:rsidRPr="0004521F" w:rsidRDefault="00C931BD" w:rsidP="00C931BD">
            <w:pPr>
              <w:jc w:val="both"/>
              <w:rPr>
                <w:sz w:val="18"/>
                <w:szCs w:val="20"/>
                <w:lang w:val="es-MX"/>
              </w:rPr>
            </w:pPr>
            <w:r>
              <w:rPr>
                <w:sz w:val="18"/>
                <w:szCs w:val="20"/>
                <w:lang w:val="es-MX"/>
              </w:rPr>
              <w:t xml:space="preserve">Reducción anual en costo de </w:t>
            </w:r>
            <w:proofErr w:type="spellStart"/>
            <w:r>
              <w:rPr>
                <w:sz w:val="18"/>
                <w:szCs w:val="20"/>
                <w:lang w:val="es-MX"/>
              </w:rPr>
              <w:t>MEEs</w:t>
            </w:r>
            <w:proofErr w:type="spellEnd"/>
          </w:p>
        </w:tc>
        <w:tc>
          <w:tcPr>
            <w:tcW w:w="1222" w:type="dxa"/>
          </w:tcPr>
          <w:p w14:paraId="305D71C9" w14:textId="4F26A548" w:rsidR="00C931BD" w:rsidRPr="00C931BD" w:rsidRDefault="00C931BD" w:rsidP="00C931BD">
            <w:pPr>
              <w:jc w:val="both"/>
              <w:rPr>
                <w:sz w:val="18"/>
                <w:szCs w:val="20"/>
                <w:lang w:val="es-MX"/>
              </w:rPr>
            </w:pPr>
            <w:r w:rsidRPr="00C931BD">
              <w:rPr>
                <w:sz w:val="18"/>
                <w:szCs w:val="20"/>
                <w:lang w:val="es-MX"/>
              </w:rPr>
              <w:t>0%</w:t>
            </w:r>
          </w:p>
        </w:tc>
        <w:tc>
          <w:tcPr>
            <w:tcW w:w="1130" w:type="dxa"/>
          </w:tcPr>
          <w:p w14:paraId="0BE300D8" w14:textId="43A4B5A1" w:rsidR="00C931BD" w:rsidRPr="00C931BD" w:rsidRDefault="00C931BD" w:rsidP="00C931BD">
            <w:pPr>
              <w:jc w:val="both"/>
              <w:rPr>
                <w:b/>
                <w:sz w:val="18"/>
                <w:szCs w:val="20"/>
                <w:lang w:val="es-MX"/>
              </w:rPr>
            </w:pPr>
            <w:r w:rsidRPr="007271AD">
              <w:rPr>
                <w:sz w:val="18"/>
                <w:szCs w:val="20"/>
                <w:lang w:val="es-MX"/>
              </w:rPr>
              <w:t>0%</w:t>
            </w:r>
          </w:p>
        </w:tc>
        <w:tc>
          <w:tcPr>
            <w:tcW w:w="1222" w:type="dxa"/>
          </w:tcPr>
          <w:p w14:paraId="1EA40343" w14:textId="20D8C538" w:rsidR="00C931BD" w:rsidRPr="00C931BD" w:rsidRDefault="00C931BD" w:rsidP="00C931BD">
            <w:pPr>
              <w:jc w:val="both"/>
              <w:rPr>
                <w:b/>
                <w:sz w:val="18"/>
                <w:szCs w:val="20"/>
                <w:lang w:val="es-MX"/>
              </w:rPr>
            </w:pPr>
            <w:r w:rsidRPr="007271AD">
              <w:rPr>
                <w:sz w:val="18"/>
                <w:szCs w:val="20"/>
                <w:lang w:val="es-MX"/>
              </w:rPr>
              <w:t>0%</w:t>
            </w:r>
          </w:p>
        </w:tc>
      </w:tr>
      <w:tr w:rsidR="00A85437" w:rsidRPr="00A85437" w14:paraId="699D998F" w14:textId="77777777" w:rsidTr="00A85437">
        <w:trPr>
          <w:jc w:val="center"/>
        </w:trPr>
        <w:tc>
          <w:tcPr>
            <w:tcW w:w="2085" w:type="dxa"/>
          </w:tcPr>
          <w:p w14:paraId="4F6B7DE0" w14:textId="77777777" w:rsidR="00F05C71" w:rsidRPr="00A85437" w:rsidRDefault="00F05C71" w:rsidP="00F05C71">
            <w:pPr>
              <w:jc w:val="both"/>
              <w:rPr>
                <w:color w:val="000000" w:themeColor="text1"/>
                <w:sz w:val="18"/>
                <w:szCs w:val="20"/>
                <w:lang w:val="es-MX"/>
              </w:rPr>
            </w:pPr>
            <w:r w:rsidRPr="00A85437">
              <w:rPr>
                <w:color w:val="000000" w:themeColor="text1"/>
                <w:sz w:val="18"/>
                <w:szCs w:val="20"/>
                <w:lang w:val="es-MX"/>
              </w:rPr>
              <w:t>VPN</w:t>
            </w:r>
          </w:p>
        </w:tc>
        <w:tc>
          <w:tcPr>
            <w:tcW w:w="1222" w:type="dxa"/>
            <w:vAlign w:val="center"/>
          </w:tcPr>
          <w:p w14:paraId="69C8EC30" w14:textId="2735F136" w:rsidR="00F05C71" w:rsidRPr="00A85437" w:rsidRDefault="00F05C71" w:rsidP="00F05C71">
            <w:pPr>
              <w:jc w:val="both"/>
              <w:rPr>
                <w:color w:val="000000" w:themeColor="text1"/>
                <w:sz w:val="18"/>
                <w:szCs w:val="20"/>
                <w:lang w:val="es-MX"/>
              </w:rPr>
            </w:pPr>
            <w:r w:rsidRPr="00A85437">
              <w:rPr>
                <w:color w:val="000000" w:themeColor="text1"/>
                <w:sz w:val="18"/>
                <w:szCs w:val="20"/>
                <w:lang w:val="es-MX"/>
              </w:rPr>
              <w:t>377,111,287 pesos</w:t>
            </w:r>
          </w:p>
        </w:tc>
        <w:tc>
          <w:tcPr>
            <w:tcW w:w="1130" w:type="dxa"/>
            <w:vAlign w:val="center"/>
          </w:tcPr>
          <w:p w14:paraId="5C19EA44" w14:textId="5B737E9B" w:rsidR="00F05C71" w:rsidRPr="00A85437" w:rsidRDefault="00F05C71" w:rsidP="00F05C71">
            <w:pPr>
              <w:jc w:val="both"/>
              <w:rPr>
                <w:color w:val="000000" w:themeColor="text1"/>
                <w:sz w:val="18"/>
                <w:szCs w:val="20"/>
                <w:lang w:val="es-MX"/>
              </w:rPr>
            </w:pPr>
            <w:r w:rsidRPr="00A85437">
              <w:rPr>
                <w:color w:val="000000" w:themeColor="text1"/>
                <w:sz w:val="18"/>
                <w:szCs w:val="20"/>
                <w:lang w:val="es-MX"/>
              </w:rPr>
              <w:t>206,315,919 pesos</w:t>
            </w:r>
          </w:p>
        </w:tc>
        <w:tc>
          <w:tcPr>
            <w:tcW w:w="1222" w:type="dxa"/>
            <w:vAlign w:val="center"/>
          </w:tcPr>
          <w:p w14:paraId="693D2411" w14:textId="78CCDFEA" w:rsidR="00F05C71" w:rsidRPr="00A85437" w:rsidRDefault="00F05C71" w:rsidP="00F05C71">
            <w:pPr>
              <w:jc w:val="both"/>
              <w:rPr>
                <w:color w:val="000000" w:themeColor="text1"/>
                <w:sz w:val="18"/>
                <w:szCs w:val="20"/>
                <w:lang w:val="es-MX"/>
              </w:rPr>
            </w:pPr>
            <w:r w:rsidRPr="00A85437">
              <w:rPr>
                <w:color w:val="000000" w:themeColor="text1"/>
                <w:sz w:val="18"/>
                <w:szCs w:val="20"/>
                <w:lang w:val="es-MX"/>
              </w:rPr>
              <w:t>500,248,949 pesos</w:t>
            </w:r>
          </w:p>
        </w:tc>
      </w:tr>
      <w:tr w:rsidR="00F05C71" w:rsidRPr="000E6F1C" w14:paraId="4CA7C231" w14:textId="77777777" w:rsidTr="00A85437">
        <w:trPr>
          <w:jc w:val="center"/>
        </w:trPr>
        <w:tc>
          <w:tcPr>
            <w:tcW w:w="2085" w:type="dxa"/>
          </w:tcPr>
          <w:p w14:paraId="5E18E6AD" w14:textId="77777777" w:rsidR="00F05C71" w:rsidRPr="0004521F" w:rsidRDefault="00F05C71" w:rsidP="00F05C71">
            <w:pPr>
              <w:jc w:val="both"/>
              <w:rPr>
                <w:sz w:val="18"/>
                <w:szCs w:val="20"/>
                <w:lang w:val="es-MX"/>
              </w:rPr>
            </w:pPr>
            <w:r w:rsidRPr="0004521F">
              <w:rPr>
                <w:sz w:val="18"/>
                <w:szCs w:val="20"/>
                <w:lang w:val="es-MX"/>
              </w:rPr>
              <w:t>Razón Costo-beneficio</w:t>
            </w:r>
          </w:p>
        </w:tc>
        <w:tc>
          <w:tcPr>
            <w:tcW w:w="1222" w:type="dxa"/>
          </w:tcPr>
          <w:p w14:paraId="7C5671FB" w14:textId="66B70B84" w:rsidR="00F05C71" w:rsidRPr="00E1518A" w:rsidRDefault="00F05C71" w:rsidP="00F05C71">
            <w:pPr>
              <w:jc w:val="both"/>
              <w:rPr>
                <w:rFonts w:cs="Calibri"/>
                <w:color w:val="000000"/>
                <w:sz w:val="18"/>
                <w:szCs w:val="20"/>
              </w:rPr>
            </w:pPr>
            <w:r w:rsidRPr="00A85437">
              <w:rPr>
                <w:rFonts w:cs="Calibri"/>
                <w:color w:val="000000"/>
                <w:sz w:val="18"/>
                <w:szCs w:val="20"/>
              </w:rPr>
              <w:t>3.163</w:t>
            </w:r>
          </w:p>
        </w:tc>
        <w:tc>
          <w:tcPr>
            <w:tcW w:w="1130" w:type="dxa"/>
          </w:tcPr>
          <w:p w14:paraId="1B5FA30C" w14:textId="1741BC5E" w:rsidR="00F05C71" w:rsidRPr="00E1518A" w:rsidRDefault="00F05C71" w:rsidP="00F05C71">
            <w:pPr>
              <w:jc w:val="both"/>
              <w:rPr>
                <w:rFonts w:cs="Calibri"/>
                <w:color w:val="000000"/>
                <w:sz w:val="18"/>
                <w:szCs w:val="20"/>
              </w:rPr>
            </w:pPr>
            <w:r w:rsidRPr="00A85437">
              <w:rPr>
                <w:rFonts w:cs="Calibri"/>
                <w:color w:val="000000"/>
                <w:sz w:val="18"/>
                <w:szCs w:val="20"/>
              </w:rPr>
              <w:t>2.552</w:t>
            </w:r>
          </w:p>
        </w:tc>
        <w:tc>
          <w:tcPr>
            <w:tcW w:w="1222" w:type="dxa"/>
          </w:tcPr>
          <w:p w14:paraId="3EFEB663" w14:textId="4FE42DD3" w:rsidR="00F05C71" w:rsidRPr="00E1518A" w:rsidRDefault="00F05C71" w:rsidP="00F05C71">
            <w:pPr>
              <w:jc w:val="both"/>
              <w:rPr>
                <w:rFonts w:cs="Calibri"/>
                <w:color w:val="000000"/>
                <w:sz w:val="18"/>
                <w:szCs w:val="20"/>
              </w:rPr>
            </w:pPr>
            <w:r w:rsidRPr="00A85437">
              <w:rPr>
                <w:rFonts w:cs="Calibri"/>
                <w:color w:val="000000"/>
                <w:sz w:val="18"/>
                <w:szCs w:val="20"/>
              </w:rPr>
              <w:t>3.605</w:t>
            </w:r>
          </w:p>
        </w:tc>
      </w:tr>
      <w:tr w:rsidR="00F05C71" w:rsidRPr="000E6F1C" w14:paraId="69F24237" w14:textId="77777777" w:rsidTr="00A85437">
        <w:trPr>
          <w:jc w:val="center"/>
        </w:trPr>
        <w:tc>
          <w:tcPr>
            <w:tcW w:w="2085" w:type="dxa"/>
          </w:tcPr>
          <w:p w14:paraId="5AD19D8D" w14:textId="77777777" w:rsidR="00F05C71" w:rsidRPr="0004521F" w:rsidRDefault="00F05C71" w:rsidP="00F05C71">
            <w:pPr>
              <w:jc w:val="both"/>
              <w:rPr>
                <w:sz w:val="18"/>
                <w:szCs w:val="20"/>
                <w:lang w:val="es-MX"/>
              </w:rPr>
            </w:pPr>
            <w:r w:rsidRPr="0004521F">
              <w:rPr>
                <w:sz w:val="18"/>
                <w:szCs w:val="20"/>
                <w:lang w:val="es-MX"/>
              </w:rPr>
              <w:t>Tasa interna de Retorno Económico (anualizado)</w:t>
            </w:r>
          </w:p>
        </w:tc>
        <w:tc>
          <w:tcPr>
            <w:tcW w:w="1222" w:type="dxa"/>
            <w:vAlign w:val="center"/>
          </w:tcPr>
          <w:p w14:paraId="36961C90" w14:textId="7FBEE305" w:rsidR="00F05C71" w:rsidRPr="00E1518A" w:rsidRDefault="00F05C71" w:rsidP="00F05C71">
            <w:pPr>
              <w:jc w:val="both"/>
              <w:rPr>
                <w:rFonts w:cs="Calibri"/>
                <w:color w:val="000000"/>
                <w:sz w:val="18"/>
                <w:szCs w:val="20"/>
              </w:rPr>
            </w:pPr>
            <w:r w:rsidRPr="00A85437">
              <w:rPr>
                <w:rFonts w:cs="Calibri"/>
                <w:color w:val="000000"/>
                <w:sz w:val="18"/>
                <w:szCs w:val="20"/>
              </w:rPr>
              <w:t>24.76%</w:t>
            </w:r>
          </w:p>
        </w:tc>
        <w:tc>
          <w:tcPr>
            <w:tcW w:w="1130" w:type="dxa"/>
            <w:vAlign w:val="center"/>
          </w:tcPr>
          <w:p w14:paraId="37D2A132" w14:textId="5918422F" w:rsidR="00F05C71" w:rsidRPr="00E1518A" w:rsidRDefault="00F05C71" w:rsidP="00F05C71">
            <w:pPr>
              <w:jc w:val="both"/>
              <w:rPr>
                <w:rFonts w:cs="Calibri"/>
                <w:color w:val="000000"/>
                <w:sz w:val="18"/>
                <w:szCs w:val="20"/>
              </w:rPr>
            </w:pPr>
            <w:r w:rsidRPr="00A85437">
              <w:rPr>
                <w:rFonts w:cs="Calibri"/>
                <w:color w:val="000000"/>
                <w:sz w:val="18"/>
                <w:szCs w:val="20"/>
              </w:rPr>
              <w:t>17.29%</w:t>
            </w:r>
          </w:p>
        </w:tc>
        <w:tc>
          <w:tcPr>
            <w:tcW w:w="1222" w:type="dxa"/>
            <w:vAlign w:val="center"/>
          </w:tcPr>
          <w:p w14:paraId="267ECFAF" w14:textId="12AFD939" w:rsidR="00F05C71" w:rsidRPr="00E1518A" w:rsidRDefault="00F05C71" w:rsidP="00F05C71">
            <w:pPr>
              <w:jc w:val="both"/>
              <w:rPr>
                <w:rFonts w:cs="Calibri"/>
                <w:color w:val="000000"/>
                <w:sz w:val="18"/>
                <w:szCs w:val="20"/>
              </w:rPr>
            </w:pPr>
            <w:r w:rsidRPr="00A85437">
              <w:rPr>
                <w:rFonts w:cs="Calibri"/>
                <w:color w:val="000000"/>
                <w:sz w:val="18"/>
                <w:szCs w:val="20"/>
              </w:rPr>
              <w:t>29.23%</w:t>
            </w:r>
          </w:p>
        </w:tc>
      </w:tr>
      <w:tr w:rsidR="00F05C71" w:rsidRPr="000E6F1C" w14:paraId="4E0A5A73" w14:textId="77777777" w:rsidTr="00A85437">
        <w:trPr>
          <w:jc w:val="center"/>
        </w:trPr>
        <w:tc>
          <w:tcPr>
            <w:tcW w:w="2085" w:type="dxa"/>
          </w:tcPr>
          <w:p w14:paraId="0DE3296D" w14:textId="77777777" w:rsidR="00F05C71" w:rsidRPr="0004521F" w:rsidRDefault="00F05C71" w:rsidP="00F05C71">
            <w:pPr>
              <w:jc w:val="both"/>
              <w:rPr>
                <w:sz w:val="18"/>
                <w:szCs w:val="20"/>
                <w:lang w:val="es-MX"/>
              </w:rPr>
            </w:pPr>
            <w:r w:rsidRPr="0004521F">
              <w:rPr>
                <w:sz w:val="18"/>
                <w:szCs w:val="20"/>
                <w:lang w:val="es-MX"/>
              </w:rPr>
              <w:t>TIR – Tasa Descuento</w:t>
            </w:r>
          </w:p>
        </w:tc>
        <w:tc>
          <w:tcPr>
            <w:tcW w:w="1222" w:type="dxa"/>
            <w:vAlign w:val="bottom"/>
          </w:tcPr>
          <w:p w14:paraId="5EB8EE39" w14:textId="7F2D1281" w:rsidR="00F05C71" w:rsidRPr="00E1518A" w:rsidRDefault="00F05C71" w:rsidP="00F05C71">
            <w:pPr>
              <w:jc w:val="both"/>
              <w:rPr>
                <w:rFonts w:cs="Calibri"/>
                <w:color w:val="000000"/>
                <w:sz w:val="18"/>
                <w:szCs w:val="20"/>
              </w:rPr>
            </w:pPr>
            <w:r w:rsidRPr="00A85437">
              <w:rPr>
                <w:rFonts w:cs="Calibri"/>
                <w:color w:val="000000"/>
                <w:sz w:val="18"/>
                <w:szCs w:val="20"/>
              </w:rPr>
              <w:t>14.76%</w:t>
            </w:r>
          </w:p>
        </w:tc>
        <w:tc>
          <w:tcPr>
            <w:tcW w:w="1130" w:type="dxa"/>
            <w:vAlign w:val="bottom"/>
          </w:tcPr>
          <w:p w14:paraId="7797E050" w14:textId="7F2BE4E8" w:rsidR="00F05C71" w:rsidRPr="00E1518A" w:rsidRDefault="00F05C71" w:rsidP="00F05C71">
            <w:pPr>
              <w:jc w:val="both"/>
              <w:rPr>
                <w:rFonts w:cs="Calibri"/>
                <w:color w:val="000000"/>
                <w:sz w:val="18"/>
                <w:szCs w:val="20"/>
              </w:rPr>
            </w:pPr>
            <w:r w:rsidRPr="00A85437">
              <w:rPr>
                <w:rFonts w:cs="Calibri"/>
                <w:color w:val="000000"/>
                <w:sz w:val="18"/>
                <w:szCs w:val="20"/>
              </w:rPr>
              <w:t>7.29%</w:t>
            </w:r>
          </w:p>
        </w:tc>
        <w:tc>
          <w:tcPr>
            <w:tcW w:w="1222" w:type="dxa"/>
            <w:vAlign w:val="bottom"/>
          </w:tcPr>
          <w:p w14:paraId="18855493" w14:textId="51F996D6" w:rsidR="00F05C71" w:rsidRPr="00E1518A" w:rsidRDefault="00F05C71" w:rsidP="00F05C71">
            <w:pPr>
              <w:jc w:val="both"/>
              <w:rPr>
                <w:rFonts w:cs="Calibri"/>
                <w:color w:val="000000"/>
                <w:sz w:val="18"/>
                <w:szCs w:val="20"/>
              </w:rPr>
            </w:pPr>
            <w:r w:rsidRPr="00A85437">
              <w:rPr>
                <w:rFonts w:cs="Calibri"/>
                <w:color w:val="000000"/>
                <w:sz w:val="18"/>
                <w:szCs w:val="20"/>
              </w:rPr>
              <w:t>19.23%</w:t>
            </w:r>
          </w:p>
        </w:tc>
      </w:tr>
    </w:tbl>
    <w:p w14:paraId="39A029AB" w14:textId="77777777" w:rsidR="00DF459E" w:rsidRPr="00E1518A" w:rsidRDefault="00DF459E" w:rsidP="00DF459E">
      <w:pPr>
        <w:jc w:val="right"/>
        <w:rPr>
          <w:sz w:val="18"/>
          <w:szCs w:val="18"/>
          <w:lang w:val="es-ES_tradnl"/>
        </w:rPr>
      </w:pPr>
      <w:r w:rsidRPr="00E1518A">
        <w:rPr>
          <w:i/>
          <w:sz w:val="18"/>
          <w:szCs w:val="18"/>
          <w:lang w:val="es-MX"/>
        </w:rPr>
        <w:t>Fuente: Elaboración propia</w:t>
      </w:r>
    </w:p>
    <w:p w14:paraId="65205C68" w14:textId="30D4CB24" w:rsidR="00965EC6" w:rsidRPr="00965EC6" w:rsidRDefault="00DF459E" w:rsidP="00A93D10">
      <w:pPr>
        <w:rPr>
          <w:b/>
          <w:i/>
          <w:lang w:val="es-ES_tradnl"/>
        </w:rPr>
      </w:pPr>
      <w:r>
        <w:rPr>
          <w:i/>
          <w:lang w:val="es-MX"/>
        </w:rPr>
        <w:t>Tabla 3</w:t>
      </w:r>
      <w:r w:rsidRPr="00E1518A">
        <w:rPr>
          <w:i/>
          <w:lang w:val="es-MX"/>
        </w:rPr>
        <w:t xml:space="preserve">: </w:t>
      </w:r>
      <w:r>
        <w:rPr>
          <w:i/>
          <w:lang w:val="es-MX"/>
        </w:rPr>
        <w:t xml:space="preserve">Indicadores resultantes de la sensibilización de otras variables operativas y financieras. </w:t>
      </w:r>
    </w:p>
    <w:tbl>
      <w:tblPr>
        <w:tblStyle w:val="TableGrid"/>
        <w:tblW w:w="0" w:type="auto"/>
        <w:jc w:val="center"/>
        <w:tblLook w:val="04A0" w:firstRow="1" w:lastRow="0" w:firstColumn="1" w:lastColumn="0" w:noHBand="0" w:noVBand="1"/>
      </w:tblPr>
      <w:tblGrid>
        <w:gridCol w:w="1555"/>
        <w:gridCol w:w="1558"/>
        <w:gridCol w:w="1558"/>
        <w:gridCol w:w="1558"/>
        <w:gridCol w:w="1558"/>
      </w:tblGrid>
      <w:tr w:rsidR="00F05C71" w:rsidRPr="00ED1432" w14:paraId="5009F40C" w14:textId="796C8812" w:rsidTr="0032045D">
        <w:trPr>
          <w:jc w:val="center"/>
        </w:trPr>
        <w:tc>
          <w:tcPr>
            <w:tcW w:w="1555" w:type="dxa"/>
          </w:tcPr>
          <w:p w14:paraId="4CCBB1DA" w14:textId="77777777" w:rsidR="00F05C71" w:rsidRPr="0004521F" w:rsidRDefault="00F05C71" w:rsidP="00C931BD">
            <w:pPr>
              <w:jc w:val="both"/>
              <w:rPr>
                <w:sz w:val="18"/>
                <w:szCs w:val="20"/>
                <w:lang w:val="es-MX"/>
              </w:rPr>
            </w:pPr>
          </w:p>
        </w:tc>
        <w:tc>
          <w:tcPr>
            <w:tcW w:w="1558" w:type="dxa"/>
          </w:tcPr>
          <w:p w14:paraId="105FCA09" w14:textId="77777777" w:rsidR="00F05C71" w:rsidRPr="0004521F" w:rsidRDefault="00F05C71" w:rsidP="00C931BD">
            <w:pPr>
              <w:jc w:val="both"/>
              <w:rPr>
                <w:sz w:val="18"/>
                <w:szCs w:val="20"/>
                <w:lang w:val="es-MX"/>
              </w:rPr>
            </w:pPr>
            <w:r w:rsidRPr="0004521F">
              <w:rPr>
                <w:sz w:val="18"/>
                <w:szCs w:val="20"/>
                <w:lang w:val="es-MX"/>
              </w:rPr>
              <w:t>Menor ritmo de implementación</w:t>
            </w:r>
          </w:p>
        </w:tc>
        <w:tc>
          <w:tcPr>
            <w:tcW w:w="1558" w:type="dxa"/>
          </w:tcPr>
          <w:p w14:paraId="45D679C2" w14:textId="77777777" w:rsidR="00F05C71" w:rsidRPr="0004521F" w:rsidRDefault="00F05C71" w:rsidP="00C931BD">
            <w:pPr>
              <w:jc w:val="both"/>
              <w:rPr>
                <w:sz w:val="18"/>
                <w:szCs w:val="20"/>
                <w:lang w:val="es-MX"/>
              </w:rPr>
            </w:pPr>
            <w:r w:rsidRPr="0004521F">
              <w:rPr>
                <w:sz w:val="18"/>
                <w:szCs w:val="20"/>
                <w:lang w:val="es-MX"/>
              </w:rPr>
              <w:t>Mayor valor de CO2</w:t>
            </w:r>
          </w:p>
        </w:tc>
        <w:tc>
          <w:tcPr>
            <w:tcW w:w="1558" w:type="dxa"/>
          </w:tcPr>
          <w:p w14:paraId="65B4F7CD" w14:textId="775C098F" w:rsidR="00F05C71" w:rsidRPr="0004521F" w:rsidRDefault="00F05C71" w:rsidP="00C931BD">
            <w:pPr>
              <w:jc w:val="both"/>
              <w:rPr>
                <w:sz w:val="18"/>
                <w:szCs w:val="20"/>
                <w:lang w:val="es-MX"/>
              </w:rPr>
            </w:pPr>
            <w:r>
              <w:rPr>
                <w:sz w:val="18"/>
                <w:szCs w:val="20"/>
                <w:lang w:val="es-MX"/>
              </w:rPr>
              <w:t>Menor costo de tecnologías (I)</w:t>
            </w:r>
          </w:p>
        </w:tc>
        <w:tc>
          <w:tcPr>
            <w:tcW w:w="1558" w:type="dxa"/>
          </w:tcPr>
          <w:p w14:paraId="53AD1D83" w14:textId="694D48DE" w:rsidR="00F05C71" w:rsidRPr="0004521F" w:rsidRDefault="00F05C71" w:rsidP="00C931BD">
            <w:pPr>
              <w:jc w:val="both"/>
              <w:rPr>
                <w:sz w:val="18"/>
                <w:szCs w:val="20"/>
                <w:lang w:val="es-MX"/>
              </w:rPr>
            </w:pPr>
            <w:r>
              <w:rPr>
                <w:sz w:val="18"/>
                <w:szCs w:val="20"/>
                <w:lang w:val="es-MX"/>
              </w:rPr>
              <w:t>Menor costo de tecnologías (II)</w:t>
            </w:r>
          </w:p>
        </w:tc>
      </w:tr>
      <w:tr w:rsidR="00F05C71" w:rsidRPr="0004521F" w14:paraId="55BF2B13" w14:textId="335217E9" w:rsidTr="0032045D">
        <w:trPr>
          <w:jc w:val="center"/>
        </w:trPr>
        <w:tc>
          <w:tcPr>
            <w:tcW w:w="1555" w:type="dxa"/>
          </w:tcPr>
          <w:p w14:paraId="77BFC2A6" w14:textId="733CA769" w:rsidR="00F05C71" w:rsidRPr="0004521F" w:rsidRDefault="00F05C71" w:rsidP="00C931BD">
            <w:pPr>
              <w:jc w:val="both"/>
              <w:rPr>
                <w:sz w:val="18"/>
                <w:szCs w:val="20"/>
                <w:lang w:val="es-MX"/>
              </w:rPr>
            </w:pPr>
            <w:r w:rsidRPr="0004521F">
              <w:rPr>
                <w:sz w:val="18"/>
                <w:szCs w:val="20"/>
                <w:lang w:val="es-MX"/>
              </w:rPr>
              <w:t xml:space="preserve">PSR de MEE </w:t>
            </w:r>
            <w:r w:rsidRPr="0004521F">
              <w:rPr>
                <w:sz w:val="18"/>
                <w:szCs w:val="20"/>
              </w:rPr>
              <w:t>(</w:t>
            </w:r>
            <w:proofErr w:type="spellStart"/>
            <w:r w:rsidRPr="0004521F">
              <w:rPr>
                <w:sz w:val="18"/>
                <w:szCs w:val="20"/>
              </w:rPr>
              <w:t>Iluminación</w:t>
            </w:r>
            <w:proofErr w:type="spellEnd"/>
            <w:r w:rsidRPr="0004521F">
              <w:rPr>
                <w:sz w:val="18"/>
                <w:szCs w:val="20"/>
              </w:rPr>
              <w:t>)</w:t>
            </w:r>
          </w:p>
        </w:tc>
        <w:tc>
          <w:tcPr>
            <w:tcW w:w="1558" w:type="dxa"/>
          </w:tcPr>
          <w:p w14:paraId="5A21AB23" w14:textId="77777777" w:rsidR="00F05C71" w:rsidRPr="0004521F" w:rsidRDefault="00F05C71" w:rsidP="00C931BD">
            <w:pPr>
              <w:jc w:val="both"/>
              <w:rPr>
                <w:sz w:val="18"/>
                <w:szCs w:val="20"/>
                <w:lang w:val="es-MX"/>
              </w:rPr>
            </w:pPr>
            <w:r w:rsidRPr="0004521F">
              <w:rPr>
                <w:sz w:val="18"/>
                <w:szCs w:val="20"/>
                <w:lang w:val="es-MX"/>
              </w:rPr>
              <w:t>3.80</w:t>
            </w:r>
          </w:p>
        </w:tc>
        <w:tc>
          <w:tcPr>
            <w:tcW w:w="1558" w:type="dxa"/>
          </w:tcPr>
          <w:p w14:paraId="58AF3CDF" w14:textId="77777777" w:rsidR="00F05C71" w:rsidRPr="0004521F" w:rsidRDefault="00F05C71" w:rsidP="00C931BD">
            <w:pPr>
              <w:jc w:val="both"/>
              <w:rPr>
                <w:sz w:val="18"/>
                <w:szCs w:val="20"/>
                <w:lang w:val="es-MX"/>
              </w:rPr>
            </w:pPr>
            <w:r w:rsidRPr="0004521F">
              <w:rPr>
                <w:sz w:val="18"/>
                <w:szCs w:val="20"/>
                <w:lang w:val="es-MX"/>
              </w:rPr>
              <w:t>3.80</w:t>
            </w:r>
          </w:p>
        </w:tc>
        <w:tc>
          <w:tcPr>
            <w:tcW w:w="1558" w:type="dxa"/>
          </w:tcPr>
          <w:p w14:paraId="30714314" w14:textId="23FAB648" w:rsidR="00F05C71" w:rsidRPr="0004521F" w:rsidRDefault="00F05C71" w:rsidP="00C931BD">
            <w:pPr>
              <w:jc w:val="both"/>
              <w:rPr>
                <w:sz w:val="18"/>
                <w:szCs w:val="20"/>
                <w:lang w:val="es-MX"/>
              </w:rPr>
            </w:pPr>
            <w:r w:rsidRPr="0004521F">
              <w:rPr>
                <w:sz w:val="18"/>
                <w:szCs w:val="20"/>
                <w:lang w:val="es-MX"/>
              </w:rPr>
              <w:t>3.80</w:t>
            </w:r>
          </w:p>
        </w:tc>
        <w:tc>
          <w:tcPr>
            <w:tcW w:w="1558" w:type="dxa"/>
          </w:tcPr>
          <w:p w14:paraId="6F6C2001" w14:textId="53D00345" w:rsidR="00F05C71" w:rsidRPr="0004521F" w:rsidRDefault="00F05C71" w:rsidP="00C931BD">
            <w:pPr>
              <w:jc w:val="both"/>
              <w:rPr>
                <w:sz w:val="18"/>
                <w:szCs w:val="20"/>
                <w:lang w:val="es-MX"/>
              </w:rPr>
            </w:pPr>
            <w:r w:rsidRPr="0004521F">
              <w:rPr>
                <w:sz w:val="18"/>
                <w:szCs w:val="20"/>
                <w:lang w:val="es-MX"/>
              </w:rPr>
              <w:t>3.80</w:t>
            </w:r>
          </w:p>
        </w:tc>
      </w:tr>
      <w:tr w:rsidR="00F05C71" w:rsidRPr="0004521F" w14:paraId="093F39D4" w14:textId="2214C8D1" w:rsidTr="0032045D">
        <w:trPr>
          <w:jc w:val="center"/>
        </w:trPr>
        <w:tc>
          <w:tcPr>
            <w:tcW w:w="1555" w:type="dxa"/>
          </w:tcPr>
          <w:p w14:paraId="6954285B" w14:textId="78EF67B8" w:rsidR="00F05C71" w:rsidRPr="0004521F" w:rsidRDefault="00F05C71" w:rsidP="00C931BD">
            <w:pPr>
              <w:jc w:val="both"/>
              <w:rPr>
                <w:sz w:val="18"/>
                <w:szCs w:val="20"/>
                <w:lang w:val="es-MX"/>
              </w:rPr>
            </w:pPr>
            <w:r w:rsidRPr="0004521F">
              <w:rPr>
                <w:sz w:val="18"/>
                <w:szCs w:val="20"/>
                <w:lang w:val="es-MX"/>
              </w:rPr>
              <w:t xml:space="preserve">PSR de MEE </w:t>
            </w:r>
            <w:r w:rsidRPr="0004521F">
              <w:rPr>
                <w:sz w:val="18"/>
                <w:szCs w:val="20"/>
              </w:rPr>
              <w:t>(AC)</w:t>
            </w:r>
          </w:p>
        </w:tc>
        <w:tc>
          <w:tcPr>
            <w:tcW w:w="1558" w:type="dxa"/>
          </w:tcPr>
          <w:p w14:paraId="51347FC5" w14:textId="77777777" w:rsidR="00F05C71" w:rsidRPr="0004521F" w:rsidRDefault="00F05C71" w:rsidP="00C931BD">
            <w:pPr>
              <w:jc w:val="both"/>
              <w:rPr>
                <w:sz w:val="18"/>
                <w:szCs w:val="20"/>
                <w:lang w:val="es-MX"/>
              </w:rPr>
            </w:pPr>
            <w:r w:rsidRPr="0004521F">
              <w:rPr>
                <w:sz w:val="18"/>
                <w:szCs w:val="20"/>
                <w:lang w:val="es-MX"/>
              </w:rPr>
              <w:t>4.29</w:t>
            </w:r>
          </w:p>
        </w:tc>
        <w:tc>
          <w:tcPr>
            <w:tcW w:w="1558" w:type="dxa"/>
          </w:tcPr>
          <w:p w14:paraId="661686D3" w14:textId="77777777" w:rsidR="00F05C71" w:rsidRPr="0004521F" w:rsidRDefault="00F05C71" w:rsidP="00C931BD">
            <w:pPr>
              <w:jc w:val="both"/>
              <w:rPr>
                <w:sz w:val="18"/>
                <w:szCs w:val="20"/>
                <w:lang w:val="es-MX"/>
              </w:rPr>
            </w:pPr>
            <w:r w:rsidRPr="0004521F">
              <w:rPr>
                <w:sz w:val="18"/>
                <w:szCs w:val="20"/>
                <w:lang w:val="es-MX"/>
              </w:rPr>
              <w:t>4.29</w:t>
            </w:r>
          </w:p>
        </w:tc>
        <w:tc>
          <w:tcPr>
            <w:tcW w:w="1558" w:type="dxa"/>
          </w:tcPr>
          <w:p w14:paraId="6F1F8576" w14:textId="642FB63B" w:rsidR="00F05C71" w:rsidRPr="0004521F" w:rsidRDefault="00F05C71" w:rsidP="00C931BD">
            <w:pPr>
              <w:jc w:val="both"/>
              <w:rPr>
                <w:sz w:val="18"/>
                <w:szCs w:val="20"/>
                <w:lang w:val="es-MX"/>
              </w:rPr>
            </w:pPr>
            <w:r w:rsidRPr="0004521F">
              <w:rPr>
                <w:sz w:val="18"/>
                <w:szCs w:val="20"/>
                <w:lang w:val="es-MX"/>
              </w:rPr>
              <w:t>4.29</w:t>
            </w:r>
          </w:p>
        </w:tc>
        <w:tc>
          <w:tcPr>
            <w:tcW w:w="1558" w:type="dxa"/>
          </w:tcPr>
          <w:p w14:paraId="1268B68C" w14:textId="6E1A5311" w:rsidR="00F05C71" w:rsidRPr="0004521F" w:rsidRDefault="00F05C71" w:rsidP="00C931BD">
            <w:pPr>
              <w:jc w:val="both"/>
              <w:rPr>
                <w:sz w:val="18"/>
                <w:szCs w:val="20"/>
                <w:lang w:val="es-MX"/>
              </w:rPr>
            </w:pPr>
            <w:r w:rsidRPr="0004521F">
              <w:rPr>
                <w:sz w:val="18"/>
                <w:szCs w:val="20"/>
                <w:lang w:val="es-MX"/>
              </w:rPr>
              <w:t>4.29</w:t>
            </w:r>
          </w:p>
        </w:tc>
      </w:tr>
      <w:tr w:rsidR="00F05C71" w:rsidRPr="0004521F" w14:paraId="22387AC5" w14:textId="562FCA50" w:rsidTr="0032045D">
        <w:trPr>
          <w:trHeight w:val="771"/>
          <w:jc w:val="center"/>
        </w:trPr>
        <w:tc>
          <w:tcPr>
            <w:tcW w:w="1555" w:type="dxa"/>
          </w:tcPr>
          <w:p w14:paraId="11F3B926" w14:textId="136AF25C" w:rsidR="00F05C71" w:rsidRPr="0004521F" w:rsidRDefault="00F05C71" w:rsidP="00C931BD">
            <w:pPr>
              <w:jc w:val="both"/>
              <w:rPr>
                <w:sz w:val="18"/>
                <w:szCs w:val="20"/>
                <w:lang w:val="es-MX"/>
              </w:rPr>
            </w:pPr>
            <w:r w:rsidRPr="0004521F">
              <w:rPr>
                <w:sz w:val="18"/>
                <w:szCs w:val="20"/>
                <w:lang w:val="es-MX"/>
              </w:rPr>
              <w:t>PSR de MEE (Cambio tarifa)</w:t>
            </w:r>
          </w:p>
        </w:tc>
        <w:tc>
          <w:tcPr>
            <w:tcW w:w="1558" w:type="dxa"/>
          </w:tcPr>
          <w:p w14:paraId="08CD8399" w14:textId="77777777" w:rsidR="00F05C71" w:rsidRPr="0004521F" w:rsidRDefault="00F05C71" w:rsidP="00C931BD">
            <w:pPr>
              <w:jc w:val="both"/>
              <w:rPr>
                <w:sz w:val="18"/>
                <w:szCs w:val="20"/>
                <w:lang w:val="es-MX"/>
              </w:rPr>
            </w:pPr>
            <w:r w:rsidRPr="0004521F">
              <w:rPr>
                <w:sz w:val="18"/>
                <w:szCs w:val="20"/>
                <w:lang w:val="es-MX"/>
              </w:rPr>
              <w:t>3.81</w:t>
            </w:r>
          </w:p>
        </w:tc>
        <w:tc>
          <w:tcPr>
            <w:tcW w:w="1558" w:type="dxa"/>
          </w:tcPr>
          <w:p w14:paraId="4F3E4060" w14:textId="77777777" w:rsidR="00F05C71" w:rsidRPr="0004521F" w:rsidRDefault="00F05C71" w:rsidP="00C931BD">
            <w:pPr>
              <w:jc w:val="both"/>
              <w:rPr>
                <w:sz w:val="18"/>
                <w:szCs w:val="20"/>
                <w:lang w:val="es-MX"/>
              </w:rPr>
            </w:pPr>
            <w:r w:rsidRPr="0004521F">
              <w:rPr>
                <w:sz w:val="18"/>
                <w:szCs w:val="20"/>
                <w:lang w:val="es-MX"/>
              </w:rPr>
              <w:t>3.81</w:t>
            </w:r>
          </w:p>
        </w:tc>
        <w:tc>
          <w:tcPr>
            <w:tcW w:w="1558" w:type="dxa"/>
          </w:tcPr>
          <w:p w14:paraId="3F42B0C6" w14:textId="156ED99E" w:rsidR="00F05C71" w:rsidRPr="0004521F" w:rsidRDefault="00F05C71" w:rsidP="00C931BD">
            <w:pPr>
              <w:jc w:val="both"/>
              <w:rPr>
                <w:sz w:val="18"/>
                <w:szCs w:val="20"/>
                <w:lang w:val="es-MX"/>
              </w:rPr>
            </w:pPr>
            <w:r w:rsidRPr="0004521F">
              <w:rPr>
                <w:sz w:val="18"/>
                <w:szCs w:val="20"/>
                <w:lang w:val="es-MX"/>
              </w:rPr>
              <w:t>3.81</w:t>
            </w:r>
          </w:p>
        </w:tc>
        <w:tc>
          <w:tcPr>
            <w:tcW w:w="1558" w:type="dxa"/>
          </w:tcPr>
          <w:p w14:paraId="02713469" w14:textId="02F1ADB0" w:rsidR="00F05C71" w:rsidRPr="0004521F" w:rsidRDefault="00F05C71" w:rsidP="00C931BD">
            <w:pPr>
              <w:jc w:val="both"/>
              <w:rPr>
                <w:sz w:val="18"/>
                <w:szCs w:val="20"/>
                <w:lang w:val="es-MX"/>
              </w:rPr>
            </w:pPr>
            <w:r w:rsidRPr="0004521F">
              <w:rPr>
                <w:sz w:val="18"/>
                <w:szCs w:val="20"/>
                <w:lang w:val="es-MX"/>
              </w:rPr>
              <w:t>3.81</w:t>
            </w:r>
          </w:p>
        </w:tc>
      </w:tr>
      <w:tr w:rsidR="00F05C71" w:rsidRPr="0004521F" w14:paraId="706187AD" w14:textId="4B5A1AF3" w:rsidTr="0032045D">
        <w:trPr>
          <w:jc w:val="center"/>
        </w:trPr>
        <w:tc>
          <w:tcPr>
            <w:tcW w:w="1555" w:type="dxa"/>
          </w:tcPr>
          <w:p w14:paraId="0C1950D6" w14:textId="25FC639D" w:rsidR="00F05C71" w:rsidRPr="007A3A49" w:rsidRDefault="00F05C71" w:rsidP="007A3A49">
            <w:pPr>
              <w:tabs>
                <w:tab w:val="right" w:pos="1878"/>
              </w:tabs>
              <w:jc w:val="both"/>
              <w:rPr>
                <w:sz w:val="18"/>
                <w:szCs w:val="20"/>
              </w:rPr>
            </w:pPr>
            <w:r>
              <w:rPr>
                <w:sz w:val="18"/>
                <w:szCs w:val="20"/>
                <w:lang w:val="es-MX"/>
              </w:rPr>
              <w:t xml:space="preserve">Costo operativo </w:t>
            </w:r>
          </w:p>
        </w:tc>
        <w:tc>
          <w:tcPr>
            <w:tcW w:w="1558" w:type="dxa"/>
          </w:tcPr>
          <w:p w14:paraId="0AEFB24F" w14:textId="6F1C61A3" w:rsidR="00F05C71" w:rsidRPr="0004521F" w:rsidRDefault="00F05C71" w:rsidP="00C931BD">
            <w:pPr>
              <w:jc w:val="both"/>
              <w:rPr>
                <w:sz w:val="18"/>
                <w:szCs w:val="20"/>
                <w:lang w:val="es-MX"/>
              </w:rPr>
            </w:pPr>
            <w:r w:rsidRPr="0004521F">
              <w:rPr>
                <w:sz w:val="18"/>
                <w:szCs w:val="20"/>
                <w:lang w:val="es-MX"/>
              </w:rPr>
              <w:t xml:space="preserve">3 </w:t>
            </w:r>
            <w:r w:rsidR="00310D28">
              <w:rPr>
                <w:sz w:val="18"/>
                <w:szCs w:val="20"/>
                <w:lang w:val="es-MX"/>
              </w:rPr>
              <w:t>MDD</w:t>
            </w:r>
          </w:p>
        </w:tc>
        <w:tc>
          <w:tcPr>
            <w:tcW w:w="1558" w:type="dxa"/>
          </w:tcPr>
          <w:p w14:paraId="289828CA" w14:textId="2EDA9883" w:rsidR="00F05C71" w:rsidRPr="0004521F" w:rsidRDefault="00F05C71" w:rsidP="00C931BD">
            <w:pPr>
              <w:jc w:val="both"/>
              <w:rPr>
                <w:sz w:val="18"/>
                <w:szCs w:val="20"/>
                <w:lang w:val="es-MX"/>
              </w:rPr>
            </w:pPr>
            <w:r w:rsidRPr="0004521F">
              <w:rPr>
                <w:sz w:val="18"/>
                <w:szCs w:val="20"/>
                <w:lang w:val="es-MX"/>
              </w:rPr>
              <w:t xml:space="preserve">3 </w:t>
            </w:r>
            <w:r w:rsidR="00310D28">
              <w:rPr>
                <w:sz w:val="18"/>
                <w:szCs w:val="20"/>
                <w:lang w:val="es-MX"/>
              </w:rPr>
              <w:t>MDD</w:t>
            </w:r>
          </w:p>
        </w:tc>
        <w:tc>
          <w:tcPr>
            <w:tcW w:w="1558" w:type="dxa"/>
          </w:tcPr>
          <w:p w14:paraId="5DEF0D18" w14:textId="13199B74" w:rsidR="00F05C71" w:rsidRPr="0004521F" w:rsidRDefault="00F05C71" w:rsidP="00C931BD">
            <w:pPr>
              <w:jc w:val="both"/>
              <w:rPr>
                <w:sz w:val="18"/>
                <w:szCs w:val="20"/>
                <w:lang w:val="es-MX"/>
              </w:rPr>
            </w:pPr>
            <w:r w:rsidRPr="0004521F">
              <w:rPr>
                <w:sz w:val="18"/>
                <w:szCs w:val="20"/>
                <w:lang w:val="es-MX"/>
              </w:rPr>
              <w:t xml:space="preserve">3 </w:t>
            </w:r>
            <w:r w:rsidR="00310D28">
              <w:rPr>
                <w:sz w:val="18"/>
                <w:szCs w:val="20"/>
                <w:lang w:val="es-MX"/>
              </w:rPr>
              <w:t>MDD</w:t>
            </w:r>
          </w:p>
        </w:tc>
        <w:tc>
          <w:tcPr>
            <w:tcW w:w="1558" w:type="dxa"/>
          </w:tcPr>
          <w:p w14:paraId="5AC8B285" w14:textId="586D7E04" w:rsidR="00F05C71" w:rsidRPr="0004521F" w:rsidRDefault="00F05C71" w:rsidP="00C931BD">
            <w:pPr>
              <w:jc w:val="both"/>
              <w:rPr>
                <w:sz w:val="18"/>
                <w:szCs w:val="20"/>
                <w:lang w:val="es-MX"/>
              </w:rPr>
            </w:pPr>
            <w:r w:rsidRPr="0004521F">
              <w:rPr>
                <w:sz w:val="18"/>
                <w:szCs w:val="20"/>
                <w:lang w:val="es-MX"/>
              </w:rPr>
              <w:t xml:space="preserve">3 </w:t>
            </w:r>
            <w:r w:rsidR="00310D28">
              <w:rPr>
                <w:sz w:val="18"/>
                <w:szCs w:val="20"/>
                <w:lang w:val="es-MX"/>
              </w:rPr>
              <w:t>MDD</w:t>
            </w:r>
          </w:p>
        </w:tc>
      </w:tr>
      <w:tr w:rsidR="00F05C71" w:rsidRPr="0004521F" w14:paraId="0DB9FEC8" w14:textId="607574C7" w:rsidTr="0032045D">
        <w:trPr>
          <w:jc w:val="center"/>
        </w:trPr>
        <w:tc>
          <w:tcPr>
            <w:tcW w:w="1555" w:type="dxa"/>
          </w:tcPr>
          <w:p w14:paraId="7E6A03D1" w14:textId="2D671C18" w:rsidR="00F05C71" w:rsidRPr="0004521F" w:rsidRDefault="00F05C71" w:rsidP="00C931BD">
            <w:pPr>
              <w:jc w:val="both"/>
              <w:rPr>
                <w:sz w:val="18"/>
                <w:szCs w:val="20"/>
                <w:lang w:val="es-MX"/>
              </w:rPr>
            </w:pPr>
            <w:r w:rsidRPr="0004521F">
              <w:rPr>
                <w:sz w:val="18"/>
                <w:szCs w:val="20"/>
                <w:lang w:val="es-MX"/>
              </w:rPr>
              <w:lastRenderedPageBreak/>
              <w:t>Desfase entre inversión y generación de ahorros</w:t>
            </w:r>
          </w:p>
        </w:tc>
        <w:tc>
          <w:tcPr>
            <w:tcW w:w="1558" w:type="dxa"/>
          </w:tcPr>
          <w:p w14:paraId="31B0C9BC" w14:textId="7117ADC6" w:rsidR="00F05C71" w:rsidRPr="0004521F" w:rsidRDefault="00F05C71" w:rsidP="00C931BD">
            <w:pPr>
              <w:jc w:val="both"/>
              <w:rPr>
                <w:sz w:val="18"/>
                <w:szCs w:val="20"/>
                <w:lang w:val="es-MX"/>
              </w:rPr>
            </w:pPr>
            <w:r>
              <w:rPr>
                <w:sz w:val="18"/>
                <w:szCs w:val="20"/>
                <w:lang w:val="es-MX"/>
              </w:rPr>
              <w:t>3</w:t>
            </w:r>
            <w:r w:rsidRPr="0004521F">
              <w:rPr>
                <w:sz w:val="18"/>
                <w:szCs w:val="20"/>
                <w:lang w:val="es-MX"/>
              </w:rPr>
              <w:t xml:space="preserve"> trimestres</w:t>
            </w:r>
          </w:p>
        </w:tc>
        <w:tc>
          <w:tcPr>
            <w:tcW w:w="1558" w:type="dxa"/>
          </w:tcPr>
          <w:p w14:paraId="66380238" w14:textId="77777777" w:rsidR="00F05C71" w:rsidRPr="0004521F" w:rsidRDefault="00F05C71" w:rsidP="00C931BD">
            <w:pPr>
              <w:jc w:val="both"/>
              <w:rPr>
                <w:sz w:val="18"/>
                <w:szCs w:val="20"/>
                <w:lang w:val="es-MX"/>
              </w:rPr>
            </w:pPr>
            <w:r w:rsidRPr="0004521F">
              <w:rPr>
                <w:sz w:val="18"/>
                <w:szCs w:val="20"/>
                <w:lang w:val="es-MX"/>
              </w:rPr>
              <w:t>1 trimestre</w:t>
            </w:r>
          </w:p>
        </w:tc>
        <w:tc>
          <w:tcPr>
            <w:tcW w:w="1558" w:type="dxa"/>
          </w:tcPr>
          <w:p w14:paraId="518E3BE8" w14:textId="391B33F3" w:rsidR="00F05C71" w:rsidRPr="0004521F" w:rsidRDefault="00F05C71" w:rsidP="00C931BD">
            <w:pPr>
              <w:jc w:val="both"/>
              <w:rPr>
                <w:sz w:val="18"/>
                <w:szCs w:val="20"/>
                <w:lang w:val="es-MX"/>
              </w:rPr>
            </w:pPr>
            <w:r w:rsidRPr="0004521F">
              <w:rPr>
                <w:sz w:val="18"/>
                <w:szCs w:val="20"/>
                <w:lang w:val="es-MX"/>
              </w:rPr>
              <w:t>1 trimestre</w:t>
            </w:r>
          </w:p>
        </w:tc>
        <w:tc>
          <w:tcPr>
            <w:tcW w:w="1558" w:type="dxa"/>
          </w:tcPr>
          <w:p w14:paraId="150DD5AE" w14:textId="119B35F9" w:rsidR="00F05C71" w:rsidRPr="0004521F" w:rsidRDefault="00F05C71" w:rsidP="00C931BD">
            <w:pPr>
              <w:jc w:val="both"/>
              <w:rPr>
                <w:sz w:val="18"/>
                <w:szCs w:val="20"/>
                <w:lang w:val="es-MX"/>
              </w:rPr>
            </w:pPr>
            <w:r w:rsidRPr="0004521F">
              <w:rPr>
                <w:sz w:val="18"/>
                <w:szCs w:val="20"/>
                <w:lang w:val="es-MX"/>
              </w:rPr>
              <w:t>1 trimestre</w:t>
            </w:r>
          </w:p>
        </w:tc>
      </w:tr>
      <w:tr w:rsidR="00F05C71" w:rsidRPr="00266469" w14:paraId="74ACDE8A" w14:textId="4ECB3074" w:rsidTr="0032045D">
        <w:trPr>
          <w:jc w:val="center"/>
        </w:trPr>
        <w:tc>
          <w:tcPr>
            <w:tcW w:w="1555" w:type="dxa"/>
          </w:tcPr>
          <w:p w14:paraId="4EA021C5" w14:textId="67AD9D22" w:rsidR="00F05C71" w:rsidRPr="00C931BD" w:rsidRDefault="00F05C71" w:rsidP="00C931BD">
            <w:pPr>
              <w:jc w:val="both"/>
              <w:rPr>
                <w:sz w:val="18"/>
                <w:szCs w:val="20"/>
              </w:rPr>
            </w:pPr>
            <w:r w:rsidRPr="00C931BD">
              <w:rPr>
                <w:sz w:val="18"/>
                <w:szCs w:val="20"/>
                <w:lang w:val="es-MX"/>
              </w:rPr>
              <w:t>Precio de tonelada CO2</w:t>
            </w:r>
          </w:p>
        </w:tc>
        <w:tc>
          <w:tcPr>
            <w:tcW w:w="1558" w:type="dxa"/>
          </w:tcPr>
          <w:p w14:paraId="67588327" w14:textId="77777777" w:rsidR="00F05C71" w:rsidRPr="00C931BD" w:rsidRDefault="00F05C71" w:rsidP="00C931BD">
            <w:pPr>
              <w:jc w:val="both"/>
              <w:rPr>
                <w:sz w:val="18"/>
                <w:szCs w:val="20"/>
                <w:lang w:val="es-MX"/>
              </w:rPr>
            </w:pPr>
            <w:r w:rsidRPr="00C931BD">
              <w:rPr>
                <w:sz w:val="18"/>
                <w:szCs w:val="20"/>
                <w:lang w:val="es-MX"/>
              </w:rPr>
              <w:t>$8.45 USD</w:t>
            </w:r>
          </w:p>
        </w:tc>
        <w:tc>
          <w:tcPr>
            <w:tcW w:w="1558" w:type="dxa"/>
          </w:tcPr>
          <w:p w14:paraId="49AC5E5C" w14:textId="77777777" w:rsidR="00F05C71" w:rsidRPr="00C931BD" w:rsidRDefault="00F05C71" w:rsidP="00C931BD">
            <w:pPr>
              <w:jc w:val="both"/>
              <w:rPr>
                <w:sz w:val="18"/>
                <w:szCs w:val="20"/>
                <w:lang w:val="es-MX"/>
              </w:rPr>
            </w:pPr>
            <w:r w:rsidRPr="00C931BD">
              <w:rPr>
                <w:sz w:val="18"/>
                <w:szCs w:val="20"/>
                <w:lang w:val="es-MX"/>
              </w:rPr>
              <w:t>$12.91 USD</w:t>
            </w:r>
          </w:p>
        </w:tc>
        <w:tc>
          <w:tcPr>
            <w:tcW w:w="1558" w:type="dxa"/>
          </w:tcPr>
          <w:p w14:paraId="1A8361A7" w14:textId="63A4C9EA" w:rsidR="00F05C71" w:rsidRPr="00266469" w:rsidRDefault="00F05C71" w:rsidP="00C931BD">
            <w:pPr>
              <w:jc w:val="both"/>
              <w:rPr>
                <w:b/>
                <w:sz w:val="18"/>
                <w:szCs w:val="20"/>
                <w:lang w:val="es-MX"/>
              </w:rPr>
            </w:pPr>
            <w:r w:rsidRPr="00C931BD">
              <w:rPr>
                <w:sz w:val="18"/>
                <w:szCs w:val="20"/>
              </w:rPr>
              <w:t>$8.45 USD</w:t>
            </w:r>
          </w:p>
        </w:tc>
        <w:tc>
          <w:tcPr>
            <w:tcW w:w="1558" w:type="dxa"/>
          </w:tcPr>
          <w:p w14:paraId="640EAD7A" w14:textId="0A724460" w:rsidR="00F05C71" w:rsidRPr="00266469" w:rsidRDefault="00F05C71" w:rsidP="00C931BD">
            <w:pPr>
              <w:jc w:val="both"/>
              <w:rPr>
                <w:b/>
                <w:sz w:val="18"/>
                <w:szCs w:val="20"/>
                <w:lang w:val="es-MX"/>
              </w:rPr>
            </w:pPr>
            <w:r w:rsidRPr="00C931BD">
              <w:rPr>
                <w:sz w:val="18"/>
                <w:szCs w:val="20"/>
              </w:rPr>
              <w:t>$8.45 USD</w:t>
            </w:r>
          </w:p>
        </w:tc>
      </w:tr>
      <w:tr w:rsidR="00F05C71" w:rsidRPr="00266469" w14:paraId="475EFEA0" w14:textId="77777777" w:rsidTr="0032045D">
        <w:trPr>
          <w:jc w:val="center"/>
        </w:trPr>
        <w:tc>
          <w:tcPr>
            <w:tcW w:w="1555" w:type="dxa"/>
          </w:tcPr>
          <w:p w14:paraId="4370F6B6" w14:textId="63C7AD2F" w:rsidR="00F05C71" w:rsidRPr="0068098E" w:rsidRDefault="00F05C71" w:rsidP="00C931BD">
            <w:pPr>
              <w:jc w:val="both"/>
              <w:rPr>
                <w:sz w:val="18"/>
                <w:szCs w:val="20"/>
                <w:lang w:val="es-MX"/>
              </w:rPr>
            </w:pPr>
            <w:r w:rsidRPr="0068098E">
              <w:rPr>
                <w:sz w:val="18"/>
                <w:szCs w:val="20"/>
                <w:lang w:val="es-MX"/>
              </w:rPr>
              <w:t xml:space="preserve">Reducción anual en costo de </w:t>
            </w:r>
            <w:proofErr w:type="spellStart"/>
            <w:r w:rsidRPr="0068098E">
              <w:rPr>
                <w:sz w:val="18"/>
                <w:szCs w:val="20"/>
                <w:lang w:val="es-MX"/>
              </w:rPr>
              <w:t>MEEs</w:t>
            </w:r>
            <w:proofErr w:type="spellEnd"/>
          </w:p>
        </w:tc>
        <w:tc>
          <w:tcPr>
            <w:tcW w:w="1558" w:type="dxa"/>
          </w:tcPr>
          <w:p w14:paraId="4F0034F9" w14:textId="3B4B8579" w:rsidR="00F05C71" w:rsidRPr="0068098E" w:rsidRDefault="00F05C71" w:rsidP="00C931BD">
            <w:pPr>
              <w:jc w:val="both"/>
              <w:rPr>
                <w:sz w:val="18"/>
                <w:szCs w:val="20"/>
                <w:lang w:val="es-MX"/>
              </w:rPr>
            </w:pPr>
            <w:r w:rsidRPr="0068098E">
              <w:rPr>
                <w:sz w:val="18"/>
                <w:szCs w:val="20"/>
                <w:lang w:val="es-MX"/>
              </w:rPr>
              <w:t>0%</w:t>
            </w:r>
          </w:p>
        </w:tc>
        <w:tc>
          <w:tcPr>
            <w:tcW w:w="1558" w:type="dxa"/>
          </w:tcPr>
          <w:p w14:paraId="55FD0CA6" w14:textId="5B4C4680" w:rsidR="00F05C71" w:rsidRPr="0068098E" w:rsidRDefault="00F05C71" w:rsidP="00C931BD">
            <w:pPr>
              <w:jc w:val="both"/>
              <w:rPr>
                <w:sz w:val="18"/>
                <w:szCs w:val="20"/>
                <w:lang w:val="es-MX"/>
              </w:rPr>
            </w:pPr>
            <w:r w:rsidRPr="0068098E">
              <w:rPr>
                <w:sz w:val="18"/>
                <w:szCs w:val="20"/>
                <w:lang w:val="es-MX"/>
              </w:rPr>
              <w:t>0%</w:t>
            </w:r>
          </w:p>
        </w:tc>
        <w:tc>
          <w:tcPr>
            <w:tcW w:w="1558" w:type="dxa"/>
          </w:tcPr>
          <w:p w14:paraId="67DB0E20" w14:textId="77C93645" w:rsidR="00F05C71" w:rsidRPr="0068098E" w:rsidRDefault="00F05C71" w:rsidP="00C931BD">
            <w:pPr>
              <w:jc w:val="both"/>
              <w:rPr>
                <w:sz w:val="18"/>
                <w:szCs w:val="20"/>
                <w:lang w:val="es-MX"/>
              </w:rPr>
            </w:pPr>
            <w:r w:rsidRPr="0068098E">
              <w:rPr>
                <w:sz w:val="18"/>
                <w:szCs w:val="20"/>
                <w:lang w:val="es-MX"/>
              </w:rPr>
              <w:t>10%</w:t>
            </w:r>
          </w:p>
        </w:tc>
        <w:tc>
          <w:tcPr>
            <w:tcW w:w="1558" w:type="dxa"/>
          </w:tcPr>
          <w:p w14:paraId="59B9C8F3" w14:textId="1A8E3877" w:rsidR="00F05C71" w:rsidRPr="00C931BD" w:rsidRDefault="00F05C71" w:rsidP="00C931BD">
            <w:pPr>
              <w:jc w:val="both"/>
              <w:rPr>
                <w:sz w:val="18"/>
                <w:szCs w:val="20"/>
                <w:lang w:val="es-MX"/>
              </w:rPr>
            </w:pPr>
            <w:r w:rsidRPr="0068098E">
              <w:rPr>
                <w:sz w:val="18"/>
                <w:szCs w:val="20"/>
                <w:lang w:val="es-MX"/>
              </w:rPr>
              <w:t>20%</w:t>
            </w:r>
          </w:p>
        </w:tc>
      </w:tr>
      <w:tr w:rsidR="00F05C71" w:rsidRPr="00A85437" w14:paraId="383D50E5" w14:textId="77777777" w:rsidTr="0032045D">
        <w:trPr>
          <w:jc w:val="center"/>
        </w:trPr>
        <w:tc>
          <w:tcPr>
            <w:tcW w:w="1555" w:type="dxa"/>
          </w:tcPr>
          <w:p w14:paraId="34CF3BEA" w14:textId="77777777" w:rsidR="00F05C71" w:rsidRPr="00A85437" w:rsidRDefault="00F05C71" w:rsidP="00F05C71">
            <w:pPr>
              <w:jc w:val="both"/>
              <w:rPr>
                <w:sz w:val="18"/>
                <w:szCs w:val="20"/>
                <w:lang w:val="es-MX"/>
              </w:rPr>
            </w:pPr>
            <w:r w:rsidRPr="00A85437">
              <w:rPr>
                <w:sz w:val="18"/>
                <w:szCs w:val="20"/>
                <w:lang w:val="es-MX"/>
              </w:rPr>
              <w:t>VPN</w:t>
            </w:r>
          </w:p>
        </w:tc>
        <w:tc>
          <w:tcPr>
            <w:tcW w:w="1558" w:type="dxa"/>
            <w:vAlign w:val="center"/>
          </w:tcPr>
          <w:p w14:paraId="0F319290" w14:textId="7B88473A" w:rsidR="00F05C71" w:rsidRPr="00A85437" w:rsidRDefault="00F05C71" w:rsidP="00F05C71">
            <w:pPr>
              <w:jc w:val="both"/>
              <w:rPr>
                <w:sz w:val="18"/>
                <w:szCs w:val="20"/>
                <w:lang w:val="es-MX"/>
              </w:rPr>
            </w:pPr>
            <w:r w:rsidRPr="00A85437">
              <w:rPr>
                <w:sz w:val="18"/>
                <w:szCs w:val="20"/>
                <w:lang w:val="es-MX"/>
              </w:rPr>
              <w:t>316,985,134 pesos</w:t>
            </w:r>
          </w:p>
        </w:tc>
        <w:tc>
          <w:tcPr>
            <w:tcW w:w="1558" w:type="dxa"/>
            <w:vAlign w:val="center"/>
          </w:tcPr>
          <w:p w14:paraId="7BD06245" w14:textId="36216BDD" w:rsidR="00F05C71" w:rsidRPr="00A85437" w:rsidRDefault="00F05C71" w:rsidP="00F05C71">
            <w:pPr>
              <w:jc w:val="both"/>
              <w:rPr>
                <w:sz w:val="18"/>
                <w:szCs w:val="20"/>
                <w:lang w:val="es-MX"/>
              </w:rPr>
            </w:pPr>
            <w:r w:rsidRPr="00A85437">
              <w:rPr>
                <w:sz w:val="18"/>
                <w:szCs w:val="20"/>
                <w:lang w:val="es-MX"/>
              </w:rPr>
              <w:t>396,342,010 pesos</w:t>
            </w:r>
            <w:r w:rsidRPr="00A85437" w:rsidDel="00E363D5">
              <w:rPr>
                <w:sz w:val="18"/>
                <w:szCs w:val="20"/>
                <w:lang w:val="es-MX"/>
              </w:rPr>
              <w:t xml:space="preserve"> </w:t>
            </w:r>
          </w:p>
        </w:tc>
        <w:tc>
          <w:tcPr>
            <w:tcW w:w="1558" w:type="dxa"/>
            <w:vAlign w:val="center"/>
          </w:tcPr>
          <w:p w14:paraId="0456E79B" w14:textId="3B33D76D" w:rsidR="00F05C71" w:rsidRPr="00A85437" w:rsidRDefault="00F05C71" w:rsidP="00F05C71">
            <w:pPr>
              <w:jc w:val="both"/>
              <w:rPr>
                <w:sz w:val="18"/>
                <w:szCs w:val="20"/>
                <w:lang w:val="es-MX"/>
              </w:rPr>
            </w:pPr>
            <w:r w:rsidRPr="00A85437">
              <w:rPr>
                <w:sz w:val="18"/>
                <w:szCs w:val="20"/>
                <w:lang w:val="es-MX"/>
              </w:rPr>
              <w:t>419,777,363 pesos</w:t>
            </w:r>
            <w:r w:rsidRPr="00A85437" w:rsidDel="00E363D5">
              <w:rPr>
                <w:sz w:val="18"/>
                <w:szCs w:val="20"/>
                <w:lang w:val="es-MX"/>
              </w:rPr>
              <w:t xml:space="preserve"> </w:t>
            </w:r>
          </w:p>
        </w:tc>
        <w:tc>
          <w:tcPr>
            <w:tcW w:w="1558" w:type="dxa"/>
            <w:vAlign w:val="center"/>
          </w:tcPr>
          <w:p w14:paraId="14FFE693" w14:textId="4EDC37C7" w:rsidR="00F05C71" w:rsidRPr="00A85437" w:rsidRDefault="00F05C71" w:rsidP="00F05C71">
            <w:pPr>
              <w:jc w:val="both"/>
              <w:rPr>
                <w:sz w:val="18"/>
                <w:szCs w:val="20"/>
                <w:lang w:val="es-MX"/>
              </w:rPr>
            </w:pPr>
            <w:r w:rsidRPr="00A85437">
              <w:rPr>
                <w:sz w:val="18"/>
                <w:szCs w:val="20"/>
                <w:lang w:val="es-MX"/>
              </w:rPr>
              <w:t>462,443,440 pesos</w:t>
            </w:r>
            <w:r w:rsidRPr="00A85437" w:rsidDel="00E363D5">
              <w:rPr>
                <w:sz w:val="18"/>
                <w:szCs w:val="20"/>
                <w:lang w:val="es-MX"/>
              </w:rPr>
              <w:t xml:space="preserve"> </w:t>
            </w:r>
          </w:p>
        </w:tc>
      </w:tr>
      <w:tr w:rsidR="00F05C71" w:rsidRPr="0004521F" w14:paraId="3981DDA3" w14:textId="77777777" w:rsidTr="0032045D">
        <w:trPr>
          <w:jc w:val="center"/>
        </w:trPr>
        <w:tc>
          <w:tcPr>
            <w:tcW w:w="1555" w:type="dxa"/>
          </w:tcPr>
          <w:p w14:paraId="23554393" w14:textId="77777777" w:rsidR="00F05C71" w:rsidRPr="0004521F" w:rsidRDefault="00F05C71" w:rsidP="00F05C71">
            <w:pPr>
              <w:jc w:val="both"/>
              <w:rPr>
                <w:rFonts w:cs="Calibri"/>
                <w:color w:val="000000"/>
                <w:sz w:val="18"/>
                <w:szCs w:val="20"/>
              </w:rPr>
            </w:pPr>
            <w:r w:rsidRPr="0004521F">
              <w:rPr>
                <w:sz w:val="18"/>
                <w:szCs w:val="20"/>
                <w:lang w:val="es-MX"/>
              </w:rPr>
              <w:t>Razón Costo-beneficio</w:t>
            </w:r>
          </w:p>
        </w:tc>
        <w:tc>
          <w:tcPr>
            <w:tcW w:w="1558" w:type="dxa"/>
            <w:vAlign w:val="center"/>
          </w:tcPr>
          <w:p w14:paraId="4EA7F5B1" w14:textId="7154BC8F" w:rsidR="00F05C71" w:rsidRPr="007A3A49" w:rsidRDefault="00F05C71" w:rsidP="00F05C71">
            <w:pPr>
              <w:jc w:val="both"/>
              <w:rPr>
                <w:rFonts w:cs="Calibri"/>
                <w:color w:val="000000"/>
                <w:sz w:val="18"/>
                <w:szCs w:val="20"/>
              </w:rPr>
            </w:pPr>
            <w:r w:rsidRPr="00A85437">
              <w:rPr>
                <w:rFonts w:cs="Calibri"/>
                <w:color w:val="000000"/>
                <w:sz w:val="18"/>
                <w:szCs w:val="20"/>
              </w:rPr>
              <w:t>3.040</w:t>
            </w:r>
          </w:p>
        </w:tc>
        <w:tc>
          <w:tcPr>
            <w:tcW w:w="1558" w:type="dxa"/>
            <w:vAlign w:val="center"/>
          </w:tcPr>
          <w:p w14:paraId="1C8959E0" w14:textId="5AD2B009" w:rsidR="00F05C71" w:rsidRPr="007A3A49" w:rsidRDefault="00F05C71" w:rsidP="00F05C71">
            <w:pPr>
              <w:jc w:val="both"/>
              <w:rPr>
                <w:rFonts w:cs="Calibri"/>
                <w:color w:val="000000"/>
                <w:sz w:val="18"/>
                <w:szCs w:val="20"/>
              </w:rPr>
            </w:pPr>
            <w:r w:rsidRPr="00A85437">
              <w:rPr>
                <w:rFonts w:cs="Calibri"/>
                <w:color w:val="000000"/>
                <w:sz w:val="18"/>
                <w:szCs w:val="20"/>
              </w:rPr>
              <w:t>3.232</w:t>
            </w:r>
          </w:p>
        </w:tc>
        <w:tc>
          <w:tcPr>
            <w:tcW w:w="1558" w:type="dxa"/>
            <w:vAlign w:val="center"/>
          </w:tcPr>
          <w:p w14:paraId="5C49A04B" w14:textId="5FB82D4C" w:rsidR="00F05C71" w:rsidRPr="0004521F" w:rsidRDefault="00F05C71" w:rsidP="00F05C71">
            <w:pPr>
              <w:jc w:val="both"/>
              <w:rPr>
                <w:rFonts w:cs="Calibri"/>
                <w:color w:val="000000"/>
                <w:sz w:val="18"/>
                <w:szCs w:val="20"/>
              </w:rPr>
            </w:pPr>
            <w:r w:rsidRPr="00A85437">
              <w:rPr>
                <w:rFonts w:cs="Calibri"/>
                <w:color w:val="000000"/>
                <w:sz w:val="18"/>
                <w:szCs w:val="20"/>
              </w:rPr>
              <w:t>3.252</w:t>
            </w:r>
          </w:p>
        </w:tc>
        <w:tc>
          <w:tcPr>
            <w:tcW w:w="1558" w:type="dxa"/>
            <w:vAlign w:val="center"/>
          </w:tcPr>
          <w:p w14:paraId="0F9746C0" w14:textId="37AEA942" w:rsidR="00F05C71" w:rsidRPr="0004521F" w:rsidRDefault="00F05C71" w:rsidP="00F05C71">
            <w:pPr>
              <w:jc w:val="both"/>
              <w:rPr>
                <w:rFonts w:cs="Calibri"/>
                <w:color w:val="000000"/>
                <w:sz w:val="18"/>
                <w:szCs w:val="20"/>
              </w:rPr>
            </w:pPr>
            <w:r w:rsidRPr="00A85437">
              <w:rPr>
                <w:rFonts w:cs="Calibri"/>
                <w:color w:val="000000"/>
                <w:sz w:val="18"/>
                <w:szCs w:val="20"/>
              </w:rPr>
              <w:t>3.341</w:t>
            </w:r>
          </w:p>
        </w:tc>
      </w:tr>
      <w:tr w:rsidR="00F05C71" w:rsidRPr="0004521F" w14:paraId="072254C0" w14:textId="77777777" w:rsidTr="0032045D">
        <w:trPr>
          <w:jc w:val="center"/>
        </w:trPr>
        <w:tc>
          <w:tcPr>
            <w:tcW w:w="1555" w:type="dxa"/>
          </w:tcPr>
          <w:p w14:paraId="46207E4C" w14:textId="77777777" w:rsidR="00F05C71" w:rsidRPr="00C931BD" w:rsidRDefault="00F05C71" w:rsidP="00F05C71">
            <w:pPr>
              <w:jc w:val="both"/>
              <w:rPr>
                <w:rFonts w:cs="Calibri"/>
                <w:color w:val="000000"/>
                <w:sz w:val="18"/>
                <w:szCs w:val="20"/>
                <w:lang w:val="es-MX"/>
              </w:rPr>
            </w:pPr>
            <w:r w:rsidRPr="0004521F">
              <w:rPr>
                <w:sz w:val="18"/>
                <w:szCs w:val="20"/>
                <w:lang w:val="es-MX"/>
              </w:rPr>
              <w:t>Tasa interna de Retorno Económico (anualizado)</w:t>
            </w:r>
          </w:p>
        </w:tc>
        <w:tc>
          <w:tcPr>
            <w:tcW w:w="1558" w:type="dxa"/>
            <w:vAlign w:val="center"/>
          </w:tcPr>
          <w:p w14:paraId="1901F5C8" w14:textId="42A00AFD" w:rsidR="00F05C71" w:rsidRPr="007A3A49" w:rsidRDefault="00F05C71" w:rsidP="00F05C71">
            <w:pPr>
              <w:jc w:val="both"/>
              <w:rPr>
                <w:rFonts w:cs="Calibri"/>
                <w:color w:val="000000"/>
                <w:sz w:val="18"/>
                <w:szCs w:val="20"/>
              </w:rPr>
            </w:pPr>
            <w:r w:rsidRPr="00A85437">
              <w:rPr>
                <w:rFonts w:cs="Calibri"/>
                <w:color w:val="000000"/>
                <w:sz w:val="18"/>
                <w:szCs w:val="20"/>
              </w:rPr>
              <w:t>21.44%</w:t>
            </w:r>
          </w:p>
        </w:tc>
        <w:tc>
          <w:tcPr>
            <w:tcW w:w="1558" w:type="dxa"/>
            <w:vAlign w:val="center"/>
          </w:tcPr>
          <w:p w14:paraId="7B3EBBD1" w14:textId="10D266BA" w:rsidR="00F05C71" w:rsidRPr="007A3A49" w:rsidRDefault="00F05C71" w:rsidP="00F05C71">
            <w:pPr>
              <w:jc w:val="both"/>
              <w:rPr>
                <w:rFonts w:cs="Calibri"/>
                <w:color w:val="000000"/>
                <w:sz w:val="18"/>
                <w:szCs w:val="20"/>
              </w:rPr>
            </w:pPr>
            <w:r w:rsidRPr="00A85437">
              <w:rPr>
                <w:rFonts w:cs="Calibri"/>
                <w:color w:val="000000"/>
                <w:sz w:val="18"/>
                <w:szCs w:val="20"/>
              </w:rPr>
              <w:t>25.46%</w:t>
            </w:r>
          </w:p>
        </w:tc>
        <w:tc>
          <w:tcPr>
            <w:tcW w:w="1558" w:type="dxa"/>
            <w:vAlign w:val="center"/>
          </w:tcPr>
          <w:p w14:paraId="30B829AD" w14:textId="72BBA6BD" w:rsidR="00F05C71" w:rsidRPr="0004521F" w:rsidRDefault="00F05C71" w:rsidP="00F05C71">
            <w:pPr>
              <w:jc w:val="both"/>
              <w:rPr>
                <w:rFonts w:cs="Calibri"/>
                <w:color w:val="000000"/>
                <w:sz w:val="18"/>
                <w:szCs w:val="20"/>
              </w:rPr>
            </w:pPr>
            <w:r w:rsidRPr="00A85437">
              <w:rPr>
                <w:rFonts w:cs="Calibri"/>
                <w:color w:val="000000"/>
                <w:sz w:val="18"/>
                <w:szCs w:val="20"/>
              </w:rPr>
              <w:t>27.45%</w:t>
            </w:r>
          </w:p>
        </w:tc>
        <w:tc>
          <w:tcPr>
            <w:tcW w:w="1558" w:type="dxa"/>
            <w:vAlign w:val="center"/>
          </w:tcPr>
          <w:p w14:paraId="2423A94A" w14:textId="23F89134" w:rsidR="00F05C71" w:rsidRPr="0004521F" w:rsidRDefault="00F05C71" w:rsidP="00F05C71">
            <w:pPr>
              <w:jc w:val="both"/>
              <w:rPr>
                <w:rFonts w:cs="Calibri"/>
                <w:color w:val="000000"/>
                <w:sz w:val="18"/>
                <w:szCs w:val="20"/>
              </w:rPr>
            </w:pPr>
            <w:r w:rsidRPr="00A85437">
              <w:rPr>
                <w:rFonts w:cs="Calibri"/>
                <w:color w:val="000000"/>
                <w:sz w:val="18"/>
                <w:szCs w:val="20"/>
              </w:rPr>
              <w:t>30.51%</w:t>
            </w:r>
          </w:p>
        </w:tc>
      </w:tr>
      <w:tr w:rsidR="00F05C71" w:rsidRPr="0004521F" w14:paraId="1276585E" w14:textId="77777777" w:rsidTr="0032045D">
        <w:trPr>
          <w:jc w:val="center"/>
        </w:trPr>
        <w:tc>
          <w:tcPr>
            <w:tcW w:w="1555" w:type="dxa"/>
          </w:tcPr>
          <w:p w14:paraId="4B1A0D8F" w14:textId="77777777" w:rsidR="00F05C71" w:rsidRPr="0004521F" w:rsidRDefault="00F05C71" w:rsidP="00F05C71">
            <w:pPr>
              <w:jc w:val="both"/>
              <w:rPr>
                <w:rFonts w:cs="Calibri"/>
                <w:color w:val="000000"/>
                <w:sz w:val="18"/>
                <w:szCs w:val="20"/>
              </w:rPr>
            </w:pPr>
            <w:r w:rsidRPr="0004521F">
              <w:rPr>
                <w:sz w:val="18"/>
                <w:szCs w:val="20"/>
                <w:lang w:val="es-MX"/>
              </w:rPr>
              <w:t>TIR – Tasa Descuento</w:t>
            </w:r>
          </w:p>
        </w:tc>
        <w:tc>
          <w:tcPr>
            <w:tcW w:w="1558" w:type="dxa"/>
            <w:vAlign w:val="bottom"/>
          </w:tcPr>
          <w:p w14:paraId="756C5D93" w14:textId="11E74B24" w:rsidR="00F05C71" w:rsidRPr="007A3A49" w:rsidRDefault="00F05C71" w:rsidP="00F05C71">
            <w:pPr>
              <w:jc w:val="both"/>
              <w:rPr>
                <w:rFonts w:cs="Calibri"/>
                <w:color w:val="000000"/>
                <w:sz w:val="18"/>
                <w:szCs w:val="20"/>
              </w:rPr>
            </w:pPr>
            <w:r w:rsidRPr="00A85437">
              <w:rPr>
                <w:rFonts w:cs="Calibri"/>
                <w:color w:val="000000"/>
                <w:sz w:val="18"/>
                <w:szCs w:val="20"/>
              </w:rPr>
              <w:t>11.44%</w:t>
            </w:r>
          </w:p>
        </w:tc>
        <w:tc>
          <w:tcPr>
            <w:tcW w:w="1558" w:type="dxa"/>
            <w:vAlign w:val="bottom"/>
          </w:tcPr>
          <w:p w14:paraId="594EC9EF" w14:textId="713A4FFC" w:rsidR="00F05C71" w:rsidRPr="007A3A49" w:rsidRDefault="00F05C71" w:rsidP="00F05C71">
            <w:pPr>
              <w:jc w:val="both"/>
              <w:rPr>
                <w:rFonts w:cs="Calibri"/>
                <w:color w:val="000000"/>
                <w:sz w:val="18"/>
                <w:szCs w:val="20"/>
              </w:rPr>
            </w:pPr>
            <w:r w:rsidRPr="00A85437">
              <w:rPr>
                <w:rFonts w:cs="Calibri"/>
                <w:color w:val="000000"/>
                <w:sz w:val="18"/>
                <w:szCs w:val="20"/>
              </w:rPr>
              <w:t>15.46%</w:t>
            </w:r>
          </w:p>
        </w:tc>
        <w:tc>
          <w:tcPr>
            <w:tcW w:w="1558" w:type="dxa"/>
            <w:vAlign w:val="bottom"/>
          </w:tcPr>
          <w:p w14:paraId="3EA5C7A4" w14:textId="651B6151" w:rsidR="00F05C71" w:rsidRPr="0004521F" w:rsidRDefault="00F05C71" w:rsidP="00F05C71">
            <w:pPr>
              <w:jc w:val="both"/>
              <w:rPr>
                <w:rFonts w:cs="Calibri"/>
                <w:color w:val="000000"/>
                <w:sz w:val="18"/>
                <w:szCs w:val="20"/>
              </w:rPr>
            </w:pPr>
            <w:r w:rsidRPr="00A85437">
              <w:rPr>
                <w:rFonts w:cs="Calibri"/>
                <w:color w:val="000000"/>
                <w:sz w:val="18"/>
                <w:szCs w:val="20"/>
              </w:rPr>
              <w:t>17.45%</w:t>
            </w:r>
          </w:p>
        </w:tc>
        <w:tc>
          <w:tcPr>
            <w:tcW w:w="1558" w:type="dxa"/>
            <w:vAlign w:val="bottom"/>
          </w:tcPr>
          <w:p w14:paraId="78E8B50B" w14:textId="66715A7B" w:rsidR="00F05C71" w:rsidRPr="0004521F" w:rsidRDefault="00F05C71" w:rsidP="00F05C71">
            <w:pPr>
              <w:jc w:val="both"/>
              <w:rPr>
                <w:rFonts w:cs="Calibri"/>
                <w:color w:val="000000"/>
                <w:sz w:val="18"/>
                <w:szCs w:val="20"/>
              </w:rPr>
            </w:pPr>
            <w:r w:rsidRPr="00A85437">
              <w:rPr>
                <w:rFonts w:cs="Calibri"/>
                <w:color w:val="000000"/>
                <w:sz w:val="18"/>
                <w:szCs w:val="20"/>
              </w:rPr>
              <w:t>20.51%</w:t>
            </w:r>
          </w:p>
        </w:tc>
      </w:tr>
    </w:tbl>
    <w:p w14:paraId="6F3ED915" w14:textId="0A4EEDF3" w:rsidR="00C931BD" w:rsidRPr="003A4427" w:rsidRDefault="00DF459E" w:rsidP="003A4427">
      <w:pPr>
        <w:jc w:val="right"/>
        <w:rPr>
          <w:sz w:val="18"/>
          <w:szCs w:val="18"/>
          <w:lang w:val="es-ES_tradnl"/>
        </w:rPr>
      </w:pPr>
      <w:r w:rsidRPr="00E1518A">
        <w:rPr>
          <w:i/>
          <w:sz w:val="18"/>
          <w:szCs w:val="18"/>
          <w:lang w:val="es-MX"/>
        </w:rPr>
        <w:t>Fuente: Elaboración propia</w:t>
      </w:r>
    </w:p>
    <w:p w14:paraId="3FDF8273" w14:textId="71E23021" w:rsidR="00085CAE" w:rsidRPr="00AF60D9" w:rsidRDefault="00DA621B" w:rsidP="0052355A">
      <w:pPr>
        <w:jc w:val="both"/>
        <w:rPr>
          <w:lang w:val="es-MX"/>
        </w:rPr>
      </w:pPr>
      <w:r w:rsidRPr="000E6F1C">
        <w:rPr>
          <w:lang w:val="es-ES_tradnl"/>
        </w:rPr>
        <w:t>Se encontró que los resultados son particularmente sensibles</w:t>
      </w:r>
      <w:r w:rsidR="009E2D3A" w:rsidRPr="000E6F1C">
        <w:rPr>
          <w:lang w:val="es-ES_tradnl"/>
        </w:rPr>
        <w:t xml:space="preserve"> </w:t>
      </w:r>
      <w:r w:rsidR="00085CAE" w:rsidRPr="000E6F1C">
        <w:rPr>
          <w:lang w:val="es-ES_tradnl"/>
        </w:rPr>
        <w:t>a los períodos simples de recup</w:t>
      </w:r>
      <w:r w:rsidR="00085CAE">
        <w:rPr>
          <w:lang w:val="es-ES_tradnl"/>
        </w:rPr>
        <w:t xml:space="preserve">eración de las distintas MEE, </w:t>
      </w:r>
      <w:r w:rsidR="007A3A49">
        <w:rPr>
          <w:lang w:val="es-ES_tradnl"/>
        </w:rPr>
        <w:t>así como a posibles variaciones en los costos de las tecnologías</w:t>
      </w:r>
      <w:r w:rsidR="00D54C6B">
        <w:rPr>
          <w:lang w:val="es-ES_tradnl"/>
        </w:rPr>
        <w:t>.</w:t>
      </w:r>
    </w:p>
    <w:p w14:paraId="4CF9A112" w14:textId="25247796" w:rsidR="009E2D3A" w:rsidRPr="000E6F1C" w:rsidRDefault="00085CAE" w:rsidP="00085CAE">
      <w:pPr>
        <w:jc w:val="both"/>
        <w:rPr>
          <w:lang w:val="es-ES_tradnl"/>
        </w:rPr>
      </w:pPr>
      <w:r>
        <w:rPr>
          <w:lang w:val="es-ES_tradnl"/>
        </w:rPr>
        <w:t xml:space="preserve">De la sensibilidad al PSR </w:t>
      </w:r>
      <w:r w:rsidR="00AF60D9">
        <w:rPr>
          <w:lang w:val="es-ES_tradnl"/>
        </w:rPr>
        <w:t>s</w:t>
      </w:r>
      <w:r>
        <w:rPr>
          <w:lang w:val="es-ES_tradnl"/>
        </w:rPr>
        <w:t>e desprende la necesidad de dar particular atención a la</w:t>
      </w:r>
      <w:r w:rsidR="00555B25" w:rsidRPr="00555B25">
        <w:rPr>
          <w:lang w:val="es-ES_tradnl"/>
        </w:rPr>
        <w:t xml:space="preserve"> preparación de proyectos ejecutivos para los EOAPF</w:t>
      </w:r>
      <w:r w:rsidR="00555B25">
        <w:rPr>
          <w:lang w:val="es-ES_tradnl"/>
        </w:rPr>
        <w:t xml:space="preserve"> y a los procesos licitatorios debiendo asegurar que se cumplan o mejoren los PSR requeridos</w:t>
      </w:r>
      <w:r w:rsidR="00555B25" w:rsidRPr="00555B25">
        <w:rPr>
          <w:lang w:val="es-ES_tradnl"/>
        </w:rPr>
        <w:t xml:space="preserve">; </w:t>
      </w:r>
      <w:r w:rsidR="00555B25">
        <w:rPr>
          <w:lang w:val="es-ES_tradnl"/>
        </w:rPr>
        <w:t xml:space="preserve">así como a la </w:t>
      </w:r>
      <w:r w:rsidR="00555B25" w:rsidRPr="00555B25">
        <w:rPr>
          <w:lang w:val="es-ES_tradnl"/>
        </w:rPr>
        <w:t>contratación, supervisión, pagos y finiquito por la prove</w:t>
      </w:r>
      <w:r w:rsidR="00555B25">
        <w:rPr>
          <w:lang w:val="es-ES_tradnl"/>
        </w:rPr>
        <w:t>e</w:t>
      </w:r>
      <w:r w:rsidR="00555B25" w:rsidRPr="00555B25">
        <w:rPr>
          <w:lang w:val="es-ES_tradnl"/>
        </w:rPr>
        <w:t xml:space="preserve">duría de equipos y su instalación </w:t>
      </w:r>
      <w:r w:rsidR="00555B25">
        <w:rPr>
          <w:lang w:val="es-ES_tradnl"/>
        </w:rPr>
        <w:t xml:space="preserve">a fin de asegurar que el desempeño sea acorde a lo proyectado. </w:t>
      </w:r>
    </w:p>
    <w:p w14:paraId="7D6325D4" w14:textId="77777777" w:rsidR="00F3346B" w:rsidRDefault="00F3346B" w:rsidP="0052355A">
      <w:pPr>
        <w:pStyle w:val="Heading1"/>
        <w:jc w:val="both"/>
        <w:rPr>
          <w:rFonts w:asciiTheme="minorHAnsi" w:hAnsiTheme="minorHAnsi"/>
          <w:b/>
          <w:sz w:val="24"/>
          <w:szCs w:val="24"/>
          <w:lang w:val="es-ES_tradnl"/>
        </w:rPr>
      </w:pPr>
    </w:p>
    <w:p w14:paraId="64DFAFA9" w14:textId="77777777" w:rsidR="00C761BE" w:rsidRPr="00A93D10" w:rsidRDefault="00C761BE" w:rsidP="0052355A">
      <w:pPr>
        <w:pStyle w:val="Heading1"/>
        <w:jc w:val="both"/>
        <w:rPr>
          <w:rFonts w:asciiTheme="minorHAnsi" w:hAnsiTheme="minorHAnsi"/>
          <w:b/>
          <w:sz w:val="24"/>
          <w:szCs w:val="24"/>
          <w:lang w:val="es-ES_tradnl"/>
        </w:rPr>
      </w:pPr>
      <w:r w:rsidRPr="00A93D10">
        <w:rPr>
          <w:rFonts w:asciiTheme="minorHAnsi" w:hAnsiTheme="minorHAnsi"/>
          <w:b/>
          <w:sz w:val="24"/>
          <w:szCs w:val="24"/>
          <w:lang w:val="es-ES_tradnl"/>
        </w:rPr>
        <w:t>Fundamentos del modelo</w:t>
      </w:r>
    </w:p>
    <w:p w14:paraId="584C2CE5" w14:textId="77777777" w:rsidR="00F3346B" w:rsidRDefault="00F3346B" w:rsidP="0052355A">
      <w:pPr>
        <w:jc w:val="both"/>
        <w:rPr>
          <w:lang w:val="es-ES_tradnl"/>
        </w:rPr>
      </w:pPr>
    </w:p>
    <w:p w14:paraId="7462C51A" w14:textId="4F35DE54" w:rsidR="00C761BE" w:rsidRPr="0068098E" w:rsidRDefault="00C761BE" w:rsidP="0052355A">
      <w:pPr>
        <w:jc w:val="both"/>
        <w:rPr>
          <w:lang w:val="es-ES_tradnl"/>
        </w:rPr>
      </w:pPr>
      <w:r w:rsidRPr="000E6F1C">
        <w:rPr>
          <w:lang w:val="es-ES_tradnl"/>
        </w:rPr>
        <w:t>Para proyectar los ahorros posibles a t</w:t>
      </w:r>
      <w:r w:rsidR="00AB2D58">
        <w:rPr>
          <w:lang w:val="es-ES_tradnl"/>
        </w:rPr>
        <w:t xml:space="preserve">ravés del </w:t>
      </w:r>
      <w:r w:rsidR="00ED1432">
        <w:rPr>
          <w:lang w:val="es-ES_tradnl"/>
        </w:rPr>
        <w:t>Proyecto</w:t>
      </w:r>
      <w:r w:rsidRPr="000E6F1C">
        <w:rPr>
          <w:lang w:val="es-ES_tradnl"/>
        </w:rPr>
        <w:t xml:space="preserve"> propuesto, se realizó un modelo en una hoja de cálculo que considera, entre otras cosas, la distribución de las medidas de eficiencia energética (</w:t>
      </w:r>
      <w:proofErr w:type="spellStart"/>
      <w:r w:rsidRPr="000E6F1C">
        <w:rPr>
          <w:lang w:val="es-ES_tradnl"/>
        </w:rPr>
        <w:t>MEEs</w:t>
      </w:r>
      <w:proofErr w:type="spellEnd"/>
      <w:r w:rsidRPr="000E6F1C">
        <w:rPr>
          <w:lang w:val="es-ES_tradnl"/>
        </w:rPr>
        <w:t xml:space="preserve">), sus </w:t>
      </w:r>
      <w:r w:rsidRPr="0068098E">
        <w:rPr>
          <w:lang w:val="es-ES_tradnl"/>
        </w:rPr>
        <w:t xml:space="preserve">periodos simples de retorno, el potencial total que los inmuebles de la Administración Pública Federal tienen para actualizar su equipo de aire acondicionado y luminarias, y el retraso en implementación que podrían tener las </w:t>
      </w:r>
      <w:proofErr w:type="spellStart"/>
      <w:r w:rsidRPr="0068098E">
        <w:rPr>
          <w:lang w:val="es-ES_tradnl"/>
        </w:rPr>
        <w:t>MEEs</w:t>
      </w:r>
      <w:proofErr w:type="spellEnd"/>
      <w:r w:rsidRPr="0068098E">
        <w:rPr>
          <w:lang w:val="es-ES_tradnl"/>
        </w:rPr>
        <w:t>.</w:t>
      </w:r>
    </w:p>
    <w:p w14:paraId="0C306711" w14:textId="533A8672" w:rsidR="00C761BE" w:rsidRPr="000E6F1C" w:rsidRDefault="00C761BE" w:rsidP="0052355A">
      <w:pPr>
        <w:jc w:val="both"/>
        <w:rPr>
          <w:lang w:val="es-ES_tradnl"/>
        </w:rPr>
      </w:pPr>
      <w:r w:rsidRPr="0068098E">
        <w:rPr>
          <w:lang w:val="es-ES_tradnl"/>
        </w:rPr>
        <w:t>Considerando todos sus parámetros financieros y técnicos, el modelo permite estimar los indicadores de bondad económica del proyecto</w:t>
      </w:r>
      <w:r w:rsidRPr="000E6F1C">
        <w:rPr>
          <w:lang w:val="es-ES_tradnl"/>
        </w:rPr>
        <w:t xml:space="preserve"> y, por lo tanto, el potencial que tiene para generar beneficios sociales mediante la reducción de emisiones de CO</w:t>
      </w:r>
      <w:r w:rsidR="00CE1CB0" w:rsidRPr="00CE1CB0">
        <w:rPr>
          <w:vertAlign w:val="subscript"/>
          <w:lang w:val="es-ES_tradnl"/>
        </w:rPr>
        <w:t>2</w:t>
      </w:r>
      <w:r w:rsidRPr="000E6F1C">
        <w:rPr>
          <w:lang w:val="es-ES_tradnl"/>
        </w:rPr>
        <w:t xml:space="preserve">, beneficios para el gobierno de México mediante la reducción en su gasto en energía, y para el BID mediante la implementación de un </w:t>
      </w:r>
      <w:r w:rsidR="00ED1432">
        <w:rPr>
          <w:lang w:val="es-ES_tradnl"/>
        </w:rPr>
        <w:t>Proyecto</w:t>
      </w:r>
      <w:r w:rsidRPr="000E6F1C">
        <w:rPr>
          <w:lang w:val="es-ES_tradnl"/>
        </w:rPr>
        <w:t xml:space="preserve"> alineado con sus objetivos como institución para el desarrollo de países latinoamericanos.</w:t>
      </w:r>
    </w:p>
    <w:p w14:paraId="40DE3CD7" w14:textId="6D1286A3" w:rsidR="008A0861" w:rsidRDefault="00C761BE" w:rsidP="008A0861">
      <w:pPr>
        <w:jc w:val="both"/>
        <w:rPr>
          <w:lang w:val="es-ES_tradnl"/>
        </w:rPr>
      </w:pPr>
      <w:r w:rsidRPr="000E6F1C">
        <w:rPr>
          <w:lang w:val="es-ES_tradnl"/>
        </w:rPr>
        <w:t>El modelo tiene como base el estudio “Evaluación de Potenciales y Propuestas de Estrategia Financiera-Administrativa para Implementar Medidas de Eficiencia Energética (EE) en Edificios la Administración Pública Federal”, realizado con apoyo del BID. Se utilizan sus conclusiones como punto de partida para hacer una evaluación más concreta, co</w:t>
      </w:r>
      <w:r w:rsidR="00AB2D58">
        <w:rPr>
          <w:lang w:val="es-ES_tradnl"/>
        </w:rPr>
        <w:t xml:space="preserve">nsiderando las necesidades del </w:t>
      </w:r>
      <w:r w:rsidR="00ED1432">
        <w:rPr>
          <w:lang w:val="es-ES_tradnl"/>
        </w:rPr>
        <w:t>Proyecto</w:t>
      </w:r>
      <w:r w:rsidRPr="000E6F1C">
        <w:rPr>
          <w:lang w:val="es-ES_tradnl"/>
        </w:rPr>
        <w:t xml:space="preserve"> y las características del crédito a otorgarse.</w:t>
      </w:r>
    </w:p>
    <w:p w14:paraId="3996785F" w14:textId="77777777" w:rsidR="008C41BB" w:rsidRDefault="008C41BB" w:rsidP="0052355A">
      <w:pPr>
        <w:jc w:val="both"/>
        <w:rPr>
          <w:lang w:val="es-ES_tradnl"/>
        </w:rPr>
      </w:pPr>
      <w:r>
        <w:rPr>
          <w:lang w:val="es-ES_tradnl"/>
        </w:rPr>
        <w:lastRenderedPageBreak/>
        <w:t xml:space="preserve">Dicho </w:t>
      </w:r>
      <w:r w:rsidR="00A40D57" w:rsidRPr="00A40D57">
        <w:rPr>
          <w:lang w:val="es-ES_tradnl"/>
        </w:rPr>
        <w:t xml:space="preserve">estudio </w:t>
      </w:r>
      <w:r>
        <w:rPr>
          <w:lang w:val="es-ES_tradnl"/>
        </w:rPr>
        <w:t>determinó</w:t>
      </w:r>
      <w:r w:rsidR="00A40D57" w:rsidRPr="00A40D57">
        <w:rPr>
          <w:lang w:val="es-ES_tradnl"/>
        </w:rPr>
        <w:t xml:space="preserve"> que:</w:t>
      </w:r>
    </w:p>
    <w:p w14:paraId="47D8EA90" w14:textId="77777777" w:rsidR="008C41BB" w:rsidRPr="004D1ABB" w:rsidRDefault="008C41BB" w:rsidP="00A93D10">
      <w:pPr>
        <w:pStyle w:val="ListParagraph"/>
        <w:numPr>
          <w:ilvl w:val="0"/>
          <w:numId w:val="3"/>
        </w:numPr>
        <w:jc w:val="both"/>
        <w:rPr>
          <w:lang w:val="es-ES_tradnl"/>
        </w:rPr>
      </w:pPr>
      <w:r w:rsidRPr="004D1ABB">
        <w:rPr>
          <w:lang w:val="es-ES_tradnl"/>
        </w:rPr>
        <w:t>E</w:t>
      </w:r>
      <w:r w:rsidR="00A40D57" w:rsidRPr="004D1ABB">
        <w:rPr>
          <w:lang w:val="es-ES_tradnl"/>
        </w:rPr>
        <w:t>l consumo de energía eléctrica de los EOAPF se concentra principalmente en aire acondicionado e iluminación</w:t>
      </w:r>
      <w:r w:rsidRPr="00730CE6">
        <w:rPr>
          <w:lang w:val="es-ES_tradnl"/>
        </w:rPr>
        <w:t>,</w:t>
      </w:r>
      <w:r w:rsidR="00A40D57" w:rsidRPr="00730CE6">
        <w:rPr>
          <w:lang w:val="es-ES_tradnl"/>
        </w:rPr>
        <w:t xml:space="preserve"> representan</w:t>
      </w:r>
      <w:r w:rsidRPr="009322F6">
        <w:rPr>
          <w:lang w:val="es-ES_tradnl"/>
        </w:rPr>
        <w:t>do</w:t>
      </w:r>
      <w:r w:rsidR="00A40D57" w:rsidRPr="004D1ABB">
        <w:rPr>
          <w:lang w:val="es-ES_tradnl"/>
        </w:rPr>
        <w:t xml:space="preserve"> el 72.4% del consumo total de energía eléctrica de los 1,806 edificios propiedad de la APF</w:t>
      </w:r>
      <w:r w:rsidRPr="004D1ABB">
        <w:rPr>
          <w:lang w:val="es-ES_tradnl"/>
        </w:rPr>
        <w:t>.</w:t>
      </w:r>
    </w:p>
    <w:p w14:paraId="360FBBAA" w14:textId="77777777" w:rsidR="008C41BB" w:rsidRPr="004D1ABB" w:rsidRDefault="008C41BB" w:rsidP="00A93D10">
      <w:pPr>
        <w:pStyle w:val="ListParagraph"/>
        <w:numPr>
          <w:ilvl w:val="0"/>
          <w:numId w:val="3"/>
        </w:numPr>
        <w:jc w:val="both"/>
        <w:rPr>
          <w:lang w:val="es-ES_tradnl"/>
        </w:rPr>
      </w:pPr>
      <w:r w:rsidRPr="004D1ABB">
        <w:rPr>
          <w:lang w:val="es-ES_tradnl"/>
        </w:rPr>
        <w:t>P</w:t>
      </w:r>
      <w:r w:rsidR="00A40D57" w:rsidRPr="004D1ABB">
        <w:rPr>
          <w:lang w:val="es-ES_tradnl"/>
        </w:rPr>
        <w:t>or la antigüedad de las instalaciones y su equipamiento, existe un potencial de ahorro del 32% del actual consumo, por la sustitución de equipos de gran consumo de energía, por equipos de alta eficiencia</w:t>
      </w:r>
      <w:r w:rsidRPr="004D1ABB">
        <w:rPr>
          <w:lang w:val="es-ES_tradnl"/>
        </w:rPr>
        <w:t>.</w:t>
      </w:r>
    </w:p>
    <w:p w14:paraId="19112679" w14:textId="0162B291" w:rsidR="008C41BB" w:rsidRPr="004D1ABB" w:rsidRDefault="00A40D57" w:rsidP="00A93D10">
      <w:pPr>
        <w:pStyle w:val="ListParagraph"/>
        <w:numPr>
          <w:ilvl w:val="0"/>
          <w:numId w:val="3"/>
        </w:numPr>
        <w:jc w:val="both"/>
        <w:rPr>
          <w:lang w:val="es-ES_tradnl"/>
        </w:rPr>
      </w:pPr>
      <w:r w:rsidRPr="004D1ABB">
        <w:rPr>
          <w:lang w:val="es-ES_tradnl"/>
        </w:rPr>
        <w:t xml:space="preserve">En el caso de iluminación, </w:t>
      </w:r>
      <w:r w:rsidR="008C41BB" w:rsidRPr="004D1ABB">
        <w:rPr>
          <w:lang w:val="es-ES_tradnl"/>
        </w:rPr>
        <w:t xml:space="preserve">la eficiencia y vida útil de la mayoría de </w:t>
      </w:r>
      <w:r w:rsidRPr="004D1ABB">
        <w:rPr>
          <w:lang w:val="es-ES_tradnl"/>
        </w:rPr>
        <w:t xml:space="preserve">los equipos de iluminación </w:t>
      </w:r>
      <w:r w:rsidR="008C41BB" w:rsidRPr="004D1ABB">
        <w:rPr>
          <w:lang w:val="es-ES_tradnl"/>
        </w:rPr>
        <w:t xml:space="preserve">actuales </w:t>
      </w:r>
      <w:r w:rsidRPr="004D1ABB">
        <w:rPr>
          <w:lang w:val="es-ES_tradnl"/>
        </w:rPr>
        <w:t>es significativamente menor a las lámpara</w:t>
      </w:r>
      <w:r w:rsidR="0032045D">
        <w:rPr>
          <w:lang w:val="es-ES_tradnl"/>
        </w:rPr>
        <w:t>s</w:t>
      </w:r>
      <w:r w:rsidRPr="004D1ABB">
        <w:rPr>
          <w:lang w:val="es-ES_tradnl"/>
        </w:rPr>
        <w:t xml:space="preserve"> a base de </w:t>
      </w:r>
      <w:proofErr w:type="spellStart"/>
      <w:r w:rsidRPr="004D1ABB">
        <w:rPr>
          <w:lang w:val="es-ES_tradnl"/>
        </w:rPr>
        <w:t>LED</w:t>
      </w:r>
      <w:r w:rsidR="008C41BB" w:rsidRPr="004D1ABB">
        <w:rPr>
          <w:lang w:val="es-ES_tradnl"/>
        </w:rPr>
        <w:t>s</w:t>
      </w:r>
      <w:proofErr w:type="spellEnd"/>
      <w:r w:rsidR="008C41BB" w:rsidRPr="004D1ABB">
        <w:rPr>
          <w:lang w:val="es-ES_tradnl"/>
        </w:rPr>
        <w:t xml:space="preserve"> disponibles actualmente en el mercado, por lo cual la instalación del equipo más moderno genera un </w:t>
      </w:r>
      <w:r w:rsidRPr="004D1ABB">
        <w:rPr>
          <w:lang w:val="es-ES_tradnl"/>
        </w:rPr>
        <w:t xml:space="preserve">ahorro económico </w:t>
      </w:r>
      <w:r w:rsidR="008C41BB" w:rsidRPr="004D1ABB">
        <w:rPr>
          <w:lang w:val="es-ES_tradnl"/>
        </w:rPr>
        <w:t>relevante.</w:t>
      </w:r>
    </w:p>
    <w:p w14:paraId="3FA5DB2C" w14:textId="77777777" w:rsidR="008C41BB" w:rsidRPr="004D1ABB" w:rsidRDefault="008C41BB" w:rsidP="00A93D10">
      <w:pPr>
        <w:pStyle w:val="ListParagraph"/>
        <w:numPr>
          <w:ilvl w:val="0"/>
          <w:numId w:val="3"/>
        </w:numPr>
        <w:jc w:val="both"/>
        <w:rPr>
          <w:lang w:val="es-ES_tradnl"/>
        </w:rPr>
      </w:pPr>
      <w:r w:rsidRPr="004D1ABB">
        <w:rPr>
          <w:lang w:val="es-ES_tradnl"/>
        </w:rPr>
        <w:t>En</w:t>
      </w:r>
      <w:r w:rsidR="00A40D57" w:rsidRPr="004D1ABB">
        <w:rPr>
          <w:lang w:val="es-ES_tradnl"/>
        </w:rPr>
        <w:t xml:space="preserve"> el caso de equipos de aire acondicionado los equipos existentes tienen una rel</w:t>
      </w:r>
      <w:r w:rsidRPr="004D1ABB">
        <w:rPr>
          <w:lang w:val="es-ES_tradnl"/>
        </w:rPr>
        <w:t xml:space="preserve">ación de eficiencia energética </w:t>
      </w:r>
      <w:r w:rsidR="00A40D57" w:rsidRPr="004D1ABB">
        <w:rPr>
          <w:lang w:val="es-ES_tradnl"/>
        </w:rPr>
        <w:t>menor en un 40%, con respecto a los equipos nuevos de alta eficiencia</w:t>
      </w:r>
      <w:r w:rsidRPr="004D1ABB">
        <w:rPr>
          <w:lang w:val="es-ES_tradnl"/>
        </w:rPr>
        <w:t>.</w:t>
      </w:r>
    </w:p>
    <w:p w14:paraId="3565A5D5" w14:textId="77777777" w:rsidR="004D1ABB" w:rsidRDefault="004D1ABB" w:rsidP="0052355A">
      <w:pPr>
        <w:jc w:val="both"/>
        <w:rPr>
          <w:lang w:val="es-ES_tradnl"/>
        </w:rPr>
      </w:pPr>
    </w:p>
    <w:p w14:paraId="2ACCF065" w14:textId="4E88F1D8" w:rsidR="008A0861" w:rsidRPr="003F1B4F" w:rsidRDefault="00DF459E" w:rsidP="003F1B4F">
      <w:pPr>
        <w:rPr>
          <w:b/>
          <w:i/>
          <w:lang w:val="es-ES_tradnl"/>
        </w:rPr>
      </w:pPr>
      <w:r>
        <w:rPr>
          <w:i/>
          <w:lang w:val="es-MX"/>
        </w:rPr>
        <w:t>Tabla 4</w:t>
      </w:r>
      <w:r w:rsidRPr="00E1518A">
        <w:rPr>
          <w:i/>
          <w:lang w:val="es-MX"/>
        </w:rPr>
        <w:t>:</w:t>
      </w:r>
      <w:r>
        <w:rPr>
          <w:i/>
          <w:lang w:val="es-MX"/>
        </w:rPr>
        <w:t xml:space="preserve"> </w:t>
      </w:r>
      <w:r w:rsidRPr="00DF459E">
        <w:rPr>
          <w:i/>
          <w:lang w:val="es-MX"/>
        </w:rPr>
        <w:t>Conclusiones del estudio “Evaluación de Potenciales y Propuestas de Estrategia Financiera-Administrativa para Implementar Medidas de Eficiencia Energética (EE) en Edificios la Administración Pública Federal”</w:t>
      </w:r>
      <w:r>
        <w:rPr>
          <w:i/>
          <w:lang w:val="es-MX"/>
        </w:rPr>
        <w:t xml:space="preserve">. </w:t>
      </w:r>
    </w:p>
    <w:tbl>
      <w:tblPr>
        <w:tblStyle w:val="TableGrid"/>
        <w:tblpPr w:leftFromText="141" w:rightFromText="141" w:vertAnchor="text" w:horzAnchor="page" w:tblpX="1630" w:tblpY="19"/>
        <w:tblW w:w="0" w:type="auto"/>
        <w:tblLook w:val="04A0" w:firstRow="1" w:lastRow="0" w:firstColumn="1" w:lastColumn="0" w:noHBand="0" w:noVBand="1"/>
      </w:tblPr>
      <w:tblGrid>
        <w:gridCol w:w="4675"/>
        <w:gridCol w:w="4675"/>
      </w:tblGrid>
      <w:tr w:rsidR="006824B4" w:rsidRPr="000E6F1C" w14:paraId="3A08FFD0" w14:textId="77777777" w:rsidTr="006824B4">
        <w:tc>
          <w:tcPr>
            <w:tcW w:w="4675" w:type="dxa"/>
          </w:tcPr>
          <w:p w14:paraId="4A90904B" w14:textId="77777777" w:rsidR="006824B4" w:rsidRPr="000E6F1C" w:rsidRDefault="006824B4" w:rsidP="006824B4">
            <w:pPr>
              <w:jc w:val="both"/>
              <w:rPr>
                <w:rFonts w:cs="Arial"/>
                <w:lang w:val="es-ES_tradnl"/>
              </w:rPr>
            </w:pPr>
            <w:r w:rsidRPr="000E6F1C">
              <w:rPr>
                <w:rFonts w:cs="Arial"/>
                <w:lang w:val="es-ES_tradnl"/>
              </w:rPr>
              <w:t>Consumo actual de energía en edificios de la Administración Pública Federal destinados a oficina</w:t>
            </w:r>
          </w:p>
        </w:tc>
        <w:tc>
          <w:tcPr>
            <w:tcW w:w="4675" w:type="dxa"/>
          </w:tcPr>
          <w:p w14:paraId="26FC59AD" w14:textId="77777777" w:rsidR="006824B4" w:rsidRPr="000E6F1C" w:rsidRDefault="006824B4" w:rsidP="006824B4">
            <w:pPr>
              <w:jc w:val="both"/>
              <w:rPr>
                <w:rFonts w:cs="Arial"/>
                <w:lang w:val="es-ES_tradnl"/>
              </w:rPr>
            </w:pPr>
            <w:r w:rsidRPr="000E6F1C">
              <w:rPr>
                <w:rFonts w:cs="Arial"/>
                <w:lang w:val="es-ES_tradnl"/>
              </w:rPr>
              <w:t>433.3 GWh por año</w:t>
            </w:r>
          </w:p>
        </w:tc>
      </w:tr>
      <w:tr w:rsidR="006824B4" w:rsidRPr="00ED1432" w14:paraId="5D27BA9B" w14:textId="77777777" w:rsidTr="006824B4">
        <w:tc>
          <w:tcPr>
            <w:tcW w:w="4675" w:type="dxa"/>
          </w:tcPr>
          <w:p w14:paraId="064AB0B9" w14:textId="14E884A9" w:rsidR="006824B4" w:rsidRPr="000E6F1C" w:rsidRDefault="006824B4" w:rsidP="006824B4">
            <w:pPr>
              <w:jc w:val="both"/>
              <w:rPr>
                <w:rFonts w:cs="Arial"/>
                <w:lang w:val="es-ES_tradnl"/>
              </w:rPr>
            </w:pPr>
            <w:r w:rsidRPr="000E6F1C">
              <w:rPr>
                <w:rFonts w:cs="Arial"/>
                <w:lang w:val="es-ES_tradnl"/>
              </w:rPr>
              <w:t>Gasto</w:t>
            </w:r>
            <w:r w:rsidR="005D2933">
              <w:rPr>
                <w:rFonts w:cs="Arial"/>
                <w:lang w:val="es-ES_tradnl"/>
              </w:rPr>
              <w:t xml:space="preserve"> anual</w:t>
            </w:r>
            <w:r w:rsidRPr="000E6F1C">
              <w:rPr>
                <w:rFonts w:cs="Arial"/>
                <w:lang w:val="es-ES_tradnl"/>
              </w:rPr>
              <w:t xml:space="preserve"> por consumo de electricidad de edificios de la Administración Pública Federal destinados a oficina</w:t>
            </w:r>
          </w:p>
        </w:tc>
        <w:tc>
          <w:tcPr>
            <w:tcW w:w="4675" w:type="dxa"/>
          </w:tcPr>
          <w:p w14:paraId="7A6A5ABB" w14:textId="68E484B0" w:rsidR="006824B4" w:rsidRPr="000E6F1C" w:rsidRDefault="006824B4" w:rsidP="006824B4">
            <w:pPr>
              <w:jc w:val="both"/>
              <w:rPr>
                <w:rFonts w:cs="Arial"/>
                <w:lang w:val="es-ES_tradnl"/>
              </w:rPr>
            </w:pPr>
            <w:r w:rsidRPr="000E6F1C">
              <w:rPr>
                <w:rFonts w:cs="Arial"/>
                <w:lang w:val="es-ES_tradnl"/>
              </w:rPr>
              <w:t>$690.62 millones de pesos</w:t>
            </w:r>
            <w:r w:rsidR="005D2933">
              <w:rPr>
                <w:rFonts w:cs="Arial"/>
                <w:lang w:val="es-ES_tradnl"/>
              </w:rPr>
              <w:t xml:space="preserve"> por año</w:t>
            </w:r>
          </w:p>
        </w:tc>
      </w:tr>
      <w:tr w:rsidR="006824B4" w:rsidRPr="000E6F1C" w14:paraId="057E82FB" w14:textId="77777777" w:rsidTr="006824B4">
        <w:tc>
          <w:tcPr>
            <w:tcW w:w="4675" w:type="dxa"/>
          </w:tcPr>
          <w:p w14:paraId="582EC41E" w14:textId="77777777" w:rsidR="006824B4" w:rsidRPr="000E6F1C" w:rsidRDefault="006824B4" w:rsidP="006824B4">
            <w:pPr>
              <w:jc w:val="both"/>
              <w:rPr>
                <w:rFonts w:cs="Arial"/>
                <w:lang w:val="es-ES_tradnl"/>
              </w:rPr>
            </w:pPr>
            <w:r w:rsidRPr="000E6F1C">
              <w:rPr>
                <w:rFonts w:cs="Arial"/>
                <w:lang w:val="es-ES_tradnl"/>
              </w:rPr>
              <w:t xml:space="preserve">Inversiones potenciales en </w:t>
            </w:r>
            <w:proofErr w:type="spellStart"/>
            <w:r w:rsidRPr="000E6F1C">
              <w:rPr>
                <w:rFonts w:cs="Arial"/>
                <w:lang w:val="es-ES_tradnl"/>
              </w:rPr>
              <w:t>MEEs</w:t>
            </w:r>
            <w:proofErr w:type="spellEnd"/>
            <w:r w:rsidRPr="000E6F1C">
              <w:rPr>
                <w:rFonts w:cs="Arial"/>
                <w:lang w:val="es-ES_tradnl"/>
              </w:rPr>
              <w:t xml:space="preserve"> de iluminación</w:t>
            </w:r>
          </w:p>
        </w:tc>
        <w:tc>
          <w:tcPr>
            <w:tcW w:w="4675" w:type="dxa"/>
          </w:tcPr>
          <w:p w14:paraId="15269DC0" w14:textId="77777777" w:rsidR="006824B4" w:rsidRPr="000E6F1C" w:rsidRDefault="006824B4" w:rsidP="006824B4">
            <w:pPr>
              <w:jc w:val="both"/>
              <w:rPr>
                <w:rFonts w:cs="Arial"/>
                <w:lang w:val="es-ES_tradnl"/>
              </w:rPr>
            </w:pPr>
            <w:r w:rsidRPr="000E6F1C">
              <w:rPr>
                <w:rFonts w:cs="Arial"/>
                <w:lang w:val="es-ES_tradnl"/>
              </w:rPr>
              <w:t>$305.74 millones de pesos</w:t>
            </w:r>
          </w:p>
        </w:tc>
      </w:tr>
      <w:tr w:rsidR="006824B4" w:rsidRPr="000E6F1C" w14:paraId="762C38C2" w14:textId="77777777" w:rsidTr="006824B4">
        <w:tc>
          <w:tcPr>
            <w:tcW w:w="4675" w:type="dxa"/>
          </w:tcPr>
          <w:p w14:paraId="61737B72" w14:textId="77777777" w:rsidR="006824B4" w:rsidRPr="000E6F1C" w:rsidRDefault="006824B4" w:rsidP="006824B4">
            <w:pPr>
              <w:jc w:val="both"/>
              <w:rPr>
                <w:rFonts w:cs="Arial"/>
                <w:lang w:val="es-ES_tradnl"/>
              </w:rPr>
            </w:pPr>
            <w:r w:rsidRPr="000E6F1C">
              <w:rPr>
                <w:rFonts w:cs="Arial"/>
                <w:lang w:val="es-ES_tradnl"/>
              </w:rPr>
              <w:t xml:space="preserve">Inversiones potenciales en </w:t>
            </w:r>
            <w:proofErr w:type="spellStart"/>
            <w:r w:rsidRPr="000E6F1C">
              <w:rPr>
                <w:rFonts w:cs="Arial"/>
                <w:lang w:val="es-ES_tradnl"/>
              </w:rPr>
              <w:t>MEEs</w:t>
            </w:r>
            <w:proofErr w:type="spellEnd"/>
            <w:r w:rsidRPr="000E6F1C">
              <w:rPr>
                <w:rFonts w:cs="Arial"/>
                <w:lang w:val="es-ES_tradnl"/>
              </w:rPr>
              <w:t xml:space="preserve"> de aire acondicionado</w:t>
            </w:r>
          </w:p>
        </w:tc>
        <w:tc>
          <w:tcPr>
            <w:tcW w:w="4675" w:type="dxa"/>
          </w:tcPr>
          <w:p w14:paraId="2653C152" w14:textId="77777777" w:rsidR="006824B4" w:rsidRPr="000E6F1C" w:rsidRDefault="006824B4" w:rsidP="006824B4">
            <w:pPr>
              <w:jc w:val="both"/>
              <w:rPr>
                <w:rFonts w:cs="Arial"/>
                <w:lang w:val="es-ES_tradnl"/>
              </w:rPr>
            </w:pPr>
            <w:r w:rsidRPr="000E6F1C">
              <w:rPr>
                <w:rFonts w:cs="Arial"/>
                <w:lang w:val="es-ES_tradnl"/>
              </w:rPr>
              <w:t>$407.82 millones de pesos</w:t>
            </w:r>
          </w:p>
        </w:tc>
      </w:tr>
      <w:tr w:rsidR="006824B4" w:rsidRPr="000E6F1C" w14:paraId="2DF14154" w14:textId="77777777" w:rsidTr="006824B4">
        <w:tc>
          <w:tcPr>
            <w:tcW w:w="4675" w:type="dxa"/>
          </w:tcPr>
          <w:p w14:paraId="198A5FBE" w14:textId="77777777" w:rsidR="006824B4" w:rsidRPr="000E6F1C" w:rsidRDefault="006824B4" w:rsidP="006824B4">
            <w:pPr>
              <w:jc w:val="both"/>
              <w:rPr>
                <w:rFonts w:cs="Arial"/>
                <w:lang w:val="es-ES_tradnl"/>
              </w:rPr>
            </w:pPr>
            <w:r w:rsidRPr="000E6F1C">
              <w:rPr>
                <w:rFonts w:cs="Arial"/>
                <w:lang w:val="es-ES_tradnl"/>
              </w:rPr>
              <w:t xml:space="preserve">Inversiones potenciales en </w:t>
            </w:r>
            <w:proofErr w:type="spellStart"/>
            <w:r w:rsidRPr="000E6F1C">
              <w:rPr>
                <w:rFonts w:cs="Arial"/>
                <w:lang w:val="es-ES_tradnl"/>
              </w:rPr>
              <w:t>MEEs</w:t>
            </w:r>
            <w:proofErr w:type="spellEnd"/>
            <w:r w:rsidRPr="000E6F1C">
              <w:rPr>
                <w:rFonts w:cs="Arial"/>
                <w:lang w:val="es-ES_tradnl"/>
              </w:rPr>
              <w:t xml:space="preserve"> de cambio de tarifa (Tarifa 3 a Tarifa HM)</w:t>
            </w:r>
            <w:r w:rsidRPr="000E6F1C">
              <w:rPr>
                <w:rStyle w:val="FootnoteReference"/>
                <w:rFonts w:cs="Arial"/>
                <w:lang w:val="es-ES_tradnl"/>
              </w:rPr>
              <w:footnoteReference w:id="3"/>
            </w:r>
          </w:p>
        </w:tc>
        <w:tc>
          <w:tcPr>
            <w:tcW w:w="4675" w:type="dxa"/>
          </w:tcPr>
          <w:p w14:paraId="6C87B9D6" w14:textId="77777777" w:rsidR="006824B4" w:rsidRPr="000E6F1C" w:rsidRDefault="006824B4" w:rsidP="006824B4">
            <w:pPr>
              <w:jc w:val="both"/>
              <w:rPr>
                <w:rFonts w:cs="Arial"/>
                <w:lang w:val="es-ES_tradnl"/>
              </w:rPr>
            </w:pPr>
            <w:r w:rsidRPr="000E6F1C">
              <w:rPr>
                <w:rFonts w:cs="Arial"/>
                <w:lang w:val="es-ES_tradnl"/>
              </w:rPr>
              <w:t>$41.79 millones de pesos</w:t>
            </w:r>
          </w:p>
        </w:tc>
      </w:tr>
      <w:tr w:rsidR="006824B4" w:rsidRPr="000E6F1C" w14:paraId="156B2F1F" w14:textId="77777777" w:rsidTr="006824B4">
        <w:tc>
          <w:tcPr>
            <w:tcW w:w="4675" w:type="dxa"/>
          </w:tcPr>
          <w:p w14:paraId="1B63ED4A" w14:textId="77777777" w:rsidR="006824B4" w:rsidRPr="000E6F1C" w:rsidRDefault="006824B4" w:rsidP="006824B4">
            <w:pPr>
              <w:jc w:val="both"/>
              <w:rPr>
                <w:rFonts w:cs="Arial"/>
                <w:lang w:val="es-ES_tradnl"/>
              </w:rPr>
            </w:pPr>
            <w:r w:rsidRPr="000E6F1C">
              <w:rPr>
                <w:rFonts w:cs="Arial"/>
                <w:lang w:val="es-ES_tradnl"/>
              </w:rPr>
              <w:t xml:space="preserve">Período simple de retorno de inversiones en </w:t>
            </w:r>
            <w:proofErr w:type="spellStart"/>
            <w:r w:rsidRPr="000E6F1C">
              <w:rPr>
                <w:rFonts w:cs="Arial"/>
                <w:lang w:val="es-ES_tradnl"/>
              </w:rPr>
              <w:t>MEEs</w:t>
            </w:r>
            <w:proofErr w:type="spellEnd"/>
            <w:r w:rsidRPr="000E6F1C">
              <w:rPr>
                <w:rFonts w:cs="Arial"/>
                <w:lang w:val="es-ES_tradnl"/>
              </w:rPr>
              <w:t xml:space="preserve"> de iluminación</w:t>
            </w:r>
          </w:p>
        </w:tc>
        <w:tc>
          <w:tcPr>
            <w:tcW w:w="4675" w:type="dxa"/>
          </w:tcPr>
          <w:p w14:paraId="6392E514" w14:textId="77777777" w:rsidR="006824B4" w:rsidRPr="000E6F1C" w:rsidRDefault="006824B4" w:rsidP="006824B4">
            <w:pPr>
              <w:jc w:val="both"/>
              <w:rPr>
                <w:rFonts w:cs="Arial"/>
                <w:lang w:val="es-ES_tradnl"/>
              </w:rPr>
            </w:pPr>
            <w:r w:rsidRPr="000E6F1C">
              <w:rPr>
                <w:rFonts w:cs="Arial"/>
                <w:lang w:val="es-ES_tradnl"/>
              </w:rPr>
              <w:t>4.29 años</w:t>
            </w:r>
          </w:p>
        </w:tc>
      </w:tr>
      <w:tr w:rsidR="006824B4" w:rsidRPr="000E6F1C" w14:paraId="56AD4A4B" w14:textId="77777777" w:rsidTr="006824B4">
        <w:tc>
          <w:tcPr>
            <w:tcW w:w="4675" w:type="dxa"/>
          </w:tcPr>
          <w:p w14:paraId="4BFB7F98" w14:textId="77777777" w:rsidR="006824B4" w:rsidRPr="000E6F1C" w:rsidRDefault="006824B4" w:rsidP="006824B4">
            <w:pPr>
              <w:jc w:val="both"/>
              <w:rPr>
                <w:rFonts w:cs="Arial"/>
                <w:lang w:val="es-ES_tradnl"/>
              </w:rPr>
            </w:pPr>
            <w:r w:rsidRPr="000E6F1C">
              <w:rPr>
                <w:rFonts w:cs="Arial"/>
                <w:lang w:val="es-ES_tradnl"/>
              </w:rPr>
              <w:t xml:space="preserve">Período simple de retorno de inversiones en </w:t>
            </w:r>
            <w:proofErr w:type="spellStart"/>
            <w:r w:rsidRPr="000E6F1C">
              <w:rPr>
                <w:rFonts w:cs="Arial"/>
                <w:lang w:val="es-ES_tradnl"/>
              </w:rPr>
              <w:t>MEEs</w:t>
            </w:r>
            <w:proofErr w:type="spellEnd"/>
            <w:r w:rsidRPr="000E6F1C">
              <w:rPr>
                <w:rFonts w:cs="Arial"/>
                <w:lang w:val="es-ES_tradnl"/>
              </w:rPr>
              <w:t xml:space="preserve"> de aire acondicionado</w:t>
            </w:r>
          </w:p>
        </w:tc>
        <w:tc>
          <w:tcPr>
            <w:tcW w:w="4675" w:type="dxa"/>
          </w:tcPr>
          <w:p w14:paraId="0A5AC110" w14:textId="77777777" w:rsidR="006824B4" w:rsidRPr="000E6F1C" w:rsidRDefault="006824B4" w:rsidP="006824B4">
            <w:pPr>
              <w:jc w:val="both"/>
              <w:rPr>
                <w:rFonts w:cs="Arial"/>
                <w:lang w:val="es-ES_tradnl"/>
              </w:rPr>
            </w:pPr>
            <w:r w:rsidRPr="000E6F1C">
              <w:rPr>
                <w:rFonts w:cs="Arial"/>
                <w:lang w:val="es-ES_tradnl"/>
              </w:rPr>
              <w:t>3.80 años</w:t>
            </w:r>
          </w:p>
        </w:tc>
      </w:tr>
      <w:tr w:rsidR="006824B4" w:rsidRPr="000E6F1C" w14:paraId="018EC130" w14:textId="77777777" w:rsidTr="006824B4">
        <w:tc>
          <w:tcPr>
            <w:tcW w:w="4675" w:type="dxa"/>
          </w:tcPr>
          <w:p w14:paraId="51080406" w14:textId="77777777" w:rsidR="006824B4" w:rsidRPr="000E6F1C" w:rsidRDefault="006824B4" w:rsidP="006824B4">
            <w:pPr>
              <w:jc w:val="both"/>
              <w:rPr>
                <w:rFonts w:cs="Arial"/>
                <w:lang w:val="es-ES_tradnl"/>
              </w:rPr>
            </w:pPr>
            <w:r w:rsidRPr="000E6F1C">
              <w:rPr>
                <w:rFonts w:cs="Arial"/>
                <w:lang w:val="es-ES_tradnl"/>
              </w:rPr>
              <w:t xml:space="preserve">Período simple de retorno de inversiones en </w:t>
            </w:r>
            <w:proofErr w:type="spellStart"/>
            <w:r w:rsidRPr="000E6F1C">
              <w:rPr>
                <w:rFonts w:cs="Arial"/>
                <w:lang w:val="es-ES_tradnl"/>
              </w:rPr>
              <w:t>MEEs</w:t>
            </w:r>
            <w:proofErr w:type="spellEnd"/>
            <w:r w:rsidRPr="000E6F1C">
              <w:rPr>
                <w:rFonts w:cs="Arial"/>
                <w:lang w:val="es-ES_tradnl"/>
              </w:rPr>
              <w:t xml:space="preserve"> de cambio de tarifa</w:t>
            </w:r>
          </w:p>
        </w:tc>
        <w:tc>
          <w:tcPr>
            <w:tcW w:w="4675" w:type="dxa"/>
          </w:tcPr>
          <w:p w14:paraId="3B8F3FC8" w14:textId="77777777" w:rsidR="006824B4" w:rsidRPr="000E6F1C" w:rsidRDefault="006824B4" w:rsidP="006824B4">
            <w:pPr>
              <w:jc w:val="both"/>
              <w:rPr>
                <w:rFonts w:cs="Arial"/>
                <w:lang w:val="es-ES_tradnl"/>
              </w:rPr>
            </w:pPr>
            <w:r w:rsidRPr="000E6F1C">
              <w:rPr>
                <w:rFonts w:cs="Arial"/>
                <w:lang w:val="es-ES_tradnl"/>
              </w:rPr>
              <w:t>3.81 años</w:t>
            </w:r>
          </w:p>
        </w:tc>
      </w:tr>
      <w:tr w:rsidR="006824B4" w:rsidRPr="00ED1432" w14:paraId="69EFEA2D" w14:textId="77777777" w:rsidTr="006824B4">
        <w:tc>
          <w:tcPr>
            <w:tcW w:w="4675" w:type="dxa"/>
          </w:tcPr>
          <w:p w14:paraId="5C9606A2" w14:textId="77777777" w:rsidR="006824B4" w:rsidRPr="000E6F1C" w:rsidRDefault="006824B4" w:rsidP="006824B4">
            <w:pPr>
              <w:jc w:val="both"/>
              <w:rPr>
                <w:rFonts w:cs="Arial"/>
                <w:lang w:val="es-ES_tradnl"/>
              </w:rPr>
            </w:pPr>
            <w:r w:rsidRPr="000E6F1C">
              <w:rPr>
                <w:rFonts w:cs="Arial"/>
                <w:lang w:val="es-ES_tradnl"/>
              </w:rPr>
              <w:t>Reducción de emisiones de gases de efecto invernadero tras implementación de todas las medidas de eficiencia energética propuestas</w:t>
            </w:r>
          </w:p>
        </w:tc>
        <w:tc>
          <w:tcPr>
            <w:tcW w:w="4675" w:type="dxa"/>
          </w:tcPr>
          <w:p w14:paraId="0289578A" w14:textId="77777777" w:rsidR="006824B4" w:rsidRPr="000E6F1C" w:rsidRDefault="006824B4" w:rsidP="006824B4">
            <w:pPr>
              <w:jc w:val="both"/>
              <w:rPr>
                <w:rFonts w:cs="Arial"/>
                <w:lang w:val="es-ES_tradnl"/>
              </w:rPr>
            </w:pPr>
            <w:r w:rsidRPr="000E6F1C">
              <w:rPr>
                <w:rFonts w:cs="Arial"/>
                <w:lang w:val="es-ES_tradnl"/>
              </w:rPr>
              <w:t>52,670 toneladas de emisiones de CO2 al año</w:t>
            </w:r>
          </w:p>
        </w:tc>
      </w:tr>
    </w:tbl>
    <w:p w14:paraId="49DF346D" w14:textId="54FFDBA0" w:rsidR="00CB75C6" w:rsidRPr="00A93D10" w:rsidRDefault="00CB75C6" w:rsidP="00CB75C6">
      <w:pPr>
        <w:jc w:val="right"/>
        <w:rPr>
          <w:i/>
          <w:sz w:val="18"/>
          <w:szCs w:val="18"/>
          <w:lang w:val="es-MX"/>
        </w:rPr>
      </w:pPr>
      <w:r w:rsidRPr="00E1518A">
        <w:rPr>
          <w:i/>
          <w:sz w:val="18"/>
          <w:szCs w:val="18"/>
          <w:lang w:val="es-MX"/>
        </w:rPr>
        <w:t xml:space="preserve">Fuente: </w:t>
      </w:r>
      <w:r w:rsidRPr="00CB75C6">
        <w:rPr>
          <w:i/>
          <w:sz w:val="18"/>
          <w:szCs w:val="18"/>
          <w:lang w:val="es-MX"/>
        </w:rPr>
        <w:t>estudio “Evaluación de Potenciales y Propuestas de Estrategia Financiera-Administrativa para Implementar Medidas de Eficiencia Energética (EE) en Edificios la Administración Pública Federal”</w:t>
      </w:r>
    </w:p>
    <w:p w14:paraId="099A162E" w14:textId="12E3598E" w:rsidR="00C761BE" w:rsidRPr="000E6F1C" w:rsidRDefault="00C761BE" w:rsidP="0052355A">
      <w:pPr>
        <w:jc w:val="both"/>
        <w:rPr>
          <w:rFonts w:cs="Arial"/>
          <w:lang w:val="es-ES_tradnl"/>
        </w:rPr>
      </w:pPr>
    </w:p>
    <w:p w14:paraId="77518DCB" w14:textId="5E67BB4D" w:rsidR="00C761BE" w:rsidRPr="000E6F1C" w:rsidRDefault="00C761BE" w:rsidP="0052355A">
      <w:pPr>
        <w:jc w:val="both"/>
        <w:rPr>
          <w:lang w:val="es-ES_tradnl"/>
        </w:rPr>
      </w:pPr>
      <w:r w:rsidRPr="000E6F1C">
        <w:rPr>
          <w:lang w:val="es-ES_tradnl"/>
        </w:rPr>
        <w:lastRenderedPageBreak/>
        <w:t xml:space="preserve">Sin embargo, la </w:t>
      </w:r>
      <w:r w:rsidRPr="0068098E">
        <w:rPr>
          <w:lang w:val="es-ES_tradnl"/>
        </w:rPr>
        <w:t xml:space="preserve">parte del crédito propuesto que está programada para la implementación de las medidas de eficiencia energética es de </w:t>
      </w:r>
      <w:r w:rsidR="0032045D">
        <w:rPr>
          <w:lang w:val="es-ES_tradnl"/>
        </w:rPr>
        <w:t>28.25</w:t>
      </w:r>
      <w:r w:rsidR="0032045D" w:rsidRPr="0068098E">
        <w:rPr>
          <w:lang w:val="es-ES_tradnl"/>
        </w:rPr>
        <w:t xml:space="preserve"> </w:t>
      </w:r>
      <w:r w:rsidRPr="0068098E">
        <w:rPr>
          <w:lang w:val="es-ES_tradnl"/>
        </w:rPr>
        <w:t xml:space="preserve">millones de dólares </w:t>
      </w:r>
      <w:proofErr w:type="gramStart"/>
      <w:r w:rsidRPr="0068098E">
        <w:rPr>
          <w:lang w:val="es-ES_tradnl"/>
        </w:rPr>
        <w:t>y</w:t>
      </w:r>
      <w:proofErr w:type="gramEnd"/>
      <w:r w:rsidRPr="000E6F1C">
        <w:rPr>
          <w:lang w:val="es-ES_tradnl"/>
        </w:rPr>
        <w:t xml:space="preserve"> por lo tanto, cons</w:t>
      </w:r>
      <w:r w:rsidR="00D54C6B">
        <w:rPr>
          <w:lang w:val="es-ES_tradnl"/>
        </w:rPr>
        <w:t xml:space="preserve">iderando un tipo de cambio de 18.13 MXN/USD, es de </w:t>
      </w:r>
      <w:r w:rsidR="0032045D">
        <w:rPr>
          <w:lang w:val="es-ES_tradnl"/>
        </w:rPr>
        <w:t>512.2</w:t>
      </w:r>
      <w:r w:rsidR="00D54C6B">
        <w:rPr>
          <w:lang w:val="es-ES_tradnl"/>
        </w:rPr>
        <w:t xml:space="preserve"> millones </w:t>
      </w:r>
      <w:r w:rsidR="00406B4B">
        <w:rPr>
          <w:lang w:val="es-ES_tradnl"/>
        </w:rPr>
        <w:t>de</w:t>
      </w:r>
      <w:r w:rsidRPr="000E6F1C">
        <w:rPr>
          <w:lang w:val="es-ES_tradnl"/>
        </w:rPr>
        <w:t xml:space="preserve"> pesos y no puede cubrir la totalidad de las inversiones propuestas en el diagnóstico mencionado.</w:t>
      </w:r>
    </w:p>
    <w:p w14:paraId="0EB98F99" w14:textId="77777777" w:rsidR="00C761BE" w:rsidRPr="000E6F1C" w:rsidRDefault="00C761BE" w:rsidP="0052355A">
      <w:pPr>
        <w:jc w:val="both"/>
        <w:rPr>
          <w:lang w:val="es-ES_tradnl"/>
        </w:rPr>
      </w:pPr>
      <w:r w:rsidRPr="000E6F1C">
        <w:rPr>
          <w:lang w:val="es-ES_tradnl"/>
        </w:rPr>
        <w:t>Por lo mismo, con base en la distribución de inversiones en medidas de eficiencia energéticas solicitada por el Banco Interamericano de Desarrollo, se calculó la parte proporcional de los proyectos a cubrirse por el crédito, los cuales se resumen en la siguiente tabla:</w:t>
      </w:r>
    </w:p>
    <w:p w14:paraId="19E307F2" w14:textId="72CFD569" w:rsidR="00C761BE" w:rsidRPr="00A93D10" w:rsidRDefault="00CB75C6" w:rsidP="00A93D10">
      <w:pPr>
        <w:rPr>
          <w:b/>
          <w:i/>
          <w:lang w:val="es-ES_tradnl"/>
        </w:rPr>
      </w:pPr>
      <w:r>
        <w:rPr>
          <w:i/>
          <w:lang w:val="es-MX"/>
        </w:rPr>
        <w:t xml:space="preserve">Tabla 5: Porcentaje del potencial de ahorro en EEOAPF a cubrir con el crédito de 33 MDD. </w:t>
      </w:r>
    </w:p>
    <w:tbl>
      <w:tblPr>
        <w:tblStyle w:val="TableGrid"/>
        <w:tblW w:w="9350" w:type="dxa"/>
        <w:tblLook w:val="04A0" w:firstRow="1" w:lastRow="0" w:firstColumn="1" w:lastColumn="0" w:noHBand="0" w:noVBand="1"/>
      </w:tblPr>
      <w:tblGrid>
        <w:gridCol w:w="2052"/>
        <w:gridCol w:w="1943"/>
        <w:gridCol w:w="2087"/>
        <w:gridCol w:w="1789"/>
        <w:gridCol w:w="1479"/>
      </w:tblGrid>
      <w:tr w:rsidR="00E63D60" w:rsidRPr="000E6F1C" w14:paraId="426B842A" w14:textId="77777777" w:rsidTr="002E28A8">
        <w:tc>
          <w:tcPr>
            <w:tcW w:w="2052" w:type="dxa"/>
          </w:tcPr>
          <w:p w14:paraId="0E79FEC1" w14:textId="77777777" w:rsidR="00E63D60" w:rsidRPr="000E6F1C" w:rsidRDefault="00E63D60" w:rsidP="002E28A8">
            <w:pPr>
              <w:jc w:val="both"/>
              <w:rPr>
                <w:rFonts w:cs="Arial"/>
                <w:lang w:val="es-ES_tradnl"/>
              </w:rPr>
            </w:pPr>
            <w:r w:rsidRPr="000E6F1C">
              <w:rPr>
                <w:rFonts w:cs="Arial"/>
                <w:lang w:val="es-ES_tradnl"/>
              </w:rPr>
              <w:t>Medidas de eficiencia energética</w:t>
            </w:r>
          </w:p>
        </w:tc>
        <w:tc>
          <w:tcPr>
            <w:tcW w:w="1943" w:type="dxa"/>
          </w:tcPr>
          <w:p w14:paraId="792EE36A" w14:textId="77777777" w:rsidR="00E63D60" w:rsidRPr="000E6F1C" w:rsidRDefault="00E63D60" w:rsidP="002E28A8">
            <w:pPr>
              <w:jc w:val="both"/>
              <w:rPr>
                <w:rFonts w:cs="Arial"/>
                <w:lang w:val="es-ES_tradnl"/>
              </w:rPr>
            </w:pPr>
            <w:r w:rsidRPr="000E6F1C">
              <w:rPr>
                <w:rFonts w:cs="Arial"/>
                <w:lang w:val="es-ES_tradnl"/>
              </w:rPr>
              <w:t>Distribución de inversiones</w:t>
            </w:r>
          </w:p>
        </w:tc>
        <w:tc>
          <w:tcPr>
            <w:tcW w:w="2087" w:type="dxa"/>
          </w:tcPr>
          <w:p w14:paraId="16D74748" w14:textId="77777777" w:rsidR="00E63D60" w:rsidRPr="000E6F1C" w:rsidRDefault="00E63D60" w:rsidP="002E28A8">
            <w:pPr>
              <w:jc w:val="both"/>
              <w:rPr>
                <w:rFonts w:cs="Arial"/>
                <w:lang w:val="es-ES_tradnl"/>
              </w:rPr>
            </w:pPr>
            <w:proofErr w:type="gramStart"/>
            <w:r w:rsidRPr="000E6F1C">
              <w:rPr>
                <w:rFonts w:cs="Arial"/>
                <w:lang w:val="es-ES_tradnl"/>
              </w:rPr>
              <w:t>Cantidad a invertir</w:t>
            </w:r>
            <w:proofErr w:type="gramEnd"/>
          </w:p>
        </w:tc>
        <w:tc>
          <w:tcPr>
            <w:tcW w:w="1789" w:type="dxa"/>
          </w:tcPr>
          <w:p w14:paraId="5BD64CAD" w14:textId="77777777" w:rsidR="00E63D60" w:rsidRPr="000E6F1C" w:rsidRDefault="00E63D60" w:rsidP="002E28A8">
            <w:pPr>
              <w:jc w:val="both"/>
              <w:rPr>
                <w:rFonts w:cs="Arial"/>
                <w:lang w:val="es-ES_tradnl"/>
              </w:rPr>
            </w:pPr>
            <w:r w:rsidRPr="000E6F1C">
              <w:rPr>
                <w:rFonts w:cs="Arial"/>
                <w:lang w:val="es-ES_tradnl"/>
              </w:rPr>
              <w:t>Porcentaje del potencial cubierto por crédito</w:t>
            </w:r>
          </w:p>
        </w:tc>
        <w:tc>
          <w:tcPr>
            <w:tcW w:w="1479" w:type="dxa"/>
          </w:tcPr>
          <w:p w14:paraId="4748798A" w14:textId="77777777" w:rsidR="00E63D60" w:rsidRPr="000E6F1C" w:rsidRDefault="00E63D60" w:rsidP="002E28A8">
            <w:pPr>
              <w:jc w:val="both"/>
              <w:rPr>
                <w:rFonts w:cs="Arial"/>
                <w:lang w:val="es-ES_tradnl"/>
              </w:rPr>
            </w:pPr>
            <w:r w:rsidRPr="000E6F1C">
              <w:rPr>
                <w:rFonts w:cs="Arial"/>
                <w:lang w:val="es-ES_tradnl"/>
              </w:rPr>
              <w:t>Período simple de retorno</w:t>
            </w:r>
          </w:p>
        </w:tc>
      </w:tr>
      <w:tr w:rsidR="0032045D" w:rsidRPr="000E6F1C" w14:paraId="7F019B63" w14:textId="77777777" w:rsidTr="00A85437">
        <w:tc>
          <w:tcPr>
            <w:tcW w:w="2052" w:type="dxa"/>
          </w:tcPr>
          <w:p w14:paraId="31BA21B7" w14:textId="77777777" w:rsidR="0032045D" w:rsidRPr="000E6F1C" w:rsidRDefault="0032045D" w:rsidP="0032045D">
            <w:pPr>
              <w:jc w:val="both"/>
              <w:rPr>
                <w:rFonts w:cs="Arial"/>
                <w:lang w:val="es-ES_tradnl"/>
              </w:rPr>
            </w:pPr>
            <w:r w:rsidRPr="000E6F1C">
              <w:rPr>
                <w:rFonts w:cs="Arial"/>
                <w:lang w:val="es-ES_tradnl"/>
              </w:rPr>
              <w:t>Iluminación</w:t>
            </w:r>
          </w:p>
        </w:tc>
        <w:tc>
          <w:tcPr>
            <w:tcW w:w="1943" w:type="dxa"/>
          </w:tcPr>
          <w:p w14:paraId="4CAC36E2" w14:textId="77777777" w:rsidR="0032045D" w:rsidRPr="000E6F1C" w:rsidRDefault="0032045D" w:rsidP="0032045D">
            <w:pPr>
              <w:jc w:val="both"/>
              <w:rPr>
                <w:rFonts w:cs="Arial"/>
                <w:lang w:val="es-ES_tradnl"/>
              </w:rPr>
            </w:pPr>
            <w:r w:rsidRPr="000E6F1C">
              <w:rPr>
                <w:rFonts w:cs="Arial"/>
                <w:lang w:val="es-ES_tradnl"/>
              </w:rPr>
              <w:t>40.5%</w:t>
            </w:r>
          </w:p>
        </w:tc>
        <w:tc>
          <w:tcPr>
            <w:tcW w:w="2087" w:type="dxa"/>
            <w:vAlign w:val="bottom"/>
          </w:tcPr>
          <w:p w14:paraId="05C247EF" w14:textId="4C8965EB" w:rsidR="0032045D" w:rsidRPr="000E6F1C" w:rsidRDefault="0032045D" w:rsidP="0032045D">
            <w:pPr>
              <w:jc w:val="both"/>
            </w:pPr>
            <w:r>
              <w:rPr>
                <w:rFonts w:ascii="Calibri" w:hAnsi="Calibri" w:cs="Calibri"/>
                <w:color w:val="000000"/>
              </w:rPr>
              <w:t xml:space="preserve"> $     207,429,862.50 </w:t>
            </w:r>
          </w:p>
        </w:tc>
        <w:tc>
          <w:tcPr>
            <w:tcW w:w="1789" w:type="dxa"/>
            <w:vAlign w:val="bottom"/>
          </w:tcPr>
          <w:p w14:paraId="094E4869" w14:textId="4E17C641" w:rsidR="0032045D" w:rsidRPr="000E6F1C" w:rsidRDefault="0032045D" w:rsidP="0032045D">
            <w:pPr>
              <w:jc w:val="both"/>
            </w:pPr>
            <w:r>
              <w:rPr>
                <w:rFonts w:ascii="Calibri" w:hAnsi="Calibri" w:cs="Calibri"/>
                <w:color w:val="000000"/>
              </w:rPr>
              <w:t>67.85%</w:t>
            </w:r>
          </w:p>
        </w:tc>
        <w:tc>
          <w:tcPr>
            <w:tcW w:w="1479" w:type="dxa"/>
          </w:tcPr>
          <w:p w14:paraId="1B3C9A8C" w14:textId="77777777" w:rsidR="0032045D" w:rsidRPr="000E6F1C" w:rsidRDefault="0032045D" w:rsidP="0032045D">
            <w:pPr>
              <w:jc w:val="both"/>
            </w:pPr>
            <w:r w:rsidRPr="000E6F1C">
              <w:t>4.29</w:t>
            </w:r>
          </w:p>
        </w:tc>
      </w:tr>
      <w:tr w:rsidR="0032045D" w:rsidRPr="000E6F1C" w14:paraId="01E81666" w14:textId="77777777" w:rsidTr="00A85437">
        <w:tc>
          <w:tcPr>
            <w:tcW w:w="2052" w:type="dxa"/>
          </w:tcPr>
          <w:p w14:paraId="7BB31D72" w14:textId="77777777" w:rsidR="0032045D" w:rsidRPr="000E6F1C" w:rsidRDefault="0032045D" w:rsidP="0032045D">
            <w:pPr>
              <w:jc w:val="both"/>
              <w:rPr>
                <w:rFonts w:cs="Arial"/>
                <w:lang w:val="es-ES_tradnl"/>
              </w:rPr>
            </w:pPr>
            <w:r w:rsidRPr="000E6F1C">
              <w:rPr>
                <w:rFonts w:cs="Arial"/>
                <w:lang w:val="es-ES_tradnl"/>
              </w:rPr>
              <w:t>Aire acondicionado</w:t>
            </w:r>
          </w:p>
        </w:tc>
        <w:tc>
          <w:tcPr>
            <w:tcW w:w="1943" w:type="dxa"/>
          </w:tcPr>
          <w:p w14:paraId="217DA19E" w14:textId="77777777" w:rsidR="0032045D" w:rsidRPr="000E6F1C" w:rsidRDefault="0032045D" w:rsidP="0032045D">
            <w:pPr>
              <w:jc w:val="both"/>
              <w:rPr>
                <w:rFonts w:cs="Arial"/>
                <w:lang w:val="es-ES_tradnl"/>
              </w:rPr>
            </w:pPr>
            <w:r w:rsidRPr="000E6F1C">
              <w:rPr>
                <w:rFonts w:cs="Arial"/>
                <w:lang w:val="es-ES_tradnl"/>
              </w:rPr>
              <w:t>54%</w:t>
            </w:r>
          </w:p>
        </w:tc>
        <w:tc>
          <w:tcPr>
            <w:tcW w:w="2087" w:type="dxa"/>
            <w:vAlign w:val="bottom"/>
          </w:tcPr>
          <w:p w14:paraId="6BADDFF8" w14:textId="011D9C4F" w:rsidR="0032045D" w:rsidRPr="000E6F1C" w:rsidRDefault="0032045D" w:rsidP="0032045D">
            <w:pPr>
              <w:jc w:val="both"/>
            </w:pPr>
            <w:r>
              <w:rPr>
                <w:rFonts w:ascii="Calibri" w:hAnsi="Calibri" w:cs="Calibri"/>
                <w:color w:val="000000"/>
              </w:rPr>
              <w:t xml:space="preserve"> $     276,573,150.00 </w:t>
            </w:r>
          </w:p>
        </w:tc>
        <w:tc>
          <w:tcPr>
            <w:tcW w:w="1789" w:type="dxa"/>
            <w:vAlign w:val="bottom"/>
          </w:tcPr>
          <w:p w14:paraId="0876286E" w14:textId="68023D5E" w:rsidR="0032045D" w:rsidRPr="000E6F1C" w:rsidRDefault="0032045D" w:rsidP="0032045D">
            <w:pPr>
              <w:jc w:val="both"/>
            </w:pPr>
            <w:r>
              <w:rPr>
                <w:rFonts w:ascii="Calibri" w:hAnsi="Calibri" w:cs="Calibri"/>
                <w:color w:val="000000"/>
              </w:rPr>
              <w:t>67.82%</w:t>
            </w:r>
          </w:p>
        </w:tc>
        <w:tc>
          <w:tcPr>
            <w:tcW w:w="1479" w:type="dxa"/>
          </w:tcPr>
          <w:p w14:paraId="37F9B6D7" w14:textId="77777777" w:rsidR="0032045D" w:rsidRPr="000E6F1C" w:rsidRDefault="0032045D" w:rsidP="0032045D">
            <w:pPr>
              <w:jc w:val="both"/>
            </w:pPr>
            <w:r w:rsidRPr="000E6F1C">
              <w:t>3.80</w:t>
            </w:r>
          </w:p>
        </w:tc>
      </w:tr>
      <w:tr w:rsidR="0032045D" w:rsidRPr="000E6F1C" w14:paraId="450E9075" w14:textId="77777777" w:rsidTr="00A85437">
        <w:tc>
          <w:tcPr>
            <w:tcW w:w="2052" w:type="dxa"/>
          </w:tcPr>
          <w:p w14:paraId="3FAFF4B0" w14:textId="77777777" w:rsidR="0032045D" w:rsidRPr="000E6F1C" w:rsidRDefault="0032045D" w:rsidP="0032045D">
            <w:pPr>
              <w:jc w:val="both"/>
              <w:rPr>
                <w:rFonts w:cs="Arial"/>
                <w:lang w:val="es-ES_tradnl"/>
              </w:rPr>
            </w:pPr>
            <w:r w:rsidRPr="000E6F1C">
              <w:rPr>
                <w:rFonts w:cs="Arial"/>
                <w:lang w:val="es-ES_tradnl"/>
              </w:rPr>
              <w:t>Cambio de tarifa</w:t>
            </w:r>
          </w:p>
        </w:tc>
        <w:tc>
          <w:tcPr>
            <w:tcW w:w="1943" w:type="dxa"/>
          </w:tcPr>
          <w:p w14:paraId="5C4ACF2B" w14:textId="77777777" w:rsidR="0032045D" w:rsidRPr="000E6F1C" w:rsidRDefault="0032045D" w:rsidP="0032045D">
            <w:pPr>
              <w:jc w:val="both"/>
              <w:rPr>
                <w:rFonts w:cs="Arial"/>
                <w:lang w:val="es-ES_tradnl"/>
              </w:rPr>
            </w:pPr>
            <w:r w:rsidRPr="000E6F1C">
              <w:rPr>
                <w:rFonts w:cs="Arial"/>
                <w:lang w:val="es-ES_tradnl"/>
              </w:rPr>
              <w:t>5.5%</w:t>
            </w:r>
          </w:p>
        </w:tc>
        <w:tc>
          <w:tcPr>
            <w:tcW w:w="2087" w:type="dxa"/>
            <w:vAlign w:val="bottom"/>
          </w:tcPr>
          <w:p w14:paraId="3CFA7D30" w14:textId="38F9219B" w:rsidR="0032045D" w:rsidRPr="000E6F1C" w:rsidRDefault="0032045D" w:rsidP="0032045D">
            <w:pPr>
              <w:jc w:val="both"/>
            </w:pPr>
            <w:r>
              <w:rPr>
                <w:rFonts w:ascii="Calibri" w:hAnsi="Calibri" w:cs="Calibri"/>
                <w:color w:val="000000"/>
              </w:rPr>
              <w:t xml:space="preserve"> $       28,169,487.50 </w:t>
            </w:r>
          </w:p>
        </w:tc>
        <w:tc>
          <w:tcPr>
            <w:tcW w:w="1789" w:type="dxa"/>
            <w:vAlign w:val="bottom"/>
          </w:tcPr>
          <w:p w14:paraId="70A168BC" w14:textId="488B102C" w:rsidR="0032045D" w:rsidRPr="000E6F1C" w:rsidRDefault="0032045D" w:rsidP="0032045D">
            <w:pPr>
              <w:jc w:val="both"/>
            </w:pPr>
            <w:r>
              <w:rPr>
                <w:rFonts w:ascii="Calibri" w:hAnsi="Calibri" w:cs="Calibri"/>
                <w:color w:val="000000"/>
              </w:rPr>
              <w:t>67.41%</w:t>
            </w:r>
          </w:p>
        </w:tc>
        <w:tc>
          <w:tcPr>
            <w:tcW w:w="1479" w:type="dxa"/>
          </w:tcPr>
          <w:p w14:paraId="7B3BED61" w14:textId="77777777" w:rsidR="0032045D" w:rsidRPr="000E6F1C" w:rsidRDefault="0032045D" w:rsidP="0032045D">
            <w:pPr>
              <w:jc w:val="both"/>
              <w:rPr>
                <w:rFonts w:cs="Arial"/>
                <w:lang w:val="es-ES_tradnl"/>
              </w:rPr>
            </w:pPr>
            <w:r w:rsidRPr="000E6F1C">
              <w:t>3.81</w:t>
            </w:r>
          </w:p>
        </w:tc>
      </w:tr>
    </w:tbl>
    <w:p w14:paraId="466DCA0B" w14:textId="76B2CBC0" w:rsidR="00E63D60" w:rsidRPr="003F1B4F" w:rsidRDefault="00CB75C6" w:rsidP="003F1B4F">
      <w:pPr>
        <w:jc w:val="right"/>
        <w:rPr>
          <w:sz w:val="18"/>
          <w:szCs w:val="18"/>
          <w:lang w:val="es-ES_tradnl"/>
        </w:rPr>
      </w:pPr>
      <w:r w:rsidRPr="00E1518A">
        <w:rPr>
          <w:i/>
          <w:sz w:val="18"/>
          <w:szCs w:val="18"/>
          <w:lang w:val="es-MX"/>
        </w:rPr>
        <w:t>Fuente: Elaboración propia</w:t>
      </w:r>
    </w:p>
    <w:p w14:paraId="2893A69D" w14:textId="6674B121" w:rsidR="00C761BE" w:rsidRPr="000E6F1C" w:rsidRDefault="00C761BE" w:rsidP="00CB75C6">
      <w:pPr>
        <w:jc w:val="both"/>
        <w:rPr>
          <w:lang w:val="es-ES_tradnl"/>
        </w:rPr>
      </w:pPr>
      <w:r w:rsidRPr="000E6F1C">
        <w:rPr>
          <w:lang w:val="es-ES_tradnl"/>
        </w:rPr>
        <w:t xml:space="preserve">De igual manera, para considerar la proporción correspondiente de reducción en emisiones, se consideró la proporción de los proyectos de iluminación y aire acondicionado a implementarse con base en el financiamiento. No se consideró la proporción de los proyectos de cambio de tarifa porque estos no reducen el consumo de energía eléctrica, aún y cuando tengan un impacto financiero en el proyecto. </w:t>
      </w:r>
      <w:r w:rsidR="00CB75C6">
        <w:rPr>
          <w:lang w:val="es-ES_tradnl"/>
        </w:rPr>
        <w:t>En este sentido</w:t>
      </w:r>
      <w:r w:rsidRPr="000E6F1C">
        <w:rPr>
          <w:lang w:val="es-ES_tradnl"/>
        </w:rPr>
        <w:t xml:space="preserve">, la proporción correspondiente de reducción en </w:t>
      </w:r>
      <w:r w:rsidR="00C2761E">
        <w:rPr>
          <w:lang w:val="es-ES_tradnl"/>
        </w:rPr>
        <w:t xml:space="preserve">emisiones se aproxima como el </w:t>
      </w:r>
      <w:r w:rsidR="0032045D">
        <w:rPr>
          <w:lang w:val="es-ES_tradnl"/>
        </w:rPr>
        <w:t>67.83</w:t>
      </w:r>
      <w:r w:rsidRPr="000E6F1C">
        <w:rPr>
          <w:lang w:val="es-ES_tradnl"/>
        </w:rPr>
        <w:t>% del total estimado para el escenario en el que se implementaran todas las medidas de eficiencia energética aplicables a los inmuebles que son propiedad de la Administración Pública Fed</w:t>
      </w:r>
      <w:r w:rsidR="009C0984">
        <w:rPr>
          <w:lang w:val="es-ES_tradnl"/>
        </w:rPr>
        <w:t xml:space="preserve">eral. El monto estimado es de </w:t>
      </w:r>
      <w:r w:rsidR="0032045D">
        <w:rPr>
          <w:lang w:val="es-ES_tradnl"/>
        </w:rPr>
        <w:t>35,734.06</w:t>
      </w:r>
      <w:r w:rsidR="00E63D60" w:rsidRPr="000E6F1C">
        <w:rPr>
          <w:lang w:val="es-ES_tradnl"/>
        </w:rPr>
        <w:t xml:space="preserve"> </w:t>
      </w:r>
      <w:r w:rsidRPr="000E6F1C">
        <w:rPr>
          <w:lang w:val="es-ES_tradnl"/>
        </w:rPr>
        <w:t>toneladas de CO2 por año.</w:t>
      </w:r>
    </w:p>
    <w:p w14:paraId="79915343" w14:textId="77777777" w:rsidR="00F3346B" w:rsidRDefault="00F3346B" w:rsidP="0052355A">
      <w:pPr>
        <w:pStyle w:val="Heading1"/>
        <w:jc w:val="both"/>
        <w:rPr>
          <w:rFonts w:asciiTheme="minorHAnsi" w:hAnsiTheme="minorHAnsi"/>
          <w:b/>
          <w:sz w:val="24"/>
          <w:szCs w:val="24"/>
          <w:lang w:val="es-ES_tradnl"/>
        </w:rPr>
      </w:pPr>
    </w:p>
    <w:p w14:paraId="4A416A09" w14:textId="77777777" w:rsidR="00C761BE" w:rsidRPr="00A93D10" w:rsidRDefault="00C761BE" w:rsidP="0052355A">
      <w:pPr>
        <w:pStyle w:val="Heading1"/>
        <w:jc w:val="both"/>
        <w:rPr>
          <w:rFonts w:asciiTheme="minorHAnsi" w:hAnsiTheme="minorHAnsi"/>
          <w:b/>
          <w:sz w:val="24"/>
          <w:szCs w:val="24"/>
          <w:lang w:val="es-ES_tradnl"/>
        </w:rPr>
      </w:pPr>
      <w:r w:rsidRPr="00A93D10">
        <w:rPr>
          <w:rFonts w:asciiTheme="minorHAnsi" w:hAnsiTheme="minorHAnsi"/>
          <w:b/>
          <w:sz w:val="24"/>
          <w:szCs w:val="24"/>
          <w:lang w:val="es-ES_tradnl"/>
        </w:rPr>
        <w:t>Consideraciones clave</w:t>
      </w:r>
    </w:p>
    <w:p w14:paraId="224D2652" w14:textId="37B61B0B" w:rsidR="005A10A6" w:rsidRPr="000E6F1C" w:rsidRDefault="005A10A6" w:rsidP="0052355A">
      <w:pPr>
        <w:jc w:val="both"/>
        <w:rPr>
          <w:lang w:val="es-MX"/>
        </w:rPr>
      </w:pPr>
      <w:r w:rsidRPr="000E6F1C">
        <w:rPr>
          <w:lang w:val="es-MX"/>
        </w:rPr>
        <w:t>Se elaboró un caso base del modelo propuesto</w:t>
      </w:r>
      <w:r w:rsidR="00023CCF">
        <w:rPr>
          <w:lang w:val="es-MX"/>
        </w:rPr>
        <w:t xml:space="preserve"> para evaluar el potencial del Programa de I</w:t>
      </w:r>
      <w:r w:rsidRPr="000E6F1C">
        <w:rPr>
          <w:lang w:val="es-MX"/>
        </w:rPr>
        <w:t>mplementación de Medidas de Eficiencia Energética en aire acondicionado e iluminación en inmuebles de entidades de la Administración Pública Federal.</w:t>
      </w:r>
    </w:p>
    <w:p w14:paraId="04C3CFFD" w14:textId="4FDB4F83" w:rsidR="005A10A6" w:rsidRPr="000E6F1C" w:rsidRDefault="005A10A6" w:rsidP="0052355A">
      <w:pPr>
        <w:jc w:val="both"/>
        <w:rPr>
          <w:lang w:val="es-MX"/>
        </w:rPr>
      </w:pPr>
      <w:r w:rsidRPr="000E6F1C">
        <w:rPr>
          <w:lang w:val="es-MX"/>
        </w:rPr>
        <w:t>Para construir los flujos de co</w:t>
      </w:r>
      <w:r w:rsidR="00023CCF">
        <w:rPr>
          <w:lang w:val="es-MX"/>
        </w:rPr>
        <w:t xml:space="preserve">stos y ahorro generados por el </w:t>
      </w:r>
      <w:r w:rsidR="00ED1432">
        <w:rPr>
          <w:lang w:val="es-MX"/>
        </w:rPr>
        <w:t>Proyecto</w:t>
      </w:r>
      <w:r w:rsidRPr="000E6F1C">
        <w:rPr>
          <w:lang w:val="es-MX"/>
        </w:rPr>
        <w:t>, se utilizaron las siguientes premisas:</w:t>
      </w:r>
    </w:p>
    <w:p w14:paraId="643792C1" w14:textId="133D1B45" w:rsidR="00E855CA" w:rsidRPr="000E6F1C" w:rsidRDefault="00C82DC9" w:rsidP="0052355A">
      <w:pPr>
        <w:pStyle w:val="ListParagraph"/>
        <w:numPr>
          <w:ilvl w:val="0"/>
          <w:numId w:val="1"/>
        </w:numPr>
        <w:jc w:val="both"/>
        <w:rPr>
          <w:lang w:val="es-MX"/>
        </w:rPr>
      </w:pPr>
      <w:bookmarkStart w:id="0" w:name="_Hlk491206976"/>
      <w:r w:rsidRPr="000E6F1C">
        <w:rPr>
          <w:lang w:val="es-MX"/>
        </w:rPr>
        <w:t xml:space="preserve">Las </w:t>
      </w:r>
      <w:r w:rsidR="00CF3E5E" w:rsidRPr="000E6F1C">
        <w:rPr>
          <w:lang w:val="es-MX"/>
        </w:rPr>
        <w:t>Medidas de Eficiencia Ene</w:t>
      </w:r>
      <w:r w:rsidR="009349F3" w:rsidRPr="000E6F1C">
        <w:rPr>
          <w:lang w:val="es-MX"/>
        </w:rPr>
        <w:t>rgética se implantarán en</w:t>
      </w:r>
      <w:r w:rsidR="00CF3E5E" w:rsidRPr="000E6F1C">
        <w:rPr>
          <w:lang w:val="es-MX"/>
        </w:rPr>
        <w:t xml:space="preserve"> inmuebles de </w:t>
      </w:r>
      <w:r w:rsidR="009349F3" w:rsidRPr="000E6F1C">
        <w:rPr>
          <w:lang w:val="es-MX"/>
        </w:rPr>
        <w:t>oficinas propiedad de la Adminis</w:t>
      </w:r>
      <w:r w:rsidR="00CF3E5E" w:rsidRPr="000E6F1C">
        <w:rPr>
          <w:lang w:val="es-MX"/>
        </w:rPr>
        <w:t>tración Pú</w:t>
      </w:r>
      <w:r w:rsidR="00B961A9" w:rsidRPr="000E6F1C">
        <w:rPr>
          <w:lang w:val="es-MX"/>
        </w:rPr>
        <w:t>blica Federal, y consistirán en sust</w:t>
      </w:r>
      <w:r w:rsidR="00C96962" w:rsidRPr="000E6F1C">
        <w:rPr>
          <w:lang w:val="es-MX"/>
        </w:rPr>
        <w:t xml:space="preserve">itución de aire acondicionado, </w:t>
      </w:r>
      <w:r w:rsidR="00B961A9" w:rsidRPr="000E6F1C">
        <w:rPr>
          <w:lang w:val="es-MX"/>
        </w:rPr>
        <w:t>de iluminación</w:t>
      </w:r>
      <w:r w:rsidR="00EE3535" w:rsidRPr="000E6F1C">
        <w:rPr>
          <w:lang w:val="es-MX"/>
        </w:rPr>
        <w:t xml:space="preserve">, </w:t>
      </w:r>
      <w:r w:rsidR="00C96962" w:rsidRPr="000E6F1C">
        <w:rPr>
          <w:lang w:val="es-MX"/>
        </w:rPr>
        <w:t>y para</w:t>
      </w:r>
      <w:r w:rsidR="009349F3" w:rsidRPr="000E6F1C">
        <w:rPr>
          <w:lang w:val="es-MX"/>
        </w:rPr>
        <w:t xml:space="preserve"> inmuebles específicos, </w:t>
      </w:r>
      <w:r w:rsidR="00B961A9" w:rsidRPr="000E6F1C">
        <w:rPr>
          <w:lang w:val="es-MX"/>
        </w:rPr>
        <w:t xml:space="preserve">la instalación de equipo necesario para cambio de tarifa. </w:t>
      </w:r>
    </w:p>
    <w:p w14:paraId="783E8EF1" w14:textId="3DB13AF7" w:rsidR="00B961A9" w:rsidRPr="000E6F1C" w:rsidRDefault="00B961A9" w:rsidP="0052355A">
      <w:pPr>
        <w:pStyle w:val="ListParagraph"/>
        <w:numPr>
          <w:ilvl w:val="0"/>
          <w:numId w:val="1"/>
        </w:numPr>
        <w:jc w:val="both"/>
        <w:rPr>
          <w:lang w:val="es-MX"/>
        </w:rPr>
      </w:pPr>
      <w:r w:rsidRPr="000E6F1C">
        <w:rPr>
          <w:lang w:val="es-MX"/>
        </w:rPr>
        <w:t xml:space="preserve">Para cada inmueble se ejecutará un proyecto de inversión </w:t>
      </w:r>
      <w:r w:rsidR="009349F3" w:rsidRPr="000E6F1C">
        <w:rPr>
          <w:lang w:val="es-MX"/>
        </w:rPr>
        <w:t xml:space="preserve">a cargo del FIDE </w:t>
      </w:r>
      <w:r w:rsidRPr="000E6F1C">
        <w:rPr>
          <w:lang w:val="es-MX"/>
        </w:rPr>
        <w:t xml:space="preserve">en el cual, previo </w:t>
      </w:r>
      <w:r w:rsidR="00BB0C52" w:rsidRPr="000E6F1C">
        <w:rPr>
          <w:lang w:val="es-MX"/>
        </w:rPr>
        <w:t>proyecto ejecutivo</w:t>
      </w:r>
      <w:r w:rsidRPr="000E6F1C">
        <w:rPr>
          <w:lang w:val="es-MX"/>
        </w:rPr>
        <w:t xml:space="preserve"> que asegure el PSR de las MEE</w:t>
      </w:r>
      <w:r w:rsidR="00AB2D58">
        <w:rPr>
          <w:lang w:val="es-MX"/>
        </w:rPr>
        <w:t xml:space="preserve"> y una vez efectuado el proceso de </w:t>
      </w:r>
      <w:r w:rsidR="0078387C">
        <w:rPr>
          <w:lang w:val="es-MX"/>
        </w:rPr>
        <w:t xml:space="preserve">licitación </w:t>
      </w:r>
      <w:r w:rsidR="00AB2D58">
        <w:rPr>
          <w:lang w:val="es-MX"/>
        </w:rPr>
        <w:t>correspondiente</w:t>
      </w:r>
      <w:r w:rsidRPr="000E6F1C">
        <w:rPr>
          <w:lang w:val="es-MX"/>
        </w:rPr>
        <w:t xml:space="preserve">, se instalarán los equipos necesarios (aire </w:t>
      </w:r>
      <w:r w:rsidR="0078387C">
        <w:rPr>
          <w:lang w:val="es-MX"/>
        </w:rPr>
        <w:t>ac</w:t>
      </w:r>
      <w:r w:rsidRPr="000E6F1C">
        <w:rPr>
          <w:lang w:val="es-MX"/>
        </w:rPr>
        <w:t>ondicionado, iluminación y en su caso cambio de tarifa) y se retirarán los equipos/</w:t>
      </w:r>
      <w:proofErr w:type="gramStart"/>
      <w:r w:rsidRPr="000E6F1C">
        <w:rPr>
          <w:lang w:val="es-MX"/>
        </w:rPr>
        <w:t>luminarias obsoletos</w:t>
      </w:r>
      <w:proofErr w:type="gramEnd"/>
      <w:r w:rsidRPr="000E6F1C">
        <w:rPr>
          <w:lang w:val="es-MX"/>
        </w:rPr>
        <w:t xml:space="preserve">. </w:t>
      </w:r>
    </w:p>
    <w:p w14:paraId="670ED93A" w14:textId="09CC6FB4" w:rsidR="005A10A6" w:rsidRPr="000E6F1C" w:rsidRDefault="00B961A9" w:rsidP="0052355A">
      <w:pPr>
        <w:pStyle w:val="ListParagraph"/>
        <w:numPr>
          <w:ilvl w:val="0"/>
          <w:numId w:val="1"/>
        </w:numPr>
        <w:jc w:val="both"/>
        <w:rPr>
          <w:lang w:val="es-MX"/>
        </w:rPr>
      </w:pPr>
      <w:r w:rsidRPr="000E6F1C">
        <w:rPr>
          <w:lang w:val="es-MX"/>
        </w:rPr>
        <w:lastRenderedPageBreak/>
        <w:t xml:space="preserve">La implementación </w:t>
      </w:r>
      <w:r w:rsidR="00D67F15" w:rsidRPr="000E6F1C">
        <w:rPr>
          <w:lang w:val="es-MX"/>
        </w:rPr>
        <w:t>de las MEE será financiada a través de un crédito que otorgue u</w:t>
      </w:r>
      <w:r w:rsidR="005A10A6" w:rsidRPr="000E6F1C">
        <w:rPr>
          <w:lang w:val="es-MX"/>
        </w:rPr>
        <w:t>na entidad financiera mult</w:t>
      </w:r>
      <w:r w:rsidR="001961F5" w:rsidRPr="000E6F1C">
        <w:rPr>
          <w:lang w:val="es-MX"/>
        </w:rPr>
        <w:t>ilateral</w:t>
      </w:r>
      <w:r w:rsidR="00D67F15" w:rsidRPr="000E6F1C">
        <w:rPr>
          <w:lang w:val="es-MX"/>
        </w:rPr>
        <w:t xml:space="preserve">, por un </w:t>
      </w:r>
      <w:r w:rsidR="00D67F15" w:rsidRPr="0068098E">
        <w:rPr>
          <w:lang w:val="es-MX"/>
        </w:rPr>
        <w:t xml:space="preserve">monto </w:t>
      </w:r>
      <w:r w:rsidR="001961F5" w:rsidRPr="0068098E">
        <w:rPr>
          <w:lang w:val="es-MX"/>
        </w:rPr>
        <w:t>de 33</w:t>
      </w:r>
      <w:r w:rsidR="005A10A6" w:rsidRPr="0068098E">
        <w:rPr>
          <w:lang w:val="es-MX"/>
        </w:rPr>
        <w:t xml:space="preserve"> millones</w:t>
      </w:r>
      <w:r w:rsidR="005A10A6" w:rsidRPr="000E6F1C">
        <w:rPr>
          <w:lang w:val="es-MX"/>
        </w:rPr>
        <w:t xml:space="preserve"> de dólares estadounidense</w:t>
      </w:r>
      <w:r w:rsidR="0022055B" w:rsidRPr="000E6F1C">
        <w:rPr>
          <w:lang w:val="es-MX"/>
        </w:rPr>
        <w:t xml:space="preserve">s a </w:t>
      </w:r>
      <w:r w:rsidR="00D67F15" w:rsidRPr="000E6F1C">
        <w:rPr>
          <w:lang w:val="es-MX"/>
        </w:rPr>
        <w:t xml:space="preserve">un plazo de </w:t>
      </w:r>
      <w:r w:rsidR="0022055B" w:rsidRPr="000E6F1C">
        <w:rPr>
          <w:lang w:val="es-MX"/>
        </w:rPr>
        <w:t>15</w:t>
      </w:r>
      <w:r w:rsidR="005A10A6" w:rsidRPr="000E6F1C">
        <w:rPr>
          <w:lang w:val="es-MX"/>
        </w:rPr>
        <w:t xml:space="preserve"> años. Los pagos se efectúan anualmente, iniciando un año después del inicio del contrato.</w:t>
      </w:r>
    </w:p>
    <w:p w14:paraId="3FB06860" w14:textId="2D5A2737" w:rsidR="001961F5" w:rsidRPr="000E6F1C" w:rsidRDefault="00062210" w:rsidP="0052355A">
      <w:pPr>
        <w:pStyle w:val="ListParagraph"/>
        <w:numPr>
          <w:ilvl w:val="1"/>
          <w:numId w:val="1"/>
        </w:numPr>
        <w:jc w:val="both"/>
        <w:rPr>
          <w:lang w:val="es-MX"/>
        </w:rPr>
      </w:pPr>
      <w:r>
        <w:rPr>
          <w:lang w:val="es-MX"/>
        </w:rPr>
        <w:t>28.25</w:t>
      </w:r>
      <w:r w:rsidR="00E63D60" w:rsidRPr="00E63D60">
        <w:rPr>
          <w:lang w:val="es-MX"/>
        </w:rPr>
        <w:t xml:space="preserve"> </w:t>
      </w:r>
      <w:r w:rsidR="00E63D60">
        <w:rPr>
          <w:lang w:val="es-MX"/>
        </w:rPr>
        <w:t>MDD</w:t>
      </w:r>
      <w:r w:rsidR="00E63D60" w:rsidRPr="00E63D60">
        <w:rPr>
          <w:lang w:val="es-MX"/>
        </w:rPr>
        <w:t xml:space="preserve"> del crédito se destinan a la adquisición e implementación de medidas de eficiencia energéticas</w:t>
      </w:r>
      <w:r>
        <w:rPr>
          <w:lang w:val="es-MX"/>
        </w:rPr>
        <w:t>, 1.75 MDD se destinar</w:t>
      </w:r>
      <w:r w:rsidRPr="00F700F0">
        <w:rPr>
          <w:lang w:val="es-MX"/>
        </w:rPr>
        <w:t>án a proyectos ejecutivos</w:t>
      </w:r>
      <w:r>
        <w:rPr>
          <w:lang w:val="es-MX"/>
        </w:rPr>
        <w:t xml:space="preserve">; los 30 MDD resultantes de ambos conceptos </w:t>
      </w:r>
      <w:r w:rsidR="00E63D60" w:rsidRPr="00E63D60">
        <w:rPr>
          <w:lang w:val="es-MX"/>
        </w:rPr>
        <w:t xml:space="preserve">se consideran como un costo </w:t>
      </w:r>
      <w:r w:rsidR="00E63D60">
        <w:rPr>
          <w:lang w:val="es-MX"/>
        </w:rPr>
        <w:t xml:space="preserve">del </w:t>
      </w:r>
      <w:r w:rsidR="00ED1432">
        <w:rPr>
          <w:lang w:val="es-MX"/>
        </w:rPr>
        <w:t>Proyecto</w:t>
      </w:r>
      <w:r w:rsidR="00E63D60">
        <w:rPr>
          <w:lang w:val="es-MX"/>
        </w:rPr>
        <w:t xml:space="preserve"> para cálculo de flujos y de indicadores de bondad económica</w:t>
      </w:r>
      <w:r w:rsidR="001961F5" w:rsidRPr="000E6F1C">
        <w:rPr>
          <w:lang w:val="es-MX"/>
        </w:rPr>
        <w:t>.</w:t>
      </w:r>
      <w:r>
        <w:rPr>
          <w:lang w:val="es-MX"/>
        </w:rPr>
        <w:t xml:space="preserve"> Los </w:t>
      </w:r>
      <w:r w:rsidRPr="00E63D60">
        <w:rPr>
          <w:lang w:val="es-MX"/>
        </w:rPr>
        <w:t xml:space="preserve">3 </w:t>
      </w:r>
      <w:r>
        <w:rPr>
          <w:lang w:val="es-MX"/>
        </w:rPr>
        <w:t>MDD</w:t>
      </w:r>
      <w:r w:rsidRPr="00E63D60">
        <w:rPr>
          <w:lang w:val="es-MX"/>
        </w:rPr>
        <w:t xml:space="preserve"> </w:t>
      </w:r>
      <w:r>
        <w:rPr>
          <w:lang w:val="es-MX"/>
        </w:rPr>
        <w:t xml:space="preserve">restantes </w:t>
      </w:r>
      <w:r w:rsidRPr="00E63D60">
        <w:rPr>
          <w:lang w:val="es-MX"/>
        </w:rPr>
        <w:t xml:space="preserve">se destinarán a </w:t>
      </w:r>
      <w:r>
        <w:rPr>
          <w:lang w:val="es-MX"/>
        </w:rPr>
        <w:t xml:space="preserve">asistencia técnica para la implementación del </w:t>
      </w:r>
      <w:r w:rsidR="00ED1432">
        <w:rPr>
          <w:lang w:val="es-MX"/>
        </w:rPr>
        <w:t>Proyecto</w:t>
      </w:r>
      <w:r>
        <w:rPr>
          <w:lang w:val="es-MX"/>
        </w:rPr>
        <w:t>.</w:t>
      </w:r>
    </w:p>
    <w:p w14:paraId="6DA110B3" w14:textId="532FF8C9" w:rsidR="005A10A6" w:rsidRPr="000E6F1C" w:rsidRDefault="005A10A6" w:rsidP="0052355A">
      <w:pPr>
        <w:pStyle w:val="ListParagraph"/>
        <w:numPr>
          <w:ilvl w:val="1"/>
          <w:numId w:val="1"/>
        </w:numPr>
        <w:jc w:val="both"/>
        <w:rPr>
          <w:lang w:val="es-MX"/>
        </w:rPr>
      </w:pPr>
      <w:r w:rsidRPr="000E6F1C">
        <w:rPr>
          <w:lang w:val="es-MX"/>
        </w:rPr>
        <w:t xml:space="preserve">Se asumió que los pagos serán </w:t>
      </w:r>
      <w:r w:rsidR="008F0731">
        <w:rPr>
          <w:lang w:val="es-MX"/>
        </w:rPr>
        <w:t xml:space="preserve">amortizaciones anuales iguales y consecutivas, y que los intereses se generarán sobre saldos insolutos y </w:t>
      </w:r>
      <w:r w:rsidR="0078387C">
        <w:rPr>
          <w:lang w:val="es-MX"/>
        </w:rPr>
        <w:t xml:space="preserve">serán </w:t>
      </w:r>
      <w:r w:rsidR="008F0731">
        <w:rPr>
          <w:lang w:val="es-MX"/>
        </w:rPr>
        <w:t>pagados anualmente</w:t>
      </w:r>
      <w:r w:rsidRPr="000E6F1C">
        <w:rPr>
          <w:lang w:val="es-MX"/>
        </w:rPr>
        <w:t>.</w:t>
      </w:r>
    </w:p>
    <w:p w14:paraId="570A9D76" w14:textId="77777777" w:rsidR="005A10A6" w:rsidRPr="000E6F1C" w:rsidRDefault="00BB62A0" w:rsidP="0052355A">
      <w:pPr>
        <w:pStyle w:val="ListParagraph"/>
        <w:numPr>
          <w:ilvl w:val="1"/>
          <w:numId w:val="1"/>
        </w:numPr>
        <w:jc w:val="both"/>
        <w:rPr>
          <w:lang w:val="es-MX"/>
        </w:rPr>
      </w:pPr>
      <w:r w:rsidRPr="000E6F1C">
        <w:rPr>
          <w:lang w:val="es-MX"/>
        </w:rPr>
        <w:t>Para la tasa de interés aplicable, se tomó como referencia aquella utilizada por el Banco Interamericano de Desarrollo para proyectos de Capital Ordinario, la cual fue de 2.25% al tercer trimestre de 2017</w:t>
      </w:r>
      <w:r w:rsidRPr="000E6F1C">
        <w:rPr>
          <w:rStyle w:val="FootnoteReference"/>
          <w:lang w:val="es-MX"/>
        </w:rPr>
        <w:footnoteReference w:id="4"/>
      </w:r>
      <w:r w:rsidRPr="000E6F1C">
        <w:rPr>
          <w:lang w:val="es-MX"/>
        </w:rPr>
        <w:t>.</w:t>
      </w:r>
    </w:p>
    <w:p w14:paraId="4B77FD1D" w14:textId="55CACFDC" w:rsidR="00062210" w:rsidRDefault="00D67F15" w:rsidP="0052355A">
      <w:pPr>
        <w:pStyle w:val="ListParagraph"/>
        <w:numPr>
          <w:ilvl w:val="0"/>
          <w:numId w:val="1"/>
        </w:numPr>
        <w:jc w:val="both"/>
        <w:rPr>
          <w:lang w:val="es-MX"/>
        </w:rPr>
      </w:pPr>
      <w:r w:rsidRPr="000E6F1C">
        <w:rPr>
          <w:lang w:val="es-MX"/>
        </w:rPr>
        <w:t xml:space="preserve">En complemento al crédito antes mencionado, </w:t>
      </w:r>
      <w:r w:rsidR="008D77F1" w:rsidRPr="000E6F1C">
        <w:rPr>
          <w:lang w:val="es-MX"/>
        </w:rPr>
        <w:t>el Gobierno de México debe invertir una contrapartida de 3 millones de dólares adicionales al crédito para la administración y op</w:t>
      </w:r>
      <w:r w:rsidR="00023CCF">
        <w:rPr>
          <w:lang w:val="es-MX"/>
        </w:rPr>
        <w:t xml:space="preserve">eración de los componentes del </w:t>
      </w:r>
      <w:r w:rsidR="00ED1432">
        <w:rPr>
          <w:lang w:val="es-MX"/>
        </w:rPr>
        <w:t>Proyecto</w:t>
      </w:r>
      <w:r w:rsidR="008D77F1" w:rsidRPr="000E6F1C">
        <w:rPr>
          <w:lang w:val="es-MX"/>
        </w:rPr>
        <w:t>.</w:t>
      </w:r>
      <w:r w:rsidR="00F05C71">
        <w:rPr>
          <w:lang w:val="es-MX"/>
        </w:rPr>
        <w:t xml:space="preserve"> </w:t>
      </w:r>
      <w:r w:rsidR="00062210">
        <w:rPr>
          <w:lang w:val="es-MX"/>
        </w:rPr>
        <w:t xml:space="preserve">  </w:t>
      </w:r>
    </w:p>
    <w:p w14:paraId="052237ED" w14:textId="0A0AFE57" w:rsidR="009E4744" w:rsidRPr="000E6F1C" w:rsidRDefault="00851CE2" w:rsidP="0052355A">
      <w:pPr>
        <w:pStyle w:val="ListParagraph"/>
        <w:numPr>
          <w:ilvl w:val="0"/>
          <w:numId w:val="1"/>
        </w:numPr>
        <w:jc w:val="both"/>
        <w:rPr>
          <w:lang w:val="es-MX"/>
        </w:rPr>
      </w:pPr>
      <w:r w:rsidRPr="000E6F1C">
        <w:rPr>
          <w:lang w:val="es-MX"/>
        </w:rPr>
        <w:t>Dado que el crédito de la entidad financiera multilateral estaría denominado en dólares y los ahorros estarían denominados en pesos, el tipo de cambio afectaría el costo del crédito. Por lo mismo, se utilizaron proyecciones de tipo de cambio publicadas por el Banco de México para contemplar este efecto</w:t>
      </w:r>
      <w:r w:rsidR="008F0731">
        <w:rPr>
          <w:lang w:val="es-MX"/>
        </w:rPr>
        <w:t xml:space="preserve"> para los tres próximos años</w:t>
      </w:r>
      <w:r w:rsidRPr="000E6F1C">
        <w:rPr>
          <w:lang w:val="es-MX"/>
        </w:rPr>
        <w:t>.</w:t>
      </w:r>
      <w:r w:rsidRPr="000E6F1C">
        <w:rPr>
          <w:rStyle w:val="FootnoteReference"/>
          <w:lang w:val="es-MX"/>
        </w:rPr>
        <w:footnoteReference w:id="5"/>
      </w:r>
      <w:r w:rsidR="006E520E">
        <w:rPr>
          <w:lang w:val="es-MX"/>
        </w:rPr>
        <w:t xml:space="preserve"> Para años subsecuentes, se tomaron las inflaciones anualizadas promedio a los últimos 10 años de México y Estados Unidos. Se tomó el promedio de las últimas dos mediciones de la inflación a 10 años para ambos países y a partir de sus diferencias se realizó una estimación del tipo de cambio para el resto del plazo del préstamo, con tal de estimar el efecto que tendrá en los pagos al BID.</w:t>
      </w:r>
      <w:r w:rsidR="00875583">
        <w:rPr>
          <w:lang w:val="es-MX"/>
        </w:rPr>
        <w:t xml:space="preserve"> Las mediciones de inflación se tomaron de Inflation.EU.</w:t>
      </w:r>
      <w:r w:rsidR="00875583">
        <w:rPr>
          <w:rStyle w:val="FootnoteReference"/>
          <w:lang w:val="es-MX"/>
        </w:rPr>
        <w:footnoteReference w:id="6"/>
      </w:r>
    </w:p>
    <w:p w14:paraId="0CC827DD" w14:textId="77777777" w:rsidR="00DB03A2" w:rsidRPr="000E6F1C" w:rsidRDefault="001961F5" w:rsidP="0052355A">
      <w:pPr>
        <w:pStyle w:val="ListParagraph"/>
        <w:numPr>
          <w:ilvl w:val="0"/>
          <w:numId w:val="1"/>
        </w:numPr>
        <w:jc w:val="both"/>
        <w:rPr>
          <w:lang w:val="es-MX"/>
        </w:rPr>
      </w:pPr>
      <w:r w:rsidRPr="000E6F1C">
        <w:rPr>
          <w:lang w:val="es-MX"/>
        </w:rPr>
        <w:t>Dado que el costo de mantenimiento de los equipos sustituidos es superior al de los equipos nuevos, se consideró que el costo de mantenimiento de los equipos nuevos no impactará de forma negativa al proyecto.</w:t>
      </w:r>
    </w:p>
    <w:p w14:paraId="75ADF591" w14:textId="028D4057" w:rsidR="00DB03A2" w:rsidRPr="000E6F1C" w:rsidRDefault="00DB03A2" w:rsidP="0052355A">
      <w:pPr>
        <w:pStyle w:val="ListParagraph"/>
        <w:numPr>
          <w:ilvl w:val="0"/>
          <w:numId w:val="1"/>
        </w:numPr>
        <w:jc w:val="both"/>
        <w:rPr>
          <w:lang w:val="es-MX"/>
        </w:rPr>
      </w:pPr>
      <w:r w:rsidRPr="000E6F1C">
        <w:rPr>
          <w:lang w:val="es-MX"/>
        </w:rPr>
        <w:t xml:space="preserve">El ahorro generado en cada medida de eficiencia energética se infirió a partir de los períodos simples de recuperación </w:t>
      </w:r>
      <w:r w:rsidR="001E70BB" w:rsidRPr="000E6F1C">
        <w:rPr>
          <w:lang w:val="es-MX"/>
        </w:rPr>
        <w:t xml:space="preserve">estimados en el </w:t>
      </w:r>
      <w:r w:rsidR="00EF7BA4" w:rsidRPr="000E6F1C">
        <w:rPr>
          <w:lang w:val="es-MX"/>
        </w:rPr>
        <w:t>estudio “Evaluación de Potenciales y Propuestas de Estrategias Financiera-Administrativa para Implementar medidas de Eficiencia Energética para la Administración Pública Federal”</w:t>
      </w:r>
      <w:r w:rsidR="001E70BB" w:rsidRPr="000E6F1C">
        <w:rPr>
          <w:lang w:val="es-MX"/>
        </w:rPr>
        <w:t>.</w:t>
      </w:r>
    </w:p>
    <w:p w14:paraId="2DB2A2EE" w14:textId="77777777" w:rsidR="0022055B" w:rsidRPr="000E6F1C" w:rsidRDefault="0022055B" w:rsidP="0052355A">
      <w:pPr>
        <w:pStyle w:val="ListParagraph"/>
        <w:numPr>
          <w:ilvl w:val="0"/>
          <w:numId w:val="1"/>
        </w:numPr>
        <w:jc w:val="both"/>
        <w:rPr>
          <w:lang w:val="es-MX"/>
        </w:rPr>
      </w:pPr>
      <w:r w:rsidRPr="000E6F1C">
        <w:rPr>
          <w:lang w:val="es-MX"/>
        </w:rPr>
        <w:t>Además, se contemplaron para el Valor Presente Neto del proyecto los ahorros en emisiones de dióxido de carbono.</w:t>
      </w:r>
    </w:p>
    <w:p w14:paraId="392143A0" w14:textId="7E44783A" w:rsidR="0022055B" w:rsidRPr="000E6F1C" w:rsidRDefault="0022055B" w:rsidP="0052355A">
      <w:pPr>
        <w:pStyle w:val="ListParagraph"/>
        <w:numPr>
          <w:ilvl w:val="1"/>
          <w:numId w:val="1"/>
        </w:numPr>
        <w:jc w:val="both"/>
        <w:rPr>
          <w:lang w:val="es-MX"/>
        </w:rPr>
      </w:pPr>
      <w:r w:rsidRPr="000E6F1C">
        <w:rPr>
          <w:lang w:val="es-MX"/>
        </w:rPr>
        <w:t xml:space="preserve">Para el precio de las emisiones ahorradas, se utilizaron </w:t>
      </w:r>
      <w:r w:rsidR="00AF60D9">
        <w:rPr>
          <w:lang w:val="es-MX"/>
        </w:rPr>
        <w:t>fuentes utilizadas por e</w:t>
      </w:r>
      <w:r w:rsidRPr="000E6F1C">
        <w:rPr>
          <w:lang w:val="es-MX"/>
        </w:rPr>
        <w:t xml:space="preserve">l documento “México – Evaluación Económica del </w:t>
      </w:r>
      <w:r w:rsidR="00ED1432">
        <w:rPr>
          <w:lang w:val="es-MX"/>
        </w:rPr>
        <w:t>Programa</w:t>
      </w:r>
      <w:r w:rsidRPr="000E6F1C">
        <w:rPr>
          <w:lang w:val="es-MX"/>
        </w:rPr>
        <w:t xml:space="preserve"> de Energía Sosteni</w:t>
      </w:r>
      <w:r w:rsidR="00AF60D9">
        <w:rPr>
          <w:lang w:val="es-MX"/>
        </w:rPr>
        <w:t>ble”, que cotizan a</w:t>
      </w:r>
      <w:r w:rsidR="00864A8A">
        <w:rPr>
          <w:lang w:val="es-MX"/>
        </w:rPr>
        <w:t>l cierre de</w:t>
      </w:r>
      <w:r w:rsidR="00AF60D9">
        <w:rPr>
          <w:lang w:val="es-MX"/>
        </w:rPr>
        <w:t xml:space="preserve"> septiembre de 2017</w:t>
      </w:r>
      <w:r w:rsidRPr="000E6F1C">
        <w:rPr>
          <w:lang w:val="es-MX"/>
        </w:rPr>
        <w:t xml:space="preserve"> la emisión de cada tone</w:t>
      </w:r>
      <w:r w:rsidR="00266469">
        <w:rPr>
          <w:lang w:val="es-MX"/>
        </w:rPr>
        <w:t xml:space="preserve">lada de dióxido de </w:t>
      </w:r>
      <w:r w:rsidR="00266469">
        <w:rPr>
          <w:lang w:val="es-MX"/>
        </w:rPr>
        <w:lastRenderedPageBreak/>
        <w:t>carbono en 7.07 euros ($8.45</w:t>
      </w:r>
      <w:r w:rsidRPr="000E6F1C">
        <w:rPr>
          <w:lang w:val="es-MX"/>
        </w:rPr>
        <w:t xml:space="preserve"> dólares americanos</w:t>
      </w:r>
      <w:r w:rsidR="00266469">
        <w:rPr>
          <w:lang w:val="es-MX"/>
        </w:rPr>
        <w:t>)</w:t>
      </w:r>
      <w:r w:rsidRPr="000E6F1C">
        <w:rPr>
          <w:lang w:val="es-MX"/>
        </w:rPr>
        <w:t>.</w:t>
      </w:r>
      <w:r w:rsidR="00057B46" w:rsidRPr="000E6F1C">
        <w:rPr>
          <w:rStyle w:val="FootnoteReference"/>
          <w:lang w:val="es-MX"/>
        </w:rPr>
        <w:footnoteReference w:id="7"/>
      </w:r>
      <w:r w:rsidRPr="000E6F1C">
        <w:rPr>
          <w:lang w:val="es-MX"/>
        </w:rPr>
        <w:t xml:space="preserve"> Sin embargo, cifras del mercado de carbono en California estiman el precio de cada tonelada en $12.91 dólares a agosto de 2017</w:t>
      </w:r>
      <w:r w:rsidR="00AB2D58">
        <w:rPr>
          <w:lang w:val="es-MX"/>
        </w:rPr>
        <w:t>, por lo que este valor fue usado en una de las sensibilizaciones</w:t>
      </w:r>
      <w:r w:rsidRPr="000E6F1C">
        <w:rPr>
          <w:lang w:val="es-MX"/>
        </w:rPr>
        <w:t>.</w:t>
      </w:r>
      <w:r w:rsidR="00057B46" w:rsidRPr="000E6F1C">
        <w:rPr>
          <w:rStyle w:val="FootnoteReference"/>
          <w:lang w:val="es-MX"/>
        </w:rPr>
        <w:footnoteReference w:id="8"/>
      </w:r>
    </w:p>
    <w:p w14:paraId="4C2C2FAF" w14:textId="62A8E514" w:rsidR="0022055B" w:rsidRPr="000E6F1C" w:rsidRDefault="0022055B" w:rsidP="0052355A">
      <w:pPr>
        <w:pStyle w:val="ListParagraph"/>
        <w:numPr>
          <w:ilvl w:val="1"/>
          <w:numId w:val="1"/>
        </w:numPr>
        <w:jc w:val="both"/>
        <w:rPr>
          <w:lang w:val="es-MX"/>
        </w:rPr>
      </w:pPr>
      <w:r w:rsidRPr="000E6F1C">
        <w:rPr>
          <w:lang w:val="es-MX"/>
        </w:rPr>
        <w:t>Para la cantidad de emisiones ahorradas, se utilizó como base el documento “</w:t>
      </w:r>
      <w:r w:rsidRPr="000E6F1C">
        <w:rPr>
          <w:lang w:val="es-ES_tradnl"/>
        </w:rPr>
        <w:t>Evaluación de Potenciales y Propuestas de Estrategia Financiera-Administrativa para Implementar Medidas de Eficiencia Energética (EE) en Edificios la Administración Pública Federal”, que contempla que con el 100% de las medidas de eficiencia energética implementadas en edificios de la Administración Pública Federal</w:t>
      </w:r>
      <w:r w:rsidR="00EF7BA4" w:rsidRPr="000E6F1C">
        <w:rPr>
          <w:lang w:val="es-ES_tradnl"/>
        </w:rPr>
        <w:t xml:space="preserve"> por un valor de</w:t>
      </w:r>
      <w:r w:rsidR="00C2761E">
        <w:rPr>
          <w:lang w:val="es-ES_tradnl"/>
        </w:rPr>
        <w:t xml:space="preserve"> aproximadamente</w:t>
      </w:r>
      <w:r w:rsidR="00EF7BA4" w:rsidRPr="000E6F1C">
        <w:rPr>
          <w:lang w:val="es-ES_tradnl"/>
        </w:rPr>
        <w:t xml:space="preserve"> </w:t>
      </w:r>
      <w:r w:rsidR="00C2761E">
        <w:rPr>
          <w:lang w:val="es-ES_tradnl"/>
        </w:rPr>
        <w:t>39</w:t>
      </w:r>
      <w:r w:rsidR="00EF7BA4" w:rsidRPr="000E6F1C">
        <w:rPr>
          <w:lang w:val="es-ES_tradnl"/>
        </w:rPr>
        <w:t xml:space="preserve"> </w:t>
      </w:r>
      <w:r w:rsidR="00310D28">
        <w:rPr>
          <w:lang w:val="es-ES_tradnl"/>
        </w:rPr>
        <w:t>MDD</w:t>
      </w:r>
      <w:r w:rsidRPr="000E6F1C">
        <w:rPr>
          <w:lang w:val="es-ES_tradnl"/>
        </w:rPr>
        <w:t>, se podrían generar ahorros de 52 mil 670 toneladas de dióxido de carbono al año. Posteriormente, se ajustó proporcionalmente la cantidad de emisiones ahorradas en concordancia con la cantidad de medidas de</w:t>
      </w:r>
      <w:r w:rsidR="00C2761E">
        <w:rPr>
          <w:lang w:val="es-ES_tradnl"/>
        </w:rPr>
        <w:t xml:space="preserve"> eficiencia cubiertas por los </w:t>
      </w:r>
      <w:r w:rsidR="0032045D">
        <w:rPr>
          <w:lang w:val="es-ES_tradnl"/>
        </w:rPr>
        <w:t>28.25</w:t>
      </w:r>
      <w:r w:rsidR="0032045D" w:rsidRPr="00702ABC">
        <w:rPr>
          <w:lang w:val="es-ES_tradnl"/>
        </w:rPr>
        <w:t xml:space="preserve"> </w:t>
      </w:r>
      <w:r w:rsidR="00702ABC">
        <w:rPr>
          <w:lang w:val="es-ES_tradnl"/>
        </w:rPr>
        <w:t>MDD</w:t>
      </w:r>
      <w:r w:rsidR="00702ABC" w:rsidRPr="00702ABC">
        <w:rPr>
          <w:lang w:val="es-ES_tradnl"/>
        </w:rPr>
        <w:t xml:space="preserve"> del crédito destinados a este propósito</w:t>
      </w:r>
      <w:r w:rsidRPr="000E6F1C">
        <w:rPr>
          <w:lang w:val="es-ES_tradnl"/>
        </w:rPr>
        <w:t xml:space="preserve">, y por </w:t>
      </w:r>
      <w:r w:rsidR="000444E1" w:rsidRPr="000E6F1C">
        <w:rPr>
          <w:lang w:val="es-ES_tradnl"/>
        </w:rPr>
        <w:t>la cantidad de medidas en operación (posteriores a su instalación y previas al fin de su vida útil) para cada período analizado.</w:t>
      </w:r>
    </w:p>
    <w:p w14:paraId="562E2F41" w14:textId="60936B74" w:rsidR="001C74EB" w:rsidRPr="000E6F1C" w:rsidRDefault="00EF7BA4" w:rsidP="0052355A">
      <w:pPr>
        <w:pStyle w:val="ListParagraph"/>
        <w:numPr>
          <w:ilvl w:val="0"/>
          <w:numId w:val="1"/>
        </w:numPr>
        <w:jc w:val="both"/>
        <w:rPr>
          <w:lang w:val="es-MX"/>
        </w:rPr>
      </w:pPr>
      <w:r w:rsidRPr="000E6F1C">
        <w:rPr>
          <w:lang w:val="es-MX"/>
        </w:rPr>
        <w:t>La composición de</w:t>
      </w:r>
      <w:r w:rsidR="00023CCF">
        <w:rPr>
          <w:lang w:val="es-MX"/>
        </w:rPr>
        <w:t xml:space="preserve"> tecnologías para el total del </w:t>
      </w:r>
      <w:r w:rsidR="00ED1432">
        <w:rPr>
          <w:lang w:val="es-MX"/>
        </w:rPr>
        <w:t>Proyecto</w:t>
      </w:r>
      <w:r w:rsidRPr="000E6F1C">
        <w:rPr>
          <w:lang w:val="es-MX"/>
        </w:rPr>
        <w:t xml:space="preserve"> se basó en el censo de inm</w:t>
      </w:r>
      <w:r w:rsidR="00D83288" w:rsidRPr="000E6F1C">
        <w:rPr>
          <w:lang w:val="es-MX"/>
        </w:rPr>
        <w:t>uebles de la APF referido en el</w:t>
      </w:r>
      <w:r w:rsidRPr="000E6F1C">
        <w:rPr>
          <w:lang w:val="es-MX"/>
        </w:rPr>
        <w:t xml:space="preserve"> estudio de evaluación de potenciales antes mencionado, asumiéndose que</w:t>
      </w:r>
      <w:r w:rsidR="001961F5" w:rsidRPr="000E6F1C">
        <w:rPr>
          <w:lang w:val="es-MX"/>
        </w:rPr>
        <w:t xml:space="preserve"> el 54</w:t>
      </w:r>
      <w:r w:rsidR="001C74EB" w:rsidRPr="000E6F1C">
        <w:rPr>
          <w:lang w:val="es-MX"/>
        </w:rPr>
        <w:t>% de la inver</w:t>
      </w:r>
      <w:r w:rsidR="001961F5" w:rsidRPr="000E6F1C">
        <w:rPr>
          <w:lang w:val="es-MX"/>
        </w:rPr>
        <w:t xml:space="preserve">sión </w:t>
      </w:r>
      <w:r w:rsidRPr="000E6F1C">
        <w:rPr>
          <w:lang w:val="es-MX"/>
        </w:rPr>
        <w:t xml:space="preserve">se destinaría </w:t>
      </w:r>
      <w:r w:rsidR="001961F5" w:rsidRPr="000E6F1C">
        <w:rPr>
          <w:lang w:val="es-MX"/>
        </w:rPr>
        <w:t>a aire acondicionado, el 40</w:t>
      </w:r>
      <w:r w:rsidR="009349F3" w:rsidRPr="000E6F1C">
        <w:rPr>
          <w:lang w:val="es-MX"/>
        </w:rPr>
        <w:t xml:space="preserve">.5 </w:t>
      </w:r>
      <w:r w:rsidR="001961F5" w:rsidRPr="000E6F1C">
        <w:rPr>
          <w:lang w:val="es-MX"/>
        </w:rPr>
        <w:t xml:space="preserve">% a iluminación y el </w:t>
      </w:r>
      <w:r w:rsidR="009349F3" w:rsidRPr="000E6F1C">
        <w:rPr>
          <w:lang w:val="es-MX"/>
        </w:rPr>
        <w:t xml:space="preserve">5.5 </w:t>
      </w:r>
      <w:r w:rsidR="001961F5" w:rsidRPr="000E6F1C">
        <w:rPr>
          <w:lang w:val="es-MX"/>
        </w:rPr>
        <w:t>% a cambio de tarifa.</w:t>
      </w:r>
    </w:p>
    <w:p w14:paraId="44D7B2EB" w14:textId="5ACEF60F" w:rsidR="001961F5" w:rsidRPr="000E6F1C" w:rsidRDefault="001961F5" w:rsidP="0052355A">
      <w:pPr>
        <w:pStyle w:val="ListParagraph"/>
        <w:numPr>
          <w:ilvl w:val="1"/>
          <w:numId w:val="1"/>
        </w:numPr>
        <w:jc w:val="both"/>
        <w:rPr>
          <w:lang w:val="es-MX"/>
        </w:rPr>
      </w:pPr>
      <w:r w:rsidRPr="000E6F1C">
        <w:rPr>
          <w:lang w:val="es-MX"/>
        </w:rPr>
        <w:t xml:space="preserve">Se consideró que la vida útil de las medidas de eficiencia energética en aire acondicionado es de 15 años, mientras que las de iluminación y las de cambio de tarifa son de 10 años. </w:t>
      </w:r>
    </w:p>
    <w:p w14:paraId="21F7C733" w14:textId="095364B6" w:rsidR="001E70BB" w:rsidRPr="000E6F1C" w:rsidRDefault="001E70BB" w:rsidP="0052355A">
      <w:pPr>
        <w:pStyle w:val="ListParagraph"/>
        <w:numPr>
          <w:ilvl w:val="0"/>
          <w:numId w:val="1"/>
        </w:numPr>
        <w:jc w:val="both"/>
        <w:rPr>
          <w:lang w:val="es-MX"/>
        </w:rPr>
      </w:pPr>
      <w:r w:rsidRPr="000E6F1C">
        <w:rPr>
          <w:lang w:val="es-MX"/>
        </w:rPr>
        <w:t xml:space="preserve">En el modelo elaborado, se considera que las inversiones en medidas de eficiencia energética comienzan a generar ahorros </w:t>
      </w:r>
      <w:r w:rsidR="0022055B" w:rsidRPr="000E6F1C">
        <w:rPr>
          <w:lang w:val="es-MX"/>
        </w:rPr>
        <w:t>un trimestre</w:t>
      </w:r>
      <w:r w:rsidRPr="000E6F1C">
        <w:rPr>
          <w:lang w:val="es-MX"/>
        </w:rPr>
        <w:t xml:space="preserve"> después de </w:t>
      </w:r>
      <w:r w:rsidR="00EF7BA4" w:rsidRPr="000E6F1C">
        <w:rPr>
          <w:lang w:val="es-MX"/>
        </w:rPr>
        <w:t>efectuada la inversión correspondiente</w:t>
      </w:r>
      <w:r w:rsidRPr="000E6F1C">
        <w:rPr>
          <w:lang w:val="es-MX"/>
        </w:rPr>
        <w:t xml:space="preserve">. Esto se debe a que la implementación no </w:t>
      </w:r>
      <w:r w:rsidR="00EF7BA4" w:rsidRPr="000E6F1C">
        <w:rPr>
          <w:lang w:val="es-MX"/>
        </w:rPr>
        <w:t xml:space="preserve">necesariamente </w:t>
      </w:r>
      <w:r w:rsidRPr="000E6F1C">
        <w:rPr>
          <w:lang w:val="es-MX"/>
        </w:rPr>
        <w:t>es inmediata</w:t>
      </w:r>
      <w:r w:rsidR="00EF7BA4" w:rsidRPr="000E6F1C">
        <w:rPr>
          <w:lang w:val="es-MX"/>
        </w:rPr>
        <w:t xml:space="preserve">, </w:t>
      </w:r>
      <w:r w:rsidRPr="000E6F1C">
        <w:rPr>
          <w:lang w:val="es-MX"/>
        </w:rPr>
        <w:t>y la coordinación entre las instancias responsables de la misma no es perfecta</w:t>
      </w:r>
      <w:r w:rsidR="004239D8" w:rsidRPr="000E6F1C">
        <w:rPr>
          <w:lang w:val="es-MX"/>
        </w:rPr>
        <w:t>;</w:t>
      </w:r>
      <w:r w:rsidRPr="000E6F1C">
        <w:rPr>
          <w:lang w:val="es-MX"/>
        </w:rPr>
        <w:t xml:space="preserve"> </w:t>
      </w:r>
      <w:r w:rsidR="00057B46" w:rsidRPr="000E6F1C">
        <w:rPr>
          <w:lang w:val="es-MX"/>
        </w:rPr>
        <w:t>é</w:t>
      </w:r>
      <w:r w:rsidR="004239D8" w:rsidRPr="000E6F1C">
        <w:rPr>
          <w:lang w:val="es-MX"/>
        </w:rPr>
        <w:t xml:space="preserve">sta </w:t>
      </w:r>
      <w:r w:rsidRPr="000E6F1C">
        <w:rPr>
          <w:lang w:val="es-MX"/>
        </w:rPr>
        <w:t>es una de las variables sensibilizadas.</w:t>
      </w:r>
      <w:r w:rsidR="0022055B" w:rsidRPr="000E6F1C">
        <w:rPr>
          <w:lang w:val="es-MX"/>
        </w:rPr>
        <w:t xml:space="preserve"> </w:t>
      </w:r>
    </w:p>
    <w:p w14:paraId="39A1C399" w14:textId="458463F1" w:rsidR="001E70BB" w:rsidRDefault="0022055B" w:rsidP="0052355A">
      <w:pPr>
        <w:pStyle w:val="ListParagraph"/>
        <w:numPr>
          <w:ilvl w:val="0"/>
          <w:numId w:val="1"/>
        </w:numPr>
        <w:jc w:val="both"/>
        <w:rPr>
          <w:lang w:val="es-MX"/>
        </w:rPr>
      </w:pPr>
      <w:r w:rsidRPr="000E6F1C">
        <w:rPr>
          <w:lang w:val="es-MX"/>
        </w:rPr>
        <w:t xml:space="preserve">En el modelo, se </w:t>
      </w:r>
      <w:r w:rsidR="004239D8" w:rsidRPr="000E6F1C">
        <w:rPr>
          <w:lang w:val="es-MX"/>
        </w:rPr>
        <w:t xml:space="preserve">consideró una implementación paulatina de las MEE, asumiéndose que se </w:t>
      </w:r>
      <w:r w:rsidRPr="000E6F1C">
        <w:rPr>
          <w:lang w:val="es-MX"/>
        </w:rPr>
        <w:t>inv</w:t>
      </w:r>
      <w:r w:rsidR="004239D8" w:rsidRPr="000E6F1C">
        <w:rPr>
          <w:lang w:val="es-MX"/>
        </w:rPr>
        <w:t>ertiría</w:t>
      </w:r>
      <w:r w:rsidRPr="000E6F1C">
        <w:rPr>
          <w:lang w:val="es-MX"/>
        </w:rPr>
        <w:t xml:space="preserve"> el 34</w:t>
      </w:r>
      <w:r w:rsidR="001E70BB" w:rsidRPr="000E6F1C">
        <w:rPr>
          <w:lang w:val="es-MX"/>
        </w:rPr>
        <w:t>% del presupuesto para MEE en el último trim</w:t>
      </w:r>
      <w:r w:rsidRPr="000E6F1C">
        <w:rPr>
          <w:lang w:val="es-MX"/>
        </w:rPr>
        <w:t>estre de 2017 y posteriormente 8</w:t>
      </w:r>
      <w:r w:rsidR="001E70BB" w:rsidRPr="000E6F1C">
        <w:rPr>
          <w:lang w:val="es-MX"/>
        </w:rPr>
        <w:t>% en c</w:t>
      </w:r>
      <w:r w:rsidRPr="000E6F1C">
        <w:rPr>
          <w:lang w:val="es-MX"/>
        </w:rPr>
        <w:t xml:space="preserve">ada trimestre de los próximos 2 </w:t>
      </w:r>
      <w:r w:rsidR="001E70BB" w:rsidRPr="000E6F1C">
        <w:rPr>
          <w:lang w:val="es-MX"/>
        </w:rPr>
        <w:t xml:space="preserve">años </w:t>
      </w:r>
      <w:r w:rsidRPr="000E6F1C">
        <w:rPr>
          <w:lang w:val="es-MX"/>
        </w:rPr>
        <w:t>para completar la inversión en 3</w:t>
      </w:r>
      <w:r w:rsidR="001E70BB" w:rsidRPr="000E6F1C">
        <w:rPr>
          <w:lang w:val="es-MX"/>
        </w:rPr>
        <w:t xml:space="preserve"> años.</w:t>
      </w:r>
    </w:p>
    <w:p w14:paraId="16F161E8" w14:textId="4BDDC55A" w:rsidR="00C22F7B" w:rsidRPr="000E6F1C" w:rsidRDefault="00C22F7B" w:rsidP="0052355A">
      <w:pPr>
        <w:pStyle w:val="ListParagraph"/>
        <w:numPr>
          <w:ilvl w:val="0"/>
          <w:numId w:val="1"/>
        </w:numPr>
        <w:jc w:val="both"/>
        <w:rPr>
          <w:lang w:val="es-MX"/>
        </w:rPr>
      </w:pPr>
      <w:r>
        <w:rPr>
          <w:lang w:val="es-MX"/>
        </w:rPr>
        <w:t xml:space="preserve">En el modelo se compararon los ahorros y costos del proyecto con una línea base </w:t>
      </w:r>
      <w:r w:rsidRPr="00C22F7B">
        <w:rPr>
          <w:lang w:val="es-MX"/>
        </w:rPr>
        <w:t>correspondiente a mantener constante durante la vida del proyecto el consumo energético anual estimado para los 817 EOAPF, conforme a lo determinado en la Evaluación de Potenciales; en esta línea base se incluyeron además los costos de las emisiones de CO</w:t>
      </w:r>
      <w:r w:rsidRPr="00AF60D9">
        <w:rPr>
          <w:vertAlign w:val="subscript"/>
          <w:lang w:val="es-MX"/>
        </w:rPr>
        <w:t>2</w:t>
      </w:r>
      <w:r w:rsidRPr="00C22F7B">
        <w:rPr>
          <w:lang w:val="es-MX"/>
        </w:rPr>
        <w:t xml:space="preserve"> correspondientes</w:t>
      </w:r>
    </w:p>
    <w:p w14:paraId="49B66E65" w14:textId="529C0A3E" w:rsidR="00F3346B" w:rsidRDefault="001E70BB" w:rsidP="00A93D10">
      <w:pPr>
        <w:pStyle w:val="ListParagraph"/>
        <w:numPr>
          <w:ilvl w:val="0"/>
          <w:numId w:val="1"/>
        </w:numPr>
        <w:jc w:val="both"/>
        <w:rPr>
          <w:lang w:val="es-MX"/>
        </w:rPr>
      </w:pPr>
      <w:r w:rsidRPr="000E6F1C">
        <w:rPr>
          <w:lang w:val="es-MX"/>
        </w:rPr>
        <w:t xml:space="preserve">Para el cálculo del Valor Presente Neto se utilizó </w:t>
      </w:r>
      <w:r w:rsidR="00717B69">
        <w:rPr>
          <w:lang w:val="es-MX"/>
        </w:rPr>
        <w:t xml:space="preserve">una </w:t>
      </w:r>
      <w:r w:rsidRPr="000E6F1C">
        <w:rPr>
          <w:lang w:val="es-MX"/>
        </w:rPr>
        <w:t xml:space="preserve">tasa de descuento </w:t>
      </w:r>
      <w:r w:rsidR="00717B69">
        <w:rPr>
          <w:lang w:val="es-MX"/>
        </w:rPr>
        <w:t xml:space="preserve">del </w:t>
      </w:r>
      <w:r w:rsidR="00965EC6">
        <w:rPr>
          <w:lang w:val="es-MX"/>
        </w:rPr>
        <w:t>(10</w:t>
      </w:r>
      <w:r w:rsidRPr="000E6F1C">
        <w:rPr>
          <w:lang w:val="es-MX"/>
        </w:rPr>
        <w:t>%)</w:t>
      </w:r>
      <w:r w:rsidR="004239D8" w:rsidRPr="000E6F1C">
        <w:rPr>
          <w:lang w:val="es-MX"/>
        </w:rPr>
        <w:t>, la cual se considera consistente con la usada en otros proyectos federales</w:t>
      </w:r>
      <w:r w:rsidR="00717B69">
        <w:rPr>
          <w:lang w:val="es-MX"/>
        </w:rPr>
        <w:t xml:space="preserve"> conforme a disposiciones emitidas por SHCP en enero de 2014</w:t>
      </w:r>
      <w:r w:rsidRPr="000E6F1C">
        <w:rPr>
          <w:lang w:val="es-MX"/>
        </w:rPr>
        <w:t>.</w:t>
      </w:r>
      <w:r w:rsidR="00717B69" w:rsidRPr="00717B69">
        <w:rPr>
          <w:lang w:val="es-MX"/>
        </w:rPr>
        <w:t xml:space="preserve"> </w:t>
      </w:r>
      <w:bookmarkEnd w:id="0"/>
    </w:p>
    <w:p w14:paraId="4B2485B0" w14:textId="1C90895F" w:rsidR="00062210" w:rsidRPr="00062210" w:rsidRDefault="00062210" w:rsidP="00062210">
      <w:pPr>
        <w:pStyle w:val="ListParagraph"/>
        <w:numPr>
          <w:ilvl w:val="0"/>
          <w:numId w:val="1"/>
        </w:numPr>
        <w:jc w:val="both"/>
        <w:rPr>
          <w:lang w:val="es-MX"/>
        </w:rPr>
      </w:pPr>
      <w:r>
        <w:rPr>
          <w:lang w:val="es-MX"/>
        </w:rPr>
        <w:t xml:space="preserve">Los </w:t>
      </w:r>
      <w:r w:rsidR="00310D28">
        <w:rPr>
          <w:lang w:val="es-MX"/>
        </w:rPr>
        <w:t xml:space="preserve">montos correspondientes </w:t>
      </w:r>
      <w:proofErr w:type="gramStart"/>
      <w:r w:rsidR="00310D28">
        <w:rPr>
          <w:lang w:val="es-MX"/>
        </w:rPr>
        <w:t xml:space="preserve">a </w:t>
      </w:r>
      <w:r>
        <w:rPr>
          <w:lang w:val="es-MX"/>
        </w:rPr>
        <w:t xml:space="preserve"> asistencia</w:t>
      </w:r>
      <w:proofErr w:type="gramEnd"/>
      <w:r>
        <w:rPr>
          <w:lang w:val="es-MX"/>
        </w:rPr>
        <w:t xml:space="preserve"> técnica, contrapartida del GdM y </w:t>
      </w:r>
      <w:r w:rsidR="00310D28">
        <w:rPr>
          <w:lang w:val="es-MX"/>
        </w:rPr>
        <w:t>comisiones e intereses</w:t>
      </w:r>
      <w:r>
        <w:rPr>
          <w:lang w:val="es-MX"/>
        </w:rPr>
        <w:t xml:space="preserve"> no se consideran para efectos de los indicadores de bondad económica al no estar directamente relacionados con las inversiones a efectuar para la implantación de las MEE.</w:t>
      </w:r>
      <w:r w:rsidRPr="000E6F1C" w:rsidDel="00F05C71">
        <w:rPr>
          <w:lang w:val="es-MX"/>
        </w:rPr>
        <w:t xml:space="preserve"> </w:t>
      </w:r>
    </w:p>
    <w:p w14:paraId="439FB5B9" w14:textId="77777777" w:rsidR="003F1B4F" w:rsidRDefault="003F1B4F" w:rsidP="00A93D10">
      <w:pPr>
        <w:pStyle w:val="Heading1"/>
        <w:jc w:val="both"/>
        <w:rPr>
          <w:rFonts w:asciiTheme="minorHAnsi" w:hAnsiTheme="minorHAnsi"/>
          <w:b/>
          <w:sz w:val="24"/>
          <w:szCs w:val="24"/>
          <w:lang w:val="es-ES_tradnl"/>
        </w:rPr>
      </w:pPr>
    </w:p>
    <w:p w14:paraId="4BD1C8E0" w14:textId="0986D53C" w:rsidR="00F3346B" w:rsidRDefault="00DA621B" w:rsidP="00A93D10">
      <w:pPr>
        <w:pStyle w:val="Heading1"/>
        <w:jc w:val="both"/>
        <w:rPr>
          <w:lang w:val="es-MX"/>
        </w:rPr>
      </w:pPr>
      <w:r w:rsidRPr="00A93D10">
        <w:rPr>
          <w:rFonts w:asciiTheme="minorHAnsi" w:hAnsiTheme="minorHAnsi"/>
          <w:b/>
          <w:sz w:val="24"/>
          <w:szCs w:val="24"/>
          <w:lang w:val="es-ES_tradnl"/>
        </w:rPr>
        <w:t>Caso base</w:t>
      </w:r>
    </w:p>
    <w:p w14:paraId="4741D546" w14:textId="77777777" w:rsidR="003F1B4F" w:rsidRDefault="003F1B4F" w:rsidP="0052355A">
      <w:pPr>
        <w:jc w:val="both"/>
        <w:rPr>
          <w:lang w:val="es-MX"/>
        </w:rPr>
      </w:pPr>
    </w:p>
    <w:p w14:paraId="32BF4098" w14:textId="0F1DFF06" w:rsidR="00DA621B" w:rsidRPr="000E6F1C" w:rsidRDefault="00DA621B" w:rsidP="0052355A">
      <w:pPr>
        <w:jc w:val="both"/>
        <w:rPr>
          <w:lang w:val="es-MX"/>
        </w:rPr>
      </w:pPr>
      <w:r w:rsidRPr="000E6F1C">
        <w:rPr>
          <w:lang w:val="es-MX"/>
        </w:rPr>
        <w:t>Se elaboró un caso base del modelo propuesto para e</w:t>
      </w:r>
      <w:r w:rsidR="00AB2D58">
        <w:rPr>
          <w:lang w:val="es-MX"/>
        </w:rPr>
        <w:t xml:space="preserve">valuar el potencial del </w:t>
      </w:r>
      <w:r w:rsidR="00ED1432">
        <w:rPr>
          <w:lang w:val="es-MX"/>
        </w:rPr>
        <w:t>Proyecto</w:t>
      </w:r>
      <w:r w:rsidR="00AB2D58">
        <w:rPr>
          <w:lang w:val="es-MX"/>
        </w:rPr>
        <w:t xml:space="preserve"> de I</w:t>
      </w:r>
      <w:r w:rsidRPr="000E6F1C">
        <w:rPr>
          <w:lang w:val="es-MX"/>
        </w:rPr>
        <w:t>mplementación de Medidas de Eficiencia Energética en aire acondicionado e iluminación en inmuebles de entidades de la Administración Pública Federal</w:t>
      </w:r>
      <w:r w:rsidR="00AB2D58">
        <w:rPr>
          <w:lang w:val="es-MX"/>
        </w:rPr>
        <w:t xml:space="preserve">, </w:t>
      </w:r>
      <w:r w:rsidR="0078387C">
        <w:rPr>
          <w:lang w:val="es-MX"/>
        </w:rPr>
        <w:t xml:space="preserve">comparándolo </w:t>
      </w:r>
      <w:r w:rsidR="00AB2D58">
        <w:rPr>
          <w:lang w:val="es-MX"/>
        </w:rPr>
        <w:t xml:space="preserve">con el supuesto de que el consumo energético de los EOAPF se mantendría constante en caso de que no se implante </w:t>
      </w:r>
      <w:r w:rsidR="00AB2D58" w:rsidRPr="00023CCF">
        <w:rPr>
          <w:lang w:val="es-MX"/>
        </w:rPr>
        <w:t xml:space="preserve">el </w:t>
      </w:r>
      <w:r w:rsidR="00ED1432">
        <w:rPr>
          <w:lang w:val="es-MX"/>
        </w:rPr>
        <w:t>Proyecto</w:t>
      </w:r>
      <w:r w:rsidRPr="000E6F1C">
        <w:rPr>
          <w:lang w:val="es-MX"/>
        </w:rPr>
        <w:t>.</w:t>
      </w:r>
    </w:p>
    <w:p w14:paraId="7C60AAC1" w14:textId="5A135E2C" w:rsidR="00B94064" w:rsidRDefault="00DA621B" w:rsidP="0052355A">
      <w:pPr>
        <w:jc w:val="both"/>
        <w:rPr>
          <w:lang w:val="es-MX"/>
        </w:rPr>
      </w:pPr>
      <w:r w:rsidRPr="000E6F1C">
        <w:rPr>
          <w:lang w:val="es-MX"/>
        </w:rPr>
        <w:t>El caso base cumple con todas las asunciones y consideraciones expuestas en la sección anterior, y utiliza como entradas los valores estimados por el estudio “</w:t>
      </w:r>
      <w:r w:rsidRPr="000E6F1C">
        <w:rPr>
          <w:lang w:val="es-ES_tradnl"/>
        </w:rPr>
        <w:t>Evaluación de Potenciales y Propuestas de Estrategia Financiera-Administrativa para Implementar Medidas de Eficiencia Energética (EE) en Edificios la Administración Pública Federal” resumidos anteriormente</w:t>
      </w:r>
      <w:r w:rsidR="00C22F7B" w:rsidRPr="00C22F7B">
        <w:rPr>
          <w:lang w:val="es-ES_tradnl"/>
        </w:rPr>
        <w:t>.</w:t>
      </w:r>
      <w:r w:rsidR="00C22F7B">
        <w:rPr>
          <w:lang w:val="es-ES_tradnl"/>
        </w:rPr>
        <w:t xml:space="preserve"> </w:t>
      </w:r>
      <w:r w:rsidRPr="000E6F1C">
        <w:rPr>
          <w:lang w:val="es-ES_tradnl"/>
        </w:rPr>
        <w:t xml:space="preserve">Para los beneficios generados de la reducción de una tonelada de CO2 en emisiones, se utilizó </w:t>
      </w:r>
      <w:r w:rsidR="00B94064">
        <w:rPr>
          <w:lang w:val="es-ES_tradnl"/>
        </w:rPr>
        <w:t xml:space="preserve">la metodología de valoración propuesta </w:t>
      </w:r>
      <w:r w:rsidRPr="000E6F1C">
        <w:rPr>
          <w:lang w:val="es-ES_tradnl"/>
        </w:rPr>
        <w:t xml:space="preserve">en </w:t>
      </w:r>
      <w:r w:rsidRPr="000E6F1C">
        <w:rPr>
          <w:lang w:val="es-MX"/>
        </w:rPr>
        <w:t xml:space="preserve">“México – Evaluación Económica del </w:t>
      </w:r>
      <w:r w:rsidR="00ED1432">
        <w:rPr>
          <w:lang w:val="es-MX"/>
        </w:rPr>
        <w:t>Programa</w:t>
      </w:r>
      <w:bookmarkStart w:id="1" w:name="_GoBack"/>
      <w:bookmarkEnd w:id="1"/>
      <w:r w:rsidRPr="000E6F1C">
        <w:rPr>
          <w:lang w:val="es-MX"/>
        </w:rPr>
        <w:t xml:space="preserve"> de</w:t>
      </w:r>
      <w:r w:rsidR="00B94064">
        <w:rPr>
          <w:lang w:val="es-MX"/>
        </w:rPr>
        <w:t xml:space="preserve"> Energía Sostenible”, que cotizó</w:t>
      </w:r>
      <w:r w:rsidRPr="000E6F1C">
        <w:rPr>
          <w:lang w:val="es-MX"/>
        </w:rPr>
        <w:t xml:space="preserve"> la emisión de cada tonelada de dióxido de carbono en $4.53 dólares americanos</w:t>
      </w:r>
      <w:r w:rsidR="00B94064">
        <w:rPr>
          <w:lang w:val="es-MX"/>
        </w:rPr>
        <w:t xml:space="preserve"> mediante una consulta de listados en línea de mercados de futuros de carbono</w:t>
      </w:r>
      <w:r w:rsidRPr="000E6F1C">
        <w:rPr>
          <w:lang w:val="es-MX"/>
        </w:rPr>
        <w:t>.</w:t>
      </w:r>
      <w:r w:rsidRPr="000E6F1C">
        <w:rPr>
          <w:rStyle w:val="FootnoteReference"/>
          <w:lang w:val="es-MX"/>
        </w:rPr>
        <w:t xml:space="preserve"> </w:t>
      </w:r>
      <w:r w:rsidRPr="000E6F1C">
        <w:rPr>
          <w:rStyle w:val="FootnoteReference"/>
          <w:lang w:val="es-MX"/>
        </w:rPr>
        <w:footnoteReference w:id="9"/>
      </w:r>
      <w:r w:rsidR="00B94064">
        <w:rPr>
          <w:vertAlign w:val="superscript"/>
          <w:lang w:val="es-MX"/>
        </w:rPr>
        <w:t xml:space="preserve"> </w:t>
      </w:r>
      <w:r w:rsidR="00B94064">
        <w:rPr>
          <w:lang w:val="es-MX"/>
        </w:rPr>
        <w:t>Al cierre de septiembre de 2017, el valor de los futuros en cuestión era de 7.07</w:t>
      </w:r>
      <w:r w:rsidR="00C42F26">
        <w:rPr>
          <w:lang w:val="es-MX"/>
        </w:rPr>
        <w:t xml:space="preserve"> euros</w:t>
      </w:r>
      <w:r w:rsidR="00B94064">
        <w:rPr>
          <w:lang w:val="es-MX"/>
        </w:rPr>
        <w:t xml:space="preserve"> </w:t>
      </w:r>
      <w:r w:rsidR="00C42F26">
        <w:rPr>
          <w:lang w:val="es-MX"/>
        </w:rPr>
        <w:t xml:space="preserve">($8.45 </w:t>
      </w:r>
      <w:r w:rsidR="00B94064">
        <w:rPr>
          <w:lang w:val="es-MX"/>
        </w:rPr>
        <w:t>dólares americanos</w:t>
      </w:r>
      <w:r w:rsidR="00C42F26">
        <w:rPr>
          <w:lang w:val="es-MX"/>
        </w:rPr>
        <w:t>)</w:t>
      </w:r>
      <w:r w:rsidR="00B94064">
        <w:rPr>
          <w:lang w:val="es-MX"/>
        </w:rPr>
        <w:t xml:space="preserve"> por tonelada.</w:t>
      </w:r>
      <w:r w:rsidR="00B94064">
        <w:rPr>
          <w:rStyle w:val="FootnoteReference"/>
          <w:lang w:val="es-MX"/>
        </w:rPr>
        <w:footnoteReference w:id="10"/>
      </w:r>
    </w:p>
    <w:p w14:paraId="0B5E2D7A" w14:textId="47B4C119" w:rsidR="00DA621B" w:rsidRDefault="00DA621B" w:rsidP="0052355A">
      <w:pPr>
        <w:jc w:val="both"/>
        <w:rPr>
          <w:lang w:val="es-MX"/>
        </w:rPr>
      </w:pPr>
      <w:r w:rsidRPr="000E6F1C">
        <w:rPr>
          <w:lang w:val="es-MX"/>
        </w:rPr>
        <w:t>Para simular más adecuadamente los desfases en implementación de las inversiones</w:t>
      </w:r>
      <w:r w:rsidRPr="0068098E">
        <w:rPr>
          <w:lang w:val="es-MX"/>
        </w:rPr>
        <w:t>, el caso base</w:t>
      </w:r>
      <w:r w:rsidRPr="000E6F1C">
        <w:rPr>
          <w:lang w:val="es-MX"/>
        </w:rPr>
        <w:t xml:space="preserve"> está modelado a partir de trimestres. Sin embargo, los pagos de sus comisiones de inspección y vigilancia y los pagos al Banco Interamericano de Desarrollo se simulan únicamente en el cuarto trimestre de cada año.</w:t>
      </w:r>
    </w:p>
    <w:p w14:paraId="3EE55A30" w14:textId="36599067" w:rsidR="008D2BD6" w:rsidRDefault="008155AC" w:rsidP="00A93D10">
      <w:pPr>
        <w:rPr>
          <w:lang w:val="es-MX"/>
        </w:rPr>
      </w:pPr>
      <w:r>
        <w:rPr>
          <w:i/>
          <w:lang w:val="es-MX"/>
        </w:rPr>
        <w:t>Tabla 6</w:t>
      </w:r>
      <w:r w:rsidR="006930C9">
        <w:rPr>
          <w:i/>
          <w:lang w:val="es-MX"/>
        </w:rPr>
        <w:t xml:space="preserve">: Cifras relevantes del caso base establecido para el estudio. </w:t>
      </w:r>
    </w:p>
    <w:tbl>
      <w:tblPr>
        <w:tblStyle w:val="TableGrid"/>
        <w:tblW w:w="0" w:type="auto"/>
        <w:tblLook w:val="04A0" w:firstRow="1" w:lastRow="0" w:firstColumn="1" w:lastColumn="0" w:noHBand="0" w:noVBand="1"/>
      </w:tblPr>
      <w:tblGrid>
        <w:gridCol w:w="2785"/>
        <w:gridCol w:w="6565"/>
      </w:tblGrid>
      <w:tr w:rsidR="008D2BD6" w14:paraId="1EAE4982" w14:textId="77777777" w:rsidTr="002E28A8">
        <w:tc>
          <w:tcPr>
            <w:tcW w:w="2785" w:type="dxa"/>
          </w:tcPr>
          <w:p w14:paraId="62994C84" w14:textId="77777777" w:rsidR="008D2BD6" w:rsidRDefault="008D2BD6" w:rsidP="002E28A8">
            <w:pPr>
              <w:jc w:val="both"/>
              <w:rPr>
                <w:lang w:val="es-MX"/>
              </w:rPr>
            </w:pPr>
            <w:r>
              <w:rPr>
                <w:lang w:val="es-MX"/>
              </w:rPr>
              <w:t>Ahorros por consumo de electricidad</w:t>
            </w:r>
          </w:p>
        </w:tc>
        <w:tc>
          <w:tcPr>
            <w:tcW w:w="6565" w:type="dxa"/>
          </w:tcPr>
          <w:p w14:paraId="2E196116" w14:textId="6066EC96" w:rsidR="008D2BD6" w:rsidRDefault="009A0808" w:rsidP="002E28A8">
            <w:pPr>
              <w:jc w:val="both"/>
              <w:rPr>
                <w:lang w:val="es-MX"/>
              </w:rPr>
            </w:pPr>
            <w:r>
              <w:rPr>
                <w:lang w:val="es-MX"/>
              </w:rPr>
              <w:t>1,649</w:t>
            </w:r>
            <w:r w:rsidR="008D2BD6">
              <w:rPr>
                <w:lang w:val="es-MX"/>
              </w:rPr>
              <w:t xml:space="preserve"> millones de pesos</w:t>
            </w:r>
          </w:p>
        </w:tc>
      </w:tr>
      <w:tr w:rsidR="008D2BD6" w14:paraId="4398AD3A" w14:textId="77777777" w:rsidTr="002E28A8">
        <w:tc>
          <w:tcPr>
            <w:tcW w:w="2785" w:type="dxa"/>
          </w:tcPr>
          <w:p w14:paraId="1F46C2C4" w14:textId="77777777" w:rsidR="008D2BD6" w:rsidRDefault="008D2BD6" w:rsidP="002E28A8">
            <w:pPr>
              <w:jc w:val="both"/>
              <w:rPr>
                <w:lang w:val="es-MX"/>
              </w:rPr>
            </w:pPr>
            <w:r>
              <w:rPr>
                <w:lang w:val="es-MX"/>
              </w:rPr>
              <w:t>Ahorros por reducción de emisiones de CO2</w:t>
            </w:r>
          </w:p>
        </w:tc>
        <w:tc>
          <w:tcPr>
            <w:tcW w:w="6565" w:type="dxa"/>
          </w:tcPr>
          <w:p w14:paraId="78AA9811" w14:textId="678F20BD" w:rsidR="008D2BD6" w:rsidRDefault="009A0808" w:rsidP="002E28A8">
            <w:pPr>
              <w:jc w:val="both"/>
              <w:rPr>
                <w:lang w:val="es-MX"/>
              </w:rPr>
            </w:pPr>
            <w:r>
              <w:rPr>
                <w:lang w:val="es-MX"/>
              </w:rPr>
              <w:t xml:space="preserve">71 </w:t>
            </w:r>
            <w:r w:rsidR="008D2BD6">
              <w:rPr>
                <w:lang w:val="es-MX"/>
              </w:rPr>
              <w:t>millones de pesos</w:t>
            </w:r>
          </w:p>
        </w:tc>
      </w:tr>
      <w:tr w:rsidR="008D2BD6" w14:paraId="4AF7DE9F" w14:textId="77777777" w:rsidTr="002E28A8">
        <w:tc>
          <w:tcPr>
            <w:tcW w:w="2785" w:type="dxa"/>
          </w:tcPr>
          <w:p w14:paraId="533A5705" w14:textId="77777777" w:rsidR="008D2BD6" w:rsidRDefault="008D2BD6" w:rsidP="002E28A8">
            <w:pPr>
              <w:jc w:val="both"/>
              <w:rPr>
                <w:lang w:val="es-MX"/>
              </w:rPr>
            </w:pPr>
            <w:r>
              <w:rPr>
                <w:lang w:val="es-MX"/>
              </w:rPr>
              <w:t>Costos totales</w:t>
            </w:r>
          </w:p>
        </w:tc>
        <w:tc>
          <w:tcPr>
            <w:tcW w:w="6565" w:type="dxa"/>
          </w:tcPr>
          <w:p w14:paraId="00294991" w14:textId="78E7E23A" w:rsidR="008D2BD6" w:rsidRDefault="00F05C71" w:rsidP="002E28A8">
            <w:pPr>
              <w:jc w:val="both"/>
              <w:rPr>
                <w:lang w:val="es-MX"/>
              </w:rPr>
            </w:pPr>
            <w:r>
              <w:rPr>
                <w:lang w:val="es-MX"/>
              </w:rPr>
              <w:t xml:space="preserve">544 </w:t>
            </w:r>
            <w:r w:rsidR="008D2BD6">
              <w:rPr>
                <w:lang w:val="es-MX"/>
              </w:rPr>
              <w:t>millones de pesos</w:t>
            </w:r>
          </w:p>
        </w:tc>
      </w:tr>
      <w:tr w:rsidR="008D2BD6" w14:paraId="3A9A82F9" w14:textId="77777777" w:rsidTr="002E28A8">
        <w:tc>
          <w:tcPr>
            <w:tcW w:w="2785" w:type="dxa"/>
          </w:tcPr>
          <w:p w14:paraId="22245447" w14:textId="77777777" w:rsidR="008D2BD6" w:rsidRDefault="008D2BD6" w:rsidP="002E28A8">
            <w:pPr>
              <w:jc w:val="both"/>
              <w:rPr>
                <w:lang w:val="es-MX"/>
              </w:rPr>
            </w:pPr>
            <w:r>
              <w:rPr>
                <w:lang w:val="es-MX"/>
              </w:rPr>
              <w:t>Utilidades nominales</w:t>
            </w:r>
          </w:p>
        </w:tc>
        <w:tc>
          <w:tcPr>
            <w:tcW w:w="6565" w:type="dxa"/>
          </w:tcPr>
          <w:p w14:paraId="66C1F9D6" w14:textId="72DEB6AA" w:rsidR="008D2BD6" w:rsidRDefault="00F05C71" w:rsidP="002E28A8">
            <w:pPr>
              <w:jc w:val="both"/>
              <w:rPr>
                <w:lang w:val="es-MX"/>
              </w:rPr>
            </w:pPr>
            <w:r>
              <w:rPr>
                <w:lang w:val="es-MX"/>
              </w:rPr>
              <w:t xml:space="preserve">1,176 </w:t>
            </w:r>
            <w:r w:rsidR="008D2BD6">
              <w:rPr>
                <w:lang w:val="es-MX"/>
              </w:rPr>
              <w:t>millones de pesos</w:t>
            </w:r>
          </w:p>
        </w:tc>
      </w:tr>
      <w:tr w:rsidR="008D2BD6" w14:paraId="17485395" w14:textId="77777777" w:rsidTr="002E28A8">
        <w:tc>
          <w:tcPr>
            <w:tcW w:w="2785" w:type="dxa"/>
          </w:tcPr>
          <w:p w14:paraId="549F6A70" w14:textId="77777777" w:rsidR="008D2BD6" w:rsidRDefault="008D2BD6" w:rsidP="002E28A8">
            <w:pPr>
              <w:jc w:val="both"/>
              <w:rPr>
                <w:lang w:val="es-MX"/>
              </w:rPr>
            </w:pPr>
            <w:r>
              <w:rPr>
                <w:lang w:val="es-MX"/>
              </w:rPr>
              <w:t>Emisiones de CO2 ahorradas</w:t>
            </w:r>
          </w:p>
        </w:tc>
        <w:tc>
          <w:tcPr>
            <w:tcW w:w="6565" w:type="dxa"/>
          </w:tcPr>
          <w:p w14:paraId="02C33EAE" w14:textId="651291AA" w:rsidR="008D2BD6" w:rsidRDefault="009A0808" w:rsidP="002E28A8">
            <w:pPr>
              <w:jc w:val="both"/>
              <w:rPr>
                <w:lang w:val="es-MX"/>
              </w:rPr>
            </w:pPr>
            <w:r>
              <w:rPr>
                <w:lang w:val="es-MX"/>
              </w:rPr>
              <w:t>35 mil 734</w:t>
            </w:r>
            <w:r w:rsidR="008D2BD6">
              <w:rPr>
                <w:lang w:val="es-MX"/>
              </w:rPr>
              <w:t xml:space="preserve"> toneladas al año</w:t>
            </w:r>
          </w:p>
        </w:tc>
      </w:tr>
      <w:tr w:rsidR="008D2BD6" w14:paraId="6E6F85FD" w14:textId="77777777" w:rsidTr="002E28A8">
        <w:tc>
          <w:tcPr>
            <w:tcW w:w="2785" w:type="dxa"/>
          </w:tcPr>
          <w:p w14:paraId="4CBB41B7" w14:textId="77777777" w:rsidR="008D2BD6" w:rsidRDefault="008D2BD6" w:rsidP="002E28A8">
            <w:pPr>
              <w:jc w:val="both"/>
              <w:rPr>
                <w:lang w:val="es-MX"/>
              </w:rPr>
            </w:pPr>
            <w:r>
              <w:rPr>
                <w:lang w:val="es-MX"/>
              </w:rPr>
              <w:t>Período de implementación de inversiones</w:t>
            </w:r>
          </w:p>
        </w:tc>
        <w:tc>
          <w:tcPr>
            <w:tcW w:w="6565" w:type="dxa"/>
          </w:tcPr>
          <w:p w14:paraId="46D4D801" w14:textId="77777777" w:rsidR="008D2BD6" w:rsidRDefault="008D2BD6" w:rsidP="002E28A8">
            <w:pPr>
              <w:jc w:val="both"/>
              <w:rPr>
                <w:lang w:val="es-MX"/>
              </w:rPr>
            </w:pPr>
            <w:r>
              <w:rPr>
                <w:lang w:val="es-MX"/>
              </w:rPr>
              <w:t>3 años</w:t>
            </w:r>
          </w:p>
        </w:tc>
      </w:tr>
      <w:tr w:rsidR="008D2BD6" w14:paraId="75FE99AA" w14:textId="77777777" w:rsidTr="002E28A8">
        <w:tc>
          <w:tcPr>
            <w:tcW w:w="2785" w:type="dxa"/>
            <w:vMerge w:val="restart"/>
            <w:vAlign w:val="center"/>
          </w:tcPr>
          <w:p w14:paraId="47741CC4" w14:textId="77777777" w:rsidR="008D2BD6" w:rsidRDefault="008D2BD6" w:rsidP="002E28A8">
            <w:pPr>
              <w:jc w:val="center"/>
              <w:rPr>
                <w:lang w:val="es-MX"/>
              </w:rPr>
            </w:pPr>
            <w:r>
              <w:rPr>
                <w:lang w:val="es-MX"/>
              </w:rPr>
              <w:t xml:space="preserve">Vida útil de </w:t>
            </w:r>
            <w:proofErr w:type="spellStart"/>
            <w:r>
              <w:rPr>
                <w:lang w:val="es-MX"/>
              </w:rPr>
              <w:t>MEEs</w:t>
            </w:r>
            <w:proofErr w:type="spellEnd"/>
          </w:p>
        </w:tc>
        <w:tc>
          <w:tcPr>
            <w:tcW w:w="6565" w:type="dxa"/>
          </w:tcPr>
          <w:p w14:paraId="4C806DBC" w14:textId="77777777" w:rsidR="008D2BD6" w:rsidRDefault="008D2BD6" w:rsidP="002E28A8">
            <w:pPr>
              <w:jc w:val="both"/>
              <w:rPr>
                <w:lang w:val="es-MX"/>
              </w:rPr>
            </w:pPr>
            <w:r>
              <w:rPr>
                <w:lang w:val="es-MX"/>
              </w:rPr>
              <w:t>Iluminación: 15 años</w:t>
            </w:r>
          </w:p>
        </w:tc>
      </w:tr>
      <w:tr w:rsidR="008D2BD6" w14:paraId="6D92B05A" w14:textId="77777777" w:rsidTr="002E28A8">
        <w:tc>
          <w:tcPr>
            <w:tcW w:w="2785" w:type="dxa"/>
            <w:vMerge/>
          </w:tcPr>
          <w:p w14:paraId="4359FCD4" w14:textId="77777777" w:rsidR="008D2BD6" w:rsidRDefault="008D2BD6" w:rsidP="002E28A8">
            <w:pPr>
              <w:jc w:val="both"/>
              <w:rPr>
                <w:lang w:val="es-MX"/>
              </w:rPr>
            </w:pPr>
          </w:p>
        </w:tc>
        <w:tc>
          <w:tcPr>
            <w:tcW w:w="6565" w:type="dxa"/>
          </w:tcPr>
          <w:p w14:paraId="6E452469" w14:textId="77777777" w:rsidR="008D2BD6" w:rsidRDefault="008D2BD6" w:rsidP="002E28A8">
            <w:pPr>
              <w:jc w:val="both"/>
              <w:rPr>
                <w:lang w:val="es-MX"/>
              </w:rPr>
            </w:pPr>
            <w:r>
              <w:rPr>
                <w:lang w:val="es-MX"/>
              </w:rPr>
              <w:t>Aire acondicionado: 15 años</w:t>
            </w:r>
          </w:p>
        </w:tc>
      </w:tr>
      <w:tr w:rsidR="008D2BD6" w14:paraId="11E4EEA2" w14:textId="77777777" w:rsidTr="002E28A8">
        <w:tc>
          <w:tcPr>
            <w:tcW w:w="2785" w:type="dxa"/>
            <w:vMerge/>
          </w:tcPr>
          <w:p w14:paraId="2F844F3A" w14:textId="77777777" w:rsidR="008D2BD6" w:rsidRDefault="008D2BD6" w:rsidP="002E28A8">
            <w:pPr>
              <w:jc w:val="both"/>
              <w:rPr>
                <w:lang w:val="es-MX"/>
              </w:rPr>
            </w:pPr>
          </w:p>
        </w:tc>
        <w:tc>
          <w:tcPr>
            <w:tcW w:w="6565" w:type="dxa"/>
          </w:tcPr>
          <w:p w14:paraId="01E03885" w14:textId="77777777" w:rsidR="008D2BD6" w:rsidRDefault="008D2BD6" w:rsidP="002E28A8">
            <w:pPr>
              <w:jc w:val="both"/>
              <w:rPr>
                <w:lang w:val="es-MX"/>
              </w:rPr>
            </w:pPr>
            <w:r>
              <w:rPr>
                <w:lang w:val="es-MX"/>
              </w:rPr>
              <w:t>Cambio de tarifa: 10 años</w:t>
            </w:r>
          </w:p>
        </w:tc>
      </w:tr>
    </w:tbl>
    <w:p w14:paraId="3E3B06A4" w14:textId="77777777" w:rsidR="006930C9" w:rsidRPr="00E1518A" w:rsidRDefault="006930C9" w:rsidP="006930C9">
      <w:pPr>
        <w:jc w:val="right"/>
        <w:rPr>
          <w:sz w:val="18"/>
          <w:szCs w:val="18"/>
          <w:lang w:val="es-ES_tradnl"/>
        </w:rPr>
      </w:pPr>
      <w:r w:rsidRPr="00E1518A">
        <w:rPr>
          <w:i/>
          <w:sz w:val="18"/>
          <w:szCs w:val="18"/>
          <w:lang w:val="es-MX"/>
        </w:rPr>
        <w:t>Fuente: Elaboración propia</w:t>
      </w:r>
    </w:p>
    <w:p w14:paraId="16A365B1" w14:textId="77777777" w:rsidR="008D2BD6" w:rsidRPr="00B94064" w:rsidRDefault="008D2BD6" w:rsidP="008D2BD6">
      <w:pPr>
        <w:jc w:val="both"/>
        <w:rPr>
          <w:vertAlign w:val="superscript"/>
          <w:lang w:val="es-MX"/>
        </w:rPr>
      </w:pPr>
    </w:p>
    <w:p w14:paraId="3703662E" w14:textId="77777777" w:rsidR="00DA621B" w:rsidRPr="000E6F1C" w:rsidRDefault="00DA621B" w:rsidP="0052355A">
      <w:pPr>
        <w:jc w:val="both"/>
        <w:rPr>
          <w:lang w:val="es-MX"/>
        </w:rPr>
      </w:pPr>
      <w:r w:rsidRPr="000E6F1C">
        <w:rPr>
          <w:lang w:val="es-MX"/>
        </w:rPr>
        <w:t xml:space="preserve">Debido a que cada trimestre a lo largo de los primeros tres años incorpora nuevas inversiones, el modelo simula que las vidas útiles de las inversiones en cuestión inician el trimestre posterior a su adquisición, y </w:t>
      </w:r>
      <w:r w:rsidRPr="000E6F1C">
        <w:rPr>
          <w:lang w:val="es-MX"/>
        </w:rPr>
        <w:lastRenderedPageBreak/>
        <w:t>se terminan de acuerdo con el período especificado para el tipo de inversión. Por ejemplo, hay inversiones en aire acondicionado que inician en 2019 y no terminan de generar ahorros hasta 2034.</w:t>
      </w:r>
    </w:p>
    <w:p w14:paraId="1BFDE185" w14:textId="74CA3F09" w:rsidR="00521858" w:rsidRPr="000E6F1C" w:rsidRDefault="00521858" w:rsidP="00521858">
      <w:pPr>
        <w:jc w:val="both"/>
        <w:rPr>
          <w:lang w:val="es-MX"/>
        </w:rPr>
      </w:pPr>
      <w:r w:rsidRPr="000E6F1C">
        <w:rPr>
          <w:lang w:val="es-MX"/>
        </w:rPr>
        <w:t>A lo largo de la vida del proyecto, las reducciones en gastos generados directamente por c</w:t>
      </w:r>
      <w:r>
        <w:rPr>
          <w:lang w:val="es-MX"/>
        </w:rPr>
        <w:t xml:space="preserve">onsumo de electricidad valen </w:t>
      </w:r>
      <w:r w:rsidR="009A0808">
        <w:rPr>
          <w:lang w:val="es-MX"/>
        </w:rPr>
        <w:t>1,649</w:t>
      </w:r>
      <w:r w:rsidRPr="000E6F1C">
        <w:rPr>
          <w:lang w:val="es-MX"/>
        </w:rPr>
        <w:t xml:space="preserve"> millones de pesos, mientras que la reducción de emision</w:t>
      </w:r>
      <w:r>
        <w:rPr>
          <w:lang w:val="es-MX"/>
        </w:rPr>
        <w:t xml:space="preserve">es en CO2 se puede valorar en </w:t>
      </w:r>
      <w:r w:rsidR="009A0808">
        <w:rPr>
          <w:lang w:val="es-MX"/>
        </w:rPr>
        <w:t>71</w:t>
      </w:r>
      <w:r w:rsidR="009A0808" w:rsidRPr="000E6F1C">
        <w:rPr>
          <w:lang w:val="es-MX"/>
        </w:rPr>
        <w:t xml:space="preserve"> </w:t>
      </w:r>
      <w:r w:rsidRPr="000E6F1C">
        <w:rPr>
          <w:lang w:val="es-MX"/>
        </w:rPr>
        <w:t>millones de pesos adicionales. Por otra parte, los costos totales son d</w:t>
      </w:r>
      <w:r>
        <w:rPr>
          <w:lang w:val="es-MX"/>
        </w:rPr>
        <w:t xml:space="preserve">e </w:t>
      </w:r>
      <w:r w:rsidR="00F05C71">
        <w:rPr>
          <w:lang w:val="es-MX"/>
        </w:rPr>
        <w:t xml:space="preserve">544 </w:t>
      </w:r>
      <w:r w:rsidRPr="000E6F1C">
        <w:rPr>
          <w:lang w:val="es-MX"/>
        </w:rPr>
        <w:t>millones de pesos, por lo que las u</w:t>
      </w:r>
      <w:r>
        <w:rPr>
          <w:lang w:val="es-MX"/>
        </w:rPr>
        <w:t xml:space="preserve">tilidades nominales serán de </w:t>
      </w:r>
      <w:r w:rsidR="00F05C71">
        <w:rPr>
          <w:lang w:val="es-MX"/>
        </w:rPr>
        <w:t>1,176</w:t>
      </w:r>
      <w:r w:rsidR="009A0808">
        <w:rPr>
          <w:lang w:val="es-MX"/>
        </w:rPr>
        <w:t xml:space="preserve"> </w:t>
      </w:r>
      <w:r w:rsidRPr="000E6F1C">
        <w:rPr>
          <w:lang w:val="es-MX"/>
        </w:rPr>
        <w:t>millones de pesos.</w:t>
      </w:r>
    </w:p>
    <w:p w14:paraId="2D10B3AE" w14:textId="640E169A" w:rsidR="00DA621B" w:rsidRPr="000E6F1C" w:rsidRDefault="00DA621B" w:rsidP="0052355A">
      <w:pPr>
        <w:jc w:val="both"/>
        <w:rPr>
          <w:lang w:val="es-MX"/>
        </w:rPr>
      </w:pPr>
      <w:r w:rsidRPr="000E6F1C">
        <w:rPr>
          <w:lang w:val="es-MX"/>
        </w:rPr>
        <w:t>Incluso cuando se consi</w:t>
      </w:r>
      <w:r w:rsidR="00422096">
        <w:rPr>
          <w:lang w:val="es-MX"/>
        </w:rPr>
        <w:t>dera la tasa de descuento del 10</w:t>
      </w:r>
      <w:r w:rsidRPr="000E6F1C">
        <w:rPr>
          <w:lang w:val="es-MX"/>
        </w:rPr>
        <w:t xml:space="preserve">% anual que el </w:t>
      </w:r>
      <w:r w:rsidR="00521858">
        <w:rPr>
          <w:lang w:val="es-MX"/>
        </w:rPr>
        <w:t>GdM</w:t>
      </w:r>
      <w:r w:rsidR="00521858" w:rsidRPr="000E6F1C">
        <w:rPr>
          <w:lang w:val="es-MX"/>
        </w:rPr>
        <w:t xml:space="preserve"> </w:t>
      </w:r>
      <w:r w:rsidRPr="000E6F1C">
        <w:rPr>
          <w:lang w:val="es-MX"/>
        </w:rPr>
        <w:t>utiliza para evaluar proyectos, los resultados del caso base sugieren que se generará un gran valor presente.</w:t>
      </w:r>
    </w:p>
    <w:p w14:paraId="74C9F2A0" w14:textId="77777777" w:rsidR="00DA621B" w:rsidRDefault="00DA621B" w:rsidP="0052355A">
      <w:pPr>
        <w:jc w:val="both"/>
        <w:rPr>
          <w:lang w:val="es-MX"/>
        </w:rPr>
      </w:pPr>
      <w:r w:rsidRPr="000E6F1C">
        <w:rPr>
          <w:lang w:val="es-MX"/>
        </w:rPr>
        <w:t>La siguiente tabla resume los resultados:</w:t>
      </w:r>
    </w:p>
    <w:p w14:paraId="4C7207C8" w14:textId="7DA2BF82" w:rsidR="006930C9" w:rsidRPr="00A93D10" w:rsidRDefault="008155AC" w:rsidP="0052355A">
      <w:pPr>
        <w:jc w:val="both"/>
        <w:rPr>
          <w:i/>
          <w:lang w:val="es-ES_tradnl"/>
        </w:rPr>
      </w:pPr>
      <w:r>
        <w:rPr>
          <w:i/>
          <w:lang w:val="es-MX"/>
        </w:rPr>
        <w:t>Tabla 7</w:t>
      </w:r>
      <w:r w:rsidR="006930C9" w:rsidRPr="00E1518A">
        <w:rPr>
          <w:i/>
          <w:lang w:val="es-MX"/>
        </w:rPr>
        <w:t xml:space="preserve">: </w:t>
      </w:r>
      <w:r w:rsidR="006930C9">
        <w:rPr>
          <w:i/>
          <w:lang w:val="es-MX"/>
        </w:rPr>
        <w:t xml:space="preserve">Indicadores resultantes del análisis costo/beneficio para el caso base del </w:t>
      </w:r>
      <w:r w:rsidR="00ED1432">
        <w:rPr>
          <w:i/>
          <w:lang w:val="es-MX"/>
        </w:rPr>
        <w:t>Proyecto</w:t>
      </w:r>
      <w:r w:rsidR="006930C9">
        <w:rPr>
          <w:i/>
          <w:lang w:val="es-MX"/>
        </w:rPr>
        <w:t xml:space="preserve"> de EEEOAPF</w:t>
      </w:r>
    </w:p>
    <w:tbl>
      <w:tblPr>
        <w:tblStyle w:val="TableGrid"/>
        <w:tblW w:w="0" w:type="auto"/>
        <w:tblLook w:val="04A0" w:firstRow="1" w:lastRow="0" w:firstColumn="1" w:lastColumn="0" w:noHBand="0" w:noVBand="1"/>
      </w:tblPr>
      <w:tblGrid>
        <w:gridCol w:w="5524"/>
        <w:gridCol w:w="3826"/>
      </w:tblGrid>
      <w:tr w:rsidR="00A93D10" w:rsidRPr="000E6F1C" w14:paraId="75CE9212" w14:textId="77777777" w:rsidTr="00A93D10">
        <w:tc>
          <w:tcPr>
            <w:tcW w:w="5524" w:type="dxa"/>
          </w:tcPr>
          <w:p w14:paraId="1AC23014" w14:textId="77777777" w:rsidR="00521858" w:rsidRPr="000E6F1C" w:rsidRDefault="00521858" w:rsidP="002E28A8">
            <w:pPr>
              <w:jc w:val="both"/>
              <w:rPr>
                <w:b/>
                <w:lang w:val="es-MX"/>
              </w:rPr>
            </w:pPr>
            <w:r w:rsidRPr="0026776C">
              <w:rPr>
                <w:b/>
                <w:lang w:val="es-MX"/>
              </w:rPr>
              <w:t>Indicador de bondad económica</w:t>
            </w:r>
          </w:p>
        </w:tc>
        <w:tc>
          <w:tcPr>
            <w:tcW w:w="3826" w:type="dxa"/>
          </w:tcPr>
          <w:p w14:paraId="26BB2D88" w14:textId="77777777" w:rsidR="00521858" w:rsidRPr="000E6F1C" w:rsidRDefault="00521858" w:rsidP="002E28A8">
            <w:pPr>
              <w:jc w:val="both"/>
              <w:rPr>
                <w:b/>
                <w:lang w:val="es-MX"/>
              </w:rPr>
            </w:pPr>
            <w:r w:rsidRPr="000E6F1C">
              <w:rPr>
                <w:b/>
                <w:lang w:val="es-MX"/>
              </w:rPr>
              <w:t>Valor</w:t>
            </w:r>
          </w:p>
        </w:tc>
      </w:tr>
      <w:tr w:rsidR="00F05C71" w:rsidRPr="000E6F1C" w14:paraId="4B5222D2" w14:textId="77777777" w:rsidTr="00A93D10">
        <w:tc>
          <w:tcPr>
            <w:tcW w:w="5524" w:type="dxa"/>
          </w:tcPr>
          <w:p w14:paraId="10C6AA50" w14:textId="77777777" w:rsidR="00F05C71" w:rsidRPr="000E6F1C" w:rsidRDefault="00F05C71" w:rsidP="00F05C71">
            <w:pPr>
              <w:jc w:val="both"/>
              <w:rPr>
                <w:lang w:val="es-MX"/>
              </w:rPr>
            </w:pPr>
            <w:r w:rsidRPr="005D2933">
              <w:rPr>
                <w:rFonts w:ascii="Calibri" w:hAnsi="Calibri" w:cs="Calibri"/>
                <w:color w:val="000000"/>
              </w:rPr>
              <w:t xml:space="preserve">Valor </w:t>
            </w:r>
            <w:proofErr w:type="spellStart"/>
            <w:r w:rsidRPr="005D2933">
              <w:rPr>
                <w:rFonts w:ascii="Calibri" w:hAnsi="Calibri" w:cs="Calibri"/>
                <w:color w:val="000000"/>
              </w:rPr>
              <w:t>Presente</w:t>
            </w:r>
            <w:proofErr w:type="spellEnd"/>
            <w:r w:rsidRPr="005D2933">
              <w:rPr>
                <w:rFonts w:ascii="Calibri" w:hAnsi="Calibri" w:cs="Calibri"/>
                <w:color w:val="000000"/>
              </w:rPr>
              <w:t xml:space="preserve"> </w:t>
            </w:r>
            <w:proofErr w:type="spellStart"/>
            <w:r w:rsidRPr="005D2933">
              <w:rPr>
                <w:rFonts w:ascii="Calibri" w:hAnsi="Calibri" w:cs="Calibri"/>
                <w:color w:val="000000"/>
              </w:rPr>
              <w:t>Neto</w:t>
            </w:r>
            <w:proofErr w:type="spellEnd"/>
          </w:p>
        </w:tc>
        <w:tc>
          <w:tcPr>
            <w:tcW w:w="3826" w:type="dxa"/>
          </w:tcPr>
          <w:p w14:paraId="4315C4DB" w14:textId="77777777" w:rsidR="00F05C71" w:rsidDel="00894A9E" w:rsidRDefault="00F05C71" w:rsidP="00F05C71">
            <w:pPr>
              <w:rPr>
                <w:rFonts w:ascii="Calibri" w:hAnsi="Calibri" w:cs="Calibri"/>
                <w:color w:val="000000"/>
              </w:rPr>
            </w:pPr>
            <w:r>
              <w:rPr>
                <w:rFonts w:ascii="Calibri" w:hAnsi="Calibri" w:cs="Calibri"/>
                <w:color w:val="000000"/>
              </w:rPr>
              <w:t>$</w:t>
            </w:r>
          </w:p>
          <w:p w14:paraId="352DCE17" w14:textId="77777777" w:rsidR="00F05C71" w:rsidRDefault="00F05C71" w:rsidP="00F05C71">
            <w:pPr>
              <w:rPr>
                <w:rFonts w:ascii="Calibri" w:hAnsi="Calibri" w:cs="Calibri"/>
                <w:color w:val="000000"/>
              </w:rPr>
            </w:pPr>
            <w:r>
              <w:rPr>
                <w:rFonts w:ascii="Calibri" w:hAnsi="Calibri" w:cs="Calibri"/>
                <w:color w:val="000000"/>
              </w:rPr>
              <w:t>377,111,287</w:t>
            </w:r>
          </w:p>
          <w:p w14:paraId="30807696" w14:textId="7F0FD022" w:rsidR="00F05C71" w:rsidRPr="000E6F1C" w:rsidRDefault="00F05C71" w:rsidP="00F05C71">
            <w:pPr>
              <w:jc w:val="both"/>
            </w:pPr>
            <w:r>
              <w:rPr>
                <w:rFonts w:ascii="Calibri" w:hAnsi="Calibri" w:cs="Calibri"/>
                <w:color w:val="000000"/>
              </w:rPr>
              <w:t>p</w:t>
            </w:r>
            <w:r w:rsidRPr="005D2933">
              <w:rPr>
                <w:rFonts w:ascii="Calibri" w:hAnsi="Calibri" w:cs="Calibri"/>
                <w:color w:val="000000"/>
              </w:rPr>
              <w:t>esos</w:t>
            </w:r>
          </w:p>
        </w:tc>
      </w:tr>
      <w:tr w:rsidR="00F05C71" w:rsidRPr="00965EC6" w14:paraId="5374C549" w14:textId="77777777" w:rsidTr="00A93D10">
        <w:tc>
          <w:tcPr>
            <w:tcW w:w="5524" w:type="dxa"/>
          </w:tcPr>
          <w:p w14:paraId="290EB353" w14:textId="77777777" w:rsidR="00F05C71" w:rsidRPr="000E6F1C" w:rsidRDefault="00F05C71" w:rsidP="00F05C71">
            <w:pPr>
              <w:jc w:val="both"/>
              <w:rPr>
                <w:lang w:val="es-MX"/>
              </w:rPr>
            </w:pPr>
            <w:proofErr w:type="spellStart"/>
            <w:r w:rsidRPr="005D2933">
              <w:rPr>
                <w:rFonts w:ascii="Calibri" w:hAnsi="Calibri" w:cs="Calibri"/>
                <w:color w:val="000000"/>
              </w:rPr>
              <w:t>Período</w:t>
            </w:r>
            <w:proofErr w:type="spellEnd"/>
            <w:r w:rsidRPr="005D2933">
              <w:rPr>
                <w:rFonts w:ascii="Calibri" w:hAnsi="Calibri" w:cs="Calibri"/>
                <w:color w:val="000000"/>
              </w:rPr>
              <w:t xml:space="preserve"> Simple de </w:t>
            </w:r>
            <w:proofErr w:type="spellStart"/>
            <w:r w:rsidRPr="005D2933">
              <w:rPr>
                <w:rFonts w:ascii="Calibri" w:hAnsi="Calibri" w:cs="Calibri"/>
                <w:color w:val="000000"/>
              </w:rPr>
              <w:t>Retorno</w:t>
            </w:r>
            <w:proofErr w:type="spellEnd"/>
          </w:p>
        </w:tc>
        <w:tc>
          <w:tcPr>
            <w:tcW w:w="3826" w:type="dxa"/>
          </w:tcPr>
          <w:p w14:paraId="3402333F" w14:textId="3D090652" w:rsidR="00F05C71" w:rsidRPr="000E6F1C" w:rsidRDefault="00F05C71" w:rsidP="00F05C71">
            <w:pPr>
              <w:jc w:val="both"/>
              <w:rPr>
                <w:lang w:val="es-MX"/>
              </w:rPr>
            </w:pPr>
            <w:r>
              <w:rPr>
                <w:rFonts w:ascii="Calibri" w:hAnsi="Calibri" w:cs="Calibri"/>
                <w:color w:val="000000"/>
                <w:lang w:val="es-MX"/>
              </w:rPr>
              <w:t>5.06</w:t>
            </w:r>
            <w:r w:rsidRPr="0026776C">
              <w:rPr>
                <w:rFonts w:ascii="Calibri" w:hAnsi="Calibri" w:cs="Calibri"/>
                <w:color w:val="000000"/>
                <w:lang w:val="es-MX"/>
              </w:rPr>
              <w:t xml:space="preserve"> años</w:t>
            </w:r>
          </w:p>
        </w:tc>
      </w:tr>
      <w:tr w:rsidR="00F05C71" w:rsidRPr="00965EC6" w14:paraId="2C20A293" w14:textId="77777777" w:rsidTr="00A93D10">
        <w:tc>
          <w:tcPr>
            <w:tcW w:w="5524" w:type="dxa"/>
          </w:tcPr>
          <w:p w14:paraId="41C173B6" w14:textId="77777777" w:rsidR="00F05C71" w:rsidRPr="000E6F1C" w:rsidRDefault="00F05C71" w:rsidP="00F05C71">
            <w:pPr>
              <w:jc w:val="both"/>
              <w:rPr>
                <w:lang w:val="es-MX"/>
              </w:rPr>
            </w:pPr>
            <w:r w:rsidRPr="00426D7C">
              <w:rPr>
                <w:rFonts w:ascii="Calibri" w:hAnsi="Calibri" w:cs="Calibri"/>
                <w:color w:val="000000"/>
                <w:lang w:val="es-MX"/>
              </w:rPr>
              <w:t>Tasa interna de retorno económico</w:t>
            </w:r>
          </w:p>
        </w:tc>
        <w:tc>
          <w:tcPr>
            <w:tcW w:w="3826" w:type="dxa"/>
          </w:tcPr>
          <w:p w14:paraId="3580E010" w14:textId="3D5E4646" w:rsidR="00F05C71" w:rsidRPr="000E6F1C" w:rsidRDefault="00F05C71" w:rsidP="00F05C71">
            <w:pPr>
              <w:jc w:val="both"/>
              <w:rPr>
                <w:lang w:val="es-MX"/>
              </w:rPr>
            </w:pPr>
            <w:r>
              <w:rPr>
                <w:rFonts w:ascii="Calibri" w:hAnsi="Calibri" w:cs="Calibri"/>
                <w:color w:val="000000"/>
                <w:lang w:val="es-MX"/>
              </w:rPr>
              <w:t>24.76</w:t>
            </w:r>
            <w:r w:rsidRPr="005D2933">
              <w:rPr>
                <w:rFonts w:ascii="Calibri" w:hAnsi="Calibri" w:cs="Calibri"/>
                <w:color w:val="000000"/>
                <w:lang w:val="es-MX"/>
              </w:rPr>
              <w:t>% anual</w:t>
            </w:r>
          </w:p>
        </w:tc>
      </w:tr>
      <w:tr w:rsidR="00F05C71" w:rsidRPr="00965EC6" w14:paraId="1AD009C6" w14:textId="77777777" w:rsidTr="00A93D10">
        <w:tc>
          <w:tcPr>
            <w:tcW w:w="5524" w:type="dxa"/>
          </w:tcPr>
          <w:p w14:paraId="7B09B64B" w14:textId="77777777" w:rsidR="00F05C71" w:rsidRPr="000E6F1C" w:rsidRDefault="00F05C71" w:rsidP="00F05C71">
            <w:pPr>
              <w:jc w:val="both"/>
              <w:rPr>
                <w:lang w:val="es-MX"/>
              </w:rPr>
            </w:pPr>
            <w:r w:rsidRPr="005D2933">
              <w:rPr>
                <w:rFonts w:ascii="Calibri" w:hAnsi="Calibri" w:cs="Calibri"/>
                <w:color w:val="000000"/>
                <w:lang w:val="es-MX"/>
              </w:rPr>
              <w:t>TIR – tasa de descuento</w:t>
            </w:r>
          </w:p>
        </w:tc>
        <w:tc>
          <w:tcPr>
            <w:tcW w:w="3826" w:type="dxa"/>
          </w:tcPr>
          <w:p w14:paraId="3EA353BB" w14:textId="6B966097" w:rsidR="00F05C71" w:rsidRPr="000E6F1C" w:rsidRDefault="00F05C71" w:rsidP="00F05C71">
            <w:pPr>
              <w:jc w:val="both"/>
              <w:rPr>
                <w:lang w:val="es-MX"/>
              </w:rPr>
            </w:pPr>
            <w:r>
              <w:rPr>
                <w:rFonts w:ascii="Calibri" w:hAnsi="Calibri" w:cs="Calibri"/>
                <w:color w:val="000000"/>
                <w:lang w:val="es-MX"/>
              </w:rPr>
              <w:t>14.76</w:t>
            </w:r>
            <w:r w:rsidRPr="005D2933">
              <w:rPr>
                <w:rFonts w:ascii="Calibri" w:hAnsi="Calibri" w:cs="Calibri"/>
                <w:color w:val="000000"/>
                <w:lang w:val="es-MX"/>
              </w:rPr>
              <w:t>%</w:t>
            </w:r>
          </w:p>
        </w:tc>
      </w:tr>
    </w:tbl>
    <w:p w14:paraId="30458B03" w14:textId="7CC8DD30" w:rsidR="00DA621B" w:rsidRPr="00A93D10" w:rsidRDefault="006930C9" w:rsidP="00A93D10">
      <w:pPr>
        <w:jc w:val="right"/>
        <w:rPr>
          <w:sz w:val="18"/>
          <w:szCs w:val="18"/>
          <w:lang w:val="es-ES_tradnl"/>
        </w:rPr>
      </w:pPr>
      <w:r w:rsidRPr="00E1518A">
        <w:rPr>
          <w:i/>
          <w:sz w:val="18"/>
          <w:szCs w:val="18"/>
          <w:lang w:val="es-MX"/>
        </w:rPr>
        <w:t>Fuente: Elaboración propia</w:t>
      </w:r>
    </w:p>
    <w:p w14:paraId="4F84FBDD" w14:textId="6F44CD09" w:rsidR="00DA621B" w:rsidRPr="00A93D10" w:rsidRDefault="00DA621B" w:rsidP="0052355A">
      <w:pPr>
        <w:pStyle w:val="Heading1"/>
        <w:jc w:val="both"/>
        <w:rPr>
          <w:rFonts w:asciiTheme="minorHAnsi" w:hAnsiTheme="minorHAnsi"/>
          <w:b/>
          <w:sz w:val="24"/>
          <w:szCs w:val="24"/>
          <w:lang w:val="es-ES_tradnl"/>
        </w:rPr>
      </w:pPr>
      <w:r w:rsidRPr="00A93D10">
        <w:rPr>
          <w:rFonts w:asciiTheme="minorHAnsi" w:hAnsiTheme="minorHAnsi"/>
          <w:b/>
          <w:sz w:val="24"/>
          <w:szCs w:val="24"/>
          <w:lang w:val="es-ES_tradnl"/>
        </w:rPr>
        <w:t>Análisis de sensibilidad</w:t>
      </w:r>
    </w:p>
    <w:p w14:paraId="7C2546E6" w14:textId="77777777" w:rsidR="00F3346B" w:rsidRDefault="004006A4" w:rsidP="0052355A">
      <w:pPr>
        <w:jc w:val="both"/>
        <w:rPr>
          <w:lang w:val="es-MX"/>
        </w:rPr>
      </w:pPr>
      <w:r w:rsidRPr="000E6F1C">
        <w:rPr>
          <w:lang w:val="es-MX"/>
        </w:rPr>
        <w:t xml:space="preserve">La siguiente tabla resume los resultados del ejercicio de sensibilización de </w:t>
      </w:r>
      <w:r w:rsidR="006E520E">
        <w:rPr>
          <w:lang w:val="es-MX"/>
        </w:rPr>
        <w:t>cinco</w:t>
      </w:r>
      <w:r w:rsidRPr="000E6F1C">
        <w:rPr>
          <w:lang w:val="es-MX"/>
        </w:rPr>
        <w:t xml:space="preserve"> variables críticas: período simple de recuperación de las medidas de eficiencia</w:t>
      </w:r>
      <w:r w:rsidR="00DC21B2" w:rsidRPr="000E6F1C">
        <w:rPr>
          <w:lang w:val="es-MX"/>
        </w:rPr>
        <w:t xml:space="preserve"> energética, costos operativos,</w:t>
      </w:r>
      <w:r w:rsidRPr="000E6F1C">
        <w:rPr>
          <w:lang w:val="es-MX"/>
        </w:rPr>
        <w:t xml:space="preserve"> ritmo de implementación de las medidas</w:t>
      </w:r>
      <w:r w:rsidR="006E520E">
        <w:rPr>
          <w:lang w:val="es-MX"/>
        </w:rPr>
        <w:t>,</w:t>
      </w:r>
      <w:r w:rsidR="00DC21B2" w:rsidRPr="000E6F1C">
        <w:rPr>
          <w:lang w:val="es-MX"/>
        </w:rPr>
        <w:t xml:space="preserve"> valoración de cada tonelada de emisiones de gases de efecto invernadero en los mercados de carbono</w:t>
      </w:r>
      <w:r w:rsidR="006E520E">
        <w:rPr>
          <w:lang w:val="es-MX"/>
        </w:rPr>
        <w:t>, y vida útil de las medidas de eficiencia energética en aire acondiciona</w:t>
      </w:r>
      <w:r w:rsidR="00F3346B">
        <w:rPr>
          <w:lang w:val="es-MX"/>
        </w:rPr>
        <w:t xml:space="preserve">do. </w:t>
      </w:r>
    </w:p>
    <w:p w14:paraId="3BEAB8EB" w14:textId="77777777" w:rsidR="00F3346B" w:rsidRDefault="00F3346B" w:rsidP="0052355A">
      <w:pPr>
        <w:jc w:val="both"/>
        <w:rPr>
          <w:lang w:val="es-MX"/>
        </w:rPr>
      </w:pPr>
    </w:p>
    <w:p w14:paraId="3A283A51" w14:textId="33473C39" w:rsidR="00F3346B" w:rsidRPr="008155AC" w:rsidRDefault="00F3346B" w:rsidP="00F3346B">
      <w:pPr>
        <w:jc w:val="both"/>
        <w:rPr>
          <w:i/>
          <w:lang w:val="es-ES_tradnl"/>
        </w:rPr>
      </w:pPr>
      <w:r>
        <w:rPr>
          <w:i/>
          <w:lang w:val="es-MX"/>
        </w:rPr>
        <w:t>Tabla 7</w:t>
      </w:r>
      <w:r w:rsidRPr="00E1518A">
        <w:rPr>
          <w:i/>
          <w:lang w:val="es-MX"/>
        </w:rPr>
        <w:t xml:space="preserve">: </w:t>
      </w:r>
      <w:r>
        <w:rPr>
          <w:i/>
          <w:lang w:val="es-MX"/>
        </w:rPr>
        <w:t>Indicadores resultantes del análisis costo/beneficio para variaciones en el PSR de las inversiones.</w:t>
      </w:r>
    </w:p>
    <w:tbl>
      <w:tblPr>
        <w:tblStyle w:val="TableGrid"/>
        <w:tblW w:w="0" w:type="auto"/>
        <w:jc w:val="center"/>
        <w:tblLayout w:type="fixed"/>
        <w:tblLook w:val="04A0" w:firstRow="1" w:lastRow="0" w:firstColumn="1" w:lastColumn="0" w:noHBand="0" w:noVBand="1"/>
      </w:tblPr>
      <w:tblGrid>
        <w:gridCol w:w="2085"/>
        <w:gridCol w:w="10"/>
        <w:gridCol w:w="1230"/>
        <w:gridCol w:w="10"/>
        <w:gridCol w:w="1340"/>
        <w:gridCol w:w="10"/>
        <w:gridCol w:w="1520"/>
        <w:gridCol w:w="10"/>
      </w:tblGrid>
      <w:tr w:rsidR="00F3346B" w:rsidRPr="00965EC6" w14:paraId="7D0DE03A" w14:textId="77777777" w:rsidTr="00894A9E">
        <w:trPr>
          <w:jc w:val="center"/>
        </w:trPr>
        <w:tc>
          <w:tcPr>
            <w:tcW w:w="2095" w:type="dxa"/>
            <w:gridSpan w:val="2"/>
          </w:tcPr>
          <w:p w14:paraId="34520E71" w14:textId="77777777" w:rsidR="00F3346B" w:rsidRPr="007A3A49" w:rsidRDefault="00F3346B" w:rsidP="00894A9E">
            <w:pPr>
              <w:jc w:val="both"/>
              <w:rPr>
                <w:sz w:val="20"/>
                <w:szCs w:val="20"/>
                <w:lang w:val="es-MX"/>
              </w:rPr>
            </w:pPr>
          </w:p>
        </w:tc>
        <w:tc>
          <w:tcPr>
            <w:tcW w:w="1240" w:type="dxa"/>
            <w:gridSpan w:val="2"/>
          </w:tcPr>
          <w:p w14:paraId="4B00D6CC" w14:textId="77777777" w:rsidR="00F3346B" w:rsidRPr="007A3A49" w:rsidRDefault="00F3346B" w:rsidP="00894A9E">
            <w:pPr>
              <w:jc w:val="both"/>
              <w:rPr>
                <w:sz w:val="20"/>
                <w:szCs w:val="20"/>
                <w:lang w:val="es-MX"/>
              </w:rPr>
            </w:pPr>
            <w:r w:rsidRPr="007A3A49">
              <w:rPr>
                <w:sz w:val="20"/>
                <w:szCs w:val="20"/>
                <w:lang w:val="es-MX"/>
              </w:rPr>
              <w:t>Caso base</w:t>
            </w:r>
          </w:p>
        </w:tc>
        <w:tc>
          <w:tcPr>
            <w:tcW w:w="1350" w:type="dxa"/>
            <w:gridSpan w:val="2"/>
          </w:tcPr>
          <w:p w14:paraId="7A3D3077" w14:textId="77777777" w:rsidR="00F3346B" w:rsidRPr="007A3A49" w:rsidRDefault="00F3346B" w:rsidP="00894A9E">
            <w:pPr>
              <w:jc w:val="both"/>
              <w:rPr>
                <w:sz w:val="20"/>
                <w:szCs w:val="20"/>
                <w:lang w:val="es-MX"/>
              </w:rPr>
            </w:pPr>
            <w:r w:rsidRPr="007A3A49">
              <w:rPr>
                <w:sz w:val="20"/>
                <w:szCs w:val="20"/>
                <w:lang w:val="es-MX"/>
              </w:rPr>
              <w:t xml:space="preserve">PSR </w:t>
            </w:r>
            <w:r>
              <w:rPr>
                <w:sz w:val="20"/>
                <w:szCs w:val="20"/>
                <w:lang w:val="es-MX"/>
              </w:rPr>
              <w:t>pesimista</w:t>
            </w:r>
          </w:p>
        </w:tc>
        <w:tc>
          <w:tcPr>
            <w:tcW w:w="1530" w:type="dxa"/>
            <w:gridSpan w:val="2"/>
          </w:tcPr>
          <w:p w14:paraId="187935B3" w14:textId="77777777" w:rsidR="00F3346B" w:rsidRPr="007A3A49" w:rsidRDefault="00F3346B" w:rsidP="00894A9E">
            <w:pPr>
              <w:jc w:val="both"/>
              <w:rPr>
                <w:sz w:val="20"/>
                <w:szCs w:val="20"/>
                <w:lang w:val="es-MX"/>
              </w:rPr>
            </w:pPr>
            <w:r w:rsidRPr="007A3A49">
              <w:rPr>
                <w:sz w:val="20"/>
                <w:szCs w:val="20"/>
                <w:lang w:val="es-MX"/>
              </w:rPr>
              <w:t>PSR optimista</w:t>
            </w:r>
          </w:p>
        </w:tc>
      </w:tr>
      <w:tr w:rsidR="00F3346B" w:rsidRPr="00965EC6" w14:paraId="7020A28E" w14:textId="77777777" w:rsidTr="00894A9E">
        <w:trPr>
          <w:jc w:val="center"/>
        </w:trPr>
        <w:tc>
          <w:tcPr>
            <w:tcW w:w="2095" w:type="dxa"/>
            <w:gridSpan w:val="2"/>
          </w:tcPr>
          <w:p w14:paraId="186006DC" w14:textId="77777777" w:rsidR="00F3346B" w:rsidRPr="007A3A49" w:rsidRDefault="00F3346B" w:rsidP="00894A9E">
            <w:pPr>
              <w:jc w:val="both"/>
              <w:rPr>
                <w:sz w:val="20"/>
                <w:szCs w:val="20"/>
              </w:rPr>
            </w:pPr>
            <w:r w:rsidRPr="007A3A49">
              <w:rPr>
                <w:sz w:val="20"/>
                <w:szCs w:val="20"/>
                <w:lang w:val="es-MX"/>
              </w:rPr>
              <w:t xml:space="preserve">PSR de MEE </w:t>
            </w:r>
            <w:r w:rsidRPr="007A3A49">
              <w:rPr>
                <w:sz w:val="20"/>
                <w:szCs w:val="20"/>
              </w:rPr>
              <w:t>(</w:t>
            </w:r>
            <w:proofErr w:type="spellStart"/>
            <w:r w:rsidRPr="007A3A49">
              <w:rPr>
                <w:sz w:val="20"/>
                <w:szCs w:val="20"/>
              </w:rPr>
              <w:t>Iluminación</w:t>
            </w:r>
            <w:proofErr w:type="spellEnd"/>
            <w:r w:rsidRPr="007A3A49">
              <w:rPr>
                <w:sz w:val="20"/>
                <w:szCs w:val="20"/>
              </w:rPr>
              <w:t>)</w:t>
            </w:r>
          </w:p>
        </w:tc>
        <w:tc>
          <w:tcPr>
            <w:tcW w:w="1240" w:type="dxa"/>
            <w:gridSpan w:val="2"/>
          </w:tcPr>
          <w:p w14:paraId="36F3EE14" w14:textId="77777777" w:rsidR="00F3346B" w:rsidRPr="007A3A49" w:rsidRDefault="00F3346B" w:rsidP="00894A9E">
            <w:pPr>
              <w:jc w:val="both"/>
              <w:rPr>
                <w:sz w:val="20"/>
                <w:szCs w:val="20"/>
                <w:lang w:val="es-MX"/>
              </w:rPr>
            </w:pPr>
            <w:r w:rsidRPr="007A3A49">
              <w:rPr>
                <w:sz w:val="20"/>
                <w:szCs w:val="20"/>
                <w:lang w:val="es-MX"/>
              </w:rPr>
              <w:t>3.80</w:t>
            </w:r>
          </w:p>
        </w:tc>
        <w:tc>
          <w:tcPr>
            <w:tcW w:w="1350" w:type="dxa"/>
            <w:gridSpan w:val="2"/>
          </w:tcPr>
          <w:p w14:paraId="47014C08" w14:textId="77777777" w:rsidR="00F3346B" w:rsidRPr="007A3A49" w:rsidRDefault="00F3346B" w:rsidP="00894A9E">
            <w:pPr>
              <w:jc w:val="both"/>
              <w:rPr>
                <w:sz w:val="20"/>
                <w:szCs w:val="20"/>
                <w:lang w:val="es-MX"/>
              </w:rPr>
            </w:pPr>
            <w:r w:rsidRPr="007A3A49">
              <w:rPr>
                <w:sz w:val="20"/>
                <w:szCs w:val="20"/>
                <w:lang w:val="es-MX"/>
              </w:rPr>
              <w:t>4.80</w:t>
            </w:r>
          </w:p>
        </w:tc>
        <w:tc>
          <w:tcPr>
            <w:tcW w:w="1530" w:type="dxa"/>
            <w:gridSpan w:val="2"/>
          </w:tcPr>
          <w:p w14:paraId="17CEB5C9" w14:textId="77777777" w:rsidR="00F3346B" w:rsidRPr="007A3A49" w:rsidRDefault="00F3346B" w:rsidP="00894A9E">
            <w:pPr>
              <w:jc w:val="both"/>
              <w:rPr>
                <w:sz w:val="20"/>
                <w:szCs w:val="20"/>
                <w:lang w:val="es-MX"/>
              </w:rPr>
            </w:pPr>
            <w:r w:rsidRPr="007A3A49">
              <w:rPr>
                <w:sz w:val="20"/>
                <w:szCs w:val="20"/>
              </w:rPr>
              <w:t>3.30</w:t>
            </w:r>
          </w:p>
        </w:tc>
      </w:tr>
      <w:tr w:rsidR="00F3346B" w:rsidRPr="00965EC6" w14:paraId="72BE9DF9" w14:textId="77777777" w:rsidTr="00894A9E">
        <w:trPr>
          <w:jc w:val="center"/>
        </w:trPr>
        <w:tc>
          <w:tcPr>
            <w:tcW w:w="2095" w:type="dxa"/>
            <w:gridSpan w:val="2"/>
          </w:tcPr>
          <w:p w14:paraId="2F0906D1" w14:textId="77777777" w:rsidR="00F3346B" w:rsidRPr="007A3A49" w:rsidRDefault="00F3346B" w:rsidP="00894A9E">
            <w:pPr>
              <w:jc w:val="both"/>
              <w:rPr>
                <w:sz w:val="20"/>
                <w:szCs w:val="20"/>
                <w:lang w:val="es-MX"/>
              </w:rPr>
            </w:pPr>
            <w:r w:rsidRPr="007A3A49">
              <w:rPr>
                <w:sz w:val="20"/>
                <w:szCs w:val="20"/>
                <w:lang w:val="es-MX"/>
              </w:rPr>
              <w:t xml:space="preserve">PSR de MEE </w:t>
            </w:r>
            <w:r w:rsidRPr="007A3A49">
              <w:rPr>
                <w:sz w:val="20"/>
                <w:szCs w:val="20"/>
              </w:rPr>
              <w:t>(AC)</w:t>
            </w:r>
          </w:p>
        </w:tc>
        <w:tc>
          <w:tcPr>
            <w:tcW w:w="1240" w:type="dxa"/>
            <w:gridSpan w:val="2"/>
          </w:tcPr>
          <w:p w14:paraId="085742B1" w14:textId="77777777" w:rsidR="00F3346B" w:rsidRPr="007A3A49" w:rsidRDefault="00F3346B" w:rsidP="00894A9E">
            <w:pPr>
              <w:jc w:val="both"/>
              <w:rPr>
                <w:sz w:val="20"/>
                <w:szCs w:val="20"/>
                <w:lang w:val="es-MX"/>
              </w:rPr>
            </w:pPr>
            <w:r w:rsidRPr="007A3A49">
              <w:rPr>
                <w:sz w:val="20"/>
                <w:szCs w:val="20"/>
                <w:lang w:val="es-MX"/>
              </w:rPr>
              <w:t>4.29</w:t>
            </w:r>
          </w:p>
        </w:tc>
        <w:tc>
          <w:tcPr>
            <w:tcW w:w="1350" w:type="dxa"/>
            <w:gridSpan w:val="2"/>
          </w:tcPr>
          <w:p w14:paraId="16A62DB6" w14:textId="77777777" w:rsidR="00F3346B" w:rsidRPr="007A3A49" w:rsidRDefault="00F3346B" w:rsidP="00894A9E">
            <w:pPr>
              <w:jc w:val="both"/>
              <w:rPr>
                <w:sz w:val="20"/>
                <w:szCs w:val="20"/>
                <w:lang w:val="es-MX"/>
              </w:rPr>
            </w:pPr>
            <w:r w:rsidRPr="007A3A49">
              <w:rPr>
                <w:sz w:val="20"/>
                <w:szCs w:val="20"/>
                <w:lang w:val="es-MX"/>
              </w:rPr>
              <w:t>5.29</w:t>
            </w:r>
          </w:p>
        </w:tc>
        <w:tc>
          <w:tcPr>
            <w:tcW w:w="1530" w:type="dxa"/>
            <w:gridSpan w:val="2"/>
          </w:tcPr>
          <w:p w14:paraId="00345572" w14:textId="77777777" w:rsidR="00F3346B" w:rsidRPr="007A3A49" w:rsidRDefault="00F3346B" w:rsidP="00894A9E">
            <w:pPr>
              <w:jc w:val="both"/>
              <w:rPr>
                <w:sz w:val="20"/>
                <w:szCs w:val="20"/>
                <w:lang w:val="es-MX"/>
              </w:rPr>
            </w:pPr>
            <w:r w:rsidRPr="007A3A49">
              <w:rPr>
                <w:sz w:val="20"/>
                <w:szCs w:val="20"/>
                <w:lang w:val="es-MX"/>
              </w:rPr>
              <w:t>3.79</w:t>
            </w:r>
          </w:p>
        </w:tc>
      </w:tr>
      <w:tr w:rsidR="00F3346B" w:rsidRPr="00965EC6" w14:paraId="7E9F9617" w14:textId="77777777" w:rsidTr="00894A9E">
        <w:trPr>
          <w:trHeight w:val="771"/>
          <w:jc w:val="center"/>
        </w:trPr>
        <w:tc>
          <w:tcPr>
            <w:tcW w:w="2095" w:type="dxa"/>
            <w:gridSpan w:val="2"/>
          </w:tcPr>
          <w:p w14:paraId="15BF5611" w14:textId="77777777" w:rsidR="00F3346B" w:rsidRPr="007A3A49" w:rsidRDefault="00F3346B" w:rsidP="00894A9E">
            <w:pPr>
              <w:jc w:val="both"/>
              <w:rPr>
                <w:sz w:val="20"/>
                <w:szCs w:val="20"/>
                <w:lang w:val="es-MX"/>
              </w:rPr>
            </w:pPr>
            <w:r w:rsidRPr="007A3A49">
              <w:rPr>
                <w:sz w:val="20"/>
                <w:szCs w:val="20"/>
                <w:lang w:val="es-MX"/>
              </w:rPr>
              <w:t>PSR de MEE (Cambio tarifa)</w:t>
            </w:r>
          </w:p>
        </w:tc>
        <w:tc>
          <w:tcPr>
            <w:tcW w:w="1240" w:type="dxa"/>
            <w:gridSpan w:val="2"/>
          </w:tcPr>
          <w:p w14:paraId="68558EBC" w14:textId="77777777" w:rsidR="00F3346B" w:rsidRPr="007A3A49" w:rsidRDefault="00F3346B" w:rsidP="00894A9E">
            <w:pPr>
              <w:jc w:val="both"/>
              <w:rPr>
                <w:sz w:val="20"/>
                <w:szCs w:val="20"/>
                <w:lang w:val="es-MX"/>
              </w:rPr>
            </w:pPr>
            <w:r w:rsidRPr="007A3A49">
              <w:rPr>
                <w:sz w:val="20"/>
                <w:szCs w:val="20"/>
                <w:lang w:val="es-MX"/>
              </w:rPr>
              <w:t>3.81</w:t>
            </w:r>
          </w:p>
        </w:tc>
        <w:tc>
          <w:tcPr>
            <w:tcW w:w="1350" w:type="dxa"/>
            <w:gridSpan w:val="2"/>
          </w:tcPr>
          <w:p w14:paraId="3551A3DB" w14:textId="77777777" w:rsidR="00F3346B" w:rsidRPr="007A3A49" w:rsidRDefault="00F3346B" w:rsidP="00894A9E">
            <w:pPr>
              <w:jc w:val="both"/>
              <w:rPr>
                <w:sz w:val="20"/>
                <w:szCs w:val="20"/>
                <w:lang w:val="es-MX"/>
              </w:rPr>
            </w:pPr>
            <w:r w:rsidRPr="007A3A49">
              <w:rPr>
                <w:sz w:val="20"/>
                <w:szCs w:val="20"/>
                <w:lang w:val="es-MX"/>
              </w:rPr>
              <w:t>4.81</w:t>
            </w:r>
          </w:p>
        </w:tc>
        <w:tc>
          <w:tcPr>
            <w:tcW w:w="1530" w:type="dxa"/>
            <w:gridSpan w:val="2"/>
          </w:tcPr>
          <w:p w14:paraId="1807CF12" w14:textId="77777777" w:rsidR="00F3346B" w:rsidRPr="007A3A49" w:rsidRDefault="00F3346B" w:rsidP="00894A9E">
            <w:pPr>
              <w:jc w:val="both"/>
              <w:rPr>
                <w:sz w:val="20"/>
                <w:szCs w:val="20"/>
                <w:lang w:val="es-MX"/>
              </w:rPr>
            </w:pPr>
            <w:r w:rsidRPr="007A3A49">
              <w:rPr>
                <w:sz w:val="20"/>
                <w:szCs w:val="20"/>
              </w:rPr>
              <w:t>3.31</w:t>
            </w:r>
          </w:p>
        </w:tc>
      </w:tr>
      <w:tr w:rsidR="00F3346B" w:rsidRPr="00965EC6" w14:paraId="4BEBAC8F" w14:textId="77777777" w:rsidTr="00894A9E">
        <w:trPr>
          <w:jc w:val="center"/>
        </w:trPr>
        <w:tc>
          <w:tcPr>
            <w:tcW w:w="2095" w:type="dxa"/>
            <w:gridSpan w:val="2"/>
          </w:tcPr>
          <w:p w14:paraId="4B4DE52B" w14:textId="77777777" w:rsidR="00F3346B" w:rsidRPr="007A3A49" w:rsidRDefault="00F3346B" w:rsidP="00894A9E">
            <w:pPr>
              <w:jc w:val="both"/>
              <w:rPr>
                <w:sz w:val="20"/>
                <w:szCs w:val="20"/>
                <w:lang w:val="es-MX"/>
              </w:rPr>
            </w:pPr>
            <w:r w:rsidRPr="007A3A49">
              <w:rPr>
                <w:sz w:val="20"/>
                <w:szCs w:val="20"/>
                <w:lang w:val="es-MX"/>
              </w:rPr>
              <w:t xml:space="preserve">Costo operativo </w:t>
            </w:r>
          </w:p>
        </w:tc>
        <w:tc>
          <w:tcPr>
            <w:tcW w:w="1240" w:type="dxa"/>
            <w:gridSpan w:val="2"/>
          </w:tcPr>
          <w:p w14:paraId="065D835B" w14:textId="030474D9" w:rsidR="00F3346B" w:rsidRPr="007A3A49" w:rsidRDefault="00F3346B" w:rsidP="00894A9E">
            <w:pPr>
              <w:jc w:val="both"/>
              <w:rPr>
                <w:sz w:val="20"/>
                <w:szCs w:val="20"/>
              </w:rPr>
            </w:pPr>
            <w:r w:rsidRPr="007A3A49">
              <w:rPr>
                <w:sz w:val="20"/>
                <w:szCs w:val="20"/>
                <w:lang w:val="es-MX"/>
              </w:rPr>
              <w:t xml:space="preserve">3 </w:t>
            </w:r>
            <w:r w:rsidR="00310D28">
              <w:rPr>
                <w:sz w:val="20"/>
                <w:szCs w:val="20"/>
                <w:lang w:val="es-MX"/>
              </w:rPr>
              <w:t>MDD</w:t>
            </w:r>
          </w:p>
        </w:tc>
        <w:tc>
          <w:tcPr>
            <w:tcW w:w="1350" w:type="dxa"/>
            <w:gridSpan w:val="2"/>
          </w:tcPr>
          <w:p w14:paraId="4C8500A4" w14:textId="5D036333" w:rsidR="00F3346B" w:rsidRPr="007A3A49" w:rsidRDefault="00F3346B" w:rsidP="00894A9E">
            <w:pPr>
              <w:jc w:val="both"/>
              <w:rPr>
                <w:sz w:val="20"/>
                <w:szCs w:val="20"/>
              </w:rPr>
            </w:pPr>
            <w:r w:rsidRPr="007A3A49">
              <w:rPr>
                <w:sz w:val="20"/>
                <w:szCs w:val="20"/>
                <w:lang w:val="es-MX"/>
              </w:rPr>
              <w:t xml:space="preserve">3 </w:t>
            </w:r>
            <w:r w:rsidR="00310D28">
              <w:rPr>
                <w:sz w:val="20"/>
                <w:szCs w:val="20"/>
                <w:lang w:val="es-MX"/>
              </w:rPr>
              <w:t>MDD</w:t>
            </w:r>
          </w:p>
        </w:tc>
        <w:tc>
          <w:tcPr>
            <w:tcW w:w="1530" w:type="dxa"/>
            <w:gridSpan w:val="2"/>
          </w:tcPr>
          <w:p w14:paraId="25767177" w14:textId="66018879" w:rsidR="00F3346B" w:rsidRPr="007A3A49" w:rsidRDefault="00F3346B" w:rsidP="00894A9E">
            <w:pPr>
              <w:jc w:val="both"/>
              <w:rPr>
                <w:sz w:val="20"/>
                <w:szCs w:val="20"/>
                <w:lang w:val="es-MX"/>
              </w:rPr>
            </w:pPr>
            <w:r w:rsidRPr="007A3A49">
              <w:rPr>
                <w:sz w:val="20"/>
                <w:szCs w:val="20"/>
                <w:lang w:val="es-MX"/>
              </w:rPr>
              <w:t xml:space="preserve">3 </w:t>
            </w:r>
            <w:r w:rsidR="00310D28">
              <w:rPr>
                <w:sz w:val="20"/>
                <w:szCs w:val="20"/>
                <w:lang w:val="es-MX"/>
              </w:rPr>
              <w:t>MDD</w:t>
            </w:r>
          </w:p>
        </w:tc>
      </w:tr>
      <w:tr w:rsidR="00F3346B" w:rsidRPr="00965EC6" w14:paraId="20450FE9" w14:textId="77777777" w:rsidTr="00894A9E">
        <w:trPr>
          <w:jc w:val="center"/>
        </w:trPr>
        <w:tc>
          <w:tcPr>
            <w:tcW w:w="2095" w:type="dxa"/>
            <w:gridSpan w:val="2"/>
          </w:tcPr>
          <w:p w14:paraId="2B47CAFC" w14:textId="77777777" w:rsidR="00F3346B" w:rsidRPr="007A3A49" w:rsidRDefault="00F3346B" w:rsidP="00894A9E">
            <w:pPr>
              <w:jc w:val="both"/>
              <w:rPr>
                <w:sz w:val="20"/>
                <w:szCs w:val="20"/>
                <w:lang w:val="es-MX"/>
              </w:rPr>
            </w:pPr>
            <w:r w:rsidRPr="007A3A49">
              <w:rPr>
                <w:sz w:val="20"/>
                <w:szCs w:val="20"/>
                <w:lang w:val="es-MX"/>
              </w:rPr>
              <w:t>Desfase entre inversión y generación de ahorros</w:t>
            </w:r>
          </w:p>
        </w:tc>
        <w:tc>
          <w:tcPr>
            <w:tcW w:w="1240" w:type="dxa"/>
            <w:gridSpan w:val="2"/>
          </w:tcPr>
          <w:p w14:paraId="7C42E1A3" w14:textId="77777777" w:rsidR="00F3346B" w:rsidRPr="007A3A49" w:rsidRDefault="00F3346B" w:rsidP="00894A9E">
            <w:pPr>
              <w:jc w:val="both"/>
              <w:rPr>
                <w:sz w:val="20"/>
                <w:szCs w:val="20"/>
              </w:rPr>
            </w:pPr>
            <w:r w:rsidRPr="007A3A49">
              <w:rPr>
                <w:sz w:val="20"/>
                <w:szCs w:val="20"/>
                <w:lang w:val="es-MX"/>
              </w:rPr>
              <w:t>1 trimestre</w:t>
            </w:r>
          </w:p>
        </w:tc>
        <w:tc>
          <w:tcPr>
            <w:tcW w:w="1350" w:type="dxa"/>
            <w:gridSpan w:val="2"/>
          </w:tcPr>
          <w:p w14:paraId="2CD71DFB" w14:textId="77777777" w:rsidR="00F3346B" w:rsidRPr="007A3A49" w:rsidRDefault="00F3346B" w:rsidP="00894A9E">
            <w:pPr>
              <w:jc w:val="both"/>
              <w:rPr>
                <w:sz w:val="20"/>
                <w:szCs w:val="20"/>
              </w:rPr>
            </w:pPr>
            <w:r w:rsidRPr="007A3A49">
              <w:rPr>
                <w:sz w:val="20"/>
                <w:szCs w:val="20"/>
                <w:lang w:val="es-MX"/>
              </w:rPr>
              <w:t>1 trimestre</w:t>
            </w:r>
          </w:p>
        </w:tc>
        <w:tc>
          <w:tcPr>
            <w:tcW w:w="1530" w:type="dxa"/>
            <w:gridSpan w:val="2"/>
          </w:tcPr>
          <w:p w14:paraId="53A5F216" w14:textId="77777777" w:rsidR="00F3346B" w:rsidRPr="007A3A49" w:rsidRDefault="00F3346B" w:rsidP="00894A9E">
            <w:pPr>
              <w:jc w:val="both"/>
              <w:rPr>
                <w:sz w:val="20"/>
                <w:szCs w:val="20"/>
                <w:lang w:val="es-MX"/>
              </w:rPr>
            </w:pPr>
            <w:r w:rsidRPr="007A3A49">
              <w:rPr>
                <w:sz w:val="20"/>
                <w:szCs w:val="20"/>
                <w:lang w:val="es-MX"/>
              </w:rPr>
              <w:t>1 trimestre</w:t>
            </w:r>
          </w:p>
        </w:tc>
      </w:tr>
      <w:tr w:rsidR="00F3346B" w:rsidRPr="00965EC6" w14:paraId="15184C1B" w14:textId="77777777" w:rsidTr="00894A9E">
        <w:trPr>
          <w:jc w:val="center"/>
        </w:trPr>
        <w:tc>
          <w:tcPr>
            <w:tcW w:w="2095" w:type="dxa"/>
            <w:gridSpan w:val="2"/>
          </w:tcPr>
          <w:p w14:paraId="14800FED" w14:textId="77777777" w:rsidR="00F3346B" w:rsidRPr="007A3A49" w:rsidRDefault="00F3346B" w:rsidP="00894A9E">
            <w:pPr>
              <w:jc w:val="both"/>
              <w:rPr>
                <w:sz w:val="20"/>
                <w:szCs w:val="20"/>
                <w:lang w:val="es-MX"/>
              </w:rPr>
            </w:pPr>
            <w:r w:rsidRPr="007A3A49">
              <w:rPr>
                <w:sz w:val="20"/>
                <w:szCs w:val="20"/>
                <w:lang w:val="es-MX"/>
              </w:rPr>
              <w:t>Precio de tonelada CO2</w:t>
            </w:r>
          </w:p>
        </w:tc>
        <w:tc>
          <w:tcPr>
            <w:tcW w:w="1240" w:type="dxa"/>
            <w:gridSpan w:val="2"/>
          </w:tcPr>
          <w:p w14:paraId="0FEFA602" w14:textId="77777777" w:rsidR="00F3346B" w:rsidRPr="007A3A49" w:rsidRDefault="00F3346B" w:rsidP="00894A9E">
            <w:pPr>
              <w:jc w:val="both"/>
              <w:rPr>
                <w:sz w:val="20"/>
                <w:szCs w:val="20"/>
              </w:rPr>
            </w:pPr>
            <w:r w:rsidRPr="007A3A49">
              <w:rPr>
                <w:sz w:val="20"/>
                <w:szCs w:val="20"/>
              </w:rPr>
              <w:t>$8.45 USD</w:t>
            </w:r>
          </w:p>
        </w:tc>
        <w:tc>
          <w:tcPr>
            <w:tcW w:w="1350" w:type="dxa"/>
            <w:gridSpan w:val="2"/>
          </w:tcPr>
          <w:p w14:paraId="77C042F6" w14:textId="77777777" w:rsidR="00F3346B" w:rsidRPr="007A3A49" w:rsidRDefault="00F3346B" w:rsidP="00894A9E">
            <w:pPr>
              <w:jc w:val="both"/>
              <w:rPr>
                <w:color w:val="FF0000"/>
                <w:sz w:val="20"/>
                <w:szCs w:val="20"/>
              </w:rPr>
            </w:pPr>
            <w:r w:rsidRPr="007A3A49">
              <w:rPr>
                <w:sz w:val="20"/>
                <w:szCs w:val="20"/>
              </w:rPr>
              <w:t>$8.45 USD</w:t>
            </w:r>
          </w:p>
        </w:tc>
        <w:tc>
          <w:tcPr>
            <w:tcW w:w="1530" w:type="dxa"/>
            <w:gridSpan w:val="2"/>
          </w:tcPr>
          <w:p w14:paraId="25D5C5F7" w14:textId="77777777" w:rsidR="00F3346B" w:rsidRPr="007A3A49" w:rsidRDefault="00F3346B" w:rsidP="00894A9E">
            <w:pPr>
              <w:jc w:val="both"/>
              <w:rPr>
                <w:sz w:val="20"/>
                <w:szCs w:val="20"/>
              </w:rPr>
            </w:pPr>
            <w:r w:rsidRPr="007A3A49">
              <w:rPr>
                <w:sz w:val="20"/>
                <w:szCs w:val="20"/>
              </w:rPr>
              <w:t>$8.45 USD</w:t>
            </w:r>
          </w:p>
        </w:tc>
      </w:tr>
      <w:tr w:rsidR="00F3346B" w:rsidRPr="00965EC6" w14:paraId="77A95134" w14:textId="77777777" w:rsidTr="00894A9E">
        <w:trPr>
          <w:jc w:val="center"/>
        </w:trPr>
        <w:tc>
          <w:tcPr>
            <w:tcW w:w="2095" w:type="dxa"/>
            <w:gridSpan w:val="2"/>
          </w:tcPr>
          <w:p w14:paraId="602C6433" w14:textId="77777777" w:rsidR="00F3346B" w:rsidRPr="007A3A49" w:rsidRDefault="00F3346B" w:rsidP="00894A9E">
            <w:pPr>
              <w:jc w:val="both"/>
              <w:rPr>
                <w:sz w:val="20"/>
                <w:szCs w:val="20"/>
                <w:lang w:val="es-MX"/>
              </w:rPr>
            </w:pPr>
            <w:r w:rsidRPr="007A3A49">
              <w:rPr>
                <w:sz w:val="20"/>
                <w:szCs w:val="20"/>
                <w:lang w:val="es-MX"/>
              </w:rPr>
              <w:t xml:space="preserve">Reducción anual en costo de </w:t>
            </w:r>
            <w:proofErr w:type="spellStart"/>
            <w:r w:rsidRPr="007A3A49">
              <w:rPr>
                <w:sz w:val="20"/>
                <w:szCs w:val="20"/>
                <w:lang w:val="es-MX"/>
              </w:rPr>
              <w:t>MEEs</w:t>
            </w:r>
            <w:proofErr w:type="spellEnd"/>
          </w:p>
        </w:tc>
        <w:tc>
          <w:tcPr>
            <w:tcW w:w="1240" w:type="dxa"/>
            <w:gridSpan w:val="2"/>
          </w:tcPr>
          <w:p w14:paraId="220CE1CE" w14:textId="77777777" w:rsidR="00F3346B" w:rsidRPr="007A3A49" w:rsidRDefault="00F3346B" w:rsidP="00894A9E">
            <w:pPr>
              <w:jc w:val="both"/>
              <w:rPr>
                <w:sz w:val="20"/>
                <w:szCs w:val="20"/>
                <w:lang w:val="es-MX"/>
              </w:rPr>
            </w:pPr>
            <w:r w:rsidRPr="007A3A49">
              <w:rPr>
                <w:sz w:val="20"/>
                <w:szCs w:val="20"/>
                <w:lang w:val="es-MX"/>
              </w:rPr>
              <w:t>0%</w:t>
            </w:r>
          </w:p>
        </w:tc>
        <w:tc>
          <w:tcPr>
            <w:tcW w:w="1350" w:type="dxa"/>
            <w:gridSpan w:val="2"/>
          </w:tcPr>
          <w:p w14:paraId="633F572D" w14:textId="77777777" w:rsidR="00F3346B" w:rsidRPr="007A3A49" w:rsidRDefault="00F3346B" w:rsidP="00894A9E">
            <w:pPr>
              <w:jc w:val="both"/>
              <w:rPr>
                <w:b/>
                <w:sz w:val="20"/>
                <w:szCs w:val="20"/>
                <w:lang w:val="es-MX"/>
              </w:rPr>
            </w:pPr>
            <w:r w:rsidRPr="007A3A49">
              <w:rPr>
                <w:sz w:val="20"/>
                <w:szCs w:val="20"/>
                <w:lang w:val="es-MX"/>
              </w:rPr>
              <w:t>0%</w:t>
            </w:r>
          </w:p>
        </w:tc>
        <w:tc>
          <w:tcPr>
            <w:tcW w:w="1530" w:type="dxa"/>
            <w:gridSpan w:val="2"/>
          </w:tcPr>
          <w:p w14:paraId="10005429" w14:textId="77777777" w:rsidR="00F3346B" w:rsidRPr="007A3A49" w:rsidRDefault="00F3346B" w:rsidP="00894A9E">
            <w:pPr>
              <w:jc w:val="both"/>
              <w:rPr>
                <w:b/>
                <w:sz w:val="20"/>
                <w:szCs w:val="20"/>
                <w:lang w:val="es-MX"/>
              </w:rPr>
            </w:pPr>
            <w:r w:rsidRPr="007A3A49">
              <w:rPr>
                <w:sz w:val="20"/>
                <w:szCs w:val="20"/>
                <w:lang w:val="es-MX"/>
              </w:rPr>
              <w:t>0%</w:t>
            </w:r>
          </w:p>
        </w:tc>
      </w:tr>
      <w:tr w:rsidR="00A85437" w:rsidRPr="00A85437" w14:paraId="4C559C19" w14:textId="77777777" w:rsidTr="00A85437">
        <w:trPr>
          <w:gridAfter w:val="1"/>
          <w:wAfter w:w="10" w:type="dxa"/>
          <w:jc w:val="center"/>
        </w:trPr>
        <w:tc>
          <w:tcPr>
            <w:tcW w:w="2085" w:type="dxa"/>
          </w:tcPr>
          <w:p w14:paraId="359D2D74" w14:textId="77777777" w:rsidR="00F05C71" w:rsidRPr="00A85437" w:rsidRDefault="00F05C71" w:rsidP="00F05C71">
            <w:pPr>
              <w:jc w:val="both"/>
              <w:rPr>
                <w:color w:val="000000" w:themeColor="text1"/>
                <w:sz w:val="20"/>
                <w:szCs w:val="20"/>
                <w:lang w:val="es-MX"/>
              </w:rPr>
            </w:pPr>
            <w:r w:rsidRPr="00A85437">
              <w:rPr>
                <w:color w:val="000000" w:themeColor="text1"/>
                <w:sz w:val="20"/>
                <w:szCs w:val="20"/>
                <w:lang w:val="es-MX"/>
              </w:rPr>
              <w:t>VPN</w:t>
            </w:r>
          </w:p>
        </w:tc>
        <w:tc>
          <w:tcPr>
            <w:tcW w:w="1240" w:type="dxa"/>
            <w:gridSpan w:val="2"/>
            <w:vAlign w:val="center"/>
          </w:tcPr>
          <w:p w14:paraId="69E594D4" w14:textId="63DD7ED8" w:rsidR="00F05C71" w:rsidRPr="00A85437" w:rsidRDefault="00F05C71" w:rsidP="00F05C71">
            <w:pPr>
              <w:jc w:val="both"/>
              <w:rPr>
                <w:color w:val="000000" w:themeColor="text1"/>
                <w:sz w:val="20"/>
                <w:szCs w:val="20"/>
                <w:lang w:val="es-MX"/>
              </w:rPr>
            </w:pPr>
            <w:r w:rsidRPr="00A85437">
              <w:rPr>
                <w:color w:val="000000" w:themeColor="text1"/>
                <w:sz w:val="18"/>
                <w:szCs w:val="20"/>
                <w:lang w:val="es-MX"/>
              </w:rPr>
              <w:t>377,111,287 pesos</w:t>
            </w:r>
          </w:p>
        </w:tc>
        <w:tc>
          <w:tcPr>
            <w:tcW w:w="1350" w:type="dxa"/>
            <w:gridSpan w:val="2"/>
            <w:vAlign w:val="center"/>
          </w:tcPr>
          <w:p w14:paraId="278B731E" w14:textId="43580C18" w:rsidR="00F05C71" w:rsidRPr="00A85437" w:rsidRDefault="00F05C71" w:rsidP="00F05C71">
            <w:pPr>
              <w:jc w:val="both"/>
              <w:rPr>
                <w:color w:val="000000" w:themeColor="text1"/>
                <w:sz w:val="20"/>
                <w:szCs w:val="20"/>
                <w:lang w:val="es-MX"/>
              </w:rPr>
            </w:pPr>
            <w:r w:rsidRPr="00A85437">
              <w:rPr>
                <w:color w:val="000000" w:themeColor="text1"/>
                <w:sz w:val="18"/>
                <w:szCs w:val="20"/>
                <w:lang w:val="es-MX"/>
              </w:rPr>
              <w:t>206,315,919 pesos</w:t>
            </w:r>
          </w:p>
        </w:tc>
        <w:tc>
          <w:tcPr>
            <w:tcW w:w="1530" w:type="dxa"/>
            <w:gridSpan w:val="2"/>
            <w:vAlign w:val="center"/>
          </w:tcPr>
          <w:p w14:paraId="2BCC012B" w14:textId="23D4D694" w:rsidR="00F05C71" w:rsidRPr="00A85437" w:rsidRDefault="00F05C71" w:rsidP="00F05C71">
            <w:pPr>
              <w:jc w:val="both"/>
              <w:rPr>
                <w:color w:val="000000" w:themeColor="text1"/>
                <w:sz w:val="20"/>
                <w:szCs w:val="20"/>
                <w:lang w:val="es-MX"/>
              </w:rPr>
            </w:pPr>
            <w:r w:rsidRPr="00A85437">
              <w:rPr>
                <w:color w:val="000000" w:themeColor="text1"/>
                <w:sz w:val="18"/>
                <w:szCs w:val="20"/>
                <w:lang w:val="es-MX"/>
              </w:rPr>
              <w:t>500,248,949 pesos</w:t>
            </w:r>
          </w:p>
        </w:tc>
      </w:tr>
      <w:tr w:rsidR="00F05C71" w:rsidRPr="00965EC6" w14:paraId="3CAD528E" w14:textId="77777777" w:rsidTr="00A85437">
        <w:trPr>
          <w:gridAfter w:val="1"/>
          <w:wAfter w:w="10" w:type="dxa"/>
          <w:jc w:val="center"/>
        </w:trPr>
        <w:tc>
          <w:tcPr>
            <w:tcW w:w="2085" w:type="dxa"/>
          </w:tcPr>
          <w:p w14:paraId="0B523DE2" w14:textId="77777777" w:rsidR="00F05C71" w:rsidRPr="007A3A49" w:rsidRDefault="00F05C71" w:rsidP="00F05C71">
            <w:pPr>
              <w:jc w:val="both"/>
              <w:rPr>
                <w:sz w:val="20"/>
                <w:szCs w:val="20"/>
                <w:lang w:val="es-MX"/>
              </w:rPr>
            </w:pPr>
            <w:r w:rsidRPr="007A3A49">
              <w:rPr>
                <w:sz w:val="20"/>
                <w:szCs w:val="20"/>
                <w:lang w:val="es-MX"/>
              </w:rPr>
              <w:t>Razón Costo-beneficio</w:t>
            </w:r>
          </w:p>
        </w:tc>
        <w:tc>
          <w:tcPr>
            <w:tcW w:w="1240" w:type="dxa"/>
            <w:gridSpan w:val="2"/>
          </w:tcPr>
          <w:p w14:paraId="6D1CAF8F" w14:textId="3738A7C9" w:rsidR="00F05C71" w:rsidRPr="007A3A49" w:rsidRDefault="00F05C71" w:rsidP="00F05C71">
            <w:pPr>
              <w:jc w:val="both"/>
              <w:rPr>
                <w:sz w:val="20"/>
                <w:szCs w:val="20"/>
                <w:lang w:val="es-MX"/>
              </w:rPr>
            </w:pPr>
            <w:r w:rsidRPr="0051638B">
              <w:rPr>
                <w:rFonts w:cs="Calibri"/>
                <w:color w:val="000000"/>
                <w:sz w:val="18"/>
                <w:szCs w:val="20"/>
              </w:rPr>
              <w:t>3.163</w:t>
            </w:r>
          </w:p>
        </w:tc>
        <w:tc>
          <w:tcPr>
            <w:tcW w:w="1350" w:type="dxa"/>
            <w:gridSpan w:val="2"/>
          </w:tcPr>
          <w:p w14:paraId="00880474" w14:textId="13899075" w:rsidR="00F05C71" w:rsidRPr="007A3A49" w:rsidRDefault="00F05C71" w:rsidP="00F05C71">
            <w:pPr>
              <w:jc w:val="both"/>
              <w:rPr>
                <w:sz w:val="20"/>
                <w:szCs w:val="20"/>
                <w:highlight w:val="yellow"/>
                <w:lang w:val="es-MX"/>
              </w:rPr>
            </w:pPr>
            <w:r w:rsidRPr="0051638B">
              <w:rPr>
                <w:rFonts w:cs="Calibri"/>
                <w:color w:val="000000"/>
                <w:sz w:val="18"/>
                <w:szCs w:val="20"/>
              </w:rPr>
              <w:t>2.552</w:t>
            </w:r>
          </w:p>
        </w:tc>
        <w:tc>
          <w:tcPr>
            <w:tcW w:w="1530" w:type="dxa"/>
            <w:gridSpan w:val="2"/>
          </w:tcPr>
          <w:p w14:paraId="7D1F8139" w14:textId="1F778217" w:rsidR="00F05C71" w:rsidRPr="007A3A49" w:rsidRDefault="00F05C71" w:rsidP="00F05C71">
            <w:pPr>
              <w:jc w:val="both"/>
              <w:rPr>
                <w:sz w:val="20"/>
                <w:szCs w:val="20"/>
              </w:rPr>
            </w:pPr>
            <w:r w:rsidRPr="0051638B">
              <w:rPr>
                <w:rFonts w:cs="Calibri"/>
                <w:color w:val="000000"/>
                <w:sz w:val="18"/>
                <w:szCs w:val="20"/>
              </w:rPr>
              <w:t>3.605</w:t>
            </w:r>
          </w:p>
        </w:tc>
      </w:tr>
      <w:tr w:rsidR="00F05C71" w:rsidRPr="00965EC6" w14:paraId="0E7B5634" w14:textId="77777777" w:rsidTr="00A85437">
        <w:trPr>
          <w:gridAfter w:val="1"/>
          <w:wAfter w:w="10" w:type="dxa"/>
          <w:jc w:val="center"/>
        </w:trPr>
        <w:tc>
          <w:tcPr>
            <w:tcW w:w="2085" w:type="dxa"/>
          </w:tcPr>
          <w:p w14:paraId="6044F7B6" w14:textId="77777777" w:rsidR="00F05C71" w:rsidRPr="007A3A49" w:rsidRDefault="00F05C71" w:rsidP="00F05C71">
            <w:pPr>
              <w:jc w:val="both"/>
              <w:rPr>
                <w:sz w:val="20"/>
                <w:szCs w:val="20"/>
                <w:lang w:val="es-MX"/>
              </w:rPr>
            </w:pPr>
            <w:r w:rsidRPr="007A3A49">
              <w:rPr>
                <w:sz w:val="20"/>
                <w:szCs w:val="20"/>
                <w:lang w:val="es-MX"/>
              </w:rPr>
              <w:lastRenderedPageBreak/>
              <w:t>Tasa interna de Retorno Económico (anualizado)</w:t>
            </w:r>
          </w:p>
        </w:tc>
        <w:tc>
          <w:tcPr>
            <w:tcW w:w="1240" w:type="dxa"/>
            <w:gridSpan w:val="2"/>
            <w:vAlign w:val="center"/>
          </w:tcPr>
          <w:p w14:paraId="50DFF10F" w14:textId="46C67EED" w:rsidR="00F05C71" w:rsidRPr="007A3A49" w:rsidRDefault="00F05C71" w:rsidP="00F05C71">
            <w:pPr>
              <w:jc w:val="both"/>
              <w:rPr>
                <w:sz w:val="20"/>
                <w:szCs w:val="20"/>
                <w:lang w:val="es-MX"/>
              </w:rPr>
            </w:pPr>
            <w:r w:rsidRPr="0051638B">
              <w:rPr>
                <w:rFonts w:cs="Calibri"/>
                <w:color w:val="000000"/>
                <w:sz w:val="18"/>
                <w:szCs w:val="20"/>
              </w:rPr>
              <w:t>24.76%</w:t>
            </w:r>
          </w:p>
        </w:tc>
        <w:tc>
          <w:tcPr>
            <w:tcW w:w="1350" w:type="dxa"/>
            <w:gridSpan w:val="2"/>
            <w:vAlign w:val="center"/>
          </w:tcPr>
          <w:p w14:paraId="3A2FB486" w14:textId="48002A61" w:rsidR="00F05C71" w:rsidRPr="007A3A49" w:rsidRDefault="00F05C71" w:rsidP="00F05C71">
            <w:pPr>
              <w:jc w:val="both"/>
              <w:rPr>
                <w:sz w:val="20"/>
                <w:szCs w:val="20"/>
                <w:lang w:val="es-MX"/>
              </w:rPr>
            </w:pPr>
            <w:r w:rsidRPr="0051638B">
              <w:rPr>
                <w:rFonts w:cs="Calibri"/>
                <w:color w:val="000000"/>
                <w:sz w:val="18"/>
                <w:szCs w:val="20"/>
              </w:rPr>
              <w:t>17.29%</w:t>
            </w:r>
          </w:p>
        </w:tc>
        <w:tc>
          <w:tcPr>
            <w:tcW w:w="1530" w:type="dxa"/>
            <w:gridSpan w:val="2"/>
            <w:vAlign w:val="center"/>
          </w:tcPr>
          <w:p w14:paraId="532D5DFB" w14:textId="4966B4BD" w:rsidR="00F05C71" w:rsidRPr="007A3A49" w:rsidRDefault="00F05C71" w:rsidP="00F05C71">
            <w:pPr>
              <w:jc w:val="both"/>
              <w:rPr>
                <w:sz w:val="20"/>
                <w:szCs w:val="20"/>
              </w:rPr>
            </w:pPr>
            <w:r w:rsidRPr="0051638B">
              <w:rPr>
                <w:rFonts w:cs="Calibri"/>
                <w:color w:val="000000"/>
                <w:sz w:val="18"/>
                <w:szCs w:val="20"/>
              </w:rPr>
              <w:t>29.23%</w:t>
            </w:r>
          </w:p>
        </w:tc>
      </w:tr>
      <w:tr w:rsidR="00F05C71" w:rsidRPr="00965EC6" w14:paraId="08CBFEDF" w14:textId="77777777" w:rsidTr="00A85437">
        <w:trPr>
          <w:gridAfter w:val="1"/>
          <w:wAfter w:w="10" w:type="dxa"/>
          <w:jc w:val="center"/>
        </w:trPr>
        <w:tc>
          <w:tcPr>
            <w:tcW w:w="2085" w:type="dxa"/>
          </w:tcPr>
          <w:p w14:paraId="2CA6D193" w14:textId="77777777" w:rsidR="00F05C71" w:rsidRPr="007A3A49" w:rsidRDefault="00F05C71" w:rsidP="00F05C71">
            <w:pPr>
              <w:jc w:val="both"/>
              <w:rPr>
                <w:sz w:val="20"/>
                <w:szCs w:val="20"/>
                <w:lang w:val="es-MX"/>
              </w:rPr>
            </w:pPr>
            <w:r w:rsidRPr="007A3A49">
              <w:rPr>
                <w:sz w:val="20"/>
                <w:szCs w:val="20"/>
                <w:lang w:val="es-MX"/>
              </w:rPr>
              <w:t>TIR – Tasa Descuento</w:t>
            </w:r>
          </w:p>
        </w:tc>
        <w:tc>
          <w:tcPr>
            <w:tcW w:w="1240" w:type="dxa"/>
            <w:gridSpan w:val="2"/>
            <w:vAlign w:val="bottom"/>
          </w:tcPr>
          <w:p w14:paraId="16C2AF39" w14:textId="043086EA" w:rsidR="00F05C71" w:rsidRPr="007A3A49" w:rsidRDefault="00F05C71" w:rsidP="00F05C71">
            <w:pPr>
              <w:jc w:val="both"/>
              <w:rPr>
                <w:sz w:val="20"/>
                <w:szCs w:val="20"/>
                <w:lang w:val="es-MX"/>
              </w:rPr>
            </w:pPr>
            <w:r w:rsidRPr="0051638B">
              <w:rPr>
                <w:rFonts w:cs="Calibri"/>
                <w:color w:val="000000"/>
                <w:sz w:val="18"/>
                <w:szCs w:val="20"/>
              </w:rPr>
              <w:t>14.76%</w:t>
            </w:r>
          </w:p>
        </w:tc>
        <w:tc>
          <w:tcPr>
            <w:tcW w:w="1350" w:type="dxa"/>
            <w:gridSpan w:val="2"/>
            <w:vAlign w:val="bottom"/>
          </w:tcPr>
          <w:p w14:paraId="45C8E7BC" w14:textId="54B460BA" w:rsidR="00F05C71" w:rsidRPr="007A3A49" w:rsidRDefault="00F05C71" w:rsidP="00F05C71">
            <w:pPr>
              <w:jc w:val="both"/>
              <w:rPr>
                <w:color w:val="FF0000"/>
                <w:sz w:val="20"/>
                <w:szCs w:val="20"/>
                <w:lang w:val="es-MX"/>
              </w:rPr>
            </w:pPr>
            <w:r w:rsidRPr="0051638B">
              <w:rPr>
                <w:rFonts w:cs="Calibri"/>
                <w:color w:val="000000"/>
                <w:sz w:val="18"/>
                <w:szCs w:val="20"/>
              </w:rPr>
              <w:t>7.29%</w:t>
            </w:r>
          </w:p>
        </w:tc>
        <w:tc>
          <w:tcPr>
            <w:tcW w:w="1530" w:type="dxa"/>
            <w:gridSpan w:val="2"/>
            <w:vAlign w:val="bottom"/>
          </w:tcPr>
          <w:p w14:paraId="476F02D2" w14:textId="26EF8F5F" w:rsidR="00F05C71" w:rsidRPr="007A3A49" w:rsidRDefault="00F05C71" w:rsidP="00F05C71">
            <w:pPr>
              <w:jc w:val="both"/>
              <w:rPr>
                <w:sz w:val="20"/>
                <w:szCs w:val="20"/>
              </w:rPr>
            </w:pPr>
            <w:r w:rsidRPr="0051638B">
              <w:rPr>
                <w:rFonts w:cs="Calibri"/>
                <w:color w:val="000000"/>
                <w:sz w:val="18"/>
                <w:szCs w:val="20"/>
              </w:rPr>
              <w:t>19.23%</w:t>
            </w:r>
          </w:p>
        </w:tc>
      </w:tr>
    </w:tbl>
    <w:p w14:paraId="14FD568E" w14:textId="77777777" w:rsidR="00F3346B" w:rsidRPr="00E1518A" w:rsidRDefault="00F3346B" w:rsidP="00F3346B">
      <w:pPr>
        <w:jc w:val="right"/>
        <w:rPr>
          <w:sz w:val="18"/>
          <w:szCs w:val="18"/>
          <w:lang w:val="es-ES_tradnl"/>
        </w:rPr>
      </w:pPr>
      <w:r w:rsidRPr="00E1518A">
        <w:rPr>
          <w:i/>
          <w:sz w:val="18"/>
          <w:szCs w:val="18"/>
          <w:lang w:val="es-MX"/>
        </w:rPr>
        <w:t>Fuente: Elaboración propia</w:t>
      </w:r>
    </w:p>
    <w:p w14:paraId="3BD36F2A" w14:textId="4EDE2C93" w:rsidR="00F3346B" w:rsidRPr="008155AC" w:rsidRDefault="00F3346B" w:rsidP="008155AC">
      <w:pPr>
        <w:rPr>
          <w:b/>
          <w:i/>
          <w:lang w:val="es-ES_tradnl"/>
        </w:rPr>
      </w:pPr>
      <w:r>
        <w:rPr>
          <w:i/>
          <w:lang w:val="es-MX"/>
        </w:rPr>
        <w:t>Tabla 8</w:t>
      </w:r>
      <w:r w:rsidRPr="00E1518A">
        <w:rPr>
          <w:i/>
          <w:lang w:val="es-MX"/>
        </w:rPr>
        <w:t xml:space="preserve">: </w:t>
      </w:r>
      <w:r>
        <w:rPr>
          <w:i/>
          <w:lang w:val="es-MX"/>
        </w:rPr>
        <w:t xml:space="preserve">Indicadores resultantes de la sensibilización de otras variables operativas y financieras. </w:t>
      </w:r>
    </w:p>
    <w:tbl>
      <w:tblPr>
        <w:tblStyle w:val="TableGrid"/>
        <w:tblW w:w="0" w:type="auto"/>
        <w:jc w:val="center"/>
        <w:tblLook w:val="04A0" w:firstRow="1" w:lastRow="0" w:firstColumn="1" w:lastColumn="0" w:noHBand="0" w:noVBand="1"/>
      </w:tblPr>
      <w:tblGrid>
        <w:gridCol w:w="1408"/>
        <w:gridCol w:w="1710"/>
        <w:gridCol w:w="1558"/>
        <w:gridCol w:w="1558"/>
        <w:gridCol w:w="1558"/>
      </w:tblGrid>
      <w:tr w:rsidR="00F05C71" w:rsidRPr="00ED1432" w14:paraId="54F7ED9E" w14:textId="77777777" w:rsidTr="00A85437">
        <w:trPr>
          <w:jc w:val="center"/>
        </w:trPr>
        <w:tc>
          <w:tcPr>
            <w:tcW w:w="1408" w:type="dxa"/>
          </w:tcPr>
          <w:p w14:paraId="395C661D" w14:textId="77777777" w:rsidR="00F05C71" w:rsidRPr="0004521F" w:rsidRDefault="00F05C71" w:rsidP="00894A9E">
            <w:pPr>
              <w:jc w:val="both"/>
              <w:rPr>
                <w:sz w:val="18"/>
                <w:szCs w:val="20"/>
                <w:lang w:val="es-MX"/>
              </w:rPr>
            </w:pPr>
          </w:p>
        </w:tc>
        <w:tc>
          <w:tcPr>
            <w:tcW w:w="1710" w:type="dxa"/>
          </w:tcPr>
          <w:p w14:paraId="59BD07BE" w14:textId="77777777" w:rsidR="00F05C71" w:rsidRPr="0004521F" w:rsidRDefault="00F05C71" w:rsidP="00894A9E">
            <w:pPr>
              <w:jc w:val="both"/>
              <w:rPr>
                <w:sz w:val="18"/>
                <w:szCs w:val="20"/>
                <w:lang w:val="es-MX"/>
              </w:rPr>
            </w:pPr>
            <w:r w:rsidRPr="0004521F">
              <w:rPr>
                <w:sz w:val="18"/>
                <w:szCs w:val="20"/>
                <w:lang w:val="es-MX"/>
              </w:rPr>
              <w:t>Menor ritmo de implementación</w:t>
            </w:r>
          </w:p>
        </w:tc>
        <w:tc>
          <w:tcPr>
            <w:tcW w:w="1558" w:type="dxa"/>
          </w:tcPr>
          <w:p w14:paraId="43DEEB6D" w14:textId="77777777" w:rsidR="00F05C71" w:rsidRPr="0004521F" w:rsidRDefault="00F05C71" w:rsidP="00894A9E">
            <w:pPr>
              <w:jc w:val="both"/>
              <w:rPr>
                <w:sz w:val="18"/>
                <w:szCs w:val="20"/>
                <w:lang w:val="es-MX"/>
              </w:rPr>
            </w:pPr>
            <w:r w:rsidRPr="0004521F">
              <w:rPr>
                <w:sz w:val="18"/>
                <w:szCs w:val="20"/>
                <w:lang w:val="es-MX"/>
              </w:rPr>
              <w:t>Mayor valor de CO2</w:t>
            </w:r>
          </w:p>
        </w:tc>
        <w:tc>
          <w:tcPr>
            <w:tcW w:w="1558" w:type="dxa"/>
          </w:tcPr>
          <w:p w14:paraId="59FA818C" w14:textId="77777777" w:rsidR="00F05C71" w:rsidRPr="0004521F" w:rsidRDefault="00F05C71" w:rsidP="00894A9E">
            <w:pPr>
              <w:jc w:val="both"/>
              <w:rPr>
                <w:sz w:val="18"/>
                <w:szCs w:val="20"/>
                <w:lang w:val="es-MX"/>
              </w:rPr>
            </w:pPr>
            <w:r>
              <w:rPr>
                <w:sz w:val="18"/>
                <w:szCs w:val="20"/>
                <w:lang w:val="es-MX"/>
              </w:rPr>
              <w:t>Menor costo de tecnologías (I)</w:t>
            </w:r>
          </w:p>
        </w:tc>
        <w:tc>
          <w:tcPr>
            <w:tcW w:w="1558" w:type="dxa"/>
          </w:tcPr>
          <w:p w14:paraId="7A48C69A" w14:textId="77777777" w:rsidR="00F05C71" w:rsidRPr="0004521F" w:rsidRDefault="00F05C71" w:rsidP="00894A9E">
            <w:pPr>
              <w:jc w:val="both"/>
              <w:rPr>
                <w:sz w:val="18"/>
                <w:szCs w:val="20"/>
                <w:lang w:val="es-MX"/>
              </w:rPr>
            </w:pPr>
            <w:r>
              <w:rPr>
                <w:sz w:val="18"/>
                <w:szCs w:val="20"/>
                <w:lang w:val="es-MX"/>
              </w:rPr>
              <w:t>Menor costo de tecnologías (II)</w:t>
            </w:r>
          </w:p>
        </w:tc>
      </w:tr>
      <w:tr w:rsidR="00F05C71" w:rsidRPr="0004521F" w14:paraId="2B8C0FF4" w14:textId="77777777" w:rsidTr="00A85437">
        <w:trPr>
          <w:jc w:val="center"/>
        </w:trPr>
        <w:tc>
          <w:tcPr>
            <w:tcW w:w="1408" w:type="dxa"/>
          </w:tcPr>
          <w:p w14:paraId="4663A0FD" w14:textId="77777777" w:rsidR="00F05C71" w:rsidRPr="0004521F" w:rsidRDefault="00F05C71" w:rsidP="00894A9E">
            <w:pPr>
              <w:jc w:val="both"/>
              <w:rPr>
                <w:sz w:val="18"/>
                <w:szCs w:val="20"/>
                <w:lang w:val="es-MX"/>
              </w:rPr>
            </w:pPr>
            <w:r w:rsidRPr="0004521F">
              <w:rPr>
                <w:sz w:val="18"/>
                <w:szCs w:val="20"/>
                <w:lang w:val="es-MX"/>
              </w:rPr>
              <w:t xml:space="preserve">PSR de MEE </w:t>
            </w:r>
            <w:r w:rsidRPr="0004521F">
              <w:rPr>
                <w:sz w:val="18"/>
                <w:szCs w:val="20"/>
              </w:rPr>
              <w:t>(</w:t>
            </w:r>
            <w:proofErr w:type="spellStart"/>
            <w:r w:rsidRPr="0004521F">
              <w:rPr>
                <w:sz w:val="18"/>
                <w:szCs w:val="20"/>
              </w:rPr>
              <w:t>Iluminación</w:t>
            </w:r>
            <w:proofErr w:type="spellEnd"/>
            <w:r w:rsidRPr="0004521F">
              <w:rPr>
                <w:sz w:val="18"/>
                <w:szCs w:val="20"/>
              </w:rPr>
              <w:t>)</w:t>
            </w:r>
          </w:p>
        </w:tc>
        <w:tc>
          <w:tcPr>
            <w:tcW w:w="1710" w:type="dxa"/>
          </w:tcPr>
          <w:p w14:paraId="349D88AD" w14:textId="77777777" w:rsidR="00F05C71" w:rsidRPr="0004521F" w:rsidRDefault="00F05C71" w:rsidP="00894A9E">
            <w:pPr>
              <w:jc w:val="both"/>
              <w:rPr>
                <w:sz w:val="18"/>
                <w:szCs w:val="20"/>
                <w:lang w:val="es-MX"/>
              </w:rPr>
            </w:pPr>
            <w:r w:rsidRPr="0004521F">
              <w:rPr>
                <w:sz w:val="18"/>
                <w:szCs w:val="20"/>
                <w:lang w:val="es-MX"/>
              </w:rPr>
              <w:t>3.80</w:t>
            </w:r>
          </w:p>
        </w:tc>
        <w:tc>
          <w:tcPr>
            <w:tcW w:w="1558" w:type="dxa"/>
          </w:tcPr>
          <w:p w14:paraId="1A9126E6" w14:textId="77777777" w:rsidR="00F05C71" w:rsidRPr="0004521F" w:rsidRDefault="00F05C71" w:rsidP="00894A9E">
            <w:pPr>
              <w:jc w:val="both"/>
              <w:rPr>
                <w:sz w:val="18"/>
                <w:szCs w:val="20"/>
                <w:lang w:val="es-MX"/>
              </w:rPr>
            </w:pPr>
            <w:r w:rsidRPr="0004521F">
              <w:rPr>
                <w:sz w:val="18"/>
                <w:szCs w:val="20"/>
                <w:lang w:val="es-MX"/>
              </w:rPr>
              <w:t>3.80</w:t>
            </w:r>
          </w:p>
        </w:tc>
        <w:tc>
          <w:tcPr>
            <w:tcW w:w="1558" w:type="dxa"/>
          </w:tcPr>
          <w:p w14:paraId="4D8DF50F" w14:textId="77777777" w:rsidR="00F05C71" w:rsidRPr="0004521F" w:rsidRDefault="00F05C71" w:rsidP="00894A9E">
            <w:pPr>
              <w:jc w:val="both"/>
              <w:rPr>
                <w:sz w:val="18"/>
                <w:szCs w:val="20"/>
                <w:lang w:val="es-MX"/>
              </w:rPr>
            </w:pPr>
            <w:r w:rsidRPr="0004521F">
              <w:rPr>
                <w:sz w:val="18"/>
                <w:szCs w:val="20"/>
                <w:lang w:val="es-MX"/>
              </w:rPr>
              <w:t>3.80</w:t>
            </w:r>
          </w:p>
        </w:tc>
        <w:tc>
          <w:tcPr>
            <w:tcW w:w="1558" w:type="dxa"/>
          </w:tcPr>
          <w:p w14:paraId="59FF206E" w14:textId="77777777" w:rsidR="00F05C71" w:rsidRPr="0004521F" w:rsidRDefault="00F05C71" w:rsidP="00894A9E">
            <w:pPr>
              <w:jc w:val="both"/>
              <w:rPr>
                <w:sz w:val="18"/>
                <w:szCs w:val="20"/>
                <w:lang w:val="es-MX"/>
              </w:rPr>
            </w:pPr>
            <w:r w:rsidRPr="0004521F">
              <w:rPr>
                <w:sz w:val="18"/>
                <w:szCs w:val="20"/>
                <w:lang w:val="es-MX"/>
              </w:rPr>
              <w:t>3.80</w:t>
            </w:r>
          </w:p>
        </w:tc>
      </w:tr>
      <w:tr w:rsidR="00F05C71" w:rsidRPr="0004521F" w14:paraId="2D245863" w14:textId="77777777" w:rsidTr="00A85437">
        <w:trPr>
          <w:jc w:val="center"/>
        </w:trPr>
        <w:tc>
          <w:tcPr>
            <w:tcW w:w="1408" w:type="dxa"/>
          </w:tcPr>
          <w:p w14:paraId="374CBE03" w14:textId="77777777" w:rsidR="00F05C71" w:rsidRPr="0004521F" w:rsidRDefault="00F05C71" w:rsidP="00894A9E">
            <w:pPr>
              <w:jc w:val="both"/>
              <w:rPr>
                <w:sz w:val="18"/>
                <w:szCs w:val="20"/>
                <w:lang w:val="es-MX"/>
              </w:rPr>
            </w:pPr>
            <w:r w:rsidRPr="0004521F">
              <w:rPr>
                <w:sz w:val="18"/>
                <w:szCs w:val="20"/>
                <w:lang w:val="es-MX"/>
              </w:rPr>
              <w:t xml:space="preserve">PSR de MEE </w:t>
            </w:r>
            <w:r w:rsidRPr="0004521F">
              <w:rPr>
                <w:sz w:val="18"/>
                <w:szCs w:val="20"/>
              </w:rPr>
              <w:t>(AC)</w:t>
            </w:r>
          </w:p>
        </w:tc>
        <w:tc>
          <w:tcPr>
            <w:tcW w:w="1710" w:type="dxa"/>
          </w:tcPr>
          <w:p w14:paraId="3AF1875F" w14:textId="77777777" w:rsidR="00F05C71" w:rsidRPr="0004521F" w:rsidRDefault="00F05C71" w:rsidP="00894A9E">
            <w:pPr>
              <w:jc w:val="both"/>
              <w:rPr>
                <w:sz w:val="18"/>
                <w:szCs w:val="20"/>
                <w:lang w:val="es-MX"/>
              </w:rPr>
            </w:pPr>
            <w:r w:rsidRPr="0004521F">
              <w:rPr>
                <w:sz w:val="18"/>
                <w:szCs w:val="20"/>
                <w:lang w:val="es-MX"/>
              </w:rPr>
              <w:t>4.29</w:t>
            </w:r>
          </w:p>
        </w:tc>
        <w:tc>
          <w:tcPr>
            <w:tcW w:w="1558" w:type="dxa"/>
          </w:tcPr>
          <w:p w14:paraId="5EE311D7" w14:textId="77777777" w:rsidR="00F05C71" w:rsidRPr="0004521F" w:rsidRDefault="00F05C71" w:rsidP="00894A9E">
            <w:pPr>
              <w:jc w:val="both"/>
              <w:rPr>
                <w:sz w:val="18"/>
                <w:szCs w:val="20"/>
                <w:lang w:val="es-MX"/>
              </w:rPr>
            </w:pPr>
            <w:r w:rsidRPr="0004521F">
              <w:rPr>
                <w:sz w:val="18"/>
                <w:szCs w:val="20"/>
                <w:lang w:val="es-MX"/>
              </w:rPr>
              <w:t>4.29</w:t>
            </w:r>
          </w:p>
        </w:tc>
        <w:tc>
          <w:tcPr>
            <w:tcW w:w="1558" w:type="dxa"/>
          </w:tcPr>
          <w:p w14:paraId="48304623" w14:textId="77777777" w:rsidR="00F05C71" w:rsidRPr="0004521F" w:rsidRDefault="00F05C71" w:rsidP="00894A9E">
            <w:pPr>
              <w:jc w:val="both"/>
              <w:rPr>
                <w:sz w:val="18"/>
                <w:szCs w:val="20"/>
                <w:lang w:val="es-MX"/>
              </w:rPr>
            </w:pPr>
            <w:r w:rsidRPr="0004521F">
              <w:rPr>
                <w:sz w:val="18"/>
                <w:szCs w:val="20"/>
                <w:lang w:val="es-MX"/>
              </w:rPr>
              <w:t>4.29</w:t>
            </w:r>
          </w:p>
        </w:tc>
        <w:tc>
          <w:tcPr>
            <w:tcW w:w="1558" w:type="dxa"/>
          </w:tcPr>
          <w:p w14:paraId="7EFF8F2B" w14:textId="77777777" w:rsidR="00F05C71" w:rsidRPr="0004521F" w:rsidRDefault="00F05C71" w:rsidP="00894A9E">
            <w:pPr>
              <w:jc w:val="both"/>
              <w:rPr>
                <w:sz w:val="18"/>
                <w:szCs w:val="20"/>
                <w:lang w:val="es-MX"/>
              </w:rPr>
            </w:pPr>
            <w:r w:rsidRPr="0004521F">
              <w:rPr>
                <w:sz w:val="18"/>
                <w:szCs w:val="20"/>
                <w:lang w:val="es-MX"/>
              </w:rPr>
              <w:t>4.29</w:t>
            </w:r>
          </w:p>
        </w:tc>
      </w:tr>
      <w:tr w:rsidR="00F05C71" w:rsidRPr="0004521F" w14:paraId="3E06E8BA" w14:textId="77777777" w:rsidTr="00A85437">
        <w:trPr>
          <w:trHeight w:val="771"/>
          <w:jc w:val="center"/>
        </w:trPr>
        <w:tc>
          <w:tcPr>
            <w:tcW w:w="1408" w:type="dxa"/>
          </w:tcPr>
          <w:p w14:paraId="665F99DD" w14:textId="77777777" w:rsidR="00F05C71" w:rsidRPr="0004521F" w:rsidRDefault="00F05C71" w:rsidP="00894A9E">
            <w:pPr>
              <w:jc w:val="both"/>
              <w:rPr>
                <w:sz w:val="18"/>
                <w:szCs w:val="20"/>
                <w:lang w:val="es-MX"/>
              </w:rPr>
            </w:pPr>
            <w:r w:rsidRPr="0004521F">
              <w:rPr>
                <w:sz w:val="18"/>
                <w:szCs w:val="20"/>
                <w:lang w:val="es-MX"/>
              </w:rPr>
              <w:t>PSR de MEE (Cambio tarifa)</w:t>
            </w:r>
          </w:p>
        </w:tc>
        <w:tc>
          <w:tcPr>
            <w:tcW w:w="1710" w:type="dxa"/>
          </w:tcPr>
          <w:p w14:paraId="6F5B73F3" w14:textId="77777777" w:rsidR="00F05C71" w:rsidRPr="0004521F" w:rsidRDefault="00F05C71" w:rsidP="00894A9E">
            <w:pPr>
              <w:jc w:val="both"/>
              <w:rPr>
                <w:sz w:val="18"/>
                <w:szCs w:val="20"/>
                <w:lang w:val="es-MX"/>
              </w:rPr>
            </w:pPr>
            <w:r w:rsidRPr="0004521F">
              <w:rPr>
                <w:sz w:val="18"/>
                <w:szCs w:val="20"/>
                <w:lang w:val="es-MX"/>
              </w:rPr>
              <w:t>3.81</w:t>
            </w:r>
          </w:p>
        </w:tc>
        <w:tc>
          <w:tcPr>
            <w:tcW w:w="1558" w:type="dxa"/>
          </w:tcPr>
          <w:p w14:paraId="227C2CFC" w14:textId="77777777" w:rsidR="00F05C71" w:rsidRPr="0004521F" w:rsidRDefault="00F05C71" w:rsidP="00894A9E">
            <w:pPr>
              <w:jc w:val="both"/>
              <w:rPr>
                <w:sz w:val="18"/>
                <w:szCs w:val="20"/>
                <w:lang w:val="es-MX"/>
              </w:rPr>
            </w:pPr>
            <w:r w:rsidRPr="0004521F">
              <w:rPr>
                <w:sz w:val="18"/>
                <w:szCs w:val="20"/>
                <w:lang w:val="es-MX"/>
              </w:rPr>
              <w:t>3.81</w:t>
            </w:r>
          </w:p>
        </w:tc>
        <w:tc>
          <w:tcPr>
            <w:tcW w:w="1558" w:type="dxa"/>
          </w:tcPr>
          <w:p w14:paraId="10D69531" w14:textId="77777777" w:rsidR="00F05C71" w:rsidRPr="0004521F" w:rsidRDefault="00F05C71" w:rsidP="00894A9E">
            <w:pPr>
              <w:jc w:val="both"/>
              <w:rPr>
                <w:sz w:val="18"/>
                <w:szCs w:val="20"/>
                <w:lang w:val="es-MX"/>
              </w:rPr>
            </w:pPr>
            <w:r w:rsidRPr="0004521F">
              <w:rPr>
                <w:sz w:val="18"/>
                <w:szCs w:val="20"/>
                <w:lang w:val="es-MX"/>
              </w:rPr>
              <w:t>3.81</w:t>
            </w:r>
          </w:p>
        </w:tc>
        <w:tc>
          <w:tcPr>
            <w:tcW w:w="1558" w:type="dxa"/>
          </w:tcPr>
          <w:p w14:paraId="132643E2" w14:textId="77777777" w:rsidR="00F05C71" w:rsidRPr="0004521F" w:rsidRDefault="00F05C71" w:rsidP="00894A9E">
            <w:pPr>
              <w:jc w:val="both"/>
              <w:rPr>
                <w:sz w:val="18"/>
                <w:szCs w:val="20"/>
                <w:lang w:val="es-MX"/>
              </w:rPr>
            </w:pPr>
            <w:r w:rsidRPr="0004521F">
              <w:rPr>
                <w:sz w:val="18"/>
                <w:szCs w:val="20"/>
                <w:lang w:val="es-MX"/>
              </w:rPr>
              <w:t>3.81</w:t>
            </w:r>
          </w:p>
        </w:tc>
      </w:tr>
      <w:tr w:rsidR="00F05C71" w:rsidRPr="0004521F" w14:paraId="26664765" w14:textId="77777777" w:rsidTr="00A85437">
        <w:trPr>
          <w:jc w:val="center"/>
        </w:trPr>
        <w:tc>
          <w:tcPr>
            <w:tcW w:w="1408" w:type="dxa"/>
          </w:tcPr>
          <w:p w14:paraId="2A1B072E" w14:textId="77777777" w:rsidR="00F05C71" w:rsidRPr="0004521F" w:rsidRDefault="00F05C71" w:rsidP="00894A9E">
            <w:pPr>
              <w:jc w:val="both"/>
              <w:rPr>
                <w:sz w:val="18"/>
                <w:szCs w:val="20"/>
                <w:lang w:val="es-MX"/>
              </w:rPr>
            </w:pPr>
            <w:r>
              <w:rPr>
                <w:sz w:val="18"/>
                <w:szCs w:val="20"/>
                <w:lang w:val="es-MX"/>
              </w:rPr>
              <w:t xml:space="preserve">Costo operativo </w:t>
            </w:r>
          </w:p>
        </w:tc>
        <w:tc>
          <w:tcPr>
            <w:tcW w:w="1710" w:type="dxa"/>
          </w:tcPr>
          <w:p w14:paraId="1A9806E6" w14:textId="4F5BF425" w:rsidR="00F05C71" w:rsidRPr="0004521F" w:rsidRDefault="00F05C71" w:rsidP="00894A9E">
            <w:pPr>
              <w:jc w:val="both"/>
              <w:rPr>
                <w:sz w:val="18"/>
                <w:szCs w:val="20"/>
                <w:lang w:val="es-MX"/>
              </w:rPr>
            </w:pPr>
            <w:r w:rsidRPr="0004521F">
              <w:rPr>
                <w:sz w:val="18"/>
                <w:szCs w:val="20"/>
                <w:lang w:val="es-MX"/>
              </w:rPr>
              <w:t xml:space="preserve">3 </w:t>
            </w:r>
            <w:r w:rsidR="00310D28">
              <w:rPr>
                <w:sz w:val="18"/>
                <w:szCs w:val="20"/>
                <w:lang w:val="es-MX"/>
              </w:rPr>
              <w:t>MDD</w:t>
            </w:r>
          </w:p>
        </w:tc>
        <w:tc>
          <w:tcPr>
            <w:tcW w:w="1558" w:type="dxa"/>
          </w:tcPr>
          <w:p w14:paraId="554D6A43" w14:textId="15B217F8" w:rsidR="00F05C71" w:rsidRPr="0004521F" w:rsidRDefault="00F05C71" w:rsidP="00894A9E">
            <w:pPr>
              <w:jc w:val="both"/>
              <w:rPr>
                <w:sz w:val="18"/>
                <w:szCs w:val="20"/>
                <w:lang w:val="es-MX"/>
              </w:rPr>
            </w:pPr>
            <w:r w:rsidRPr="0004521F">
              <w:rPr>
                <w:sz w:val="18"/>
                <w:szCs w:val="20"/>
                <w:lang w:val="es-MX"/>
              </w:rPr>
              <w:t xml:space="preserve">3 </w:t>
            </w:r>
            <w:r w:rsidR="00310D28">
              <w:rPr>
                <w:sz w:val="18"/>
                <w:szCs w:val="20"/>
                <w:lang w:val="es-MX"/>
              </w:rPr>
              <w:t>MDD</w:t>
            </w:r>
          </w:p>
        </w:tc>
        <w:tc>
          <w:tcPr>
            <w:tcW w:w="1558" w:type="dxa"/>
          </w:tcPr>
          <w:p w14:paraId="15F27BD6" w14:textId="6C4E477A" w:rsidR="00F05C71" w:rsidRPr="0004521F" w:rsidRDefault="00F05C71" w:rsidP="00894A9E">
            <w:pPr>
              <w:jc w:val="both"/>
              <w:rPr>
                <w:sz w:val="18"/>
                <w:szCs w:val="20"/>
                <w:lang w:val="es-MX"/>
              </w:rPr>
            </w:pPr>
            <w:r w:rsidRPr="0004521F">
              <w:rPr>
                <w:sz w:val="18"/>
                <w:szCs w:val="20"/>
                <w:lang w:val="es-MX"/>
              </w:rPr>
              <w:t xml:space="preserve">3 </w:t>
            </w:r>
            <w:r w:rsidR="00310D28">
              <w:rPr>
                <w:sz w:val="18"/>
                <w:szCs w:val="20"/>
                <w:lang w:val="es-MX"/>
              </w:rPr>
              <w:t>MDD</w:t>
            </w:r>
          </w:p>
        </w:tc>
        <w:tc>
          <w:tcPr>
            <w:tcW w:w="1558" w:type="dxa"/>
          </w:tcPr>
          <w:p w14:paraId="12857F03" w14:textId="121910FA" w:rsidR="00F05C71" w:rsidRPr="0004521F" w:rsidRDefault="00F05C71" w:rsidP="00894A9E">
            <w:pPr>
              <w:jc w:val="both"/>
              <w:rPr>
                <w:sz w:val="18"/>
                <w:szCs w:val="20"/>
                <w:lang w:val="es-MX"/>
              </w:rPr>
            </w:pPr>
            <w:r w:rsidRPr="0004521F">
              <w:rPr>
                <w:sz w:val="18"/>
                <w:szCs w:val="20"/>
                <w:lang w:val="es-MX"/>
              </w:rPr>
              <w:t xml:space="preserve">3 </w:t>
            </w:r>
            <w:r w:rsidR="00310D28">
              <w:rPr>
                <w:sz w:val="18"/>
                <w:szCs w:val="20"/>
                <w:lang w:val="es-MX"/>
              </w:rPr>
              <w:t>MDD</w:t>
            </w:r>
          </w:p>
        </w:tc>
      </w:tr>
      <w:tr w:rsidR="00F05C71" w:rsidRPr="0004521F" w14:paraId="11C43E67" w14:textId="77777777" w:rsidTr="00A85437">
        <w:trPr>
          <w:jc w:val="center"/>
        </w:trPr>
        <w:tc>
          <w:tcPr>
            <w:tcW w:w="1408" w:type="dxa"/>
          </w:tcPr>
          <w:p w14:paraId="3CCDB519" w14:textId="77777777" w:rsidR="00F05C71" w:rsidRPr="0004521F" w:rsidRDefault="00F05C71" w:rsidP="00894A9E">
            <w:pPr>
              <w:jc w:val="both"/>
              <w:rPr>
                <w:sz w:val="18"/>
                <w:szCs w:val="20"/>
                <w:lang w:val="es-MX"/>
              </w:rPr>
            </w:pPr>
            <w:r w:rsidRPr="0004521F">
              <w:rPr>
                <w:sz w:val="18"/>
                <w:szCs w:val="20"/>
                <w:lang w:val="es-MX"/>
              </w:rPr>
              <w:t>Desfase entre inversión y generación de ahorros</w:t>
            </w:r>
          </w:p>
        </w:tc>
        <w:tc>
          <w:tcPr>
            <w:tcW w:w="1710" w:type="dxa"/>
          </w:tcPr>
          <w:p w14:paraId="0E83DD8E" w14:textId="1EC8FE73" w:rsidR="00F05C71" w:rsidRPr="0004521F" w:rsidRDefault="00F05C71" w:rsidP="00894A9E">
            <w:pPr>
              <w:jc w:val="both"/>
              <w:rPr>
                <w:sz w:val="18"/>
                <w:szCs w:val="20"/>
                <w:lang w:val="es-MX"/>
              </w:rPr>
            </w:pPr>
            <w:r>
              <w:rPr>
                <w:sz w:val="18"/>
                <w:szCs w:val="20"/>
                <w:lang w:val="es-MX"/>
              </w:rPr>
              <w:t>3</w:t>
            </w:r>
            <w:r w:rsidRPr="0004521F">
              <w:rPr>
                <w:sz w:val="18"/>
                <w:szCs w:val="20"/>
                <w:lang w:val="es-MX"/>
              </w:rPr>
              <w:t xml:space="preserve"> trimestres</w:t>
            </w:r>
          </w:p>
        </w:tc>
        <w:tc>
          <w:tcPr>
            <w:tcW w:w="1558" w:type="dxa"/>
          </w:tcPr>
          <w:p w14:paraId="73D74F5F" w14:textId="77777777" w:rsidR="00F05C71" w:rsidRPr="0004521F" w:rsidRDefault="00F05C71" w:rsidP="00894A9E">
            <w:pPr>
              <w:jc w:val="both"/>
              <w:rPr>
                <w:sz w:val="18"/>
                <w:szCs w:val="20"/>
                <w:lang w:val="es-MX"/>
              </w:rPr>
            </w:pPr>
            <w:r w:rsidRPr="0004521F">
              <w:rPr>
                <w:sz w:val="18"/>
                <w:szCs w:val="20"/>
                <w:lang w:val="es-MX"/>
              </w:rPr>
              <w:t>1 trimestre</w:t>
            </w:r>
          </w:p>
        </w:tc>
        <w:tc>
          <w:tcPr>
            <w:tcW w:w="1558" w:type="dxa"/>
          </w:tcPr>
          <w:p w14:paraId="260CF7F5" w14:textId="77777777" w:rsidR="00F05C71" w:rsidRPr="0004521F" w:rsidRDefault="00F05C71" w:rsidP="00894A9E">
            <w:pPr>
              <w:jc w:val="both"/>
              <w:rPr>
                <w:sz w:val="18"/>
                <w:szCs w:val="20"/>
                <w:lang w:val="es-MX"/>
              </w:rPr>
            </w:pPr>
            <w:r w:rsidRPr="0004521F">
              <w:rPr>
                <w:sz w:val="18"/>
                <w:szCs w:val="20"/>
                <w:lang w:val="es-MX"/>
              </w:rPr>
              <w:t>1 trimestre</w:t>
            </w:r>
          </w:p>
        </w:tc>
        <w:tc>
          <w:tcPr>
            <w:tcW w:w="1558" w:type="dxa"/>
          </w:tcPr>
          <w:p w14:paraId="5A914300" w14:textId="77777777" w:rsidR="00F05C71" w:rsidRPr="0004521F" w:rsidRDefault="00F05C71" w:rsidP="00894A9E">
            <w:pPr>
              <w:jc w:val="both"/>
              <w:rPr>
                <w:sz w:val="18"/>
                <w:szCs w:val="20"/>
                <w:lang w:val="es-MX"/>
              </w:rPr>
            </w:pPr>
            <w:r w:rsidRPr="0004521F">
              <w:rPr>
                <w:sz w:val="18"/>
                <w:szCs w:val="20"/>
                <w:lang w:val="es-MX"/>
              </w:rPr>
              <w:t>1 trimestre</w:t>
            </w:r>
          </w:p>
        </w:tc>
      </w:tr>
      <w:tr w:rsidR="00F05C71" w:rsidRPr="00266469" w14:paraId="46B2AAFF" w14:textId="77777777" w:rsidTr="00A85437">
        <w:trPr>
          <w:jc w:val="center"/>
        </w:trPr>
        <w:tc>
          <w:tcPr>
            <w:tcW w:w="1408" w:type="dxa"/>
          </w:tcPr>
          <w:p w14:paraId="309AC25F" w14:textId="77777777" w:rsidR="00F05C71" w:rsidRPr="00C931BD" w:rsidRDefault="00F05C71" w:rsidP="00894A9E">
            <w:pPr>
              <w:jc w:val="both"/>
              <w:rPr>
                <w:sz w:val="18"/>
                <w:szCs w:val="20"/>
              </w:rPr>
            </w:pPr>
            <w:r w:rsidRPr="00C931BD">
              <w:rPr>
                <w:sz w:val="18"/>
                <w:szCs w:val="20"/>
                <w:lang w:val="es-MX"/>
              </w:rPr>
              <w:t>Precio de tonelada CO2</w:t>
            </w:r>
          </w:p>
        </w:tc>
        <w:tc>
          <w:tcPr>
            <w:tcW w:w="1710" w:type="dxa"/>
          </w:tcPr>
          <w:p w14:paraId="1F53DC81" w14:textId="77777777" w:rsidR="00F05C71" w:rsidRPr="00C931BD" w:rsidRDefault="00F05C71" w:rsidP="00894A9E">
            <w:pPr>
              <w:jc w:val="both"/>
              <w:rPr>
                <w:sz w:val="18"/>
                <w:szCs w:val="20"/>
                <w:lang w:val="es-MX"/>
              </w:rPr>
            </w:pPr>
            <w:r w:rsidRPr="00C931BD">
              <w:rPr>
                <w:sz w:val="18"/>
                <w:szCs w:val="20"/>
                <w:lang w:val="es-MX"/>
              </w:rPr>
              <w:t>$8.45 USD</w:t>
            </w:r>
          </w:p>
        </w:tc>
        <w:tc>
          <w:tcPr>
            <w:tcW w:w="1558" w:type="dxa"/>
          </w:tcPr>
          <w:p w14:paraId="6F3EF503" w14:textId="77777777" w:rsidR="00F05C71" w:rsidRPr="00C931BD" w:rsidRDefault="00F05C71" w:rsidP="00894A9E">
            <w:pPr>
              <w:jc w:val="both"/>
              <w:rPr>
                <w:sz w:val="18"/>
                <w:szCs w:val="20"/>
                <w:lang w:val="es-MX"/>
              </w:rPr>
            </w:pPr>
            <w:r w:rsidRPr="00C931BD">
              <w:rPr>
                <w:sz w:val="18"/>
                <w:szCs w:val="20"/>
                <w:lang w:val="es-MX"/>
              </w:rPr>
              <w:t>$12.91 USD</w:t>
            </w:r>
          </w:p>
        </w:tc>
        <w:tc>
          <w:tcPr>
            <w:tcW w:w="1558" w:type="dxa"/>
          </w:tcPr>
          <w:p w14:paraId="5D4A5E1D" w14:textId="77777777" w:rsidR="00F05C71" w:rsidRPr="00266469" w:rsidRDefault="00F05C71" w:rsidP="00894A9E">
            <w:pPr>
              <w:jc w:val="both"/>
              <w:rPr>
                <w:b/>
                <w:sz w:val="18"/>
                <w:szCs w:val="20"/>
                <w:lang w:val="es-MX"/>
              </w:rPr>
            </w:pPr>
            <w:r w:rsidRPr="00C931BD">
              <w:rPr>
                <w:sz w:val="18"/>
                <w:szCs w:val="20"/>
              </w:rPr>
              <w:t>$8.45 USD</w:t>
            </w:r>
          </w:p>
        </w:tc>
        <w:tc>
          <w:tcPr>
            <w:tcW w:w="1558" w:type="dxa"/>
          </w:tcPr>
          <w:p w14:paraId="09095947" w14:textId="77777777" w:rsidR="00F05C71" w:rsidRPr="00266469" w:rsidRDefault="00F05C71" w:rsidP="00894A9E">
            <w:pPr>
              <w:jc w:val="both"/>
              <w:rPr>
                <w:b/>
                <w:sz w:val="18"/>
                <w:szCs w:val="20"/>
                <w:lang w:val="es-MX"/>
              </w:rPr>
            </w:pPr>
            <w:r w:rsidRPr="00C931BD">
              <w:rPr>
                <w:sz w:val="18"/>
                <w:szCs w:val="20"/>
              </w:rPr>
              <w:t>$8.45 USD</w:t>
            </w:r>
          </w:p>
        </w:tc>
      </w:tr>
      <w:tr w:rsidR="00F05C71" w:rsidRPr="00266469" w14:paraId="7D39FE3E" w14:textId="77777777" w:rsidTr="00A85437">
        <w:trPr>
          <w:jc w:val="center"/>
        </w:trPr>
        <w:tc>
          <w:tcPr>
            <w:tcW w:w="1408" w:type="dxa"/>
          </w:tcPr>
          <w:p w14:paraId="4F56C6F0" w14:textId="77777777" w:rsidR="00F05C71" w:rsidRPr="00C931BD" w:rsidRDefault="00F05C71" w:rsidP="00894A9E">
            <w:pPr>
              <w:jc w:val="both"/>
              <w:rPr>
                <w:sz w:val="18"/>
                <w:szCs w:val="20"/>
                <w:lang w:val="es-MX"/>
              </w:rPr>
            </w:pPr>
            <w:r>
              <w:rPr>
                <w:sz w:val="18"/>
                <w:szCs w:val="20"/>
                <w:lang w:val="es-MX"/>
              </w:rPr>
              <w:t xml:space="preserve">Reducción anual en costo de </w:t>
            </w:r>
            <w:proofErr w:type="spellStart"/>
            <w:r>
              <w:rPr>
                <w:sz w:val="18"/>
                <w:szCs w:val="20"/>
                <w:lang w:val="es-MX"/>
              </w:rPr>
              <w:t>MEEs</w:t>
            </w:r>
            <w:proofErr w:type="spellEnd"/>
          </w:p>
        </w:tc>
        <w:tc>
          <w:tcPr>
            <w:tcW w:w="1710" w:type="dxa"/>
          </w:tcPr>
          <w:p w14:paraId="4F0E2D80" w14:textId="77777777" w:rsidR="00F05C71" w:rsidRPr="00C931BD" w:rsidRDefault="00F05C71" w:rsidP="00894A9E">
            <w:pPr>
              <w:jc w:val="both"/>
              <w:rPr>
                <w:sz w:val="18"/>
                <w:szCs w:val="20"/>
                <w:lang w:val="es-MX"/>
              </w:rPr>
            </w:pPr>
            <w:r w:rsidRPr="007271AD">
              <w:rPr>
                <w:sz w:val="18"/>
                <w:szCs w:val="20"/>
                <w:lang w:val="es-MX"/>
              </w:rPr>
              <w:t>0%</w:t>
            </w:r>
          </w:p>
        </w:tc>
        <w:tc>
          <w:tcPr>
            <w:tcW w:w="1558" w:type="dxa"/>
          </w:tcPr>
          <w:p w14:paraId="6DF468C1" w14:textId="77777777" w:rsidR="00F05C71" w:rsidRPr="00C931BD" w:rsidRDefault="00F05C71" w:rsidP="00894A9E">
            <w:pPr>
              <w:jc w:val="both"/>
              <w:rPr>
                <w:sz w:val="18"/>
                <w:szCs w:val="20"/>
                <w:lang w:val="es-MX"/>
              </w:rPr>
            </w:pPr>
            <w:r w:rsidRPr="007271AD">
              <w:rPr>
                <w:sz w:val="18"/>
                <w:szCs w:val="20"/>
                <w:lang w:val="es-MX"/>
              </w:rPr>
              <w:t>0%</w:t>
            </w:r>
          </w:p>
        </w:tc>
        <w:tc>
          <w:tcPr>
            <w:tcW w:w="1558" w:type="dxa"/>
          </w:tcPr>
          <w:p w14:paraId="5463AB79" w14:textId="77777777" w:rsidR="00F05C71" w:rsidRPr="00C931BD" w:rsidRDefault="00F05C71" w:rsidP="00894A9E">
            <w:pPr>
              <w:jc w:val="both"/>
              <w:rPr>
                <w:sz w:val="18"/>
                <w:szCs w:val="20"/>
                <w:lang w:val="es-MX"/>
              </w:rPr>
            </w:pPr>
            <w:r w:rsidRPr="00C931BD">
              <w:rPr>
                <w:sz w:val="18"/>
                <w:szCs w:val="20"/>
                <w:lang w:val="es-MX"/>
              </w:rPr>
              <w:t>10%</w:t>
            </w:r>
          </w:p>
        </w:tc>
        <w:tc>
          <w:tcPr>
            <w:tcW w:w="1558" w:type="dxa"/>
          </w:tcPr>
          <w:p w14:paraId="0EB62870" w14:textId="77777777" w:rsidR="00F05C71" w:rsidRPr="00C931BD" w:rsidRDefault="00F05C71" w:rsidP="00894A9E">
            <w:pPr>
              <w:jc w:val="both"/>
              <w:rPr>
                <w:sz w:val="18"/>
                <w:szCs w:val="20"/>
                <w:lang w:val="es-MX"/>
              </w:rPr>
            </w:pPr>
            <w:r w:rsidRPr="00C931BD">
              <w:rPr>
                <w:sz w:val="18"/>
                <w:szCs w:val="20"/>
                <w:lang w:val="es-MX"/>
              </w:rPr>
              <w:t>20%</w:t>
            </w:r>
          </w:p>
        </w:tc>
      </w:tr>
      <w:tr w:rsidR="00A85437" w:rsidRPr="00A85437" w14:paraId="62D1CAB9" w14:textId="77777777" w:rsidTr="00A85437">
        <w:trPr>
          <w:jc w:val="center"/>
        </w:trPr>
        <w:tc>
          <w:tcPr>
            <w:tcW w:w="1408" w:type="dxa"/>
          </w:tcPr>
          <w:p w14:paraId="34DB7B26" w14:textId="77777777" w:rsidR="00F05C71" w:rsidRPr="00A85437" w:rsidRDefault="00F05C71" w:rsidP="00F05C71">
            <w:pPr>
              <w:jc w:val="both"/>
              <w:rPr>
                <w:color w:val="000000" w:themeColor="text1"/>
                <w:sz w:val="18"/>
                <w:szCs w:val="20"/>
                <w:lang w:val="es-MX"/>
              </w:rPr>
            </w:pPr>
            <w:r w:rsidRPr="00A85437">
              <w:rPr>
                <w:color w:val="000000" w:themeColor="text1"/>
                <w:sz w:val="18"/>
                <w:szCs w:val="20"/>
                <w:lang w:val="es-MX"/>
              </w:rPr>
              <w:t>VPN</w:t>
            </w:r>
          </w:p>
        </w:tc>
        <w:tc>
          <w:tcPr>
            <w:tcW w:w="1710" w:type="dxa"/>
            <w:vAlign w:val="center"/>
          </w:tcPr>
          <w:p w14:paraId="7DA44045" w14:textId="66AD11D2" w:rsidR="00F05C71" w:rsidRPr="00A85437" w:rsidRDefault="00F05C71" w:rsidP="00F05C71">
            <w:pPr>
              <w:jc w:val="both"/>
              <w:rPr>
                <w:color w:val="000000" w:themeColor="text1"/>
                <w:sz w:val="18"/>
                <w:szCs w:val="20"/>
                <w:lang w:val="es-MX"/>
              </w:rPr>
            </w:pPr>
            <w:r w:rsidRPr="00A85437">
              <w:rPr>
                <w:color w:val="000000" w:themeColor="text1"/>
                <w:sz w:val="18"/>
                <w:szCs w:val="20"/>
                <w:lang w:val="es-MX"/>
              </w:rPr>
              <w:t>316,985,134 pesos</w:t>
            </w:r>
          </w:p>
        </w:tc>
        <w:tc>
          <w:tcPr>
            <w:tcW w:w="1558" w:type="dxa"/>
            <w:vAlign w:val="center"/>
          </w:tcPr>
          <w:p w14:paraId="21428EBB" w14:textId="18919EAD" w:rsidR="00F05C71" w:rsidRPr="00A85437" w:rsidRDefault="00F05C71" w:rsidP="00F05C71">
            <w:pPr>
              <w:jc w:val="both"/>
              <w:rPr>
                <w:color w:val="000000" w:themeColor="text1"/>
                <w:sz w:val="18"/>
                <w:szCs w:val="20"/>
                <w:lang w:val="es-MX"/>
              </w:rPr>
            </w:pPr>
            <w:r w:rsidRPr="00A85437">
              <w:rPr>
                <w:color w:val="000000" w:themeColor="text1"/>
                <w:sz w:val="18"/>
                <w:szCs w:val="20"/>
                <w:lang w:val="es-MX"/>
              </w:rPr>
              <w:t>396,342,010 pesos</w:t>
            </w:r>
            <w:r w:rsidRPr="00A85437" w:rsidDel="00E363D5">
              <w:rPr>
                <w:color w:val="000000" w:themeColor="text1"/>
                <w:sz w:val="18"/>
                <w:szCs w:val="20"/>
                <w:lang w:val="es-MX"/>
              </w:rPr>
              <w:t xml:space="preserve"> </w:t>
            </w:r>
          </w:p>
        </w:tc>
        <w:tc>
          <w:tcPr>
            <w:tcW w:w="1558" w:type="dxa"/>
            <w:vAlign w:val="center"/>
          </w:tcPr>
          <w:p w14:paraId="116A528F" w14:textId="25811037" w:rsidR="00F05C71" w:rsidRPr="00A85437" w:rsidRDefault="00F05C71" w:rsidP="00F05C71">
            <w:pPr>
              <w:jc w:val="both"/>
              <w:rPr>
                <w:color w:val="000000" w:themeColor="text1"/>
                <w:sz w:val="18"/>
                <w:szCs w:val="20"/>
                <w:lang w:val="es-MX"/>
              </w:rPr>
            </w:pPr>
            <w:r w:rsidRPr="00A85437">
              <w:rPr>
                <w:color w:val="000000" w:themeColor="text1"/>
                <w:sz w:val="18"/>
                <w:szCs w:val="20"/>
                <w:lang w:val="es-MX"/>
              </w:rPr>
              <w:t>419,777,363 pesos</w:t>
            </w:r>
            <w:r w:rsidRPr="00A85437" w:rsidDel="00E363D5">
              <w:rPr>
                <w:color w:val="000000" w:themeColor="text1"/>
                <w:sz w:val="18"/>
                <w:szCs w:val="20"/>
                <w:lang w:val="es-MX"/>
              </w:rPr>
              <w:t xml:space="preserve"> </w:t>
            </w:r>
          </w:p>
        </w:tc>
        <w:tc>
          <w:tcPr>
            <w:tcW w:w="1558" w:type="dxa"/>
            <w:vAlign w:val="center"/>
          </w:tcPr>
          <w:p w14:paraId="36EDFB63" w14:textId="6357DEC0" w:rsidR="00F05C71" w:rsidRPr="00A85437" w:rsidRDefault="00F05C71" w:rsidP="00F05C71">
            <w:pPr>
              <w:jc w:val="both"/>
              <w:rPr>
                <w:color w:val="000000" w:themeColor="text1"/>
                <w:sz w:val="18"/>
                <w:szCs w:val="20"/>
                <w:lang w:val="es-MX"/>
              </w:rPr>
            </w:pPr>
            <w:r w:rsidRPr="00A85437">
              <w:rPr>
                <w:color w:val="000000" w:themeColor="text1"/>
                <w:sz w:val="18"/>
                <w:szCs w:val="20"/>
                <w:lang w:val="es-MX"/>
              </w:rPr>
              <w:t>462,443,440 pesos</w:t>
            </w:r>
            <w:r w:rsidRPr="00A85437" w:rsidDel="00E363D5">
              <w:rPr>
                <w:color w:val="000000" w:themeColor="text1"/>
                <w:sz w:val="18"/>
                <w:szCs w:val="20"/>
                <w:lang w:val="es-MX"/>
              </w:rPr>
              <w:t xml:space="preserve"> </w:t>
            </w:r>
          </w:p>
        </w:tc>
      </w:tr>
      <w:tr w:rsidR="00F05C71" w:rsidRPr="0004521F" w14:paraId="097FFEFE" w14:textId="77777777" w:rsidTr="00A85437">
        <w:trPr>
          <w:jc w:val="center"/>
        </w:trPr>
        <w:tc>
          <w:tcPr>
            <w:tcW w:w="1408" w:type="dxa"/>
          </w:tcPr>
          <w:p w14:paraId="255AF92B" w14:textId="77777777" w:rsidR="00F05C71" w:rsidRPr="0004521F" w:rsidRDefault="00F05C71" w:rsidP="00F05C71">
            <w:pPr>
              <w:jc w:val="both"/>
              <w:rPr>
                <w:rFonts w:cs="Calibri"/>
                <w:color w:val="000000"/>
                <w:sz w:val="18"/>
                <w:szCs w:val="20"/>
              </w:rPr>
            </w:pPr>
            <w:r w:rsidRPr="0004521F">
              <w:rPr>
                <w:sz w:val="18"/>
                <w:szCs w:val="20"/>
                <w:lang w:val="es-MX"/>
              </w:rPr>
              <w:t>Razón Costo-beneficio</w:t>
            </w:r>
          </w:p>
        </w:tc>
        <w:tc>
          <w:tcPr>
            <w:tcW w:w="1710" w:type="dxa"/>
            <w:vAlign w:val="center"/>
          </w:tcPr>
          <w:p w14:paraId="123D8F49" w14:textId="3D09649C" w:rsidR="00F05C71" w:rsidRPr="0004521F" w:rsidRDefault="00F05C71" w:rsidP="00F05C71">
            <w:pPr>
              <w:jc w:val="both"/>
              <w:rPr>
                <w:sz w:val="18"/>
                <w:szCs w:val="20"/>
              </w:rPr>
            </w:pPr>
            <w:r w:rsidRPr="0051638B">
              <w:rPr>
                <w:rFonts w:cs="Calibri"/>
                <w:color w:val="000000"/>
                <w:sz w:val="18"/>
                <w:szCs w:val="20"/>
              </w:rPr>
              <w:t>3.040</w:t>
            </w:r>
          </w:p>
        </w:tc>
        <w:tc>
          <w:tcPr>
            <w:tcW w:w="1558" w:type="dxa"/>
            <w:vAlign w:val="center"/>
          </w:tcPr>
          <w:p w14:paraId="5EAE9FFC" w14:textId="2C658DFD" w:rsidR="00F05C71" w:rsidRPr="0004521F" w:rsidRDefault="00F05C71" w:rsidP="00F05C71">
            <w:pPr>
              <w:jc w:val="both"/>
              <w:rPr>
                <w:sz w:val="18"/>
                <w:szCs w:val="20"/>
              </w:rPr>
            </w:pPr>
            <w:r w:rsidRPr="0051638B">
              <w:rPr>
                <w:rFonts w:cs="Calibri"/>
                <w:color w:val="000000"/>
                <w:sz w:val="18"/>
                <w:szCs w:val="20"/>
              </w:rPr>
              <w:t>3.232</w:t>
            </w:r>
          </w:p>
        </w:tc>
        <w:tc>
          <w:tcPr>
            <w:tcW w:w="1558" w:type="dxa"/>
            <w:vAlign w:val="center"/>
          </w:tcPr>
          <w:p w14:paraId="6C3C76C9" w14:textId="4F04EA2B" w:rsidR="00F05C71" w:rsidRPr="0004521F" w:rsidRDefault="00F05C71" w:rsidP="00F05C71">
            <w:pPr>
              <w:jc w:val="both"/>
              <w:rPr>
                <w:rFonts w:cs="Calibri"/>
                <w:color w:val="000000"/>
                <w:sz w:val="18"/>
                <w:szCs w:val="20"/>
              </w:rPr>
            </w:pPr>
            <w:r w:rsidRPr="0051638B">
              <w:rPr>
                <w:rFonts w:cs="Calibri"/>
                <w:color w:val="000000"/>
                <w:sz w:val="18"/>
                <w:szCs w:val="20"/>
              </w:rPr>
              <w:t>3.252</w:t>
            </w:r>
          </w:p>
        </w:tc>
        <w:tc>
          <w:tcPr>
            <w:tcW w:w="1558" w:type="dxa"/>
            <w:vAlign w:val="center"/>
          </w:tcPr>
          <w:p w14:paraId="66A600F7" w14:textId="0A984380" w:rsidR="00F05C71" w:rsidRPr="0004521F" w:rsidRDefault="00F05C71" w:rsidP="00F05C71">
            <w:pPr>
              <w:jc w:val="both"/>
              <w:rPr>
                <w:rFonts w:cs="Calibri"/>
                <w:color w:val="000000"/>
                <w:sz w:val="18"/>
                <w:szCs w:val="20"/>
              </w:rPr>
            </w:pPr>
            <w:r w:rsidRPr="0051638B">
              <w:rPr>
                <w:rFonts w:cs="Calibri"/>
                <w:color w:val="000000"/>
                <w:sz w:val="18"/>
                <w:szCs w:val="20"/>
              </w:rPr>
              <w:t>3.341</w:t>
            </w:r>
          </w:p>
        </w:tc>
      </w:tr>
      <w:tr w:rsidR="00F05C71" w:rsidRPr="0004521F" w14:paraId="0DB54C7F" w14:textId="77777777" w:rsidTr="00A85437">
        <w:trPr>
          <w:jc w:val="center"/>
        </w:trPr>
        <w:tc>
          <w:tcPr>
            <w:tcW w:w="1408" w:type="dxa"/>
          </w:tcPr>
          <w:p w14:paraId="0E660209" w14:textId="77777777" w:rsidR="00F05C71" w:rsidRPr="00C931BD" w:rsidRDefault="00F05C71" w:rsidP="00F05C71">
            <w:pPr>
              <w:jc w:val="both"/>
              <w:rPr>
                <w:rFonts w:cs="Calibri"/>
                <w:color w:val="000000"/>
                <w:sz w:val="18"/>
                <w:szCs w:val="20"/>
                <w:lang w:val="es-MX"/>
              </w:rPr>
            </w:pPr>
            <w:r w:rsidRPr="0004521F">
              <w:rPr>
                <w:sz w:val="18"/>
                <w:szCs w:val="20"/>
                <w:lang w:val="es-MX"/>
              </w:rPr>
              <w:t>Tasa interna de Retorno Económico (anualizado)</w:t>
            </w:r>
          </w:p>
        </w:tc>
        <w:tc>
          <w:tcPr>
            <w:tcW w:w="1710" w:type="dxa"/>
            <w:vAlign w:val="center"/>
          </w:tcPr>
          <w:p w14:paraId="211059E3" w14:textId="0E622ABE" w:rsidR="00F05C71" w:rsidRPr="0004521F" w:rsidRDefault="00F05C71" w:rsidP="00F05C71">
            <w:pPr>
              <w:jc w:val="both"/>
              <w:rPr>
                <w:sz w:val="18"/>
                <w:szCs w:val="20"/>
              </w:rPr>
            </w:pPr>
            <w:r w:rsidRPr="0051638B">
              <w:rPr>
                <w:rFonts w:cs="Calibri"/>
                <w:color w:val="000000"/>
                <w:sz w:val="18"/>
                <w:szCs w:val="20"/>
              </w:rPr>
              <w:t>21.44%</w:t>
            </w:r>
          </w:p>
        </w:tc>
        <w:tc>
          <w:tcPr>
            <w:tcW w:w="1558" w:type="dxa"/>
            <w:vAlign w:val="center"/>
          </w:tcPr>
          <w:p w14:paraId="0B55279E" w14:textId="670E7910" w:rsidR="00F05C71" w:rsidRPr="0004521F" w:rsidRDefault="00F05C71" w:rsidP="00F05C71">
            <w:pPr>
              <w:jc w:val="both"/>
              <w:rPr>
                <w:sz w:val="18"/>
                <w:szCs w:val="20"/>
              </w:rPr>
            </w:pPr>
            <w:r w:rsidRPr="0051638B">
              <w:rPr>
                <w:rFonts w:cs="Calibri"/>
                <w:color w:val="000000"/>
                <w:sz w:val="18"/>
                <w:szCs w:val="20"/>
              </w:rPr>
              <w:t>25.46%</w:t>
            </w:r>
          </w:p>
        </w:tc>
        <w:tc>
          <w:tcPr>
            <w:tcW w:w="1558" w:type="dxa"/>
            <w:vAlign w:val="center"/>
          </w:tcPr>
          <w:p w14:paraId="5CDD9D2E" w14:textId="314743F0" w:rsidR="00F05C71" w:rsidRPr="0004521F" w:rsidRDefault="00F05C71" w:rsidP="00F05C71">
            <w:pPr>
              <w:jc w:val="both"/>
              <w:rPr>
                <w:rFonts w:cs="Calibri"/>
                <w:color w:val="000000"/>
                <w:sz w:val="18"/>
                <w:szCs w:val="20"/>
              </w:rPr>
            </w:pPr>
            <w:r w:rsidRPr="0051638B">
              <w:rPr>
                <w:rFonts w:cs="Calibri"/>
                <w:color w:val="000000"/>
                <w:sz w:val="18"/>
                <w:szCs w:val="20"/>
              </w:rPr>
              <w:t>27.45%</w:t>
            </w:r>
          </w:p>
        </w:tc>
        <w:tc>
          <w:tcPr>
            <w:tcW w:w="1558" w:type="dxa"/>
            <w:vAlign w:val="center"/>
          </w:tcPr>
          <w:p w14:paraId="3CE3E42C" w14:textId="160621F6" w:rsidR="00F05C71" w:rsidRPr="0004521F" w:rsidRDefault="00F05C71" w:rsidP="00F05C71">
            <w:pPr>
              <w:jc w:val="both"/>
              <w:rPr>
                <w:rFonts w:cs="Calibri"/>
                <w:color w:val="000000"/>
                <w:sz w:val="18"/>
                <w:szCs w:val="20"/>
              </w:rPr>
            </w:pPr>
            <w:r w:rsidRPr="0051638B">
              <w:rPr>
                <w:rFonts w:cs="Calibri"/>
                <w:color w:val="000000"/>
                <w:sz w:val="18"/>
                <w:szCs w:val="20"/>
              </w:rPr>
              <w:t>30.51%</w:t>
            </w:r>
          </w:p>
        </w:tc>
      </w:tr>
      <w:tr w:rsidR="00F05C71" w:rsidRPr="0004521F" w14:paraId="47E1E18D" w14:textId="77777777" w:rsidTr="00A85437">
        <w:trPr>
          <w:jc w:val="center"/>
        </w:trPr>
        <w:tc>
          <w:tcPr>
            <w:tcW w:w="1408" w:type="dxa"/>
          </w:tcPr>
          <w:p w14:paraId="7F4455D0" w14:textId="77777777" w:rsidR="00F05C71" w:rsidRPr="0004521F" w:rsidRDefault="00F05C71" w:rsidP="00F05C71">
            <w:pPr>
              <w:jc w:val="both"/>
              <w:rPr>
                <w:rFonts w:cs="Calibri"/>
                <w:color w:val="000000"/>
                <w:sz w:val="18"/>
                <w:szCs w:val="20"/>
              </w:rPr>
            </w:pPr>
            <w:r w:rsidRPr="0004521F">
              <w:rPr>
                <w:sz w:val="18"/>
                <w:szCs w:val="20"/>
                <w:lang w:val="es-MX"/>
              </w:rPr>
              <w:t>TIR – Tasa Descuento</w:t>
            </w:r>
          </w:p>
        </w:tc>
        <w:tc>
          <w:tcPr>
            <w:tcW w:w="1710" w:type="dxa"/>
            <w:vAlign w:val="bottom"/>
          </w:tcPr>
          <w:p w14:paraId="4FB552EB" w14:textId="045190B2" w:rsidR="00F05C71" w:rsidRPr="0004521F" w:rsidRDefault="00F05C71" w:rsidP="00F05C71">
            <w:pPr>
              <w:jc w:val="both"/>
              <w:rPr>
                <w:sz w:val="18"/>
                <w:szCs w:val="20"/>
              </w:rPr>
            </w:pPr>
            <w:r w:rsidRPr="0051638B">
              <w:rPr>
                <w:rFonts w:cs="Calibri"/>
                <w:color w:val="000000"/>
                <w:sz w:val="18"/>
                <w:szCs w:val="20"/>
              </w:rPr>
              <w:t>11.44%</w:t>
            </w:r>
          </w:p>
        </w:tc>
        <w:tc>
          <w:tcPr>
            <w:tcW w:w="1558" w:type="dxa"/>
            <w:vAlign w:val="bottom"/>
          </w:tcPr>
          <w:p w14:paraId="7A3AD49D" w14:textId="4828A43A" w:rsidR="00F05C71" w:rsidRPr="0004521F" w:rsidRDefault="00F05C71" w:rsidP="00F05C71">
            <w:pPr>
              <w:jc w:val="both"/>
              <w:rPr>
                <w:sz w:val="18"/>
                <w:szCs w:val="20"/>
              </w:rPr>
            </w:pPr>
            <w:r w:rsidRPr="0051638B">
              <w:rPr>
                <w:rFonts w:cs="Calibri"/>
                <w:color w:val="000000"/>
                <w:sz w:val="18"/>
                <w:szCs w:val="20"/>
              </w:rPr>
              <w:t>15.46%</w:t>
            </w:r>
          </w:p>
        </w:tc>
        <w:tc>
          <w:tcPr>
            <w:tcW w:w="1558" w:type="dxa"/>
            <w:vAlign w:val="bottom"/>
          </w:tcPr>
          <w:p w14:paraId="3DFB83AC" w14:textId="5A311B50" w:rsidR="00F05C71" w:rsidRPr="0004521F" w:rsidRDefault="00F05C71" w:rsidP="00F05C71">
            <w:pPr>
              <w:jc w:val="both"/>
              <w:rPr>
                <w:rFonts w:cs="Calibri"/>
                <w:color w:val="000000"/>
                <w:sz w:val="18"/>
                <w:szCs w:val="20"/>
              </w:rPr>
            </w:pPr>
            <w:r w:rsidRPr="0051638B">
              <w:rPr>
                <w:rFonts w:cs="Calibri"/>
                <w:color w:val="000000"/>
                <w:sz w:val="18"/>
                <w:szCs w:val="20"/>
              </w:rPr>
              <w:t>17.45%</w:t>
            </w:r>
          </w:p>
        </w:tc>
        <w:tc>
          <w:tcPr>
            <w:tcW w:w="1558" w:type="dxa"/>
            <w:vAlign w:val="bottom"/>
          </w:tcPr>
          <w:p w14:paraId="74F7220A" w14:textId="28F1A887" w:rsidR="00F05C71" w:rsidRPr="0004521F" w:rsidRDefault="00F05C71" w:rsidP="00F05C71">
            <w:pPr>
              <w:jc w:val="both"/>
              <w:rPr>
                <w:rFonts w:cs="Calibri"/>
                <w:color w:val="000000"/>
                <w:sz w:val="18"/>
                <w:szCs w:val="20"/>
              </w:rPr>
            </w:pPr>
            <w:r w:rsidRPr="0051638B">
              <w:rPr>
                <w:rFonts w:cs="Calibri"/>
                <w:color w:val="000000"/>
                <w:sz w:val="18"/>
                <w:szCs w:val="20"/>
              </w:rPr>
              <w:t>20.51%</w:t>
            </w:r>
          </w:p>
        </w:tc>
      </w:tr>
    </w:tbl>
    <w:p w14:paraId="3F96CB3E" w14:textId="77777777" w:rsidR="00F3346B" w:rsidRPr="00E1518A" w:rsidRDefault="00F3346B" w:rsidP="00F3346B">
      <w:pPr>
        <w:jc w:val="right"/>
        <w:rPr>
          <w:sz w:val="18"/>
          <w:szCs w:val="18"/>
          <w:lang w:val="es-ES_tradnl"/>
        </w:rPr>
      </w:pPr>
      <w:r w:rsidRPr="00E1518A">
        <w:rPr>
          <w:i/>
          <w:sz w:val="18"/>
          <w:szCs w:val="18"/>
          <w:lang w:val="es-MX"/>
        </w:rPr>
        <w:t>Fuente: Elaboración propia</w:t>
      </w:r>
    </w:p>
    <w:p w14:paraId="18F8037D" w14:textId="77777777" w:rsidR="00F3346B" w:rsidRPr="00E1518A" w:rsidRDefault="00F3346B" w:rsidP="00F3346B">
      <w:pPr>
        <w:rPr>
          <w:b/>
          <w:color w:val="2F5496" w:themeColor="accent1" w:themeShade="BF"/>
          <w:sz w:val="24"/>
          <w:szCs w:val="24"/>
          <w:lang w:val="es-MX"/>
        </w:rPr>
      </w:pPr>
      <w:r w:rsidRPr="00E1518A">
        <w:rPr>
          <w:b/>
          <w:color w:val="2F5496" w:themeColor="accent1" w:themeShade="BF"/>
          <w:sz w:val="24"/>
          <w:szCs w:val="24"/>
          <w:lang w:val="es-MX"/>
        </w:rPr>
        <w:t xml:space="preserve">Conclusiones </w:t>
      </w:r>
    </w:p>
    <w:p w14:paraId="7DAAA14E" w14:textId="11C3B8A5" w:rsidR="00F3346B" w:rsidRDefault="00F3346B" w:rsidP="00F3346B">
      <w:pPr>
        <w:jc w:val="both"/>
        <w:rPr>
          <w:lang w:val="es-MX"/>
        </w:rPr>
      </w:pPr>
      <w:r>
        <w:rPr>
          <w:lang w:val="es-MX"/>
        </w:rPr>
        <w:t xml:space="preserve">Si el </w:t>
      </w:r>
      <w:r w:rsidR="00ED1432">
        <w:rPr>
          <w:lang w:val="es-MX"/>
        </w:rPr>
        <w:t>Proyecto</w:t>
      </w:r>
      <w:r>
        <w:rPr>
          <w:lang w:val="es-MX"/>
        </w:rPr>
        <w:t xml:space="preserve"> se ejecuta conforme a lo planteado, se lograrán</w:t>
      </w:r>
      <w:r w:rsidRPr="00730CE6">
        <w:rPr>
          <w:lang w:val="es-MX"/>
        </w:rPr>
        <w:t xml:space="preserve"> ahorros energéticos y económicos a través de la implementación de </w:t>
      </w:r>
      <w:r>
        <w:rPr>
          <w:lang w:val="es-MX"/>
        </w:rPr>
        <w:t>MEE</w:t>
      </w:r>
      <w:r w:rsidRPr="00730CE6">
        <w:rPr>
          <w:lang w:val="es-MX"/>
        </w:rPr>
        <w:t xml:space="preserve"> en </w:t>
      </w:r>
      <w:r>
        <w:rPr>
          <w:lang w:val="es-MX"/>
        </w:rPr>
        <w:t xml:space="preserve">EOAPF.  En función de que se presenten circunstancias que se ajusten a las premisas de los escenarios planteados en el presente estudio, se podrían obtener </w:t>
      </w:r>
      <w:proofErr w:type="spellStart"/>
      <w:r>
        <w:rPr>
          <w:lang w:val="es-MX"/>
        </w:rPr>
        <w:t>VPNs</w:t>
      </w:r>
      <w:proofErr w:type="spellEnd"/>
      <w:r>
        <w:rPr>
          <w:lang w:val="es-MX"/>
        </w:rPr>
        <w:t xml:space="preserve"> de entre </w:t>
      </w:r>
      <w:r w:rsidR="009A0808">
        <w:rPr>
          <w:lang w:val="es-MX"/>
        </w:rPr>
        <w:t>-</w:t>
      </w:r>
      <w:r w:rsidR="00F05C71">
        <w:rPr>
          <w:lang w:val="es-MX"/>
        </w:rPr>
        <w:t>206.32</w:t>
      </w:r>
      <w:r>
        <w:rPr>
          <w:lang w:val="es-MX"/>
        </w:rPr>
        <w:t xml:space="preserve"> y </w:t>
      </w:r>
      <w:r w:rsidR="00F05C71">
        <w:rPr>
          <w:lang w:val="es-MX"/>
        </w:rPr>
        <w:t>500.24</w:t>
      </w:r>
      <w:r>
        <w:rPr>
          <w:lang w:val="es-MX"/>
        </w:rPr>
        <w:t xml:space="preserve"> MDP</w:t>
      </w:r>
      <w:r w:rsidRPr="00730CE6">
        <w:rPr>
          <w:lang w:val="es-MX"/>
        </w:rPr>
        <w:t xml:space="preserve">, </w:t>
      </w:r>
      <w:r>
        <w:rPr>
          <w:lang w:val="es-MX"/>
        </w:rPr>
        <w:t xml:space="preserve">contribuyendo además </w:t>
      </w:r>
      <w:r w:rsidRPr="00730CE6">
        <w:rPr>
          <w:lang w:val="es-MX"/>
        </w:rPr>
        <w:t xml:space="preserve">a reducir emisiones de Gases de Efecto Invernadero (GEI) y a demostrar su viabilidad para extender la implementación a otros edificios como hospitales y escuelas de la Administración Pública Federal (APF), y edificios de gobiernos estatales y municipales. </w:t>
      </w:r>
    </w:p>
    <w:p w14:paraId="15FB37CE" w14:textId="3F360DBE" w:rsidR="00F3346B" w:rsidRPr="000E6F1C" w:rsidRDefault="00F3346B" w:rsidP="00F3346B">
      <w:pPr>
        <w:jc w:val="both"/>
        <w:rPr>
          <w:lang w:val="es-MX"/>
        </w:rPr>
      </w:pPr>
      <w:r w:rsidRPr="000E6F1C">
        <w:rPr>
          <w:lang w:val="es-MX"/>
        </w:rPr>
        <w:t>Se aprecia tras el ejercicio que, dada la magnitud de las inversiones y alta dependencia de estimaciones anteriores, cualquier cambio en las variables críticas observadas pueden generar</w:t>
      </w:r>
      <w:r>
        <w:rPr>
          <w:lang w:val="es-MX"/>
        </w:rPr>
        <w:t xml:space="preserve"> variaciones sustanciales en el Valor Presente Neto del </w:t>
      </w:r>
      <w:r w:rsidR="00ED1432">
        <w:rPr>
          <w:lang w:val="es-MX"/>
        </w:rPr>
        <w:t>Proyecto</w:t>
      </w:r>
      <w:r w:rsidRPr="000E6F1C">
        <w:rPr>
          <w:lang w:val="es-MX"/>
        </w:rPr>
        <w:t xml:space="preserve">. </w:t>
      </w:r>
    </w:p>
    <w:p w14:paraId="6198A716" w14:textId="77777777" w:rsidR="00F3346B" w:rsidRDefault="00F3346B" w:rsidP="00F3346B">
      <w:pPr>
        <w:jc w:val="both"/>
        <w:rPr>
          <w:lang w:val="es-MX"/>
        </w:rPr>
      </w:pPr>
      <w:r w:rsidRPr="000E6F1C">
        <w:rPr>
          <w:lang w:val="es-MX"/>
        </w:rPr>
        <w:t xml:space="preserve">De las variables seleccionadas, </w:t>
      </w:r>
      <w:r>
        <w:rPr>
          <w:lang w:val="es-MX"/>
        </w:rPr>
        <w:t>las</w:t>
      </w:r>
      <w:r w:rsidRPr="000E6F1C">
        <w:rPr>
          <w:lang w:val="es-MX"/>
        </w:rPr>
        <w:t xml:space="preserve"> que más </w:t>
      </w:r>
      <w:r>
        <w:rPr>
          <w:lang w:val="es-MX"/>
        </w:rPr>
        <w:t xml:space="preserve">afectarían </w:t>
      </w:r>
      <w:r w:rsidRPr="000E6F1C">
        <w:rPr>
          <w:lang w:val="es-MX"/>
        </w:rPr>
        <w:t xml:space="preserve">al Valor Presente Neto </w:t>
      </w:r>
      <w:r>
        <w:rPr>
          <w:lang w:val="es-MX"/>
        </w:rPr>
        <w:t>serían</w:t>
      </w:r>
      <w:r w:rsidRPr="000E6F1C">
        <w:rPr>
          <w:lang w:val="es-MX"/>
        </w:rPr>
        <w:t xml:space="preserve"> el período simple de recuperación de las </w:t>
      </w:r>
      <w:proofErr w:type="spellStart"/>
      <w:r w:rsidRPr="000E6F1C">
        <w:rPr>
          <w:lang w:val="es-MX"/>
        </w:rPr>
        <w:t>MEEs</w:t>
      </w:r>
      <w:proofErr w:type="spellEnd"/>
      <w:r w:rsidRPr="000E6F1C">
        <w:rPr>
          <w:lang w:val="es-MX"/>
        </w:rPr>
        <w:t xml:space="preserve"> utili</w:t>
      </w:r>
      <w:r>
        <w:rPr>
          <w:lang w:val="es-MX"/>
        </w:rPr>
        <w:t xml:space="preserve">zadas como insumo para el modelo y las posibles reducciones en costos de las tecnologías de las </w:t>
      </w:r>
      <w:proofErr w:type="spellStart"/>
      <w:r>
        <w:rPr>
          <w:lang w:val="es-MX"/>
        </w:rPr>
        <w:t>MEEs</w:t>
      </w:r>
      <w:proofErr w:type="spellEnd"/>
      <w:r>
        <w:rPr>
          <w:lang w:val="es-MX"/>
        </w:rPr>
        <w:t>.</w:t>
      </w:r>
      <w:r w:rsidRPr="000E6F1C">
        <w:rPr>
          <w:lang w:val="es-MX"/>
        </w:rPr>
        <w:t xml:space="preserve"> Elevar el costo operativo, elevar el valor de las emisiones de dióxido de </w:t>
      </w:r>
      <w:r w:rsidRPr="000E6F1C">
        <w:rPr>
          <w:lang w:val="es-MX"/>
        </w:rPr>
        <w:lastRenderedPageBreak/>
        <w:t xml:space="preserve">carbono y reducir el ritmo de implementación también fueron escenarios con marcadas repercusiones, pero no fueron de la misma magnitud que </w:t>
      </w:r>
      <w:r>
        <w:rPr>
          <w:lang w:val="es-MX"/>
        </w:rPr>
        <w:t>el PSR y las tecnologías</w:t>
      </w:r>
      <w:r w:rsidRPr="000E6F1C">
        <w:rPr>
          <w:lang w:val="es-MX"/>
        </w:rPr>
        <w:t>.</w:t>
      </w:r>
    </w:p>
    <w:p w14:paraId="384EDB3F" w14:textId="5654DB3E" w:rsidR="00F3346B" w:rsidRDefault="00F3346B" w:rsidP="00F3346B">
      <w:pPr>
        <w:jc w:val="both"/>
        <w:rPr>
          <w:lang w:val="es-MX"/>
        </w:rPr>
      </w:pPr>
      <w:r w:rsidRPr="000E6F1C">
        <w:rPr>
          <w:lang w:val="es-MX"/>
        </w:rPr>
        <w:t xml:space="preserve">Por lo tanto, es crucial tener un plan de implementación y coordinación detallado que permita </w:t>
      </w:r>
      <w:r>
        <w:rPr>
          <w:lang w:val="es-MX"/>
        </w:rPr>
        <w:t xml:space="preserve">aprovechar al máximo el potencial del </w:t>
      </w:r>
      <w:r w:rsidR="00ED1432">
        <w:rPr>
          <w:lang w:val="es-MX"/>
        </w:rPr>
        <w:t>Proyecto</w:t>
      </w:r>
      <w:r>
        <w:rPr>
          <w:lang w:val="es-MX"/>
        </w:rPr>
        <w:t>, tanto en ahorros financieros para el GdM como en reducción de emisiones de dióxido de carbono.</w:t>
      </w:r>
      <w:r w:rsidRPr="00730CE6">
        <w:rPr>
          <w:lang w:val="es-MX"/>
        </w:rPr>
        <w:t xml:space="preserve"> </w:t>
      </w:r>
    </w:p>
    <w:p w14:paraId="04BB413D" w14:textId="0FE95BA8" w:rsidR="00F3346B" w:rsidRDefault="00F3346B" w:rsidP="00F3346B">
      <w:pPr>
        <w:jc w:val="both"/>
        <w:rPr>
          <w:lang w:val="es-MX"/>
        </w:rPr>
      </w:pPr>
      <w:r>
        <w:rPr>
          <w:lang w:val="es-MX"/>
        </w:rPr>
        <w:t xml:space="preserve">En este sentido, se considera relevante que para la ejecución de este proyecto se cuente con la participación activa del BID en el grupo de trabajo que </w:t>
      </w:r>
      <w:r w:rsidRPr="00730CE6">
        <w:rPr>
          <w:lang w:val="es-MX"/>
        </w:rPr>
        <w:t xml:space="preserve">se </w:t>
      </w:r>
      <w:r>
        <w:rPr>
          <w:lang w:val="es-MX"/>
        </w:rPr>
        <w:t xml:space="preserve">integrará </w:t>
      </w:r>
      <w:r w:rsidRPr="00730CE6">
        <w:rPr>
          <w:lang w:val="es-MX"/>
        </w:rPr>
        <w:t xml:space="preserve">con </w:t>
      </w:r>
      <w:r>
        <w:rPr>
          <w:lang w:val="es-MX"/>
        </w:rPr>
        <w:t xml:space="preserve">las instituciones participantes, a fin de asegurar que las Reglas de Operación del </w:t>
      </w:r>
      <w:r w:rsidR="00ED1432">
        <w:rPr>
          <w:lang w:val="es-MX"/>
        </w:rPr>
        <w:t>Proyecto</w:t>
      </w:r>
      <w:r>
        <w:rPr>
          <w:lang w:val="es-MX"/>
        </w:rPr>
        <w:t xml:space="preserve">  precisen los requerimientos y procedimientos necesarios para que los proyectos ejecutivos y procesos licitatorios cumplan o mejoren los </w:t>
      </w:r>
      <w:proofErr w:type="spellStart"/>
      <w:r>
        <w:rPr>
          <w:lang w:val="es-MX"/>
        </w:rPr>
        <w:t>PSRs</w:t>
      </w:r>
      <w:proofErr w:type="spellEnd"/>
      <w:r>
        <w:rPr>
          <w:lang w:val="es-MX"/>
        </w:rPr>
        <w:t xml:space="preserve"> requeridos, y que la </w:t>
      </w:r>
      <w:r w:rsidRPr="00730CE6">
        <w:rPr>
          <w:lang w:val="es-MX"/>
        </w:rPr>
        <w:t>contratación, supervisión, pagos y finiquito por la proveduría de equipos y su instalación</w:t>
      </w:r>
      <w:r>
        <w:rPr>
          <w:lang w:val="es-MX"/>
        </w:rPr>
        <w:t xml:space="preserve"> garanticen un adecuado desempeño de las MEE. </w:t>
      </w:r>
    </w:p>
    <w:p w14:paraId="3397E94C" w14:textId="4492687E" w:rsidR="00730CE6" w:rsidRPr="000E6F1C" w:rsidRDefault="00F3346B" w:rsidP="00F3346B">
      <w:pPr>
        <w:jc w:val="both"/>
        <w:rPr>
          <w:lang w:val="es-MX"/>
        </w:rPr>
      </w:pPr>
      <w:r>
        <w:rPr>
          <w:lang w:val="es-MX"/>
        </w:rPr>
        <w:t xml:space="preserve">También será necesario que los programas anuales de trabajo reflejen un ritmo de ejecución acorde con el periodo de 3 años contemplado para el </w:t>
      </w:r>
      <w:r w:rsidR="00ED1432">
        <w:rPr>
          <w:lang w:val="es-MX"/>
        </w:rPr>
        <w:t>Proyecto</w:t>
      </w:r>
      <w:r>
        <w:rPr>
          <w:lang w:val="es-MX"/>
        </w:rPr>
        <w:t xml:space="preserve">, y que los informes de avance sean examinados a fin de establecer medidas que corrijan las posibles desviaciones que se lleguen a presentar. </w:t>
      </w:r>
    </w:p>
    <w:sectPr w:rsidR="00730CE6" w:rsidRPr="000E6F1C" w:rsidSect="00A93D10">
      <w:footerReference w:type="even" r:id="rId14"/>
      <w:footerReference w:type="defaul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FF78E" w14:textId="77777777" w:rsidR="005E72F2" w:rsidRDefault="005E72F2" w:rsidP="00BB62A0">
      <w:pPr>
        <w:spacing w:after="0" w:line="240" w:lineRule="auto"/>
      </w:pPr>
      <w:r>
        <w:separator/>
      </w:r>
    </w:p>
  </w:endnote>
  <w:endnote w:type="continuationSeparator" w:id="0">
    <w:p w14:paraId="3848BE43" w14:textId="77777777" w:rsidR="005E72F2" w:rsidRDefault="005E72F2" w:rsidP="00BB6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339B4" w14:textId="77777777" w:rsidR="005E72F2" w:rsidRDefault="005E72F2" w:rsidP="0004521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E12394" w14:textId="77777777" w:rsidR="005E72F2" w:rsidRDefault="005E72F2" w:rsidP="00087B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2F8C5" w14:textId="5EED0E39" w:rsidR="005E72F2" w:rsidRDefault="005E72F2" w:rsidP="0004521F">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01867463" w14:textId="77777777" w:rsidR="005E72F2" w:rsidRDefault="005E72F2" w:rsidP="00087B6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0A37E" w14:textId="77777777" w:rsidR="005E72F2" w:rsidRDefault="005E72F2" w:rsidP="00BB62A0">
      <w:pPr>
        <w:spacing w:after="0" w:line="240" w:lineRule="auto"/>
      </w:pPr>
      <w:r>
        <w:separator/>
      </w:r>
    </w:p>
  </w:footnote>
  <w:footnote w:type="continuationSeparator" w:id="0">
    <w:p w14:paraId="6C1891A3" w14:textId="77777777" w:rsidR="005E72F2" w:rsidRDefault="005E72F2" w:rsidP="00BB62A0">
      <w:pPr>
        <w:spacing w:after="0" w:line="240" w:lineRule="auto"/>
      </w:pPr>
      <w:r>
        <w:continuationSeparator/>
      </w:r>
    </w:p>
  </w:footnote>
  <w:footnote w:id="1">
    <w:p w14:paraId="5A0A3B17" w14:textId="706AFDF7" w:rsidR="005E72F2" w:rsidRPr="005313ED" w:rsidRDefault="005E72F2" w:rsidP="005313ED">
      <w:pPr>
        <w:pStyle w:val="FootnoteText"/>
        <w:rPr>
          <w:lang w:val="es-MX"/>
        </w:rPr>
      </w:pPr>
      <w:r>
        <w:rPr>
          <w:rStyle w:val="FootnoteReference"/>
        </w:rPr>
        <w:footnoteRef/>
      </w:r>
      <w:r>
        <w:t xml:space="preserve"> </w:t>
      </w:r>
      <w:r>
        <w:rPr>
          <w:i/>
        </w:rPr>
        <w:t>Investing.com</w:t>
      </w:r>
      <w:r>
        <w:t xml:space="preserve">. (2017). </w:t>
      </w:r>
      <w:r>
        <w:rPr>
          <w:i/>
        </w:rPr>
        <w:t>Carbon Emissions Futures – Dec 17 (CFI2Z7)</w:t>
      </w:r>
      <w:r>
        <w:t xml:space="preserve">. </w:t>
      </w:r>
      <w:r w:rsidRPr="005313ED">
        <w:rPr>
          <w:lang w:val="es-MX"/>
        </w:rPr>
        <w:t xml:space="preserve">Recuperado el 11 de septiembre de 2017 de </w:t>
      </w:r>
      <w:r w:rsidRPr="005313ED">
        <w:rPr>
          <w:i/>
          <w:lang w:val="es-MX"/>
        </w:rPr>
        <w:t>Investing.com</w:t>
      </w:r>
      <w:r w:rsidRPr="005313ED">
        <w:rPr>
          <w:lang w:val="es-MX"/>
        </w:rPr>
        <w:t xml:space="preserve"> (</w:t>
      </w:r>
      <w:hyperlink r:id="rId1" w:history="1">
        <w:r w:rsidRPr="005313ED">
          <w:rPr>
            <w:rStyle w:val="Hyperlink"/>
            <w:lang w:val="es-MX"/>
          </w:rPr>
          <w:t>ver</w:t>
        </w:r>
      </w:hyperlink>
      <w:r w:rsidRPr="005313ED">
        <w:rPr>
          <w:lang w:val="es-MX"/>
        </w:rPr>
        <w:t>).</w:t>
      </w:r>
    </w:p>
  </w:footnote>
  <w:footnote w:id="2">
    <w:p w14:paraId="3F07562F" w14:textId="62D88991" w:rsidR="005E72F2" w:rsidRPr="00717402" w:rsidRDefault="005E72F2" w:rsidP="005313ED">
      <w:pPr>
        <w:pStyle w:val="FootnoteText"/>
        <w:rPr>
          <w:lang w:val="es-MX"/>
        </w:rPr>
      </w:pPr>
      <w:r>
        <w:rPr>
          <w:rStyle w:val="FootnoteReference"/>
        </w:rPr>
        <w:footnoteRef/>
      </w:r>
      <w:r w:rsidRPr="00B4261F">
        <w:t xml:space="preserve"> Climate Policy Initiative (2017). </w:t>
      </w:r>
      <w:r w:rsidRPr="00B4261F">
        <w:rPr>
          <w:i/>
        </w:rPr>
        <w:t>California Carbon Dashboard</w:t>
      </w:r>
      <w:r w:rsidRPr="00B4261F">
        <w:t xml:space="preserve">. </w:t>
      </w:r>
      <w:r w:rsidRPr="00717402">
        <w:rPr>
          <w:lang w:val="es-MX"/>
        </w:rPr>
        <w:t xml:space="preserve">Recuperado el </w:t>
      </w:r>
      <w:r>
        <w:rPr>
          <w:lang w:val="es-MX"/>
        </w:rPr>
        <w:t xml:space="preserve">11 de septiembre </w:t>
      </w:r>
      <w:r w:rsidRPr="00717402">
        <w:rPr>
          <w:lang w:val="es-MX"/>
        </w:rPr>
        <w:t xml:space="preserve">de 2017 de </w:t>
      </w:r>
      <w:proofErr w:type="spellStart"/>
      <w:r w:rsidRPr="00717402">
        <w:rPr>
          <w:lang w:val="es-MX"/>
        </w:rPr>
        <w:t>Climate</w:t>
      </w:r>
      <w:proofErr w:type="spellEnd"/>
      <w:r w:rsidRPr="00717402">
        <w:rPr>
          <w:lang w:val="es-MX"/>
        </w:rPr>
        <w:t xml:space="preserve"> </w:t>
      </w:r>
      <w:proofErr w:type="spellStart"/>
      <w:r w:rsidRPr="00717402">
        <w:rPr>
          <w:lang w:val="es-MX"/>
        </w:rPr>
        <w:t>Policy</w:t>
      </w:r>
      <w:proofErr w:type="spellEnd"/>
      <w:r w:rsidRPr="00717402">
        <w:rPr>
          <w:lang w:val="es-MX"/>
        </w:rPr>
        <w:t xml:space="preserve"> </w:t>
      </w:r>
      <w:proofErr w:type="spellStart"/>
      <w:r w:rsidRPr="00717402">
        <w:rPr>
          <w:lang w:val="es-MX"/>
        </w:rPr>
        <w:t>Initiative</w:t>
      </w:r>
      <w:proofErr w:type="spellEnd"/>
      <w:r w:rsidRPr="00717402">
        <w:rPr>
          <w:lang w:val="es-MX"/>
        </w:rPr>
        <w:t xml:space="preserve"> (</w:t>
      </w:r>
      <w:hyperlink r:id="rId2" w:history="1">
        <w:r w:rsidRPr="00717402">
          <w:rPr>
            <w:rStyle w:val="Hyperlink"/>
            <w:lang w:val="es-MX"/>
          </w:rPr>
          <w:t>ver</w:t>
        </w:r>
      </w:hyperlink>
      <w:r w:rsidRPr="00717402">
        <w:rPr>
          <w:lang w:val="es-MX"/>
        </w:rPr>
        <w:t>).</w:t>
      </w:r>
    </w:p>
  </w:footnote>
  <w:footnote w:id="3">
    <w:p w14:paraId="33F79E29" w14:textId="2D65E39A" w:rsidR="005E72F2" w:rsidRPr="00C81E95" w:rsidRDefault="005E72F2" w:rsidP="006824B4">
      <w:pPr>
        <w:pStyle w:val="FootnoteText"/>
        <w:rPr>
          <w:lang w:val="es-MX"/>
        </w:rPr>
      </w:pPr>
      <w:r>
        <w:rPr>
          <w:rStyle w:val="FootnoteReference"/>
        </w:rPr>
        <w:footnoteRef/>
      </w:r>
      <w:r w:rsidRPr="00C81E95">
        <w:rPr>
          <w:lang w:val="es-MX"/>
        </w:rPr>
        <w:t xml:space="preserve"> Las tarifas son establecidas por la Comisi</w:t>
      </w:r>
      <w:r>
        <w:rPr>
          <w:lang w:val="es-MX"/>
        </w:rPr>
        <w:t>ón Federal de Electricidad, una empresa del Gobierno de México.</w:t>
      </w:r>
    </w:p>
  </w:footnote>
  <w:footnote w:id="4">
    <w:p w14:paraId="076D5424" w14:textId="77777777" w:rsidR="005E72F2" w:rsidRPr="00BB62A0" w:rsidRDefault="005E72F2">
      <w:pPr>
        <w:pStyle w:val="FootnoteText"/>
        <w:rPr>
          <w:lang w:val="es-MX"/>
        </w:rPr>
      </w:pPr>
      <w:r>
        <w:rPr>
          <w:rStyle w:val="FootnoteReference"/>
        </w:rPr>
        <w:footnoteRef/>
      </w:r>
      <w:r w:rsidRPr="00BB62A0">
        <w:rPr>
          <w:lang w:val="es-MX"/>
        </w:rPr>
        <w:t xml:space="preserve"> Obtenido de </w:t>
      </w:r>
      <w:r w:rsidRPr="00BB62A0">
        <w:rPr>
          <w:i/>
          <w:lang w:val="es-MX"/>
        </w:rPr>
        <w:t>Tasas de interés y cargos financieros vigentes</w:t>
      </w:r>
      <w:r>
        <w:rPr>
          <w:lang w:val="es-MX"/>
        </w:rPr>
        <w:t>, Banco Interamericano de Desarrollo (</w:t>
      </w:r>
      <w:hyperlink r:id="rId3" w:history="1">
        <w:r w:rsidRPr="00BB62A0">
          <w:rPr>
            <w:rStyle w:val="Hyperlink"/>
            <w:lang w:val="es-MX"/>
          </w:rPr>
          <w:t>liga</w:t>
        </w:r>
      </w:hyperlink>
      <w:r>
        <w:rPr>
          <w:lang w:val="es-MX"/>
        </w:rPr>
        <w:t>).</w:t>
      </w:r>
    </w:p>
  </w:footnote>
  <w:footnote w:id="5">
    <w:p w14:paraId="08418B66" w14:textId="77777777" w:rsidR="005E72F2" w:rsidRPr="00851CE2" w:rsidRDefault="005E72F2">
      <w:pPr>
        <w:pStyle w:val="FootnoteText"/>
        <w:rPr>
          <w:lang w:val="es-MX"/>
        </w:rPr>
      </w:pPr>
      <w:r>
        <w:rPr>
          <w:rStyle w:val="FootnoteReference"/>
        </w:rPr>
        <w:footnoteRef/>
      </w:r>
      <w:r w:rsidRPr="00851CE2">
        <w:rPr>
          <w:lang w:val="es-MX"/>
        </w:rPr>
        <w:t xml:space="preserve"> Las proyecciones mencionadas son publicadas por el Banco de M</w:t>
      </w:r>
      <w:r>
        <w:rPr>
          <w:lang w:val="es-MX"/>
        </w:rPr>
        <w:t>éxico como resultado de sus encuestas a instituciones bancarias del sector privado en julio de 2017 (</w:t>
      </w:r>
      <w:hyperlink r:id="rId4" w:history="1">
        <w:r w:rsidRPr="00851CE2">
          <w:rPr>
            <w:rStyle w:val="Hyperlink"/>
            <w:lang w:val="es-MX"/>
          </w:rPr>
          <w:t>ver</w:t>
        </w:r>
      </w:hyperlink>
      <w:r>
        <w:rPr>
          <w:lang w:val="es-MX"/>
        </w:rPr>
        <w:t>).</w:t>
      </w:r>
    </w:p>
  </w:footnote>
  <w:footnote w:id="6">
    <w:p w14:paraId="62CBFB49" w14:textId="11EBF43E" w:rsidR="005E72F2" w:rsidRPr="00875583" w:rsidRDefault="005E72F2">
      <w:pPr>
        <w:pStyle w:val="FootnoteText"/>
        <w:rPr>
          <w:lang w:val="es-MX"/>
        </w:rPr>
      </w:pPr>
      <w:r>
        <w:rPr>
          <w:rStyle w:val="FootnoteReference"/>
        </w:rPr>
        <w:footnoteRef/>
      </w:r>
      <w:r>
        <w:t xml:space="preserve"> Inflation.EU (2017). </w:t>
      </w:r>
      <w:r>
        <w:rPr>
          <w:i/>
        </w:rPr>
        <w:t>Historic inflation Mexico – CPI Inflation</w:t>
      </w:r>
      <w:r>
        <w:t xml:space="preserve">. </w:t>
      </w:r>
      <w:r w:rsidRPr="00875583">
        <w:rPr>
          <w:lang w:val="es-MX"/>
        </w:rPr>
        <w:t>Recuperado el 24 de agosto de 2017 de Inflation.eu (</w:t>
      </w:r>
      <w:hyperlink r:id="rId5" w:history="1">
        <w:r w:rsidRPr="00875583">
          <w:rPr>
            <w:rStyle w:val="Hyperlink"/>
            <w:lang w:val="es-MX"/>
          </w:rPr>
          <w:t>ver</w:t>
        </w:r>
      </w:hyperlink>
      <w:r w:rsidRPr="00875583">
        <w:rPr>
          <w:lang w:val="es-MX"/>
        </w:rPr>
        <w:t>).</w:t>
      </w:r>
    </w:p>
  </w:footnote>
  <w:footnote w:id="7">
    <w:p w14:paraId="26A9A872" w14:textId="0DEB56E7" w:rsidR="005E72F2" w:rsidRPr="00717402" w:rsidRDefault="005E72F2">
      <w:pPr>
        <w:pStyle w:val="FootnoteText"/>
        <w:rPr>
          <w:b/>
          <w:lang w:val="es-ES_tradnl"/>
        </w:rPr>
      </w:pPr>
      <w:r>
        <w:rPr>
          <w:rStyle w:val="FootnoteReference"/>
        </w:rPr>
        <w:footnoteRef/>
      </w:r>
      <w:r w:rsidRPr="00717402">
        <w:rPr>
          <w:lang w:val="es-MX"/>
        </w:rPr>
        <w:t xml:space="preserve"> Silva, C. (2017). </w:t>
      </w:r>
      <w:r w:rsidRPr="00717402">
        <w:rPr>
          <w:i/>
          <w:lang w:val="es-ES_tradnl"/>
        </w:rPr>
        <w:t>México - Evaluación Económica del Programa de Energía Sostenible</w:t>
      </w:r>
      <w:r>
        <w:rPr>
          <w:i/>
          <w:lang w:val="es-ES_tradnl"/>
        </w:rPr>
        <w:t xml:space="preserve">. </w:t>
      </w:r>
      <w:r w:rsidRPr="00717402">
        <w:rPr>
          <w:lang w:val="es-ES_tradnl"/>
        </w:rPr>
        <w:t>Banco Interamericano de Desarrollo</w:t>
      </w:r>
      <w:r>
        <w:rPr>
          <w:i/>
          <w:lang w:val="es-ES_tradnl"/>
        </w:rPr>
        <w:t>.</w:t>
      </w:r>
    </w:p>
  </w:footnote>
  <w:footnote w:id="8">
    <w:p w14:paraId="72F2C448" w14:textId="1109F5B7" w:rsidR="005E72F2" w:rsidRPr="00717402" w:rsidRDefault="005E72F2">
      <w:pPr>
        <w:pStyle w:val="FootnoteText"/>
        <w:rPr>
          <w:lang w:val="es-MX"/>
        </w:rPr>
      </w:pPr>
      <w:r>
        <w:rPr>
          <w:rStyle w:val="FootnoteReference"/>
        </w:rPr>
        <w:footnoteRef/>
      </w:r>
      <w:r w:rsidRPr="00ED1432">
        <w:rPr>
          <w:lang w:val="es-ES_tradnl"/>
        </w:rPr>
        <w:t xml:space="preserve"> </w:t>
      </w:r>
      <w:r w:rsidRPr="00ED1432">
        <w:rPr>
          <w:lang w:val="es-ES_tradnl"/>
        </w:rPr>
        <w:t xml:space="preserve">Climate Policy Initiative (2017). </w:t>
      </w:r>
      <w:r w:rsidRPr="00ED1432">
        <w:rPr>
          <w:i/>
          <w:lang w:val="es-ES_tradnl"/>
        </w:rPr>
        <w:t>California Carbon Dashboard</w:t>
      </w:r>
      <w:r w:rsidRPr="00ED1432">
        <w:rPr>
          <w:lang w:val="es-ES_tradnl"/>
        </w:rPr>
        <w:t xml:space="preserve">. </w:t>
      </w:r>
      <w:r w:rsidRPr="00717402">
        <w:rPr>
          <w:lang w:val="es-MX"/>
        </w:rPr>
        <w:t xml:space="preserve">Recuperado el </w:t>
      </w:r>
      <w:r>
        <w:rPr>
          <w:lang w:val="es-MX"/>
        </w:rPr>
        <w:t>11 de septiembre</w:t>
      </w:r>
      <w:r w:rsidRPr="00717402">
        <w:rPr>
          <w:lang w:val="es-MX"/>
        </w:rPr>
        <w:t xml:space="preserve"> de 2017 de </w:t>
      </w:r>
      <w:proofErr w:type="spellStart"/>
      <w:r w:rsidRPr="00717402">
        <w:rPr>
          <w:lang w:val="es-MX"/>
        </w:rPr>
        <w:t>Climate</w:t>
      </w:r>
      <w:proofErr w:type="spellEnd"/>
      <w:r w:rsidRPr="00717402">
        <w:rPr>
          <w:lang w:val="es-MX"/>
        </w:rPr>
        <w:t xml:space="preserve"> </w:t>
      </w:r>
      <w:proofErr w:type="spellStart"/>
      <w:r w:rsidRPr="00717402">
        <w:rPr>
          <w:lang w:val="es-MX"/>
        </w:rPr>
        <w:t>Policy</w:t>
      </w:r>
      <w:proofErr w:type="spellEnd"/>
      <w:r w:rsidRPr="00717402">
        <w:rPr>
          <w:lang w:val="es-MX"/>
        </w:rPr>
        <w:t xml:space="preserve"> </w:t>
      </w:r>
      <w:proofErr w:type="spellStart"/>
      <w:r w:rsidRPr="00717402">
        <w:rPr>
          <w:lang w:val="es-MX"/>
        </w:rPr>
        <w:t>Initiative</w:t>
      </w:r>
      <w:proofErr w:type="spellEnd"/>
      <w:r w:rsidRPr="00717402">
        <w:rPr>
          <w:lang w:val="es-MX"/>
        </w:rPr>
        <w:t xml:space="preserve"> (</w:t>
      </w:r>
      <w:hyperlink r:id="rId6" w:history="1">
        <w:r w:rsidRPr="00717402">
          <w:rPr>
            <w:rStyle w:val="Hyperlink"/>
            <w:lang w:val="es-MX"/>
          </w:rPr>
          <w:t>ver</w:t>
        </w:r>
      </w:hyperlink>
      <w:r w:rsidRPr="00717402">
        <w:rPr>
          <w:lang w:val="es-MX"/>
        </w:rPr>
        <w:t>).</w:t>
      </w:r>
    </w:p>
  </w:footnote>
  <w:footnote w:id="9">
    <w:p w14:paraId="3AEDE106" w14:textId="77777777" w:rsidR="005E72F2" w:rsidRPr="00717402" w:rsidRDefault="005E72F2" w:rsidP="00DA621B">
      <w:pPr>
        <w:pStyle w:val="FootnoteText"/>
        <w:rPr>
          <w:b/>
          <w:lang w:val="es-ES_tradnl"/>
        </w:rPr>
      </w:pPr>
      <w:r>
        <w:rPr>
          <w:rStyle w:val="FootnoteReference"/>
        </w:rPr>
        <w:footnoteRef/>
      </w:r>
      <w:r w:rsidRPr="00717402">
        <w:rPr>
          <w:lang w:val="es-MX"/>
        </w:rPr>
        <w:t xml:space="preserve"> Silva, C. (2017). </w:t>
      </w:r>
      <w:r w:rsidRPr="00717402">
        <w:rPr>
          <w:i/>
          <w:lang w:val="es-ES_tradnl"/>
        </w:rPr>
        <w:t>México - Evaluación Económica del Programa de Energía Sostenible</w:t>
      </w:r>
      <w:r>
        <w:rPr>
          <w:i/>
          <w:lang w:val="es-ES_tradnl"/>
        </w:rPr>
        <w:t xml:space="preserve">. </w:t>
      </w:r>
      <w:r w:rsidRPr="00717402">
        <w:rPr>
          <w:lang w:val="es-ES_tradnl"/>
        </w:rPr>
        <w:t>Banco Interamericano de Desarrollo</w:t>
      </w:r>
      <w:r>
        <w:rPr>
          <w:i/>
          <w:lang w:val="es-ES_tradnl"/>
        </w:rPr>
        <w:t>.</w:t>
      </w:r>
    </w:p>
  </w:footnote>
  <w:footnote w:id="10">
    <w:p w14:paraId="463763F5" w14:textId="1C6E9D70" w:rsidR="005E72F2" w:rsidRPr="00ED1432" w:rsidRDefault="005E72F2">
      <w:pPr>
        <w:pStyle w:val="FootnoteText"/>
        <w:rPr>
          <w:lang w:val="es-ES_tradnl"/>
        </w:rPr>
      </w:pPr>
      <w:r>
        <w:rPr>
          <w:rStyle w:val="FootnoteReference"/>
        </w:rPr>
        <w:footnoteRef/>
      </w:r>
      <w:r w:rsidRPr="00992231">
        <w:rPr>
          <w:lang w:val="es-ES_tradnl"/>
        </w:rPr>
        <w:t xml:space="preserve"> </w:t>
      </w:r>
      <w:r w:rsidRPr="00992231">
        <w:rPr>
          <w:i/>
          <w:lang w:val="es-ES_tradnl"/>
        </w:rPr>
        <w:t>Investing.com</w:t>
      </w:r>
      <w:r w:rsidRPr="00992231">
        <w:rPr>
          <w:lang w:val="es-ES_tradnl"/>
        </w:rPr>
        <w:t xml:space="preserve">. (2017). </w:t>
      </w:r>
      <w:proofErr w:type="spellStart"/>
      <w:r w:rsidRPr="00992231">
        <w:rPr>
          <w:i/>
          <w:lang w:val="es-ES_tradnl"/>
        </w:rPr>
        <w:t>Carbon</w:t>
      </w:r>
      <w:proofErr w:type="spellEnd"/>
      <w:r w:rsidRPr="00992231">
        <w:rPr>
          <w:i/>
          <w:lang w:val="es-ES_tradnl"/>
        </w:rPr>
        <w:t xml:space="preserve"> </w:t>
      </w:r>
      <w:proofErr w:type="spellStart"/>
      <w:r w:rsidRPr="00992231">
        <w:rPr>
          <w:i/>
          <w:lang w:val="es-ES_tradnl"/>
        </w:rPr>
        <w:t>Emissions</w:t>
      </w:r>
      <w:proofErr w:type="spellEnd"/>
      <w:r w:rsidRPr="00992231">
        <w:rPr>
          <w:i/>
          <w:lang w:val="es-ES_tradnl"/>
        </w:rPr>
        <w:t xml:space="preserve"> </w:t>
      </w:r>
      <w:proofErr w:type="spellStart"/>
      <w:r w:rsidRPr="00992231">
        <w:rPr>
          <w:i/>
          <w:lang w:val="es-ES_tradnl"/>
        </w:rPr>
        <w:t>Futures</w:t>
      </w:r>
      <w:proofErr w:type="spellEnd"/>
      <w:r w:rsidRPr="00992231">
        <w:rPr>
          <w:i/>
          <w:lang w:val="es-ES_tradnl"/>
        </w:rPr>
        <w:t xml:space="preserve"> – </w:t>
      </w:r>
      <w:proofErr w:type="spellStart"/>
      <w:r w:rsidRPr="00992231">
        <w:rPr>
          <w:i/>
          <w:lang w:val="es-ES_tradnl"/>
        </w:rPr>
        <w:t>Dec</w:t>
      </w:r>
      <w:proofErr w:type="spellEnd"/>
      <w:r w:rsidRPr="00992231">
        <w:rPr>
          <w:i/>
          <w:lang w:val="es-ES_tradnl"/>
        </w:rPr>
        <w:t xml:space="preserve"> 17 (CFI2Z7)</w:t>
      </w:r>
      <w:r w:rsidRPr="00992231">
        <w:rPr>
          <w:lang w:val="es-ES_tradnl"/>
        </w:rPr>
        <w:t xml:space="preserve">. </w:t>
      </w:r>
      <w:r w:rsidRPr="005313ED">
        <w:rPr>
          <w:lang w:val="es-MX"/>
        </w:rPr>
        <w:t xml:space="preserve">Recuperado el 11 de septiembre de 2017 de </w:t>
      </w:r>
      <w:r w:rsidRPr="005313ED">
        <w:rPr>
          <w:i/>
          <w:lang w:val="es-MX"/>
        </w:rPr>
        <w:t>Investing.com</w:t>
      </w:r>
      <w:r w:rsidRPr="005313ED">
        <w:rPr>
          <w:lang w:val="es-MX"/>
        </w:rPr>
        <w:t xml:space="preserve"> (</w:t>
      </w:r>
      <w:hyperlink r:id="rId7" w:history="1">
        <w:r w:rsidRPr="005313ED">
          <w:rPr>
            <w:rStyle w:val="Hyperlink"/>
            <w:lang w:val="es-MX"/>
          </w:rPr>
          <w:t>ver</w:t>
        </w:r>
      </w:hyperlink>
      <w:r w:rsidRPr="005313ED">
        <w:rPr>
          <w:lang w:val="es-MX"/>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973058"/>
    <w:multiLevelType w:val="hybridMultilevel"/>
    <w:tmpl w:val="CF30FE5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2DAF4FEB"/>
    <w:multiLevelType w:val="hybridMultilevel"/>
    <w:tmpl w:val="7F0EC764"/>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79917D25"/>
    <w:multiLevelType w:val="hybridMultilevel"/>
    <w:tmpl w:val="7DF23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0A6"/>
    <w:rsid w:val="00002726"/>
    <w:rsid w:val="00020D0B"/>
    <w:rsid w:val="00023CCF"/>
    <w:rsid w:val="0002426F"/>
    <w:rsid w:val="000315FE"/>
    <w:rsid w:val="000444E1"/>
    <w:rsid w:val="0004521F"/>
    <w:rsid w:val="000470E4"/>
    <w:rsid w:val="00057B46"/>
    <w:rsid w:val="00062210"/>
    <w:rsid w:val="0007147E"/>
    <w:rsid w:val="00085CAE"/>
    <w:rsid w:val="00087B63"/>
    <w:rsid w:val="000A5D3B"/>
    <w:rsid w:val="000B42DD"/>
    <w:rsid w:val="000B6758"/>
    <w:rsid w:val="000D0D33"/>
    <w:rsid w:val="000D77CA"/>
    <w:rsid w:val="000E5BEA"/>
    <w:rsid w:val="000E6F1C"/>
    <w:rsid w:val="0010011C"/>
    <w:rsid w:val="00163FCE"/>
    <w:rsid w:val="00166580"/>
    <w:rsid w:val="00181734"/>
    <w:rsid w:val="00193E8B"/>
    <w:rsid w:val="001961F5"/>
    <w:rsid w:val="001C5FBE"/>
    <w:rsid w:val="001C74EB"/>
    <w:rsid w:val="001D68CF"/>
    <w:rsid w:val="001E1717"/>
    <w:rsid w:val="001E2827"/>
    <w:rsid w:val="001E70BB"/>
    <w:rsid w:val="0022055B"/>
    <w:rsid w:val="002551FB"/>
    <w:rsid w:val="00266469"/>
    <w:rsid w:val="0026776C"/>
    <w:rsid w:val="002766B3"/>
    <w:rsid w:val="002C086F"/>
    <w:rsid w:val="002E28A8"/>
    <w:rsid w:val="002F4A6C"/>
    <w:rsid w:val="003017BE"/>
    <w:rsid w:val="00303122"/>
    <w:rsid w:val="00307EB0"/>
    <w:rsid w:val="00310D28"/>
    <w:rsid w:val="0032045D"/>
    <w:rsid w:val="003441A4"/>
    <w:rsid w:val="00390231"/>
    <w:rsid w:val="003957BD"/>
    <w:rsid w:val="003A4427"/>
    <w:rsid w:val="003B0605"/>
    <w:rsid w:val="003E035F"/>
    <w:rsid w:val="003E1FFA"/>
    <w:rsid w:val="003F1B4F"/>
    <w:rsid w:val="004006A4"/>
    <w:rsid w:val="00405250"/>
    <w:rsid w:val="00406B4B"/>
    <w:rsid w:val="00422096"/>
    <w:rsid w:val="004239D8"/>
    <w:rsid w:val="00426D7C"/>
    <w:rsid w:val="004335DF"/>
    <w:rsid w:val="0043472D"/>
    <w:rsid w:val="00464E03"/>
    <w:rsid w:val="004700F6"/>
    <w:rsid w:val="00476F04"/>
    <w:rsid w:val="004A025B"/>
    <w:rsid w:val="004A045B"/>
    <w:rsid w:val="004A2F2B"/>
    <w:rsid w:val="004B426A"/>
    <w:rsid w:val="004D1ABB"/>
    <w:rsid w:val="005061F1"/>
    <w:rsid w:val="00521858"/>
    <w:rsid w:val="0052355A"/>
    <w:rsid w:val="0053015B"/>
    <w:rsid w:val="005313ED"/>
    <w:rsid w:val="00545CB6"/>
    <w:rsid w:val="00555B25"/>
    <w:rsid w:val="005A10A6"/>
    <w:rsid w:val="005A56DD"/>
    <w:rsid w:val="005C3430"/>
    <w:rsid w:val="005C3B71"/>
    <w:rsid w:val="005D2933"/>
    <w:rsid w:val="005D74E0"/>
    <w:rsid w:val="005E6025"/>
    <w:rsid w:val="005E72F2"/>
    <w:rsid w:val="005F4655"/>
    <w:rsid w:val="006013C5"/>
    <w:rsid w:val="00621997"/>
    <w:rsid w:val="00643271"/>
    <w:rsid w:val="0064674D"/>
    <w:rsid w:val="006568B7"/>
    <w:rsid w:val="0068098E"/>
    <w:rsid w:val="006824B4"/>
    <w:rsid w:val="006930C9"/>
    <w:rsid w:val="006D6674"/>
    <w:rsid w:val="006E520E"/>
    <w:rsid w:val="006F5359"/>
    <w:rsid w:val="00702ABC"/>
    <w:rsid w:val="00704FB1"/>
    <w:rsid w:val="00716CC9"/>
    <w:rsid w:val="00717402"/>
    <w:rsid w:val="00717B69"/>
    <w:rsid w:val="00723F65"/>
    <w:rsid w:val="00730CE6"/>
    <w:rsid w:val="007414C9"/>
    <w:rsid w:val="00766B12"/>
    <w:rsid w:val="007735CB"/>
    <w:rsid w:val="0078387C"/>
    <w:rsid w:val="007A3A49"/>
    <w:rsid w:val="007B4D99"/>
    <w:rsid w:val="007D3E88"/>
    <w:rsid w:val="007D46C8"/>
    <w:rsid w:val="008022DE"/>
    <w:rsid w:val="008155AC"/>
    <w:rsid w:val="00833012"/>
    <w:rsid w:val="00843CDC"/>
    <w:rsid w:val="00851CE2"/>
    <w:rsid w:val="008539A1"/>
    <w:rsid w:val="00864A8A"/>
    <w:rsid w:val="00875583"/>
    <w:rsid w:val="00892AC3"/>
    <w:rsid w:val="00894A9E"/>
    <w:rsid w:val="008A0861"/>
    <w:rsid w:val="008A1D4E"/>
    <w:rsid w:val="008B1764"/>
    <w:rsid w:val="008B2E9C"/>
    <w:rsid w:val="008B682F"/>
    <w:rsid w:val="008B7418"/>
    <w:rsid w:val="008C41BB"/>
    <w:rsid w:val="008D2BD6"/>
    <w:rsid w:val="008D77F1"/>
    <w:rsid w:val="008F0731"/>
    <w:rsid w:val="008F3BB4"/>
    <w:rsid w:val="008F5585"/>
    <w:rsid w:val="00917944"/>
    <w:rsid w:val="009322F6"/>
    <w:rsid w:val="009349F3"/>
    <w:rsid w:val="0093670E"/>
    <w:rsid w:val="009448BE"/>
    <w:rsid w:val="00945374"/>
    <w:rsid w:val="00952E85"/>
    <w:rsid w:val="00965EC6"/>
    <w:rsid w:val="00972613"/>
    <w:rsid w:val="00992231"/>
    <w:rsid w:val="009A0808"/>
    <w:rsid w:val="009B5246"/>
    <w:rsid w:val="009B53EE"/>
    <w:rsid w:val="009C0984"/>
    <w:rsid w:val="009E140F"/>
    <w:rsid w:val="009E2D3A"/>
    <w:rsid w:val="009E4744"/>
    <w:rsid w:val="009F0416"/>
    <w:rsid w:val="00A32212"/>
    <w:rsid w:val="00A40D57"/>
    <w:rsid w:val="00A410D3"/>
    <w:rsid w:val="00A671CA"/>
    <w:rsid w:val="00A85437"/>
    <w:rsid w:val="00A93D10"/>
    <w:rsid w:val="00AA411B"/>
    <w:rsid w:val="00AB040F"/>
    <w:rsid w:val="00AB2D58"/>
    <w:rsid w:val="00AD4159"/>
    <w:rsid w:val="00AF60D9"/>
    <w:rsid w:val="00B11B89"/>
    <w:rsid w:val="00B16B09"/>
    <w:rsid w:val="00B204B7"/>
    <w:rsid w:val="00B4261F"/>
    <w:rsid w:val="00B50076"/>
    <w:rsid w:val="00B62605"/>
    <w:rsid w:val="00B642C0"/>
    <w:rsid w:val="00B72074"/>
    <w:rsid w:val="00B92184"/>
    <w:rsid w:val="00B94064"/>
    <w:rsid w:val="00B961A9"/>
    <w:rsid w:val="00BB0C52"/>
    <w:rsid w:val="00BB62A0"/>
    <w:rsid w:val="00BE15DC"/>
    <w:rsid w:val="00BE4A0D"/>
    <w:rsid w:val="00C04F3F"/>
    <w:rsid w:val="00C1196F"/>
    <w:rsid w:val="00C126CC"/>
    <w:rsid w:val="00C1463E"/>
    <w:rsid w:val="00C22F7B"/>
    <w:rsid w:val="00C2761E"/>
    <w:rsid w:val="00C42F26"/>
    <w:rsid w:val="00C571E2"/>
    <w:rsid w:val="00C72613"/>
    <w:rsid w:val="00C761BE"/>
    <w:rsid w:val="00C81278"/>
    <w:rsid w:val="00C82DC9"/>
    <w:rsid w:val="00C931BD"/>
    <w:rsid w:val="00C96962"/>
    <w:rsid w:val="00CA63D0"/>
    <w:rsid w:val="00CB75C6"/>
    <w:rsid w:val="00CE1CB0"/>
    <w:rsid w:val="00CF3E5E"/>
    <w:rsid w:val="00D1235A"/>
    <w:rsid w:val="00D37DFC"/>
    <w:rsid w:val="00D42D64"/>
    <w:rsid w:val="00D54C6B"/>
    <w:rsid w:val="00D67F15"/>
    <w:rsid w:val="00D81391"/>
    <w:rsid w:val="00D83288"/>
    <w:rsid w:val="00D95329"/>
    <w:rsid w:val="00DA621B"/>
    <w:rsid w:val="00DB03A2"/>
    <w:rsid w:val="00DC21B2"/>
    <w:rsid w:val="00DF459E"/>
    <w:rsid w:val="00DF4A84"/>
    <w:rsid w:val="00E13D24"/>
    <w:rsid w:val="00E33DAA"/>
    <w:rsid w:val="00E51B11"/>
    <w:rsid w:val="00E63D60"/>
    <w:rsid w:val="00E66A87"/>
    <w:rsid w:val="00E67D6F"/>
    <w:rsid w:val="00E706C0"/>
    <w:rsid w:val="00E72594"/>
    <w:rsid w:val="00E73B06"/>
    <w:rsid w:val="00E855CA"/>
    <w:rsid w:val="00E87A54"/>
    <w:rsid w:val="00E97E2E"/>
    <w:rsid w:val="00EA6BDA"/>
    <w:rsid w:val="00ED1432"/>
    <w:rsid w:val="00EE3535"/>
    <w:rsid w:val="00EF7BA4"/>
    <w:rsid w:val="00F05C71"/>
    <w:rsid w:val="00F10479"/>
    <w:rsid w:val="00F21DD6"/>
    <w:rsid w:val="00F3346B"/>
    <w:rsid w:val="00F6360C"/>
    <w:rsid w:val="00F859EF"/>
    <w:rsid w:val="00F94A28"/>
    <w:rsid w:val="00F9629C"/>
    <w:rsid w:val="00FE1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92D49"/>
  <w15:chartTrackingRefBased/>
  <w15:docId w15:val="{2C949087-551A-41CA-937C-70D1E26DD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761B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766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10A6"/>
    <w:pPr>
      <w:ind w:left="720"/>
      <w:contextualSpacing/>
    </w:pPr>
  </w:style>
  <w:style w:type="paragraph" w:styleId="FootnoteText">
    <w:name w:val="footnote text"/>
    <w:basedOn w:val="Normal"/>
    <w:link w:val="FootnoteTextChar"/>
    <w:uiPriority w:val="99"/>
    <w:semiHidden/>
    <w:unhideWhenUsed/>
    <w:rsid w:val="00BB62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62A0"/>
    <w:rPr>
      <w:sz w:val="20"/>
      <w:szCs w:val="20"/>
    </w:rPr>
  </w:style>
  <w:style w:type="character" w:styleId="FootnoteReference">
    <w:name w:val="footnote reference"/>
    <w:basedOn w:val="DefaultParagraphFont"/>
    <w:uiPriority w:val="99"/>
    <w:semiHidden/>
    <w:unhideWhenUsed/>
    <w:rsid w:val="00BB62A0"/>
    <w:rPr>
      <w:vertAlign w:val="superscript"/>
    </w:rPr>
  </w:style>
  <w:style w:type="character" w:styleId="Hyperlink">
    <w:name w:val="Hyperlink"/>
    <w:basedOn w:val="DefaultParagraphFont"/>
    <w:uiPriority w:val="99"/>
    <w:unhideWhenUsed/>
    <w:rsid w:val="00BB62A0"/>
    <w:rPr>
      <w:color w:val="0563C1" w:themeColor="hyperlink"/>
      <w:u w:val="single"/>
    </w:rPr>
  </w:style>
  <w:style w:type="character" w:customStyle="1" w:styleId="Mencinsinresolver1">
    <w:name w:val="Mención sin resolver1"/>
    <w:basedOn w:val="DefaultParagraphFont"/>
    <w:uiPriority w:val="99"/>
    <w:semiHidden/>
    <w:unhideWhenUsed/>
    <w:rsid w:val="00BB62A0"/>
    <w:rPr>
      <w:color w:val="808080"/>
      <w:shd w:val="clear" w:color="auto" w:fill="E6E6E6"/>
    </w:rPr>
  </w:style>
  <w:style w:type="table" w:styleId="TableGrid">
    <w:name w:val="Table Grid"/>
    <w:basedOn w:val="TableNormal"/>
    <w:uiPriority w:val="39"/>
    <w:rsid w:val="00400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7147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7147E"/>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EF7BA4"/>
    <w:rPr>
      <w:sz w:val="18"/>
      <w:szCs w:val="18"/>
    </w:rPr>
  </w:style>
  <w:style w:type="paragraph" w:styleId="CommentText">
    <w:name w:val="annotation text"/>
    <w:basedOn w:val="Normal"/>
    <w:link w:val="CommentTextChar"/>
    <w:uiPriority w:val="99"/>
    <w:semiHidden/>
    <w:unhideWhenUsed/>
    <w:rsid w:val="00EF7BA4"/>
    <w:pPr>
      <w:spacing w:line="240" w:lineRule="auto"/>
    </w:pPr>
    <w:rPr>
      <w:sz w:val="24"/>
      <w:szCs w:val="24"/>
    </w:rPr>
  </w:style>
  <w:style w:type="character" w:customStyle="1" w:styleId="CommentTextChar">
    <w:name w:val="Comment Text Char"/>
    <w:basedOn w:val="DefaultParagraphFont"/>
    <w:link w:val="CommentText"/>
    <w:uiPriority w:val="99"/>
    <w:semiHidden/>
    <w:rsid w:val="00EF7BA4"/>
    <w:rPr>
      <w:sz w:val="24"/>
      <w:szCs w:val="24"/>
    </w:rPr>
  </w:style>
  <w:style w:type="paragraph" w:styleId="CommentSubject">
    <w:name w:val="annotation subject"/>
    <w:basedOn w:val="CommentText"/>
    <w:next w:val="CommentText"/>
    <w:link w:val="CommentSubjectChar"/>
    <w:uiPriority w:val="99"/>
    <w:semiHidden/>
    <w:unhideWhenUsed/>
    <w:rsid w:val="00EF7BA4"/>
    <w:rPr>
      <w:b/>
      <w:bCs/>
      <w:sz w:val="20"/>
      <w:szCs w:val="20"/>
    </w:rPr>
  </w:style>
  <w:style w:type="character" w:customStyle="1" w:styleId="CommentSubjectChar">
    <w:name w:val="Comment Subject Char"/>
    <w:basedOn w:val="CommentTextChar"/>
    <w:link w:val="CommentSubject"/>
    <w:uiPriority w:val="99"/>
    <w:semiHidden/>
    <w:rsid w:val="00EF7BA4"/>
    <w:rPr>
      <w:b/>
      <w:bCs/>
      <w:sz w:val="20"/>
      <w:szCs w:val="20"/>
    </w:rPr>
  </w:style>
  <w:style w:type="character" w:customStyle="1" w:styleId="Mencinsinresolver2">
    <w:name w:val="Mención sin resolver2"/>
    <w:basedOn w:val="DefaultParagraphFont"/>
    <w:uiPriority w:val="99"/>
    <w:rsid w:val="00057B46"/>
    <w:rPr>
      <w:color w:val="808080"/>
      <w:shd w:val="clear" w:color="auto" w:fill="E6E6E6"/>
    </w:rPr>
  </w:style>
  <w:style w:type="character" w:customStyle="1" w:styleId="Heading1Char">
    <w:name w:val="Heading 1 Char"/>
    <w:basedOn w:val="DefaultParagraphFont"/>
    <w:link w:val="Heading1"/>
    <w:uiPriority w:val="9"/>
    <w:rsid w:val="00C761BE"/>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3E03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035F"/>
  </w:style>
  <w:style w:type="paragraph" w:styleId="Footer">
    <w:name w:val="footer"/>
    <w:basedOn w:val="Normal"/>
    <w:link w:val="FooterChar"/>
    <w:uiPriority w:val="99"/>
    <w:unhideWhenUsed/>
    <w:rsid w:val="003E03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035F"/>
  </w:style>
  <w:style w:type="character" w:customStyle="1" w:styleId="Heading2Char">
    <w:name w:val="Heading 2 Char"/>
    <w:basedOn w:val="DefaultParagraphFont"/>
    <w:link w:val="Heading2"/>
    <w:uiPriority w:val="9"/>
    <w:rsid w:val="002766B3"/>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52355A"/>
    <w:pPr>
      <w:outlineLvl w:val="9"/>
    </w:pPr>
    <w:rPr>
      <w:lang w:val="es-CL" w:eastAsia="es-CL"/>
    </w:rPr>
  </w:style>
  <w:style w:type="character" w:styleId="PageNumber">
    <w:name w:val="page number"/>
    <w:basedOn w:val="DefaultParagraphFont"/>
    <w:uiPriority w:val="99"/>
    <w:semiHidden/>
    <w:unhideWhenUsed/>
    <w:rsid w:val="00087B63"/>
  </w:style>
  <w:style w:type="character" w:customStyle="1" w:styleId="UnresolvedMention1">
    <w:name w:val="Unresolved Mention1"/>
    <w:basedOn w:val="DefaultParagraphFont"/>
    <w:uiPriority w:val="99"/>
    <w:rsid w:val="00875583"/>
    <w:rPr>
      <w:color w:val="808080"/>
      <w:shd w:val="clear" w:color="auto" w:fill="E6E6E6"/>
    </w:rPr>
  </w:style>
  <w:style w:type="character" w:customStyle="1" w:styleId="Mencinsinresolver3">
    <w:name w:val="Mención sin resolver3"/>
    <w:basedOn w:val="DefaultParagraphFont"/>
    <w:uiPriority w:val="99"/>
    <w:rsid w:val="005313ED"/>
    <w:rPr>
      <w:color w:val="808080"/>
      <w:shd w:val="clear" w:color="auto" w:fill="E6E6E6"/>
    </w:rPr>
  </w:style>
  <w:style w:type="paragraph" w:styleId="Revision">
    <w:name w:val="Revision"/>
    <w:hidden/>
    <w:uiPriority w:val="99"/>
    <w:semiHidden/>
    <w:rsid w:val="009448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00226">
      <w:bodyDiv w:val="1"/>
      <w:marLeft w:val="0"/>
      <w:marRight w:val="0"/>
      <w:marTop w:val="0"/>
      <w:marBottom w:val="0"/>
      <w:divBdr>
        <w:top w:val="none" w:sz="0" w:space="0" w:color="auto"/>
        <w:left w:val="none" w:sz="0" w:space="0" w:color="auto"/>
        <w:bottom w:val="none" w:sz="0" w:space="0" w:color="auto"/>
        <w:right w:val="none" w:sz="0" w:space="0" w:color="auto"/>
      </w:divBdr>
    </w:div>
    <w:div w:id="78449160">
      <w:bodyDiv w:val="1"/>
      <w:marLeft w:val="0"/>
      <w:marRight w:val="0"/>
      <w:marTop w:val="0"/>
      <w:marBottom w:val="0"/>
      <w:divBdr>
        <w:top w:val="none" w:sz="0" w:space="0" w:color="auto"/>
        <w:left w:val="none" w:sz="0" w:space="0" w:color="auto"/>
        <w:bottom w:val="none" w:sz="0" w:space="0" w:color="auto"/>
        <w:right w:val="none" w:sz="0" w:space="0" w:color="auto"/>
      </w:divBdr>
    </w:div>
    <w:div w:id="92362513">
      <w:bodyDiv w:val="1"/>
      <w:marLeft w:val="0"/>
      <w:marRight w:val="0"/>
      <w:marTop w:val="0"/>
      <w:marBottom w:val="0"/>
      <w:divBdr>
        <w:top w:val="none" w:sz="0" w:space="0" w:color="auto"/>
        <w:left w:val="none" w:sz="0" w:space="0" w:color="auto"/>
        <w:bottom w:val="none" w:sz="0" w:space="0" w:color="auto"/>
        <w:right w:val="none" w:sz="0" w:space="0" w:color="auto"/>
      </w:divBdr>
    </w:div>
    <w:div w:id="97915314">
      <w:bodyDiv w:val="1"/>
      <w:marLeft w:val="0"/>
      <w:marRight w:val="0"/>
      <w:marTop w:val="0"/>
      <w:marBottom w:val="0"/>
      <w:divBdr>
        <w:top w:val="none" w:sz="0" w:space="0" w:color="auto"/>
        <w:left w:val="none" w:sz="0" w:space="0" w:color="auto"/>
        <w:bottom w:val="none" w:sz="0" w:space="0" w:color="auto"/>
        <w:right w:val="none" w:sz="0" w:space="0" w:color="auto"/>
      </w:divBdr>
    </w:div>
    <w:div w:id="116267586">
      <w:bodyDiv w:val="1"/>
      <w:marLeft w:val="0"/>
      <w:marRight w:val="0"/>
      <w:marTop w:val="0"/>
      <w:marBottom w:val="0"/>
      <w:divBdr>
        <w:top w:val="none" w:sz="0" w:space="0" w:color="auto"/>
        <w:left w:val="none" w:sz="0" w:space="0" w:color="auto"/>
        <w:bottom w:val="none" w:sz="0" w:space="0" w:color="auto"/>
        <w:right w:val="none" w:sz="0" w:space="0" w:color="auto"/>
      </w:divBdr>
    </w:div>
    <w:div w:id="144513518">
      <w:bodyDiv w:val="1"/>
      <w:marLeft w:val="0"/>
      <w:marRight w:val="0"/>
      <w:marTop w:val="0"/>
      <w:marBottom w:val="0"/>
      <w:divBdr>
        <w:top w:val="none" w:sz="0" w:space="0" w:color="auto"/>
        <w:left w:val="none" w:sz="0" w:space="0" w:color="auto"/>
        <w:bottom w:val="none" w:sz="0" w:space="0" w:color="auto"/>
        <w:right w:val="none" w:sz="0" w:space="0" w:color="auto"/>
      </w:divBdr>
    </w:div>
    <w:div w:id="159195820">
      <w:bodyDiv w:val="1"/>
      <w:marLeft w:val="0"/>
      <w:marRight w:val="0"/>
      <w:marTop w:val="0"/>
      <w:marBottom w:val="0"/>
      <w:divBdr>
        <w:top w:val="none" w:sz="0" w:space="0" w:color="auto"/>
        <w:left w:val="none" w:sz="0" w:space="0" w:color="auto"/>
        <w:bottom w:val="none" w:sz="0" w:space="0" w:color="auto"/>
        <w:right w:val="none" w:sz="0" w:space="0" w:color="auto"/>
      </w:divBdr>
    </w:div>
    <w:div w:id="165948460">
      <w:bodyDiv w:val="1"/>
      <w:marLeft w:val="0"/>
      <w:marRight w:val="0"/>
      <w:marTop w:val="0"/>
      <w:marBottom w:val="0"/>
      <w:divBdr>
        <w:top w:val="none" w:sz="0" w:space="0" w:color="auto"/>
        <w:left w:val="none" w:sz="0" w:space="0" w:color="auto"/>
        <w:bottom w:val="none" w:sz="0" w:space="0" w:color="auto"/>
        <w:right w:val="none" w:sz="0" w:space="0" w:color="auto"/>
      </w:divBdr>
    </w:div>
    <w:div w:id="183789935">
      <w:bodyDiv w:val="1"/>
      <w:marLeft w:val="0"/>
      <w:marRight w:val="0"/>
      <w:marTop w:val="0"/>
      <w:marBottom w:val="0"/>
      <w:divBdr>
        <w:top w:val="none" w:sz="0" w:space="0" w:color="auto"/>
        <w:left w:val="none" w:sz="0" w:space="0" w:color="auto"/>
        <w:bottom w:val="none" w:sz="0" w:space="0" w:color="auto"/>
        <w:right w:val="none" w:sz="0" w:space="0" w:color="auto"/>
      </w:divBdr>
    </w:div>
    <w:div w:id="193807149">
      <w:bodyDiv w:val="1"/>
      <w:marLeft w:val="0"/>
      <w:marRight w:val="0"/>
      <w:marTop w:val="0"/>
      <w:marBottom w:val="0"/>
      <w:divBdr>
        <w:top w:val="none" w:sz="0" w:space="0" w:color="auto"/>
        <w:left w:val="none" w:sz="0" w:space="0" w:color="auto"/>
        <w:bottom w:val="none" w:sz="0" w:space="0" w:color="auto"/>
        <w:right w:val="none" w:sz="0" w:space="0" w:color="auto"/>
      </w:divBdr>
    </w:div>
    <w:div w:id="206725139">
      <w:bodyDiv w:val="1"/>
      <w:marLeft w:val="0"/>
      <w:marRight w:val="0"/>
      <w:marTop w:val="0"/>
      <w:marBottom w:val="0"/>
      <w:divBdr>
        <w:top w:val="none" w:sz="0" w:space="0" w:color="auto"/>
        <w:left w:val="none" w:sz="0" w:space="0" w:color="auto"/>
        <w:bottom w:val="none" w:sz="0" w:space="0" w:color="auto"/>
        <w:right w:val="none" w:sz="0" w:space="0" w:color="auto"/>
      </w:divBdr>
    </w:div>
    <w:div w:id="250160572">
      <w:bodyDiv w:val="1"/>
      <w:marLeft w:val="0"/>
      <w:marRight w:val="0"/>
      <w:marTop w:val="0"/>
      <w:marBottom w:val="0"/>
      <w:divBdr>
        <w:top w:val="none" w:sz="0" w:space="0" w:color="auto"/>
        <w:left w:val="none" w:sz="0" w:space="0" w:color="auto"/>
        <w:bottom w:val="none" w:sz="0" w:space="0" w:color="auto"/>
        <w:right w:val="none" w:sz="0" w:space="0" w:color="auto"/>
      </w:divBdr>
    </w:div>
    <w:div w:id="298456542">
      <w:bodyDiv w:val="1"/>
      <w:marLeft w:val="0"/>
      <w:marRight w:val="0"/>
      <w:marTop w:val="0"/>
      <w:marBottom w:val="0"/>
      <w:divBdr>
        <w:top w:val="none" w:sz="0" w:space="0" w:color="auto"/>
        <w:left w:val="none" w:sz="0" w:space="0" w:color="auto"/>
        <w:bottom w:val="none" w:sz="0" w:space="0" w:color="auto"/>
        <w:right w:val="none" w:sz="0" w:space="0" w:color="auto"/>
      </w:divBdr>
    </w:div>
    <w:div w:id="330916521">
      <w:bodyDiv w:val="1"/>
      <w:marLeft w:val="0"/>
      <w:marRight w:val="0"/>
      <w:marTop w:val="0"/>
      <w:marBottom w:val="0"/>
      <w:divBdr>
        <w:top w:val="none" w:sz="0" w:space="0" w:color="auto"/>
        <w:left w:val="none" w:sz="0" w:space="0" w:color="auto"/>
        <w:bottom w:val="none" w:sz="0" w:space="0" w:color="auto"/>
        <w:right w:val="none" w:sz="0" w:space="0" w:color="auto"/>
      </w:divBdr>
    </w:div>
    <w:div w:id="336931650">
      <w:bodyDiv w:val="1"/>
      <w:marLeft w:val="0"/>
      <w:marRight w:val="0"/>
      <w:marTop w:val="0"/>
      <w:marBottom w:val="0"/>
      <w:divBdr>
        <w:top w:val="none" w:sz="0" w:space="0" w:color="auto"/>
        <w:left w:val="none" w:sz="0" w:space="0" w:color="auto"/>
        <w:bottom w:val="none" w:sz="0" w:space="0" w:color="auto"/>
        <w:right w:val="none" w:sz="0" w:space="0" w:color="auto"/>
      </w:divBdr>
    </w:div>
    <w:div w:id="343435159">
      <w:bodyDiv w:val="1"/>
      <w:marLeft w:val="0"/>
      <w:marRight w:val="0"/>
      <w:marTop w:val="0"/>
      <w:marBottom w:val="0"/>
      <w:divBdr>
        <w:top w:val="none" w:sz="0" w:space="0" w:color="auto"/>
        <w:left w:val="none" w:sz="0" w:space="0" w:color="auto"/>
        <w:bottom w:val="none" w:sz="0" w:space="0" w:color="auto"/>
        <w:right w:val="none" w:sz="0" w:space="0" w:color="auto"/>
      </w:divBdr>
    </w:div>
    <w:div w:id="377629750">
      <w:bodyDiv w:val="1"/>
      <w:marLeft w:val="0"/>
      <w:marRight w:val="0"/>
      <w:marTop w:val="0"/>
      <w:marBottom w:val="0"/>
      <w:divBdr>
        <w:top w:val="none" w:sz="0" w:space="0" w:color="auto"/>
        <w:left w:val="none" w:sz="0" w:space="0" w:color="auto"/>
        <w:bottom w:val="none" w:sz="0" w:space="0" w:color="auto"/>
        <w:right w:val="none" w:sz="0" w:space="0" w:color="auto"/>
      </w:divBdr>
    </w:div>
    <w:div w:id="389694654">
      <w:bodyDiv w:val="1"/>
      <w:marLeft w:val="0"/>
      <w:marRight w:val="0"/>
      <w:marTop w:val="0"/>
      <w:marBottom w:val="0"/>
      <w:divBdr>
        <w:top w:val="none" w:sz="0" w:space="0" w:color="auto"/>
        <w:left w:val="none" w:sz="0" w:space="0" w:color="auto"/>
        <w:bottom w:val="none" w:sz="0" w:space="0" w:color="auto"/>
        <w:right w:val="none" w:sz="0" w:space="0" w:color="auto"/>
      </w:divBdr>
    </w:div>
    <w:div w:id="417795266">
      <w:bodyDiv w:val="1"/>
      <w:marLeft w:val="0"/>
      <w:marRight w:val="0"/>
      <w:marTop w:val="0"/>
      <w:marBottom w:val="0"/>
      <w:divBdr>
        <w:top w:val="none" w:sz="0" w:space="0" w:color="auto"/>
        <w:left w:val="none" w:sz="0" w:space="0" w:color="auto"/>
        <w:bottom w:val="none" w:sz="0" w:space="0" w:color="auto"/>
        <w:right w:val="none" w:sz="0" w:space="0" w:color="auto"/>
      </w:divBdr>
    </w:div>
    <w:div w:id="421266415">
      <w:bodyDiv w:val="1"/>
      <w:marLeft w:val="0"/>
      <w:marRight w:val="0"/>
      <w:marTop w:val="0"/>
      <w:marBottom w:val="0"/>
      <w:divBdr>
        <w:top w:val="none" w:sz="0" w:space="0" w:color="auto"/>
        <w:left w:val="none" w:sz="0" w:space="0" w:color="auto"/>
        <w:bottom w:val="none" w:sz="0" w:space="0" w:color="auto"/>
        <w:right w:val="none" w:sz="0" w:space="0" w:color="auto"/>
      </w:divBdr>
    </w:div>
    <w:div w:id="423693550">
      <w:bodyDiv w:val="1"/>
      <w:marLeft w:val="0"/>
      <w:marRight w:val="0"/>
      <w:marTop w:val="0"/>
      <w:marBottom w:val="0"/>
      <w:divBdr>
        <w:top w:val="none" w:sz="0" w:space="0" w:color="auto"/>
        <w:left w:val="none" w:sz="0" w:space="0" w:color="auto"/>
        <w:bottom w:val="none" w:sz="0" w:space="0" w:color="auto"/>
        <w:right w:val="none" w:sz="0" w:space="0" w:color="auto"/>
      </w:divBdr>
    </w:div>
    <w:div w:id="429156548">
      <w:bodyDiv w:val="1"/>
      <w:marLeft w:val="0"/>
      <w:marRight w:val="0"/>
      <w:marTop w:val="0"/>
      <w:marBottom w:val="0"/>
      <w:divBdr>
        <w:top w:val="none" w:sz="0" w:space="0" w:color="auto"/>
        <w:left w:val="none" w:sz="0" w:space="0" w:color="auto"/>
        <w:bottom w:val="none" w:sz="0" w:space="0" w:color="auto"/>
        <w:right w:val="none" w:sz="0" w:space="0" w:color="auto"/>
      </w:divBdr>
    </w:div>
    <w:div w:id="433088872">
      <w:bodyDiv w:val="1"/>
      <w:marLeft w:val="0"/>
      <w:marRight w:val="0"/>
      <w:marTop w:val="0"/>
      <w:marBottom w:val="0"/>
      <w:divBdr>
        <w:top w:val="none" w:sz="0" w:space="0" w:color="auto"/>
        <w:left w:val="none" w:sz="0" w:space="0" w:color="auto"/>
        <w:bottom w:val="none" w:sz="0" w:space="0" w:color="auto"/>
        <w:right w:val="none" w:sz="0" w:space="0" w:color="auto"/>
      </w:divBdr>
    </w:div>
    <w:div w:id="499665654">
      <w:bodyDiv w:val="1"/>
      <w:marLeft w:val="0"/>
      <w:marRight w:val="0"/>
      <w:marTop w:val="0"/>
      <w:marBottom w:val="0"/>
      <w:divBdr>
        <w:top w:val="none" w:sz="0" w:space="0" w:color="auto"/>
        <w:left w:val="none" w:sz="0" w:space="0" w:color="auto"/>
        <w:bottom w:val="none" w:sz="0" w:space="0" w:color="auto"/>
        <w:right w:val="none" w:sz="0" w:space="0" w:color="auto"/>
      </w:divBdr>
    </w:div>
    <w:div w:id="507018953">
      <w:bodyDiv w:val="1"/>
      <w:marLeft w:val="0"/>
      <w:marRight w:val="0"/>
      <w:marTop w:val="0"/>
      <w:marBottom w:val="0"/>
      <w:divBdr>
        <w:top w:val="none" w:sz="0" w:space="0" w:color="auto"/>
        <w:left w:val="none" w:sz="0" w:space="0" w:color="auto"/>
        <w:bottom w:val="none" w:sz="0" w:space="0" w:color="auto"/>
        <w:right w:val="none" w:sz="0" w:space="0" w:color="auto"/>
      </w:divBdr>
    </w:div>
    <w:div w:id="530187615">
      <w:bodyDiv w:val="1"/>
      <w:marLeft w:val="0"/>
      <w:marRight w:val="0"/>
      <w:marTop w:val="0"/>
      <w:marBottom w:val="0"/>
      <w:divBdr>
        <w:top w:val="none" w:sz="0" w:space="0" w:color="auto"/>
        <w:left w:val="none" w:sz="0" w:space="0" w:color="auto"/>
        <w:bottom w:val="none" w:sz="0" w:space="0" w:color="auto"/>
        <w:right w:val="none" w:sz="0" w:space="0" w:color="auto"/>
      </w:divBdr>
    </w:div>
    <w:div w:id="558588076">
      <w:bodyDiv w:val="1"/>
      <w:marLeft w:val="0"/>
      <w:marRight w:val="0"/>
      <w:marTop w:val="0"/>
      <w:marBottom w:val="0"/>
      <w:divBdr>
        <w:top w:val="none" w:sz="0" w:space="0" w:color="auto"/>
        <w:left w:val="none" w:sz="0" w:space="0" w:color="auto"/>
        <w:bottom w:val="none" w:sz="0" w:space="0" w:color="auto"/>
        <w:right w:val="none" w:sz="0" w:space="0" w:color="auto"/>
      </w:divBdr>
    </w:div>
    <w:div w:id="561984574">
      <w:bodyDiv w:val="1"/>
      <w:marLeft w:val="0"/>
      <w:marRight w:val="0"/>
      <w:marTop w:val="0"/>
      <w:marBottom w:val="0"/>
      <w:divBdr>
        <w:top w:val="none" w:sz="0" w:space="0" w:color="auto"/>
        <w:left w:val="none" w:sz="0" w:space="0" w:color="auto"/>
        <w:bottom w:val="none" w:sz="0" w:space="0" w:color="auto"/>
        <w:right w:val="none" w:sz="0" w:space="0" w:color="auto"/>
      </w:divBdr>
    </w:div>
    <w:div w:id="569386127">
      <w:bodyDiv w:val="1"/>
      <w:marLeft w:val="0"/>
      <w:marRight w:val="0"/>
      <w:marTop w:val="0"/>
      <w:marBottom w:val="0"/>
      <w:divBdr>
        <w:top w:val="none" w:sz="0" w:space="0" w:color="auto"/>
        <w:left w:val="none" w:sz="0" w:space="0" w:color="auto"/>
        <w:bottom w:val="none" w:sz="0" w:space="0" w:color="auto"/>
        <w:right w:val="none" w:sz="0" w:space="0" w:color="auto"/>
      </w:divBdr>
    </w:div>
    <w:div w:id="600066120">
      <w:bodyDiv w:val="1"/>
      <w:marLeft w:val="0"/>
      <w:marRight w:val="0"/>
      <w:marTop w:val="0"/>
      <w:marBottom w:val="0"/>
      <w:divBdr>
        <w:top w:val="none" w:sz="0" w:space="0" w:color="auto"/>
        <w:left w:val="none" w:sz="0" w:space="0" w:color="auto"/>
        <w:bottom w:val="none" w:sz="0" w:space="0" w:color="auto"/>
        <w:right w:val="none" w:sz="0" w:space="0" w:color="auto"/>
      </w:divBdr>
    </w:div>
    <w:div w:id="619335279">
      <w:bodyDiv w:val="1"/>
      <w:marLeft w:val="0"/>
      <w:marRight w:val="0"/>
      <w:marTop w:val="0"/>
      <w:marBottom w:val="0"/>
      <w:divBdr>
        <w:top w:val="none" w:sz="0" w:space="0" w:color="auto"/>
        <w:left w:val="none" w:sz="0" w:space="0" w:color="auto"/>
        <w:bottom w:val="none" w:sz="0" w:space="0" w:color="auto"/>
        <w:right w:val="none" w:sz="0" w:space="0" w:color="auto"/>
      </w:divBdr>
    </w:div>
    <w:div w:id="647563058">
      <w:bodyDiv w:val="1"/>
      <w:marLeft w:val="0"/>
      <w:marRight w:val="0"/>
      <w:marTop w:val="0"/>
      <w:marBottom w:val="0"/>
      <w:divBdr>
        <w:top w:val="none" w:sz="0" w:space="0" w:color="auto"/>
        <w:left w:val="none" w:sz="0" w:space="0" w:color="auto"/>
        <w:bottom w:val="none" w:sz="0" w:space="0" w:color="auto"/>
        <w:right w:val="none" w:sz="0" w:space="0" w:color="auto"/>
      </w:divBdr>
    </w:div>
    <w:div w:id="657272787">
      <w:bodyDiv w:val="1"/>
      <w:marLeft w:val="0"/>
      <w:marRight w:val="0"/>
      <w:marTop w:val="0"/>
      <w:marBottom w:val="0"/>
      <w:divBdr>
        <w:top w:val="none" w:sz="0" w:space="0" w:color="auto"/>
        <w:left w:val="none" w:sz="0" w:space="0" w:color="auto"/>
        <w:bottom w:val="none" w:sz="0" w:space="0" w:color="auto"/>
        <w:right w:val="none" w:sz="0" w:space="0" w:color="auto"/>
      </w:divBdr>
    </w:div>
    <w:div w:id="658195111">
      <w:bodyDiv w:val="1"/>
      <w:marLeft w:val="0"/>
      <w:marRight w:val="0"/>
      <w:marTop w:val="0"/>
      <w:marBottom w:val="0"/>
      <w:divBdr>
        <w:top w:val="none" w:sz="0" w:space="0" w:color="auto"/>
        <w:left w:val="none" w:sz="0" w:space="0" w:color="auto"/>
        <w:bottom w:val="none" w:sz="0" w:space="0" w:color="auto"/>
        <w:right w:val="none" w:sz="0" w:space="0" w:color="auto"/>
      </w:divBdr>
    </w:div>
    <w:div w:id="677924574">
      <w:bodyDiv w:val="1"/>
      <w:marLeft w:val="0"/>
      <w:marRight w:val="0"/>
      <w:marTop w:val="0"/>
      <w:marBottom w:val="0"/>
      <w:divBdr>
        <w:top w:val="none" w:sz="0" w:space="0" w:color="auto"/>
        <w:left w:val="none" w:sz="0" w:space="0" w:color="auto"/>
        <w:bottom w:val="none" w:sz="0" w:space="0" w:color="auto"/>
        <w:right w:val="none" w:sz="0" w:space="0" w:color="auto"/>
      </w:divBdr>
    </w:div>
    <w:div w:id="688530215">
      <w:bodyDiv w:val="1"/>
      <w:marLeft w:val="0"/>
      <w:marRight w:val="0"/>
      <w:marTop w:val="0"/>
      <w:marBottom w:val="0"/>
      <w:divBdr>
        <w:top w:val="none" w:sz="0" w:space="0" w:color="auto"/>
        <w:left w:val="none" w:sz="0" w:space="0" w:color="auto"/>
        <w:bottom w:val="none" w:sz="0" w:space="0" w:color="auto"/>
        <w:right w:val="none" w:sz="0" w:space="0" w:color="auto"/>
      </w:divBdr>
    </w:div>
    <w:div w:id="714349793">
      <w:bodyDiv w:val="1"/>
      <w:marLeft w:val="0"/>
      <w:marRight w:val="0"/>
      <w:marTop w:val="0"/>
      <w:marBottom w:val="0"/>
      <w:divBdr>
        <w:top w:val="none" w:sz="0" w:space="0" w:color="auto"/>
        <w:left w:val="none" w:sz="0" w:space="0" w:color="auto"/>
        <w:bottom w:val="none" w:sz="0" w:space="0" w:color="auto"/>
        <w:right w:val="none" w:sz="0" w:space="0" w:color="auto"/>
      </w:divBdr>
    </w:div>
    <w:div w:id="723262961">
      <w:bodyDiv w:val="1"/>
      <w:marLeft w:val="0"/>
      <w:marRight w:val="0"/>
      <w:marTop w:val="0"/>
      <w:marBottom w:val="0"/>
      <w:divBdr>
        <w:top w:val="none" w:sz="0" w:space="0" w:color="auto"/>
        <w:left w:val="none" w:sz="0" w:space="0" w:color="auto"/>
        <w:bottom w:val="none" w:sz="0" w:space="0" w:color="auto"/>
        <w:right w:val="none" w:sz="0" w:space="0" w:color="auto"/>
      </w:divBdr>
    </w:div>
    <w:div w:id="755248966">
      <w:bodyDiv w:val="1"/>
      <w:marLeft w:val="0"/>
      <w:marRight w:val="0"/>
      <w:marTop w:val="0"/>
      <w:marBottom w:val="0"/>
      <w:divBdr>
        <w:top w:val="none" w:sz="0" w:space="0" w:color="auto"/>
        <w:left w:val="none" w:sz="0" w:space="0" w:color="auto"/>
        <w:bottom w:val="none" w:sz="0" w:space="0" w:color="auto"/>
        <w:right w:val="none" w:sz="0" w:space="0" w:color="auto"/>
      </w:divBdr>
    </w:div>
    <w:div w:id="769542010">
      <w:bodyDiv w:val="1"/>
      <w:marLeft w:val="0"/>
      <w:marRight w:val="0"/>
      <w:marTop w:val="0"/>
      <w:marBottom w:val="0"/>
      <w:divBdr>
        <w:top w:val="none" w:sz="0" w:space="0" w:color="auto"/>
        <w:left w:val="none" w:sz="0" w:space="0" w:color="auto"/>
        <w:bottom w:val="none" w:sz="0" w:space="0" w:color="auto"/>
        <w:right w:val="none" w:sz="0" w:space="0" w:color="auto"/>
      </w:divBdr>
    </w:div>
    <w:div w:id="793254719">
      <w:bodyDiv w:val="1"/>
      <w:marLeft w:val="0"/>
      <w:marRight w:val="0"/>
      <w:marTop w:val="0"/>
      <w:marBottom w:val="0"/>
      <w:divBdr>
        <w:top w:val="none" w:sz="0" w:space="0" w:color="auto"/>
        <w:left w:val="none" w:sz="0" w:space="0" w:color="auto"/>
        <w:bottom w:val="none" w:sz="0" w:space="0" w:color="auto"/>
        <w:right w:val="none" w:sz="0" w:space="0" w:color="auto"/>
      </w:divBdr>
    </w:div>
    <w:div w:id="794832445">
      <w:bodyDiv w:val="1"/>
      <w:marLeft w:val="0"/>
      <w:marRight w:val="0"/>
      <w:marTop w:val="0"/>
      <w:marBottom w:val="0"/>
      <w:divBdr>
        <w:top w:val="none" w:sz="0" w:space="0" w:color="auto"/>
        <w:left w:val="none" w:sz="0" w:space="0" w:color="auto"/>
        <w:bottom w:val="none" w:sz="0" w:space="0" w:color="auto"/>
        <w:right w:val="none" w:sz="0" w:space="0" w:color="auto"/>
      </w:divBdr>
    </w:div>
    <w:div w:id="798495993">
      <w:bodyDiv w:val="1"/>
      <w:marLeft w:val="0"/>
      <w:marRight w:val="0"/>
      <w:marTop w:val="0"/>
      <w:marBottom w:val="0"/>
      <w:divBdr>
        <w:top w:val="none" w:sz="0" w:space="0" w:color="auto"/>
        <w:left w:val="none" w:sz="0" w:space="0" w:color="auto"/>
        <w:bottom w:val="none" w:sz="0" w:space="0" w:color="auto"/>
        <w:right w:val="none" w:sz="0" w:space="0" w:color="auto"/>
      </w:divBdr>
    </w:div>
    <w:div w:id="812067734">
      <w:bodyDiv w:val="1"/>
      <w:marLeft w:val="0"/>
      <w:marRight w:val="0"/>
      <w:marTop w:val="0"/>
      <w:marBottom w:val="0"/>
      <w:divBdr>
        <w:top w:val="none" w:sz="0" w:space="0" w:color="auto"/>
        <w:left w:val="none" w:sz="0" w:space="0" w:color="auto"/>
        <w:bottom w:val="none" w:sz="0" w:space="0" w:color="auto"/>
        <w:right w:val="none" w:sz="0" w:space="0" w:color="auto"/>
      </w:divBdr>
    </w:div>
    <w:div w:id="870648412">
      <w:bodyDiv w:val="1"/>
      <w:marLeft w:val="0"/>
      <w:marRight w:val="0"/>
      <w:marTop w:val="0"/>
      <w:marBottom w:val="0"/>
      <w:divBdr>
        <w:top w:val="none" w:sz="0" w:space="0" w:color="auto"/>
        <w:left w:val="none" w:sz="0" w:space="0" w:color="auto"/>
        <w:bottom w:val="none" w:sz="0" w:space="0" w:color="auto"/>
        <w:right w:val="none" w:sz="0" w:space="0" w:color="auto"/>
      </w:divBdr>
    </w:div>
    <w:div w:id="923491887">
      <w:bodyDiv w:val="1"/>
      <w:marLeft w:val="0"/>
      <w:marRight w:val="0"/>
      <w:marTop w:val="0"/>
      <w:marBottom w:val="0"/>
      <w:divBdr>
        <w:top w:val="none" w:sz="0" w:space="0" w:color="auto"/>
        <w:left w:val="none" w:sz="0" w:space="0" w:color="auto"/>
        <w:bottom w:val="none" w:sz="0" w:space="0" w:color="auto"/>
        <w:right w:val="none" w:sz="0" w:space="0" w:color="auto"/>
      </w:divBdr>
    </w:div>
    <w:div w:id="952052756">
      <w:bodyDiv w:val="1"/>
      <w:marLeft w:val="0"/>
      <w:marRight w:val="0"/>
      <w:marTop w:val="0"/>
      <w:marBottom w:val="0"/>
      <w:divBdr>
        <w:top w:val="none" w:sz="0" w:space="0" w:color="auto"/>
        <w:left w:val="none" w:sz="0" w:space="0" w:color="auto"/>
        <w:bottom w:val="none" w:sz="0" w:space="0" w:color="auto"/>
        <w:right w:val="none" w:sz="0" w:space="0" w:color="auto"/>
      </w:divBdr>
    </w:div>
    <w:div w:id="986664059">
      <w:bodyDiv w:val="1"/>
      <w:marLeft w:val="0"/>
      <w:marRight w:val="0"/>
      <w:marTop w:val="0"/>
      <w:marBottom w:val="0"/>
      <w:divBdr>
        <w:top w:val="none" w:sz="0" w:space="0" w:color="auto"/>
        <w:left w:val="none" w:sz="0" w:space="0" w:color="auto"/>
        <w:bottom w:val="none" w:sz="0" w:space="0" w:color="auto"/>
        <w:right w:val="none" w:sz="0" w:space="0" w:color="auto"/>
      </w:divBdr>
    </w:div>
    <w:div w:id="986863486">
      <w:bodyDiv w:val="1"/>
      <w:marLeft w:val="0"/>
      <w:marRight w:val="0"/>
      <w:marTop w:val="0"/>
      <w:marBottom w:val="0"/>
      <w:divBdr>
        <w:top w:val="none" w:sz="0" w:space="0" w:color="auto"/>
        <w:left w:val="none" w:sz="0" w:space="0" w:color="auto"/>
        <w:bottom w:val="none" w:sz="0" w:space="0" w:color="auto"/>
        <w:right w:val="none" w:sz="0" w:space="0" w:color="auto"/>
      </w:divBdr>
    </w:div>
    <w:div w:id="1009910144">
      <w:bodyDiv w:val="1"/>
      <w:marLeft w:val="0"/>
      <w:marRight w:val="0"/>
      <w:marTop w:val="0"/>
      <w:marBottom w:val="0"/>
      <w:divBdr>
        <w:top w:val="none" w:sz="0" w:space="0" w:color="auto"/>
        <w:left w:val="none" w:sz="0" w:space="0" w:color="auto"/>
        <w:bottom w:val="none" w:sz="0" w:space="0" w:color="auto"/>
        <w:right w:val="none" w:sz="0" w:space="0" w:color="auto"/>
      </w:divBdr>
    </w:div>
    <w:div w:id="1016232808">
      <w:bodyDiv w:val="1"/>
      <w:marLeft w:val="0"/>
      <w:marRight w:val="0"/>
      <w:marTop w:val="0"/>
      <w:marBottom w:val="0"/>
      <w:divBdr>
        <w:top w:val="none" w:sz="0" w:space="0" w:color="auto"/>
        <w:left w:val="none" w:sz="0" w:space="0" w:color="auto"/>
        <w:bottom w:val="none" w:sz="0" w:space="0" w:color="auto"/>
        <w:right w:val="none" w:sz="0" w:space="0" w:color="auto"/>
      </w:divBdr>
    </w:div>
    <w:div w:id="1042049709">
      <w:bodyDiv w:val="1"/>
      <w:marLeft w:val="0"/>
      <w:marRight w:val="0"/>
      <w:marTop w:val="0"/>
      <w:marBottom w:val="0"/>
      <w:divBdr>
        <w:top w:val="none" w:sz="0" w:space="0" w:color="auto"/>
        <w:left w:val="none" w:sz="0" w:space="0" w:color="auto"/>
        <w:bottom w:val="none" w:sz="0" w:space="0" w:color="auto"/>
        <w:right w:val="none" w:sz="0" w:space="0" w:color="auto"/>
      </w:divBdr>
    </w:div>
    <w:div w:id="1052652299">
      <w:bodyDiv w:val="1"/>
      <w:marLeft w:val="0"/>
      <w:marRight w:val="0"/>
      <w:marTop w:val="0"/>
      <w:marBottom w:val="0"/>
      <w:divBdr>
        <w:top w:val="none" w:sz="0" w:space="0" w:color="auto"/>
        <w:left w:val="none" w:sz="0" w:space="0" w:color="auto"/>
        <w:bottom w:val="none" w:sz="0" w:space="0" w:color="auto"/>
        <w:right w:val="none" w:sz="0" w:space="0" w:color="auto"/>
      </w:divBdr>
    </w:div>
    <w:div w:id="1057363212">
      <w:bodyDiv w:val="1"/>
      <w:marLeft w:val="0"/>
      <w:marRight w:val="0"/>
      <w:marTop w:val="0"/>
      <w:marBottom w:val="0"/>
      <w:divBdr>
        <w:top w:val="none" w:sz="0" w:space="0" w:color="auto"/>
        <w:left w:val="none" w:sz="0" w:space="0" w:color="auto"/>
        <w:bottom w:val="none" w:sz="0" w:space="0" w:color="auto"/>
        <w:right w:val="none" w:sz="0" w:space="0" w:color="auto"/>
      </w:divBdr>
    </w:div>
    <w:div w:id="1062483064">
      <w:bodyDiv w:val="1"/>
      <w:marLeft w:val="0"/>
      <w:marRight w:val="0"/>
      <w:marTop w:val="0"/>
      <w:marBottom w:val="0"/>
      <w:divBdr>
        <w:top w:val="none" w:sz="0" w:space="0" w:color="auto"/>
        <w:left w:val="none" w:sz="0" w:space="0" w:color="auto"/>
        <w:bottom w:val="none" w:sz="0" w:space="0" w:color="auto"/>
        <w:right w:val="none" w:sz="0" w:space="0" w:color="auto"/>
      </w:divBdr>
    </w:div>
    <w:div w:id="1081413868">
      <w:bodyDiv w:val="1"/>
      <w:marLeft w:val="0"/>
      <w:marRight w:val="0"/>
      <w:marTop w:val="0"/>
      <w:marBottom w:val="0"/>
      <w:divBdr>
        <w:top w:val="none" w:sz="0" w:space="0" w:color="auto"/>
        <w:left w:val="none" w:sz="0" w:space="0" w:color="auto"/>
        <w:bottom w:val="none" w:sz="0" w:space="0" w:color="auto"/>
        <w:right w:val="none" w:sz="0" w:space="0" w:color="auto"/>
      </w:divBdr>
    </w:div>
    <w:div w:id="1126504045">
      <w:bodyDiv w:val="1"/>
      <w:marLeft w:val="0"/>
      <w:marRight w:val="0"/>
      <w:marTop w:val="0"/>
      <w:marBottom w:val="0"/>
      <w:divBdr>
        <w:top w:val="none" w:sz="0" w:space="0" w:color="auto"/>
        <w:left w:val="none" w:sz="0" w:space="0" w:color="auto"/>
        <w:bottom w:val="none" w:sz="0" w:space="0" w:color="auto"/>
        <w:right w:val="none" w:sz="0" w:space="0" w:color="auto"/>
      </w:divBdr>
    </w:div>
    <w:div w:id="1128157908">
      <w:bodyDiv w:val="1"/>
      <w:marLeft w:val="0"/>
      <w:marRight w:val="0"/>
      <w:marTop w:val="0"/>
      <w:marBottom w:val="0"/>
      <w:divBdr>
        <w:top w:val="none" w:sz="0" w:space="0" w:color="auto"/>
        <w:left w:val="none" w:sz="0" w:space="0" w:color="auto"/>
        <w:bottom w:val="none" w:sz="0" w:space="0" w:color="auto"/>
        <w:right w:val="none" w:sz="0" w:space="0" w:color="auto"/>
      </w:divBdr>
    </w:div>
    <w:div w:id="1165975203">
      <w:bodyDiv w:val="1"/>
      <w:marLeft w:val="0"/>
      <w:marRight w:val="0"/>
      <w:marTop w:val="0"/>
      <w:marBottom w:val="0"/>
      <w:divBdr>
        <w:top w:val="none" w:sz="0" w:space="0" w:color="auto"/>
        <w:left w:val="none" w:sz="0" w:space="0" w:color="auto"/>
        <w:bottom w:val="none" w:sz="0" w:space="0" w:color="auto"/>
        <w:right w:val="none" w:sz="0" w:space="0" w:color="auto"/>
      </w:divBdr>
    </w:div>
    <w:div w:id="1168206679">
      <w:bodyDiv w:val="1"/>
      <w:marLeft w:val="0"/>
      <w:marRight w:val="0"/>
      <w:marTop w:val="0"/>
      <w:marBottom w:val="0"/>
      <w:divBdr>
        <w:top w:val="none" w:sz="0" w:space="0" w:color="auto"/>
        <w:left w:val="none" w:sz="0" w:space="0" w:color="auto"/>
        <w:bottom w:val="none" w:sz="0" w:space="0" w:color="auto"/>
        <w:right w:val="none" w:sz="0" w:space="0" w:color="auto"/>
      </w:divBdr>
    </w:div>
    <w:div w:id="1206481328">
      <w:bodyDiv w:val="1"/>
      <w:marLeft w:val="0"/>
      <w:marRight w:val="0"/>
      <w:marTop w:val="0"/>
      <w:marBottom w:val="0"/>
      <w:divBdr>
        <w:top w:val="none" w:sz="0" w:space="0" w:color="auto"/>
        <w:left w:val="none" w:sz="0" w:space="0" w:color="auto"/>
        <w:bottom w:val="none" w:sz="0" w:space="0" w:color="auto"/>
        <w:right w:val="none" w:sz="0" w:space="0" w:color="auto"/>
      </w:divBdr>
    </w:div>
    <w:div w:id="1233732165">
      <w:bodyDiv w:val="1"/>
      <w:marLeft w:val="0"/>
      <w:marRight w:val="0"/>
      <w:marTop w:val="0"/>
      <w:marBottom w:val="0"/>
      <w:divBdr>
        <w:top w:val="none" w:sz="0" w:space="0" w:color="auto"/>
        <w:left w:val="none" w:sz="0" w:space="0" w:color="auto"/>
        <w:bottom w:val="none" w:sz="0" w:space="0" w:color="auto"/>
        <w:right w:val="none" w:sz="0" w:space="0" w:color="auto"/>
      </w:divBdr>
    </w:div>
    <w:div w:id="1257522318">
      <w:bodyDiv w:val="1"/>
      <w:marLeft w:val="0"/>
      <w:marRight w:val="0"/>
      <w:marTop w:val="0"/>
      <w:marBottom w:val="0"/>
      <w:divBdr>
        <w:top w:val="none" w:sz="0" w:space="0" w:color="auto"/>
        <w:left w:val="none" w:sz="0" w:space="0" w:color="auto"/>
        <w:bottom w:val="none" w:sz="0" w:space="0" w:color="auto"/>
        <w:right w:val="none" w:sz="0" w:space="0" w:color="auto"/>
      </w:divBdr>
    </w:div>
    <w:div w:id="1276251529">
      <w:bodyDiv w:val="1"/>
      <w:marLeft w:val="0"/>
      <w:marRight w:val="0"/>
      <w:marTop w:val="0"/>
      <w:marBottom w:val="0"/>
      <w:divBdr>
        <w:top w:val="none" w:sz="0" w:space="0" w:color="auto"/>
        <w:left w:val="none" w:sz="0" w:space="0" w:color="auto"/>
        <w:bottom w:val="none" w:sz="0" w:space="0" w:color="auto"/>
        <w:right w:val="none" w:sz="0" w:space="0" w:color="auto"/>
      </w:divBdr>
    </w:div>
    <w:div w:id="1283340658">
      <w:bodyDiv w:val="1"/>
      <w:marLeft w:val="0"/>
      <w:marRight w:val="0"/>
      <w:marTop w:val="0"/>
      <w:marBottom w:val="0"/>
      <w:divBdr>
        <w:top w:val="none" w:sz="0" w:space="0" w:color="auto"/>
        <w:left w:val="none" w:sz="0" w:space="0" w:color="auto"/>
        <w:bottom w:val="none" w:sz="0" w:space="0" w:color="auto"/>
        <w:right w:val="none" w:sz="0" w:space="0" w:color="auto"/>
      </w:divBdr>
    </w:div>
    <w:div w:id="1291981467">
      <w:bodyDiv w:val="1"/>
      <w:marLeft w:val="0"/>
      <w:marRight w:val="0"/>
      <w:marTop w:val="0"/>
      <w:marBottom w:val="0"/>
      <w:divBdr>
        <w:top w:val="none" w:sz="0" w:space="0" w:color="auto"/>
        <w:left w:val="none" w:sz="0" w:space="0" w:color="auto"/>
        <w:bottom w:val="none" w:sz="0" w:space="0" w:color="auto"/>
        <w:right w:val="none" w:sz="0" w:space="0" w:color="auto"/>
      </w:divBdr>
    </w:div>
    <w:div w:id="1292860478">
      <w:bodyDiv w:val="1"/>
      <w:marLeft w:val="0"/>
      <w:marRight w:val="0"/>
      <w:marTop w:val="0"/>
      <w:marBottom w:val="0"/>
      <w:divBdr>
        <w:top w:val="none" w:sz="0" w:space="0" w:color="auto"/>
        <w:left w:val="none" w:sz="0" w:space="0" w:color="auto"/>
        <w:bottom w:val="none" w:sz="0" w:space="0" w:color="auto"/>
        <w:right w:val="none" w:sz="0" w:space="0" w:color="auto"/>
      </w:divBdr>
    </w:div>
    <w:div w:id="1295521333">
      <w:bodyDiv w:val="1"/>
      <w:marLeft w:val="0"/>
      <w:marRight w:val="0"/>
      <w:marTop w:val="0"/>
      <w:marBottom w:val="0"/>
      <w:divBdr>
        <w:top w:val="none" w:sz="0" w:space="0" w:color="auto"/>
        <w:left w:val="none" w:sz="0" w:space="0" w:color="auto"/>
        <w:bottom w:val="none" w:sz="0" w:space="0" w:color="auto"/>
        <w:right w:val="none" w:sz="0" w:space="0" w:color="auto"/>
      </w:divBdr>
    </w:div>
    <w:div w:id="1338994133">
      <w:bodyDiv w:val="1"/>
      <w:marLeft w:val="0"/>
      <w:marRight w:val="0"/>
      <w:marTop w:val="0"/>
      <w:marBottom w:val="0"/>
      <w:divBdr>
        <w:top w:val="none" w:sz="0" w:space="0" w:color="auto"/>
        <w:left w:val="none" w:sz="0" w:space="0" w:color="auto"/>
        <w:bottom w:val="none" w:sz="0" w:space="0" w:color="auto"/>
        <w:right w:val="none" w:sz="0" w:space="0" w:color="auto"/>
      </w:divBdr>
    </w:div>
    <w:div w:id="1372337650">
      <w:bodyDiv w:val="1"/>
      <w:marLeft w:val="0"/>
      <w:marRight w:val="0"/>
      <w:marTop w:val="0"/>
      <w:marBottom w:val="0"/>
      <w:divBdr>
        <w:top w:val="none" w:sz="0" w:space="0" w:color="auto"/>
        <w:left w:val="none" w:sz="0" w:space="0" w:color="auto"/>
        <w:bottom w:val="none" w:sz="0" w:space="0" w:color="auto"/>
        <w:right w:val="none" w:sz="0" w:space="0" w:color="auto"/>
      </w:divBdr>
    </w:div>
    <w:div w:id="1394549697">
      <w:bodyDiv w:val="1"/>
      <w:marLeft w:val="0"/>
      <w:marRight w:val="0"/>
      <w:marTop w:val="0"/>
      <w:marBottom w:val="0"/>
      <w:divBdr>
        <w:top w:val="none" w:sz="0" w:space="0" w:color="auto"/>
        <w:left w:val="none" w:sz="0" w:space="0" w:color="auto"/>
        <w:bottom w:val="none" w:sz="0" w:space="0" w:color="auto"/>
        <w:right w:val="none" w:sz="0" w:space="0" w:color="auto"/>
      </w:divBdr>
    </w:div>
    <w:div w:id="1439134983">
      <w:bodyDiv w:val="1"/>
      <w:marLeft w:val="0"/>
      <w:marRight w:val="0"/>
      <w:marTop w:val="0"/>
      <w:marBottom w:val="0"/>
      <w:divBdr>
        <w:top w:val="none" w:sz="0" w:space="0" w:color="auto"/>
        <w:left w:val="none" w:sz="0" w:space="0" w:color="auto"/>
        <w:bottom w:val="none" w:sz="0" w:space="0" w:color="auto"/>
        <w:right w:val="none" w:sz="0" w:space="0" w:color="auto"/>
      </w:divBdr>
    </w:div>
    <w:div w:id="1450584802">
      <w:bodyDiv w:val="1"/>
      <w:marLeft w:val="0"/>
      <w:marRight w:val="0"/>
      <w:marTop w:val="0"/>
      <w:marBottom w:val="0"/>
      <w:divBdr>
        <w:top w:val="none" w:sz="0" w:space="0" w:color="auto"/>
        <w:left w:val="none" w:sz="0" w:space="0" w:color="auto"/>
        <w:bottom w:val="none" w:sz="0" w:space="0" w:color="auto"/>
        <w:right w:val="none" w:sz="0" w:space="0" w:color="auto"/>
      </w:divBdr>
    </w:div>
    <w:div w:id="1500577873">
      <w:bodyDiv w:val="1"/>
      <w:marLeft w:val="0"/>
      <w:marRight w:val="0"/>
      <w:marTop w:val="0"/>
      <w:marBottom w:val="0"/>
      <w:divBdr>
        <w:top w:val="none" w:sz="0" w:space="0" w:color="auto"/>
        <w:left w:val="none" w:sz="0" w:space="0" w:color="auto"/>
        <w:bottom w:val="none" w:sz="0" w:space="0" w:color="auto"/>
        <w:right w:val="none" w:sz="0" w:space="0" w:color="auto"/>
      </w:divBdr>
    </w:div>
    <w:div w:id="1527065240">
      <w:bodyDiv w:val="1"/>
      <w:marLeft w:val="0"/>
      <w:marRight w:val="0"/>
      <w:marTop w:val="0"/>
      <w:marBottom w:val="0"/>
      <w:divBdr>
        <w:top w:val="none" w:sz="0" w:space="0" w:color="auto"/>
        <w:left w:val="none" w:sz="0" w:space="0" w:color="auto"/>
        <w:bottom w:val="none" w:sz="0" w:space="0" w:color="auto"/>
        <w:right w:val="none" w:sz="0" w:space="0" w:color="auto"/>
      </w:divBdr>
    </w:div>
    <w:div w:id="1567842434">
      <w:bodyDiv w:val="1"/>
      <w:marLeft w:val="0"/>
      <w:marRight w:val="0"/>
      <w:marTop w:val="0"/>
      <w:marBottom w:val="0"/>
      <w:divBdr>
        <w:top w:val="none" w:sz="0" w:space="0" w:color="auto"/>
        <w:left w:val="none" w:sz="0" w:space="0" w:color="auto"/>
        <w:bottom w:val="none" w:sz="0" w:space="0" w:color="auto"/>
        <w:right w:val="none" w:sz="0" w:space="0" w:color="auto"/>
      </w:divBdr>
    </w:div>
    <w:div w:id="1646662725">
      <w:bodyDiv w:val="1"/>
      <w:marLeft w:val="0"/>
      <w:marRight w:val="0"/>
      <w:marTop w:val="0"/>
      <w:marBottom w:val="0"/>
      <w:divBdr>
        <w:top w:val="none" w:sz="0" w:space="0" w:color="auto"/>
        <w:left w:val="none" w:sz="0" w:space="0" w:color="auto"/>
        <w:bottom w:val="none" w:sz="0" w:space="0" w:color="auto"/>
        <w:right w:val="none" w:sz="0" w:space="0" w:color="auto"/>
      </w:divBdr>
    </w:div>
    <w:div w:id="1646735990">
      <w:bodyDiv w:val="1"/>
      <w:marLeft w:val="0"/>
      <w:marRight w:val="0"/>
      <w:marTop w:val="0"/>
      <w:marBottom w:val="0"/>
      <w:divBdr>
        <w:top w:val="none" w:sz="0" w:space="0" w:color="auto"/>
        <w:left w:val="none" w:sz="0" w:space="0" w:color="auto"/>
        <w:bottom w:val="none" w:sz="0" w:space="0" w:color="auto"/>
        <w:right w:val="none" w:sz="0" w:space="0" w:color="auto"/>
      </w:divBdr>
    </w:div>
    <w:div w:id="1731223813">
      <w:bodyDiv w:val="1"/>
      <w:marLeft w:val="0"/>
      <w:marRight w:val="0"/>
      <w:marTop w:val="0"/>
      <w:marBottom w:val="0"/>
      <w:divBdr>
        <w:top w:val="none" w:sz="0" w:space="0" w:color="auto"/>
        <w:left w:val="none" w:sz="0" w:space="0" w:color="auto"/>
        <w:bottom w:val="none" w:sz="0" w:space="0" w:color="auto"/>
        <w:right w:val="none" w:sz="0" w:space="0" w:color="auto"/>
      </w:divBdr>
    </w:div>
    <w:div w:id="1731347986">
      <w:bodyDiv w:val="1"/>
      <w:marLeft w:val="0"/>
      <w:marRight w:val="0"/>
      <w:marTop w:val="0"/>
      <w:marBottom w:val="0"/>
      <w:divBdr>
        <w:top w:val="none" w:sz="0" w:space="0" w:color="auto"/>
        <w:left w:val="none" w:sz="0" w:space="0" w:color="auto"/>
        <w:bottom w:val="none" w:sz="0" w:space="0" w:color="auto"/>
        <w:right w:val="none" w:sz="0" w:space="0" w:color="auto"/>
      </w:divBdr>
    </w:div>
    <w:div w:id="1750467248">
      <w:bodyDiv w:val="1"/>
      <w:marLeft w:val="0"/>
      <w:marRight w:val="0"/>
      <w:marTop w:val="0"/>
      <w:marBottom w:val="0"/>
      <w:divBdr>
        <w:top w:val="none" w:sz="0" w:space="0" w:color="auto"/>
        <w:left w:val="none" w:sz="0" w:space="0" w:color="auto"/>
        <w:bottom w:val="none" w:sz="0" w:space="0" w:color="auto"/>
        <w:right w:val="none" w:sz="0" w:space="0" w:color="auto"/>
      </w:divBdr>
    </w:div>
    <w:div w:id="1806389132">
      <w:bodyDiv w:val="1"/>
      <w:marLeft w:val="0"/>
      <w:marRight w:val="0"/>
      <w:marTop w:val="0"/>
      <w:marBottom w:val="0"/>
      <w:divBdr>
        <w:top w:val="none" w:sz="0" w:space="0" w:color="auto"/>
        <w:left w:val="none" w:sz="0" w:space="0" w:color="auto"/>
        <w:bottom w:val="none" w:sz="0" w:space="0" w:color="auto"/>
        <w:right w:val="none" w:sz="0" w:space="0" w:color="auto"/>
      </w:divBdr>
    </w:div>
    <w:div w:id="1830486153">
      <w:bodyDiv w:val="1"/>
      <w:marLeft w:val="0"/>
      <w:marRight w:val="0"/>
      <w:marTop w:val="0"/>
      <w:marBottom w:val="0"/>
      <w:divBdr>
        <w:top w:val="none" w:sz="0" w:space="0" w:color="auto"/>
        <w:left w:val="none" w:sz="0" w:space="0" w:color="auto"/>
        <w:bottom w:val="none" w:sz="0" w:space="0" w:color="auto"/>
        <w:right w:val="none" w:sz="0" w:space="0" w:color="auto"/>
      </w:divBdr>
    </w:div>
    <w:div w:id="1894543433">
      <w:bodyDiv w:val="1"/>
      <w:marLeft w:val="0"/>
      <w:marRight w:val="0"/>
      <w:marTop w:val="0"/>
      <w:marBottom w:val="0"/>
      <w:divBdr>
        <w:top w:val="none" w:sz="0" w:space="0" w:color="auto"/>
        <w:left w:val="none" w:sz="0" w:space="0" w:color="auto"/>
        <w:bottom w:val="none" w:sz="0" w:space="0" w:color="auto"/>
        <w:right w:val="none" w:sz="0" w:space="0" w:color="auto"/>
      </w:divBdr>
    </w:div>
    <w:div w:id="1935047839">
      <w:bodyDiv w:val="1"/>
      <w:marLeft w:val="0"/>
      <w:marRight w:val="0"/>
      <w:marTop w:val="0"/>
      <w:marBottom w:val="0"/>
      <w:divBdr>
        <w:top w:val="none" w:sz="0" w:space="0" w:color="auto"/>
        <w:left w:val="none" w:sz="0" w:space="0" w:color="auto"/>
        <w:bottom w:val="none" w:sz="0" w:space="0" w:color="auto"/>
        <w:right w:val="none" w:sz="0" w:space="0" w:color="auto"/>
      </w:divBdr>
    </w:div>
    <w:div w:id="1963876182">
      <w:bodyDiv w:val="1"/>
      <w:marLeft w:val="0"/>
      <w:marRight w:val="0"/>
      <w:marTop w:val="0"/>
      <w:marBottom w:val="0"/>
      <w:divBdr>
        <w:top w:val="none" w:sz="0" w:space="0" w:color="auto"/>
        <w:left w:val="none" w:sz="0" w:space="0" w:color="auto"/>
        <w:bottom w:val="none" w:sz="0" w:space="0" w:color="auto"/>
        <w:right w:val="none" w:sz="0" w:space="0" w:color="auto"/>
      </w:divBdr>
    </w:div>
    <w:div w:id="1968774770">
      <w:bodyDiv w:val="1"/>
      <w:marLeft w:val="0"/>
      <w:marRight w:val="0"/>
      <w:marTop w:val="0"/>
      <w:marBottom w:val="0"/>
      <w:divBdr>
        <w:top w:val="none" w:sz="0" w:space="0" w:color="auto"/>
        <w:left w:val="none" w:sz="0" w:space="0" w:color="auto"/>
        <w:bottom w:val="none" w:sz="0" w:space="0" w:color="auto"/>
        <w:right w:val="none" w:sz="0" w:space="0" w:color="auto"/>
      </w:divBdr>
    </w:div>
    <w:div w:id="1968971684">
      <w:bodyDiv w:val="1"/>
      <w:marLeft w:val="0"/>
      <w:marRight w:val="0"/>
      <w:marTop w:val="0"/>
      <w:marBottom w:val="0"/>
      <w:divBdr>
        <w:top w:val="none" w:sz="0" w:space="0" w:color="auto"/>
        <w:left w:val="none" w:sz="0" w:space="0" w:color="auto"/>
        <w:bottom w:val="none" w:sz="0" w:space="0" w:color="auto"/>
        <w:right w:val="none" w:sz="0" w:space="0" w:color="auto"/>
      </w:divBdr>
    </w:div>
    <w:div w:id="1978947989">
      <w:bodyDiv w:val="1"/>
      <w:marLeft w:val="0"/>
      <w:marRight w:val="0"/>
      <w:marTop w:val="0"/>
      <w:marBottom w:val="0"/>
      <w:divBdr>
        <w:top w:val="none" w:sz="0" w:space="0" w:color="auto"/>
        <w:left w:val="none" w:sz="0" w:space="0" w:color="auto"/>
        <w:bottom w:val="none" w:sz="0" w:space="0" w:color="auto"/>
        <w:right w:val="none" w:sz="0" w:space="0" w:color="auto"/>
      </w:divBdr>
    </w:div>
    <w:div w:id="1994720929">
      <w:bodyDiv w:val="1"/>
      <w:marLeft w:val="0"/>
      <w:marRight w:val="0"/>
      <w:marTop w:val="0"/>
      <w:marBottom w:val="0"/>
      <w:divBdr>
        <w:top w:val="none" w:sz="0" w:space="0" w:color="auto"/>
        <w:left w:val="none" w:sz="0" w:space="0" w:color="auto"/>
        <w:bottom w:val="none" w:sz="0" w:space="0" w:color="auto"/>
        <w:right w:val="none" w:sz="0" w:space="0" w:color="auto"/>
      </w:divBdr>
    </w:div>
    <w:div w:id="2034067664">
      <w:bodyDiv w:val="1"/>
      <w:marLeft w:val="0"/>
      <w:marRight w:val="0"/>
      <w:marTop w:val="0"/>
      <w:marBottom w:val="0"/>
      <w:divBdr>
        <w:top w:val="none" w:sz="0" w:space="0" w:color="auto"/>
        <w:left w:val="none" w:sz="0" w:space="0" w:color="auto"/>
        <w:bottom w:val="none" w:sz="0" w:space="0" w:color="auto"/>
        <w:right w:val="none" w:sz="0" w:space="0" w:color="auto"/>
      </w:divBdr>
    </w:div>
    <w:div w:id="2058355392">
      <w:bodyDiv w:val="1"/>
      <w:marLeft w:val="0"/>
      <w:marRight w:val="0"/>
      <w:marTop w:val="0"/>
      <w:marBottom w:val="0"/>
      <w:divBdr>
        <w:top w:val="none" w:sz="0" w:space="0" w:color="auto"/>
        <w:left w:val="none" w:sz="0" w:space="0" w:color="auto"/>
        <w:bottom w:val="none" w:sz="0" w:space="0" w:color="auto"/>
        <w:right w:val="none" w:sz="0" w:space="0" w:color="auto"/>
      </w:divBdr>
    </w:div>
    <w:div w:id="2065988146">
      <w:bodyDiv w:val="1"/>
      <w:marLeft w:val="0"/>
      <w:marRight w:val="0"/>
      <w:marTop w:val="0"/>
      <w:marBottom w:val="0"/>
      <w:divBdr>
        <w:top w:val="none" w:sz="0" w:space="0" w:color="auto"/>
        <w:left w:val="none" w:sz="0" w:space="0" w:color="auto"/>
        <w:bottom w:val="none" w:sz="0" w:space="0" w:color="auto"/>
        <w:right w:val="none" w:sz="0" w:space="0" w:color="auto"/>
      </w:divBdr>
    </w:div>
    <w:div w:id="2071490393">
      <w:bodyDiv w:val="1"/>
      <w:marLeft w:val="0"/>
      <w:marRight w:val="0"/>
      <w:marTop w:val="0"/>
      <w:marBottom w:val="0"/>
      <w:divBdr>
        <w:top w:val="none" w:sz="0" w:space="0" w:color="auto"/>
        <w:left w:val="none" w:sz="0" w:space="0" w:color="auto"/>
        <w:bottom w:val="none" w:sz="0" w:space="0" w:color="auto"/>
        <w:right w:val="none" w:sz="0" w:space="0" w:color="auto"/>
      </w:divBdr>
    </w:div>
    <w:div w:id="2098482949">
      <w:bodyDiv w:val="1"/>
      <w:marLeft w:val="0"/>
      <w:marRight w:val="0"/>
      <w:marTop w:val="0"/>
      <w:marBottom w:val="0"/>
      <w:divBdr>
        <w:top w:val="none" w:sz="0" w:space="0" w:color="auto"/>
        <w:left w:val="none" w:sz="0" w:space="0" w:color="auto"/>
        <w:bottom w:val="none" w:sz="0" w:space="0" w:color="auto"/>
        <w:right w:val="none" w:sz="0" w:space="0" w:color="auto"/>
      </w:divBdr>
    </w:div>
    <w:div w:id="2116048581">
      <w:bodyDiv w:val="1"/>
      <w:marLeft w:val="0"/>
      <w:marRight w:val="0"/>
      <w:marTop w:val="0"/>
      <w:marBottom w:val="0"/>
      <w:divBdr>
        <w:top w:val="none" w:sz="0" w:space="0" w:color="auto"/>
        <w:left w:val="none" w:sz="0" w:space="0" w:color="auto"/>
        <w:bottom w:val="none" w:sz="0" w:space="0" w:color="auto"/>
        <w:right w:val="none" w:sz="0" w:space="0" w:color="auto"/>
      </w:divBdr>
    </w:div>
    <w:div w:id="2127458536">
      <w:bodyDiv w:val="1"/>
      <w:marLeft w:val="0"/>
      <w:marRight w:val="0"/>
      <w:marTop w:val="0"/>
      <w:marBottom w:val="0"/>
      <w:divBdr>
        <w:top w:val="none" w:sz="0" w:space="0" w:color="auto"/>
        <w:left w:val="none" w:sz="0" w:space="0" w:color="auto"/>
        <w:bottom w:val="none" w:sz="0" w:space="0" w:color="auto"/>
        <w:right w:val="none" w:sz="0" w:space="0" w:color="auto"/>
      </w:divBdr>
    </w:div>
    <w:div w:id="214133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35775840" TargetMode="External"/><Relationship Id="rId7" Type="http://schemas.openxmlformats.org/officeDocument/2006/relationships/hyperlink" Target="https://www.investing.com/commodities/carbon-emissions-historical-data" TargetMode="External"/><Relationship Id="rId2" Type="http://schemas.openxmlformats.org/officeDocument/2006/relationships/hyperlink" Target="http://calcarbondash.org/" TargetMode="External"/><Relationship Id="rId1" Type="http://schemas.openxmlformats.org/officeDocument/2006/relationships/hyperlink" Target="https://www.investing.com/commodities/carbon-emissions-historical-data" TargetMode="External"/><Relationship Id="rId6" Type="http://schemas.openxmlformats.org/officeDocument/2006/relationships/hyperlink" Target="http://calcarbondash.org/" TargetMode="External"/><Relationship Id="rId5" Type="http://schemas.openxmlformats.org/officeDocument/2006/relationships/hyperlink" Target="http://www.inflation.eu/inflation-rates/mexico/historic-inflation/cpi-inflation-mexico.aspx" TargetMode="External"/><Relationship Id="rId4" Type="http://schemas.openxmlformats.org/officeDocument/2006/relationships/hyperlink" Target="http://www.banxico.org.mx/informacion-para-la-prensa/comunicados/resultados-de-encuestas/expectativas-de-los-especialistas/%7B0C237E2A-64BD-7C29-E094-0B29F11737CF%7D.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4513/OC-ME;</Approval_x0020_Number>
    <Phase xmlns="cdc7663a-08f0-4737-9e8c-148ce897a09c">ACTIVE</Phase>
    <Document_x0020_Author xmlns="cdc7663a-08f0-4737-9e8c-148ce897a09c">Suber, Stephanie 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19</Value>
      <Value>65</Value>
      <Value>24</Value>
      <Value>2</Value>
      <Value>64</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ME-L1267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R0001331267</Record_x0020_Number>
    <_dlc_DocId xmlns="cdc7663a-08f0-4737-9e8c-148ce897a09c">EZSHARE-1662964228-21</_dlc_DocId>
    <_dlc_DocIdUrl xmlns="cdc7663a-08f0-4737-9e8c-148ce897a09c">
      <Url>https://idbg.sharepoint.com/teams/EZ-ME-LON/ME-L1267/_layouts/15/DocIdRedir.aspx?ID=EZSHARE-1662964228-21</Url>
      <Description>EZSHARE-1662964228-21</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BB9113B11047E4CB40BABB802CC5E54" ma:contentTypeVersion="37" ma:contentTypeDescription="A content type to manage public (operations) IDB documents" ma:contentTypeScope="" ma:versionID="954ca21d42809215634dd81f109610c9">
  <xsd:schema xmlns:xsd="http://www.w3.org/2001/XMLSchema" xmlns:xs="http://www.w3.org/2001/XMLSchema" xmlns:p="http://schemas.microsoft.com/office/2006/metadata/properties" xmlns:ns2="cdc7663a-08f0-4737-9e8c-148ce897a09c" targetNamespace="http://schemas.microsoft.com/office/2006/metadata/properties" ma:root="true" ma:fieldsID="e20c776d06f44fee334fe69da43392d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26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CCA4E-47E2-45E2-A48F-9225280DABE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2.xml><?xml version="1.0" encoding="utf-8"?>
<ds:datastoreItem xmlns:ds="http://schemas.openxmlformats.org/officeDocument/2006/customXml" ds:itemID="{7F8609A5-9DB9-4FB0-9291-87652C63861C}">
  <ds:schemaRefs>
    <ds:schemaRef ds:uri="http://schemas.microsoft.com/sharepoint/v3/contenttype/forms"/>
  </ds:schemaRefs>
</ds:datastoreItem>
</file>

<file path=customXml/itemProps3.xml><?xml version="1.0" encoding="utf-8"?>
<ds:datastoreItem xmlns:ds="http://schemas.openxmlformats.org/officeDocument/2006/customXml" ds:itemID="{89A21094-16ED-44C0-8D88-D687EF37F17D}">
  <ds:schemaRefs>
    <ds:schemaRef ds:uri="http://schemas.microsoft.com/sharepoint/events"/>
  </ds:schemaRefs>
</ds:datastoreItem>
</file>

<file path=customXml/itemProps4.xml><?xml version="1.0" encoding="utf-8"?>
<ds:datastoreItem xmlns:ds="http://schemas.openxmlformats.org/officeDocument/2006/customXml" ds:itemID="{D8E3514A-51C4-47B7-BBA9-BEFFBAB833E8}"/>
</file>

<file path=customXml/itemProps5.xml><?xml version="1.0" encoding="utf-8"?>
<ds:datastoreItem xmlns:ds="http://schemas.openxmlformats.org/officeDocument/2006/customXml" ds:itemID="{C5F8C908-B8C7-460D-A9F1-3F93BAA84B30}"/>
</file>

<file path=customXml/itemProps6.xml><?xml version="1.0" encoding="utf-8"?>
<ds:datastoreItem xmlns:ds="http://schemas.openxmlformats.org/officeDocument/2006/customXml" ds:itemID="{EDD4639B-D84D-4308-8092-F71F2AB1AAAA}"/>
</file>

<file path=customXml/itemProps7.xml><?xml version="1.0" encoding="utf-8"?>
<ds:datastoreItem xmlns:ds="http://schemas.openxmlformats.org/officeDocument/2006/customXml" ds:itemID="{AD9B1B9D-7D5B-497C-B9A5-F47F131BE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4771</Words>
  <Characters>27200</Characters>
  <Application>Microsoft Office Word</Application>
  <DocSecurity>0</DocSecurity>
  <Lines>226</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Rodríguez</dc:creator>
  <cp:keywords/>
  <dc:description/>
  <cp:lastModifiedBy>Urteaga Dufour, Jose Antonio</cp:lastModifiedBy>
  <cp:revision>3</cp:revision>
  <dcterms:created xsi:type="dcterms:W3CDTF">2017-10-29T13:27:00Z</dcterms:created>
  <dcterms:modified xsi:type="dcterms:W3CDTF">2018-02-27T23:56:00Z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65;#ENERGY EFFICIENCY AND RENEWABLE ENERGY IN END USE|ab88142a-aa14-42df-80f4-969425d6f976</vt:lpwstr>
  </property>
  <property fmtid="{D5CDD505-2E9C-101B-9397-08002B2CF9AE}" pid="7" name="Fund IDB">
    <vt:lpwstr>24;#ORC|c028a4b2-ad8b-4cf4-9cac-a2ae6a778e23</vt:lpwstr>
  </property>
  <property fmtid="{D5CDD505-2E9C-101B-9397-08002B2CF9AE}" pid="8" name="Country">
    <vt:lpwstr>19;#Mexico|0eba6470-e7ea-46fd-a959-d4c243acaf26</vt:lpwstr>
  </property>
  <property fmtid="{D5CDD505-2E9C-101B-9397-08002B2CF9AE}" pid="9" name="Sector IDB">
    <vt:lpwstr>64;#ENERGY|4fed196a-cd0b-4970-87de-42da17f9b203</vt:lpwstr>
  </property>
  <property fmtid="{D5CDD505-2E9C-101B-9397-08002B2CF9AE}" pid="10" name="Function Operations IDB">
    <vt:lpwstr>2;#Monitoring and Reporting|df3c2aa1-d63e-41aa-b1f5-bb15dee691ca</vt:lpwstr>
  </property>
  <property fmtid="{D5CDD505-2E9C-101B-9397-08002B2CF9AE}" pid="11" name="_dlc_DocIdItemGuid">
    <vt:lpwstr>0137425a-9545-4423-a307-528fea701a93</vt:lpwstr>
  </property>
  <property fmtid="{D5CDD505-2E9C-101B-9397-08002B2CF9AE}" pid="12" name="RecordPoint_ActiveItemMoved">
    <vt:lpwstr>/teams/EZ-ME-LON/ME-L1267/15 LifeCycle Milestones/Draft Area/Análisis Económico del Proyecto.docx</vt:lpwstr>
  </property>
  <property fmtid="{D5CDD505-2E9C-101B-9397-08002B2CF9AE}" pid="13" name="RecordStorageActiveId">
    <vt:lpwstr>32e1db4e-c813-4a21-8d3c-3677b3f1a8cc</vt:lpwstr>
  </property>
  <property fmtid="{D5CDD505-2E9C-101B-9397-08002B2CF9AE}" pid="14" name="Disclosure Activity">
    <vt:lpwstr>Loan Proposal</vt:lpwstr>
  </property>
  <property fmtid="{D5CDD505-2E9C-101B-9397-08002B2CF9AE}" pid="15" name="ContentTypeId">
    <vt:lpwstr>0x0101001A458A224826124E8B45B1D613300CFC007BB9113B11047E4CB40BABB802CC5E54</vt:lpwstr>
  </property>
</Properties>
</file>