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44D4" w:rsidRDefault="00C544D4" w:rsidP="00917FA9">
      <w:pPr>
        <w:pStyle w:val="Heading1"/>
        <w:numPr>
          <w:ilvl w:val="0"/>
          <w:numId w:val="0"/>
        </w:numPr>
        <w:spacing w:after="240"/>
        <w:ind w:left="432"/>
        <w:contextualSpacing/>
        <w:jc w:val="center"/>
        <w:rPr>
          <w:rFonts w:ascii="Arial" w:eastAsiaTheme="minorEastAsia" w:hAnsi="Arial" w:cs="Arial"/>
          <w:b/>
          <w:bCs/>
          <w:sz w:val="20"/>
          <w:u w:val="single"/>
        </w:rPr>
      </w:pPr>
    </w:p>
    <w:p w:rsidR="00244F9C" w:rsidRDefault="00244F9C" w:rsidP="00244F9C">
      <w:pPr>
        <w:pStyle w:val="Heading1"/>
        <w:numPr>
          <w:ilvl w:val="0"/>
          <w:numId w:val="0"/>
        </w:numPr>
        <w:spacing w:after="240" w:line="300" w:lineRule="auto"/>
        <w:ind w:left="432"/>
        <w:contextualSpacing/>
        <w:jc w:val="center"/>
        <w:rPr>
          <w:rFonts w:ascii="Arial" w:eastAsiaTheme="minorEastAsia" w:hAnsi="Arial" w:cs="Arial"/>
          <w:b/>
          <w:bCs/>
          <w:sz w:val="24"/>
        </w:rPr>
      </w:pPr>
      <w:r>
        <w:rPr>
          <w:rFonts w:ascii="Arial" w:eastAsiaTheme="minorEastAsia" w:hAnsi="Arial" w:cs="Arial"/>
          <w:b/>
          <w:bCs/>
          <w:sz w:val="24"/>
        </w:rPr>
        <w:t>México</w:t>
      </w:r>
    </w:p>
    <w:p w:rsidR="00244F9C" w:rsidRDefault="00244F9C" w:rsidP="00244F9C">
      <w:pPr>
        <w:pStyle w:val="Heading1"/>
        <w:numPr>
          <w:ilvl w:val="0"/>
          <w:numId w:val="0"/>
        </w:numPr>
        <w:spacing w:after="240" w:line="300" w:lineRule="auto"/>
        <w:ind w:left="432"/>
        <w:contextualSpacing/>
        <w:jc w:val="center"/>
        <w:rPr>
          <w:rFonts w:ascii="Arial" w:eastAsiaTheme="minorEastAsia" w:hAnsi="Arial" w:cs="Arial"/>
          <w:b/>
          <w:bCs/>
          <w:sz w:val="24"/>
        </w:rPr>
      </w:pPr>
      <w:r w:rsidRPr="00244F9C">
        <w:rPr>
          <w:rFonts w:ascii="Arial" w:eastAsiaTheme="minorEastAsia" w:hAnsi="Arial" w:cs="Arial"/>
          <w:b/>
          <w:bCs/>
          <w:sz w:val="24"/>
        </w:rPr>
        <w:t>Pro</w:t>
      </w:r>
      <w:r>
        <w:rPr>
          <w:rFonts w:ascii="Arial" w:eastAsiaTheme="minorEastAsia" w:hAnsi="Arial" w:cs="Arial"/>
          <w:b/>
          <w:bCs/>
          <w:sz w:val="24"/>
        </w:rPr>
        <w:t>grama de</w:t>
      </w:r>
      <w:r w:rsidRPr="00244F9C">
        <w:rPr>
          <w:rFonts w:ascii="Arial" w:eastAsiaTheme="minorEastAsia" w:hAnsi="Arial" w:cs="Arial"/>
          <w:b/>
          <w:bCs/>
          <w:sz w:val="24"/>
        </w:rPr>
        <w:t xml:space="preserve"> Eficiencia Energética en </w:t>
      </w:r>
    </w:p>
    <w:p w:rsidR="00C544D4" w:rsidRDefault="00244F9C" w:rsidP="00244F9C">
      <w:pPr>
        <w:pStyle w:val="Heading1"/>
        <w:numPr>
          <w:ilvl w:val="0"/>
          <w:numId w:val="0"/>
        </w:numPr>
        <w:spacing w:after="240" w:line="300" w:lineRule="auto"/>
        <w:ind w:left="432"/>
        <w:contextualSpacing/>
        <w:jc w:val="center"/>
        <w:rPr>
          <w:rFonts w:ascii="Arial" w:eastAsiaTheme="minorEastAsia" w:hAnsi="Arial" w:cs="Arial"/>
          <w:b/>
          <w:bCs/>
          <w:sz w:val="24"/>
        </w:rPr>
      </w:pPr>
      <w:r w:rsidRPr="00244F9C">
        <w:rPr>
          <w:rFonts w:ascii="Arial" w:eastAsiaTheme="minorEastAsia" w:hAnsi="Arial" w:cs="Arial"/>
          <w:b/>
          <w:bCs/>
          <w:sz w:val="24"/>
        </w:rPr>
        <w:t xml:space="preserve">Edificios de Oficinas de la Administración Pública Federal </w:t>
      </w:r>
    </w:p>
    <w:p w:rsidR="00244F9C" w:rsidRDefault="00244F9C" w:rsidP="00244F9C">
      <w:pPr>
        <w:jc w:val="center"/>
        <w:rPr>
          <w:rFonts w:eastAsiaTheme="minorEastAsia"/>
          <w:b/>
        </w:rPr>
      </w:pPr>
      <w:r w:rsidRPr="00244F9C">
        <w:rPr>
          <w:rFonts w:eastAsiaTheme="minorEastAsia"/>
          <w:b/>
        </w:rPr>
        <w:t>ME-L1267</w:t>
      </w:r>
    </w:p>
    <w:p w:rsidR="00244F9C" w:rsidRDefault="00244F9C" w:rsidP="00244F9C">
      <w:pPr>
        <w:jc w:val="center"/>
        <w:rPr>
          <w:rFonts w:eastAsiaTheme="minorEastAsia"/>
          <w:b/>
        </w:rPr>
      </w:pPr>
    </w:p>
    <w:p w:rsidR="00244F9C" w:rsidRPr="00244F9C" w:rsidRDefault="00244F9C" w:rsidP="00244F9C">
      <w:pPr>
        <w:jc w:val="center"/>
        <w:rPr>
          <w:rFonts w:eastAsiaTheme="minorEastAsia"/>
          <w:b/>
          <w:sz w:val="24"/>
        </w:rPr>
      </w:pPr>
      <w:r w:rsidRPr="00244F9C">
        <w:rPr>
          <w:rFonts w:eastAsiaTheme="minorEastAsia"/>
          <w:b/>
          <w:sz w:val="24"/>
        </w:rPr>
        <w:t>Anexo Técnico</w:t>
      </w:r>
    </w:p>
    <w:p w:rsidR="00C544D4" w:rsidRDefault="00C544D4" w:rsidP="00B63777">
      <w:pPr>
        <w:spacing w:after="240" w:line="264" w:lineRule="auto"/>
        <w:contextualSpacing/>
        <w:jc w:val="both"/>
        <w:rPr>
          <w:rFonts w:eastAsiaTheme="minorEastAsia" w:cs="Arial"/>
          <w:b/>
          <w:bCs/>
        </w:rPr>
      </w:pPr>
    </w:p>
    <w:p w:rsidR="00E06A74" w:rsidRPr="00917FA9" w:rsidRDefault="00E06A74" w:rsidP="00B63777">
      <w:pPr>
        <w:spacing w:after="240" w:line="264" w:lineRule="auto"/>
        <w:contextualSpacing/>
        <w:jc w:val="both"/>
        <w:rPr>
          <w:rFonts w:eastAsiaTheme="minorEastAsia" w:cs="Arial"/>
          <w:b/>
          <w:bCs/>
        </w:rPr>
      </w:pPr>
    </w:p>
    <w:p w:rsidR="1BDD6743" w:rsidRPr="00244F9C" w:rsidRDefault="1BDD6743" w:rsidP="00E14BCB">
      <w:pPr>
        <w:numPr>
          <w:ilvl w:val="0"/>
          <w:numId w:val="1"/>
        </w:numPr>
        <w:spacing w:after="240" w:line="264" w:lineRule="auto"/>
        <w:ind w:hanging="270"/>
        <w:contextualSpacing/>
        <w:jc w:val="both"/>
        <w:rPr>
          <w:rFonts w:eastAsiaTheme="minorEastAsia" w:cs="Arial"/>
          <w:b/>
          <w:bCs/>
          <w:u w:val="single"/>
        </w:rPr>
      </w:pPr>
      <w:r w:rsidRPr="00917FA9">
        <w:rPr>
          <w:rFonts w:eastAsiaTheme="minorEastAsia" w:cs="Arial"/>
          <w:b/>
          <w:bCs/>
          <w:color w:val="000000" w:themeColor="text1"/>
          <w:lang w:val="es"/>
        </w:rPr>
        <w:t>Antecedentes</w:t>
      </w:r>
    </w:p>
    <w:p w:rsidR="00244F9C" w:rsidRDefault="00244F9C" w:rsidP="00244F9C">
      <w:pPr>
        <w:spacing w:after="240" w:line="264" w:lineRule="auto"/>
        <w:contextualSpacing/>
        <w:jc w:val="both"/>
        <w:rPr>
          <w:rFonts w:eastAsiaTheme="minorEastAsia" w:cs="Arial"/>
          <w:b/>
          <w:bCs/>
          <w:color w:val="000000" w:themeColor="text1"/>
          <w:lang w:val="es"/>
        </w:rPr>
      </w:pPr>
    </w:p>
    <w:p w:rsidR="00244F9C" w:rsidRDefault="00244F9C" w:rsidP="001A36E6">
      <w:pPr>
        <w:pStyle w:val="Paragraph"/>
        <w:numPr>
          <w:ilvl w:val="0"/>
          <w:numId w:val="0"/>
        </w:numPr>
        <w:spacing w:before="0" w:after="0"/>
        <w:ind w:left="-36"/>
        <w:rPr>
          <w:rFonts w:ascii="Arial" w:hAnsi="Arial" w:cs="Arial"/>
          <w:sz w:val="22"/>
          <w:szCs w:val="22"/>
        </w:rPr>
      </w:pPr>
      <w:r>
        <w:rPr>
          <w:rFonts w:ascii="Arial" w:hAnsi="Arial" w:cs="Arial"/>
          <w:sz w:val="22"/>
          <w:szCs w:val="22"/>
        </w:rPr>
        <w:t>El Gobierno de México manifestó su interés en llevar a cabo un</w:t>
      </w:r>
      <w:r w:rsidR="008F0C26">
        <w:rPr>
          <w:rFonts w:ascii="Arial" w:hAnsi="Arial" w:cs="Arial"/>
          <w:sz w:val="22"/>
          <w:szCs w:val="22"/>
        </w:rPr>
        <w:t xml:space="preserve"> </w:t>
      </w:r>
      <w:r>
        <w:rPr>
          <w:rFonts w:ascii="Arial" w:hAnsi="Arial" w:cs="Arial"/>
          <w:sz w:val="22"/>
          <w:szCs w:val="22"/>
        </w:rPr>
        <w:t>programa</w:t>
      </w:r>
      <w:r w:rsidR="008F0C26">
        <w:rPr>
          <w:rFonts w:ascii="Arial" w:hAnsi="Arial" w:cs="Arial"/>
          <w:sz w:val="22"/>
          <w:szCs w:val="22"/>
        </w:rPr>
        <w:t xml:space="preserve"> </w:t>
      </w:r>
      <w:r>
        <w:rPr>
          <w:rFonts w:ascii="Arial" w:hAnsi="Arial" w:cs="Arial"/>
          <w:sz w:val="22"/>
          <w:szCs w:val="22"/>
        </w:rPr>
        <w:t xml:space="preserve">de financiamiento para la implementación de acciones de eficiencia energética (EE) en edificios de oficinas de la </w:t>
      </w:r>
      <w:r w:rsidR="008F0C26">
        <w:rPr>
          <w:rFonts w:ascii="Arial" w:hAnsi="Arial" w:cs="Arial"/>
          <w:sz w:val="22"/>
          <w:szCs w:val="22"/>
        </w:rPr>
        <w:t>Administración Pública Federal (</w:t>
      </w:r>
      <w:r>
        <w:rPr>
          <w:rFonts w:ascii="Arial" w:hAnsi="Arial" w:cs="Arial"/>
          <w:sz w:val="22"/>
          <w:szCs w:val="22"/>
        </w:rPr>
        <w:t>APF</w:t>
      </w:r>
      <w:r w:rsidR="008F0C26">
        <w:rPr>
          <w:rFonts w:ascii="Arial" w:hAnsi="Arial" w:cs="Arial"/>
          <w:sz w:val="22"/>
          <w:szCs w:val="22"/>
        </w:rPr>
        <w:t>)</w:t>
      </w:r>
      <w:r>
        <w:rPr>
          <w:rFonts w:ascii="Arial" w:hAnsi="Arial" w:cs="Arial"/>
          <w:sz w:val="22"/>
          <w:szCs w:val="22"/>
        </w:rPr>
        <w:t>,</w:t>
      </w:r>
      <w:r w:rsidRPr="00446A12">
        <w:rPr>
          <w:rFonts w:ascii="Arial" w:hAnsi="Arial" w:cs="Arial"/>
          <w:sz w:val="22"/>
          <w:szCs w:val="22"/>
        </w:rPr>
        <w:t xml:space="preserve">  </w:t>
      </w:r>
      <w:r w:rsidR="008F0C26">
        <w:rPr>
          <w:rFonts w:ascii="Arial" w:hAnsi="Arial" w:cs="Arial"/>
          <w:sz w:val="22"/>
          <w:szCs w:val="22"/>
        </w:rPr>
        <w:t xml:space="preserve">en virtud de que desde </w:t>
      </w:r>
      <w:r>
        <w:rPr>
          <w:rFonts w:ascii="Arial" w:hAnsi="Arial" w:cs="Arial"/>
          <w:sz w:val="22"/>
          <w:szCs w:val="22"/>
        </w:rPr>
        <w:t xml:space="preserve">el año 2012, </w:t>
      </w:r>
      <w:r w:rsidR="008F0C26">
        <w:rPr>
          <w:rFonts w:ascii="Arial" w:hAnsi="Arial" w:cs="Arial"/>
          <w:sz w:val="22"/>
          <w:szCs w:val="22"/>
        </w:rPr>
        <w:t xml:space="preserve">a través de la Comisión Nacional para el uso Eficiente de la Energía lleva a cabo </w:t>
      </w:r>
      <w:r>
        <w:rPr>
          <w:rFonts w:ascii="Arial" w:hAnsi="Arial" w:cs="Arial"/>
          <w:sz w:val="22"/>
          <w:szCs w:val="22"/>
        </w:rPr>
        <w:t>el Programa de EE en la Administración Pública Federal, el cual tiene por objetivo establecer un proceso de mejora continua para incrementar la EE en inmuebles, flotas vehiculares e instalaciones industriales de las dependencias y entidades de la APF. Mediante la implementación de mejores prácticas, innovación tecnológica, así como la utilización de herramientas de operación, control y seguimiento. Para su operación anualmente la CONUEE prepara y publica las “Disposiciones Administrativas de carácter general en matera de EE para las Dependencias y Entidades (</w:t>
      </w:r>
      <w:proofErr w:type="spellStart"/>
      <w:r>
        <w:rPr>
          <w:rFonts w:ascii="Arial" w:hAnsi="Arial" w:cs="Arial"/>
          <w:sz w:val="22"/>
          <w:szCs w:val="22"/>
        </w:rPr>
        <w:t>DyE</w:t>
      </w:r>
      <w:proofErr w:type="spellEnd"/>
      <w:r>
        <w:rPr>
          <w:rFonts w:ascii="Arial" w:hAnsi="Arial" w:cs="Arial"/>
          <w:sz w:val="22"/>
          <w:szCs w:val="22"/>
        </w:rPr>
        <w:t>) de la APF</w:t>
      </w:r>
      <w:r>
        <w:rPr>
          <w:rStyle w:val="FootnoteReference"/>
          <w:rFonts w:ascii="Arial" w:hAnsi="Arial" w:cs="Arial"/>
          <w:sz w:val="22"/>
          <w:szCs w:val="22"/>
        </w:rPr>
        <w:footnoteReference w:id="1"/>
      </w:r>
      <w:r>
        <w:rPr>
          <w:rFonts w:ascii="Arial" w:hAnsi="Arial" w:cs="Arial"/>
          <w:sz w:val="22"/>
          <w:szCs w:val="22"/>
        </w:rPr>
        <w:t>.</w:t>
      </w:r>
    </w:p>
    <w:p w:rsidR="001A36E6" w:rsidRDefault="001A36E6" w:rsidP="001A36E6">
      <w:pPr>
        <w:pStyle w:val="Paragraph"/>
        <w:numPr>
          <w:ilvl w:val="0"/>
          <w:numId w:val="0"/>
        </w:numPr>
        <w:spacing w:before="0" w:after="0"/>
        <w:ind w:left="-36"/>
        <w:rPr>
          <w:rFonts w:ascii="Arial" w:hAnsi="Arial" w:cs="Arial"/>
          <w:sz w:val="22"/>
          <w:szCs w:val="22"/>
        </w:rPr>
      </w:pPr>
    </w:p>
    <w:p w:rsidR="008F0C26" w:rsidRDefault="008F0C26" w:rsidP="001A36E6">
      <w:pPr>
        <w:pStyle w:val="Paragraph"/>
        <w:numPr>
          <w:ilvl w:val="0"/>
          <w:numId w:val="0"/>
        </w:numPr>
        <w:spacing w:before="0" w:after="0"/>
        <w:ind w:left="-36"/>
        <w:rPr>
          <w:rFonts w:ascii="Arial" w:hAnsi="Arial" w:cs="Arial"/>
          <w:sz w:val="22"/>
          <w:szCs w:val="22"/>
        </w:rPr>
      </w:pPr>
      <w:r>
        <w:rPr>
          <w:rFonts w:ascii="Arial" w:hAnsi="Arial" w:cs="Arial"/>
          <w:sz w:val="22"/>
          <w:szCs w:val="22"/>
        </w:rPr>
        <w:t>No obstante que el Programa mencionado ha operado durante casi 5 años, no ha sido posible ampliar sus alcances por falta de financiamiento para la sustitución de equipos de alto consumo de energía eléctrica en los edificios de oficinas de la APF</w:t>
      </w:r>
      <w:r w:rsidR="001A36E6">
        <w:rPr>
          <w:rFonts w:ascii="Arial" w:hAnsi="Arial" w:cs="Arial"/>
          <w:sz w:val="22"/>
          <w:szCs w:val="22"/>
        </w:rPr>
        <w:t>.</w:t>
      </w:r>
    </w:p>
    <w:p w:rsidR="00244F9C" w:rsidRDefault="00244F9C" w:rsidP="001A36E6">
      <w:pPr>
        <w:contextualSpacing/>
        <w:jc w:val="both"/>
        <w:rPr>
          <w:rFonts w:eastAsiaTheme="minorEastAsia" w:cs="Arial"/>
          <w:b/>
          <w:bCs/>
          <w:u w:val="single"/>
          <w:lang w:val="es-ES"/>
        </w:rPr>
      </w:pPr>
    </w:p>
    <w:p w:rsidR="00244F9C" w:rsidRPr="00244F9C" w:rsidRDefault="00244F9C" w:rsidP="001A36E6">
      <w:pPr>
        <w:contextualSpacing/>
        <w:jc w:val="both"/>
        <w:rPr>
          <w:rFonts w:eastAsiaTheme="minorEastAsia" w:cs="Arial"/>
          <w:b/>
          <w:bCs/>
          <w:u w:val="single"/>
          <w:lang w:val="es-ES"/>
        </w:rPr>
      </w:pPr>
      <w:r w:rsidRPr="00446A12">
        <w:rPr>
          <w:rFonts w:cs="Arial"/>
          <w:sz w:val="22"/>
          <w:szCs w:val="22"/>
        </w:rPr>
        <w:t xml:space="preserve">En 2015, los 1.806 edificios de oficinas propiedad de la APF, consumieron del </w:t>
      </w:r>
      <w:r>
        <w:rPr>
          <w:rFonts w:cs="Arial"/>
          <w:sz w:val="22"/>
          <w:szCs w:val="22"/>
        </w:rPr>
        <w:t>355</w:t>
      </w:r>
      <w:r w:rsidRPr="00446A12">
        <w:rPr>
          <w:rFonts w:cs="Arial"/>
          <w:sz w:val="22"/>
          <w:szCs w:val="22"/>
        </w:rPr>
        <w:t>GWh equivalente al consumo anual de 220.000 viviendas, y a una facturación de US$</w:t>
      </w:r>
      <w:r>
        <w:rPr>
          <w:rFonts w:cs="Arial"/>
          <w:sz w:val="22"/>
          <w:szCs w:val="22"/>
        </w:rPr>
        <w:t>30</w:t>
      </w:r>
      <w:r w:rsidRPr="00446A12">
        <w:rPr>
          <w:rFonts w:cs="Arial"/>
          <w:sz w:val="22"/>
          <w:szCs w:val="22"/>
        </w:rPr>
        <w:t>.</w:t>
      </w:r>
      <w:r>
        <w:rPr>
          <w:rFonts w:cs="Arial"/>
          <w:sz w:val="22"/>
          <w:szCs w:val="22"/>
        </w:rPr>
        <w:t>928.962</w:t>
      </w:r>
      <w:r w:rsidRPr="0070544A">
        <w:rPr>
          <w:rStyle w:val="FootnoteReference"/>
          <w:rFonts w:cs="Arial"/>
          <w:sz w:val="22"/>
          <w:szCs w:val="22"/>
        </w:rPr>
        <w:footnoteReference w:id="2"/>
      </w:r>
      <w:r w:rsidRPr="00446A12">
        <w:rPr>
          <w:rFonts w:cs="Arial"/>
          <w:sz w:val="22"/>
          <w:szCs w:val="22"/>
        </w:rPr>
        <w:t>.</w:t>
      </w:r>
    </w:p>
    <w:p w:rsidR="005247CD" w:rsidRDefault="005247CD" w:rsidP="001A36E6">
      <w:pPr>
        <w:contextualSpacing/>
        <w:jc w:val="both"/>
        <w:rPr>
          <w:rFonts w:eastAsiaTheme="minorEastAsia" w:cs="Arial"/>
          <w:bCs/>
        </w:rPr>
      </w:pPr>
    </w:p>
    <w:p w:rsidR="008F0C26" w:rsidRPr="001A36E6" w:rsidRDefault="008F0C26" w:rsidP="001A36E6">
      <w:pPr>
        <w:contextualSpacing/>
        <w:jc w:val="both"/>
        <w:rPr>
          <w:rFonts w:cs="Arial"/>
          <w:sz w:val="22"/>
          <w:szCs w:val="22"/>
        </w:rPr>
      </w:pPr>
      <w:r w:rsidRPr="008F0C26">
        <w:rPr>
          <w:rFonts w:cs="Arial"/>
          <w:sz w:val="22"/>
          <w:szCs w:val="22"/>
        </w:rPr>
        <w:t>En coordinación con la Secretaria de Energía (SENER) y la CONUEE se realizó el estudio: “Evaluación de Potenciales y Propuestas de Estrategia Financiera-Administrativa para Implementar Medidas de Eficiencia Energética (EE) en Edificios la Administración Pública Federal”, con el propósito de (i) dimensionar tanto los potenciales de ahorro existentes, tanto energéticos como económicos, (ii) determinar las medidas de eficiencia energética a implementar; (iii) estimar las inversiones necesarias para implementar las medidas identificadas; (iv) y proponer la estrategia financiera-administrativa</w:t>
      </w:r>
      <w:r w:rsidRPr="001A36E6">
        <w:rPr>
          <w:rFonts w:cs="Arial"/>
          <w:sz w:val="22"/>
          <w:szCs w:val="22"/>
        </w:rPr>
        <w:t xml:space="preserve"> para la implementación de un Programa de EE</w:t>
      </w:r>
      <w:r w:rsidR="00803664" w:rsidRPr="001A36E6">
        <w:rPr>
          <w:rFonts w:cs="Arial"/>
          <w:sz w:val="22"/>
          <w:szCs w:val="22"/>
        </w:rPr>
        <w:t>.</w:t>
      </w:r>
    </w:p>
    <w:p w:rsidR="008F0C26" w:rsidRDefault="008F0C26" w:rsidP="008F0C26">
      <w:pPr>
        <w:spacing w:after="240" w:line="23" w:lineRule="atLeast"/>
        <w:contextualSpacing/>
        <w:jc w:val="both"/>
        <w:rPr>
          <w:rFonts w:eastAsiaTheme="minorEastAsia" w:cs="Arial"/>
          <w:bCs/>
        </w:rPr>
      </w:pPr>
    </w:p>
    <w:p w:rsidR="008F0C26" w:rsidRPr="00803664" w:rsidRDefault="008F0C26" w:rsidP="008F0C26">
      <w:pPr>
        <w:pStyle w:val="Paragraph"/>
        <w:numPr>
          <w:ilvl w:val="0"/>
          <w:numId w:val="0"/>
        </w:numPr>
        <w:ind w:left="-36"/>
        <w:rPr>
          <w:rFonts w:ascii="Arial" w:hAnsi="Arial" w:cs="Arial"/>
          <w:sz w:val="22"/>
          <w:szCs w:val="22"/>
          <w:lang w:val="es-MX"/>
        </w:rPr>
      </w:pPr>
      <w:r w:rsidRPr="00803664">
        <w:rPr>
          <w:rFonts w:ascii="Arial" w:hAnsi="Arial" w:cs="Arial"/>
          <w:sz w:val="22"/>
          <w:szCs w:val="22"/>
          <w:lang w:val="es-MX"/>
        </w:rPr>
        <w:lastRenderedPageBreak/>
        <w:t>Los resultados del estudio realizado permitieron determinar que: (i) el consumo de energía eléctrica de los EOAPF se concentra principalmente en aire acondicionado e iluminación. Considerando el promedio ponderado, de acuerdo a la región bioclimática en las que se encuentran los edificios, el aire acondicionado (49%) más la iluminación (23.4%), representan el 72.4% del consumo total de energía eléctrica de los 1,806 edificios propiedad de la APF; (ii) por la antigüedad de las instalaciones y su equipamiento, existe un potencial de ahorro del 32% del actual consumo de energía, por la sustitución de equipos de gran consumo de energía, por equipos de alta eficiencia; (iii) en el caso de iluminación, de acuerdo con el estudio referido, el 66% de los equipos de iluminación está integrado por lámparas fluorescentes lineales tipo T-8, cuya eficiencia, en materia de consumo de energía eléctrica, es significativamente menor (35%), a las lámpara a base de diodos emisores de luz (LED por sus siglas en inglés), adicionalmente dado que la vida útil de las lámparas LED es de 11 años, a diferencia de las lámparas T-8, cuya vida útil es de 4.3 años, hay un ahorro económico al evitar 1.5 veces la reposición de lámparas T-8; (iv) en el caso de equipos de aire acondicionado los equipos existentes, principalmente equipos centrales (</w:t>
      </w:r>
      <w:proofErr w:type="spellStart"/>
      <w:r w:rsidRPr="00803664">
        <w:rPr>
          <w:rFonts w:ascii="Arial" w:hAnsi="Arial" w:cs="Arial"/>
          <w:sz w:val="22"/>
          <w:szCs w:val="22"/>
          <w:lang w:val="es-MX"/>
        </w:rPr>
        <w:t>chillers</w:t>
      </w:r>
      <w:proofErr w:type="spellEnd"/>
      <w:r w:rsidRPr="00803664">
        <w:rPr>
          <w:rFonts w:ascii="Arial" w:hAnsi="Arial" w:cs="Arial"/>
          <w:sz w:val="22"/>
          <w:szCs w:val="22"/>
          <w:lang w:val="es-MX"/>
        </w:rPr>
        <w:t xml:space="preserve">), equipos </w:t>
      </w:r>
      <w:proofErr w:type="spellStart"/>
      <w:r w:rsidRPr="00803664">
        <w:rPr>
          <w:rFonts w:ascii="Arial" w:hAnsi="Arial" w:cs="Arial"/>
          <w:sz w:val="22"/>
          <w:szCs w:val="22"/>
          <w:lang w:val="es-MX"/>
        </w:rPr>
        <w:t>multisplit</w:t>
      </w:r>
      <w:proofErr w:type="spellEnd"/>
      <w:r w:rsidRPr="00803664">
        <w:rPr>
          <w:rFonts w:ascii="Arial" w:hAnsi="Arial" w:cs="Arial"/>
          <w:sz w:val="22"/>
          <w:szCs w:val="22"/>
          <w:lang w:val="es-MX"/>
        </w:rPr>
        <w:t xml:space="preserve"> (paquete) y </w:t>
      </w:r>
      <w:proofErr w:type="spellStart"/>
      <w:r w:rsidRPr="00803664">
        <w:rPr>
          <w:rFonts w:ascii="Arial" w:hAnsi="Arial" w:cs="Arial"/>
          <w:sz w:val="22"/>
          <w:szCs w:val="22"/>
          <w:lang w:val="es-MX"/>
        </w:rPr>
        <w:t>minisplit</w:t>
      </w:r>
      <w:proofErr w:type="spellEnd"/>
      <w:r w:rsidRPr="00803664">
        <w:rPr>
          <w:rFonts w:ascii="Arial" w:hAnsi="Arial" w:cs="Arial"/>
          <w:sz w:val="22"/>
          <w:szCs w:val="22"/>
          <w:lang w:val="es-MX"/>
        </w:rPr>
        <w:t>, tienen una relación de EE (watts térmicos/watts eléctricos) menor en un 40%, con respecto a los equipos nuevos de alta eficiencia; (v) se estima que la sustitución del 75% del total equipos de iluminación y aire acondicionado en EOAPF, así como el cambio de tarifa, requiere una inversión aproximada de US$30 millones, lo que permitirá lograr ahorros que ascienden a 115GWh/año en consumo eléctrico, y US$10,24 millones anuales en facturación; lo que implica que el periodo simple de recuperación (PSR) sería de alrededor de 3 años.</w:t>
      </w:r>
      <w:bookmarkStart w:id="0" w:name="_Hlk485746382"/>
      <w:r w:rsidRPr="00803664">
        <w:rPr>
          <w:rFonts w:ascii="Arial" w:hAnsi="Arial" w:cs="Arial"/>
          <w:sz w:val="22"/>
          <w:szCs w:val="22"/>
          <w:lang w:val="es-MX"/>
        </w:rPr>
        <w:t xml:space="preserve"> Es importante mencionar que el potencial de ahorro se estimó considerando el equipamiento de los edificios, de acuerdo con la zona bioclimática en la que se localizan.</w:t>
      </w:r>
    </w:p>
    <w:p w:rsidR="008F0C26" w:rsidRPr="00803664" w:rsidRDefault="008F0C26" w:rsidP="008F0C26">
      <w:pPr>
        <w:pStyle w:val="Paragraph"/>
        <w:numPr>
          <w:ilvl w:val="0"/>
          <w:numId w:val="0"/>
        </w:numPr>
        <w:ind w:left="-36"/>
        <w:rPr>
          <w:rFonts w:ascii="Arial" w:hAnsi="Arial" w:cs="Arial"/>
          <w:sz w:val="22"/>
          <w:szCs w:val="22"/>
          <w:lang w:val="es-MX"/>
        </w:rPr>
      </w:pPr>
      <w:r w:rsidRPr="00803664">
        <w:rPr>
          <w:rFonts w:ascii="Arial" w:hAnsi="Arial" w:cs="Arial"/>
          <w:sz w:val="22"/>
          <w:szCs w:val="22"/>
          <w:lang w:val="es-MX"/>
        </w:rPr>
        <w:t>Adicionalmente, se podrán considerar en los proyectos a implementar otras áreas de oportunidad como (i) aislamiento térmico; (ii) seccionamiento de circuitos eléctricos; y (iii) sistemas de control de</w:t>
      </w:r>
      <w:bookmarkEnd w:id="0"/>
      <w:r w:rsidRPr="00803664">
        <w:rPr>
          <w:rFonts w:ascii="Arial" w:hAnsi="Arial" w:cs="Arial"/>
          <w:sz w:val="22"/>
          <w:szCs w:val="22"/>
          <w:lang w:val="es-MX"/>
        </w:rPr>
        <w:t xml:space="preserve"> demanda y consumo de energía eléctrica. En lo que corresponde a ahorros económicos, que no implican ahorros energéticos, también se podrán considerar: (i) cambio de tarifa de baja tensión a media tensión en 143 edificios, lo que implica un ahorro en facturación eléctrica, dado que la tarifa de media tensión es menor en 42% que la de baja tensión; y (ii) control del factor de potencia, ya que aproximadamente un 35% de los edificios de la APF registra bajo factor de potencia con la penalización económica correspondiente, pudiéndose revertir esta situación mediante la instalación de capacitores que permitirán elevar el factor de potencia y con ello acceder a las bonificaciones económicas correspondientes.</w:t>
      </w:r>
    </w:p>
    <w:p w:rsidR="008F0C26" w:rsidRDefault="008F0C26" w:rsidP="008F0C26">
      <w:pPr>
        <w:pStyle w:val="Paragraph"/>
        <w:numPr>
          <w:ilvl w:val="0"/>
          <w:numId w:val="0"/>
        </w:numPr>
        <w:ind w:left="-36"/>
        <w:rPr>
          <w:rFonts w:ascii="Arial" w:hAnsi="Arial" w:cs="Arial"/>
          <w:sz w:val="22"/>
          <w:szCs w:val="22"/>
          <w:lang w:val="es-MX"/>
        </w:rPr>
      </w:pPr>
      <w:r w:rsidRPr="00803664">
        <w:rPr>
          <w:rFonts w:ascii="Arial" w:hAnsi="Arial" w:cs="Arial"/>
          <w:sz w:val="22"/>
          <w:szCs w:val="22"/>
          <w:lang w:val="es-MX"/>
        </w:rPr>
        <w:t>Es importante señalar que en las acciones a implementar como parte del Programa, los servicio suministrados, principalmente iluminación y aire acondicionado, cumplirán con los estándares establecidos a fin de asegurar niveles de calidad necesarios para las actividades a realizar en los EOAPF, lo que implica que la línea base de referencia para determinar los ahorros a lograr, no necesariamente será el consumo actual, dependiendo de cada edificio, ésta será el consumo adecuado a los estándares establecidos en cuanto a niveles de iluminación y temperatura al interior de los edificios.</w:t>
      </w:r>
    </w:p>
    <w:p w:rsidR="00BB43FB" w:rsidRPr="00A732EA" w:rsidRDefault="00BB43FB" w:rsidP="008F0C26">
      <w:pPr>
        <w:spacing w:after="240" w:line="23" w:lineRule="atLeast"/>
        <w:contextualSpacing/>
        <w:jc w:val="both"/>
        <w:rPr>
          <w:rFonts w:eastAsiaTheme="minorEastAsia" w:cs="Arial"/>
          <w:bCs/>
        </w:rPr>
      </w:pPr>
    </w:p>
    <w:p w:rsidR="1BDD6743" w:rsidRPr="0036012F" w:rsidRDefault="00803664" w:rsidP="008F0C26">
      <w:pPr>
        <w:numPr>
          <w:ilvl w:val="0"/>
          <w:numId w:val="1"/>
        </w:numPr>
        <w:spacing w:after="240" w:line="23" w:lineRule="atLeast"/>
        <w:ind w:hanging="270"/>
        <w:contextualSpacing/>
        <w:jc w:val="both"/>
        <w:rPr>
          <w:rFonts w:eastAsiaTheme="minorEastAsia" w:cs="Arial"/>
          <w:b/>
          <w:bCs/>
          <w:sz w:val="22"/>
          <w:szCs w:val="22"/>
          <w:u w:val="single"/>
        </w:rPr>
      </w:pPr>
      <w:r w:rsidRPr="0036012F">
        <w:rPr>
          <w:rFonts w:eastAsiaTheme="minorEastAsia" w:cs="Arial"/>
          <w:b/>
          <w:bCs/>
          <w:color w:val="000000" w:themeColor="text1"/>
          <w:sz w:val="22"/>
          <w:szCs w:val="22"/>
          <w:lang w:val="es"/>
        </w:rPr>
        <w:t>Descripción del Proceso de Desarrollo del Programa de EE en EOAPF</w:t>
      </w:r>
    </w:p>
    <w:p w:rsidR="00803664" w:rsidRDefault="00803664" w:rsidP="00803664">
      <w:pPr>
        <w:spacing w:after="240" w:line="23" w:lineRule="atLeast"/>
        <w:ind w:left="360"/>
        <w:contextualSpacing/>
        <w:jc w:val="both"/>
        <w:rPr>
          <w:rFonts w:eastAsiaTheme="minorEastAsia" w:cs="Arial"/>
          <w:b/>
          <w:bCs/>
          <w:color w:val="000000" w:themeColor="text1"/>
          <w:lang w:val="es"/>
        </w:rPr>
      </w:pPr>
    </w:p>
    <w:p w:rsidR="00803664" w:rsidRPr="0036012F" w:rsidRDefault="00803664" w:rsidP="00803664">
      <w:pPr>
        <w:spacing w:after="240" w:line="23" w:lineRule="atLeast"/>
        <w:contextualSpacing/>
        <w:jc w:val="both"/>
        <w:rPr>
          <w:rFonts w:cs="Arial"/>
          <w:sz w:val="22"/>
          <w:szCs w:val="22"/>
        </w:rPr>
      </w:pPr>
      <w:r w:rsidRPr="0036012F">
        <w:rPr>
          <w:rFonts w:cs="Arial"/>
          <w:sz w:val="22"/>
          <w:szCs w:val="22"/>
        </w:rPr>
        <w:t>El Programa se desarrollará en las siguientes 7 etapas principales:</w:t>
      </w:r>
    </w:p>
    <w:p w:rsidR="00803664" w:rsidRDefault="00803664" w:rsidP="00803664">
      <w:pPr>
        <w:pStyle w:val="Paragraph"/>
        <w:numPr>
          <w:ilvl w:val="0"/>
          <w:numId w:val="43"/>
        </w:numPr>
        <w:ind w:left="540" w:hanging="540"/>
        <w:rPr>
          <w:rFonts w:ascii="Arial" w:hAnsi="Arial" w:cs="Arial"/>
          <w:sz w:val="22"/>
          <w:szCs w:val="22"/>
        </w:rPr>
      </w:pPr>
      <w:bookmarkStart w:id="1" w:name="_Hlk496090379"/>
      <w:r w:rsidRPr="00803664">
        <w:rPr>
          <w:rFonts w:ascii="Arial" w:hAnsi="Arial" w:cs="Arial"/>
          <w:b/>
          <w:sz w:val="22"/>
          <w:szCs w:val="22"/>
        </w:rPr>
        <w:t>Autorización del Programa y recursos</w:t>
      </w:r>
      <w:r>
        <w:rPr>
          <w:rFonts w:ascii="Arial" w:hAnsi="Arial" w:cs="Arial"/>
          <w:sz w:val="22"/>
          <w:szCs w:val="22"/>
        </w:rPr>
        <w:t xml:space="preserve">. El Programa, </w:t>
      </w:r>
      <w:r w:rsidRPr="00F42D5E">
        <w:rPr>
          <w:rFonts w:ascii="Arial" w:hAnsi="Arial" w:cs="Arial"/>
          <w:sz w:val="22"/>
          <w:szCs w:val="22"/>
        </w:rPr>
        <w:t>su presupuesto y reglas de operaci</w:t>
      </w:r>
      <w:r>
        <w:rPr>
          <w:rFonts w:ascii="Arial" w:hAnsi="Arial" w:cs="Arial"/>
          <w:sz w:val="22"/>
          <w:szCs w:val="22"/>
        </w:rPr>
        <w:t xml:space="preserve">ón, son autorizados por el Comité Técnico del FOTEASE, a partir de lo cual se </w:t>
      </w:r>
      <w:r>
        <w:rPr>
          <w:rFonts w:ascii="Arial" w:hAnsi="Arial" w:cs="Arial"/>
          <w:sz w:val="22"/>
          <w:szCs w:val="22"/>
        </w:rPr>
        <w:lastRenderedPageBreak/>
        <w:t>asignan los recursos para el Programa, mismos que son ministrados al FIDE que, con base en el contrato firmado con SENER, será el operador del Programa y el responsable de ejercer el presupuesto aprobado, de acuerdo con las reglas de operación aprobadas</w:t>
      </w:r>
      <w:bookmarkEnd w:id="1"/>
      <w:r>
        <w:rPr>
          <w:rFonts w:ascii="Arial" w:hAnsi="Arial" w:cs="Arial"/>
          <w:sz w:val="22"/>
          <w:szCs w:val="22"/>
        </w:rPr>
        <w:t>.</w:t>
      </w:r>
    </w:p>
    <w:p w:rsidR="00803664" w:rsidRDefault="00803664" w:rsidP="00803664">
      <w:pPr>
        <w:pStyle w:val="Paragraph"/>
        <w:numPr>
          <w:ilvl w:val="0"/>
          <w:numId w:val="43"/>
        </w:numPr>
        <w:ind w:left="540" w:hanging="540"/>
        <w:rPr>
          <w:rFonts w:ascii="Arial" w:hAnsi="Arial" w:cs="Arial"/>
          <w:sz w:val="22"/>
          <w:szCs w:val="22"/>
        </w:rPr>
      </w:pPr>
      <w:r w:rsidRPr="00803664">
        <w:rPr>
          <w:rFonts w:ascii="Arial" w:hAnsi="Arial" w:cs="Arial"/>
          <w:b/>
          <w:sz w:val="22"/>
          <w:szCs w:val="22"/>
        </w:rPr>
        <w:t xml:space="preserve">Aceptación de las </w:t>
      </w:r>
      <w:proofErr w:type="spellStart"/>
      <w:r w:rsidRPr="00803664">
        <w:rPr>
          <w:rFonts w:ascii="Arial" w:hAnsi="Arial" w:cs="Arial"/>
          <w:b/>
          <w:sz w:val="22"/>
          <w:szCs w:val="22"/>
        </w:rPr>
        <w:t>DyE</w:t>
      </w:r>
      <w:proofErr w:type="spellEnd"/>
      <w:r w:rsidRPr="00803664">
        <w:rPr>
          <w:rFonts w:ascii="Arial" w:hAnsi="Arial" w:cs="Arial"/>
          <w:b/>
          <w:sz w:val="22"/>
          <w:szCs w:val="22"/>
        </w:rPr>
        <w:t xml:space="preserve"> para participar en el Programa</w:t>
      </w:r>
      <w:r>
        <w:rPr>
          <w:rFonts w:ascii="Arial" w:hAnsi="Arial" w:cs="Arial"/>
          <w:sz w:val="22"/>
          <w:szCs w:val="22"/>
        </w:rPr>
        <w:t>. La CONUEE emite las Disposiciones Administrativas y los criterios de elegibilidad que deben cumplir las</w:t>
      </w:r>
      <w:r w:rsidRPr="009847C9">
        <w:rPr>
          <w:rFonts w:ascii="Arial" w:hAnsi="Arial" w:cs="Arial"/>
          <w:sz w:val="22"/>
          <w:szCs w:val="22"/>
        </w:rPr>
        <w:t xml:space="preserve"> </w:t>
      </w:r>
      <w:proofErr w:type="spellStart"/>
      <w:r>
        <w:rPr>
          <w:rFonts w:ascii="Arial" w:hAnsi="Arial" w:cs="Arial"/>
          <w:sz w:val="22"/>
          <w:szCs w:val="22"/>
        </w:rPr>
        <w:t>DyE</w:t>
      </w:r>
      <w:proofErr w:type="spellEnd"/>
      <w:r>
        <w:rPr>
          <w:rFonts w:ascii="Arial" w:hAnsi="Arial" w:cs="Arial"/>
          <w:sz w:val="22"/>
          <w:szCs w:val="22"/>
        </w:rPr>
        <w:t xml:space="preserve"> para participar en el Programa, y realiza la convocatoria para que las </w:t>
      </w:r>
      <w:proofErr w:type="spellStart"/>
      <w:r>
        <w:rPr>
          <w:rFonts w:ascii="Arial" w:hAnsi="Arial" w:cs="Arial"/>
          <w:sz w:val="22"/>
          <w:szCs w:val="22"/>
        </w:rPr>
        <w:t>DyE</w:t>
      </w:r>
      <w:proofErr w:type="spellEnd"/>
      <w:r>
        <w:rPr>
          <w:rFonts w:ascii="Arial" w:hAnsi="Arial" w:cs="Arial"/>
          <w:sz w:val="22"/>
          <w:szCs w:val="22"/>
        </w:rPr>
        <w:t xml:space="preserve"> interesadas confirmen su participación en el Programa.</w:t>
      </w:r>
    </w:p>
    <w:p w:rsidR="00803664" w:rsidRDefault="00803664" w:rsidP="00803664">
      <w:pPr>
        <w:pStyle w:val="Paragraph"/>
        <w:numPr>
          <w:ilvl w:val="0"/>
          <w:numId w:val="43"/>
        </w:numPr>
        <w:ind w:left="540" w:hanging="540"/>
        <w:rPr>
          <w:rFonts w:ascii="Arial" w:hAnsi="Arial" w:cs="Arial"/>
          <w:sz w:val="22"/>
          <w:szCs w:val="22"/>
        </w:rPr>
      </w:pPr>
      <w:r w:rsidRPr="00803664">
        <w:rPr>
          <w:rFonts w:ascii="Arial" w:hAnsi="Arial" w:cs="Arial"/>
          <w:b/>
          <w:sz w:val="22"/>
          <w:szCs w:val="22"/>
        </w:rPr>
        <w:t>Elaboración de Proyectos Ejecutivos</w:t>
      </w:r>
      <w:r>
        <w:rPr>
          <w:rFonts w:ascii="Arial" w:hAnsi="Arial" w:cs="Arial"/>
          <w:sz w:val="22"/>
          <w:szCs w:val="22"/>
        </w:rPr>
        <w:t>. El FIDE en coordinación con la CONUEE, integra grupos de EOAPF que aceptaron participar en el Programa, y lleva a cabo el proceso de selección y contratación de las firmas consultoras que elaborarán los PE, de acuerdo con los términos de referencia acordados con la CONUEE,</w:t>
      </w:r>
      <w:r>
        <w:rPr>
          <w:rStyle w:val="FootnoteReference"/>
          <w:rFonts w:ascii="Arial" w:hAnsi="Arial" w:cs="Arial"/>
          <w:sz w:val="22"/>
          <w:szCs w:val="22"/>
        </w:rPr>
        <w:footnoteReference w:id="3"/>
      </w:r>
      <w:r>
        <w:rPr>
          <w:rFonts w:ascii="Arial" w:hAnsi="Arial" w:cs="Arial"/>
          <w:sz w:val="22"/>
          <w:szCs w:val="22"/>
        </w:rPr>
        <w:t xml:space="preserve">  </w:t>
      </w:r>
    </w:p>
    <w:p w:rsidR="00803664" w:rsidRDefault="00803664" w:rsidP="00803664">
      <w:pPr>
        <w:pStyle w:val="Paragraph"/>
        <w:numPr>
          <w:ilvl w:val="0"/>
          <w:numId w:val="43"/>
        </w:numPr>
        <w:ind w:left="540" w:hanging="540"/>
        <w:rPr>
          <w:rFonts w:ascii="Arial" w:hAnsi="Arial" w:cs="Arial"/>
          <w:sz w:val="22"/>
          <w:szCs w:val="22"/>
        </w:rPr>
      </w:pPr>
      <w:r w:rsidRPr="00803664">
        <w:rPr>
          <w:rFonts w:ascii="Arial" w:hAnsi="Arial" w:cs="Arial"/>
          <w:b/>
          <w:sz w:val="22"/>
          <w:szCs w:val="22"/>
        </w:rPr>
        <w:t>Aprobación de los PEE</w:t>
      </w:r>
      <w:r>
        <w:rPr>
          <w:rFonts w:ascii="Arial" w:hAnsi="Arial" w:cs="Arial"/>
          <w:sz w:val="22"/>
          <w:szCs w:val="22"/>
        </w:rPr>
        <w:t xml:space="preserve">. El FIDE y la CONUEE validan los resultados de los PE y los someten a consideración de las </w:t>
      </w:r>
      <w:proofErr w:type="spellStart"/>
      <w:r>
        <w:rPr>
          <w:rFonts w:ascii="Arial" w:hAnsi="Arial" w:cs="Arial"/>
          <w:sz w:val="22"/>
          <w:szCs w:val="22"/>
        </w:rPr>
        <w:t>DyE</w:t>
      </w:r>
      <w:proofErr w:type="spellEnd"/>
      <w:r>
        <w:rPr>
          <w:rFonts w:ascii="Arial" w:hAnsi="Arial" w:cs="Arial"/>
          <w:sz w:val="22"/>
          <w:szCs w:val="22"/>
        </w:rPr>
        <w:t xml:space="preserve"> participantes para que éstas su caso, acepten la implementación de proyectos de EE en sus instalaciones.</w:t>
      </w:r>
    </w:p>
    <w:p w:rsidR="00803664" w:rsidRDefault="00803664" w:rsidP="00803664">
      <w:pPr>
        <w:pStyle w:val="Paragraph"/>
        <w:numPr>
          <w:ilvl w:val="0"/>
          <w:numId w:val="43"/>
        </w:numPr>
        <w:ind w:left="540" w:hanging="540"/>
        <w:rPr>
          <w:rFonts w:ascii="Arial" w:hAnsi="Arial" w:cs="Arial"/>
          <w:sz w:val="22"/>
          <w:szCs w:val="22"/>
        </w:rPr>
      </w:pPr>
      <w:r w:rsidRPr="00803664">
        <w:rPr>
          <w:rFonts w:ascii="Arial" w:hAnsi="Arial" w:cs="Arial"/>
          <w:b/>
          <w:sz w:val="22"/>
          <w:szCs w:val="22"/>
        </w:rPr>
        <w:t>Adquisición consolidada y ejecución de los Proyectos de EE</w:t>
      </w:r>
      <w:r>
        <w:rPr>
          <w:rFonts w:ascii="Arial" w:hAnsi="Arial" w:cs="Arial"/>
          <w:sz w:val="22"/>
          <w:szCs w:val="22"/>
        </w:rPr>
        <w:t>. Con base en los PE validados y aceptados, el FIDE, de acuerdo con las especificaciones aprobadas por la CONUEE, lleva a cabo el proceso de licitación para la selección y contratación de los proveedores de equipos, iluminación y aire acondicionado principalmente, que incluirán también los servicios de retiro de los equipos eficientes, así como su disposición final y la de sus residuos; la instalación de los equipos de alta eficiencia y su puesta en operación. Todo lo anterior, de forma consolidad, para cada uno de los grupos de EOAPF participantes en el Programa.</w:t>
      </w:r>
    </w:p>
    <w:p w:rsidR="00803664" w:rsidRDefault="00803664" w:rsidP="00803664">
      <w:pPr>
        <w:pStyle w:val="Paragraph"/>
        <w:numPr>
          <w:ilvl w:val="0"/>
          <w:numId w:val="43"/>
        </w:numPr>
        <w:ind w:left="540" w:hanging="540"/>
        <w:rPr>
          <w:rFonts w:ascii="Arial" w:hAnsi="Arial" w:cs="Arial"/>
          <w:sz w:val="22"/>
          <w:szCs w:val="22"/>
        </w:rPr>
      </w:pPr>
      <w:r w:rsidRPr="00803664">
        <w:rPr>
          <w:rFonts w:ascii="Arial" w:hAnsi="Arial" w:cs="Arial"/>
          <w:b/>
          <w:sz w:val="22"/>
          <w:szCs w:val="22"/>
        </w:rPr>
        <w:t>Validación de proyectos de EE</w:t>
      </w:r>
      <w:r>
        <w:rPr>
          <w:rFonts w:ascii="Arial" w:hAnsi="Arial" w:cs="Arial"/>
          <w:sz w:val="22"/>
          <w:szCs w:val="22"/>
        </w:rPr>
        <w:t xml:space="preserve">. El FIDE en coordinación con CONUEE validarán la adecuada implementación y proyectos de EE y los someterán a consideración de las </w:t>
      </w:r>
      <w:proofErr w:type="spellStart"/>
      <w:r>
        <w:rPr>
          <w:rFonts w:ascii="Arial" w:hAnsi="Arial" w:cs="Arial"/>
          <w:sz w:val="22"/>
          <w:szCs w:val="22"/>
        </w:rPr>
        <w:t>DyE</w:t>
      </w:r>
      <w:proofErr w:type="spellEnd"/>
      <w:r>
        <w:rPr>
          <w:rFonts w:ascii="Arial" w:hAnsi="Arial" w:cs="Arial"/>
          <w:sz w:val="22"/>
          <w:szCs w:val="22"/>
        </w:rPr>
        <w:t xml:space="preserve"> a fin de confirmar su aceptación.</w:t>
      </w:r>
    </w:p>
    <w:p w:rsidR="00803664" w:rsidRDefault="00803664" w:rsidP="00803664">
      <w:pPr>
        <w:pStyle w:val="Paragraph"/>
        <w:numPr>
          <w:ilvl w:val="0"/>
          <w:numId w:val="43"/>
        </w:numPr>
        <w:ind w:left="540" w:hanging="540"/>
        <w:rPr>
          <w:rFonts w:ascii="Arial" w:hAnsi="Arial" w:cs="Arial"/>
          <w:sz w:val="22"/>
          <w:szCs w:val="22"/>
        </w:rPr>
      </w:pPr>
      <w:r w:rsidRPr="00803664">
        <w:rPr>
          <w:rFonts w:ascii="Arial" w:hAnsi="Arial" w:cs="Arial"/>
          <w:b/>
          <w:sz w:val="22"/>
          <w:szCs w:val="22"/>
        </w:rPr>
        <w:t>Monitoreo y Evaluación</w:t>
      </w:r>
      <w:r>
        <w:rPr>
          <w:rFonts w:ascii="Arial" w:hAnsi="Arial" w:cs="Arial"/>
          <w:sz w:val="22"/>
          <w:szCs w:val="22"/>
        </w:rPr>
        <w:t xml:space="preserve">. El FIDE en coordinación con la CONUE y la participación de las </w:t>
      </w:r>
      <w:proofErr w:type="spellStart"/>
      <w:r>
        <w:rPr>
          <w:rFonts w:ascii="Arial" w:hAnsi="Arial" w:cs="Arial"/>
          <w:sz w:val="22"/>
          <w:szCs w:val="22"/>
        </w:rPr>
        <w:t>DyE</w:t>
      </w:r>
      <w:proofErr w:type="spellEnd"/>
      <w:r>
        <w:rPr>
          <w:rFonts w:ascii="Arial" w:hAnsi="Arial" w:cs="Arial"/>
          <w:sz w:val="22"/>
          <w:szCs w:val="22"/>
        </w:rPr>
        <w:t xml:space="preserve"> en cuyas instalaciones se implementaron los proyectos de EE, monitorearán la operación de los equipos instalados y medidas aplicadas, y realizarán la evaluación de los resultados obtenidos.</w:t>
      </w:r>
    </w:p>
    <w:p w:rsidR="0036012F" w:rsidRDefault="0036012F" w:rsidP="00803664">
      <w:pPr>
        <w:pStyle w:val="Paragraph"/>
        <w:numPr>
          <w:ilvl w:val="0"/>
          <w:numId w:val="0"/>
        </w:numPr>
        <w:rPr>
          <w:rFonts w:ascii="Arial" w:hAnsi="Arial" w:cs="Arial"/>
          <w:sz w:val="22"/>
          <w:szCs w:val="22"/>
        </w:rPr>
      </w:pPr>
    </w:p>
    <w:p w:rsidR="00803664" w:rsidRDefault="00803664" w:rsidP="00803664">
      <w:pPr>
        <w:pStyle w:val="Paragraph"/>
        <w:numPr>
          <w:ilvl w:val="0"/>
          <w:numId w:val="0"/>
        </w:numPr>
        <w:rPr>
          <w:rFonts w:ascii="Arial" w:hAnsi="Arial" w:cs="Arial"/>
          <w:sz w:val="22"/>
          <w:szCs w:val="22"/>
        </w:rPr>
      </w:pPr>
      <w:r w:rsidRPr="00803664">
        <w:rPr>
          <w:rFonts w:ascii="Arial" w:hAnsi="Arial" w:cs="Arial"/>
          <w:sz w:val="22"/>
          <w:szCs w:val="22"/>
        </w:rPr>
        <w:t>En el siguiente flujograma se ilustra el proceso de la implementación del Programa</w:t>
      </w:r>
      <w:r>
        <w:rPr>
          <w:rFonts w:ascii="Arial" w:hAnsi="Arial" w:cs="Arial"/>
          <w:sz w:val="22"/>
          <w:szCs w:val="22"/>
        </w:rPr>
        <w:t>:</w:t>
      </w:r>
    </w:p>
    <w:p w:rsidR="00803664" w:rsidRDefault="00803664" w:rsidP="00803664">
      <w:pPr>
        <w:pStyle w:val="Paragraph"/>
        <w:numPr>
          <w:ilvl w:val="0"/>
          <w:numId w:val="0"/>
        </w:numPr>
        <w:rPr>
          <w:rFonts w:ascii="Arial" w:hAnsi="Arial" w:cs="Arial"/>
          <w:sz w:val="22"/>
          <w:szCs w:val="22"/>
        </w:rPr>
      </w:pPr>
      <w:r>
        <w:rPr>
          <w:rFonts w:ascii="Arial" w:hAnsi="Arial" w:cs="Arial"/>
          <w:sz w:val="22"/>
          <w:szCs w:val="22"/>
        </w:rPr>
        <w:br w:type="page"/>
      </w:r>
    </w:p>
    <w:p w:rsidR="00801E0E" w:rsidRDefault="00801E0E" w:rsidP="00803664">
      <w:pPr>
        <w:pStyle w:val="Paragraph"/>
        <w:numPr>
          <w:ilvl w:val="0"/>
          <w:numId w:val="0"/>
        </w:numPr>
        <w:rPr>
          <w:rFonts w:ascii="Arial" w:hAnsi="Arial" w:cs="Arial"/>
          <w:sz w:val="22"/>
          <w:szCs w:val="22"/>
        </w:rPr>
        <w:sectPr w:rsidR="00801E0E" w:rsidSect="00803664">
          <w:headerReference w:type="default" r:id="rId14"/>
          <w:footerReference w:type="default" r:id="rId15"/>
          <w:pgSz w:w="12240" w:h="15840"/>
          <w:pgMar w:top="1417" w:right="1701" w:bottom="1417" w:left="1701" w:header="708" w:footer="708" w:gutter="0"/>
          <w:cols w:space="708"/>
          <w:docGrid w:linePitch="360"/>
        </w:sectPr>
      </w:pPr>
    </w:p>
    <w:p w:rsidR="00803664" w:rsidRDefault="00801E0E" w:rsidP="00803664">
      <w:pPr>
        <w:pStyle w:val="Paragraph"/>
        <w:numPr>
          <w:ilvl w:val="0"/>
          <w:numId w:val="0"/>
        </w:numPr>
        <w:rPr>
          <w:rFonts w:ascii="Arial" w:hAnsi="Arial" w:cs="Arial"/>
          <w:sz w:val="22"/>
          <w:szCs w:val="22"/>
        </w:rPr>
      </w:pPr>
      <w:r w:rsidRPr="00F01908">
        <w:rPr>
          <w:noProof/>
        </w:rPr>
        <w:lastRenderedPageBreak/>
        <w:drawing>
          <wp:inline distT="0" distB="0" distL="0" distR="0" wp14:anchorId="26031F6C" wp14:editId="60D94A59">
            <wp:extent cx="8228282" cy="50292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37613" cy="5034903"/>
                    </a:xfrm>
                    <a:prstGeom prst="rect">
                      <a:avLst/>
                    </a:prstGeom>
                    <a:noFill/>
                    <a:ln>
                      <a:noFill/>
                    </a:ln>
                  </pic:spPr>
                </pic:pic>
              </a:graphicData>
            </a:graphic>
          </wp:inline>
        </w:drawing>
      </w:r>
      <w:r w:rsidR="00803664">
        <w:rPr>
          <w:rFonts w:ascii="Arial" w:hAnsi="Arial" w:cs="Arial"/>
          <w:sz w:val="22"/>
          <w:szCs w:val="22"/>
        </w:rPr>
        <w:br w:type="page"/>
      </w:r>
    </w:p>
    <w:p w:rsidR="00801E0E" w:rsidRDefault="00801E0E" w:rsidP="00803664">
      <w:pPr>
        <w:pStyle w:val="Paragraph"/>
        <w:numPr>
          <w:ilvl w:val="0"/>
          <w:numId w:val="0"/>
        </w:numPr>
        <w:rPr>
          <w:rFonts w:ascii="Arial" w:hAnsi="Arial" w:cs="Arial"/>
          <w:sz w:val="22"/>
          <w:szCs w:val="22"/>
        </w:rPr>
        <w:sectPr w:rsidR="00801E0E" w:rsidSect="00801E0E">
          <w:pgSz w:w="15840" w:h="12240" w:orient="landscape"/>
          <w:pgMar w:top="1699" w:right="1411" w:bottom="1699" w:left="1411" w:header="706" w:footer="706" w:gutter="0"/>
          <w:cols w:space="708"/>
          <w:docGrid w:linePitch="360"/>
        </w:sectPr>
      </w:pPr>
    </w:p>
    <w:p w:rsidR="00803664" w:rsidRPr="00801E0E" w:rsidRDefault="00801E0E" w:rsidP="00801E0E">
      <w:pPr>
        <w:pStyle w:val="Paragraph"/>
        <w:numPr>
          <w:ilvl w:val="0"/>
          <w:numId w:val="1"/>
        </w:numPr>
        <w:rPr>
          <w:rFonts w:ascii="Arial" w:hAnsi="Arial" w:cs="Arial"/>
          <w:b/>
          <w:sz w:val="22"/>
          <w:szCs w:val="22"/>
        </w:rPr>
      </w:pPr>
      <w:r>
        <w:rPr>
          <w:rFonts w:ascii="Arial" w:hAnsi="Arial" w:cs="Arial"/>
          <w:b/>
          <w:sz w:val="22"/>
          <w:szCs w:val="22"/>
        </w:rPr>
        <w:lastRenderedPageBreak/>
        <w:t>Elaboración de Proyectos Ejecutivos</w:t>
      </w:r>
    </w:p>
    <w:p w:rsidR="00803664" w:rsidRPr="00803664" w:rsidRDefault="00803664" w:rsidP="00803664">
      <w:pPr>
        <w:spacing w:after="240" w:line="23" w:lineRule="atLeast"/>
        <w:contextualSpacing/>
        <w:jc w:val="both"/>
        <w:rPr>
          <w:rFonts w:eastAsiaTheme="minorEastAsia" w:cs="Arial"/>
          <w:b/>
          <w:bCs/>
          <w:u w:val="single"/>
          <w:lang w:val="es-ES"/>
        </w:rPr>
      </w:pPr>
    </w:p>
    <w:p w:rsidR="00803664" w:rsidRPr="00803664" w:rsidRDefault="00803664" w:rsidP="00803664">
      <w:pPr>
        <w:spacing w:after="240" w:line="23" w:lineRule="atLeast"/>
        <w:jc w:val="both"/>
        <w:rPr>
          <w:rFonts w:eastAsiaTheme="minorEastAsia" w:cs="Arial"/>
          <w:bCs/>
        </w:rPr>
      </w:pPr>
      <w:r w:rsidRPr="00803664">
        <w:rPr>
          <w:rFonts w:cs="Arial"/>
          <w:sz w:val="22"/>
          <w:szCs w:val="22"/>
        </w:rPr>
        <w:t xml:space="preserve">Con el objetivo de fortalecer el proceso para la estructuración del financiamiento </w:t>
      </w:r>
      <w:r w:rsidR="00801E0E">
        <w:rPr>
          <w:rFonts w:cs="Arial"/>
          <w:sz w:val="22"/>
          <w:szCs w:val="22"/>
        </w:rPr>
        <w:t>para implementar los proyectos de EE en los EO de la APF</w:t>
      </w:r>
      <w:r w:rsidRPr="00803664">
        <w:rPr>
          <w:rFonts w:cs="Arial"/>
          <w:sz w:val="22"/>
          <w:szCs w:val="22"/>
        </w:rPr>
        <w:t xml:space="preserve">, </w:t>
      </w:r>
      <w:r w:rsidR="00801E0E">
        <w:rPr>
          <w:rFonts w:cs="Arial"/>
          <w:sz w:val="22"/>
          <w:szCs w:val="22"/>
        </w:rPr>
        <w:t>se elaborarán</w:t>
      </w:r>
      <w:r w:rsidRPr="00803664">
        <w:rPr>
          <w:rFonts w:cs="Arial"/>
          <w:sz w:val="22"/>
          <w:szCs w:val="22"/>
        </w:rPr>
        <w:t xml:space="preserve"> Proyectos Ejecutivos de Eficiencia Energética (PE-EE) en </w:t>
      </w:r>
      <w:r w:rsidR="00801E0E">
        <w:rPr>
          <w:rFonts w:cs="Arial"/>
          <w:sz w:val="22"/>
          <w:szCs w:val="22"/>
        </w:rPr>
        <w:t xml:space="preserve">grupos </w:t>
      </w:r>
      <w:r w:rsidRPr="00803664">
        <w:rPr>
          <w:rFonts w:cs="Arial"/>
          <w:sz w:val="22"/>
          <w:szCs w:val="22"/>
        </w:rPr>
        <w:t>de Inmuebles de Oficina de la Administr</w:t>
      </w:r>
      <w:r w:rsidR="00801E0E">
        <w:rPr>
          <w:rFonts w:cs="Arial"/>
          <w:sz w:val="22"/>
          <w:szCs w:val="22"/>
        </w:rPr>
        <w:t>ación Pública Federal. Mediante l</w:t>
      </w:r>
      <w:r w:rsidRPr="00803664">
        <w:rPr>
          <w:rFonts w:cs="Arial"/>
          <w:sz w:val="22"/>
          <w:szCs w:val="22"/>
        </w:rPr>
        <w:t>os PE-EE definirán cuáles de los equipos actuales de iluminación y aire acondicionado,</w:t>
      </w:r>
      <w:r w:rsidRPr="001A36E6">
        <w:rPr>
          <w:rFonts w:cs="Arial"/>
          <w:sz w:val="22"/>
          <w:szCs w:val="22"/>
        </w:rPr>
        <w:t xml:space="preserve"> de alto consumo de energía eléctrica son factibles de sustituirse, lo que permitirá reducir los gastos por concepto de pago de energía eléctrica, logrando hacer más eficiente los inmuebles del APF.</w:t>
      </w:r>
    </w:p>
    <w:p w:rsidR="00803664" w:rsidRPr="001A36E6" w:rsidRDefault="00803664" w:rsidP="00803664">
      <w:pPr>
        <w:spacing w:after="240" w:line="23" w:lineRule="atLeast"/>
        <w:jc w:val="both"/>
        <w:rPr>
          <w:rFonts w:cs="Arial"/>
          <w:sz w:val="22"/>
          <w:szCs w:val="22"/>
        </w:rPr>
      </w:pPr>
      <w:r w:rsidRPr="001A36E6">
        <w:rPr>
          <w:rFonts w:cs="Arial"/>
          <w:sz w:val="22"/>
          <w:szCs w:val="22"/>
        </w:rPr>
        <w:t xml:space="preserve">Si bien los PE-EE se sustentan en un diagnóstico energético, se pueden distinguir de un diagnóstico o auditoría tradicional principalmente en los siguientes aspectos: </w:t>
      </w:r>
      <w:r w:rsidR="00801E0E" w:rsidRPr="001A36E6">
        <w:rPr>
          <w:rFonts w:cs="Arial"/>
          <w:sz w:val="22"/>
          <w:szCs w:val="22"/>
        </w:rPr>
        <w:t xml:space="preserve">(i) </w:t>
      </w:r>
      <w:r w:rsidRPr="001A36E6">
        <w:rPr>
          <w:rFonts w:cs="Arial"/>
          <w:sz w:val="22"/>
          <w:szCs w:val="22"/>
        </w:rPr>
        <w:t xml:space="preserve">se enfocan </w:t>
      </w:r>
      <w:r w:rsidR="00801E0E" w:rsidRPr="001A36E6">
        <w:rPr>
          <w:rFonts w:cs="Arial"/>
          <w:sz w:val="22"/>
          <w:szCs w:val="22"/>
        </w:rPr>
        <w:t xml:space="preserve">principalmente </w:t>
      </w:r>
      <w:r w:rsidRPr="001A36E6">
        <w:rPr>
          <w:rFonts w:cs="Arial"/>
          <w:sz w:val="22"/>
          <w:szCs w:val="22"/>
        </w:rPr>
        <w:t xml:space="preserve">en los sistemas de iluminación y aire acondicionado; </w:t>
      </w:r>
      <w:r w:rsidR="00801E0E" w:rsidRPr="001A36E6">
        <w:rPr>
          <w:rFonts w:cs="Arial"/>
          <w:sz w:val="22"/>
          <w:szCs w:val="22"/>
        </w:rPr>
        <w:t xml:space="preserve">(ii) </w:t>
      </w:r>
      <w:r w:rsidRPr="001A36E6">
        <w:rPr>
          <w:rFonts w:cs="Arial"/>
          <w:sz w:val="22"/>
          <w:szCs w:val="22"/>
        </w:rPr>
        <w:t xml:space="preserve">se complementan con un análisis económico para la selección de las medidas de EE; </w:t>
      </w:r>
      <w:r w:rsidR="00801E0E" w:rsidRPr="001A36E6">
        <w:rPr>
          <w:rFonts w:cs="Arial"/>
          <w:sz w:val="22"/>
          <w:szCs w:val="22"/>
        </w:rPr>
        <w:t xml:space="preserve">(ii) </w:t>
      </w:r>
      <w:r w:rsidRPr="001A36E6">
        <w:rPr>
          <w:rFonts w:cs="Arial"/>
          <w:sz w:val="22"/>
          <w:szCs w:val="22"/>
        </w:rPr>
        <w:t xml:space="preserve">se definen las especificaciones técnicas de los equipos de alta EE a instalar en sustitución de equipos de alto consumo de energía; </w:t>
      </w:r>
      <w:r w:rsidR="00801E0E" w:rsidRPr="001A36E6">
        <w:rPr>
          <w:rFonts w:cs="Arial"/>
          <w:sz w:val="22"/>
          <w:szCs w:val="22"/>
        </w:rPr>
        <w:t xml:space="preserve">(iii) </w:t>
      </w:r>
      <w:r w:rsidRPr="001A36E6">
        <w:rPr>
          <w:rFonts w:cs="Arial"/>
          <w:sz w:val="22"/>
          <w:szCs w:val="22"/>
        </w:rPr>
        <w:t xml:space="preserve">se plantean las operaciones y logística necesaria, con sus respectivos costos y programación para la implementación de las medidas de EE; </w:t>
      </w:r>
      <w:r w:rsidR="00801E0E" w:rsidRPr="001A36E6">
        <w:rPr>
          <w:rFonts w:cs="Arial"/>
          <w:sz w:val="22"/>
          <w:szCs w:val="22"/>
        </w:rPr>
        <w:t xml:space="preserve">y (iv) </w:t>
      </w:r>
      <w:r w:rsidRPr="001A36E6">
        <w:rPr>
          <w:rFonts w:cs="Arial"/>
          <w:sz w:val="22"/>
          <w:szCs w:val="22"/>
        </w:rPr>
        <w:t xml:space="preserve">se especifica el adecuado manejo ambiental de los equipos a retirar; y se incluyen los montos de inversión y rentabilidad de los mismos PE-EE. </w:t>
      </w:r>
    </w:p>
    <w:p w:rsidR="00C41CB0" w:rsidRPr="001A36E6" w:rsidRDefault="00801E0E" w:rsidP="00801E0E">
      <w:pPr>
        <w:spacing w:after="240" w:line="23" w:lineRule="atLeast"/>
        <w:contextualSpacing/>
        <w:jc w:val="both"/>
        <w:rPr>
          <w:rFonts w:cs="Arial"/>
          <w:sz w:val="22"/>
          <w:szCs w:val="22"/>
        </w:rPr>
      </w:pPr>
      <w:proofErr w:type="gramStart"/>
      <w:r w:rsidRPr="001A36E6">
        <w:rPr>
          <w:rFonts w:cs="Arial"/>
          <w:sz w:val="22"/>
          <w:szCs w:val="22"/>
        </w:rPr>
        <w:t>Las principales actividades a desarrollar</w:t>
      </w:r>
      <w:proofErr w:type="gramEnd"/>
      <w:r w:rsidRPr="001A36E6">
        <w:rPr>
          <w:rFonts w:cs="Arial"/>
          <w:sz w:val="22"/>
          <w:szCs w:val="22"/>
        </w:rPr>
        <w:t xml:space="preserve"> para la elaboración de los PEE-EE son las siguientes:</w:t>
      </w:r>
    </w:p>
    <w:p w:rsidR="00AA491F" w:rsidRPr="001A36E6" w:rsidRDefault="00EE1A35" w:rsidP="00801E0E">
      <w:pPr>
        <w:pStyle w:val="ListParagraph"/>
        <w:numPr>
          <w:ilvl w:val="0"/>
          <w:numId w:val="44"/>
        </w:numPr>
        <w:shd w:val="clear" w:color="auto" w:fill="FFFFFF"/>
        <w:spacing w:after="240" w:line="23" w:lineRule="atLeast"/>
        <w:jc w:val="both"/>
        <w:rPr>
          <w:rFonts w:ascii="Arial" w:hAnsi="Arial" w:cs="Arial"/>
          <w:sz w:val="22"/>
          <w:szCs w:val="22"/>
        </w:rPr>
      </w:pPr>
      <w:r w:rsidRPr="001A36E6">
        <w:rPr>
          <w:rFonts w:ascii="Arial" w:hAnsi="Arial" w:cs="Arial"/>
          <w:sz w:val="22"/>
          <w:szCs w:val="22"/>
        </w:rPr>
        <w:t>Recopilación</w:t>
      </w:r>
      <w:r w:rsidR="00701159" w:rsidRPr="001A36E6">
        <w:rPr>
          <w:rFonts w:ascii="Arial" w:hAnsi="Arial" w:cs="Arial"/>
          <w:sz w:val="22"/>
          <w:szCs w:val="22"/>
        </w:rPr>
        <w:t xml:space="preserve"> de información</w:t>
      </w:r>
      <w:r w:rsidRPr="001A36E6">
        <w:rPr>
          <w:rFonts w:ascii="Arial" w:hAnsi="Arial" w:cs="Arial"/>
          <w:sz w:val="22"/>
          <w:szCs w:val="22"/>
        </w:rPr>
        <w:t xml:space="preserve"> básica</w:t>
      </w:r>
      <w:r w:rsidR="00AA491F" w:rsidRPr="001A36E6">
        <w:rPr>
          <w:rFonts w:ascii="Arial" w:hAnsi="Arial" w:cs="Arial"/>
          <w:sz w:val="22"/>
          <w:szCs w:val="22"/>
        </w:rPr>
        <w:t xml:space="preserve">. Comprende la recopilación de información básica, </w:t>
      </w:r>
      <w:r w:rsidR="00701159" w:rsidRPr="001A36E6">
        <w:rPr>
          <w:rFonts w:ascii="Arial" w:hAnsi="Arial" w:cs="Arial"/>
          <w:sz w:val="22"/>
          <w:szCs w:val="22"/>
        </w:rPr>
        <w:t xml:space="preserve">verificar </w:t>
      </w:r>
      <w:r w:rsidR="00BA3F67" w:rsidRPr="001A36E6">
        <w:rPr>
          <w:rFonts w:ascii="Arial" w:hAnsi="Arial" w:cs="Arial"/>
          <w:sz w:val="22"/>
          <w:szCs w:val="22"/>
        </w:rPr>
        <w:t>las condiciones de los equipos,</w:t>
      </w:r>
      <w:r w:rsidR="00701159" w:rsidRPr="001A36E6">
        <w:rPr>
          <w:rFonts w:ascii="Arial" w:hAnsi="Arial" w:cs="Arial"/>
          <w:sz w:val="22"/>
          <w:szCs w:val="22"/>
        </w:rPr>
        <w:t xml:space="preserve"> </w:t>
      </w:r>
      <w:r w:rsidR="00AA491F" w:rsidRPr="001A36E6">
        <w:rPr>
          <w:rFonts w:ascii="Arial" w:hAnsi="Arial" w:cs="Arial"/>
          <w:sz w:val="22"/>
          <w:szCs w:val="22"/>
        </w:rPr>
        <w:t>defin</w:t>
      </w:r>
      <w:r w:rsidR="00701159" w:rsidRPr="001A36E6">
        <w:rPr>
          <w:rFonts w:ascii="Arial" w:hAnsi="Arial" w:cs="Arial"/>
          <w:sz w:val="22"/>
          <w:szCs w:val="22"/>
        </w:rPr>
        <w:t>ir</w:t>
      </w:r>
      <w:r w:rsidR="00AA491F" w:rsidRPr="001A36E6">
        <w:rPr>
          <w:rFonts w:ascii="Arial" w:hAnsi="Arial" w:cs="Arial"/>
          <w:sz w:val="22"/>
          <w:szCs w:val="22"/>
        </w:rPr>
        <w:t xml:space="preserve"> los indicadores energéticos de</w:t>
      </w:r>
      <w:r w:rsidR="00BA3F67" w:rsidRPr="001A36E6">
        <w:rPr>
          <w:rFonts w:ascii="Arial" w:hAnsi="Arial" w:cs="Arial"/>
          <w:sz w:val="22"/>
          <w:szCs w:val="22"/>
        </w:rPr>
        <w:t>l inmueble y preparar el trabajo de campo.</w:t>
      </w:r>
      <w:r w:rsidR="007019B1" w:rsidRPr="001A36E6">
        <w:rPr>
          <w:rFonts w:ascii="Arial" w:hAnsi="Arial" w:cs="Arial"/>
          <w:sz w:val="22"/>
          <w:szCs w:val="22"/>
        </w:rPr>
        <w:t xml:space="preserve"> </w:t>
      </w:r>
    </w:p>
    <w:p w:rsidR="00AA491F" w:rsidRPr="001A36E6" w:rsidRDefault="00AA491F" w:rsidP="008F0C26">
      <w:pPr>
        <w:pStyle w:val="ListParagraph"/>
        <w:shd w:val="clear" w:color="auto" w:fill="FFFFFF"/>
        <w:spacing w:after="240" w:line="23" w:lineRule="atLeast"/>
        <w:rPr>
          <w:rFonts w:ascii="Arial" w:hAnsi="Arial" w:cs="Arial"/>
          <w:sz w:val="22"/>
          <w:szCs w:val="22"/>
        </w:rPr>
      </w:pPr>
    </w:p>
    <w:p w:rsidR="00AA491F" w:rsidRPr="001A36E6" w:rsidRDefault="00701159" w:rsidP="00801E0E">
      <w:pPr>
        <w:pStyle w:val="ListParagraph"/>
        <w:numPr>
          <w:ilvl w:val="0"/>
          <w:numId w:val="44"/>
        </w:numPr>
        <w:shd w:val="clear" w:color="auto" w:fill="FFFFFF"/>
        <w:spacing w:after="240" w:line="23" w:lineRule="atLeast"/>
        <w:jc w:val="both"/>
        <w:rPr>
          <w:rFonts w:ascii="Arial" w:hAnsi="Arial" w:cs="Arial"/>
          <w:sz w:val="22"/>
          <w:szCs w:val="22"/>
        </w:rPr>
      </w:pPr>
      <w:r w:rsidRPr="001A36E6">
        <w:rPr>
          <w:rFonts w:ascii="Arial" w:hAnsi="Arial" w:cs="Arial"/>
          <w:sz w:val="22"/>
          <w:szCs w:val="22"/>
        </w:rPr>
        <w:t>T</w:t>
      </w:r>
      <w:r w:rsidR="00AA491F" w:rsidRPr="001A36E6">
        <w:rPr>
          <w:rFonts w:ascii="Arial" w:hAnsi="Arial" w:cs="Arial"/>
          <w:sz w:val="22"/>
          <w:szCs w:val="22"/>
        </w:rPr>
        <w:t>rabajo de campo</w:t>
      </w:r>
      <w:r w:rsidRPr="001A36E6">
        <w:rPr>
          <w:rFonts w:ascii="Arial" w:hAnsi="Arial" w:cs="Arial"/>
          <w:sz w:val="22"/>
          <w:szCs w:val="22"/>
        </w:rPr>
        <w:t xml:space="preserve">. </w:t>
      </w:r>
      <w:r w:rsidR="001C6C0D" w:rsidRPr="001A36E6">
        <w:rPr>
          <w:rFonts w:ascii="Arial" w:hAnsi="Arial" w:cs="Arial"/>
          <w:sz w:val="22"/>
          <w:szCs w:val="22"/>
        </w:rPr>
        <w:t>Levantamiento de inventario de equipos y sus principales características (potencia, antigüedad, marca, etc.), realización de m</w:t>
      </w:r>
      <w:r w:rsidRPr="001A36E6">
        <w:rPr>
          <w:rFonts w:ascii="Arial" w:hAnsi="Arial" w:cs="Arial"/>
          <w:sz w:val="22"/>
          <w:szCs w:val="22"/>
        </w:rPr>
        <w:t>e</w:t>
      </w:r>
      <w:r w:rsidR="00AA491F" w:rsidRPr="001A36E6">
        <w:rPr>
          <w:rFonts w:ascii="Arial" w:hAnsi="Arial" w:cs="Arial"/>
          <w:sz w:val="22"/>
          <w:szCs w:val="22"/>
        </w:rPr>
        <w:t xml:space="preserve">diciones para definir el perfil energético y operacional de los sistemas </w:t>
      </w:r>
      <w:r w:rsidRPr="001A36E6">
        <w:rPr>
          <w:rFonts w:ascii="Arial" w:hAnsi="Arial" w:cs="Arial"/>
          <w:sz w:val="22"/>
          <w:szCs w:val="22"/>
        </w:rPr>
        <w:t>de</w:t>
      </w:r>
      <w:r w:rsidR="00AA491F" w:rsidRPr="001A36E6">
        <w:rPr>
          <w:rFonts w:ascii="Arial" w:hAnsi="Arial" w:cs="Arial"/>
          <w:sz w:val="22"/>
          <w:szCs w:val="22"/>
        </w:rPr>
        <w:t xml:space="preserve"> Iluminaci</w:t>
      </w:r>
      <w:r w:rsidR="00D02CAF" w:rsidRPr="001A36E6">
        <w:rPr>
          <w:rFonts w:ascii="Arial" w:hAnsi="Arial" w:cs="Arial"/>
          <w:sz w:val="22"/>
          <w:szCs w:val="22"/>
        </w:rPr>
        <w:t>ón y de aire acondicionado. E</w:t>
      </w:r>
      <w:r w:rsidR="00274144" w:rsidRPr="001A36E6">
        <w:rPr>
          <w:rFonts w:ascii="Arial" w:hAnsi="Arial" w:cs="Arial"/>
          <w:sz w:val="22"/>
          <w:szCs w:val="22"/>
        </w:rPr>
        <w:t>n el caso de iluminación se deberá verificar la adecuada distribución de las luminarias y su cumplimiento de las normas de seguridad vigentes</w:t>
      </w:r>
      <w:r w:rsidR="00D02CAF" w:rsidRPr="001A36E6">
        <w:rPr>
          <w:rFonts w:ascii="Arial" w:hAnsi="Arial" w:cs="Arial"/>
          <w:sz w:val="22"/>
          <w:szCs w:val="22"/>
        </w:rPr>
        <w:t xml:space="preserve">. En el caso </w:t>
      </w:r>
      <w:r w:rsidR="00274144" w:rsidRPr="001A36E6">
        <w:rPr>
          <w:rFonts w:ascii="Arial" w:hAnsi="Arial" w:cs="Arial"/>
          <w:sz w:val="22"/>
          <w:szCs w:val="22"/>
        </w:rPr>
        <w:t>a</w:t>
      </w:r>
      <w:r w:rsidR="00AA491F" w:rsidRPr="001A36E6">
        <w:rPr>
          <w:rFonts w:ascii="Arial" w:hAnsi="Arial" w:cs="Arial"/>
          <w:sz w:val="22"/>
          <w:szCs w:val="22"/>
        </w:rPr>
        <w:t xml:space="preserve">ire </w:t>
      </w:r>
      <w:r w:rsidR="00274144" w:rsidRPr="001A36E6">
        <w:rPr>
          <w:rFonts w:ascii="Arial" w:hAnsi="Arial" w:cs="Arial"/>
          <w:sz w:val="22"/>
          <w:szCs w:val="22"/>
        </w:rPr>
        <w:t>a</w:t>
      </w:r>
      <w:r w:rsidR="00AA491F" w:rsidRPr="001A36E6">
        <w:rPr>
          <w:rFonts w:ascii="Arial" w:hAnsi="Arial" w:cs="Arial"/>
          <w:sz w:val="22"/>
          <w:szCs w:val="22"/>
        </w:rPr>
        <w:t>condicionado</w:t>
      </w:r>
      <w:r w:rsidR="00274144" w:rsidRPr="001A36E6">
        <w:rPr>
          <w:rFonts w:ascii="Arial" w:hAnsi="Arial" w:cs="Arial"/>
          <w:sz w:val="22"/>
          <w:szCs w:val="22"/>
        </w:rPr>
        <w:t xml:space="preserve"> se deberá calcular la relación de eficiencia energética </w:t>
      </w:r>
      <w:r w:rsidR="00D02CAF" w:rsidRPr="001A36E6">
        <w:rPr>
          <w:rFonts w:ascii="Arial" w:hAnsi="Arial" w:cs="Arial"/>
          <w:sz w:val="22"/>
          <w:szCs w:val="22"/>
        </w:rPr>
        <w:t>(REE).</w:t>
      </w:r>
    </w:p>
    <w:p w:rsidR="00701159" w:rsidRPr="001A36E6" w:rsidRDefault="00701159" w:rsidP="008F0C26">
      <w:pPr>
        <w:pStyle w:val="ListParagraph"/>
        <w:spacing w:after="240" w:line="23" w:lineRule="atLeast"/>
        <w:rPr>
          <w:rFonts w:ascii="Arial" w:hAnsi="Arial" w:cs="Arial"/>
          <w:sz w:val="22"/>
          <w:szCs w:val="22"/>
        </w:rPr>
      </w:pPr>
    </w:p>
    <w:p w:rsidR="00EE1A35" w:rsidRPr="001A36E6" w:rsidRDefault="00EE1A35" w:rsidP="00801E0E">
      <w:pPr>
        <w:pStyle w:val="ListParagraph"/>
        <w:numPr>
          <w:ilvl w:val="0"/>
          <w:numId w:val="44"/>
        </w:numPr>
        <w:shd w:val="clear" w:color="auto" w:fill="FFFFFF"/>
        <w:spacing w:after="240" w:line="23" w:lineRule="atLeast"/>
        <w:jc w:val="both"/>
        <w:rPr>
          <w:rFonts w:ascii="Arial" w:hAnsi="Arial" w:cs="Arial"/>
          <w:sz w:val="22"/>
          <w:szCs w:val="22"/>
        </w:rPr>
      </w:pPr>
      <w:r w:rsidRPr="001A36E6">
        <w:rPr>
          <w:rFonts w:ascii="Arial" w:hAnsi="Arial" w:cs="Arial"/>
          <w:sz w:val="22"/>
          <w:szCs w:val="22"/>
        </w:rPr>
        <w:t>Análisis de información</w:t>
      </w:r>
      <w:r w:rsidR="00701159" w:rsidRPr="001A36E6">
        <w:rPr>
          <w:rFonts w:ascii="Arial" w:hAnsi="Arial" w:cs="Arial"/>
          <w:sz w:val="22"/>
          <w:szCs w:val="22"/>
        </w:rPr>
        <w:t xml:space="preserve">. </w:t>
      </w:r>
    </w:p>
    <w:p w:rsidR="00EE1A35" w:rsidRPr="001A36E6" w:rsidRDefault="00EE1A35" w:rsidP="008F0C26">
      <w:pPr>
        <w:pStyle w:val="ListParagraph"/>
        <w:spacing w:after="240" w:line="23" w:lineRule="atLeast"/>
        <w:rPr>
          <w:rFonts w:ascii="Arial" w:hAnsi="Arial" w:cs="Arial"/>
          <w:sz w:val="22"/>
          <w:szCs w:val="22"/>
        </w:rPr>
      </w:pPr>
    </w:p>
    <w:p w:rsidR="009A2C32" w:rsidRPr="001A36E6" w:rsidRDefault="009A2C32" w:rsidP="001E246C">
      <w:pPr>
        <w:pStyle w:val="ListParagraph"/>
        <w:numPr>
          <w:ilvl w:val="1"/>
          <w:numId w:val="10"/>
        </w:numPr>
        <w:shd w:val="clear" w:color="auto" w:fill="FFFFFF"/>
        <w:spacing w:after="120" w:line="23" w:lineRule="atLeast"/>
        <w:ind w:left="720"/>
        <w:contextualSpacing w:val="0"/>
        <w:jc w:val="both"/>
        <w:rPr>
          <w:rFonts w:ascii="Arial" w:hAnsi="Arial" w:cs="Arial"/>
          <w:sz w:val="22"/>
          <w:szCs w:val="22"/>
        </w:rPr>
      </w:pPr>
      <w:r w:rsidRPr="001A36E6">
        <w:rPr>
          <w:rFonts w:ascii="Arial" w:hAnsi="Arial" w:cs="Arial"/>
          <w:sz w:val="22"/>
          <w:szCs w:val="22"/>
        </w:rPr>
        <w:t>Calcular</w:t>
      </w:r>
      <w:r w:rsidR="00701159" w:rsidRPr="001A36E6">
        <w:rPr>
          <w:rFonts w:ascii="Arial" w:hAnsi="Arial" w:cs="Arial"/>
          <w:sz w:val="22"/>
          <w:szCs w:val="22"/>
        </w:rPr>
        <w:t xml:space="preserve"> el potencial de ahorro de energía en el conjun</w:t>
      </w:r>
      <w:r w:rsidRPr="001A36E6">
        <w:rPr>
          <w:rFonts w:ascii="Arial" w:hAnsi="Arial" w:cs="Arial"/>
          <w:sz w:val="22"/>
          <w:szCs w:val="22"/>
        </w:rPr>
        <w:t xml:space="preserve">to de inmueble de APF asignado. </w:t>
      </w:r>
    </w:p>
    <w:p w:rsidR="001A5F3A" w:rsidRPr="006462FB" w:rsidRDefault="006462FB" w:rsidP="001E246C">
      <w:pPr>
        <w:pStyle w:val="ListParagraph"/>
        <w:numPr>
          <w:ilvl w:val="2"/>
          <w:numId w:val="46"/>
        </w:numPr>
        <w:spacing w:after="120" w:line="23" w:lineRule="atLeast"/>
        <w:ind w:left="900"/>
        <w:contextualSpacing w:val="0"/>
        <w:jc w:val="both"/>
        <w:rPr>
          <w:rFonts w:ascii="Arial" w:hAnsi="Arial" w:cs="Arial"/>
        </w:rPr>
      </w:pPr>
      <w:r w:rsidRPr="001A36E6">
        <w:rPr>
          <w:rFonts w:ascii="Arial" w:hAnsi="Arial" w:cs="Arial"/>
          <w:sz w:val="22"/>
          <w:szCs w:val="22"/>
        </w:rPr>
        <w:t xml:space="preserve">Para definir el método de cálculo de ahorros energéticos y económicos </w:t>
      </w:r>
      <w:r w:rsidR="008855AE" w:rsidRPr="001A36E6">
        <w:rPr>
          <w:rFonts w:ascii="Arial" w:hAnsi="Arial" w:cs="Arial"/>
          <w:sz w:val="22"/>
          <w:szCs w:val="22"/>
        </w:rPr>
        <w:t>d</w:t>
      </w:r>
      <w:r w:rsidR="009A2C32" w:rsidRPr="001A36E6">
        <w:rPr>
          <w:rFonts w:ascii="Arial" w:hAnsi="Arial" w:cs="Arial"/>
          <w:sz w:val="22"/>
          <w:szCs w:val="22"/>
        </w:rPr>
        <w:t>ebe</w:t>
      </w:r>
      <w:r w:rsidR="001A5F3A" w:rsidRPr="001A36E6">
        <w:rPr>
          <w:rFonts w:ascii="Arial" w:hAnsi="Arial" w:cs="Arial"/>
          <w:sz w:val="22"/>
          <w:szCs w:val="22"/>
        </w:rPr>
        <w:t>n</w:t>
      </w:r>
      <w:r w:rsidR="009A2C32" w:rsidRPr="001A36E6">
        <w:rPr>
          <w:rFonts w:ascii="Arial" w:hAnsi="Arial" w:cs="Arial"/>
          <w:sz w:val="22"/>
          <w:szCs w:val="22"/>
        </w:rPr>
        <w:t xml:space="preserve"> establecerse línea</w:t>
      </w:r>
      <w:r w:rsidR="001A5F3A" w:rsidRPr="001A36E6">
        <w:rPr>
          <w:rFonts w:ascii="Arial" w:hAnsi="Arial" w:cs="Arial"/>
          <w:sz w:val="22"/>
          <w:szCs w:val="22"/>
        </w:rPr>
        <w:t>s</w:t>
      </w:r>
      <w:r w:rsidR="009A2C32" w:rsidRPr="001A36E6">
        <w:rPr>
          <w:rFonts w:ascii="Arial" w:hAnsi="Arial" w:cs="Arial"/>
          <w:sz w:val="22"/>
          <w:szCs w:val="22"/>
        </w:rPr>
        <w:t xml:space="preserve"> base</w:t>
      </w:r>
      <w:r w:rsidR="001A5F3A" w:rsidRPr="001A36E6">
        <w:rPr>
          <w:rFonts w:ascii="Arial" w:hAnsi="Arial" w:cs="Arial"/>
          <w:sz w:val="22"/>
          <w:szCs w:val="22"/>
        </w:rPr>
        <w:t xml:space="preserve"> energéticas (</w:t>
      </w:r>
      <w:proofErr w:type="spellStart"/>
      <w:r w:rsidR="001A5F3A" w:rsidRPr="001A36E6">
        <w:rPr>
          <w:rFonts w:ascii="Arial" w:hAnsi="Arial" w:cs="Arial"/>
          <w:sz w:val="22"/>
          <w:szCs w:val="22"/>
        </w:rPr>
        <w:t>LBEn</w:t>
      </w:r>
      <w:proofErr w:type="spellEnd"/>
      <w:r w:rsidR="001A5F3A" w:rsidRPr="001A36E6">
        <w:rPr>
          <w:rFonts w:ascii="Arial" w:hAnsi="Arial" w:cs="Arial"/>
          <w:sz w:val="22"/>
          <w:szCs w:val="22"/>
        </w:rPr>
        <w:t>)</w:t>
      </w:r>
      <w:r w:rsidR="0099375A" w:rsidRPr="001A36E6">
        <w:rPr>
          <w:rFonts w:ascii="Arial" w:hAnsi="Arial" w:cs="Arial"/>
          <w:sz w:val="22"/>
          <w:szCs w:val="22"/>
        </w:rPr>
        <w:t xml:space="preserve"> e indicadores de desempeño energético (</w:t>
      </w:r>
      <w:proofErr w:type="spellStart"/>
      <w:r w:rsidR="0099375A" w:rsidRPr="001A36E6">
        <w:rPr>
          <w:rFonts w:ascii="Arial" w:hAnsi="Arial" w:cs="Arial"/>
          <w:sz w:val="22"/>
          <w:szCs w:val="22"/>
        </w:rPr>
        <w:t>IDEn´s</w:t>
      </w:r>
      <w:proofErr w:type="spellEnd"/>
      <w:r w:rsidR="0099375A" w:rsidRPr="001A36E6">
        <w:rPr>
          <w:rFonts w:ascii="Arial" w:hAnsi="Arial" w:cs="Arial"/>
          <w:sz w:val="22"/>
          <w:szCs w:val="22"/>
        </w:rPr>
        <w:t>)</w:t>
      </w:r>
      <w:r w:rsidRPr="001A36E6">
        <w:rPr>
          <w:rFonts w:ascii="Arial" w:hAnsi="Arial" w:cs="Arial"/>
          <w:sz w:val="22"/>
          <w:szCs w:val="22"/>
        </w:rPr>
        <w:t xml:space="preserve"> </w:t>
      </w:r>
      <w:r w:rsidR="009A2C32" w:rsidRPr="001A36E6">
        <w:rPr>
          <w:rFonts w:ascii="Arial" w:hAnsi="Arial" w:cs="Arial"/>
          <w:sz w:val="22"/>
          <w:szCs w:val="22"/>
        </w:rPr>
        <w:t>de acuerdo a lo especificado en la ISO 50006:</w:t>
      </w:r>
      <w:r w:rsidR="001A36E6">
        <w:rPr>
          <w:rFonts w:ascii="Arial" w:hAnsi="Arial" w:cs="Arial"/>
          <w:sz w:val="22"/>
          <w:szCs w:val="22"/>
        </w:rPr>
        <w:t xml:space="preserve"> </w:t>
      </w:r>
      <w:r w:rsidR="009A2C32" w:rsidRPr="001A36E6">
        <w:rPr>
          <w:rFonts w:ascii="Arial" w:hAnsi="Arial" w:cs="Arial"/>
          <w:sz w:val="22"/>
          <w:szCs w:val="22"/>
        </w:rPr>
        <w:t>2014 –</w:t>
      </w:r>
      <w:r w:rsidR="009A2C32" w:rsidRPr="006462FB">
        <w:rPr>
          <w:rFonts w:ascii="Arial" w:hAnsi="Arial" w:cs="Arial"/>
        </w:rPr>
        <w:t xml:space="preserve"> </w:t>
      </w:r>
      <w:r w:rsidR="009A2C32" w:rsidRPr="001A36E6">
        <w:rPr>
          <w:rFonts w:ascii="Arial" w:hAnsi="Arial" w:cs="Arial"/>
          <w:i/>
          <w:sz w:val="22"/>
          <w:szCs w:val="22"/>
        </w:rPr>
        <w:t xml:space="preserve">“Sistemas de gestión energética - Medición del rendimiento energético utilizando líneas de base de energía (ENB) y los - Principios generales y </w:t>
      </w:r>
      <w:proofErr w:type="gramStart"/>
      <w:r w:rsidR="001A36E6">
        <w:rPr>
          <w:rFonts w:ascii="Arial" w:hAnsi="Arial" w:cs="Arial"/>
          <w:i/>
          <w:sz w:val="22"/>
          <w:szCs w:val="22"/>
        </w:rPr>
        <w:t>orientación</w:t>
      </w:r>
      <w:r w:rsidR="00E05F6E">
        <w:rPr>
          <w:rFonts w:ascii="Arial" w:hAnsi="Arial" w:cs="Arial"/>
          <w:i/>
          <w:sz w:val="22"/>
          <w:szCs w:val="22"/>
        </w:rPr>
        <w:t>.</w:t>
      </w:r>
      <w:r w:rsidR="001A36E6" w:rsidRPr="001A36E6">
        <w:rPr>
          <w:rFonts w:ascii="Arial" w:hAnsi="Arial" w:cs="Arial"/>
          <w:i/>
          <w:sz w:val="22"/>
          <w:szCs w:val="22"/>
        </w:rPr>
        <w:t>“</w:t>
      </w:r>
      <w:proofErr w:type="gramEnd"/>
      <w:r w:rsidR="008855AE" w:rsidRPr="001A36E6">
        <w:rPr>
          <w:rFonts w:ascii="Arial" w:hAnsi="Arial" w:cs="Arial"/>
          <w:i/>
          <w:sz w:val="22"/>
          <w:szCs w:val="22"/>
        </w:rPr>
        <w:t xml:space="preserve"> </w:t>
      </w:r>
    </w:p>
    <w:p w:rsidR="001B7E52" w:rsidRPr="001A36E6" w:rsidRDefault="001B7E52" w:rsidP="001E246C">
      <w:pPr>
        <w:pStyle w:val="ListParagraph"/>
        <w:numPr>
          <w:ilvl w:val="2"/>
          <w:numId w:val="46"/>
        </w:numPr>
        <w:spacing w:after="120" w:line="23" w:lineRule="atLeast"/>
        <w:ind w:left="900"/>
        <w:contextualSpacing w:val="0"/>
        <w:jc w:val="both"/>
        <w:rPr>
          <w:rFonts w:ascii="Arial" w:hAnsi="Arial" w:cs="Arial"/>
          <w:sz w:val="22"/>
          <w:szCs w:val="22"/>
        </w:rPr>
      </w:pPr>
      <w:r w:rsidRPr="001A36E6">
        <w:rPr>
          <w:rFonts w:ascii="Arial" w:hAnsi="Arial" w:cs="Arial"/>
          <w:sz w:val="22"/>
          <w:szCs w:val="22"/>
        </w:rPr>
        <w:t>En caso de sistemas de iluminación, verificar el cumplimiento de la NOM 025 STPS 2008, para áreas de oficina, por lo que el consumo de energía podrá disminuir, mantenerse o ser mayor.</w:t>
      </w:r>
    </w:p>
    <w:p w:rsidR="001B7E52" w:rsidRPr="00CB7243" w:rsidRDefault="001B7E52" w:rsidP="001E246C">
      <w:pPr>
        <w:pStyle w:val="ListParagraph"/>
        <w:numPr>
          <w:ilvl w:val="2"/>
          <w:numId w:val="10"/>
        </w:numPr>
        <w:spacing w:after="120" w:line="23" w:lineRule="atLeast"/>
        <w:ind w:left="900"/>
        <w:contextualSpacing w:val="0"/>
        <w:jc w:val="both"/>
        <w:rPr>
          <w:rFonts w:ascii="Arial" w:eastAsiaTheme="minorEastAsia" w:hAnsi="Arial" w:cs="Arial"/>
          <w:bCs/>
        </w:rPr>
      </w:pPr>
      <w:r w:rsidRPr="001A36E6">
        <w:rPr>
          <w:rFonts w:ascii="Arial" w:hAnsi="Arial" w:cs="Arial"/>
          <w:sz w:val="22"/>
          <w:szCs w:val="22"/>
        </w:rPr>
        <w:t>En sistema</w:t>
      </w:r>
      <w:r w:rsidR="000A73D5" w:rsidRPr="001A36E6">
        <w:rPr>
          <w:rFonts w:ascii="Arial" w:hAnsi="Arial" w:cs="Arial"/>
          <w:sz w:val="22"/>
          <w:szCs w:val="22"/>
        </w:rPr>
        <w:t>s</w:t>
      </w:r>
      <w:r w:rsidRPr="001A36E6">
        <w:rPr>
          <w:rFonts w:ascii="Arial" w:hAnsi="Arial" w:cs="Arial"/>
          <w:sz w:val="22"/>
          <w:szCs w:val="22"/>
        </w:rPr>
        <w:t xml:space="preserve"> de aire acondicionado, calcular y medir el rendimiento energético de los equipos de aire acondicionado o tratamientos de aire para las áreas de oficina </w:t>
      </w:r>
      <w:r w:rsidRPr="001A36E6">
        <w:rPr>
          <w:rFonts w:ascii="Arial" w:hAnsi="Arial" w:cs="Arial"/>
          <w:sz w:val="22"/>
          <w:szCs w:val="22"/>
        </w:rPr>
        <w:lastRenderedPageBreak/>
        <w:t xml:space="preserve">y verificar el cumplimiento del confort </w:t>
      </w:r>
      <w:r w:rsidR="009D7B92" w:rsidRPr="001A36E6">
        <w:rPr>
          <w:rFonts w:ascii="Arial" w:hAnsi="Arial" w:cs="Arial"/>
          <w:sz w:val="22"/>
          <w:szCs w:val="22"/>
        </w:rPr>
        <w:t>de acuerdo con</w:t>
      </w:r>
      <w:r w:rsidRPr="001A36E6">
        <w:rPr>
          <w:rFonts w:ascii="Arial" w:hAnsi="Arial" w:cs="Arial"/>
          <w:sz w:val="22"/>
          <w:szCs w:val="22"/>
        </w:rPr>
        <w:t xml:space="preserve"> </w:t>
      </w:r>
      <w:r w:rsidR="000D1A00" w:rsidRPr="001A36E6">
        <w:rPr>
          <w:rFonts w:ascii="Arial" w:hAnsi="Arial" w:cs="Arial"/>
          <w:sz w:val="22"/>
          <w:szCs w:val="22"/>
        </w:rPr>
        <w:t xml:space="preserve">una línea base de necesidades reales o a </w:t>
      </w:r>
      <w:r w:rsidRPr="001A36E6">
        <w:rPr>
          <w:rFonts w:ascii="Arial" w:hAnsi="Arial" w:cs="Arial"/>
          <w:sz w:val="22"/>
          <w:szCs w:val="22"/>
        </w:rPr>
        <w:t>métodos internacionales</w:t>
      </w:r>
      <w:r w:rsidRPr="00CB7243">
        <w:rPr>
          <w:rStyle w:val="FootnoteReference"/>
          <w:rFonts w:ascii="Arial" w:eastAsiaTheme="minorEastAsia" w:hAnsi="Arial" w:cs="Arial"/>
          <w:bCs/>
        </w:rPr>
        <w:footnoteReference w:id="4"/>
      </w:r>
      <w:r w:rsidRPr="00CB7243">
        <w:rPr>
          <w:rFonts w:ascii="Arial" w:eastAsiaTheme="minorEastAsia" w:hAnsi="Arial" w:cs="Arial"/>
          <w:bCs/>
        </w:rPr>
        <w:t>.</w:t>
      </w:r>
    </w:p>
    <w:p w:rsidR="009A2C32" w:rsidRPr="001A36E6" w:rsidRDefault="009A2C32" w:rsidP="001E246C">
      <w:pPr>
        <w:pStyle w:val="ListParagraph"/>
        <w:numPr>
          <w:ilvl w:val="1"/>
          <w:numId w:val="10"/>
        </w:numPr>
        <w:shd w:val="clear" w:color="auto" w:fill="FFFFFF"/>
        <w:spacing w:after="120" w:line="23" w:lineRule="atLeast"/>
        <w:ind w:left="720"/>
        <w:contextualSpacing w:val="0"/>
        <w:jc w:val="both"/>
        <w:rPr>
          <w:rFonts w:ascii="Arial" w:hAnsi="Arial" w:cs="Arial"/>
          <w:sz w:val="22"/>
          <w:szCs w:val="22"/>
        </w:rPr>
      </w:pPr>
      <w:r w:rsidRPr="001A36E6">
        <w:rPr>
          <w:rFonts w:ascii="Arial" w:hAnsi="Arial" w:cs="Arial"/>
          <w:sz w:val="22"/>
          <w:szCs w:val="22"/>
        </w:rPr>
        <w:t>E</w:t>
      </w:r>
      <w:r w:rsidR="00701159" w:rsidRPr="001A36E6">
        <w:rPr>
          <w:rFonts w:ascii="Arial" w:hAnsi="Arial" w:cs="Arial"/>
          <w:sz w:val="22"/>
          <w:szCs w:val="22"/>
        </w:rPr>
        <w:t xml:space="preserve">valuar técnica y económicamente las </w:t>
      </w:r>
      <w:r w:rsidR="00274144" w:rsidRPr="001A36E6">
        <w:rPr>
          <w:rFonts w:ascii="Arial" w:hAnsi="Arial" w:cs="Arial"/>
          <w:sz w:val="22"/>
          <w:szCs w:val="22"/>
        </w:rPr>
        <w:t>m</w:t>
      </w:r>
      <w:r w:rsidR="00701159" w:rsidRPr="001A36E6">
        <w:rPr>
          <w:rFonts w:ascii="Arial" w:hAnsi="Arial" w:cs="Arial"/>
          <w:sz w:val="22"/>
          <w:szCs w:val="22"/>
        </w:rPr>
        <w:t>edidas de EE</w:t>
      </w:r>
    </w:p>
    <w:p w:rsidR="009A2C32" w:rsidRPr="001A36E6" w:rsidRDefault="009A2C32" w:rsidP="001E246C">
      <w:pPr>
        <w:pStyle w:val="ListParagraph"/>
        <w:numPr>
          <w:ilvl w:val="1"/>
          <w:numId w:val="10"/>
        </w:numPr>
        <w:shd w:val="clear" w:color="auto" w:fill="FFFFFF"/>
        <w:spacing w:after="120" w:line="23" w:lineRule="atLeast"/>
        <w:ind w:left="720"/>
        <w:contextualSpacing w:val="0"/>
        <w:jc w:val="both"/>
        <w:rPr>
          <w:rFonts w:ascii="Arial" w:hAnsi="Arial" w:cs="Arial"/>
          <w:sz w:val="22"/>
          <w:szCs w:val="22"/>
        </w:rPr>
      </w:pPr>
      <w:r w:rsidRPr="001A36E6">
        <w:rPr>
          <w:rFonts w:ascii="Arial" w:hAnsi="Arial" w:cs="Arial"/>
          <w:sz w:val="22"/>
          <w:szCs w:val="22"/>
        </w:rPr>
        <w:t>E</w:t>
      </w:r>
      <w:r w:rsidR="00701159" w:rsidRPr="001A36E6">
        <w:rPr>
          <w:rFonts w:ascii="Arial" w:hAnsi="Arial" w:cs="Arial"/>
          <w:sz w:val="22"/>
          <w:szCs w:val="22"/>
        </w:rPr>
        <w:t xml:space="preserve">specificar técnicamente los equipos eficientes a instalar, definir precios de </w:t>
      </w:r>
      <w:r w:rsidR="00794D5E" w:rsidRPr="001A36E6">
        <w:rPr>
          <w:rFonts w:ascii="Arial" w:hAnsi="Arial" w:cs="Arial"/>
          <w:sz w:val="22"/>
          <w:szCs w:val="22"/>
        </w:rPr>
        <w:t>equipos,</w:t>
      </w:r>
      <w:r w:rsidR="00701159" w:rsidRPr="001A36E6">
        <w:rPr>
          <w:rFonts w:ascii="Arial" w:hAnsi="Arial" w:cs="Arial"/>
          <w:sz w:val="22"/>
          <w:szCs w:val="22"/>
        </w:rPr>
        <w:t xml:space="preserve"> así como </w:t>
      </w:r>
      <w:r w:rsidR="00274144" w:rsidRPr="001A36E6">
        <w:rPr>
          <w:rFonts w:ascii="Arial" w:hAnsi="Arial" w:cs="Arial"/>
          <w:sz w:val="22"/>
          <w:szCs w:val="22"/>
        </w:rPr>
        <w:t xml:space="preserve">los </w:t>
      </w:r>
      <w:r w:rsidR="00701159" w:rsidRPr="001A36E6">
        <w:rPr>
          <w:rFonts w:ascii="Arial" w:hAnsi="Arial" w:cs="Arial"/>
          <w:sz w:val="22"/>
          <w:szCs w:val="22"/>
        </w:rPr>
        <w:t xml:space="preserve">costos </w:t>
      </w:r>
      <w:r w:rsidR="00274144" w:rsidRPr="001A36E6">
        <w:rPr>
          <w:rFonts w:ascii="Arial" w:hAnsi="Arial" w:cs="Arial"/>
          <w:sz w:val="22"/>
          <w:szCs w:val="22"/>
        </w:rPr>
        <w:t xml:space="preserve">y logística </w:t>
      </w:r>
      <w:r w:rsidR="004145F8" w:rsidRPr="001A36E6">
        <w:rPr>
          <w:rFonts w:ascii="Arial" w:hAnsi="Arial" w:cs="Arial"/>
          <w:sz w:val="22"/>
          <w:szCs w:val="22"/>
        </w:rPr>
        <w:t>de instalación.</w:t>
      </w:r>
    </w:p>
    <w:p w:rsidR="009A2C32" w:rsidRPr="001A36E6" w:rsidRDefault="009A2C32" w:rsidP="001E246C">
      <w:pPr>
        <w:pStyle w:val="ListParagraph"/>
        <w:numPr>
          <w:ilvl w:val="1"/>
          <w:numId w:val="10"/>
        </w:numPr>
        <w:shd w:val="clear" w:color="auto" w:fill="FFFFFF"/>
        <w:spacing w:after="120" w:line="23" w:lineRule="atLeast"/>
        <w:ind w:left="720"/>
        <w:contextualSpacing w:val="0"/>
        <w:jc w:val="both"/>
        <w:rPr>
          <w:rFonts w:ascii="Arial" w:hAnsi="Arial" w:cs="Arial"/>
          <w:sz w:val="22"/>
          <w:szCs w:val="22"/>
        </w:rPr>
      </w:pPr>
      <w:r w:rsidRPr="001A36E6">
        <w:rPr>
          <w:rFonts w:ascii="Arial" w:hAnsi="Arial" w:cs="Arial"/>
          <w:sz w:val="22"/>
          <w:szCs w:val="22"/>
        </w:rPr>
        <w:t>E</w:t>
      </w:r>
      <w:r w:rsidR="00701159" w:rsidRPr="001A36E6">
        <w:rPr>
          <w:rFonts w:ascii="Arial" w:hAnsi="Arial" w:cs="Arial"/>
          <w:sz w:val="22"/>
          <w:szCs w:val="22"/>
        </w:rPr>
        <w:t>stablecer el adecuado manejo ambi</w:t>
      </w:r>
      <w:r w:rsidRPr="001A36E6">
        <w:rPr>
          <w:rFonts w:ascii="Arial" w:hAnsi="Arial" w:cs="Arial"/>
          <w:sz w:val="22"/>
          <w:szCs w:val="22"/>
        </w:rPr>
        <w:t>ental de los equipos retirados</w:t>
      </w:r>
      <w:r w:rsidR="004145F8" w:rsidRPr="001A36E6">
        <w:rPr>
          <w:rFonts w:ascii="Arial" w:hAnsi="Arial" w:cs="Arial"/>
          <w:sz w:val="22"/>
          <w:szCs w:val="22"/>
        </w:rPr>
        <w:t>.</w:t>
      </w:r>
    </w:p>
    <w:p w:rsidR="00701159" w:rsidRPr="001A36E6" w:rsidRDefault="009A2C32" w:rsidP="001E246C">
      <w:pPr>
        <w:pStyle w:val="ListParagraph"/>
        <w:numPr>
          <w:ilvl w:val="1"/>
          <w:numId w:val="10"/>
        </w:numPr>
        <w:shd w:val="clear" w:color="auto" w:fill="FFFFFF"/>
        <w:spacing w:after="120" w:line="23" w:lineRule="atLeast"/>
        <w:ind w:left="720"/>
        <w:contextualSpacing w:val="0"/>
        <w:jc w:val="both"/>
        <w:rPr>
          <w:rFonts w:ascii="Arial" w:hAnsi="Arial" w:cs="Arial"/>
          <w:sz w:val="22"/>
          <w:szCs w:val="22"/>
        </w:rPr>
      </w:pPr>
      <w:r w:rsidRPr="001A36E6">
        <w:rPr>
          <w:rFonts w:ascii="Arial" w:hAnsi="Arial" w:cs="Arial"/>
          <w:sz w:val="22"/>
          <w:szCs w:val="22"/>
        </w:rPr>
        <w:t>D</w:t>
      </w:r>
      <w:r w:rsidR="00701159" w:rsidRPr="001A36E6">
        <w:rPr>
          <w:rFonts w:ascii="Arial" w:hAnsi="Arial" w:cs="Arial"/>
          <w:sz w:val="22"/>
          <w:szCs w:val="22"/>
        </w:rPr>
        <w:t>eterminar los montos de inversión de los proyectos y determinar rentabilidad.</w:t>
      </w:r>
    </w:p>
    <w:p w:rsidR="00F6141D" w:rsidRPr="00F6141D" w:rsidRDefault="00F6141D" w:rsidP="00F6141D">
      <w:pPr>
        <w:pStyle w:val="ListParagraph"/>
        <w:shd w:val="clear" w:color="auto" w:fill="FFFFFF"/>
        <w:spacing w:after="120" w:line="23" w:lineRule="atLeast"/>
        <w:ind w:left="360"/>
        <w:contextualSpacing w:val="0"/>
        <w:jc w:val="both"/>
        <w:rPr>
          <w:rFonts w:ascii="Arial" w:hAnsi="Arial" w:cs="Arial"/>
        </w:rPr>
      </w:pPr>
      <w:bookmarkStart w:id="2" w:name="_GoBack"/>
      <w:bookmarkEnd w:id="2"/>
    </w:p>
    <w:p w:rsidR="00FE4901" w:rsidRDefault="002C7072" w:rsidP="002C7072">
      <w:pPr>
        <w:pStyle w:val="ListParagraph"/>
        <w:numPr>
          <w:ilvl w:val="0"/>
          <w:numId w:val="44"/>
        </w:numPr>
        <w:shd w:val="clear" w:color="auto" w:fill="FFFFFF"/>
        <w:spacing w:after="120" w:line="23" w:lineRule="atLeast"/>
        <w:contextualSpacing w:val="0"/>
        <w:jc w:val="both"/>
        <w:rPr>
          <w:rFonts w:ascii="Arial" w:hAnsi="Arial" w:cs="Arial"/>
        </w:rPr>
      </w:pPr>
      <w:r w:rsidRPr="001A36E6">
        <w:rPr>
          <w:rFonts w:ascii="Arial" w:hAnsi="Arial" w:cs="Arial"/>
          <w:sz w:val="22"/>
          <w:szCs w:val="22"/>
        </w:rPr>
        <w:t>Presentación</w:t>
      </w:r>
      <w:r w:rsidR="00EE1A35" w:rsidRPr="001A36E6">
        <w:rPr>
          <w:rFonts w:ascii="Arial" w:hAnsi="Arial" w:cs="Arial"/>
          <w:sz w:val="22"/>
          <w:szCs w:val="22"/>
        </w:rPr>
        <w:t xml:space="preserve"> de</w:t>
      </w:r>
      <w:r w:rsidR="00575D38" w:rsidRPr="001A36E6">
        <w:rPr>
          <w:rFonts w:ascii="Arial" w:hAnsi="Arial" w:cs="Arial"/>
          <w:sz w:val="22"/>
          <w:szCs w:val="22"/>
        </w:rPr>
        <w:t xml:space="preserve"> los</w:t>
      </w:r>
      <w:r w:rsidR="00EE1A35" w:rsidRPr="001A36E6">
        <w:rPr>
          <w:rFonts w:ascii="Arial" w:hAnsi="Arial" w:cs="Arial"/>
          <w:sz w:val="22"/>
          <w:szCs w:val="22"/>
        </w:rPr>
        <w:t xml:space="preserve"> </w:t>
      </w:r>
      <w:r w:rsidR="00FE4901" w:rsidRPr="001A36E6">
        <w:rPr>
          <w:rFonts w:ascii="Arial" w:hAnsi="Arial" w:cs="Arial"/>
          <w:sz w:val="22"/>
          <w:szCs w:val="22"/>
        </w:rPr>
        <w:t>PE-EE</w:t>
      </w:r>
      <w:r w:rsidR="00EE1A35" w:rsidRPr="001A36E6">
        <w:rPr>
          <w:rFonts w:ascii="Arial" w:hAnsi="Arial" w:cs="Arial"/>
          <w:sz w:val="22"/>
          <w:szCs w:val="22"/>
        </w:rPr>
        <w:t xml:space="preserve">- </w:t>
      </w:r>
      <w:r w:rsidR="00C94D3E" w:rsidRPr="001A36E6">
        <w:rPr>
          <w:rFonts w:ascii="Arial" w:hAnsi="Arial" w:cs="Arial"/>
          <w:sz w:val="22"/>
          <w:szCs w:val="22"/>
        </w:rPr>
        <w:t xml:space="preserve">Se desarrollará un </w:t>
      </w:r>
      <w:r w:rsidR="003966E4" w:rsidRPr="001A36E6">
        <w:rPr>
          <w:rFonts w:ascii="Arial" w:hAnsi="Arial" w:cs="Arial"/>
          <w:sz w:val="22"/>
          <w:szCs w:val="22"/>
        </w:rPr>
        <w:t xml:space="preserve">PE-EE </w:t>
      </w:r>
      <w:r w:rsidRPr="001A36E6">
        <w:rPr>
          <w:rFonts w:ascii="Arial" w:hAnsi="Arial" w:cs="Arial"/>
          <w:sz w:val="22"/>
          <w:szCs w:val="22"/>
        </w:rPr>
        <w:t>para cada uno de los E</w:t>
      </w:r>
      <w:r w:rsidR="00C94D3E" w:rsidRPr="001A36E6">
        <w:rPr>
          <w:rFonts w:ascii="Arial" w:hAnsi="Arial" w:cs="Arial"/>
          <w:sz w:val="22"/>
          <w:szCs w:val="22"/>
        </w:rPr>
        <w:t>O</w:t>
      </w:r>
      <w:r w:rsidRPr="001A36E6">
        <w:rPr>
          <w:rFonts w:ascii="Arial" w:hAnsi="Arial" w:cs="Arial"/>
          <w:sz w:val="22"/>
          <w:szCs w:val="22"/>
        </w:rPr>
        <w:t xml:space="preserve"> de la </w:t>
      </w:r>
      <w:r w:rsidR="00C94D3E" w:rsidRPr="001A36E6">
        <w:rPr>
          <w:rFonts w:ascii="Arial" w:hAnsi="Arial" w:cs="Arial"/>
          <w:sz w:val="22"/>
          <w:szCs w:val="22"/>
        </w:rPr>
        <w:t xml:space="preserve">APF; éstos </w:t>
      </w:r>
      <w:r w:rsidR="003966E4" w:rsidRPr="001A36E6">
        <w:rPr>
          <w:rFonts w:ascii="Arial" w:hAnsi="Arial" w:cs="Arial"/>
          <w:sz w:val="22"/>
          <w:szCs w:val="22"/>
        </w:rPr>
        <w:t>deberán integrar los siguientes e</w:t>
      </w:r>
      <w:r w:rsidR="00FE4901" w:rsidRPr="001A36E6">
        <w:rPr>
          <w:rFonts w:ascii="Arial" w:hAnsi="Arial" w:cs="Arial"/>
          <w:sz w:val="22"/>
          <w:szCs w:val="22"/>
        </w:rPr>
        <w:t>lementos:</w:t>
      </w:r>
    </w:p>
    <w:p w:rsidR="00FE4901" w:rsidRDefault="00D16A5B" w:rsidP="002C7072">
      <w:pPr>
        <w:pStyle w:val="ListParagraph"/>
        <w:numPr>
          <w:ilvl w:val="1"/>
          <w:numId w:val="47"/>
        </w:numPr>
        <w:shd w:val="clear" w:color="auto" w:fill="FFFFFF"/>
        <w:spacing w:after="120" w:line="23" w:lineRule="atLeast"/>
        <w:ind w:left="720"/>
        <w:contextualSpacing w:val="0"/>
        <w:jc w:val="both"/>
        <w:rPr>
          <w:rFonts w:ascii="Arial" w:hAnsi="Arial" w:cs="Arial"/>
        </w:rPr>
      </w:pPr>
      <w:r w:rsidRPr="001A36E6">
        <w:rPr>
          <w:rFonts w:ascii="Arial" w:hAnsi="Arial" w:cs="Arial"/>
          <w:b/>
          <w:sz w:val="22"/>
          <w:szCs w:val="22"/>
        </w:rPr>
        <w:t xml:space="preserve">Apartado </w:t>
      </w:r>
      <w:r w:rsidR="00F12C22" w:rsidRPr="001A36E6">
        <w:rPr>
          <w:rFonts w:ascii="Arial" w:hAnsi="Arial" w:cs="Arial"/>
          <w:b/>
          <w:sz w:val="22"/>
          <w:szCs w:val="22"/>
        </w:rPr>
        <w:t>A</w:t>
      </w:r>
      <w:r w:rsidRPr="001A36E6">
        <w:rPr>
          <w:rFonts w:ascii="Arial" w:hAnsi="Arial" w:cs="Arial"/>
          <w:b/>
          <w:sz w:val="22"/>
          <w:szCs w:val="22"/>
        </w:rPr>
        <w:t>.</w:t>
      </w:r>
      <w:r>
        <w:rPr>
          <w:rFonts w:ascii="Arial" w:hAnsi="Arial" w:cs="Arial"/>
        </w:rPr>
        <w:t xml:space="preserve"> </w:t>
      </w:r>
      <w:r w:rsidR="00A40D40" w:rsidRPr="001A36E6">
        <w:rPr>
          <w:rFonts w:ascii="Arial" w:hAnsi="Arial" w:cs="Arial"/>
          <w:sz w:val="22"/>
          <w:szCs w:val="22"/>
        </w:rPr>
        <w:t>E</w:t>
      </w:r>
      <w:r w:rsidR="003966E4" w:rsidRPr="001A36E6">
        <w:rPr>
          <w:rFonts w:ascii="Arial" w:hAnsi="Arial" w:cs="Arial"/>
          <w:sz w:val="22"/>
          <w:szCs w:val="22"/>
        </w:rPr>
        <w:t>valuación técnica y económica de las medidas de e</w:t>
      </w:r>
      <w:r w:rsidR="00FE4901" w:rsidRPr="001A36E6">
        <w:rPr>
          <w:rFonts w:ascii="Arial" w:hAnsi="Arial" w:cs="Arial"/>
          <w:sz w:val="22"/>
          <w:szCs w:val="22"/>
        </w:rPr>
        <w:t>ficiencia energética propuestas</w:t>
      </w:r>
      <w:r w:rsidR="00A40D40" w:rsidRPr="001A36E6">
        <w:rPr>
          <w:rFonts w:ascii="Arial" w:hAnsi="Arial" w:cs="Arial"/>
          <w:sz w:val="22"/>
          <w:szCs w:val="22"/>
        </w:rPr>
        <w:t xml:space="preserve">, en apego a normatividad nacional vigente (seguridad y de las nuevas tecnologías). Así como </w:t>
      </w:r>
      <w:r w:rsidR="00D92C7F" w:rsidRPr="001A36E6">
        <w:rPr>
          <w:rFonts w:ascii="Arial" w:hAnsi="Arial" w:cs="Arial"/>
          <w:sz w:val="22"/>
          <w:szCs w:val="22"/>
        </w:rPr>
        <w:t>de acuerdo con</w:t>
      </w:r>
      <w:r w:rsidR="00A40D40" w:rsidRPr="001A36E6">
        <w:rPr>
          <w:rFonts w:ascii="Arial" w:hAnsi="Arial" w:cs="Arial"/>
          <w:sz w:val="22"/>
          <w:szCs w:val="22"/>
        </w:rPr>
        <w:t xml:space="preserve"> los niveles de Relación de Eficiencia Energética o eficacia.</w:t>
      </w:r>
    </w:p>
    <w:p w:rsidR="000A73D5" w:rsidRDefault="00D16A5B" w:rsidP="002C7072">
      <w:pPr>
        <w:pStyle w:val="ListParagraph"/>
        <w:numPr>
          <w:ilvl w:val="1"/>
          <w:numId w:val="47"/>
        </w:numPr>
        <w:spacing w:after="120" w:line="23" w:lineRule="atLeast"/>
        <w:ind w:left="720"/>
        <w:contextualSpacing w:val="0"/>
        <w:jc w:val="both"/>
        <w:rPr>
          <w:rFonts w:ascii="Arial" w:hAnsi="Arial" w:cs="Arial"/>
        </w:rPr>
      </w:pPr>
      <w:r w:rsidRPr="001A36E6">
        <w:rPr>
          <w:rFonts w:ascii="Arial" w:hAnsi="Arial" w:cs="Arial"/>
          <w:b/>
          <w:sz w:val="22"/>
          <w:szCs w:val="22"/>
        </w:rPr>
        <w:t xml:space="preserve">Apartado </w:t>
      </w:r>
      <w:r w:rsidR="00F12C22" w:rsidRPr="001A36E6">
        <w:rPr>
          <w:rFonts w:ascii="Arial" w:hAnsi="Arial" w:cs="Arial"/>
          <w:b/>
          <w:sz w:val="22"/>
          <w:szCs w:val="22"/>
        </w:rPr>
        <w:t>B</w:t>
      </w:r>
      <w:r w:rsidRPr="001A36E6">
        <w:rPr>
          <w:rFonts w:ascii="Arial" w:hAnsi="Arial" w:cs="Arial"/>
          <w:b/>
          <w:sz w:val="22"/>
          <w:szCs w:val="22"/>
        </w:rPr>
        <w:t>.</w:t>
      </w:r>
      <w:r>
        <w:rPr>
          <w:rFonts w:ascii="Arial" w:hAnsi="Arial" w:cs="Arial"/>
        </w:rPr>
        <w:t xml:space="preserve"> </w:t>
      </w:r>
      <w:r w:rsidR="00A40D40" w:rsidRPr="001A36E6">
        <w:rPr>
          <w:rFonts w:ascii="Arial" w:hAnsi="Arial" w:cs="Arial"/>
          <w:sz w:val="22"/>
          <w:szCs w:val="22"/>
        </w:rPr>
        <w:t>E</w:t>
      </w:r>
      <w:r w:rsidR="003966E4" w:rsidRPr="001A36E6">
        <w:rPr>
          <w:rFonts w:ascii="Arial" w:hAnsi="Arial" w:cs="Arial"/>
          <w:sz w:val="22"/>
          <w:szCs w:val="22"/>
        </w:rPr>
        <w:t xml:space="preserve">specificaciones de los equipos </w:t>
      </w:r>
      <w:r w:rsidRPr="001A36E6">
        <w:rPr>
          <w:rFonts w:ascii="Arial" w:hAnsi="Arial" w:cs="Arial"/>
          <w:sz w:val="22"/>
          <w:szCs w:val="22"/>
        </w:rPr>
        <w:t>eficientes,</w:t>
      </w:r>
      <w:r w:rsidR="003966E4" w:rsidRPr="001A36E6">
        <w:rPr>
          <w:rFonts w:ascii="Arial" w:hAnsi="Arial" w:cs="Arial"/>
          <w:sz w:val="22"/>
          <w:szCs w:val="22"/>
        </w:rPr>
        <w:t xml:space="preserve"> así como los servicios requeridos para implementar las</w:t>
      </w:r>
      <w:r w:rsidR="00FE4901" w:rsidRPr="001A36E6">
        <w:rPr>
          <w:rFonts w:ascii="Arial" w:hAnsi="Arial" w:cs="Arial"/>
          <w:sz w:val="22"/>
          <w:szCs w:val="22"/>
        </w:rPr>
        <w:t xml:space="preserve"> acciones de ahorro energético</w:t>
      </w:r>
      <w:r w:rsidR="000A73D5" w:rsidRPr="001A36E6">
        <w:rPr>
          <w:rFonts w:ascii="Arial" w:hAnsi="Arial" w:cs="Arial"/>
          <w:sz w:val="22"/>
          <w:szCs w:val="22"/>
        </w:rPr>
        <w:t xml:space="preserve">. </w:t>
      </w:r>
      <w:r w:rsidR="00175109" w:rsidRPr="001A36E6">
        <w:rPr>
          <w:rFonts w:ascii="Arial" w:hAnsi="Arial" w:cs="Arial"/>
          <w:sz w:val="22"/>
          <w:szCs w:val="22"/>
        </w:rPr>
        <w:t xml:space="preserve">Considerar </w:t>
      </w:r>
      <w:r w:rsidR="00C71127" w:rsidRPr="001A36E6">
        <w:rPr>
          <w:rFonts w:ascii="Arial" w:hAnsi="Arial" w:cs="Arial"/>
          <w:sz w:val="22"/>
          <w:szCs w:val="22"/>
        </w:rPr>
        <w:t>catálogo de conceptos y catálogo de producto.</w:t>
      </w:r>
      <w:r w:rsidR="00C71127">
        <w:rPr>
          <w:rFonts w:ascii="Arial" w:hAnsi="Arial" w:cs="Arial"/>
        </w:rPr>
        <w:t xml:space="preserve"> </w:t>
      </w:r>
    </w:p>
    <w:p w:rsidR="00F12C22" w:rsidRPr="00F12C22" w:rsidRDefault="00F12C22" w:rsidP="002C7072">
      <w:pPr>
        <w:pStyle w:val="ListParagraph"/>
        <w:numPr>
          <w:ilvl w:val="1"/>
          <w:numId w:val="47"/>
        </w:numPr>
        <w:shd w:val="clear" w:color="auto" w:fill="FFFFFF"/>
        <w:spacing w:after="120" w:line="23" w:lineRule="atLeast"/>
        <w:ind w:left="720"/>
        <w:contextualSpacing w:val="0"/>
        <w:jc w:val="both"/>
        <w:rPr>
          <w:rFonts w:ascii="Arial" w:hAnsi="Arial" w:cs="Arial"/>
        </w:rPr>
      </w:pPr>
      <w:r w:rsidRPr="001A36E6">
        <w:rPr>
          <w:rFonts w:ascii="Arial" w:hAnsi="Arial" w:cs="Arial"/>
          <w:b/>
          <w:sz w:val="22"/>
          <w:szCs w:val="22"/>
        </w:rPr>
        <w:t>Apartado C.</w:t>
      </w:r>
      <w:r w:rsidRPr="00F12C22">
        <w:rPr>
          <w:rFonts w:ascii="Arial" w:hAnsi="Arial" w:cs="Arial"/>
        </w:rPr>
        <w:t xml:space="preserve"> </w:t>
      </w:r>
      <w:r w:rsidRPr="001A36E6">
        <w:rPr>
          <w:rFonts w:ascii="Arial" w:hAnsi="Arial" w:cs="Arial"/>
          <w:sz w:val="22"/>
          <w:szCs w:val="22"/>
        </w:rPr>
        <w:t>Diagnóstico energético con cuantificación de potenciales de ahorro energético y mejoras energéticas recomendables en los sistemas de iluminación y aire acondicionado; así como las medidas de eficiencia energética aplicar</w:t>
      </w:r>
      <w:r w:rsidRPr="00A40D40">
        <w:rPr>
          <w:rFonts w:ascii="Arial" w:hAnsi="Arial"/>
          <w:vertAlign w:val="superscript"/>
        </w:rPr>
        <w:footnoteReference w:id="5"/>
      </w:r>
      <w:r w:rsidRPr="00F12C22">
        <w:rPr>
          <w:rFonts w:ascii="Arial" w:hAnsi="Arial" w:cs="Arial"/>
        </w:rPr>
        <w:t>.</w:t>
      </w:r>
    </w:p>
    <w:p w:rsidR="00D16A5B" w:rsidRPr="00037C4B" w:rsidRDefault="00D16A5B" w:rsidP="002C7072">
      <w:pPr>
        <w:pStyle w:val="ListParagraph"/>
        <w:numPr>
          <w:ilvl w:val="1"/>
          <w:numId w:val="47"/>
        </w:numPr>
        <w:shd w:val="clear" w:color="auto" w:fill="FFFFFF"/>
        <w:spacing w:after="120" w:line="23" w:lineRule="atLeast"/>
        <w:ind w:left="720"/>
        <w:contextualSpacing w:val="0"/>
        <w:jc w:val="both"/>
        <w:rPr>
          <w:rFonts w:ascii="Arial" w:hAnsi="Arial" w:cs="Arial"/>
        </w:rPr>
      </w:pPr>
      <w:r w:rsidRPr="001A36E6">
        <w:rPr>
          <w:rFonts w:ascii="Arial" w:hAnsi="Arial" w:cs="Arial"/>
          <w:b/>
          <w:sz w:val="22"/>
          <w:szCs w:val="22"/>
        </w:rPr>
        <w:t>Apartado D.</w:t>
      </w:r>
      <w:r w:rsidRPr="00037C4B">
        <w:rPr>
          <w:rFonts w:ascii="Arial" w:hAnsi="Arial" w:cs="Arial"/>
        </w:rPr>
        <w:t xml:space="preserve"> </w:t>
      </w:r>
      <w:r w:rsidR="008E64E9" w:rsidRPr="001A36E6">
        <w:rPr>
          <w:rFonts w:ascii="Arial" w:hAnsi="Arial" w:cs="Arial"/>
          <w:sz w:val="22"/>
          <w:szCs w:val="22"/>
        </w:rPr>
        <w:t>Estimación de costos de los equipos</w:t>
      </w:r>
      <w:r w:rsidR="00037C4B" w:rsidRPr="001A36E6">
        <w:rPr>
          <w:rFonts w:ascii="Arial" w:hAnsi="Arial" w:cs="Arial"/>
          <w:sz w:val="22"/>
          <w:szCs w:val="22"/>
        </w:rPr>
        <w:t xml:space="preserve"> y costos de instalación. </w:t>
      </w:r>
      <w:r w:rsidRPr="001A36E6">
        <w:rPr>
          <w:rFonts w:ascii="Arial" w:hAnsi="Arial" w:cs="Arial"/>
          <w:sz w:val="22"/>
          <w:szCs w:val="22"/>
        </w:rPr>
        <w:t>Considera los precios de los equipos y sistemas por volumen de compra.</w:t>
      </w:r>
      <w:r w:rsidR="00C71127" w:rsidRPr="001A36E6">
        <w:rPr>
          <w:rFonts w:ascii="Arial" w:hAnsi="Arial" w:cs="Arial"/>
          <w:sz w:val="22"/>
          <w:szCs w:val="22"/>
        </w:rPr>
        <w:t xml:space="preserve"> Plantear en su caso modificaciones en los sistemas eléctricos o adecuaciones a las instalaciones, </w:t>
      </w:r>
      <w:r w:rsidR="00F63845" w:rsidRPr="001A36E6">
        <w:rPr>
          <w:rFonts w:ascii="Arial" w:hAnsi="Arial" w:cs="Arial"/>
          <w:sz w:val="22"/>
          <w:szCs w:val="22"/>
        </w:rPr>
        <w:t xml:space="preserve">así como requisitos de instalación y mano de obra </w:t>
      </w:r>
      <w:r w:rsidR="00C71127" w:rsidRPr="001A36E6">
        <w:rPr>
          <w:rFonts w:ascii="Arial" w:hAnsi="Arial" w:cs="Arial"/>
          <w:sz w:val="22"/>
          <w:szCs w:val="22"/>
        </w:rPr>
        <w:t>para implementar los proyectos.</w:t>
      </w:r>
    </w:p>
    <w:p w:rsidR="00C71127" w:rsidRDefault="00C71127" w:rsidP="002C7072">
      <w:pPr>
        <w:pStyle w:val="ListParagraph"/>
        <w:numPr>
          <w:ilvl w:val="1"/>
          <w:numId w:val="47"/>
        </w:numPr>
        <w:shd w:val="clear" w:color="auto" w:fill="FFFFFF"/>
        <w:spacing w:after="120" w:line="23" w:lineRule="atLeast"/>
        <w:ind w:left="720"/>
        <w:contextualSpacing w:val="0"/>
        <w:jc w:val="both"/>
        <w:rPr>
          <w:rFonts w:ascii="Arial" w:hAnsi="Arial" w:cs="Arial"/>
        </w:rPr>
      </w:pPr>
      <w:r w:rsidRPr="001A36E6">
        <w:rPr>
          <w:rFonts w:ascii="Arial" w:hAnsi="Arial" w:cs="Arial"/>
          <w:b/>
          <w:sz w:val="22"/>
          <w:szCs w:val="22"/>
        </w:rPr>
        <w:t>Apartado E.</w:t>
      </w:r>
      <w:r>
        <w:rPr>
          <w:rFonts w:ascii="Arial" w:hAnsi="Arial" w:cs="Arial"/>
        </w:rPr>
        <w:t xml:space="preserve"> </w:t>
      </w:r>
      <w:r w:rsidRPr="001A36E6">
        <w:rPr>
          <w:rFonts w:ascii="Arial" w:hAnsi="Arial" w:cs="Arial"/>
          <w:sz w:val="22"/>
          <w:szCs w:val="22"/>
        </w:rPr>
        <w:t xml:space="preserve">Descripción del manejo, logística y retiro de los equipos reemplazados, su inhabilitación y/o destrucción recomendada, y el manejo ambiental de sus residuos. </w:t>
      </w:r>
    </w:p>
    <w:p w:rsidR="00FE4901" w:rsidRPr="001A36E6" w:rsidRDefault="00C71127" w:rsidP="002C7072">
      <w:pPr>
        <w:pStyle w:val="ListParagraph"/>
        <w:numPr>
          <w:ilvl w:val="1"/>
          <w:numId w:val="47"/>
        </w:numPr>
        <w:shd w:val="clear" w:color="auto" w:fill="FFFFFF"/>
        <w:spacing w:after="120" w:line="23" w:lineRule="atLeast"/>
        <w:ind w:left="720"/>
        <w:contextualSpacing w:val="0"/>
        <w:jc w:val="both"/>
        <w:rPr>
          <w:rFonts w:ascii="Arial" w:hAnsi="Arial" w:cs="Arial"/>
          <w:sz w:val="22"/>
          <w:szCs w:val="22"/>
        </w:rPr>
      </w:pPr>
      <w:r w:rsidRPr="001A36E6">
        <w:rPr>
          <w:rFonts w:ascii="Arial" w:hAnsi="Arial" w:cs="Arial"/>
          <w:b/>
          <w:sz w:val="22"/>
          <w:szCs w:val="22"/>
        </w:rPr>
        <w:t>Apartado F.</w:t>
      </w:r>
      <w:r w:rsidRPr="00C71127">
        <w:rPr>
          <w:rFonts w:ascii="Arial" w:hAnsi="Arial" w:cs="Arial"/>
        </w:rPr>
        <w:t xml:space="preserve">  </w:t>
      </w:r>
      <w:r w:rsidR="00D16A5B" w:rsidRPr="001A36E6">
        <w:rPr>
          <w:rFonts w:ascii="Arial" w:hAnsi="Arial" w:cs="Arial"/>
          <w:sz w:val="22"/>
          <w:szCs w:val="22"/>
        </w:rPr>
        <w:t>D</w:t>
      </w:r>
      <w:r w:rsidR="003966E4" w:rsidRPr="001A36E6">
        <w:rPr>
          <w:rFonts w:ascii="Arial" w:hAnsi="Arial" w:cs="Arial"/>
          <w:sz w:val="22"/>
          <w:szCs w:val="22"/>
        </w:rPr>
        <w:t>eterminación de las inversiones necesarias para implementar las medidas de eficie</w:t>
      </w:r>
      <w:r w:rsidR="00FE4901" w:rsidRPr="001A36E6">
        <w:rPr>
          <w:rFonts w:ascii="Arial" w:hAnsi="Arial" w:cs="Arial"/>
          <w:sz w:val="22"/>
          <w:szCs w:val="22"/>
        </w:rPr>
        <w:t>ncia energética planteadas</w:t>
      </w:r>
      <w:r w:rsidRPr="001A36E6">
        <w:rPr>
          <w:rFonts w:ascii="Arial" w:hAnsi="Arial" w:cs="Arial"/>
          <w:sz w:val="22"/>
          <w:szCs w:val="22"/>
        </w:rPr>
        <w:t xml:space="preserve"> y </w:t>
      </w:r>
      <w:r w:rsidR="00D16A5B" w:rsidRPr="001A36E6">
        <w:rPr>
          <w:rFonts w:ascii="Arial" w:hAnsi="Arial" w:cs="Arial"/>
          <w:sz w:val="22"/>
          <w:szCs w:val="22"/>
        </w:rPr>
        <w:t>la rentabilidad del PE-EE</w:t>
      </w:r>
      <w:r w:rsidRPr="001A36E6">
        <w:rPr>
          <w:rFonts w:ascii="Arial" w:hAnsi="Arial" w:cs="Arial"/>
          <w:sz w:val="22"/>
          <w:szCs w:val="22"/>
        </w:rPr>
        <w:t xml:space="preserve">. </w:t>
      </w:r>
    </w:p>
    <w:p w:rsidR="003966E4" w:rsidRPr="00FE4901" w:rsidRDefault="003966E4" w:rsidP="008F0C26">
      <w:pPr>
        <w:spacing w:after="240" w:line="23" w:lineRule="atLeast"/>
        <w:contextualSpacing/>
        <w:rPr>
          <w:rFonts w:cs="Arial"/>
        </w:rPr>
      </w:pPr>
    </w:p>
    <w:p w:rsidR="00C41CB0" w:rsidRPr="002C7072" w:rsidRDefault="002C7072" w:rsidP="002C7072">
      <w:pPr>
        <w:spacing w:after="240" w:line="23" w:lineRule="atLeast"/>
        <w:ind w:left="360" w:hanging="360"/>
        <w:contextualSpacing/>
        <w:jc w:val="both"/>
        <w:rPr>
          <w:rFonts w:eastAsiaTheme="minorEastAsia" w:cs="Arial"/>
          <w:bCs/>
          <w:u w:val="single"/>
        </w:rPr>
      </w:pPr>
      <w:r>
        <w:rPr>
          <w:rFonts w:eastAsiaTheme="minorEastAsia" w:cs="Arial"/>
          <w:bCs/>
          <w:color w:val="000000" w:themeColor="text1"/>
          <w:lang w:val="es"/>
        </w:rPr>
        <w:t>(v)</w:t>
      </w:r>
      <w:r>
        <w:rPr>
          <w:rFonts w:eastAsiaTheme="minorEastAsia" w:cs="Arial"/>
          <w:bCs/>
          <w:color w:val="000000" w:themeColor="text1"/>
          <w:lang w:val="es"/>
        </w:rPr>
        <w:tab/>
      </w:r>
      <w:r w:rsidR="00C41CB0" w:rsidRPr="001A36E6">
        <w:rPr>
          <w:rFonts w:cs="Arial"/>
          <w:sz w:val="22"/>
          <w:szCs w:val="22"/>
        </w:rPr>
        <w:t>Metodología de trabajo</w:t>
      </w:r>
      <w:r w:rsidRPr="001A36E6">
        <w:rPr>
          <w:rFonts w:cs="Arial"/>
          <w:sz w:val="22"/>
          <w:szCs w:val="22"/>
        </w:rPr>
        <w:t xml:space="preserve"> y primer grupo de EO de la APF</w:t>
      </w:r>
    </w:p>
    <w:p w:rsidR="00175109" w:rsidRDefault="00175109" w:rsidP="008F0C26">
      <w:pPr>
        <w:spacing w:after="240" w:line="23" w:lineRule="atLeast"/>
        <w:contextualSpacing/>
        <w:rPr>
          <w:rFonts w:eastAsiaTheme="minorEastAsia" w:cs="Arial"/>
          <w:bCs/>
          <w:iCs/>
        </w:rPr>
      </w:pPr>
    </w:p>
    <w:p w:rsidR="00575D38" w:rsidRPr="001A36E6" w:rsidRDefault="002C7072" w:rsidP="008F0C26">
      <w:pPr>
        <w:spacing w:after="240" w:line="23" w:lineRule="atLeast"/>
        <w:contextualSpacing/>
        <w:jc w:val="both"/>
        <w:rPr>
          <w:rFonts w:cs="Arial"/>
          <w:sz w:val="22"/>
          <w:szCs w:val="22"/>
        </w:rPr>
      </w:pPr>
      <w:r w:rsidRPr="001A36E6">
        <w:rPr>
          <w:rFonts w:cs="Arial"/>
          <w:sz w:val="22"/>
          <w:szCs w:val="22"/>
        </w:rPr>
        <w:t>En coordinación con CONAEE se confirmó el primer grupo de</w:t>
      </w:r>
      <w:r w:rsidR="0053272C" w:rsidRPr="001A36E6">
        <w:rPr>
          <w:rFonts w:cs="Arial"/>
          <w:sz w:val="22"/>
          <w:szCs w:val="22"/>
        </w:rPr>
        <w:t xml:space="preserve"> 24</w:t>
      </w:r>
      <w:r w:rsidRPr="001A36E6">
        <w:rPr>
          <w:rFonts w:cs="Arial"/>
          <w:sz w:val="22"/>
          <w:szCs w:val="22"/>
        </w:rPr>
        <w:t xml:space="preserve"> EO de la APF que participarán en el Programa y sobre los cuales se elaborarán los primeros PE-EE, estos son:</w:t>
      </w:r>
    </w:p>
    <w:p w:rsidR="0053272C" w:rsidRDefault="0053272C" w:rsidP="008F0C26">
      <w:pPr>
        <w:spacing w:after="240" w:line="23" w:lineRule="atLeast"/>
        <w:contextualSpacing/>
        <w:jc w:val="both"/>
        <w:rPr>
          <w:rFonts w:eastAsiaTheme="minorEastAsia" w:cs="Arial"/>
          <w:bCs/>
          <w:iCs/>
        </w:rPr>
      </w:pPr>
    </w:p>
    <w:p w:rsidR="0053272C" w:rsidRDefault="0053272C" w:rsidP="008F0C26">
      <w:pPr>
        <w:spacing w:after="240" w:line="23" w:lineRule="atLeast"/>
        <w:contextualSpacing/>
        <w:jc w:val="both"/>
        <w:rPr>
          <w:rFonts w:eastAsiaTheme="minorEastAsia" w:cs="Arial"/>
          <w:bCs/>
          <w:iCs/>
        </w:rPr>
      </w:pPr>
      <w:r w:rsidRPr="0053272C">
        <w:rPr>
          <w:rFonts w:eastAsiaTheme="minorEastAsia" w:cs="Arial"/>
          <w:bCs/>
          <w:iCs/>
          <w:noProof/>
        </w:rPr>
        <w:lastRenderedPageBreak/>
        <w:drawing>
          <wp:inline distT="0" distB="0" distL="0" distR="0" wp14:anchorId="06DF8E75" wp14:editId="4968C71D">
            <wp:extent cx="5122863" cy="5337175"/>
            <wp:effectExtent l="0" t="0" r="1905" b="0"/>
            <wp:docPr id="22532" name="Picture 5">
              <a:extLst xmlns:a="http://schemas.openxmlformats.org/drawingml/2006/main">
                <a:ext uri="{FF2B5EF4-FFF2-40B4-BE49-F238E27FC236}">
                  <a16:creationId xmlns:a16="http://schemas.microsoft.com/office/drawing/2014/main" id="{7CC69F8D-E927-49E4-8213-60070EA022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2" name="Picture 5">
                      <a:extLst>
                        <a:ext uri="{FF2B5EF4-FFF2-40B4-BE49-F238E27FC236}">
                          <a16:creationId xmlns:a16="http://schemas.microsoft.com/office/drawing/2014/main" id="{7CC69F8D-E927-49E4-8213-60070EA02206}"/>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22863" cy="533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2C7072" w:rsidRDefault="002C7072" w:rsidP="008F0C26">
      <w:pPr>
        <w:spacing w:after="240" w:line="23" w:lineRule="atLeast"/>
        <w:contextualSpacing/>
        <w:jc w:val="both"/>
        <w:rPr>
          <w:rFonts w:eastAsiaTheme="minorEastAsia" w:cs="Arial"/>
          <w:bCs/>
          <w:iCs/>
        </w:rPr>
      </w:pPr>
    </w:p>
    <w:p w:rsidR="002C7072" w:rsidRDefault="002C7072" w:rsidP="008F0C26">
      <w:pPr>
        <w:spacing w:after="240" w:line="23" w:lineRule="atLeast"/>
        <w:contextualSpacing/>
        <w:jc w:val="both"/>
        <w:rPr>
          <w:rFonts w:eastAsiaTheme="minorEastAsia" w:cs="Arial"/>
          <w:bCs/>
          <w:iCs/>
        </w:rPr>
      </w:pPr>
    </w:p>
    <w:p w:rsidR="1BDD6743" w:rsidRPr="001A36E6" w:rsidRDefault="00F37A48" w:rsidP="0053272C">
      <w:pPr>
        <w:pStyle w:val="ListParagraph"/>
        <w:numPr>
          <w:ilvl w:val="0"/>
          <w:numId w:val="44"/>
        </w:numPr>
        <w:spacing w:after="240" w:line="23" w:lineRule="atLeast"/>
        <w:jc w:val="both"/>
        <w:rPr>
          <w:rFonts w:ascii="Arial" w:hAnsi="Arial" w:cs="Arial"/>
          <w:sz w:val="22"/>
          <w:szCs w:val="22"/>
        </w:rPr>
      </w:pPr>
      <w:r w:rsidRPr="001A36E6">
        <w:rPr>
          <w:rFonts w:ascii="Arial" w:hAnsi="Arial" w:cs="Arial"/>
          <w:sz w:val="22"/>
          <w:szCs w:val="22"/>
        </w:rPr>
        <w:t xml:space="preserve">Resultados </w:t>
      </w:r>
      <w:r w:rsidR="002C7072" w:rsidRPr="001A36E6">
        <w:rPr>
          <w:rFonts w:ascii="Arial" w:hAnsi="Arial" w:cs="Arial"/>
          <w:sz w:val="22"/>
          <w:szCs w:val="22"/>
        </w:rPr>
        <w:t>esperados</w:t>
      </w:r>
    </w:p>
    <w:p w:rsidR="00701159" w:rsidRPr="001A36E6" w:rsidRDefault="00D4612C" w:rsidP="008F0C26">
      <w:pPr>
        <w:widowControl w:val="0"/>
        <w:spacing w:after="240" w:line="23" w:lineRule="atLeast"/>
        <w:jc w:val="both"/>
        <w:rPr>
          <w:rFonts w:cs="Arial"/>
          <w:sz w:val="22"/>
          <w:szCs w:val="22"/>
        </w:rPr>
      </w:pPr>
      <w:r w:rsidRPr="001A36E6">
        <w:rPr>
          <w:rFonts w:cs="Arial"/>
          <w:sz w:val="22"/>
          <w:szCs w:val="22"/>
        </w:rPr>
        <w:t>El conjunto d</w:t>
      </w:r>
      <w:r w:rsidR="004E2C42" w:rsidRPr="001A36E6">
        <w:rPr>
          <w:rFonts w:cs="Arial"/>
          <w:sz w:val="22"/>
          <w:szCs w:val="22"/>
        </w:rPr>
        <w:t>e PE-EE permitirá tener definida</w:t>
      </w:r>
      <w:r w:rsidRPr="001A36E6">
        <w:rPr>
          <w:rFonts w:cs="Arial"/>
          <w:sz w:val="22"/>
          <w:szCs w:val="22"/>
        </w:rPr>
        <w:t>s las medidas y equipos necesarios para mejorar la eficiencia energética en</w:t>
      </w:r>
      <w:r w:rsidR="008C01B8" w:rsidRPr="001A36E6">
        <w:rPr>
          <w:rFonts w:cs="Arial"/>
          <w:sz w:val="22"/>
          <w:szCs w:val="22"/>
        </w:rPr>
        <w:t xml:space="preserve"> </w:t>
      </w:r>
      <w:r w:rsidR="00476A5D" w:rsidRPr="001A36E6">
        <w:rPr>
          <w:rFonts w:cs="Arial"/>
          <w:sz w:val="22"/>
          <w:szCs w:val="22"/>
        </w:rPr>
        <w:t xml:space="preserve">los </w:t>
      </w:r>
      <w:r w:rsidR="00A11680" w:rsidRPr="001A36E6">
        <w:rPr>
          <w:rFonts w:cs="Arial"/>
          <w:sz w:val="22"/>
          <w:szCs w:val="22"/>
        </w:rPr>
        <w:t>EO de la APF</w:t>
      </w:r>
      <w:r w:rsidR="00476A5D" w:rsidRPr="001A36E6">
        <w:rPr>
          <w:rFonts w:cs="Arial"/>
          <w:sz w:val="22"/>
          <w:szCs w:val="22"/>
        </w:rPr>
        <w:t xml:space="preserve"> en </w:t>
      </w:r>
      <w:r w:rsidR="008C01B8" w:rsidRPr="001A36E6">
        <w:rPr>
          <w:rFonts w:cs="Arial"/>
          <w:sz w:val="22"/>
          <w:szCs w:val="22"/>
        </w:rPr>
        <w:t>materia de iluminación y aire acondicionado</w:t>
      </w:r>
      <w:r w:rsidRPr="001A36E6">
        <w:rPr>
          <w:rFonts w:cs="Arial"/>
          <w:sz w:val="22"/>
          <w:szCs w:val="22"/>
        </w:rPr>
        <w:t xml:space="preserve">, así como las inversiones necesarias </w:t>
      </w:r>
      <w:r w:rsidR="004E2C42" w:rsidRPr="001A36E6">
        <w:rPr>
          <w:rFonts w:cs="Arial"/>
          <w:sz w:val="22"/>
          <w:szCs w:val="22"/>
        </w:rPr>
        <w:t>con</w:t>
      </w:r>
      <w:r w:rsidRPr="001A36E6">
        <w:rPr>
          <w:rFonts w:cs="Arial"/>
          <w:sz w:val="22"/>
          <w:szCs w:val="22"/>
        </w:rPr>
        <w:t xml:space="preserve"> las debidas salvaguardas ambientales. De esta forma, se tendrán todos los elementos para una implementación rápida de las medidas de eficiencia energética parte del programa de financiamiento en desarrollo. </w:t>
      </w:r>
    </w:p>
    <w:p w:rsidR="00C41CB0" w:rsidRDefault="00C41CB0" w:rsidP="008F0C26">
      <w:pPr>
        <w:widowControl w:val="0"/>
        <w:spacing w:after="240" w:line="23" w:lineRule="atLeast"/>
        <w:rPr>
          <w:rFonts w:eastAsiaTheme="minorEastAsia" w:cs="Arial"/>
          <w:b/>
          <w:bCs/>
        </w:rPr>
      </w:pPr>
    </w:p>
    <w:sectPr w:rsidR="00C41CB0" w:rsidSect="00801E0E">
      <w:pgSz w:w="12240" w:h="15840"/>
      <w:pgMar w:top="1411" w:right="1699" w:bottom="1411" w:left="1699"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F4B" w:rsidRDefault="00D73F4B">
      <w:r>
        <w:separator/>
      </w:r>
    </w:p>
  </w:endnote>
  <w:endnote w:type="continuationSeparator" w:id="0">
    <w:p w:rsidR="00D73F4B" w:rsidRDefault="00D73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8728674"/>
      <w:docPartObj>
        <w:docPartGallery w:val="Page Numbers (Bottom of Page)"/>
        <w:docPartUnique/>
      </w:docPartObj>
    </w:sdtPr>
    <w:sdtEndPr>
      <w:rPr>
        <w:noProof/>
      </w:rPr>
    </w:sdtEndPr>
    <w:sdtContent>
      <w:p w:rsidR="00ED451D" w:rsidRDefault="00ED451D">
        <w:pPr>
          <w:pStyle w:val="Footer"/>
          <w:jc w:val="right"/>
        </w:pPr>
        <w:r>
          <w:t xml:space="preserve">Página  </w:t>
        </w:r>
        <w:r w:rsidRPr="1BDD6743">
          <w:rPr>
            <w:noProof/>
          </w:rPr>
          <w:fldChar w:fldCharType="begin"/>
        </w:r>
        <w:r w:rsidRPr="1BDD6743">
          <w:rPr>
            <w:noProof/>
          </w:rPr>
          <w:instrText xml:space="preserve"> PAGE   \* MERGEFORMAT </w:instrText>
        </w:r>
        <w:r w:rsidRPr="1BDD6743">
          <w:rPr>
            <w:noProof/>
          </w:rPr>
          <w:fldChar w:fldCharType="separate"/>
        </w:r>
        <w:r w:rsidR="00F6141D">
          <w:rPr>
            <w:noProof/>
          </w:rPr>
          <w:t>6</w:t>
        </w:r>
        <w:r w:rsidRPr="1BDD6743">
          <w:rPr>
            <w:noProof/>
          </w:rPr>
          <w:fldChar w:fldCharType="end"/>
        </w:r>
        <w:r>
          <w:t xml:space="preserve"> de</w:t>
        </w:r>
        <w:r w:rsidR="00801E0E">
          <w:t>l Anexo Técnico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F4B" w:rsidRDefault="00D73F4B">
      <w:r>
        <w:separator/>
      </w:r>
    </w:p>
  </w:footnote>
  <w:footnote w:type="continuationSeparator" w:id="0">
    <w:p w:rsidR="00D73F4B" w:rsidRDefault="00D73F4B">
      <w:r>
        <w:continuationSeparator/>
      </w:r>
    </w:p>
  </w:footnote>
  <w:footnote w:id="1">
    <w:p w:rsidR="00244F9C" w:rsidRPr="00803664" w:rsidRDefault="00244F9C" w:rsidP="001A36E6">
      <w:pPr>
        <w:pStyle w:val="FootnoteText"/>
        <w:ind w:left="270" w:hanging="270"/>
        <w:jc w:val="both"/>
        <w:rPr>
          <w:lang w:val="es-MX"/>
        </w:rPr>
      </w:pPr>
      <w:r w:rsidRPr="00477A98">
        <w:rPr>
          <w:rStyle w:val="FootnoteReference"/>
          <w:rFonts w:ascii="Arial" w:hAnsi="Arial" w:cs="Arial"/>
        </w:rPr>
        <w:footnoteRef/>
      </w:r>
      <w:r w:rsidRPr="00244F9C">
        <w:rPr>
          <w:rFonts w:ascii="Arial" w:hAnsi="Arial" w:cs="Arial"/>
          <w:lang w:val="es-MX"/>
        </w:rPr>
        <w:t xml:space="preserve"> </w:t>
      </w:r>
      <w:r w:rsidRPr="00244F9C">
        <w:rPr>
          <w:lang w:val="es-MX"/>
        </w:rPr>
        <w:tab/>
      </w:r>
      <w:r w:rsidRPr="00803664">
        <w:rPr>
          <w:rFonts w:ascii="Arial" w:hAnsi="Arial" w:cs="Arial"/>
          <w:sz w:val="18"/>
          <w:lang w:val="es-MX"/>
        </w:rPr>
        <w:t>Se denomina genéricamente como “Entidades” de la APF a: los Poderes Legislativo y Judicial, la Presidencia de la República, las Secretarías de Estado, los Departamentos administrativos, la Procuraduría General de la República los organismos descentralizados, las empresas de participación estatal mayoritaria y los fideicomisos en los que el fideicomitente sea el Gobierno Federal. En el caso de las “Dependencias” de la APF, éstas son:  los organismos descentralizados, las empresas de participación estatal, las instituciones nacionales de crédito, las instituciones nacionales de seguros y de fianzas y los fideicomisos públicos.</w:t>
      </w:r>
    </w:p>
  </w:footnote>
  <w:footnote w:id="2">
    <w:p w:rsidR="00244F9C" w:rsidRPr="00244F9C" w:rsidRDefault="00244F9C" w:rsidP="001A36E6">
      <w:pPr>
        <w:pStyle w:val="FootnoteText"/>
        <w:ind w:left="270" w:hanging="270"/>
        <w:jc w:val="both"/>
        <w:rPr>
          <w:rFonts w:ascii="Arial" w:hAnsi="Arial" w:cs="Arial"/>
          <w:sz w:val="18"/>
          <w:szCs w:val="18"/>
          <w:lang w:val="es-MX"/>
        </w:rPr>
      </w:pPr>
      <w:r w:rsidRPr="00803664">
        <w:rPr>
          <w:rStyle w:val="FootnoteReference"/>
          <w:rFonts w:ascii="Arial" w:hAnsi="Arial" w:cs="Arial"/>
          <w:sz w:val="18"/>
          <w:szCs w:val="18"/>
        </w:rPr>
        <w:footnoteRef/>
      </w:r>
      <w:r w:rsidRPr="00803664">
        <w:rPr>
          <w:rFonts w:ascii="Arial" w:hAnsi="Arial" w:cs="Arial"/>
          <w:sz w:val="18"/>
          <w:szCs w:val="18"/>
          <w:lang w:val="es-MX"/>
        </w:rPr>
        <w:t xml:space="preserve"> </w:t>
      </w:r>
      <w:r w:rsidRPr="00803664">
        <w:rPr>
          <w:rFonts w:ascii="Arial" w:hAnsi="Arial" w:cs="Arial"/>
          <w:sz w:val="18"/>
          <w:szCs w:val="18"/>
          <w:lang w:val="es-MX"/>
        </w:rPr>
        <w:tab/>
        <w:t>Se considera una paridad de $18.13 pesos por US$.</w:t>
      </w:r>
    </w:p>
  </w:footnote>
  <w:footnote w:id="3">
    <w:p w:rsidR="00803664" w:rsidRPr="00803664" w:rsidRDefault="00803664" w:rsidP="001A36E6">
      <w:pPr>
        <w:pStyle w:val="FootnoteText"/>
        <w:ind w:left="270" w:hanging="270"/>
        <w:jc w:val="both"/>
        <w:rPr>
          <w:rFonts w:ascii="Arial" w:hAnsi="Arial" w:cs="Arial"/>
          <w:sz w:val="18"/>
          <w:szCs w:val="18"/>
          <w:lang w:val="es-MX"/>
        </w:rPr>
      </w:pPr>
      <w:r w:rsidRPr="008F4BFE">
        <w:rPr>
          <w:rStyle w:val="FootnoteReference"/>
          <w:rFonts w:ascii="Arial" w:hAnsi="Arial" w:cs="Arial"/>
        </w:rPr>
        <w:footnoteRef/>
      </w:r>
      <w:r w:rsidRPr="00803664">
        <w:rPr>
          <w:rFonts w:ascii="Arial" w:hAnsi="Arial" w:cs="Arial"/>
          <w:lang w:val="es-MX"/>
        </w:rPr>
        <w:t xml:space="preserve"> </w:t>
      </w:r>
      <w:r w:rsidR="001A36E6">
        <w:rPr>
          <w:rFonts w:ascii="Arial" w:hAnsi="Arial" w:cs="Arial"/>
          <w:lang w:val="es-MX"/>
        </w:rPr>
        <w:tab/>
      </w:r>
      <w:r w:rsidRPr="00803664">
        <w:rPr>
          <w:rFonts w:ascii="Arial" w:hAnsi="Arial" w:cs="Arial"/>
          <w:sz w:val="18"/>
          <w:szCs w:val="18"/>
          <w:lang w:val="es-MX"/>
        </w:rPr>
        <w:t>El objetivo de los PE consiste en generar la información necesaria del grupo de EOAPF que permita llevar a cabo el proceso de licitación para la selección y contratación de proveedores de equipos de iluminación y aire acondicionado, así como de los servicios de retiro y disposición final de los equipos ineficientes y sus residuos, la instalación de los equipos eficientes y su puesta en operación. Los PE incluyen: (i) realización de diagnósticos energéticos, mediante los cuales se calculan los potenciales de ahorro de energía y económicos, las inversiones necesarias para implementar las medidas de EE evaluadas; (ii) especificación de los equipos eficientes a instalar, incluyendo las alternativas de marcas y modelos disponibles en el mercado, y sus costos en función del volumen de compra; (iii) detalle de las operaciones necesaria para el retiro y disposición final de loso equipos retirados y sus residuos, conforme a la normatividad ambiental aplicable; y (iv) logística, ama y costos de las operaciones a realizar para la implementación de los proyectos de EE, especificando, de acuerdo con los usos de las instalaciones de los EOAPF y sus programas de trabajo, las fechas y horarios para la ejecución de las operaciones establecidas.</w:t>
      </w:r>
    </w:p>
  </w:footnote>
  <w:footnote w:id="4">
    <w:p w:rsidR="00ED451D" w:rsidRPr="00D74204" w:rsidRDefault="00ED451D" w:rsidP="001A36E6">
      <w:pPr>
        <w:pStyle w:val="FootnoteText"/>
        <w:ind w:left="270" w:hanging="270"/>
        <w:jc w:val="both"/>
        <w:rPr>
          <w:lang w:val="es-MX"/>
        </w:rPr>
      </w:pPr>
      <w:r>
        <w:rPr>
          <w:rStyle w:val="FootnoteReference"/>
        </w:rPr>
        <w:footnoteRef/>
      </w:r>
      <w:r w:rsidRPr="00D74204">
        <w:rPr>
          <w:lang w:val="es-MX"/>
        </w:rPr>
        <w:t xml:space="preserve"> </w:t>
      </w:r>
      <w:r w:rsidR="001A36E6">
        <w:rPr>
          <w:lang w:val="es-MX"/>
        </w:rPr>
        <w:tab/>
      </w:r>
      <w:r w:rsidRPr="001A36E6">
        <w:rPr>
          <w:rFonts w:ascii="Arial" w:hAnsi="Arial" w:cs="Arial"/>
          <w:sz w:val="18"/>
          <w:szCs w:val="18"/>
          <w:lang w:val="es-MX"/>
        </w:rPr>
        <w:t>Guía técnica sobre procedimientos para la determinación del rendimiento energético de plantas enfriadoras de agua y equipos autónomos de tratamiento de air; IDEA, 2007.</w:t>
      </w:r>
    </w:p>
  </w:footnote>
  <w:footnote w:id="5">
    <w:p w:rsidR="00F12C22" w:rsidRPr="001A36E6" w:rsidRDefault="00F12C22" w:rsidP="001A36E6">
      <w:pPr>
        <w:pStyle w:val="FootnoteText"/>
        <w:ind w:left="270" w:hanging="270"/>
        <w:jc w:val="both"/>
        <w:rPr>
          <w:rFonts w:ascii="Arial" w:hAnsi="Arial" w:cs="Arial"/>
          <w:sz w:val="18"/>
          <w:szCs w:val="18"/>
          <w:lang w:val="es-MX"/>
        </w:rPr>
      </w:pPr>
      <w:r w:rsidRPr="00924B6E">
        <w:rPr>
          <w:rStyle w:val="FootnoteReference"/>
          <w:rFonts w:asciiTheme="minorHAnsi" w:hAnsiTheme="minorHAnsi"/>
          <w:sz w:val="18"/>
          <w:szCs w:val="18"/>
        </w:rPr>
        <w:footnoteRef/>
      </w:r>
      <w:r w:rsidRPr="00924B6E">
        <w:rPr>
          <w:rFonts w:asciiTheme="minorHAnsi" w:hAnsiTheme="minorHAnsi"/>
          <w:sz w:val="18"/>
          <w:szCs w:val="18"/>
          <w:lang w:val="es-MX"/>
        </w:rPr>
        <w:t xml:space="preserve"> </w:t>
      </w:r>
      <w:r w:rsidR="001A36E6">
        <w:rPr>
          <w:rFonts w:asciiTheme="minorHAnsi" w:hAnsiTheme="minorHAnsi"/>
          <w:sz w:val="18"/>
          <w:szCs w:val="18"/>
          <w:lang w:val="es-MX"/>
        </w:rPr>
        <w:tab/>
      </w:r>
      <w:r w:rsidRPr="001A36E6">
        <w:rPr>
          <w:rFonts w:ascii="Arial" w:hAnsi="Arial" w:cs="Arial"/>
          <w:sz w:val="18"/>
          <w:szCs w:val="18"/>
          <w:lang w:val="es-MX"/>
        </w:rPr>
        <w:t xml:space="preserve">En caso de que se considere que alguna otra medida representa un potencial de ahorro energético y/o económico equivalente al 10% del potencial total de ahorro, también debe ser considerado, en este caso, por ejemplo, se incluirían acciones como el cambio de tarifa de suministro eléctrico, de aquellos edificios en los que se están aplicando tarifas de baja y media tensión.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451D" w:rsidRDefault="00ED451D">
    <w:pPr>
      <w:pStyle w:val="Header"/>
    </w:pPr>
    <w:r>
      <w:rPr>
        <w:noProof/>
        <w:lang w:eastAsia="es-MX"/>
      </w:rPr>
      <w:drawing>
        <wp:inline distT="0" distB="0" distL="0" distR="0" wp14:anchorId="0E126A88" wp14:editId="738D947B">
          <wp:extent cx="1476375" cy="374495"/>
          <wp:effectExtent l="0" t="0" r="0" b="6985"/>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476375" cy="374495"/>
                  </a:xfrm>
                  <a:prstGeom prst="rect">
                    <a:avLst/>
                  </a:prstGeom>
                </pic:spPr>
              </pic:pic>
            </a:graphicData>
          </a:graphic>
        </wp:inline>
      </w:drawing>
    </w:r>
    <w:r w:rsidRPr="1BDD6743">
      <w:rPr>
        <w:i/>
        <w:iCs/>
        <w:color w:val="4F81BD" w:themeColor="accent1"/>
      </w:rPr>
      <w:t xml:space="preserve">                                                                                 </w:t>
    </w:r>
  </w:p>
  <w:p w:rsidR="00ED451D" w:rsidRDefault="00ED451D">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85FB1"/>
    <w:multiLevelType w:val="multilevel"/>
    <w:tmpl w:val="4418DC40"/>
    <w:lvl w:ilvl="0">
      <w:start w:val="4"/>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58A3193"/>
    <w:multiLevelType w:val="hybridMultilevel"/>
    <w:tmpl w:val="39944412"/>
    <w:lvl w:ilvl="0" w:tplc="AD122B60">
      <w:start w:val="3"/>
      <w:numFmt w:val="bullet"/>
      <w:lvlText w:val="-"/>
      <w:lvlJc w:val="left"/>
      <w:pPr>
        <w:ind w:left="72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4336E4"/>
    <w:multiLevelType w:val="hybridMultilevel"/>
    <w:tmpl w:val="55E22E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08416F"/>
    <w:multiLevelType w:val="hybridMultilevel"/>
    <w:tmpl w:val="F28EC6DC"/>
    <w:lvl w:ilvl="0" w:tplc="062E7FFA">
      <w:start w:val="1"/>
      <w:numFmt w:val="bullet"/>
      <w:pStyle w:val="Bullets1erNivel"/>
      <w:lvlText w:val=""/>
      <w:lvlJc w:val="left"/>
      <w:pPr>
        <w:ind w:left="1060" w:hanging="360"/>
      </w:pPr>
      <w:rPr>
        <w:rFonts w:ascii="Symbol" w:hAnsi="Symbol" w:hint="default"/>
      </w:rPr>
    </w:lvl>
    <w:lvl w:ilvl="1" w:tplc="080A0003" w:tentative="1">
      <w:start w:val="1"/>
      <w:numFmt w:val="bullet"/>
      <w:lvlText w:val="o"/>
      <w:lvlJc w:val="left"/>
      <w:pPr>
        <w:ind w:left="1780" w:hanging="360"/>
      </w:pPr>
      <w:rPr>
        <w:rFonts w:ascii="Courier New" w:hAnsi="Courier New" w:cs="Courier New" w:hint="default"/>
      </w:rPr>
    </w:lvl>
    <w:lvl w:ilvl="2" w:tplc="080A0005" w:tentative="1">
      <w:start w:val="1"/>
      <w:numFmt w:val="bullet"/>
      <w:lvlText w:val=""/>
      <w:lvlJc w:val="left"/>
      <w:pPr>
        <w:ind w:left="2500" w:hanging="360"/>
      </w:pPr>
      <w:rPr>
        <w:rFonts w:ascii="Wingdings" w:hAnsi="Wingdings" w:hint="default"/>
      </w:rPr>
    </w:lvl>
    <w:lvl w:ilvl="3" w:tplc="080A0001" w:tentative="1">
      <w:start w:val="1"/>
      <w:numFmt w:val="bullet"/>
      <w:lvlText w:val=""/>
      <w:lvlJc w:val="left"/>
      <w:pPr>
        <w:ind w:left="3220" w:hanging="360"/>
      </w:pPr>
      <w:rPr>
        <w:rFonts w:ascii="Symbol" w:hAnsi="Symbol" w:hint="default"/>
      </w:rPr>
    </w:lvl>
    <w:lvl w:ilvl="4" w:tplc="080A0003" w:tentative="1">
      <w:start w:val="1"/>
      <w:numFmt w:val="bullet"/>
      <w:lvlText w:val="o"/>
      <w:lvlJc w:val="left"/>
      <w:pPr>
        <w:ind w:left="3940" w:hanging="360"/>
      </w:pPr>
      <w:rPr>
        <w:rFonts w:ascii="Courier New" w:hAnsi="Courier New" w:cs="Courier New" w:hint="default"/>
      </w:rPr>
    </w:lvl>
    <w:lvl w:ilvl="5" w:tplc="080A0005" w:tentative="1">
      <w:start w:val="1"/>
      <w:numFmt w:val="bullet"/>
      <w:lvlText w:val=""/>
      <w:lvlJc w:val="left"/>
      <w:pPr>
        <w:ind w:left="4660" w:hanging="360"/>
      </w:pPr>
      <w:rPr>
        <w:rFonts w:ascii="Wingdings" w:hAnsi="Wingdings" w:hint="default"/>
      </w:rPr>
    </w:lvl>
    <w:lvl w:ilvl="6" w:tplc="080A0001" w:tentative="1">
      <w:start w:val="1"/>
      <w:numFmt w:val="bullet"/>
      <w:lvlText w:val=""/>
      <w:lvlJc w:val="left"/>
      <w:pPr>
        <w:ind w:left="5380" w:hanging="360"/>
      </w:pPr>
      <w:rPr>
        <w:rFonts w:ascii="Symbol" w:hAnsi="Symbol" w:hint="default"/>
      </w:rPr>
    </w:lvl>
    <w:lvl w:ilvl="7" w:tplc="080A0003" w:tentative="1">
      <w:start w:val="1"/>
      <w:numFmt w:val="bullet"/>
      <w:lvlText w:val="o"/>
      <w:lvlJc w:val="left"/>
      <w:pPr>
        <w:ind w:left="6100" w:hanging="360"/>
      </w:pPr>
      <w:rPr>
        <w:rFonts w:ascii="Courier New" w:hAnsi="Courier New" w:cs="Courier New" w:hint="default"/>
      </w:rPr>
    </w:lvl>
    <w:lvl w:ilvl="8" w:tplc="080A0005" w:tentative="1">
      <w:start w:val="1"/>
      <w:numFmt w:val="bullet"/>
      <w:lvlText w:val=""/>
      <w:lvlJc w:val="left"/>
      <w:pPr>
        <w:ind w:left="6820" w:hanging="360"/>
      </w:pPr>
      <w:rPr>
        <w:rFonts w:ascii="Wingdings" w:hAnsi="Wingdings" w:hint="default"/>
      </w:rPr>
    </w:lvl>
  </w:abstractNum>
  <w:abstractNum w:abstractNumId="5" w15:restartNumberingAfterBreak="0">
    <w:nsid w:val="0C39249E"/>
    <w:multiLevelType w:val="hybridMultilevel"/>
    <w:tmpl w:val="2B18AB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AB7FC9"/>
    <w:multiLevelType w:val="multilevel"/>
    <w:tmpl w:val="297E1C9E"/>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Times New Roman" w:eastAsia="Times New Roman" w:hAnsi="Times New Roman" w:cs="Times New Roman"/>
        <w:b w:val="0"/>
        <w:i w:val="0"/>
        <w:color w:val="auto"/>
        <w:sz w:val="24"/>
      </w:rPr>
    </w:lvl>
    <w:lvl w:ilvl="2">
      <w:start w:val="1"/>
      <w:numFmt w:val="lowerLetter"/>
      <w:pStyle w:val="subpar"/>
      <w:lvlText w:val="%3."/>
      <w:lvlJc w:val="left"/>
      <w:pPr>
        <w:tabs>
          <w:tab w:val="num" w:pos="1152"/>
        </w:tabs>
        <w:ind w:left="1152" w:hanging="432"/>
      </w:pPr>
      <w:rPr>
        <w:rFonts w:ascii="Times New Roman" w:hAnsi="Times New Roman" w:hint="default"/>
        <w:b w:val="0"/>
        <w:i w:val="0"/>
        <w:sz w:val="24"/>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15:restartNumberingAfterBreak="0">
    <w:nsid w:val="12213C4C"/>
    <w:multiLevelType w:val="hybridMultilevel"/>
    <w:tmpl w:val="A176991C"/>
    <w:lvl w:ilvl="0" w:tplc="F9EC64AC">
      <w:start w:val="1"/>
      <w:numFmt w:val="lowerRoman"/>
      <w:lvlText w:val="(%1)"/>
      <w:lvlJc w:val="left"/>
      <w:pPr>
        <w:ind w:left="360" w:hanging="360"/>
      </w:pPr>
      <w:rPr>
        <w:rFonts w:hint="default"/>
        <w:sz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3D209FB"/>
    <w:multiLevelType w:val="hybridMultilevel"/>
    <w:tmpl w:val="01CE9D1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15:restartNumberingAfterBreak="0">
    <w:nsid w:val="14966160"/>
    <w:multiLevelType w:val="hybridMultilevel"/>
    <w:tmpl w:val="E556CF6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6A60123"/>
    <w:multiLevelType w:val="hybridMultilevel"/>
    <w:tmpl w:val="9C7490EC"/>
    <w:lvl w:ilvl="0" w:tplc="AD122B60">
      <w:start w:val="3"/>
      <w:numFmt w:val="bullet"/>
      <w:lvlText w:val="-"/>
      <w:lvlJc w:val="left"/>
      <w:pPr>
        <w:ind w:left="720" w:hanging="360"/>
      </w:pPr>
      <w:rPr>
        <w:rFonts w:ascii="Calibri" w:eastAsia="Times New Roman" w:hAnsi="Calibri" w:cs="Aria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6F6DF3"/>
    <w:multiLevelType w:val="hybridMultilevel"/>
    <w:tmpl w:val="B672EB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99514F4"/>
    <w:multiLevelType w:val="hybridMultilevel"/>
    <w:tmpl w:val="20EC7DD4"/>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13" w15:restartNumberingAfterBreak="0">
    <w:nsid w:val="1A7D587F"/>
    <w:multiLevelType w:val="hybridMultilevel"/>
    <w:tmpl w:val="A1D4CD40"/>
    <w:lvl w:ilvl="0" w:tplc="080A0001">
      <w:start w:val="1"/>
      <w:numFmt w:val="bullet"/>
      <w:lvlText w:val=""/>
      <w:lvlJc w:val="left"/>
      <w:pPr>
        <w:tabs>
          <w:tab w:val="num" w:pos="720"/>
        </w:tabs>
        <w:ind w:left="720" w:hanging="360"/>
      </w:pPr>
      <w:rPr>
        <w:rFonts w:ascii="Symbol" w:hAnsi="Symbol" w:hint="default"/>
      </w:rPr>
    </w:lvl>
    <w:lvl w:ilvl="1" w:tplc="2C74A648" w:tentative="1">
      <w:start w:val="1"/>
      <w:numFmt w:val="bullet"/>
      <w:lvlText w:val=""/>
      <w:lvlJc w:val="left"/>
      <w:pPr>
        <w:tabs>
          <w:tab w:val="num" w:pos="1440"/>
        </w:tabs>
        <w:ind w:left="1440" w:hanging="360"/>
      </w:pPr>
      <w:rPr>
        <w:rFonts w:ascii="Wingdings" w:hAnsi="Wingdings" w:hint="default"/>
      </w:rPr>
    </w:lvl>
    <w:lvl w:ilvl="2" w:tplc="A15A7668" w:tentative="1">
      <w:start w:val="1"/>
      <w:numFmt w:val="bullet"/>
      <w:lvlText w:val=""/>
      <w:lvlJc w:val="left"/>
      <w:pPr>
        <w:tabs>
          <w:tab w:val="num" w:pos="2160"/>
        </w:tabs>
        <w:ind w:left="2160" w:hanging="360"/>
      </w:pPr>
      <w:rPr>
        <w:rFonts w:ascii="Wingdings" w:hAnsi="Wingdings" w:hint="default"/>
      </w:rPr>
    </w:lvl>
    <w:lvl w:ilvl="3" w:tplc="CD6A060E" w:tentative="1">
      <w:start w:val="1"/>
      <w:numFmt w:val="bullet"/>
      <w:lvlText w:val=""/>
      <w:lvlJc w:val="left"/>
      <w:pPr>
        <w:tabs>
          <w:tab w:val="num" w:pos="2880"/>
        </w:tabs>
        <w:ind w:left="2880" w:hanging="360"/>
      </w:pPr>
      <w:rPr>
        <w:rFonts w:ascii="Wingdings" w:hAnsi="Wingdings" w:hint="default"/>
      </w:rPr>
    </w:lvl>
    <w:lvl w:ilvl="4" w:tplc="80629240" w:tentative="1">
      <w:start w:val="1"/>
      <w:numFmt w:val="bullet"/>
      <w:lvlText w:val=""/>
      <w:lvlJc w:val="left"/>
      <w:pPr>
        <w:tabs>
          <w:tab w:val="num" w:pos="3600"/>
        </w:tabs>
        <w:ind w:left="3600" w:hanging="360"/>
      </w:pPr>
      <w:rPr>
        <w:rFonts w:ascii="Wingdings" w:hAnsi="Wingdings" w:hint="default"/>
      </w:rPr>
    </w:lvl>
    <w:lvl w:ilvl="5" w:tplc="3B5C9AD6" w:tentative="1">
      <w:start w:val="1"/>
      <w:numFmt w:val="bullet"/>
      <w:lvlText w:val=""/>
      <w:lvlJc w:val="left"/>
      <w:pPr>
        <w:tabs>
          <w:tab w:val="num" w:pos="4320"/>
        </w:tabs>
        <w:ind w:left="4320" w:hanging="360"/>
      </w:pPr>
      <w:rPr>
        <w:rFonts w:ascii="Wingdings" w:hAnsi="Wingdings" w:hint="default"/>
      </w:rPr>
    </w:lvl>
    <w:lvl w:ilvl="6" w:tplc="920EC532" w:tentative="1">
      <w:start w:val="1"/>
      <w:numFmt w:val="bullet"/>
      <w:lvlText w:val=""/>
      <w:lvlJc w:val="left"/>
      <w:pPr>
        <w:tabs>
          <w:tab w:val="num" w:pos="5040"/>
        </w:tabs>
        <w:ind w:left="5040" w:hanging="360"/>
      </w:pPr>
      <w:rPr>
        <w:rFonts w:ascii="Wingdings" w:hAnsi="Wingdings" w:hint="default"/>
      </w:rPr>
    </w:lvl>
    <w:lvl w:ilvl="7" w:tplc="C936A9BE" w:tentative="1">
      <w:start w:val="1"/>
      <w:numFmt w:val="bullet"/>
      <w:lvlText w:val=""/>
      <w:lvlJc w:val="left"/>
      <w:pPr>
        <w:tabs>
          <w:tab w:val="num" w:pos="5760"/>
        </w:tabs>
        <w:ind w:left="5760" w:hanging="360"/>
      </w:pPr>
      <w:rPr>
        <w:rFonts w:ascii="Wingdings" w:hAnsi="Wingdings" w:hint="default"/>
      </w:rPr>
    </w:lvl>
    <w:lvl w:ilvl="8" w:tplc="530E998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E61871"/>
    <w:multiLevelType w:val="hybridMultilevel"/>
    <w:tmpl w:val="B57837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B65187A"/>
    <w:multiLevelType w:val="hybridMultilevel"/>
    <w:tmpl w:val="49EC38C8"/>
    <w:lvl w:ilvl="0" w:tplc="080A0001">
      <w:start w:val="1"/>
      <w:numFmt w:val="bullet"/>
      <w:lvlText w:val=""/>
      <w:lvlJc w:val="left"/>
      <w:pPr>
        <w:ind w:left="1778" w:hanging="360"/>
      </w:pPr>
      <w:rPr>
        <w:rFonts w:ascii="Symbol" w:hAnsi="Symbol" w:hint="default"/>
      </w:rPr>
    </w:lvl>
    <w:lvl w:ilvl="1" w:tplc="080A0003" w:tentative="1">
      <w:start w:val="1"/>
      <w:numFmt w:val="bullet"/>
      <w:lvlText w:val="o"/>
      <w:lvlJc w:val="left"/>
      <w:pPr>
        <w:ind w:left="2498" w:hanging="360"/>
      </w:pPr>
      <w:rPr>
        <w:rFonts w:ascii="Courier New" w:hAnsi="Courier New" w:cs="Courier New" w:hint="default"/>
      </w:rPr>
    </w:lvl>
    <w:lvl w:ilvl="2" w:tplc="080A0005" w:tentative="1">
      <w:start w:val="1"/>
      <w:numFmt w:val="bullet"/>
      <w:lvlText w:val=""/>
      <w:lvlJc w:val="left"/>
      <w:pPr>
        <w:ind w:left="3218" w:hanging="360"/>
      </w:pPr>
      <w:rPr>
        <w:rFonts w:ascii="Wingdings" w:hAnsi="Wingdings" w:hint="default"/>
      </w:rPr>
    </w:lvl>
    <w:lvl w:ilvl="3" w:tplc="080A0001" w:tentative="1">
      <w:start w:val="1"/>
      <w:numFmt w:val="bullet"/>
      <w:lvlText w:val=""/>
      <w:lvlJc w:val="left"/>
      <w:pPr>
        <w:ind w:left="3938" w:hanging="360"/>
      </w:pPr>
      <w:rPr>
        <w:rFonts w:ascii="Symbol" w:hAnsi="Symbol" w:hint="default"/>
      </w:rPr>
    </w:lvl>
    <w:lvl w:ilvl="4" w:tplc="080A0003" w:tentative="1">
      <w:start w:val="1"/>
      <w:numFmt w:val="bullet"/>
      <w:lvlText w:val="o"/>
      <w:lvlJc w:val="left"/>
      <w:pPr>
        <w:ind w:left="4658" w:hanging="360"/>
      </w:pPr>
      <w:rPr>
        <w:rFonts w:ascii="Courier New" w:hAnsi="Courier New" w:cs="Courier New" w:hint="default"/>
      </w:rPr>
    </w:lvl>
    <w:lvl w:ilvl="5" w:tplc="080A0005" w:tentative="1">
      <w:start w:val="1"/>
      <w:numFmt w:val="bullet"/>
      <w:lvlText w:val=""/>
      <w:lvlJc w:val="left"/>
      <w:pPr>
        <w:ind w:left="5378" w:hanging="360"/>
      </w:pPr>
      <w:rPr>
        <w:rFonts w:ascii="Wingdings" w:hAnsi="Wingdings" w:hint="default"/>
      </w:rPr>
    </w:lvl>
    <w:lvl w:ilvl="6" w:tplc="080A0001" w:tentative="1">
      <w:start w:val="1"/>
      <w:numFmt w:val="bullet"/>
      <w:lvlText w:val=""/>
      <w:lvlJc w:val="left"/>
      <w:pPr>
        <w:ind w:left="6098" w:hanging="360"/>
      </w:pPr>
      <w:rPr>
        <w:rFonts w:ascii="Symbol" w:hAnsi="Symbol" w:hint="default"/>
      </w:rPr>
    </w:lvl>
    <w:lvl w:ilvl="7" w:tplc="080A0003" w:tentative="1">
      <w:start w:val="1"/>
      <w:numFmt w:val="bullet"/>
      <w:lvlText w:val="o"/>
      <w:lvlJc w:val="left"/>
      <w:pPr>
        <w:ind w:left="6818" w:hanging="360"/>
      </w:pPr>
      <w:rPr>
        <w:rFonts w:ascii="Courier New" w:hAnsi="Courier New" w:cs="Courier New" w:hint="default"/>
      </w:rPr>
    </w:lvl>
    <w:lvl w:ilvl="8" w:tplc="080A0005" w:tentative="1">
      <w:start w:val="1"/>
      <w:numFmt w:val="bullet"/>
      <w:lvlText w:val=""/>
      <w:lvlJc w:val="left"/>
      <w:pPr>
        <w:ind w:left="7538" w:hanging="360"/>
      </w:pPr>
      <w:rPr>
        <w:rFonts w:ascii="Wingdings" w:hAnsi="Wingdings" w:hint="default"/>
      </w:rPr>
    </w:lvl>
  </w:abstractNum>
  <w:abstractNum w:abstractNumId="16" w15:restartNumberingAfterBreak="0">
    <w:nsid w:val="1C272D9A"/>
    <w:multiLevelType w:val="hybridMultilevel"/>
    <w:tmpl w:val="413E3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F9C66D5"/>
    <w:multiLevelType w:val="hybridMultilevel"/>
    <w:tmpl w:val="7FC40F9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3644D5"/>
    <w:multiLevelType w:val="hybridMultilevel"/>
    <w:tmpl w:val="D090C2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2205F33"/>
    <w:multiLevelType w:val="hybridMultilevel"/>
    <w:tmpl w:val="C53AEA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4005AE0"/>
    <w:multiLevelType w:val="hybridMultilevel"/>
    <w:tmpl w:val="B41C13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42315C9"/>
    <w:multiLevelType w:val="hybridMultilevel"/>
    <w:tmpl w:val="1558362A"/>
    <w:lvl w:ilvl="0" w:tplc="F3E8A728">
      <w:start w:val="1"/>
      <w:numFmt w:val="decimal"/>
      <w:lvlText w:val="%1."/>
      <w:lvlJc w:val="left"/>
      <w:pPr>
        <w:tabs>
          <w:tab w:val="num" w:pos="720"/>
        </w:tabs>
        <w:ind w:left="720" w:hanging="360"/>
      </w:pPr>
      <w:rPr>
        <w:rFonts w:hint="default"/>
      </w:rPr>
    </w:lvl>
    <w:lvl w:ilvl="1" w:tplc="080A001B">
      <w:start w:val="1"/>
      <w:numFmt w:val="lowerRoman"/>
      <w:lvlText w:val="%2."/>
      <w:lvlJc w:val="right"/>
      <w:pPr>
        <w:tabs>
          <w:tab w:val="num" w:pos="1440"/>
        </w:tabs>
        <w:ind w:left="1440" w:hanging="360"/>
      </w:pPr>
      <w:rPr>
        <w:rFonts w:hint="default"/>
      </w:rPr>
    </w:lvl>
    <w:lvl w:ilvl="2" w:tplc="16FC0AEE" w:tentative="1">
      <w:start w:val="1"/>
      <w:numFmt w:val="bullet"/>
      <w:lvlText w:val=""/>
      <w:lvlJc w:val="left"/>
      <w:pPr>
        <w:tabs>
          <w:tab w:val="num" w:pos="2160"/>
        </w:tabs>
        <w:ind w:left="2160" w:hanging="360"/>
      </w:pPr>
      <w:rPr>
        <w:rFonts w:ascii="Symbol" w:hAnsi="Symbol" w:hint="default"/>
      </w:rPr>
    </w:lvl>
    <w:lvl w:ilvl="3" w:tplc="9C502DF6" w:tentative="1">
      <w:start w:val="1"/>
      <w:numFmt w:val="bullet"/>
      <w:lvlText w:val=""/>
      <w:lvlJc w:val="left"/>
      <w:pPr>
        <w:tabs>
          <w:tab w:val="num" w:pos="2880"/>
        </w:tabs>
        <w:ind w:left="2880" w:hanging="360"/>
      </w:pPr>
      <w:rPr>
        <w:rFonts w:ascii="Symbol" w:hAnsi="Symbol" w:hint="default"/>
      </w:rPr>
    </w:lvl>
    <w:lvl w:ilvl="4" w:tplc="8624A122" w:tentative="1">
      <w:start w:val="1"/>
      <w:numFmt w:val="bullet"/>
      <w:lvlText w:val=""/>
      <w:lvlJc w:val="left"/>
      <w:pPr>
        <w:tabs>
          <w:tab w:val="num" w:pos="3600"/>
        </w:tabs>
        <w:ind w:left="3600" w:hanging="360"/>
      </w:pPr>
      <w:rPr>
        <w:rFonts w:ascii="Symbol" w:hAnsi="Symbol" w:hint="default"/>
      </w:rPr>
    </w:lvl>
    <w:lvl w:ilvl="5" w:tplc="22CEA03A" w:tentative="1">
      <w:start w:val="1"/>
      <w:numFmt w:val="bullet"/>
      <w:lvlText w:val=""/>
      <w:lvlJc w:val="left"/>
      <w:pPr>
        <w:tabs>
          <w:tab w:val="num" w:pos="4320"/>
        </w:tabs>
        <w:ind w:left="4320" w:hanging="360"/>
      </w:pPr>
      <w:rPr>
        <w:rFonts w:ascii="Symbol" w:hAnsi="Symbol" w:hint="default"/>
      </w:rPr>
    </w:lvl>
    <w:lvl w:ilvl="6" w:tplc="55D6522C" w:tentative="1">
      <w:start w:val="1"/>
      <w:numFmt w:val="bullet"/>
      <w:lvlText w:val=""/>
      <w:lvlJc w:val="left"/>
      <w:pPr>
        <w:tabs>
          <w:tab w:val="num" w:pos="5040"/>
        </w:tabs>
        <w:ind w:left="5040" w:hanging="360"/>
      </w:pPr>
      <w:rPr>
        <w:rFonts w:ascii="Symbol" w:hAnsi="Symbol" w:hint="default"/>
      </w:rPr>
    </w:lvl>
    <w:lvl w:ilvl="7" w:tplc="F8D6E00A" w:tentative="1">
      <w:start w:val="1"/>
      <w:numFmt w:val="bullet"/>
      <w:lvlText w:val=""/>
      <w:lvlJc w:val="left"/>
      <w:pPr>
        <w:tabs>
          <w:tab w:val="num" w:pos="5760"/>
        </w:tabs>
        <w:ind w:left="5760" w:hanging="360"/>
      </w:pPr>
      <w:rPr>
        <w:rFonts w:ascii="Symbol" w:hAnsi="Symbol" w:hint="default"/>
      </w:rPr>
    </w:lvl>
    <w:lvl w:ilvl="8" w:tplc="7F72B1DC"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277445A7"/>
    <w:multiLevelType w:val="hybridMultilevel"/>
    <w:tmpl w:val="9E6C17F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79F4A2E"/>
    <w:multiLevelType w:val="hybridMultilevel"/>
    <w:tmpl w:val="20105CF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AEF4A43"/>
    <w:multiLevelType w:val="hybridMultilevel"/>
    <w:tmpl w:val="3FA4E2D0"/>
    <w:lvl w:ilvl="0" w:tplc="AD122B60">
      <w:start w:val="3"/>
      <w:numFmt w:val="bullet"/>
      <w:lvlText w:val="-"/>
      <w:lvlJc w:val="left"/>
      <w:pPr>
        <w:ind w:left="72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9355B3"/>
    <w:multiLevelType w:val="multilevel"/>
    <w:tmpl w:val="D172A8F8"/>
    <w:lvl w:ilvl="0">
      <w:start w:val="1"/>
      <w:numFmt w:val="upperRoman"/>
      <w:lvlText w:val="%1."/>
      <w:lvlJc w:val="righ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F8E160F"/>
    <w:multiLevelType w:val="hybridMultilevel"/>
    <w:tmpl w:val="096E0814"/>
    <w:lvl w:ilvl="0" w:tplc="A934C2A0">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16FC0AEE" w:tentative="1">
      <w:start w:val="1"/>
      <w:numFmt w:val="bullet"/>
      <w:lvlText w:val=""/>
      <w:lvlJc w:val="left"/>
      <w:pPr>
        <w:tabs>
          <w:tab w:val="num" w:pos="2160"/>
        </w:tabs>
        <w:ind w:left="2160" w:hanging="360"/>
      </w:pPr>
      <w:rPr>
        <w:rFonts w:ascii="Symbol" w:hAnsi="Symbol" w:hint="default"/>
      </w:rPr>
    </w:lvl>
    <w:lvl w:ilvl="3" w:tplc="9C502DF6" w:tentative="1">
      <w:start w:val="1"/>
      <w:numFmt w:val="bullet"/>
      <w:lvlText w:val=""/>
      <w:lvlJc w:val="left"/>
      <w:pPr>
        <w:tabs>
          <w:tab w:val="num" w:pos="2880"/>
        </w:tabs>
        <w:ind w:left="2880" w:hanging="360"/>
      </w:pPr>
      <w:rPr>
        <w:rFonts w:ascii="Symbol" w:hAnsi="Symbol" w:hint="default"/>
      </w:rPr>
    </w:lvl>
    <w:lvl w:ilvl="4" w:tplc="8624A122" w:tentative="1">
      <w:start w:val="1"/>
      <w:numFmt w:val="bullet"/>
      <w:lvlText w:val=""/>
      <w:lvlJc w:val="left"/>
      <w:pPr>
        <w:tabs>
          <w:tab w:val="num" w:pos="3600"/>
        </w:tabs>
        <w:ind w:left="3600" w:hanging="360"/>
      </w:pPr>
      <w:rPr>
        <w:rFonts w:ascii="Symbol" w:hAnsi="Symbol" w:hint="default"/>
      </w:rPr>
    </w:lvl>
    <w:lvl w:ilvl="5" w:tplc="22CEA03A" w:tentative="1">
      <w:start w:val="1"/>
      <w:numFmt w:val="bullet"/>
      <w:lvlText w:val=""/>
      <w:lvlJc w:val="left"/>
      <w:pPr>
        <w:tabs>
          <w:tab w:val="num" w:pos="4320"/>
        </w:tabs>
        <w:ind w:left="4320" w:hanging="360"/>
      </w:pPr>
      <w:rPr>
        <w:rFonts w:ascii="Symbol" w:hAnsi="Symbol" w:hint="default"/>
      </w:rPr>
    </w:lvl>
    <w:lvl w:ilvl="6" w:tplc="55D6522C" w:tentative="1">
      <w:start w:val="1"/>
      <w:numFmt w:val="bullet"/>
      <w:lvlText w:val=""/>
      <w:lvlJc w:val="left"/>
      <w:pPr>
        <w:tabs>
          <w:tab w:val="num" w:pos="5040"/>
        </w:tabs>
        <w:ind w:left="5040" w:hanging="360"/>
      </w:pPr>
      <w:rPr>
        <w:rFonts w:ascii="Symbol" w:hAnsi="Symbol" w:hint="default"/>
      </w:rPr>
    </w:lvl>
    <w:lvl w:ilvl="7" w:tplc="F8D6E00A" w:tentative="1">
      <w:start w:val="1"/>
      <w:numFmt w:val="bullet"/>
      <w:lvlText w:val=""/>
      <w:lvlJc w:val="left"/>
      <w:pPr>
        <w:tabs>
          <w:tab w:val="num" w:pos="5760"/>
        </w:tabs>
        <w:ind w:left="5760" w:hanging="360"/>
      </w:pPr>
      <w:rPr>
        <w:rFonts w:ascii="Symbol" w:hAnsi="Symbol" w:hint="default"/>
      </w:rPr>
    </w:lvl>
    <w:lvl w:ilvl="8" w:tplc="7F72B1DC"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2FC7236C"/>
    <w:multiLevelType w:val="hybridMultilevel"/>
    <w:tmpl w:val="20105CF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359B4991"/>
    <w:multiLevelType w:val="multilevel"/>
    <w:tmpl w:val="5B7AD6B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386"/>
        </w:tabs>
        <w:ind w:left="1386" w:hanging="1296"/>
      </w:pPr>
      <w:rPr>
        <w:b w:val="0"/>
        <w:lang w:val="es-E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9" w15:restartNumberingAfterBreak="0">
    <w:nsid w:val="3C293ACE"/>
    <w:multiLevelType w:val="hybridMultilevel"/>
    <w:tmpl w:val="7B68BAAE"/>
    <w:lvl w:ilvl="0" w:tplc="004A8EC2">
      <w:start w:val="1"/>
      <w:numFmt w:val="lowerLetter"/>
      <w:lvlText w:val="%1)"/>
      <w:lvlJc w:val="left"/>
      <w:pPr>
        <w:ind w:left="360" w:hanging="360"/>
      </w:pPr>
      <w:rPr>
        <w:sz w:val="20"/>
      </w:rPr>
    </w:lvl>
    <w:lvl w:ilvl="1" w:tplc="080A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D7A315D"/>
    <w:multiLevelType w:val="hybridMultilevel"/>
    <w:tmpl w:val="84FC1C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40CD4660"/>
    <w:multiLevelType w:val="hybridMultilevel"/>
    <w:tmpl w:val="56903B1E"/>
    <w:lvl w:ilvl="0" w:tplc="64160D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535A34"/>
    <w:multiLevelType w:val="hybridMultilevel"/>
    <w:tmpl w:val="7756B56A"/>
    <w:lvl w:ilvl="0" w:tplc="004A8EC2">
      <w:start w:val="1"/>
      <w:numFmt w:val="lowerLetter"/>
      <w:lvlText w:val="%1)"/>
      <w:lvlJc w:val="left"/>
      <w:pPr>
        <w:ind w:left="360" w:hanging="360"/>
      </w:pPr>
      <w:rPr>
        <w:sz w:val="20"/>
      </w:rPr>
    </w:lvl>
    <w:lvl w:ilvl="1" w:tplc="080A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463F2A97"/>
    <w:multiLevelType w:val="hybridMultilevel"/>
    <w:tmpl w:val="5BEE2D3C"/>
    <w:lvl w:ilvl="0" w:tplc="DD48A918">
      <w:start w:val="1"/>
      <w:numFmt w:val="lowerRoman"/>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34" w15:restartNumberingAfterBreak="0">
    <w:nsid w:val="48F94D9C"/>
    <w:multiLevelType w:val="hybridMultilevel"/>
    <w:tmpl w:val="53AED1C6"/>
    <w:lvl w:ilvl="0" w:tplc="84D43E50">
      <w:start w:val="1"/>
      <w:numFmt w:val="bullet"/>
      <w:lvlText w:val="•"/>
      <w:lvlJc w:val="left"/>
      <w:pPr>
        <w:ind w:left="720" w:hanging="360"/>
      </w:pPr>
      <w:rPr>
        <w:rFonts w:ascii="Times New Roman" w:hAnsi="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1305718"/>
    <w:multiLevelType w:val="hybridMultilevel"/>
    <w:tmpl w:val="F15AABE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A3D2DFB"/>
    <w:multiLevelType w:val="hybridMultilevel"/>
    <w:tmpl w:val="64F6924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3004B95"/>
    <w:multiLevelType w:val="hybridMultilevel"/>
    <w:tmpl w:val="B3E8491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6FC0AEE" w:tentative="1">
      <w:start w:val="1"/>
      <w:numFmt w:val="bullet"/>
      <w:lvlText w:val=""/>
      <w:lvlJc w:val="left"/>
      <w:pPr>
        <w:tabs>
          <w:tab w:val="num" w:pos="2160"/>
        </w:tabs>
        <w:ind w:left="2160" w:hanging="360"/>
      </w:pPr>
      <w:rPr>
        <w:rFonts w:ascii="Symbol" w:hAnsi="Symbol" w:hint="default"/>
      </w:rPr>
    </w:lvl>
    <w:lvl w:ilvl="3" w:tplc="9C502DF6" w:tentative="1">
      <w:start w:val="1"/>
      <w:numFmt w:val="bullet"/>
      <w:lvlText w:val=""/>
      <w:lvlJc w:val="left"/>
      <w:pPr>
        <w:tabs>
          <w:tab w:val="num" w:pos="2880"/>
        </w:tabs>
        <w:ind w:left="2880" w:hanging="360"/>
      </w:pPr>
      <w:rPr>
        <w:rFonts w:ascii="Symbol" w:hAnsi="Symbol" w:hint="default"/>
      </w:rPr>
    </w:lvl>
    <w:lvl w:ilvl="4" w:tplc="8624A122" w:tentative="1">
      <w:start w:val="1"/>
      <w:numFmt w:val="bullet"/>
      <w:lvlText w:val=""/>
      <w:lvlJc w:val="left"/>
      <w:pPr>
        <w:tabs>
          <w:tab w:val="num" w:pos="3600"/>
        </w:tabs>
        <w:ind w:left="3600" w:hanging="360"/>
      </w:pPr>
      <w:rPr>
        <w:rFonts w:ascii="Symbol" w:hAnsi="Symbol" w:hint="default"/>
      </w:rPr>
    </w:lvl>
    <w:lvl w:ilvl="5" w:tplc="22CEA03A" w:tentative="1">
      <w:start w:val="1"/>
      <w:numFmt w:val="bullet"/>
      <w:lvlText w:val=""/>
      <w:lvlJc w:val="left"/>
      <w:pPr>
        <w:tabs>
          <w:tab w:val="num" w:pos="4320"/>
        </w:tabs>
        <w:ind w:left="4320" w:hanging="360"/>
      </w:pPr>
      <w:rPr>
        <w:rFonts w:ascii="Symbol" w:hAnsi="Symbol" w:hint="default"/>
      </w:rPr>
    </w:lvl>
    <w:lvl w:ilvl="6" w:tplc="55D6522C" w:tentative="1">
      <w:start w:val="1"/>
      <w:numFmt w:val="bullet"/>
      <w:lvlText w:val=""/>
      <w:lvlJc w:val="left"/>
      <w:pPr>
        <w:tabs>
          <w:tab w:val="num" w:pos="5040"/>
        </w:tabs>
        <w:ind w:left="5040" w:hanging="360"/>
      </w:pPr>
      <w:rPr>
        <w:rFonts w:ascii="Symbol" w:hAnsi="Symbol" w:hint="default"/>
      </w:rPr>
    </w:lvl>
    <w:lvl w:ilvl="7" w:tplc="F8D6E00A" w:tentative="1">
      <w:start w:val="1"/>
      <w:numFmt w:val="bullet"/>
      <w:lvlText w:val=""/>
      <w:lvlJc w:val="left"/>
      <w:pPr>
        <w:tabs>
          <w:tab w:val="num" w:pos="5760"/>
        </w:tabs>
        <w:ind w:left="5760" w:hanging="360"/>
      </w:pPr>
      <w:rPr>
        <w:rFonts w:ascii="Symbol" w:hAnsi="Symbol" w:hint="default"/>
      </w:rPr>
    </w:lvl>
    <w:lvl w:ilvl="8" w:tplc="7F72B1DC"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631432C2"/>
    <w:multiLevelType w:val="hybridMultilevel"/>
    <w:tmpl w:val="E6669CC2"/>
    <w:lvl w:ilvl="0" w:tplc="84D43E50">
      <w:start w:val="1"/>
      <w:numFmt w:val="bullet"/>
      <w:lvlText w:val="•"/>
      <w:lvlJc w:val="left"/>
      <w:pPr>
        <w:ind w:left="720" w:hanging="360"/>
      </w:pPr>
      <w:rPr>
        <w:rFonts w:ascii="Times New Roman" w:hAnsi="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3C65F78"/>
    <w:multiLevelType w:val="multilevel"/>
    <w:tmpl w:val="D172A8F8"/>
    <w:lvl w:ilvl="0">
      <w:start w:val="1"/>
      <w:numFmt w:val="upperRoman"/>
      <w:lvlText w:val="%1."/>
      <w:lvlJc w:val="right"/>
      <w:pPr>
        <w:ind w:left="360" w:hanging="360"/>
      </w:pPr>
    </w:lvl>
    <w:lvl w:ilvl="1">
      <w:start w:val="1"/>
      <w:numFmt w:val="decimal"/>
      <w:lvlText w:val="%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B3642CB"/>
    <w:multiLevelType w:val="hybridMultilevel"/>
    <w:tmpl w:val="2E12C4A6"/>
    <w:lvl w:ilvl="0" w:tplc="AD122B60">
      <w:start w:val="3"/>
      <w:numFmt w:val="bullet"/>
      <w:lvlText w:val="-"/>
      <w:lvlJc w:val="left"/>
      <w:pPr>
        <w:ind w:left="72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B22F47"/>
    <w:multiLevelType w:val="hybridMultilevel"/>
    <w:tmpl w:val="9DB6F064"/>
    <w:lvl w:ilvl="0" w:tplc="DD48A918">
      <w:start w:val="1"/>
      <w:numFmt w:val="lowerRoman"/>
      <w:lvlText w:val="(%1)"/>
      <w:lvlJc w:val="left"/>
      <w:pPr>
        <w:ind w:left="360" w:hanging="360"/>
      </w:pPr>
      <w:rPr>
        <w:rFonts w:hint="default"/>
        <w:sz w:val="20"/>
      </w:rPr>
    </w:lvl>
    <w:lvl w:ilvl="1" w:tplc="080A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46B6FB7"/>
    <w:multiLevelType w:val="multilevel"/>
    <w:tmpl w:val="A326533A"/>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3554"/>
        </w:tabs>
        <w:ind w:left="3554" w:hanging="576"/>
      </w:pPr>
      <w:rPr>
        <w:rFonts w:asciiTheme="minorHAnsi" w:hAnsiTheme="minorHAnsi" w:cstheme="minorHAnsi" w:hint="default"/>
        <w:lang w:val="es-MX"/>
      </w:rPr>
    </w:lvl>
    <w:lvl w:ilvl="2">
      <w:start w:val="1"/>
      <w:numFmt w:val="decimal"/>
      <w:pStyle w:val="Heading3"/>
      <w:lvlText w:val="%1.%2.%3"/>
      <w:lvlJc w:val="left"/>
      <w:pPr>
        <w:tabs>
          <w:tab w:val="num" w:pos="5682"/>
        </w:tabs>
        <w:ind w:left="5682" w:hanging="720"/>
      </w:pPr>
      <w:rPr>
        <w:rFonts w:hint="default"/>
        <w:sz w:val="22"/>
      </w:rPr>
    </w:lvl>
    <w:lvl w:ilvl="3">
      <w:start w:val="1"/>
      <w:numFmt w:val="decimal"/>
      <w:pStyle w:val="Heading4"/>
      <w:lvlText w:val="%1.%2.%3.%4"/>
      <w:lvlJc w:val="left"/>
      <w:pPr>
        <w:tabs>
          <w:tab w:val="num" w:pos="1290"/>
        </w:tabs>
        <w:ind w:left="1290" w:hanging="864"/>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79115EB3"/>
    <w:multiLevelType w:val="hybridMultilevel"/>
    <w:tmpl w:val="17C06DE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B1064F6"/>
    <w:multiLevelType w:val="hybridMultilevel"/>
    <w:tmpl w:val="F162C67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610A68"/>
    <w:multiLevelType w:val="hybridMultilevel"/>
    <w:tmpl w:val="D51E75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9"/>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17"/>
  </w:num>
  <w:num w:numId="6">
    <w:abstractNumId w:val="8"/>
  </w:num>
  <w:num w:numId="7">
    <w:abstractNumId w:val="12"/>
  </w:num>
  <w:num w:numId="8">
    <w:abstractNumId w:val="4"/>
  </w:num>
  <w:num w:numId="9">
    <w:abstractNumId w:val="26"/>
  </w:num>
  <w:num w:numId="10">
    <w:abstractNumId w:val="41"/>
  </w:num>
  <w:num w:numId="11">
    <w:abstractNumId w:val="0"/>
    <w:lvlOverride w:ilvl="0">
      <w:lvl w:ilvl="0">
        <w:start w:val="1"/>
        <w:numFmt w:val="bullet"/>
        <w:lvlText w:val=""/>
        <w:legacy w:legacy="1" w:legacySpace="0" w:legacyIndent="283"/>
        <w:lvlJc w:val="left"/>
        <w:pPr>
          <w:ind w:left="1701" w:hanging="283"/>
        </w:pPr>
        <w:rPr>
          <w:rFonts w:ascii="Symbol" w:hAnsi="Symbol" w:cs="Times New Roman" w:hint="default"/>
        </w:rPr>
      </w:lvl>
    </w:lvlOverride>
  </w:num>
  <w:num w:numId="12">
    <w:abstractNumId w:val="15"/>
  </w:num>
  <w:num w:numId="13">
    <w:abstractNumId w:val="16"/>
  </w:num>
  <w:num w:numId="14">
    <w:abstractNumId w:val="13"/>
  </w:num>
  <w:num w:numId="15">
    <w:abstractNumId w:val="14"/>
  </w:num>
  <w:num w:numId="16">
    <w:abstractNumId w:val="42"/>
  </w:num>
  <w:num w:numId="17">
    <w:abstractNumId w:val="34"/>
  </w:num>
  <w:num w:numId="18">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38"/>
  </w:num>
  <w:num w:numId="21">
    <w:abstractNumId w:val="3"/>
  </w:num>
  <w:num w:numId="22">
    <w:abstractNumId w:val="5"/>
  </w:num>
  <w:num w:numId="23">
    <w:abstractNumId w:val="44"/>
  </w:num>
  <w:num w:numId="24">
    <w:abstractNumId w:val="30"/>
  </w:num>
  <w:num w:numId="25">
    <w:abstractNumId w:val="20"/>
  </w:num>
  <w:num w:numId="26">
    <w:abstractNumId w:val="35"/>
  </w:num>
  <w:num w:numId="27">
    <w:abstractNumId w:val="36"/>
  </w:num>
  <w:num w:numId="28">
    <w:abstractNumId w:val="22"/>
  </w:num>
  <w:num w:numId="29">
    <w:abstractNumId w:val="45"/>
  </w:num>
  <w:num w:numId="30">
    <w:abstractNumId w:val="9"/>
  </w:num>
  <w:num w:numId="31">
    <w:abstractNumId w:val="27"/>
  </w:num>
  <w:num w:numId="32">
    <w:abstractNumId w:val="23"/>
  </w:num>
  <w:num w:numId="33">
    <w:abstractNumId w:val="19"/>
  </w:num>
  <w:num w:numId="34">
    <w:abstractNumId w:val="21"/>
  </w:num>
  <w:num w:numId="35">
    <w:abstractNumId w:val="37"/>
  </w:num>
  <w:num w:numId="36">
    <w:abstractNumId w:val="31"/>
  </w:num>
  <w:num w:numId="37">
    <w:abstractNumId w:val="25"/>
  </w:num>
  <w:num w:numId="38">
    <w:abstractNumId w:val="24"/>
  </w:num>
  <w:num w:numId="39">
    <w:abstractNumId w:val="2"/>
  </w:num>
  <w:num w:numId="40">
    <w:abstractNumId w:val="40"/>
  </w:num>
  <w:num w:numId="41">
    <w:abstractNumId w:val="11"/>
  </w:num>
  <w:num w:numId="42">
    <w:abstractNumId w:val="28"/>
  </w:num>
  <w:num w:numId="43">
    <w:abstractNumId w:val="33"/>
  </w:num>
  <w:num w:numId="44">
    <w:abstractNumId w:val="7"/>
  </w:num>
  <w:num w:numId="45">
    <w:abstractNumId w:val="29"/>
  </w:num>
  <w:num w:numId="46">
    <w:abstractNumId w:val="32"/>
  </w:num>
  <w:num w:numId="47">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n-US" w:vendorID="64" w:dllVersion="6" w:nlCheck="1" w:checkStyle="1"/>
  <w:activeWritingStyle w:appName="MSWord" w:lang="es-MX"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s-AR" w:vendorID="64" w:dllVersion="6" w:nlCheck="1" w:checkStyle="1"/>
  <w:activeWritingStyle w:appName="MSWord" w:lang="es-PA" w:vendorID="64" w:dllVersion="6" w:nlCheck="1" w:checkStyle="1"/>
  <w:activeWritingStyle w:appName="MSWord" w:lang="fr-FR" w:vendorID="64" w:dllVersion="6" w:nlCheck="1" w:checkStyle="1"/>
  <w:activeWritingStyle w:appName="MSWord" w:lang="es-ES" w:vendorID="64" w:dllVersion="0" w:nlCheck="1" w:checkStyle="0"/>
  <w:activeWritingStyle w:appName="MSWord" w:lang="fr-FR" w:vendorID="64" w:dllVersion="0" w:nlCheck="1" w:checkStyle="0"/>
  <w:activeWritingStyle w:appName="MSWord" w:lang="es-AR" w:vendorID="64" w:dllVersion="0" w:nlCheck="1" w:checkStyle="0"/>
  <w:activeWritingStyle w:appName="MSWord" w:lang="es-PA"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84"/>
    <w:rsid w:val="00005099"/>
    <w:rsid w:val="00007826"/>
    <w:rsid w:val="00007BF2"/>
    <w:rsid w:val="00021995"/>
    <w:rsid w:val="0002354D"/>
    <w:rsid w:val="0003008A"/>
    <w:rsid w:val="00037C4B"/>
    <w:rsid w:val="00041E73"/>
    <w:rsid w:val="00046970"/>
    <w:rsid w:val="0005085E"/>
    <w:rsid w:val="00053E8F"/>
    <w:rsid w:val="000557F5"/>
    <w:rsid w:val="00061314"/>
    <w:rsid w:val="00065207"/>
    <w:rsid w:val="000655CB"/>
    <w:rsid w:val="00090658"/>
    <w:rsid w:val="000911D2"/>
    <w:rsid w:val="000938E5"/>
    <w:rsid w:val="00095E0B"/>
    <w:rsid w:val="000A0AC5"/>
    <w:rsid w:val="000A2F8D"/>
    <w:rsid w:val="000A73D5"/>
    <w:rsid w:val="000D1A00"/>
    <w:rsid w:val="000E6620"/>
    <w:rsid w:val="00113703"/>
    <w:rsid w:val="00123459"/>
    <w:rsid w:val="00123CA3"/>
    <w:rsid w:val="00124DEF"/>
    <w:rsid w:val="00132503"/>
    <w:rsid w:val="001325FF"/>
    <w:rsid w:val="001433FE"/>
    <w:rsid w:val="0014768D"/>
    <w:rsid w:val="00153286"/>
    <w:rsid w:val="00156C0B"/>
    <w:rsid w:val="00157FC6"/>
    <w:rsid w:val="00162C6A"/>
    <w:rsid w:val="0016308D"/>
    <w:rsid w:val="00167F42"/>
    <w:rsid w:val="00175109"/>
    <w:rsid w:val="00184E43"/>
    <w:rsid w:val="001911C5"/>
    <w:rsid w:val="00195E08"/>
    <w:rsid w:val="001964C8"/>
    <w:rsid w:val="001A0EC3"/>
    <w:rsid w:val="001A36E6"/>
    <w:rsid w:val="001A5F3A"/>
    <w:rsid w:val="001B23F3"/>
    <w:rsid w:val="001B7E52"/>
    <w:rsid w:val="001C6C0D"/>
    <w:rsid w:val="001D3E62"/>
    <w:rsid w:val="001E246C"/>
    <w:rsid w:val="001E308E"/>
    <w:rsid w:val="002010D3"/>
    <w:rsid w:val="00205947"/>
    <w:rsid w:val="00207CA9"/>
    <w:rsid w:val="002328A2"/>
    <w:rsid w:val="0023562A"/>
    <w:rsid w:val="00244F9C"/>
    <w:rsid w:val="00251D98"/>
    <w:rsid w:val="00256306"/>
    <w:rsid w:val="002737AE"/>
    <w:rsid w:val="00274144"/>
    <w:rsid w:val="00285C74"/>
    <w:rsid w:val="002B3045"/>
    <w:rsid w:val="002C1A62"/>
    <w:rsid w:val="002C7072"/>
    <w:rsid w:val="002D1A06"/>
    <w:rsid w:val="002F0AA1"/>
    <w:rsid w:val="002F2F6B"/>
    <w:rsid w:val="003026AC"/>
    <w:rsid w:val="00305E4F"/>
    <w:rsid w:val="00326F16"/>
    <w:rsid w:val="003277B0"/>
    <w:rsid w:val="00330A73"/>
    <w:rsid w:val="003315EB"/>
    <w:rsid w:val="00344FDD"/>
    <w:rsid w:val="00356806"/>
    <w:rsid w:val="003569FF"/>
    <w:rsid w:val="0036012F"/>
    <w:rsid w:val="003656CD"/>
    <w:rsid w:val="00365DA3"/>
    <w:rsid w:val="00372FCE"/>
    <w:rsid w:val="00383723"/>
    <w:rsid w:val="00393993"/>
    <w:rsid w:val="003966E4"/>
    <w:rsid w:val="003A47C5"/>
    <w:rsid w:val="003A7B78"/>
    <w:rsid w:val="003B321E"/>
    <w:rsid w:val="003C6265"/>
    <w:rsid w:val="003D46F8"/>
    <w:rsid w:val="003E1BE5"/>
    <w:rsid w:val="003E1F03"/>
    <w:rsid w:val="003E3B4B"/>
    <w:rsid w:val="003E7559"/>
    <w:rsid w:val="003F247F"/>
    <w:rsid w:val="00410EE5"/>
    <w:rsid w:val="00411870"/>
    <w:rsid w:val="0041187C"/>
    <w:rsid w:val="004145F8"/>
    <w:rsid w:val="00424749"/>
    <w:rsid w:val="00427E75"/>
    <w:rsid w:val="0043761E"/>
    <w:rsid w:val="00443CAD"/>
    <w:rsid w:val="00444515"/>
    <w:rsid w:val="00450A9B"/>
    <w:rsid w:val="00452638"/>
    <w:rsid w:val="00471D7E"/>
    <w:rsid w:val="004754D7"/>
    <w:rsid w:val="00476A5D"/>
    <w:rsid w:val="00480BC8"/>
    <w:rsid w:val="004830B1"/>
    <w:rsid w:val="00483B46"/>
    <w:rsid w:val="004857A2"/>
    <w:rsid w:val="00486693"/>
    <w:rsid w:val="004A1C75"/>
    <w:rsid w:val="004B5B75"/>
    <w:rsid w:val="004E2C42"/>
    <w:rsid w:val="00523905"/>
    <w:rsid w:val="00523ADA"/>
    <w:rsid w:val="005247CD"/>
    <w:rsid w:val="00526843"/>
    <w:rsid w:val="00531962"/>
    <w:rsid w:val="0053272C"/>
    <w:rsid w:val="005555B0"/>
    <w:rsid w:val="0055579C"/>
    <w:rsid w:val="005617B2"/>
    <w:rsid w:val="00575C51"/>
    <w:rsid w:val="00575D38"/>
    <w:rsid w:val="005842A7"/>
    <w:rsid w:val="00585978"/>
    <w:rsid w:val="005913C4"/>
    <w:rsid w:val="00591777"/>
    <w:rsid w:val="0059368F"/>
    <w:rsid w:val="005953D0"/>
    <w:rsid w:val="005972FF"/>
    <w:rsid w:val="005A1F5F"/>
    <w:rsid w:val="005A272A"/>
    <w:rsid w:val="005C1EBB"/>
    <w:rsid w:val="005E7722"/>
    <w:rsid w:val="006105F2"/>
    <w:rsid w:val="00615112"/>
    <w:rsid w:val="00625015"/>
    <w:rsid w:val="00626D60"/>
    <w:rsid w:val="00635C92"/>
    <w:rsid w:val="006462FB"/>
    <w:rsid w:val="00651A61"/>
    <w:rsid w:val="0066187B"/>
    <w:rsid w:val="006661FD"/>
    <w:rsid w:val="00667EC9"/>
    <w:rsid w:val="0069150A"/>
    <w:rsid w:val="006923BA"/>
    <w:rsid w:val="00693BBD"/>
    <w:rsid w:val="0069679D"/>
    <w:rsid w:val="006A2CD4"/>
    <w:rsid w:val="006B0575"/>
    <w:rsid w:val="006B3B4B"/>
    <w:rsid w:val="006D08FE"/>
    <w:rsid w:val="006D5F7C"/>
    <w:rsid w:val="006D7CFC"/>
    <w:rsid w:val="006E4D7A"/>
    <w:rsid w:val="006E5213"/>
    <w:rsid w:val="006E62D9"/>
    <w:rsid w:val="006F3699"/>
    <w:rsid w:val="006F680F"/>
    <w:rsid w:val="00701159"/>
    <w:rsid w:val="007019B1"/>
    <w:rsid w:val="00706759"/>
    <w:rsid w:val="007164C9"/>
    <w:rsid w:val="00720579"/>
    <w:rsid w:val="007233B4"/>
    <w:rsid w:val="00724517"/>
    <w:rsid w:val="00733086"/>
    <w:rsid w:val="00734CD4"/>
    <w:rsid w:val="0073651C"/>
    <w:rsid w:val="00747AD6"/>
    <w:rsid w:val="00751BAE"/>
    <w:rsid w:val="00753FF3"/>
    <w:rsid w:val="007566ED"/>
    <w:rsid w:val="00775F58"/>
    <w:rsid w:val="007806EB"/>
    <w:rsid w:val="0078388A"/>
    <w:rsid w:val="00787779"/>
    <w:rsid w:val="00787A46"/>
    <w:rsid w:val="00794D3E"/>
    <w:rsid w:val="00794D5E"/>
    <w:rsid w:val="00795C8B"/>
    <w:rsid w:val="007971BE"/>
    <w:rsid w:val="007A49F6"/>
    <w:rsid w:val="007A557F"/>
    <w:rsid w:val="007B368D"/>
    <w:rsid w:val="007B59E8"/>
    <w:rsid w:val="007B6FE2"/>
    <w:rsid w:val="007C6AA2"/>
    <w:rsid w:val="007E4C1C"/>
    <w:rsid w:val="007F0F59"/>
    <w:rsid w:val="007F3BFB"/>
    <w:rsid w:val="007F66C2"/>
    <w:rsid w:val="00801E0E"/>
    <w:rsid w:val="00803664"/>
    <w:rsid w:val="00805905"/>
    <w:rsid w:val="00813750"/>
    <w:rsid w:val="00830D37"/>
    <w:rsid w:val="00831B0D"/>
    <w:rsid w:val="00860D70"/>
    <w:rsid w:val="008644F0"/>
    <w:rsid w:val="00864F4E"/>
    <w:rsid w:val="00865D9D"/>
    <w:rsid w:val="00873667"/>
    <w:rsid w:val="008812F3"/>
    <w:rsid w:val="008855AE"/>
    <w:rsid w:val="0089302A"/>
    <w:rsid w:val="00894440"/>
    <w:rsid w:val="008A1676"/>
    <w:rsid w:val="008B6E29"/>
    <w:rsid w:val="008C01B8"/>
    <w:rsid w:val="008C05BD"/>
    <w:rsid w:val="008C0F0B"/>
    <w:rsid w:val="008D04C7"/>
    <w:rsid w:val="008D4610"/>
    <w:rsid w:val="008D7327"/>
    <w:rsid w:val="008E0641"/>
    <w:rsid w:val="008E64E9"/>
    <w:rsid w:val="008F0C26"/>
    <w:rsid w:val="008F34E7"/>
    <w:rsid w:val="008F3E3E"/>
    <w:rsid w:val="00906B0C"/>
    <w:rsid w:val="00917FA9"/>
    <w:rsid w:val="00923E25"/>
    <w:rsid w:val="00925826"/>
    <w:rsid w:val="00940B51"/>
    <w:rsid w:val="00946F77"/>
    <w:rsid w:val="00956448"/>
    <w:rsid w:val="00956E39"/>
    <w:rsid w:val="0096273E"/>
    <w:rsid w:val="00967D6F"/>
    <w:rsid w:val="0097663D"/>
    <w:rsid w:val="00980E27"/>
    <w:rsid w:val="00983D30"/>
    <w:rsid w:val="00991320"/>
    <w:rsid w:val="0099375A"/>
    <w:rsid w:val="0099381E"/>
    <w:rsid w:val="0099591D"/>
    <w:rsid w:val="009A2C32"/>
    <w:rsid w:val="009A3D94"/>
    <w:rsid w:val="009A43F6"/>
    <w:rsid w:val="009A7175"/>
    <w:rsid w:val="009B1875"/>
    <w:rsid w:val="009B70B3"/>
    <w:rsid w:val="009C025D"/>
    <w:rsid w:val="009C20AE"/>
    <w:rsid w:val="009C2269"/>
    <w:rsid w:val="009D0FAB"/>
    <w:rsid w:val="009D45A1"/>
    <w:rsid w:val="009D7B92"/>
    <w:rsid w:val="009F20C7"/>
    <w:rsid w:val="009F62CD"/>
    <w:rsid w:val="009F65D4"/>
    <w:rsid w:val="00A019EA"/>
    <w:rsid w:val="00A03C11"/>
    <w:rsid w:val="00A11680"/>
    <w:rsid w:val="00A12BB6"/>
    <w:rsid w:val="00A23348"/>
    <w:rsid w:val="00A25378"/>
    <w:rsid w:val="00A27784"/>
    <w:rsid w:val="00A3604F"/>
    <w:rsid w:val="00A40D40"/>
    <w:rsid w:val="00A66D06"/>
    <w:rsid w:val="00A732EA"/>
    <w:rsid w:val="00AA46FA"/>
    <w:rsid w:val="00AA491F"/>
    <w:rsid w:val="00AA59E8"/>
    <w:rsid w:val="00AA79B6"/>
    <w:rsid w:val="00AB78B4"/>
    <w:rsid w:val="00AF04BC"/>
    <w:rsid w:val="00AF604E"/>
    <w:rsid w:val="00AF7A41"/>
    <w:rsid w:val="00B053D8"/>
    <w:rsid w:val="00B25439"/>
    <w:rsid w:val="00B47990"/>
    <w:rsid w:val="00B53C54"/>
    <w:rsid w:val="00B62463"/>
    <w:rsid w:val="00B63777"/>
    <w:rsid w:val="00B65F68"/>
    <w:rsid w:val="00B74B2F"/>
    <w:rsid w:val="00B82028"/>
    <w:rsid w:val="00B8206F"/>
    <w:rsid w:val="00B90018"/>
    <w:rsid w:val="00B93005"/>
    <w:rsid w:val="00B9335F"/>
    <w:rsid w:val="00B937E9"/>
    <w:rsid w:val="00BA2001"/>
    <w:rsid w:val="00BA3F67"/>
    <w:rsid w:val="00BB14B0"/>
    <w:rsid w:val="00BB43FB"/>
    <w:rsid w:val="00BD674E"/>
    <w:rsid w:val="00BD70C8"/>
    <w:rsid w:val="00BE1FDB"/>
    <w:rsid w:val="00BE638A"/>
    <w:rsid w:val="00BE6D0C"/>
    <w:rsid w:val="00BE7D07"/>
    <w:rsid w:val="00BF6B4B"/>
    <w:rsid w:val="00BF6F83"/>
    <w:rsid w:val="00C005E5"/>
    <w:rsid w:val="00C07F75"/>
    <w:rsid w:val="00C1621D"/>
    <w:rsid w:val="00C367F8"/>
    <w:rsid w:val="00C41CB0"/>
    <w:rsid w:val="00C44F96"/>
    <w:rsid w:val="00C50BF4"/>
    <w:rsid w:val="00C544D4"/>
    <w:rsid w:val="00C662EF"/>
    <w:rsid w:val="00C663B9"/>
    <w:rsid w:val="00C71127"/>
    <w:rsid w:val="00C76435"/>
    <w:rsid w:val="00C76FD1"/>
    <w:rsid w:val="00C823AF"/>
    <w:rsid w:val="00C837F1"/>
    <w:rsid w:val="00C85466"/>
    <w:rsid w:val="00C87851"/>
    <w:rsid w:val="00C91349"/>
    <w:rsid w:val="00C91A29"/>
    <w:rsid w:val="00C94D3E"/>
    <w:rsid w:val="00C963EC"/>
    <w:rsid w:val="00C97662"/>
    <w:rsid w:val="00CA2D0D"/>
    <w:rsid w:val="00CA4B9C"/>
    <w:rsid w:val="00CA752A"/>
    <w:rsid w:val="00CA7921"/>
    <w:rsid w:val="00CB1CF6"/>
    <w:rsid w:val="00CB4CD8"/>
    <w:rsid w:val="00CB7243"/>
    <w:rsid w:val="00CC1564"/>
    <w:rsid w:val="00CC3D1B"/>
    <w:rsid w:val="00CC431B"/>
    <w:rsid w:val="00CC5668"/>
    <w:rsid w:val="00CD27EE"/>
    <w:rsid w:val="00CE1A78"/>
    <w:rsid w:val="00CE3794"/>
    <w:rsid w:val="00CF0913"/>
    <w:rsid w:val="00CF395D"/>
    <w:rsid w:val="00CF5F82"/>
    <w:rsid w:val="00D02CAF"/>
    <w:rsid w:val="00D047BE"/>
    <w:rsid w:val="00D05459"/>
    <w:rsid w:val="00D06011"/>
    <w:rsid w:val="00D154EF"/>
    <w:rsid w:val="00D16940"/>
    <w:rsid w:val="00D16A5B"/>
    <w:rsid w:val="00D2779B"/>
    <w:rsid w:val="00D30ADE"/>
    <w:rsid w:val="00D342C3"/>
    <w:rsid w:val="00D4612C"/>
    <w:rsid w:val="00D47744"/>
    <w:rsid w:val="00D50413"/>
    <w:rsid w:val="00D5513B"/>
    <w:rsid w:val="00D56936"/>
    <w:rsid w:val="00D63B2E"/>
    <w:rsid w:val="00D66418"/>
    <w:rsid w:val="00D70950"/>
    <w:rsid w:val="00D71049"/>
    <w:rsid w:val="00D73F4B"/>
    <w:rsid w:val="00D74204"/>
    <w:rsid w:val="00D76321"/>
    <w:rsid w:val="00D90374"/>
    <w:rsid w:val="00D92C7F"/>
    <w:rsid w:val="00D97C56"/>
    <w:rsid w:val="00DA68F9"/>
    <w:rsid w:val="00DB2A30"/>
    <w:rsid w:val="00DC69A9"/>
    <w:rsid w:val="00DD2652"/>
    <w:rsid w:val="00DF1332"/>
    <w:rsid w:val="00DF298F"/>
    <w:rsid w:val="00DF6632"/>
    <w:rsid w:val="00E05F6E"/>
    <w:rsid w:val="00E06A74"/>
    <w:rsid w:val="00E14BCB"/>
    <w:rsid w:val="00E20078"/>
    <w:rsid w:val="00E27D36"/>
    <w:rsid w:val="00E31692"/>
    <w:rsid w:val="00E350E5"/>
    <w:rsid w:val="00E40681"/>
    <w:rsid w:val="00E44FBB"/>
    <w:rsid w:val="00E478FC"/>
    <w:rsid w:val="00E50E74"/>
    <w:rsid w:val="00E566DF"/>
    <w:rsid w:val="00E66872"/>
    <w:rsid w:val="00E7014E"/>
    <w:rsid w:val="00E814A8"/>
    <w:rsid w:val="00E923B8"/>
    <w:rsid w:val="00E9518D"/>
    <w:rsid w:val="00EC470B"/>
    <w:rsid w:val="00ED2C9C"/>
    <w:rsid w:val="00ED451D"/>
    <w:rsid w:val="00ED76FF"/>
    <w:rsid w:val="00EE1A35"/>
    <w:rsid w:val="00EE1CAA"/>
    <w:rsid w:val="00EF1E00"/>
    <w:rsid w:val="00EF7922"/>
    <w:rsid w:val="00F07975"/>
    <w:rsid w:val="00F12C22"/>
    <w:rsid w:val="00F13612"/>
    <w:rsid w:val="00F24C37"/>
    <w:rsid w:val="00F27D45"/>
    <w:rsid w:val="00F37A48"/>
    <w:rsid w:val="00F439DA"/>
    <w:rsid w:val="00F4600D"/>
    <w:rsid w:val="00F57CB4"/>
    <w:rsid w:val="00F6141D"/>
    <w:rsid w:val="00F63845"/>
    <w:rsid w:val="00F63AF7"/>
    <w:rsid w:val="00F914C4"/>
    <w:rsid w:val="00F92C95"/>
    <w:rsid w:val="00F944BF"/>
    <w:rsid w:val="00FA05A4"/>
    <w:rsid w:val="00FA0C83"/>
    <w:rsid w:val="00FA39B4"/>
    <w:rsid w:val="00FA5EF6"/>
    <w:rsid w:val="00FC0B0C"/>
    <w:rsid w:val="00FC5882"/>
    <w:rsid w:val="00FC7C53"/>
    <w:rsid w:val="00FE01F3"/>
    <w:rsid w:val="00FE4901"/>
    <w:rsid w:val="00FE724E"/>
    <w:rsid w:val="036EE30C"/>
    <w:rsid w:val="1BDD6743"/>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722BA"/>
  <w15:docId w15:val="{EF558BB5-95D4-430C-9676-DD427C3F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uiPriority w:val="9"/>
    <w:qFormat/>
    <w:rsid w:val="00A27784"/>
    <w:pPr>
      <w:keepNext/>
      <w:numPr>
        <w:numId w:val="16"/>
      </w:numPr>
      <w:outlineLvl w:val="0"/>
    </w:pPr>
    <w:rPr>
      <w:rFonts w:ascii="Times New Roman" w:hAnsi="Times New Roman"/>
      <w:sz w:val="32"/>
    </w:rPr>
  </w:style>
  <w:style w:type="paragraph" w:styleId="Heading2">
    <w:name w:val="heading 2"/>
    <w:basedOn w:val="Normal"/>
    <w:next w:val="Normal"/>
    <w:link w:val="Heading2Char"/>
    <w:uiPriority w:val="9"/>
    <w:unhideWhenUsed/>
    <w:qFormat/>
    <w:rsid w:val="00AA491F"/>
    <w:pPr>
      <w:keepNext/>
      <w:keepLines/>
      <w:numPr>
        <w:ilvl w:val="1"/>
        <w:numId w:val="16"/>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A59E8"/>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Heading4">
    <w:name w:val="heading 4"/>
    <w:next w:val="Normal"/>
    <w:link w:val="Heading4Char"/>
    <w:qFormat/>
    <w:rsid w:val="00AA491F"/>
    <w:pPr>
      <w:keepNext/>
      <w:numPr>
        <w:ilvl w:val="3"/>
        <w:numId w:val="16"/>
      </w:numPr>
      <w:tabs>
        <w:tab w:val="left" w:pos="907"/>
      </w:tabs>
      <w:spacing w:before="240" w:after="0" w:line="240" w:lineRule="auto"/>
      <w:outlineLvl w:val="3"/>
    </w:pPr>
    <w:rPr>
      <w:rFonts w:ascii="Arial" w:eastAsia="Times New Roman" w:hAnsi="Arial" w:cs="Arial"/>
      <w:b/>
      <w:szCs w:val="20"/>
      <w:shd w:val="clear" w:color="auto" w:fill="FFFFFF"/>
      <w:lang w:eastAsia="es-ES"/>
    </w:rPr>
  </w:style>
  <w:style w:type="paragraph" w:styleId="Heading5">
    <w:name w:val="heading 5"/>
    <w:aliases w:val="-E Überschrift 5"/>
    <w:next w:val="Normal"/>
    <w:link w:val="Heading5Char"/>
    <w:qFormat/>
    <w:rsid w:val="00AA491F"/>
    <w:pPr>
      <w:numPr>
        <w:ilvl w:val="4"/>
        <w:numId w:val="16"/>
      </w:numPr>
      <w:overflowPunct w:val="0"/>
      <w:autoSpaceDE w:val="0"/>
      <w:autoSpaceDN w:val="0"/>
      <w:adjustRightInd w:val="0"/>
      <w:spacing w:before="240" w:after="0" w:line="260" w:lineRule="atLeast"/>
      <w:textAlignment w:val="baseline"/>
      <w:outlineLvl w:val="4"/>
    </w:pPr>
    <w:rPr>
      <w:rFonts w:ascii="Arial" w:eastAsia="Times New Roman" w:hAnsi="Arial" w:cs="Times New Roman"/>
      <w:b/>
      <w:lang w:val="en-GB" w:eastAsia="es-ES"/>
    </w:rPr>
  </w:style>
  <w:style w:type="paragraph" w:styleId="Heading6">
    <w:name w:val="heading 6"/>
    <w:next w:val="Normal"/>
    <w:link w:val="Heading6Char"/>
    <w:qFormat/>
    <w:rsid w:val="00AA491F"/>
    <w:pPr>
      <w:numPr>
        <w:ilvl w:val="5"/>
        <w:numId w:val="16"/>
      </w:numPr>
      <w:overflowPunct w:val="0"/>
      <w:autoSpaceDE w:val="0"/>
      <w:autoSpaceDN w:val="0"/>
      <w:adjustRightInd w:val="0"/>
      <w:spacing w:before="240" w:after="0" w:line="260" w:lineRule="atLeast"/>
      <w:textAlignment w:val="baseline"/>
      <w:outlineLvl w:val="5"/>
    </w:pPr>
    <w:rPr>
      <w:rFonts w:ascii="Arial" w:eastAsia="Times New Roman" w:hAnsi="Arial" w:cs="Times New Roman"/>
      <w:b/>
      <w:lang w:val="en-GB" w:eastAsia="es-ES"/>
    </w:rPr>
  </w:style>
  <w:style w:type="paragraph" w:styleId="Heading7">
    <w:name w:val="heading 7"/>
    <w:next w:val="Normal"/>
    <w:link w:val="Heading7Char"/>
    <w:qFormat/>
    <w:rsid w:val="00AA491F"/>
    <w:pPr>
      <w:numPr>
        <w:ilvl w:val="6"/>
        <w:numId w:val="16"/>
      </w:numPr>
      <w:overflowPunct w:val="0"/>
      <w:autoSpaceDE w:val="0"/>
      <w:autoSpaceDN w:val="0"/>
      <w:adjustRightInd w:val="0"/>
      <w:spacing w:before="240" w:after="0" w:line="260" w:lineRule="atLeast"/>
      <w:textAlignment w:val="baseline"/>
      <w:outlineLvl w:val="6"/>
    </w:pPr>
    <w:rPr>
      <w:rFonts w:ascii="Arial" w:eastAsia="Times New Roman" w:hAnsi="Arial" w:cs="Times New Roman"/>
      <w:b/>
      <w:lang w:val="en-GB" w:eastAsia="es-ES"/>
    </w:rPr>
  </w:style>
  <w:style w:type="paragraph" w:styleId="Heading8">
    <w:name w:val="heading 8"/>
    <w:next w:val="Normal"/>
    <w:link w:val="Heading8Char"/>
    <w:qFormat/>
    <w:rsid w:val="00AA491F"/>
    <w:pPr>
      <w:numPr>
        <w:ilvl w:val="7"/>
        <w:numId w:val="16"/>
      </w:numPr>
      <w:overflowPunct w:val="0"/>
      <w:autoSpaceDE w:val="0"/>
      <w:autoSpaceDN w:val="0"/>
      <w:adjustRightInd w:val="0"/>
      <w:spacing w:before="240" w:after="0" w:line="260" w:lineRule="atLeast"/>
      <w:textAlignment w:val="baseline"/>
      <w:outlineLvl w:val="7"/>
    </w:pPr>
    <w:rPr>
      <w:rFonts w:ascii="Arial" w:eastAsia="Times New Roman" w:hAnsi="Arial" w:cs="Times New Roman"/>
      <w:b/>
      <w:lang w:val="en-GB" w:eastAsia="es-ES"/>
    </w:rPr>
  </w:style>
  <w:style w:type="paragraph" w:styleId="Heading9">
    <w:name w:val="heading 9"/>
    <w:next w:val="Normal"/>
    <w:link w:val="Heading9Char"/>
    <w:qFormat/>
    <w:rsid w:val="00AA491F"/>
    <w:pPr>
      <w:numPr>
        <w:ilvl w:val="8"/>
        <w:numId w:val="16"/>
      </w:numPr>
      <w:overflowPunct w:val="0"/>
      <w:autoSpaceDE w:val="0"/>
      <w:autoSpaceDN w:val="0"/>
      <w:adjustRightInd w:val="0"/>
      <w:spacing w:before="240" w:after="0" w:line="260" w:lineRule="atLeast"/>
      <w:textAlignment w:val="baseline"/>
      <w:outlineLvl w:val="8"/>
    </w:pPr>
    <w:rPr>
      <w:rFonts w:ascii="Arial" w:eastAsia="Times New Roman" w:hAnsi="Arial" w:cs="Times New Roman"/>
      <w:b/>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784"/>
    <w:rPr>
      <w:rFonts w:ascii="Times New Roman" w:eastAsia="Times New Roman" w:hAnsi="Times New Roman" w:cs="Times New Roman"/>
      <w:sz w:val="32"/>
      <w:szCs w:val="20"/>
    </w:rPr>
  </w:style>
  <w:style w:type="table" w:styleId="TableGrid">
    <w:name w:val="Table Grid"/>
    <w:basedOn w:val="TableNormal"/>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character" w:styleId="Hyperlink">
    <w:name w:val="Hyperlink"/>
    <w:basedOn w:val="DefaultParagraphFont"/>
    <w:uiPriority w:val="99"/>
    <w:unhideWhenUsed/>
    <w:rPr>
      <w:color w:val="0000FF" w:themeColor="hyperlink"/>
      <w:u w:val="single"/>
    </w:rPr>
  </w:style>
  <w:style w:type="paragraph" w:styleId="FootnoteText">
    <w:name w:val="footnote text"/>
    <w:aliases w:val="-E Fußnotentext,Fußnotentext Ursprung,footnote text,Footnote Text Char,fn,footnote,single space,FOOTNOTES,texto de nota al pie,Nota a pie/Bibliog,foottextfra,F,Texto,nota,pie,Ref.,al, Car,Car,ft,Texto nota piepddes Car Car,Style 25"/>
    <w:basedOn w:val="Normal"/>
    <w:link w:val="FootnoteTextChar1"/>
    <w:unhideWhenUsed/>
    <w:qFormat/>
    <w:rsid w:val="00A12BB6"/>
    <w:pPr>
      <w:autoSpaceDE w:val="0"/>
      <w:autoSpaceDN w:val="0"/>
      <w:adjustRightInd w:val="0"/>
    </w:pPr>
    <w:rPr>
      <w:rFonts w:ascii="Times New Roman" w:hAnsi="Times New Roman"/>
      <w:lang w:val="en-US" w:eastAsia="es-ES"/>
    </w:rPr>
  </w:style>
  <w:style w:type="character" w:customStyle="1" w:styleId="FootnoteTextChar1">
    <w:name w:val="Footnote Text Char1"/>
    <w:aliases w:val="-E Fußnotentext Char,Fußnotentext Ursprung Char,footnote text Char,Footnote Text Char Char,fn Char,footnote Char,single space Char,FOOTNOTES Char,texto de nota al pie Char,Nota a pie/Bibliog Char,foottextfra Char,F Char,Texto Char"/>
    <w:basedOn w:val="DefaultParagraphFont"/>
    <w:link w:val="FootnoteText"/>
    <w:rsid w:val="00A12BB6"/>
    <w:rPr>
      <w:rFonts w:ascii="Times New Roman" w:eastAsia="Times New Roman" w:hAnsi="Times New Roman" w:cs="Times New Roman"/>
      <w:sz w:val="20"/>
      <w:szCs w:val="20"/>
      <w:lang w:val="en-US" w:eastAsia="es-ES"/>
    </w:rPr>
  </w:style>
  <w:style w:type="character" w:styleId="FootnoteReference">
    <w:name w:val="footnote reference"/>
    <w:aliases w:val="pie pddes,FC,referencia nota al pie,Ref. de nota al pie.,Style 24,F1,BVI fnr,Texto de nota al pie,Ref. de nota al pie2,Nota de pie,Texto nota al pie,Fußnotenzeichen DISS,16 Point,Superscript 6 Point,ftref,Ref,de nota al pie,titulo 2"/>
    <w:basedOn w:val="DefaultParagraphFont"/>
    <w:link w:val="Char2"/>
    <w:uiPriority w:val="99"/>
    <w:unhideWhenUsed/>
    <w:qFormat/>
    <w:rsid w:val="00A12BB6"/>
    <w:rPr>
      <w:vertAlign w:val="superscript"/>
    </w:rPr>
  </w:style>
  <w:style w:type="paragraph" w:styleId="Revision">
    <w:name w:val="Revision"/>
    <w:hidden/>
    <w:uiPriority w:val="99"/>
    <w:semiHidden/>
    <w:rsid w:val="00956448"/>
    <w:pPr>
      <w:spacing w:after="0" w:line="240" w:lineRule="auto"/>
    </w:pPr>
    <w:rPr>
      <w:rFonts w:ascii="Arial" w:eastAsia="Times New Roman" w:hAnsi="Arial" w:cs="Times New Roman"/>
      <w:sz w:val="20"/>
      <w:szCs w:val="20"/>
    </w:rPr>
  </w:style>
  <w:style w:type="paragraph" w:customStyle="1" w:styleId="Chapter">
    <w:name w:val="Chapter"/>
    <w:basedOn w:val="Normal"/>
    <w:next w:val="Normal"/>
    <w:rsid w:val="00956448"/>
    <w:pPr>
      <w:numPr>
        <w:numId w:val="3"/>
      </w:numPr>
      <w:tabs>
        <w:tab w:val="left" w:pos="1440"/>
      </w:tabs>
      <w:spacing w:after="240"/>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qFormat/>
    <w:rsid w:val="00956448"/>
    <w:pPr>
      <w:numPr>
        <w:ilvl w:val="1"/>
        <w:numId w:val="3"/>
      </w:numPr>
      <w:spacing w:before="120"/>
      <w:jc w:val="both"/>
      <w:outlineLvl w:val="1"/>
    </w:pPr>
    <w:rPr>
      <w:rFonts w:ascii="Times New Roman" w:hAnsi="Times New Roman"/>
      <w:sz w:val="24"/>
      <w:lang w:val="es-ES"/>
    </w:rPr>
  </w:style>
  <w:style w:type="paragraph" w:customStyle="1" w:styleId="subpar">
    <w:name w:val="subpar"/>
    <w:basedOn w:val="BodyTextIndent3"/>
    <w:rsid w:val="00956448"/>
    <w:pPr>
      <w:widowControl/>
      <w:numPr>
        <w:ilvl w:val="2"/>
        <w:numId w:val="3"/>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956448"/>
    <w:pPr>
      <w:numPr>
        <w:ilvl w:val="3"/>
      </w:numPr>
      <w:tabs>
        <w:tab w:val="clear" w:pos="1584"/>
        <w:tab w:val="left" w:pos="0"/>
        <w:tab w:val="num" w:pos="360"/>
        <w:tab w:val="num" w:pos="2880"/>
      </w:tabs>
      <w:ind w:left="2880" w:hanging="360"/>
    </w:pPr>
  </w:style>
  <w:style w:type="character" w:customStyle="1" w:styleId="ParagraphChar">
    <w:name w:val="Paragraph Char"/>
    <w:aliases w:val="paragraph Char,p Char,PARAGRAPH Char,PG Char,pa Char,at Char"/>
    <w:link w:val="Paragraph"/>
    <w:rsid w:val="00693BBD"/>
    <w:rPr>
      <w:rFonts w:ascii="Times New Roman" w:eastAsia="Times New Roman" w:hAnsi="Times New Roman" w:cs="Times New Roman"/>
      <w:sz w:val="24"/>
      <w:szCs w:val="20"/>
      <w:lang w:val="es-ES"/>
    </w:rPr>
  </w:style>
  <w:style w:type="character" w:customStyle="1" w:styleId="Mention1">
    <w:name w:val="Mention1"/>
    <w:basedOn w:val="DefaultParagraphFont"/>
    <w:uiPriority w:val="99"/>
    <w:semiHidden/>
    <w:unhideWhenUsed/>
    <w:rsid w:val="00693BBD"/>
    <w:rPr>
      <w:color w:val="2B579A"/>
      <w:shd w:val="clear" w:color="auto" w:fill="E6E6E6"/>
    </w:rPr>
  </w:style>
  <w:style w:type="paragraph" w:customStyle="1" w:styleId="Bullets1erNivel">
    <w:name w:val="Bullets 1er Nivel"/>
    <w:rsid w:val="00787779"/>
    <w:pPr>
      <w:widowControl w:val="0"/>
      <w:numPr>
        <w:numId w:val="8"/>
      </w:numPr>
      <w:tabs>
        <w:tab w:val="left" w:pos="680"/>
      </w:tabs>
      <w:spacing w:after="120" w:line="240" w:lineRule="auto"/>
      <w:ind w:left="680" w:hanging="340"/>
    </w:pPr>
    <w:rPr>
      <w:rFonts w:ascii="Arial" w:eastAsia="Times New Roman" w:hAnsi="Arial" w:cs="Arial"/>
      <w:lang w:eastAsia="es-ES"/>
    </w:rPr>
  </w:style>
  <w:style w:type="character" w:customStyle="1" w:styleId="Heading2Char">
    <w:name w:val="Heading 2 Char"/>
    <w:basedOn w:val="DefaultParagraphFont"/>
    <w:link w:val="Heading2"/>
    <w:uiPriority w:val="9"/>
    <w:rsid w:val="00AA491F"/>
    <w:rPr>
      <w:rFonts w:asciiTheme="majorHAnsi" w:eastAsiaTheme="majorEastAsia" w:hAnsiTheme="majorHAnsi" w:cstheme="majorBidi"/>
      <w:color w:val="365F91" w:themeColor="accent1" w:themeShade="BF"/>
      <w:sz w:val="26"/>
      <w:szCs w:val="26"/>
    </w:rPr>
  </w:style>
  <w:style w:type="paragraph" w:styleId="BodyTextIndent2">
    <w:name w:val="Body Text Indent 2"/>
    <w:basedOn w:val="Normal"/>
    <w:link w:val="BodyTextIndent2Char"/>
    <w:uiPriority w:val="99"/>
    <w:semiHidden/>
    <w:unhideWhenUsed/>
    <w:rsid w:val="00AA491F"/>
    <w:pPr>
      <w:spacing w:after="120" w:line="480" w:lineRule="auto"/>
      <w:ind w:left="283"/>
    </w:pPr>
  </w:style>
  <w:style w:type="character" w:customStyle="1" w:styleId="BodyTextIndent2Char">
    <w:name w:val="Body Text Indent 2 Char"/>
    <w:basedOn w:val="DefaultParagraphFont"/>
    <w:link w:val="BodyTextIndent2"/>
    <w:uiPriority w:val="99"/>
    <w:semiHidden/>
    <w:rsid w:val="00AA491F"/>
    <w:rPr>
      <w:rFonts w:ascii="Arial" w:eastAsia="Times New Roman" w:hAnsi="Arial" w:cs="Times New Roman"/>
      <w:sz w:val="20"/>
      <w:szCs w:val="20"/>
    </w:rPr>
  </w:style>
  <w:style w:type="character" w:customStyle="1" w:styleId="Heading4Char">
    <w:name w:val="Heading 4 Char"/>
    <w:basedOn w:val="DefaultParagraphFont"/>
    <w:link w:val="Heading4"/>
    <w:rsid w:val="00AA491F"/>
    <w:rPr>
      <w:rFonts w:ascii="Arial" w:eastAsia="Times New Roman" w:hAnsi="Arial" w:cs="Arial"/>
      <w:b/>
      <w:szCs w:val="20"/>
      <w:lang w:eastAsia="es-ES"/>
    </w:rPr>
  </w:style>
  <w:style w:type="character" w:customStyle="1" w:styleId="Heading5Char">
    <w:name w:val="Heading 5 Char"/>
    <w:aliases w:val="-E Überschrift 5 Char"/>
    <w:basedOn w:val="DefaultParagraphFont"/>
    <w:link w:val="Heading5"/>
    <w:rsid w:val="00AA491F"/>
    <w:rPr>
      <w:rFonts w:ascii="Arial" w:eastAsia="Times New Roman" w:hAnsi="Arial" w:cs="Times New Roman"/>
      <w:b/>
      <w:lang w:val="en-GB" w:eastAsia="es-ES"/>
    </w:rPr>
  </w:style>
  <w:style w:type="character" w:customStyle="1" w:styleId="Heading6Char">
    <w:name w:val="Heading 6 Char"/>
    <w:basedOn w:val="DefaultParagraphFont"/>
    <w:link w:val="Heading6"/>
    <w:rsid w:val="00AA491F"/>
    <w:rPr>
      <w:rFonts w:ascii="Arial" w:eastAsia="Times New Roman" w:hAnsi="Arial" w:cs="Times New Roman"/>
      <w:b/>
      <w:lang w:val="en-GB" w:eastAsia="es-ES"/>
    </w:rPr>
  </w:style>
  <w:style w:type="character" w:customStyle="1" w:styleId="Heading7Char">
    <w:name w:val="Heading 7 Char"/>
    <w:basedOn w:val="DefaultParagraphFont"/>
    <w:link w:val="Heading7"/>
    <w:rsid w:val="00AA491F"/>
    <w:rPr>
      <w:rFonts w:ascii="Arial" w:eastAsia="Times New Roman" w:hAnsi="Arial" w:cs="Times New Roman"/>
      <w:b/>
      <w:lang w:val="en-GB" w:eastAsia="es-ES"/>
    </w:rPr>
  </w:style>
  <w:style w:type="character" w:customStyle="1" w:styleId="Heading8Char">
    <w:name w:val="Heading 8 Char"/>
    <w:basedOn w:val="DefaultParagraphFont"/>
    <w:link w:val="Heading8"/>
    <w:rsid w:val="00AA491F"/>
    <w:rPr>
      <w:rFonts w:ascii="Arial" w:eastAsia="Times New Roman" w:hAnsi="Arial" w:cs="Times New Roman"/>
      <w:b/>
      <w:lang w:val="en-GB" w:eastAsia="es-ES"/>
    </w:rPr>
  </w:style>
  <w:style w:type="character" w:customStyle="1" w:styleId="Heading9Char">
    <w:name w:val="Heading 9 Char"/>
    <w:basedOn w:val="DefaultParagraphFont"/>
    <w:link w:val="Heading9"/>
    <w:rsid w:val="00AA491F"/>
    <w:rPr>
      <w:rFonts w:ascii="Arial" w:eastAsia="Times New Roman" w:hAnsi="Arial" w:cs="Times New Roman"/>
      <w:b/>
      <w:lang w:val="en-GB" w:eastAsia="es-ES"/>
    </w:rPr>
  </w:style>
  <w:style w:type="paragraph" w:customStyle="1" w:styleId="TablasyGraficas-Titulo">
    <w:name w:val="Tablas y Graficas - Titulo"/>
    <w:link w:val="TablasyGraficas-TituloZchnZchn"/>
    <w:rsid w:val="001D3E62"/>
    <w:pPr>
      <w:spacing w:before="120" w:after="120" w:line="240" w:lineRule="auto"/>
      <w:jc w:val="center"/>
    </w:pPr>
    <w:rPr>
      <w:rFonts w:ascii="Arial" w:eastAsia="Times New Roman" w:hAnsi="Arial" w:cs="Arial"/>
      <w:b/>
      <w:sz w:val="18"/>
      <w:szCs w:val="18"/>
      <w:lang w:eastAsia="es-ES"/>
    </w:rPr>
  </w:style>
  <w:style w:type="character" w:customStyle="1" w:styleId="TablasyGraficas-TituloZchnZchn">
    <w:name w:val="Tablas y Graficas - Titulo Zchn Zchn"/>
    <w:basedOn w:val="DefaultParagraphFont"/>
    <w:link w:val="TablasyGraficas-Titulo"/>
    <w:rsid w:val="001D3E62"/>
    <w:rPr>
      <w:rFonts w:ascii="Arial" w:eastAsia="Times New Roman" w:hAnsi="Arial" w:cs="Arial"/>
      <w:b/>
      <w:sz w:val="18"/>
      <w:szCs w:val="18"/>
      <w:lang w:eastAsia="es-ES"/>
    </w:rPr>
  </w:style>
  <w:style w:type="paragraph" w:customStyle="1" w:styleId="Prrafodelista1">
    <w:name w:val="Párrafo de lista1"/>
    <w:basedOn w:val="Normal"/>
    <w:rsid w:val="001D3E62"/>
    <w:pPr>
      <w:spacing w:after="200" w:line="276" w:lineRule="auto"/>
      <w:ind w:left="720"/>
      <w:contextualSpacing/>
    </w:pPr>
    <w:rPr>
      <w:rFonts w:ascii="Calibri" w:hAnsi="Calibri"/>
      <w:sz w:val="22"/>
      <w:szCs w:val="22"/>
    </w:rPr>
  </w:style>
  <w:style w:type="paragraph" w:customStyle="1" w:styleId="Default">
    <w:name w:val="Default"/>
    <w:rsid w:val="001D3E6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2">
    <w:name w:val="Char2"/>
    <w:basedOn w:val="Normal"/>
    <w:link w:val="FootnoteReference"/>
    <w:uiPriority w:val="99"/>
    <w:rsid w:val="00244F9C"/>
    <w:pPr>
      <w:spacing w:after="160" w:line="240" w:lineRule="exac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70302">
      <w:bodyDiv w:val="1"/>
      <w:marLeft w:val="0"/>
      <w:marRight w:val="0"/>
      <w:marTop w:val="0"/>
      <w:marBottom w:val="0"/>
      <w:divBdr>
        <w:top w:val="none" w:sz="0" w:space="0" w:color="auto"/>
        <w:left w:val="none" w:sz="0" w:space="0" w:color="auto"/>
        <w:bottom w:val="none" w:sz="0" w:space="0" w:color="auto"/>
        <w:right w:val="none" w:sz="0" w:space="0" w:color="auto"/>
      </w:divBdr>
    </w:div>
    <w:div w:id="73020022">
      <w:bodyDiv w:val="1"/>
      <w:marLeft w:val="0"/>
      <w:marRight w:val="0"/>
      <w:marTop w:val="0"/>
      <w:marBottom w:val="0"/>
      <w:divBdr>
        <w:top w:val="none" w:sz="0" w:space="0" w:color="auto"/>
        <w:left w:val="none" w:sz="0" w:space="0" w:color="auto"/>
        <w:bottom w:val="none" w:sz="0" w:space="0" w:color="auto"/>
        <w:right w:val="none" w:sz="0" w:space="0" w:color="auto"/>
      </w:divBdr>
    </w:div>
    <w:div w:id="144516788">
      <w:bodyDiv w:val="1"/>
      <w:marLeft w:val="0"/>
      <w:marRight w:val="0"/>
      <w:marTop w:val="0"/>
      <w:marBottom w:val="0"/>
      <w:divBdr>
        <w:top w:val="none" w:sz="0" w:space="0" w:color="auto"/>
        <w:left w:val="none" w:sz="0" w:space="0" w:color="auto"/>
        <w:bottom w:val="none" w:sz="0" w:space="0" w:color="auto"/>
        <w:right w:val="none" w:sz="0" w:space="0" w:color="auto"/>
      </w:divBdr>
    </w:div>
    <w:div w:id="897519697">
      <w:bodyDiv w:val="1"/>
      <w:marLeft w:val="0"/>
      <w:marRight w:val="0"/>
      <w:marTop w:val="0"/>
      <w:marBottom w:val="0"/>
      <w:divBdr>
        <w:top w:val="none" w:sz="0" w:space="0" w:color="auto"/>
        <w:left w:val="none" w:sz="0" w:space="0" w:color="auto"/>
        <w:bottom w:val="none" w:sz="0" w:space="0" w:color="auto"/>
        <w:right w:val="none" w:sz="0" w:space="0" w:color="auto"/>
      </w:divBdr>
      <w:divsChild>
        <w:div w:id="1512144124">
          <w:marLeft w:val="547"/>
          <w:marRight w:val="0"/>
          <w:marTop w:val="0"/>
          <w:marBottom w:val="120"/>
          <w:divBdr>
            <w:top w:val="none" w:sz="0" w:space="0" w:color="auto"/>
            <w:left w:val="none" w:sz="0" w:space="0" w:color="auto"/>
            <w:bottom w:val="none" w:sz="0" w:space="0" w:color="auto"/>
            <w:right w:val="none" w:sz="0" w:space="0" w:color="auto"/>
          </w:divBdr>
        </w:div>
        <w:div w:id="338310566">
          <w:marLeft w:val="547"/>
          <w:marRight w:val="0"/>
          <w:marTop w:val="0"/>
          <w:marBottom w:val="120"/>
          <w:divBdr>
            <w:top w:val="none" w:sz="0" w:space="0" w:color="auto"/>
            <w:left w:val="none" w:sz="0" w:space="0" w:color="auto"/>
            <w:bottom w:val="none" w:sz="0" w:space="0" w:color="auto"/>
            <w:right w:val="none" w:sz="0" w:space="0" w:color="auto"/>
          </w:divBdr>
        </w:div>
        <w:div w:id="638456219">
          <w:marLeft w:val="547"/>
          <w:marRight w:val="0"/>
          <w:marTop w:val="0"/>
          <w:marBottom w:val="120"/>
          <w:divBdr>
            <w:top w:val="none" w:sz="0" w:space="0" w:color="auto"/>
            <w:left w:val="none" w:sz="0" w:space="0" w:color="auto"/>
            <w:bottom w:val="none" w:sz="0" w:space="0" w:color="auto"/>
            <w:right w:val="none" w:sz="0" w:space="0" w:color="auto"/>
          </w:divBdr>
        </w:div>
        <w:div w:id="10300752">
          <w:marLeft w:val="547"/>
          <w:marRight w:val="0"/>
          <w:marTop w:val="0"/>
          <w:marBottom w:val="120"/>
          <w:divBdr>
            <w:top w:val="none" w:sz="0" w:space="0" w:color="auto"/>
            <w:left w:val="none" w:sz="0" w:space="0" w:color="auto"/>
            <w:bottom w:val="none" w:sz="0" w:space="0" w:color="auto"/>
            <w:right w:val="none" w:sz="0" w:space="0" w:color="auto"/>
          </w:divBdr>
        </w:div>
        <w:div w:id="692346639">
          <w:marLeft w:val="547"/>
          <w:marRight w:val="0"/>
          <w:marTop w:val="0"/>
          <w:marBottom w:val="120"/>
          <w:divBdr>
            <w:top w:val="none" w:sz="0" w:space="0" w:color="auto"/>
            <w:left w:val="none" w:sz="0" w:space="0" w:color="auto"/>
            <w:bottom w:val="none" w:sz="0" w:space="0" w:color="auto"/>
            <w:right w:val="none" w:sz="0" w:space="0" w:color="auto"/>
          </w:divBdr>
        </w:div>
        <w:div w:id="185026743">
          <w:marLeft w:val="547"/>
          <w:marRight w:val="0"/>
          <w:marTop w:val="0"/>
          <w:marBottom w:val="120"/>
          <w:divBdr>
            <w:top w:val="none" w:sz="0" w:space="0" w:color="auto"/>
            <w:left w:val="none" w:sz="0" w:space="0" w:color="auto"/>
            <w:bottom w:val="none" w:sz="0" w:space="0" w:color="auto"/>
            <w:right w:val="none" w:sz="0" w:space="0" w:color="auto"/>
          </w:divBdr>
        </w:div>
      </w:divsChild>
    </w:div>
    <w:div w:id="1871919155">
      <w:bodyDiv w:val="1"/>
      <w:marLeft w:val="0"/>
      <w:marRight w:val="0"/>
      <w:marTop w:val="0"/>
      <w:marBottom w:val="0"/>
      <w:divBdr>
        <w:top w:val="none" w:sz="0" w:space="0" w:color="auto"/>
        <w:left w:val="none" w:sz="0" w:space="0" w:color="auto"/>
        <w:bottom w:val="none" w:sz="0" w:space="0" w:color="auto"/>
        <w:right w:val="none" w:sz="0" w:space="0" w:color="auto"/>
      </w:divBdr>
    </w:div>
    <w:div w:id="194576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BB9113B11047E4CB40BABB802CC5E54" ma:contentTypeVersion="37" ma:contentTypeDescription="A content type to manage public (operations) IDB documents" ma:contentTypeScope="" ma:versionID="954ca21d42809215634dd81f109610c9">
  <xsd:schema xmlns:xsd="http://www.w3.org/2001/XMLSchema" xmlns:xs="http://www.w3.org/2001/XMLSchema" xmlns:p="http://schemas.microsoft.com/office/2006/metadata/properties" xmlns:ns2="cdc7663a-08f0-4737-9e8c-148ce897a09c" targetNamespace="http://schemas.microsoft.com/office/2006/metadata/properties" ma:root="true" ma:fieldsID="e20c776d06f44fee334fe69da43392d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6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Division_x0020_or_x0020_Unit xmlns="cdc7663a-08f0-4737-9e8c-148ce897a09c">INE/ENE</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Suber, Stephanie Anne</Document_x0020_Author>
    <Document_x0020_Language_x0020_IDB xmlns="cdc7663a-08f0-4737-9e8c-148ce897a09c">Spanish</Document_x0020_Language_x0020_IDB>
    <TaxCatchAll xmlns="cdc7663a-08f0-4737-9e8c-148ce897a09c">
      <Value>19</Value>
      <Value>65</Value>
      <Value>24</Value>
      <Value>2</Value>
      <Value>64</Value>
    </TaxCatchAll>
    <Identifier xmlns="cdc7663a-08f0-4737-9e8c-148ce897a09c" xsi:nil="true"/>
    <_dlc_DocId xmlns="cdc7663a-08f0-4737-9e8c-148ce897a09c">EZSHARE-1662964228-29</_dlc_DocId>
    <_dlc_DocIdUrl xmlns="cdc7663a-08f0-4737-9e8c-148ce897a09c">
      <Url>https://idbg.sharepoint.com/teams/EZ-ME-LON/ME-L1267/_layouts/15/DocIdRedir.aspx?ID=EZSHARE-1662964228-29</Url>
      <Description>EZSHARE-1662964228-29</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pproval_x0020_Number xmlns="cdc7663a-08f0-4737-9e8c-148ce897a09c">4513/OC-ME;</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Operation_x0020_Type xmlns="cdc7663a-08f0-4737-9e8c-148ce897a09c">Loan Operation</Operation_x0020_Type>
    <Package_x0020_Code xmlns="cdc7663a-08f0-4737-9e8c-148ce897a09c" xsi:nil="true"/>
    <Project_x0020_Number xmlns="cdc7663a-08f0-4737-9e8c-148ce897a09c">ME-L1267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R0001335646</Record_x0020_Number>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1898B-3392-444E-A27B-87DE9AE6FA61}"/>
</file>

<file path=customXml/itemProps2.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4.xml><?xml version="1.0" encoding="utf-8"?>
<ds:datastoreItem xmlns:ds="http://schemas.openxmlformats.org/officeDocument/2006/customXml" ds:itemID="{EEF7252B-8071-411A-B848-56F044EBFD7D}"/>
</file>

<file path=customXml/itemProps5.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6.xml><?xml version="1.0" encoding="utf-8"?>
<ds:datastoreItem xmlns:ds="http://schemas.openxmlformats.org/officeDocument/2006/customXml" ds:itemID="{B1AE2E6E-68C9-49E9-AA39-CD5BD9313504}"/>
</file>

<file path=customXml/itemProps7.xml><?xml version="1.0" encoding="utf-8"?>
<ds:datastoreItem xmlns:ds="http://schemas.openxmlformats.org/officeDocument/2006/customXml" ds:itemID="{6C5FF79F-4274-4356-A39D-88EC961BA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2084</Words>
  <Characters>11879</Characters>
  <Application>Microsoft Office Word</Application>
  <DocSecurity>0</DocSecurity>
  <Lines>98</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Aragon Salinas, Rodrigo Nicolas</cp:lastModifiedBy>
  <cp:revision>11</cp:revision>
  <cp:lastPrinted>2017-03-27T18:17:00Z</cp:lastPrinted>
  <dcterms:created xsi:type="dcterms:W3CDTF">2017-10-31T16:04:00Z</dcterms:created>
  <dcterms:modified xsi:type="dcterms:W3CDTF">2017-10-31T16:24:00Z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19;#Mexico|0eba6470-e7ea-46fd-a959-d4c243acaf26</vt:lpwstr>
  </property>
  <property fmtid="{D5CDD505-2E9C-101B-9397-08002B2CF9AE}" pid="8" name="_dlc_DocIdItemGuid">
    <vt:lpwstr>d66b8d6b-0c45-4df1-88c3-ef1051623004</vt:lpwstr>
  </property>
  <property fmtid="{D5CDD505-2E9C-101B-9397-08002B2CF9AE}" pid="9" name="Series Operations IDB">
    <vt:lpwstr/>
  </property>
  <property fmtid="{D5CDD505-2E9C-101B-9397-08002B2CF9AE}" pid="10" name="Sub-Sector">
    <vt:lpwstr>65;#ENERGY EFFICIENCY AND RENEWABLE ENERGY IN END USE|ab88142a-aa14-42df-80f4-969425d6f976</vt:lpwstr>
  </property>
  <property fmtid="{D5CDD505-2E9C-101B-9397-08002B2CF9AE}" pid="11" name="Fund IDB">
    <vt:lpwstr>24;#ORC|c028a4b2-ad8b-4cf4-9cac-a2ae6a778e23</vt:lpwstr>
  </property>
  <property fmtid="{D5CDD505-2E9C-101B-9397-08002B2CF9AE}" pid="12" name="Sector IDB">
    <vt:lpwstr>64;#ENERGY|4fed196a-cd0b-4970-87de-42da17f9b203</vt:lpwstr>
  </property>
  <property fmtid="{D5CDD505-2E9C-101B-9397-08002B2CF9AE}" pid="13" name="Function Operations IDB">
    <vt:lpwstr>2;#Monitoring and Reporting|df3c2aa1-d63e-41aa-b1f5-bb15dee691ca</vt:lpwstr>
  </property>
  <property fmtid="{D5CDD505-2E9C-101B-9397-08002B2CF9AE}" pid="14" name="RecordPoint_ActiveItemMoved">
    <vt:lpwstr>/teams/EZ-ME-LON/ME-L1267/15 LifeCycle Milestones/Draft Area/Anexo Técnico.docx</vt:lpwstr>
  </property>
  <property fmtid="{D5CDD505-2E9C-101B-9397-08002B2CF9AE}" pid="15" name="RecordStorageActiveId">
    <vt:lpwstr>7c09ef1e-36ee-4668-8a98-4d832bbc3ed6</vt:lpwstr>
  </property>
  <property fmtid="{D5CDD505-2E9C-101B-9397-08002B2CF9AE}" pid="16" name="Disclosure Activity">
    <vt:lpwstr>Loan Proposal</vt:lpwstr>
  </property>
  <property fmtid="{D5CDD505-2E9C-101B-9397-08002B2CF9AE}" pid="17" name="ContentTypeId">
    <vt:lpwstr>0x0101001A458A224826124E8B45B1D613300CFC007BB9113B11047E4CB40BABB802CC5E54</vt:lpwstr>
  </property>
</Properties>
</file>