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8CE" w:rsidRDefault="002458CE" w:rsidP="004C7DC0">
      <w:pPr>
        <w:autoSpaceDE w:val="0"/>
        <w:spacing w:after="0" w:line="240" w:lineRule="auto"/>
        <w:jc w:val="center"/>
        <w:rPr>
          <w:rFonts w:ascii="Arial" w:eastAsia="MS Mincho" w:hAnsi="Arial" w:cs="Arial"/>
          <w:b/>
          <w:bCs/>
          <w:color w:val="000000"/>
          <w:sz w:val="24"/>
          <w:szCs w:val="24"/>
          <w:lang w:eastAsia="ja-JP"/>
        </w:rPr>
      </w:pPr>
      <w:bookmarkStart w:id="0" w:name="_GoBack"/>
      <w:bookmarkEnd w:id="0"/>
      <w:r>
        <w:rPr>
          <w:rFonts w:ascii="Arial" w:eastAsia="MS Mincho" w:hAnsi="Arial" w:cs="Arial"/>
          <w:b/>
          <w:bCs/>
          <w:color w:val="000000"/>
          <w:sz w:val="24"/>
          <w:szCs w:val="24"/>
          <w:lang w:eastAsia="ja-JP"/>
        </w:rPr>
        <w:t>Annex III</w:t>
      </w:r>
    </w:p>
    <w:p w:rsidR="004C7DC0" w:rsidRDefault="004C7DC0" w:rsidP="004C7DC0">
      <w:pPr>
        <w:autoSpaceDE w:val="0"/>
        <w:spacing w:after="0" w:line="240" w:lineRule="auto"/>
        <w:jc w:val="center"/>
        <w:rPr>
          <w:rFonts w:ascii="Arial" w:eastAsia="MS Mincho" w:hAnsi="Arial" w:cs="Arial"/>
          <w:b/>
          <w:bCs/>
          <w:color w:val="000000"/>
          <w:sz w:val="24"/>
          <w:szCs w:val="24"/>
          <w:lang w:eastAsia="ja-JP"/>
        </w:rPr>
      </w:pPr>
      <w:r w:rsidRPr="00F40D14">
        <w:rPr>
          <w:rFonts w:ascii="Arial" w:eastAsia="MS Mincho" w:hAnsi="Arial" w:cs="Arial"/>
          <w:b/>
          <w:bCs/>
          <w:color w:val="000000"/>
          <w:sz w:val="24"/>
          <w:szCs w:val="24"/>
          <w:lang w:eastAsia="ja-JP"/>
        </w:rPr>
        <w:t>Environmental and Social Strategy (ESS)</w:t>
      </w:r>
      <w:r w:rsidRPr="00F40D14">
        <w:rPr>
          <w:rFonts w:ascii="Arial" w:eastAsia="MS Mincho" w:hAnsi="Arial" w:cs="Arial"/>
          <w:color w:val="000000"/>
          <w:sz w:val="24"/>
          <w:szCs w:val="24"/>
          <w:vertAlign w:val="superscript"/>
          <w:lang w:eastAsia="ja-JP"/>
        </w:rPr>
        <w:footnoteReference w:id="1"/>
      </w:r>
    </w:p>
    <w:p w:rsidR="004C7DC0" w:rsidRPr="00F40D14" w:rsidRDefault="004C7DC0" w:rsidP="004C7DC0">
      <w:pPr>
        <w:autoSpaceDE w:val="0"/>
        <w:spacing w:after="0" w:line="240" w:lineRule="auto"/>
        <w:jc w:val="center"/>
        <w:rPr>
          <w:rFonts w:ascii="Arial" w:eastAsia="MS Mincho" w:hAnsi="Arial" w:cs="Arial"/>
          <w:b/>
          <w:bCs/>
          <w:color w:val="000000"/>
          <w:sz w:val="24"/>
          <w:szCs w:val="24"/>
          <w:lang w:eastAsia="ja-JP"/>
        </w:rPr>
      </w:pPr>
      <w:r w:rsidRPr="004C7DC0">
        <w:rPr>
          <w:rFonts w:ascii="Arial" w:eastAsia="MS Mincho" w:hAnsi="Arial" w:cs="Arial"/>
          <w:b/>
          <w:bCs/>
          <w:color w:val="000000"/>
          <w:sz w:val="24"/>
          <w:szCs w:val="24"/>
          <w:lang w:eastAsia="ja-JP"/>
        </w:rPr>
        <w:t xml:space="preserve">Banco </w:t>
      </w:r>
      <w:proofErr w:type="spellStart"/>
      <w:r w:rsidRPr="004C7DC0">
        <w:rPr>
          <w:rFonts w:ascii="Arial" w:eastAsia="MS Mincho" w:hAnsi="Arial" w:cs="Arial"/>
          <w:b/>
          <w:bCs/>
          <w:color w:val="000000"/>
          <w:sz w:val="24"/>
          <w:szCs w:val="24"/>
          <w:lang w:eastAsia="ja-JP"/>
        </w:rPr>
        <w:t>Sicredi</w:t>
      </w:r>
      <w:proofErr w:type="spellEnd"/>
      <w:r w:rsidRPr="004C7DC0">
        <w:rPr>
          <w:rFonts w:ascii="Arial" w:eastAsia="MS Mincho" w:hAnsi="Arial" w:cs="Arial"/>
          <w:b/>
          <w:bCs/>
          <w:color w:val="000000"/>
          <w:sz w:val="24"/>
          <w:szCs w:val="24"/>
          <w:lang w:eastAsia="ja-JP"/>
        </w:rPr>
        <w:t xml:space="preserve"> – Partnership to support rural producers</w:t>
      </w:r>
    </w:p>
    <w:p w:rsidR="004C7DC0" w:rsidRPr="00F40D14" w:rsidRDefault="004C7DC0" w:rsidP="004C7DC0">
      <w:pPr>
        <w:autoSpaceDE w:val="0"/>
        <w:spacing w:after="0" w:line="240" w:lineRule="auto"/>
        <w:jc w:val="center"/>
        <w:rPr>
          <w:rFonts w:ascii="Arial" w:eastAsia="MS Mincho" w:hAnsi="Arial" w:cs="Arial"/>
          <w:b/>
          <w:bCs/>
          <w:color w:val="000000"/>
          <w:sz w:val="24"/>
          <w:szCs w:val="24"/>
          <w:lang w:eastAsia="ja-JP"/>
        </w:rPr>
      </w:pPr>
    </w:p>
    <w:p w:rsidR="004C7DC0" w:rsidRPr="00F40D14" w:rsidRDefault="004C7DC0" w:rsidP="004C7DC0">
      <w:pPr>
        <w:numPr>
          <w:ilvl w:val="0"/>
          <w:numId w:val="1"/>
        </w:numPr>
        <w:suppressAutoHyphens/>
        <w:autoSpaceDE w:val="0"/>
        <w:autoSpaceDN w:val="0"/>
        <w:spacing w:after="0" w:line="240" w:lineRule="auto"/>
        <w:ind w:left="360" w:hanging="360"/>
        <w:textAlignment w:val="baseline"/>
        <w:rPr>
          <w:rFonts w:ascii="Arial" w:eastAsia="MS Mincho" w:hAnsi="Arial" w:cs="Arial"/>
          <w:lang w:eastAsia="ja-JP"/>
        </w:rPr>
      </w:pPr>
      <w:r w:rsidRPr="00F40D14">
        <w:rPr>
          <w:rFonts w:ascii="Arial" w:eastAsia="MS Mincho" w:hAnsi="Arial" w:cs="Arial"/>
          <w:b/>
          <w:lang w:eastAsia="ja-JP"/>
        </w:rPr>
        <w:t xml:space="preserve">Overview </w:t>
      </w:r>
    </w:p>
    <w:p w:rsidR="004C7DC0" w:rsidRPr="00F40D14" w:rsidRDefault="004C7DC0" w:rsidP="004C7DC0">
      <w:pPr>
        <w:autoSpaceDE w:val="0"/>
        <w:spacing w:after="0" w:line="240" w:lineRule="auto"/>
        <w:jc w:val="both"/>
        <w:rPr>
          <w:rFonts w:ascii="Arial" w:eastAsia="MS Mincho" w:hAnsi="Arial" w:cs="Arial"/>
          <w:b/>
          <w:bCs/>
          <w:color w:val="000000"/>
          <w:lang w:eastAsia="ja-JP"/>
        </w:rPr>
      </w:pPr>
    </w:p>
    <w:p w:rsidR="004C7DC0" w:rsidRPr="00F40D14" w:rsidRDefault="004C7DC0" w:rsidP="004C7DC0">
      <w:pPr>
        <w:numPr>
          <w:ilvl w:val="1"/>
          <w:numId w:val="2"/>
        </w:numPr>
        <w:autoSpaceDE w:val="0"/>
        <w:autoSpaceDN w:val="0"/>
        <w:spacing w:after="0" w:line="240" w:lineRule="auto"/>
        <w:ind w:left="540" w:hanging="540"/>
        <w:jc w:val="both"/>
        <w:rPr>
          <w:rFonts w:ascii="Arial" w:eastAsia="MS Mincho" w:hAnsi="Arial" w:cs="Arial"/>
          <w:lang w:eastAsia="ja-JP"/>
        </w:rPr>
      </w:pPr>
      <w:r w:rsidRPr="00F40D14">
        <w:rPr>
          <w:rFonts w:ascii="Arial" w:eastAsia="MS Mincho" w:hAnsi="Arial" w:cs="Arial"/>
          <w:lang w:eastAsia="ja-JP"/>
        </w:rPr>
        <w:t xml:space="preserve">The </w:t>
      </w:r>
      <w:r>
        <w:rPr>
          <w:rFonts w:ascii="Arial" w:eastAsia="MS Mincho" w:hAnsi="Arial" w:cs="Arial"/>
          <w:lang w:eastAsia="ja-JP"/>
        </w:rPr>
        <w:t xml:space="preserve">purpose of the </w:t>
      </w:r>
      <w:r w:rsidRPr="00F40D14">
        <w:rPr>
          <w:rFonts w:ascii="Arial" w:eastAsia="MS Mincho" w:hAnsi="Arial" w:cs="Arial"/>
          <w:lang w:eastAsia="ja-JP"/>
        </w:rPr>
        <w:t xml:space="preserve">proposed </w:t>
      </w:r>
      <w:r w:rsidRPr="004C7DC0">
        <w:rPr>
          <w:rFonts w:ascii="Arial" w:eastAsia="MS Mincho" w:hAnsi="Arial" w:cs="Arial"/>
          <w:lang w:eastAsia="ja-JP"/>
        </w:rPr>
        <w:t>partnership</w:t>
      </w:r>
      <w:r w:rsidRPr="00F40D14">
        <w:rPr>
          <w:rFonts w:ascii="Arial" w:eastAsia="MS Mincho" w:hAnsi="Arial" w:cs="Arial"/>
          <w:lang w:eastAsia="ja-JP"/>
        </w:rPr>
        <w:t xml:space="preserve"> </w:t>
      </w:r>
      <w:r>
        <w:rPr>
          <w:rFonts w:ascii="Arial" w:eastAsia="MS Mincho" w:hAnsi="Arial" w:cs="Arial"/>
          <w:lang w:eastAsia="ja-JP"/>
        </w:rPr>
        <w:t xml:space="preserve">with Banco </w:t>
      </w:r>
      <w:proofErr w:type="spellStart"/>
      <w:r>
        <w:rPr>
          <w:rFonts w:ascii="Arial" w:eastAsia="MS Mincho" w:hAnsi="Arial" w:cs="Arial"/>
          <w:lang w:eastAsia="ja-JP"/>
        </w:rPr>
        <w:t>Cooperativo</w:t>
      </w:r>
      <w:proofErr w:type="spellEnd"/>
      <w:r>
        <w:rPr>
          <w:rFonts w:ascii="Arial" w:eastAsia="MS Mincho" w:hAnsi="Arial" w:cs="Arial"/>
          <w:lang w:eastAsia="ja-JP"/>
        </w:rPr>
        <w:t xml:space="preserve"> </w:t>
      </w:r>
      <w:proofErr w:type="spellStart"/>
      <w:r>
        <w:rPr>
          <w:rFonts w:ascii="Arial" w:eastAsia="MS Mincho" w:hAnsi="Arial" w:cs="Arial"/>
          <w:lang w:eastAsia="ja-JP"/>
        </w:rPr>
        <w:t>Sicredi</w:t>
      </w:r>
      <w:proofErr w:type="spellEnd"/>
      <w:r>
        <w:rPr>
          <w:rFonts w:ascii="Arial" w:eastAsia="MS Mincho" w:hAnsi="Arial" w:cs="Arial"/>
          <w:lang w:eastAsia="ja-JP"/>
        </w:rPr>
        <w:t xml:space="preserve"> is to </w:t>
      </w:r>
      <w:r w:rsidR="004A7982">
        <w:rPr>
          <w:rFonts w:ascii="Arial" w:eastAsia="MS Mincho" w:hAnsi="Arial" w:cs="Arial"/>
          <w:lang w:eastAsia="ja-JP"/>
        </w:rPr>
        <w:t>expand access to finance</w:t>
      </w:r>
      <w:r>
        <w:rPr>
          <w:rFonts w:ascii="Arial" w:eastAsia="MS Mincho" w:hAnsi="Arial" w:cs="Arial"/>
          <w:lang w:eastAsia="ja-JP"/>
        </w:rPr>
        <w:t xml:space="preserve"> Brazilian rural producers. </w:t>
      </w:r>
      <w:r w:rsidRPr="004C7DC0">
        <w:rPr>
          <w:rFonts w:ascii="Arial" w:eastAsia="MS Mincho" w:hAnsi="Arial" w:cs="Arial"/>
          <w:lang w:eastAsia="ja-JP"/>
        </w:rPr>
        <w:t xml:space="preserve">IDB’s proceeds will be used to increase Banco </w:t>
      </w:r>
      <w:proofErr w:type="spellStart"/>
      <w:r w:rsidRPr="004C7DC0">
        <w:rPr>
          <w:rFonts w:ascii="Arial" w:eastAsia="MS Mincho" w:hAnsi="Arial" w:cs="Arial"/>
          <w:lang w:eastAsia="ja-JP"/>
        </w:rPr>
        <w:t>Sicredi’s</w:t>
      </w:r>
      <w:proofErr w:type="spellEnd"/>
      <w:r w:rsidRPr="004C7DC0">
        <w:rPr>
          <w:rFonts w:ascii="Arial" w:eastAsia="MS Mincho" w:hAnsi="Arial" w:cs="Arial"/>
          <w:lang w:eastAsia="ja-JP"/>
        </w:rPr>
        <w:t xml:space="preserve"> rural lending </w:t>
      </w:r>
      <w:r w:rsidR="001C0477">
        <w:rPr>
          <w:rFonts w:ascii="Arial" w:eastAsia="MS Mincho" w:hAnsi="Arial" w:cs="Arial"/>
          <w:lang w:eastAsia="ja-JP"/>
        </w:rPr>
        <w:t>portfolio (</w:t>
      </w:r>
      <w:r w:rsidR="001C0477" w:rsidRPr="001C0477">
        <w:rPr>
          <w:rFonts w:ascii="Arial" w:eastAsia="MS Mincho" w:hAnsi="Arial" w:cs="Arial"/>
          <w:lang w:eastAsia="ja-JP"/>
        </w:rPr>
        <w:t xml:space="preserve">production, related capital expenditures, </w:t>
      </w:r>
      <w:proofErr w:type="spellStart"/>
      <w:r w:rsidR="001C0477" w:rsidRPr="001C0477">
        <w:rPr>
          <w:rFonts w:ascii="Arial" w:eastAsia="MS Mincho" w:hAnsi="Arial" w:cs="Arial"/>
          <w:lang w:eastAsia="ja-JP"/>
        </w:rPr>
        <w:t>etc</w:t>
      </w:r>
      <w:proofErr w:type="spellEnd"/>
      <w:r w:rsidR="001C0477" w:rsidRPr="001C0477">
        <w:rPr>
          <w:rFonts w:ascii="Arial" w:eastAsia="MS Mincho" w:hAnsi="Arial" w:cs="Arial"/>
          <w:lang w:eastAsia="ja-JP"/>
        </w:rPr>
        <w:t>)</w:t>
      </w:r>
      <w:r w:rsidR="001C0477">
        <w:rPr>
          <w:rFonts w:ascii="Arial" w:eastAsia="MS Mincho" w:hAnsi="Arial" w:cs="Arial"/>
          <w:lang w:eastAsia="ja-JP"/>
        </w:rPr>
        <w:t xml:space="preserve"> </w:t>
      </w:r>
      <w:r w:rsidRPr="004C7DC0">
        <w:rPr>
          <w:rFonts w:ascii="Arial" w:eastAsia="MS Mincho" w:hAnsi="Arial" w:cs="Arial"/>
          <w:lang w:eastAsia="ja-JP"/>
        </w:rPr>
        <w:t>giving priority to the financing of activities and projects re</w:t>
      </w:r>
      <w:r w:rsidR="001C0477">
        <w:rPr>
          <w:rFonts w:ascii="Arial" w:eastAsia="MS Mincho" w:hAnsi="Arial" w:cs="Arial"/>
          <w:lang w:eastAsia="ja-JP"/>
        </w:rPr>
        <w:t>lated to low carbon agriculture</w:t>
      </w:r>
      <w:r w:rsidR="001C0477">
        <w:rPr>
          <w:rStyle w:val="FootnoteReference"/>
          <w:rFonts w:ascii="Arial" w:eastAsia="MS Mincho" w:hAnsi="Arial" w:cs="Arial"/>
          <w:lang w:eastAsia="ja-JP"/>
        </w:rPr>
        <w:footnoteReference w:id="2"/>
      </w:r>
      <w:r w:rsidR="001C0477">
        <w:rPr>
          <w:rFonts w:ascii="Arial" w:eastAsia="MS Mincho" w:hAnsi="Arial" w:cs="Arial"/>
          <w:lang w:eastAsia="ja-JP"/>
        </w:rPr>
        <w:t xml:space="preserve"> of the ABC Program</w:t>
      </w:r>
      <w:r w:rsidR="00F3356A">
        <w:rPr>
          <w:rStyle w:val="FootnoteReference"/>
          <w:rFonts w:ascii="Arial" w:eastAsia="MS Mincho" w:hAnsi="Arial" w:cs="Arial"/>
          <w:lang w:eastAsia="ja-JP"/>
        </w:rPr>
        <w:footnoteReference w:id="3"/>
      </w:r>
      <w:r w:rsidR="001C0477">
        <w:rPr>
          <w:rFonts w:ascii="Arial" w:eastAsia="MS Mincho" w:hAnsi="Arial" w:cs="Arial"/>
          <w:lang w:eastAsia="ja-JP"/>
        </w:rPr>
        <w:t xml:space="preserve">. </w:t>
      </w:r>
    </w:p>
    <w:p w:rsidR="004C7DC0" w:rsidRPr="00F40D14" w:rsidRDefault="004C7DC0" w:rsidP="004C7DC0">
      <w:pPr>
        <w:autoSpaceDE w:val="0"/>
        <w:spacing w:after="0" w:line="240" w:lineRule="auto"/>
        <w:ind w:left="540"/>
        <w:jc w:val="both"/>
        <w:rPr>
          <w:rFonts w:ascii="Arial" w:eastAsia="MS Mincho" w:hAnsi="Arial" w:cs="Arial"/>
          <w:lang w:eastAsia="ja-JP"/>
        </w:rPr>
      </w:pPr>
    </w:p>
    <w:p w:rsidR="004C7DC0" w:rsidRDefault="004C7DC0" w:rsidP="004C7DC0">
      <w:pPr>
        <w:numPr>
          <w:ilvl w:val="1"/>
          <w:numId w:val="2"/>
        </w:numPr>
        <w:autoSpaceDE w:val="0"/>
        <w:spacing w:after="60" w:line="240" w:lineRule="auto"/>
        <w:ind w:left="540" w:hanging="540"/>
        <w:jc w:val="both"/>
        <w:outlineLvl w:val="1"/>
        <w:rPr>
          <w:rFonts w:ascii="Arial" w:eastAsia="MS Mincho" w:hAnsi="Arial" w:cs="Arial"/>
          <w:lang w:eastAsia="ja-JP"/>
        </w:rPr>
      </w:pPr>
      <w:r w:rsidRPr="004C7DC0">
        <w:rPr>
          <w:rFonts w:ascii="Arial" w:eastAsia="MS Mincho" w:hAnsi="Arial" w:cs="Arial"/>
          <w:lang w:eastAsia="ja-JP"/>
        </w:rPr>
        <w:t xml:space="preserve">The Project will combine an A-Loan of up to US$35 million, 4 year </w:t>
      </w:r>
      <w:r w:rsidR="004A7982">
        <w:rPr>
          <w:rFonts w:ascii="Arial" w:eastAsia="MS Mincho" w:hAnsi="Arial" w:cs="Arial"/>
          <w:lang w:eastAsia="ja-JP"/>
        </w:rPr>
        <w:t>tenor</w:t>
      </w:r>
      <w:r w:rsidRPr="004C7DC0">
        <w:rPr>
          <w:rFonts w:ascii="Arial" w:eastAsia="MS Mincho" w:hAnsi="Arial" w:cs="Arial"/>
          <w:lang w:eastAsia="ja-JP"/>
        </w:rPr>
        <w:t xml:space="preserve"> with an up to US$15 million co-loan from the China Co-Financing Fund for LAC..</w:t>
      </w:r>
    </w:p>
    <w:p w:rsidR="001C0477" w:rsidRDefault="001C0477" w:rsidP="001C0477">
      <w:pPr>
        <w:autoSpaceDE w:val="0"/>
        <w:spacing w:after="60" w:line="240" w:lineRule="auto"/>
        <w:jc w:val="both"/>
        <w:outlineLvl w:val="1"/>
        <w:rPr>
          <w:rFonts w:ascii="Arial" w:eastAsia="MS Mincho" w:hAnsi="Arial" w:cs="Arial"/>
          <w:lang w:eastAsia="ja-JP"/>
        </w:rPr>
      </w:pPr>
    </w:p>
    <w:p w:rsidR="004C7DC0" w:rsidRPr="00F40D14" w:rsidRDefault="004C7DC0" w:rsidP="004C7DC0">
      <w:pPr>
        <w:numPr>
          <w:ilvl w:val="0"/>
          <w:numId w:val="1"/>
        </w:numPr>
        <w:suppressAutoHyphens/>
        <w:autoSpaceDE w:val="0"/>
        <w:autoSpaceDN w:val="0"/>
        <w:spacing w:after="0" w:line="240" w:lineRule="auto"/>
        <w:ind w:left="360" w:hanging="360"/>
        <w:textAlignment w:val="baseline"/>
        <w:rPr>
          <w:rFonts w:ascii="Arial" w:eastAsia="MS Mincho" w:hAnsi="Arial" w:cs="Arial"/>
          <w:b/>
          <w:bCs/>
          <w:color w:val="000000"/>
          <w:lang w:eastAsia="ja-JP"/>
        </w:rPr>
      </w:pPr>
      <w:r w:rsidRPr="00F40D14">
        <w:rPr>
          <w:rFonts w:ascii="Arial" w:eastAsia="MS Mincho" w:hAnsi="Arial" w:cs="Arial"/>
          <w:b/>
          <w:bCs/>
          <w:color w:val="000000"/>
          <w:lang w:eastAsia="ja-JP"/>
        </w:rPr>
        <w:t>Environmental and Social Impacts and Risks</w:t>
      </w:r>
    </w:p>
    <w:p w:rsidR="004C7DC0" w:rsidRPr="00F40D14" w:rsidRDefault="004C7DC0" w:rsidP="004C7DC0">
      <w:pPr>
        <w:autoSpaceDE w:val="0"/>
        <w:spacing w:after="0" w:line="240" w:lineRule="auto"/>
        <w:ind w:left="360"/>
        <w:contextualSpacing/>
        <w:rPr>
          <w:rFonts w:ascii="Arial" w:eastAsia="MS Mincho" w:hAnsi="Arial" w:cs="Arial"/>
          <w:b/>
          <w:bCs/>
          <w:color w:val="000000"/>
          <w:lang w:eastAsia="ja-JP"/>
        </w:rPr>
      </w:pPr>
    </w:p>
    <w:p w:rsidR="004C7DC0" w:rsidRPr="00F40D14" w:rsidRDefault="004C7DC0" w:rsidP="004C7DC0">
      <w:pPr>
        <w:numPr>
          <w:ilvl w:val="1"/>
          <w:numId w:val="3"/>
        </w:numPr>
        <w:autoSpaceDE w:val="0"/>
        <w:autoSpaceDN w:val="0"/>
        <w:spacing w:after="0" w:line="240" w:lineRule="auto"/>
        <w:ind w:left="540" w:hanging="540"/>
        <w:jc w:val="both"/>
        <w:rPr>
          <w:rFonts w:ascii="Arial" w:eastAsia="MS Mincho" w:hAnsi="Arial" w:cs="Arial"/>
          <w:lang w:eastAsia="ja-JP"/>
        </w:rPr>
      </w:pPr>
      <w:r w:rsidRPr="00F40D14">
        <w:rPr>
          <w:rFonts w:ascii="Arial" w:eastAsia="MS Mincho" w:hAnsi="Arial" w:cs="Arial"/>
          <w:lang w:eastAsia="ja-JP"/>
        </w:rPr>
        <w:t>Based upon the nature of this operation to support</w:t>
      </w:r>
      <w:r>
        <w:rPr>
          <w:rFonts w:ascii="Arial" w:eastAsia="MS Mincho" w:hAnsi="Arial" w:cs="Arial"/>
          <w:lang w:eastAsia="ja-JP"/>
        </w:rPr>
        <w:t xml:space="preserve"> rural lending</w:t>
      </w:r>
      <w:r w:rsidRPr="00F40D14">
        <w:rPr>
          <w:rFonts w:ascii="Arial" w:eastAsia="MS Mincho" w:hAnsi="Arial" w:cs="Arial"/>
          <w:lang w:eastAsia="ja-JP"/>
        </w:rPr>
        <w:t>, the</w:t>
      </w:r>
      <w:r>
        <w:rPr>
          <w:rFonts w:ascii="Arial" w:eastAsia="MS Mincho" w:hAnsi="Arial" w:cs="Arial"/>
          <w:lang w:eastAsia="ja-JP"/>
        </w:rPr>
        <w:t xml:space="preserve">re may be minimal to moderate </w:t>
      </w:r>
      <w:r w:rsidRPr="00F40D14">
        <w:rPr>
          <w:rFonts w:ascii="Arial" w:eastAsia="MS Mincho" w:hAnsi="Arial" w:cs="Arial"/>
          <w:lang w:eastAsia="ja-JP"/>
        </w:rPr>
        <w:t>direct environmental, social or health and safety (ESHS) and labor risks and impacts. To that end, specific environmental due diligence is required. The potential key ESHS and labor risks and impacts associated with this operation are those related to (</w:t>
      </w:r>
      <w:proofErr w:type="spellStart"/>
      <w:r w:rsidRPr="00F40D14">
        <w:rPr>
          <w:rFonts w:ascii="Arial" w:eastAsia="MS Mincho" w:hAnsi="Arial" w:cs="Arial"/>
          <w:lang w:eastAsia="ja-JP"/>
        </w:rPr>
        <w:t>i</w:t>
      </w:r>
      <w:proofErr w:type="spellEnd"/>
      <w:r w:rsidRPr="00F40D14">
        <w:rPr>
          <w:rFonts w:ascii="Arial" w:eastAsia="MS Mincho" w:hAnsi="Arial" w:cs="Arial"/>
          <w:lang w:eastAsia="ja-JP"/>
        </w:rPr>
        <w:t xml:space="preserve">) specific projects financed by </w:t>
      </w:r>
      <w:r>
        <w:rPr>
          <w:rFonts w:ascii="Arial" w:eastAsia="MS Mincho" w:hAnsi="Arial" w:cs="Arial"/>
          <w:lang w:eastAsia="ja-JP"/>
        </w:rPr>
        <w:t xml:space="preserve">Banco </w:t>
      </w:r>
      <w:proofErr w:type="spellStart"/>
      <w:r>
        <w:rPr>
          <w:rFonts w:ascii="Arial" w:eastAsia="MS Mincho" w:hAnsi="Arial" w:cs="Arial"/>
          <w:lang w:eastAsia="ja-JP"/>
        </w:rPr>
        <w:t>Sicredi</w:t>
      </w:r>
      <w:proofErr w:type="spellEnd"/>
      <w:r w:rsidRPr="00F40D14">
        <w:rPr>
          <w:rFonts w:ascii="Arial" w:eastAsia="MS Mincho" w:hAnsi="Arial" w:cs="Arial"/>
          <w:lang w:eastAsia="ja-JP"/>
        </w:rPr>
        <w:t xml:space="preserve"> with IDB’s use of proceeds, (ii) reputational risk associated with other operations, and (iii) adequacy of E&amp;S risk management capacity to manage risks under this credit line.</w:t>
      </w:r>
    </w:p>
    <w:p w:rsidR="004C7DC0" w:rsidRPr="00F40D14" w:rsidRDefault="004C7DC0" w:rsidP="004C7DC0">
      <w:pPr>
        <w:autoSpaceDE w:val="0"/>
        <w:spacing w:after="0" w:line="240" w:lineRule="auto"/>
        <w:jc w:val="both"/>
        <w:rPr>
          <w:rFonts w:ascii="Arial" w:eastAsia="MS Mincho" w:hAnsi="Arial" w:cs="Arial"/>
          <w:lang w:eastAsia="ja-JP"/>
        </w:rPr>
      </w:pPr>
    </w:p>
    <w:p w:rsidR="004C7DC0" w:rsidRPr="00F40D14" w:rsidRDefault="004C7DC0" w:rsidP="004C7DC0">
      <w:pPr>
        <w:numPr>
          <w:ilvl w:val="1"/>
          <w:numId w:val="3"/>
        </w:numPr>
        <w:autoSpaceDE w:val="0"/>
        <w:autoSpaceDN w:val="0"/>
        <w:spacing w:after="0" w:line="240" w:lineRule="auto"/>
        <w:ind w:left="540" w:hanging="540"/>
        <w:jc w:val="both"/>
        <w:rPr>
          <w:rFonts w:ascii="Arial" w:eastAsia="MS Mincho" w:hAnsi="Arial" w:cs="Arial"/>
          <w:i/>
          <w:iCs/>
          <w:lang w:eastAsia="ja-JP"/>
        </w:rPr>
      </w:pPr>
      <w:r w:rsidRPr="00F40D14">
        <w:rPr>
          <w:rFonts w:ascii="Arial" w:eastAsia="MS Mincho" w:hAnsi="Arial" w:cs="Arial"/>
          <w:i/>
          <w:lang w:eastAsia="ja-JP"/>
        </w:rPr>
        <w:t>Environmental and social risks with IDB’s use of proceeds</w:t>
      </w:r>
      <w:r w:rsidRPr="00F40D14">
        <w:rPr>
          <w:rFonts w:ascii="Arial" w:eastAsia="MS Mincho" w:hAnsi="Arial" w:cs="Arial"/>
          <w:lang w:eastAsia="ja-JP"/>
        </w:rPr>
        <w:t xml:space="preserve">: The type and extent of impacts will vary depending on the amount of loans to be extended and on the type of activities to be financed. Based upon </w:t>
      </w:r>
      <w:r w:rsidR="002339F9">
        <w:rPr>
          <w:rFonts w:ascii="Arial" w:eastAsia="MS Mincho" w:hAnsi="Arial" w:cs="Arial"/>
          <w:lang w:eastAsia="ja-JP"/>
        </w:rPr>
        <w:t xml:space="preserve">Banco </w:t>
      </w:r>
      <w:proofErr w:type="spellStart"/>
      <w:r w:rsidR="002339F9">
        <w:rPr>
          <w:rFonts w:ascii="Arial" w:eastAsia="MS Mincho" w:hAnsi="Arial" w:cs="Arial"/>
          <w:lang w:eastAsia="ja-JP"/>
        </w:rPr>
        <w:t>Sicredi</w:t>
      </w:r>
      <w:r w:rsidRPr="00F40D14">
        <w:rPr>
          <w:rFonts w:ascii="Arial" w:eastAsia="MS Mincho" w:hAnsi="Arial" w:cs="Arial"/>
          <w:lang w:eastAsia="ja-JP"/>
        </w:rPr>
        <w:t>’s</w:t>
      </w:r>
      <w:proofErr w:type="spellEnd"/>
      <w:r w:rsidRPr="00F40D14">
        <w:rPr>
          <w:rFonts w:ascii="Arial" w:eastAsia="MS Mincho" w:hAnsi="Arial" w:cs="Arial"/>
          <w:lang w:eastAsia="ja-JP"/>
        </w:rPr>
        <w:t xml:space="preserve"> </w:t>
      </w:r>
      <w:r w:rsidR="002339F9">
        <w:rPr>
          <w:rFonts w:ascii="Arial" w:eastAsia="MS Mincho" w:hAnsi="Arial" w:cs="Arial"/>
          <w:lang w:eastAsia="ja-JP"/>
        </w:rPr>
        <w:t xml:space="preserve">rural </w:t>
      </w:r>
      <w:r w:rsidRPr="00F40D14">
        <w:rPr>
          <w:rFonts w:ascii="Arial" w:eastAsia="MS Mincho" w:hAnsi="Arial" w:cs="Arial"/>
          <w:lang w:eastAsia="ja-JP"/>
        </w:rPr>
        <w:t>portfol</w:t>
      </w:r>
      <w:r w:rsidR="002339F9">
        <w:rPr>
          <w:rFonts w:ascii="Arial" w:eastAsia="MS Mincho" w:hAnsi="Arial" w:cs="Arial"/>
          <w:lang w:eastAsia="ja-JP"/>
        </w:rPr>
        <w:t>io composition, which includes working capital (60%) and equipment (40%)</w:t>
      </w:r>
      <w:r w:rsidR="008F1164">
        <w:rPr>
          <w:rFonts w:ascii="Arial" w:eastAsia="MS Mincho" w:hAnsi="Arial" w:cs="Arial"/>
          <w:lang w:eastAsia="ja-JP"/>
        </w:rPr>
        <w:t>,</w:t>
      </w:r>
      <w:r w:rsidR="002339F9">
        <w:rPr>
          <w:rFonts w:ascii="Arial" w:eastAsia="MS Mincho" w:hAnsi="Arial" w:cs="Arial"/>
          <w:lang w:eastAsia="ja-JP"/>
        </w:rPr>
        <w:t xml:space="preserve"> </w:t>
      </w:r>
      <w:r w:rsidR="008F1164">
        <w:rPr>
          <w:rFonts w:ascii="Arial" w:eastAsia="MS Mincho" w:hAnsi="Arial" w:cs="Arial"/>
          <w:lang w:eastAsia="ja-JP"/>
        </w:rPr>
        <w:t xml:space="preserve">and with an average loan of US$17,000 </w:t>
      </w:r>
      <w:r w:rsidRPr="00F40D14">
        <w:rPr>
          <w:rFonts w:ascii="Arial" w:eastAsia="MS Mincho" w:hAnsi="Arial" w:cs="Arial"/>
          <w:i/>
          <w:lang w:eastAsia="ja-JP"/>
        </w:rPr>
        <w:t>as gathered during the pre-due diligence assessment</w:t>
      </w:r>
      <w:r w:rsidR="002339F9">
        <w:rPr>
          <w:rFonts w:ascii="Arial" w:eastAsia="MS Mincho" w:hAnsi="Arial" w:cs="Arial"/>
          <w:lang w:eastAsia="ja-JP"/>
        </w:rPr>
        <w:t xml:space="preserve">, the E&amp;S risks appear to be minimal to moderate and can be managed by Banco </w:t>
      </w:r>
      <w:proofErr w:type="spellStart"/>
      <w:r w:rsidR="002339F9">
        <w:rPr>
          <w:rFonts w:ascii="Arial" w:eastAsia="MS Mincho" w:hAnsi="Arial" w:cs="Arial"/>
          <w:lang w:eastAsia="ja-JP"/>
        </w:rPr>
        <w:t>Sicredi</w:t>
      </w:r>
      <w:proofErr w:type="spellEnd"/>
      <w:r w:rsidR="002339F9">
        <w:rPr>
          <w:rFonts w:ascii="Arial" w:eastAsia="MS Mincho" w:hAnsi="Arial" w:cs="Arial"/>
          <w:lang w:eastAsia="ja-JP"/>
        </w:rPr>
        <w:t xml:space="preserve"> with </w:t>
      </w:r>
      <w:r w:rsidRPr="00F40D14">
        <w:rPr>
          <w:rFonts w:ascii="Arial" w:eastAsia="MS Mincho" w:hAnsi="Arial" w:cs="Arial"/>
          <w:lang w:eastAsia="ja-JP"/>
        </w:rPr>
        <w:t xml:space="preserve">a set of E&amp;S procedures.  </w:t>
      </w:r>
    </w:p>
    <w:p w:rsidR="004C7DC0" w:rsidRPr="00F40D14" w:rsidRDefault="004C7DC0" w:rsidP="004C7DC0">
      <w:pPr>
        <w:spacing w:after="0" w:line="240" w:lineRule="auto"/>
        <w:ind w:left="720"/>
        <w:contextualSpacing/>
        <w:rPr>
          <w:rFonts w:ascii="Arial" w:eastAsia="MS Mincho" w:hAnsi="Arial" w:cs="Arial"/>
          <w:lang w:eastAsia="ja-JP"/>
        </w:rPr>
      </w:pPr>
    </w:p>
    <w:p w:rsidR="004C7DC0" w:rsidRPr="00F40D14" w:rsidRDefault="004C7DC0" w:rsidP="004C7DC0">
      <w:pPr>
        <w:numPr>
          <w:ilvl w:val="1"/>
          <w:numId w:val="3"/>
        </w:numPr>
        <w:autoSpaceDE w:val="0"/>
        <w:autoSpaceDN w:val="0"/>
        <w:spacing w:after="0" w:line="240" w:lineRule="auto"/>
        <w:ind w:left="540" w:hanging="540"/>
        <w:jc w:val="both"/>
        <w:rPr>
          <w:rFonts w:ascii="Arial" w:eastAsia="MS Mincho" w:hAnsi="Arial" w:cs="Arial"/>
          <w:i/>
          <w:iCs/>
          <w:lang w:eastAsia="ja-JP"/>
        </w:rPr>
      </w:pPr>
      <w:r w:rsidRPr="00F40D14">
        <w:rPr>
          <w:rFonts w:ascii="Arial" w:eastAsia="MS Mincho" w:hAnsi="Arial" w:cs="Arial"/>
          <w:lang w:eastAsia="ja-JP"/>
        </w:rPr>
        <w:lastRenderedPageBreak/>
        <w:t xml:space="preserve">With regard to loans </w:t>
      </w:r>
      <w:r w:rsidR="002339F9">
        <w:rPr>
          <w:rFonts w:ascii="Arial" w:eastAsia="MS Mincho" w:hAnsi="Arial" w:cs="Arial"/>
          <w:lang w:eastAsia="ja-JP"/>
        </w:rPr>
        <w:t xml:space="preserve">located in </w:t>
      </w:r>
      <w:r w:rsidR="007A7543">
        <w:rPr>
          <w:rFonts w:ascii="Arial" w:eastAsia="MS Mincho" w:hAnsi="Arial" w:cs="Arial"/>
          <w:lang w:eastAsia="ja-JP"/>
        </w:rPr>
        <w:t xml:space="preserve">states with high environmental richness </w:t>
      </w:r>
      <w:r w:rsidR="00C91104">
        <w:rPr>
          <w:rFonts w:ascii="Arial" w:eastAsia="MS Mincho" w:hAnsi="Arial" w:cs="Arial"/>
          <w:lang w:eastAsia="ja-JP"/>
        </w:rPr>
        <w:t xml:space="preserve">(i.e. </w:t>
      </w:r>
      <w:proofErr w:type="spellStart"/>
      <w:r w:rsidR="002339F9">
        <w:rPr>
          <w:rFonts w:ascii="Arial" w:eastAsia="MS Mincho" w:hAnsi="Arial" w:cs="Arial"/>
          <w:lang w:eastAsia="ja-JP"/>
        </w:rPr>
        <w:t>Mato</w:t>
      </w:r>
      <w:proofErr w:type="spellEnd"/>
      <w:r w:rsidR="002339F9">
        <w:rPr>
          <w:rFonts w:ascii="Arial" w:eastAsia="MS Mincho" w:hAnsi="Arial" w:cs="Arial"/>
          <w:lang w:eastAsia="ja-JP"/>
        </w:rPr>
        <w:t xml:space="preserve"> Grosso and </w:t>
      </w:r>
      <w:proofErr w:type="spellStart"/>
      <w:r w:rsidR="002339F9">
        <w:rPr>
          <w:rFonts w:ascii="Arial" w:eastAsia="MS Mincho" w:hAnsi="Arial" w:cs="Arial"/>
          <w:lang w:eastAsia="ja-JP"/>
        </w:rPr>
        <w:t>Mato</w:t>
      </w:r>
      <w:proofErr w:type="spellEnd"/>
      <w:r w:rsidR="002339F9">
        <w:rPr>
          <w:rFonts w:ascii="Arial" w:eastAsia="MS Mincho" w:hAnsi="Arial" w:cs="Arial"/>
          <w:lang w:eastAsia="ja-JP"/>
        </w:rPr>
        <w:t xml:space="preserve"> Grosso do </w:t>
      </w:r>
      <w:proofErr w:type="spellStart"/>
      <w:r w:rsidR="002339F9">
        <w:rPr>
          <w:rFonts w:ascii="Arial" w:eastAsia="MS Mincho" w:hAnsi="Arial" w:cs="Arial"/>
          <w:lang w:eastAsia="ja-JP"/>
        </w:rPr>
        <w:t>Sul</w:t>
      </w:r>
      <w:proofErr w:type="spellEnd"/>
      <w:r w:rsidR="00C91104">
        <w:rPr>
          <w:rFonts w:ascii="Arial" w:eastAsia="MS Mincho" w:hAnsi="Arial" w:cs="Arial"/>
          <w:lang w:eastAsia="ja-JP"/>
        </w:rPr>
        <w:t>)</w:t>
      </w:r>
      <w:r w:rsidR="007A50C3">
        <w:rPr>
          <w:rStyle w:val="FootnoteReference"/>
          <w:rFonts w:ascii="Arial" w:eastAsia="MS Mincho" w:hAnsi="Arial" w:cs="Arial"/>
          <w:lang w:eastAsia="ja-JP"/>
        </w:rPr>
        <w:footnoteReference w:id="4"/>
      </w:r>
      <w:r w:rsidRPr="00F40D14">
        <w:rPr>
          <w:rFonts w:ascii="Arial" w:eastAsia="MS Mincho" w:hAnsi="Arial" w:cs="Arial"/>
          <w:lang w:eastAsia="ja-JP"/>
        </w:rPr>
        <w:t xml:space="preserve"> further analysis will be undertaken during due diligence as to the E&amp;</w:t>
      </w:r>
      <w:r w:rsidR="007E685E">
        <w:rPr>
          <w:rFonts w:ascii="Arial" w:eastAsia="MS Mincho" w:hAnsi="Arial" w:cs="Arial"/>
          <w:lang w:eastAsia="ja-JP"/>
        </w:rPr>
        <w:t>S risk</w:t>
      </w:r>
      <w:r w:rsidR="007A7543">
        <w:rPr>
          <w:rFonts w:ascii="Arial" w:eastAsia="MS Mincho" w:hAnsi="Arial" w:cs="Arial"/>
          <w:lang w:eastAsia="ja-JP"/>
        </w:rPr>
        <w:t xml:space="preserve"> identification</w:t>
      </w:r>
      <w:r w:rsidR="007E685E">
        <w:rPr>
          <w:rFonts w:ascii="Arial" w:eastAsia="MS Mincho" w:hAnsi="Arial" w:cs="Arial"/>
          <w:lang w:eastAsia="ja-JP"/>
        </w:rPr>
        <w:t xml:space="preserve"> and management response </w:t>
      </w:r>
      <w:r w:rsidR="007A7543">
        <w:rPr>
          <w:rFonts w:ascii="Arial" w:eastAsia="MS Mincho" w:hAnsi="Arial" w:cs="Arial"/>
          <w:lang w:eastAsia="ja-JP"/>
        </w:rPr>
        <w:t xml:space="preserve">of Banco </w:t>
      </w:r>
      <w:proofErr w:type="spellStart"/>
      <w:r w:rsidR="007A7543">
        <w:rPr>
          <w:rFonts w:ascii="Arial" w:eastAsia="MS Mincho" w:hAnsi="Arial" w:cs="Arial"/>
          <w:lang w:eastAsia="ja-JP"/>
        </w:rPr>
        <w:t>Sicredi</w:t>
      </w:r>
      <w:proofErr w:type="spellEnd"/>
      <w:r w:rsidR="007A7543">
        <w:rPr>
          <w:rFonts w:ascii="Arial" w:eastAsia="MS Mincho" w:hAnsi="Arial" w:cs="Arial"/>
          <w:lang w:eastAsia="ja-JP"/>
        </w:rPr>
        <w:t xml:space="preserve"> </w:t>
      </w:r>
      <w:r w:rsidR="007E685E">
        <w:rPr>
          <w:rFonts w:ascii="Arial" w:eastAsia="MS Mincho" w:hAnsi="Arial" w:cs="Arial"/>
          <w:lang w:eastAsia="ja-JP"/>
        </w:rPr>
        <w:t xml:space="preserve">in regards </w:t>
      </w:r>
      <w:r w:rsidR="007A7543">
        <w:rPr>
          <w:rFonts w:ascii="Arial" w:eastAsia="MS Mincho" w:hAnsi="Arial" w:cs="Arial"/>
          <w:lang w:eastAsia="ja-JP"/>
        </w:rPr>
        <w:t xml:space="preserve">of </w:t>
      </w:r>
      <w:r w:rsidR="00B60A8E">
        <w:rPr>
          <w:rFonts w:ascii="Arial" w:eastAsia="MS Mincho" w:hAnsi="Arial" w:cs="Arial"/>
          <w:lang w:eastAsia="ja-JP"/>
        </w:rPr>
        <w:t xml:space="preserve">deforestation, </w:t>
      </w:r>
      <w:r w:rsidR="00836D73">
        <w:rPr>
          <w:rFonts w:ascii="Arial" w:eastAsia="MS Mincho" w:hAnsi="Arial" w:cs="Arial"/>
          <w:lang w:eastAsia="ja-JP"/>
        </w:rPr>
        <w:t>land clearing, and biodiversity loss.</w:t>
      </w:r>
    </w:p>
    <w:p w:rsidR="004C7DC0" w:rsidRPr="00F40D14" w:rsidRDefault="004C7DC0" w:rsidP="004C7DC0">
      <w:pPr>
        <w:spacing w:after="0" w:line="240" w:lineRule="auto"/>
        <w:rPr>
          <w:rFonts w:ascii="Arial" w:eastAsia="MS Mincho" w:hAnsi="Arial" w:cs="Arial"/>
          <w:i/>
          <w:color w:val="000000"/>
          <w:lang w:eastAsia="ja-JP"/>
        </w:rPr>
      </w:pPr>
    </w:p>
    <w:p w:rsidR="004C7DC0" w:rsidRPr="00F40D14" w:rsidRDefault="004C7DC0" w:rsidP="004C7DC0">
      <w:pPr>
        <w:numPr>
          <w:ilvl w:val="1"/>
          <w:numId w:val="3"/>
        </w:numPr>
        <w:autoSpaceDE w:val="0"/>
        <w:autoSpaceDN w:val="0"/>
        <w:spacing w:after="0" w:line="240" w:lineRule="auto"/>
        <w:ind w:left="540" w:hanging="540"/>
        <w:jc w:val="both"/>
        <w:rPr>
          <w:rFonts w:ascii="Arial" w:eastAsia="MS Mincho" w:hAnsi="Arial" w:cs="Arial"/>
          <w:lang w:eastAsia="ja-JP"/>
        </w:rPr>
      </w:pPr>
      <w:r w:rsidRPr="00F40D14">
        <w:rPr>
          <w:rFonts w:ascii="Arial" w:eastAsia="MS Mincho" w:hAnsi="Arial" w:cs="Arial"/>
          <w:i/>
          <w:color w:val="000000"/>
          <w:lang w:eastAsia="ja-JP"/>
        </w:rPr>
        <w:t>Reputational risks associated with the impact of other operations:</w:t>
      </w:r>
      <w:r w:rsidRPr="00F40D14">
        <w:rPr>
          <w:rFonts w:ascii="Arial" w:eastAsia="MS Mincho" w:hAnsi="Arial" w:cs="Arial"/>
          <w:color w:val="000000"/>
          <w:lang w:eastAsia="ja-JP"/>
        </w:rPr>
        <w:t xml:space="preserve"> Reputational risks relate</w:t>
      </w:r>
      <w:r w:rsidR="00836D73">
        <w:rPr>
          <w:rFonts w:ascii="Arial" w:eastAsia="MS Mincho" w:hAnsi="Arial" w:cs="Arial"/>
          <w:color w:val="000000"/>
          <w:lang w:eastAsia="ja-JP"/>
        </w:rPr>
        <w:t>d</w:t>
      </w:r>
      <w:r w:rsidRPr="00F40D14">
        <w:rPr>
          <w:rFonts w:ascii="Arial" w:eastAsia="MS Mincho" w:hAnsi="Arial" w:cs="Arial"/>
          <w:color w:val="000000"/>
          <w:lang w:eastAsia="ja-JP"/>
        </w:rPr>
        <w:t xml:space="preserve"> to </w:t>
      </w:r>
      <w:r w:rsidR="00836D73">
        <w:rPr>
          <w:rFonts w:ascii="Arial" w:eastAsia="MS Mincho" w:hAnsi="Arial" w:cs="Arial"/>
          <w:lang w:eastAsia="ja-JP"/>
        </w:rPr>
        <w:t xml:space="preserve">Banco </w:t>
      </w:r>
      <w:proofErr w:type="spellStart"/>
      <w:r w:rsidR="00836D73">
        <w:rPr>
          <w:rFonts w:ascii="Arial" w:eastAsia="MS Mincho" w:hAnsi="Arial" w:cs="Arial"/>
          <w:lang w:eastAsia="ja-JP"/>
        </w:rPr>
        <w:t>Sicredi</w:t>
      </w:r>
      <w:r w:rsidRPr="00F40D14">
        <w:rPr>
          <w:rFonts w:ascii="Arial" w:eastAsia="MS Mincho" w:hAnsi="Arial" w:cs="Arial"/>
          <w:lang w:eastAsia="ja-JP"/>
        </w:rPr>
        <w:t>’s</w:t>
      </w:r>
      <w:proofErr w:type="spellEnd"/>
      <w:r w:rsidRPr="00F40D14">
        <w:rPr>
          <w:rFonts w:ascii="Arial" w:eastAsia="MS Mincho" w:hAnsi="Arial" w:cs="Arial"/>
          <w:color w:val="000000"/>
          <w:lang w:eastAsia="ja-JP"/>
        </w:rPr>
        <w:t xml:space="preserve"> involvement in projects, companies or activities considered unacceptable to the IDB and/or that will face significant public opposition or concerns. Based on early indication, the potential for reputational risk is </w:t>
      </w:r>
      <w:r w:rsidR="00C65C1D">
        <w:rPr>
          <w:rFonts w:ascii="Arial" w:eastAsia="MS Mincho" w:hAnsi="Arial" w:cs="Arial"/>
          <w:color w:val="000000"/>
          <w:lang w:eastAsia="ja-JP"/>
        </w:rPr>
        <w:t>low.</w:t>
      </w:r>
    </w:p>
    <w:p w:rsidR="004C7DC0" w:rsidRPr="00F40D14" w:rsidRDefault="004C7DC0" w:rsidP="004C7DC0">
      <w:pPr>
        <w:spacing w:after="0" w:line="240" w:lineRule="auto"/>
        <w:ind w:left="540" w:hanging="540"/>
        <w:contextualSpacing/>
        <w:rPr>
          <w:rFonts w:ascii="Arial" w:eastAsia="MS Mincho" w:hAnsi="Arial" w:cs="Arial"/>
          <w:color w:val="000000"/>
          <w:lang w:eastAsia="ja-JP"/>
        </w:rPr>
      </w:pPr>
    </w:p>
    <w:p w:rsidR="00465E38" w:rsidRDefault="004C7DC0" w:rsidP="00682D6A">
      <w:pPr>
        <w:numPr>
          <w:ilvl w:val="1"/>
          <w:numId w:val="3"/>
        </w:numPr>
        <w:autoSpaceDE w:val="0"/>
        <w:autoSpaceDN w:val="0"/>
        <w:spacing w:after="0" w:line="240" w:lineRule="auto"/>
        <w:ind w:left="540" w:hanging="540"/>
        <w:jc w:val="both"/>
        <w:rPr>
          <w:rFonts w:ascii="Arial" w:eastAsia="MS Mincho" w:hAnsi="Arial" w:cs="Arial"/>
          <w:lang w:eastAsia="ja-JP"/>
        </w:rPr>
      </w:pPr>
      <w:r w:rsidRPr="00F40D14">
        <w:rPr>
          <w:rFonts w:ascii="Arial" w:eastAsia="MS Mincho" w:hAnsi="Arial" w:cs="Arial"/>
          <w:i/>
          <w:lang w:eastAsia="ja-JP"/>
        </w:rPr>
        <w:t>E&amp;S Risk Management Capacity:</w:t>
      </w:r>
      <w:r w:rsidRPr="00F40D14">
        <w:rPr>
          <w:rFonts w:ascii="Arial" w:eastAsia="MS Mincho" w:hAnsi="Arial" w:cs="Arial"/>
          <w:lang w:eastAsia="ja-JP"/>
        </w:rPr>
        <w:t xml:space="preserve"> </w:t>
      </w:r>
      <w:r w:rsidR="000E6CE2">
        <w:rPr>
          <w:rFonts w:ascii="Arial" w:eastAsia="MS Mincho" w:hAnsi="Arial" w:cs="Arial"/>
          <w:lang w:eastAsia="ja-JP"/>
        </w:rPr>
        <w:t xml:space="preserve">Banco </w:t>
      </w:r>
      <w:proofErr w:type="spellStart"/>
      <w:r w:rsidR="000E6CE2">
        <w:rPr>
          <w:rFonts w:ascii="Arial" w:eastAsia="MS Mincho" w:hAnsi="Arial" w:cs="Arial"/>
          <w:lang w:eastAsia="ja-JP"/>
        </w:rPr>
        <w:t>Sicredi</w:t>
      </w:r>
      <w:proofErr w:type="spellEnd"/>
      <w:r w:rsidR="000E6CE2">
        <w:rPr>
          <w:rFonts w:ascii="Arial" w:eastAsia="MS Mincho" w:hAnsi="Arial" w:cs="Arial"/>
          <w:lang w:eastAsia="ja-JP"/>
        </w:rPr>
        <w:t xml:space="preserve"> has a Sustainability Policy in place promoting the economic development while protecting the environment and the society.  In addition, </w:t>
      </w:r>
      <w:r w:rsidR="00C65C1D">
        <w:rPr>
          <w:rFonts w:ascii="Arial" w:eastAsia="MS Mincho" w:hAnsi="Arial" w:cs="Arial"/>
          <w:lang w:eastAsia="ja-JP"/>
        </w:rPr>
        <w:t xml:space="preserve">Banco </w:t>
      </w:r>
      <w:proofErr w:type="spellStart"/>
      <w:r w:rsidR="00C65C1D">
        <w:rPr>
          <w:rFonts w:ascii="Arial" w:eastAsia="MS Mincho" w:hAnsi="Arial" w:cs="Arial"/>
          <w:lang w:eastAsia="ja-JP"/>
        </w:rPr>
        <w:t>Sicredi</w:t>
      </w:r>
      <w:proofErr w:type="spellEnd"/>
      <w:r w:rsidR="00C65C1D">
        <w:rPr>
          <w:rFonts w:ascii="Arial" w:eastAsia="MS Mincho" w:hAnsi="Arial" w:cs="Arial"/>
          <w:lang w:eastAsia="ja-JP"/>
        </w:rPr>
        <w:t xml:space="preserve"> has recently implemented, its Internal Environmental and Social Policy (Norma </w:t>
      </w:r>
      <w:proofErr w:type="spellStart"/>
      <w:r w:rsidR="00C65C1D">
        <w:rPr>
          <w:rFonts w:ascii="Arial" w:eastAsia="MS Mincho" w:hAnsi="Arial" w:cs="Arial"/>
          <w:lang w:eastAsia="ja-JP"/>
        </w:rPr>
        <w:t>Interna-Risco</w:t>
      </w:r>
      <w:proofErr w:type="spellEnd"/>
      <w:r w:rsidR="00C65C1D">
        <w:rPr>
          <w:rFonts w:ascii="Arial" w:eastAsia="MS Mincho" w:hAnsi="Arial" w:cs="Arial"/>
          <w:lang w:eastAsia="ja-JP"/>
        </w:rPr>
        <w:t xml:space="preserve"> </w:t>
      </w:r>
      <w:proofErr w:type="spellStart"/>
      <w:r w:rsidR="00C65C1D">
        <w:rPr>
          <w:rFonts w:ascii="Arial" w:eastAsia="MS Mincho" w:hAnsi="Arial" w:cs="Arial"/>
          <w:lang w:eastAsia="ja-JP"/>
        </w:rPr>
        <w:t>Socioambiental</w:t>
      </w:r>
      <w:proofErr w:type="spellEnd"/>
      <w:r w:rsidR="00C65C1D">
        <w:rPr>
          <w:rFonts w:ascii="Arial" w:eastAsia="MS Mincho" w:hAnsi="Arial" w:cs="Arial"/>
          <w:lang w:eastAsia="ja-JP"/>
        </w:rPr>
        <w:t xml:space="preserve"> </w:t>
      </w:r>
      <w:proofErr w:type="spellStart"/>
      <w:r w:rsidR="00C65C1D">
        <w:rPr>
          <w:rFonts w:ascii="Arial" w:eastAsia="MS Mincho" w:hAnsi="Arial" w:cs="Arial"/>
          <w:lang w:eastAsia="ja-JP"/>
        </w:rPr>
        <w:t>Direcionado</w:t>
      </w:r>
      <w:proofErr w:type="spellEnd"/>
      <w:r w:rsidR="00C65C1D">
        <w:rPr>
          <w:rFonts w:ascii="Arial" w:eastAsia="MS Mincho" w:hAnsi="Arial" w:cs="Arial"/>
          <w:lang w:eastAsia="ja-JP"/>
        </w:rPr>
        <w:t xml:space="preserve"> </w:t>
      </w:r>
      <w:proofErr w:type="spellStart"/>
      <w:r w:rsidR="00C65C1D">
        <w:rPr>
          <w:rFonts w:ascii="Arial" w:eastAsia="MS Mincho" w:hAnsi="Arial" w:cs="Arial"/>
          <w:lang w:eastAsia="ja-JP"/>
        </w:rPr>
        <w:t>ao</w:t>
      </w:r>
      <w:proofErr w:type="spellEnd"/>
      <w:r w:rsidR="00C65C1D">
        <w:rPr>
          <w:rFonts w:ascii="Arial" w:eastAsia="MS Mincho" w:hAnsi="Arial" w:cs="Arial"/>
          <w:lang w:eastAsia="ja-JP"/>
        </w:rPr>
        <w:t xml:space="preserve"> </w:t>
      </w:r>
      <w:proofErr w:type="spellStart"/>
      <w:r w:rsidR="00C65C1D">
        <w:rPr>
          <w:rFonts w:ascii="Arial" w:eastAsia="MS Mincho" w:hAnsi="Arial" w:cs="Arial"/>
          <w:lang w:eastAsia="ja-JP"/>
        </w:rPr>
        <w:t>Credito</w:t>
      </w:r>
      <w:proofErr w:type="spellEnd"/>
      <w:r w:rsidR="00C65C1D">
        <w:rPr>
          <w:rFonts w:ascii="Arial" w:eastAsia="MS Mincho" w:hAnsi="Arial" w:cs="Arial"/>
          <w:lang w:eastAsia="ja-JP"/>
        </w:rPr>
        <w:t xml:space="preserve">) which is in line with </w:t>
      </w:r>
      <w:r w:rsidR="009E61D9">
        <w:rPr>
          <w:rFonts w:ascii="Arial" w:eastAsia="MS Mincho" w:hAnsi="Arial" w:cs="Arial"/>
          <w:lang w:eastAsia="ja-JP"/>
        </w:rPr>
        <w:t xml:space="preserve">Resolution </w:t>
      </w:r>
      <w:r w:rsidR="00CB56C3">
        <w:rPr>
          <w:rFonts w:ascii="Arial" w:eastAsia="MS Mincho" w:hAnsi="Arial" w:cs="Arial"/>
          <w:lang w:eastAsia="ja-JP"/>
        </w:rPr>
        <w:t xml:space="preserve">No 4.327 </w:t>
      </w:r>
      <w:r w:rsidR="009E61D9">
        <w:rPr>
          <w:rFonts w:ascii="Arial" w:eastAsia="MS Mincho" w:hAnsi="Arial" w:cs="Arial"/>
          <w:lang w:eastAsia="ja-JP"/>
        </w:rPr>
        <w:t>of Brazil</w:t>
      </w:r>
      <w:r w:rsidR="00682D6A">
        <w:rPr>
          <w:rFonts w:ascii="Arial" w:eastAsia="MS Mincho" w:hAnsi="Arial" w:cs="Arial"/>
          <w:lang w:eastAsia="ja-JP"/>
        </w:rPr>
        <w:t>’s</w:t>
      </w:r>
      <w:r w:rsidR="009E61D9">
        <w:rPr>
          <w:rFonts w:ascii="Arial" w:eastAsia="MS Mincho" w:hAnsi="Arial" w:cs="Arial"/>
          <w:lang w:eastAsia="ja-JP"/>
        </w:rPr>
        <w:t xml:space="preserve"> Central </w:t>
      </w:r>
      <w:r w:rsidR="00CB56C3">
        <w:rPr>
          <w:rFonts w:ascii="Arial" w:eastAsia="MS Mincho" w:hAnsi="Arial" w:cs="Arial"/>
          <w:lang w:eastAsia="ja-JP"/>
        </w:rPr>
        <w:t xml:space="preserve">Bank </w:t>
      </w:r>
      <w:r w:rsidR="00682D6A">
        <w:rPr>
          <w:rFonts w:ascii="Arial" w:eastAsia="MS Mincho" w:hAnsi="Arial" w:cs="Arial"/>
          <w:lang w:eastAsia="ja-JP"/>
        </w:rPr>
        <w:t>that</w:t>
      </w:r>
      <w:r w:rsidR="00CB56C3">
        <w:rPr>
          <w:rFonts w:ascii="Arial" w:eastAsia="MS Mincho" w:hAnsi="Arial" w:cs="Arial"/>
          <w:lang w:eastAsia="ja-JP"/>
        </w:rPr>
        <w:t xml:space="preserve"> establishes the guidelines for the implementation of the </w:t>
      </w:r>
      <w:r w:rsidR="00682D6A">
        <w:rPr>
          <w:rFonts w:ascii="Arial" w:eastAsia="MS Mincho" w:hAnsi="Arial" w:cs="Arial"/>
          <w:lang w:eastAsia="ja-JP"/>
        </w:rPr>
        <w:t>Environmental and Social Responsibility Policy for Financial Institutions.</w:t>
      </w:r>
      <w:r w:rsidR="00CB56C3">
        <w:rPr>
          <w:rFonts w:ascii="Arial" w:eastAsia="MS Mincho" w:hAnsi="Arial" w:cs="Arial"/>
          <w:lang w:eastAsia="ja-JP"/>
        </w:rPr>
        <w:t xml:space="preserve"> </w:t>
      </w:r>
      <w:r w:rsidR="000E6CE2">
        <w:rPr>
          <w:rFonts w:ascii="Arial" w:eastAsia="MS Mincho" w:hAnsi="Arial" w:cs="Arial"/>
          <w:lang w:eastAsia="ja-JP"/>
        </w:rPr>
        <w:t>The Policy is applicable to operations above</w:t>
      </w:r>
      <w:r w:rsidR="00A50821">
        <w:rPr>
          <w:rFonts w:ascii="Arial" w:eastAsia="MS Mincho" w:hAnsi="Arial" w:cs="Arial"/>
          <w:lang w:eastAsia="ja-JP"/>
        </w:rPr>
        <w:t xml:space="preserve"> R$2 million (aprox.US$700,300);</w:t>
      </w:r>
      <w:r w:rsidR="000E6CE2">
        <w:rPr>
          <w:rFonts w:ascii="Arial" w:eastAsia="MS Mincho" w:hAnsi="Arial" w:cs="Arial"/>
          <w:lang w:eastAsia="ja-JP"/>
        </w:rPr>
        <w:t xml:space="preserve"> therefore</w:t>
      </w:r>
      <w:r w:rsidR="00A50821">
        <w:rPr>
          <w:rFonts w:ascii="Arial" w:eastAsia="MS Mincho" w:hAnsi="Arial" w:cs="Arial"/>
          <w:lang w:eastAsia="ja-JP"/>
        </w:rPr>
        <w:t>,</w:t>
      </w:r>
      <w:r w:rsidR="000E6CE2">
        <w:rPr>
          <w:rFonts w:ascii="Arial" w:eastAsia="MS Mincho" w:hAnsi="Arial" w:cs="Arial"/>
          <w:lang w:eastAsia="ja-JP"/>
        </w:rPr>
        <w:t xml:space="preserve"> will not be applicable to subprojects financed with this operation. </w:t>
      </w:r>
      <w:r w:rsidR="0079054E">
        <w:rPr>
          <w:rFonts w:ascii="Arial" w:eastAsia="MS Mincho" w:hAnsi="Arial" w:cs="Arial"/>
          <w:lang w:eastAsia="ja-JP"/>
        </w:rPr>
        <w:t xml:space="preserve">As part of the due diligence, the Bank </w:t>
      </w:r>
      <w:r w:rsidR="000E6CE2">
        <w:rPr>
          <w:rFonts w:ascii="Arial" w:eastAsia="MS Mincho" w:hAnsi="Arial" w:cs="Arial"/>
          <w:lang w:eastAsia="ja-JP"/>
        </w:rPr>
        <w:t xml:space="preserve">will </w:t>
      </w:r>
      <w:r w:rsidR="0079054E">
        <w:rPr>
          <w:rFonts w:ascii="Arial" w:eastAsia="MS Mincho" w:hAnsi="Arial" w:cs="Arial"/>
          <w:lang w:eastAsia="ja-JP"/>
        </w:rPr>
        <w:t xml:space="preserve">assess Banco </w:t>
      </w:r>
      <w:proofErr w:type="spellStart"/>
      <w:r w:rsidR="0079054E">
        <w:rPr>
          <w:rFonts w:ascii="Arial" w:eastAsia="MS Mincho" w:hAnsi="Arial" w:cs="Arial"/>
          <w:lang w:eastAsia="ja-JP"/>
        </w:rPr>
        <w:t>Sicredi’</w:t>
      </w:r>
      <w:r w:rsidR="002458CE">
        <w:rPr>
          <w:rFonts w:ascii="Arial" w:eastAsia="MS Mincho" w:hAnsi="Arial" w:cs="Arial"/>
          <w:lang w:eastAsia="ja-JP"/>
        </w:rPr>
        <w:t>s</w:t>
      </w:r>
      <w:proofErr w:type="spellEnd"/>
      <w:r w:rsidR="002458CE">
        <w:rPr>
          <w:rFonts w:ascii="Arial" w:eastAsia="MS Mincho" w:hAnsi="Arial" w:cs="Arial"/>
          <w:lang w:eastAsia="ja-JP"/>
        </w:rPr>
        <w:t xml:space="preserve"> </w:t>
      </w:r>
      <w:r w:rsidR="0079054E">
        <w:rPr>
          <w:rFonts w:ascii="Arial" w:eastAsia="MS Mincho" w:hAnsi="Arial" w:cs="Arial"/>
          <w:lang w:eastAsia="ja-JP"/>
        </w:rPr>
        <w:t xml:space="preserve">Environmental and Social management </w:t>
      </w:r>
      <w:r w:rsidR="000E6CE2">
        <w:rPr>
          <w:rFonts w:ascii="Arial" w:eastAsia="MS Mincho" w:hAnsi="Arial" w:cs="Arial"/>
          <w:lang w:eastAsia="ja-JP"/>
        </w:rPr>
        <w:t xml:space="preserve">procedures </w:t>
      </w:r>
      <w:r w:rsidR="0079054E">
        <w:rPr>
          <w:rFonts w:ascii="Arial" w:eastAsia="MS Mincho" w:hAnsi="Arial" w:cs="Arial"/>
          <w:lang w:eastAsia="ja-JP"/>
        </w:rPr>
        <w:t>applicable to the portfolio related to the IDB use of proceeds</w:t>
      </w:r>
      <w:r w:rsidR="000E6CE2">
        <w:rPr>
          <w:rFonts w:ascii="Arial" w:eastAsia="MS Mincho" w:hAnsi="Arial" w:cs="Arial"/>
          <w:lang w:eastAsia="ja-JP"/>
        </w:rPr>
        <w:t xml:space="preserve">.  </w:t>
      </w:r>
    </w:p>
    <w:p w:rsidR="00465E38" w:rsidRDefault="00465E38" w:rsidP="00465E38">
      <w:pPr>
        <w:autoSpaceDE w:val="0"/>
        <w:autoSpaceDN w:val="0"/>
        <w:spacing w:after="0" w:line="240" w:lineRule="auto"/>
        <w:ind w:left="540"/>
        <w:jc w:val="both"/>
        <w:rPr>
          <w:rFonts w:ascii="Arial" w:eastAsia="MS Mincho" w:hAnsi="Arial" w:cs="Arial"/>
          <w:lang w:eastAsia="ja-JP"/>
        </w:rPr>
      </w:pPr>
    </w:p>
    <w:p w:rsidR="004C7DC0" w:rsidRPr="00F40D14" w:rsidRDefault="004C7DC0" w:rsidP="004C7DC0">
      <w:pPr>
        <w:autoSpaceDE w:val="0"/>
        <w:spacing w:after="0" w:line="240" w:lineRule="auto"/>
        <w:jc w:val="both"/>
        <w:rPr>
          <w:rFonts w:ascii="Arial" w:eastAsia="MS Mincho" w:hAnsi="Arial" w:cs="Arial"/>
          <w:lang w:eastAsia="ja-JP"/>
        </w:rPr>
      </w:pPr>
    </w:p>
    <w:p w:rsidR="004C7DC0" w:rsidRPr="00F40D14" w:rsidRDefault="004C7DC0" w:rsidP="004C7DC0">
      <w:pPr>
        <w:numPr>
          <w:ilvl w:val="0"/>
          <w:numId w:val="1"/>
        </w:numPr>
        <w:suppressAutoHyphens/>
        <w:autoSpaceDE w:val="0"/>
        <w:autoSpaceDN w:val="0"/>
        <w:spacing w:after="0" w:line="240" w:lineRule="auto"/>
        <w:ind w:left="540" w:hanging="540"/>
        <w:textAlignment w:val="baseline"/>
        <w:rPr>
          <w:rFonts w:ascii="Arial" w:eastAsia="MS Mincho" w:hAnsi="Arial" w:cs="Arial"/>
          <w:lang w:eastAsia="ja-JP"/>
        </w:rPr>
      </w:pPr>
      <w:r w:rsidRPr="00F40D14">
        <w:rPr>
          <w:rFonts w:ascii="Arial" w:eastAsia="MS Mincho" w:hAnsi="Arial" w:cs="Arial"/>
          <w:b/>
          <w:bCs/>
          <w:color w:val="000000"/>
          <w:lang w:eastAsia="ja-JP"/>
        </w:rPr>
        <w:t>Status and Compliance</w:t>
      </w:r>
    </w:p>
    <w:p w:rsidR="004C7DC0" w:rsidRPr="00F40D14" w:rsidRDefault="004C7DC0" w:rsidP="004C7DC0">
      <w:pPr>
        <w:spacing w:after="0" w:line="240" w:lineRule="auto"/>
        <w:ind w:left="720"/>
        <w:contextualSpacing/>
        <w:rPr>
          <w:rFonts w:ascii="Arial" w:eastAsia="MS Mincho" w:hAnsi="Arial" w:cs="Arial"/>
          <w:color w:val="000000"/>
          <w:lang w:eastAsia="ja-JP"/>
        </w:rPr>
      </w:pPr>
    </w:p>
    <w:p w:rsidR="004C7DC0" w:rsidRPr="00F40D14" w:rsidRDefault="004C7DC0" w:rsidP="004C7DC0">
      <w:pPr>
        <w:numPr>
          <w:ilvl w:val="1"/>
          <w:numId w:val="4"/>
        </w:numPr>
        <w:autoSpaceDE w:val="0"/>
        <w:autoSpaceDN w:val="0"/>
        <w:spacing w:after="0" w:line="240" w:lineRule="auto"/>
        <w:ind w:left="540" w:hanging="540"/>
        <w:jc w:val="both"/>
        <w:rPr>
          <w:rFonts w:ascii="Arial" w:eastAsia="MS Mincho" w:hAnsi="Arial" w:cs="Arial"/>
          <w:lang w:eastAsia="ja-JP"/>
        </w:rPr>
      </w:pPr>
      <w:r w:rsidRPr="00F40D14">
        <w:rPr>
          <w:rFonts w:ascii="Arial" w:eastAsia="MS Mincho" w:hAnsi="Arial" w:cs="Arial"/>
          <w:lang w:eastAsia="ja-JP"/>
        </w:rPr>
        <w:t xml:space="preserve">Given that this is a financial intermediary and based on Directive B.13 of the Environment and Safeguards Compliance Policy (OP-703), this transaction is not categorized.  Based on early indication, this operation is estimated to be </w:t>
      </w:r>
      <w:r w:rsidR="00682D6A" w:rsidRPr="00465E38">
        <w:rPr>
          <w:rFonts w:ascii="Arial" w:eastAsia="MS Mincho" w:hAnsi="Arial" w:cs="Arial"/>
          <w:lang w:eastAsia="ja-JP"/>
        </w:rPr>
        <w:t>low risk (FI-2)</w:t>
      </w:r>
      <w:r w:rsidRPr="00F40D14">
        <w:rPr>
          <w:rFonts w:ascii="Arial" w:eastAsia="MS Mincho" w:hAnsi="Arial" w:cs="Arial"/>
          <w:lang w:eastAsia="ja-JP"/>
        </w:rPr>
        <w:t>.  This classification and the associated risks and mitigation will be evaluated during due diligence.</w:t>
      </w:r>
    </w:p>
    <w:p w:rsidR="004C7DC0" w:rsidRPr="00F40D14" w:rsidRDefault="004C7DC0" w:rsidP="004C7DC0">
      <w:pPr>
        <w:autoSpaceDE w:val="0"/>
        <w:spacing w:after="0" w:line="240" w:lineRule="auto"/>
        <w:rPr>
          <w:rFonts w:ascii="Arial" w:eastAsia="MS Mincho" w:hAnsi="Arial" w:cs="Arial"/>
          <w:color w:val="000000"/>
          <w:lang w:eastAsia="ja-JP"/>
        </w:rPr>
      </w:pPr>
    </w:p>
    <w:p w:rsidR="004C7DC0" w:rsidRPr="00F40D14" w:rsidRDefault="004C7DC0" w:rsidP="004C7DC0">
      <w:pPr>
        <w:autoSpaceDE w:val="0"/>
        <w:spacing w:after="0" w:line="240" w:lineRule="auto"/>
        <w:jc w:val="both"/>
        <w:rPr>
          <w:rFonts w:ascii="Arial" w:eastAsia="MS Mincho" w:hAnsi="Arial" w:cs="Arial"/>
          <w:b/>
          <w:bCs/>
          <w:color w:val="000000"/>
          <w:lang w:eastAsia="ja-JP"/>
        </w:rPr>
      </w:pPr>
      <w:r w:rsidRPr="00F40D14">
        <w:rPr>
          <w:rFonts w:ascii="Arial" w:eastAsia="MS Mincho" w:hAnsi="Arial" w:cs="Arial"/>
          <w:b/>
          <w:bCs/>
          <w:color w:val="000000"/>
          <w:lang w:eastAsia="ja-JP"/>
        </w:rPr>
        <w:t xml:space="preserve">IV. Strategy for Environmental and Social Due Diligence </w:t>
      </w:r>
    </w:p>
    <w:p w:rsidR="004C7DC0" w:rsidRPr="00F40D14" w:rsidRDefault="004C7DC0" w:rsidP="004C7DC0">
      <w:pPr>
        <w:widowControl w:val="0"/>
        <w:autoSpaceDE w:val="0"/>
        <w:autoSpaceDN w:val="0"/>
        <w:adjustRightInd w:val="0"/>
        <w:spacing w:after="0" w:line="240" w:lineRule="auto"/>
        <w:rPr>
          <w:rFonts w:ascii="Arial" w:eastAsia="MS Mincho" w:hAnsi="Arial" w:cs="Arial"/>
          <w:color w:val="000000"/>
          <w:lang w:eastAsia="ja-JP"/>
        </w:rPr>
      </w:pPr>
    </w:p>
    <w:p w:rsidR="004C7DC0" w:rsidRPr="00F40D14" w:rsidRDefault="004C7DC0" w:rsidP="004C7DC0">
      <w:pPr>
        <w:autoSpaceDE w:val="0"/>
        <w:spacing w:after="0" w:line="240" w:lineRule="auto"/>
        <w:ind w:left="540"/>
        <w:jc w:val="both"/>
        <w:rPr>
          <w:rFonts w:ascii="Arial" w:eastAsia="MS Mincho" w:hAnsi="Arial" w:cs="Arial"/>
          <w:lang w:eastAsia="ja-JP"/>
        </w:rPr>
      </w:pPr>
    </w:p>
    <w:p w:rsidR="00465E38" w:rsidRPr="00465E38" w:rsidRDefault="00465E38" w:rsidP="00465E38">
      <w:pPr>
        <w:pStyle w:val="ListParagraph"/>
        <w:numPr>
          <w:ilvl w:val="1"/>
          <w:numId w:val="5"/>
        </w:numPr>
        <w:ind w:left="540" w:hanging="540"/>
        <w:jc w:val="both"/>
        <w:rPr>
          <w:rFonts w:ascii="Arial" w:eastAsia="MS Mincho" w:hAnsi="Arial" w:cs="Arial"/>
          <w:lang w:eastAsia="ja-JP"/>
        </w:rPr>
      </w:pPr>
      <w:r w:rsidRPr="00465E38">
        <w:rPr>
          <w:rFonts w:ascii="Arial" w:eastAsia="MS Mincho" w:hAnsi="Arial" w:cs="Arial"/>
          <w:lang w:eastAsia="ja-JP"/>
        </w:rPr>
        <w:t>As per the IDB Environment and Safeguards Compliance Policy and Guidelines, and as part of its due diligence process, the Bank will further assess related E&amp;S risks under this credit line, possible reputational risks, and capacity for environmental and social risk management. The IDB will ensure that appropriate and feasible ESHS and labor</w:t>
      </w:r>
      <w:r>
        <w:rPr>
          <w:rFonts w:ascii="Arial" w:eastAsia="MS Mincho" w:hAnsi="Arial" w:cs="Arial"/>
          <w:lang w:eastAsia="ja-JP"/>
        </w:rPr>
        <w:t xml:space="preserve"> requirements, in the form of an </w:t>
      </w:r>
      <w:r w:rsidRPr="00465E38">
        <w:rPr>
          <w:rFonts w:ascii="Arial" w:eastAsia="MS Mincho" w:hAnsi="Arial" w:cs="Arial"/>
          <w:lang w:eastAsia="ja-JP"/>
        </w:rPr>
        <w:t>Environmental and Social Management System (ESMS) for FI-2, and other conditions as needed, tailored to the particular needs of the operation, are included in the legal agreements. The operation will also include a capacity building plan commensurate with the risks of the operation and the needs of the FI and its clients.</w:t>
      </w:r>
    </w:p>
    <w:p w:rsidR="004C7DC0" w:rsidRPr="00F40D14" w:rsidRDefault="004C7DC0" w:rsidP="004C7DC0">
      <w:pPr>
        <w:numPr>
          <w:ilvl w:val="1"/>
          <w:numId w:val="5"/>
        </w:numPr>
        <w:autoSpaceDE w:val="0"/>
        <w:autoSpaceDN w:val="0"/>
        <w:spacing w:after="0" w:line="240" w:lineRule="auto"/>
        <w:ind w:left="540" w:hanging="540"/>
        <w:jc w:val="both"/>
        <w:rPr>
          <w:rFonts w:ascii="Arial" w:eastAsia="MS Mincho" w:hAnsi="Arial" w:cs="Arial"/>
          <w:lang w:eastAsia="ja-JP"/>
        </w:rPr>
      </w:pPr>
      <w:r w:rsidRPr="00F40D14">
        <w:rPr>
          <w:rFonts w:ascii="Arial" w:eastAsia="MS Mincho" w:hAnsi="Arial" w:cs="Arial"/>
          <w:lang w:eastAsia="ja-JP"/>
        </w:rPr>
        <w:t xml:space="preserve">The environmental and social due diligence required for this operation will comprise the following steps: </w:t>
      </w:r>
    </w:p>
    <w:p w:rsidR="004C7DC0" w:rsidRPr="00F40D14" w:rsidRDefault="004C7DC0" w:rsidP="004C7DC0">
      <w:pPr>
        <w:numPr>
          <w:ilvl w:val="2"/>
          <w:numId w:val="5"/>
        </w:numPr>
        <w:autoSpaceDN w:val="0"/>
        <w:spacing w:after="0" w:line="240" w:lineRule="auto"/>
        <w:ind w:left="1080" w:hanging="360"/>
        <w:jc w:val="both"/>
        <w:rPr>
          <w:rFonts w:ascii="Arial" w:eastAsia="Times New Roman" w:hAnsi="Arial" w:cs="Arial"/>
          <w:lang w:eastAsia="ja-JP"/>
        </w:rPr>
      </w:pPr>
      <w:r w:rsidRPr="00F40D14">
        <w:rPr>
          <w:rFonts w:ascii="Arial" w:eastAsia="Times New Roman" w:hAnsi="Arial" w:cs="Arial"/>
          <w:lang w:eastAsia="ja-JP"/>
        </w:rPr>
        <w:t xml:space="preserve">An identification of any environmental and occupational safety liabilities in </w:t>
      </w:r>
      <w:r w:rsidR="00682D6A">
        <w:rPr>
          <w:rFonts w:ascii="Arial" w:eastAsia="Times New Roman" w:hAnsi="Arial" w:cs="Arial"/>
          <w:lang w:eastAsia="ja-JP"/>
        </w:rPr>
        <w:t xml:space="preserve">Banco </w:t>
      </w:r>
      <w:proofErr w:type="spellStart"/>
      <w:r w:rsidR="00682D6A">
        <w:rPr>
          <w:rFonts w:ascii="Arial" w:eastAsia="Times New Roman" w:hAnsi="Arial" w:cs="Arial"/>
          <w:lang w:eastAsia="ja-JP"/>
        </w:rPr>
        <w:t>Sicredi</w:t>
      </w:r>
      <w:r w:rsidRPr="00F40D14">
        <w:rPr>
          <w:rFonts w:ascii="Arial" w:eastAsia="Times New Roman" w:hAnsi="Arial" w:cs="Arial"/>
          <w:lang w:eastAsia="ja-JP"/>
        </w:rPr>
        <w:t>’s</w:t>
      </w:r>
      <w:proofErr w:type="spellEnd"/>
      <w:r w:rsidRPr="00F40D14">
        <w:rPr>
          <w:rFonts w:ascii="Arial" w:eastAsia="Times New Roman" w:hAnsi="Arial" w:cs="Arial"/>
          <w:lang w:eastAsia="ja-JP"/>
        </w:rPr>
        <w:t xml:space="preserve"> facilities and operations and, if required, an assessment of the adequacy of action plans to properly resolve them.</w:t>
      </w:r>
    </w:p>
    <w:p w:rsidR="004C7DC0" w:rsidRPr="00F40D14" w:rsidRDefault="00682D6A" w:rsidP="004C7DC0">
      <w:pPr>
        <w:numPr>
          <w:ilvl w:val="2"/>
          <w:numId w:val="5"/>
        </w:numPr>
        <w:autoSpaceDN w:val="0"/>
        <w:spacing w:after="0" w:line="240" w:lineRule="auto"/>
        <w:ind w:left="1080" w:hanging="360"/>
        <w:jc w:val="both"/>
        <w:rPr>
          <w:rFonts w:ascii="Arial" w:eastAsia="Times New Roman" w:hAnsi="Arial" w:cs="Arial"/>
          <w:lang w:eastAsia="ja-JP"/>
        </w:rPr>
      </w:pPr>
      <w:r>
        <w:rPr>
          <w:rFonts w:ascii="Arial" w:eastAsia="Times New Roman" w:hAnsi="Arial" w:cs="Arial"/>
          <w:lang w:eastAsia="ja-JP"/>
        </w:rPr>
        <w:lastRenderedPageBreak/>
        <w:t xml:space="preserve">An assessment of Banco </w:t>
      </w:r>
      <w:proofErr w:type="spellStart"/>
      <w:r>
        <w:rPr>
          <w:rFonts w:ascii="Arial" w:eastAsia="Times New Roman" w:hAnsi="Arial" w:cs="Arial"/>
          <w:lang w:eastAsia="ja-JP"/>
        </w:rPr>
        <w:t>Sicredi</w:t>
      </w:r>
      <w:r w:rsidR="004C7DC0" w:rsidRPr="00F40D14">
        <w:rPr>
          <w:rFonts w:ascii="Arial" w:eastAsia="Times New Roman" w:hAnsi="Arial" w:cs="Arial"/>
          <w:lang w:eastAsia="ja-JP"/>
        </w:rPr>
        <w:t>’s</w:t>
      </w:r>
      <w:proofErr w:type="spellEnd"/>
      <w:r w:rsidR="004C7DC0" w:rsidRPr="00F40D14">
        <w:rPr>
          <w:rFonts w:ascii="Arial" w:eastAsia="Times New Roman" w:hAnsi="Arial" w:cs="Arial"/>
          <w:lang w:eastAsia="ja-JP"/>
        </w:rPr>
        <w:t xml:space="preserve"> compliance status with the applicable country environmental, social, health and safety, and labor regulatory requirements as well as with any relevant conventions and treaties which have been ratified by </w:t>
      </w:r>
      <w:r>
        <w:rPr>
          <w:rFonts w:ascii="Arial" w:eastAsia="Times New Roman" w:hAnsi="Arial" w:cs="Arial"/>
          <w:lang w:eastAsia="ja-JP"/>
        </w:rPr>
        <w:t>Brazil</w:t>
      </w:r>
      <w:r w:rsidR="004C7DC0" w:rsidRPr="00F40D14">
        <w:rPr>
          <w:rFonts w:ascii="Arial" w:eastAsia="Times New Roman" w:hAnsi="Arial" w:cs="Arial"/>
          <w:lang w:eastAsia="ja-JP"/>
        </w:rPr>
        <w:t>;</w:t>
      </w:r>
    </w:p>
    <w:p w:rsidR="004C7DC0" w:rsidRPr="00F40D14" w:rsidRDefault="00682D6A" w:rsidP="004C7DC0">
      <w:pPr>
        <w:numPr>
          <w:ilvl w:val="2"/>
          <w:numId w:val="5"/>
        </w:numPr>
        <w:autoSpaceDN w:val="0"/>
        <w:spacing w:after="0" w:line="240" w:lineRule="auto"/>
        <w:ind w:left="1080" w:hanging="360"/>
        <w:jc w:val="both"/>
        <w:rPr>
          <w:rFonts w:ascii="Arial" w:eastAsia="Times New Roman" w:hAnsi="Arial" w:cs="Arial"/>
          <w:lang w:eastAsia="ja-JP"/>
        </w:rPr>
      </w:pPr>
      <w:r>
        <w:rPr>
          <w:rFonts w:ascii="Arial" w:eastAsia="Times New Roman" w:hAnsi="Arial" w:cs="Arial"/>
          <w:lang w:eastAsia="ja-JP"/>
        </w:rPr>
        <w:t xml:space="preserve">An assessment of Banco </w:t>
      </w:r>
      <w:proofErr w:type="spellStart"/>
      <w:r>
        <w:rPr>
          <w:rFonts w:ascii="Arial" w:eastAsia="Times New Roman" w:hAnsi="Arial" w:cs="Arial"/>
          <w:lang w:eastAsia="ja-JP"/>
        </w:rPr>
        <w:t>Sicredi</w:t>
      </w:r>
      <w:r w:rsidR="004C7DC0" w:rsidRPr="00F40D14">
        <w:rPr>
          <w:rFonts w:ascii="Arial" w:eastAsia="Times New Roman" w:hAnsi="Arial" w:cs="Arial"/>
          <w:lang w:eastAsia="ja-JP"/>
        </w:rPr>
        <w:t>’s</w:t>
      </w:r>
      <w:proofErr w:type="spellEnd"/>
      <w:r w:rsidR="004C7DC0" w:rsidRPr="00F40D14">
        <w:rPr>
          <w:rFonts w:ascii="Arial" w:eastAsia="Times New Roman" w:hAnsi="Arial" w:cs="Arial"/>
          <w:lang w:eastAsia="ja-JP"/>
        </w:rPr>
        <w:t xml:space="preserve"> procedures to ensure that its loan, finance application and analysis process is equitable, fair, and unbiased in terms of social factors (e.g. age, gender, cultural heritage, </w:t>
      </w:r>
      <w:proofErr w:type="spellStart"/>
      <w:r w:rsidR="004C7DC0" w:rsidRPr="00F40D14">
        <w:rPr>
          <w:rFonts w:ascii="Arial" w:eastAsia="Times New Roman" w:hAnsi="Arial" w:cs="Arial"/>
          <w:lang w:eastAsia="ja-JP"/>
        </w:rPr>
        <w:t>etc</w:t>
      </w:r>
      <w:proofErr w:type="spellEnd"/>
      <w:r w:rsidR="004C7DC0" w:rsidRPr="00F40D14">
        <w:rPr>
          <w:rFonts w:ascii="Arial" w:eastAsia="Times New Roman" w:hAnsi="Arial" w:cs="Arial"/>
          <w:lang w:eastAsia="ja-JP"/>
        </w:rPr>
        <w:t>).</w:t>
      </w:r>
    </w:p>
    <w:p w:rsidR="004C7DC0" w:rsidRPr="00F40D14" w:rsidRDefault="00682D6A" w:rsidP="004C7DC0">
      <w:pPr>
        <w:numPr>
          <w:ilvl w:val="2"/>
          <w:numId w:val="5"/>
        </w:numPr>
        <w:autoSpaceDE w:val="0"/>
        <w:autoSpaceDN w:val="0"/>
        <w:spacing w:after="0" w:line="240" w:lineRule="auto"/>
        <w:ind w:left="1080" w:hanging="360"/>
        <w:jc w:val="both"/>
        <w:rPr>
          <w:rFonts w:ascii="Arial" w:eastAsia="Times New Roman" w:hAnsi="Arial" w:cs="Arial"/>
          <w:lang w:eastAsia="ja-JP"/>
        </w:rPr>
      </w:pPr>
      <w:r>
        <w:rPr>
          <w:rFonts w:ascii="Arial" w:eastAsia="Times New Roman" w:hAnsi="Arial" w:cs="Arial"/>
          <w:lang w:eastAsia="ja-JP"/>
        </w:rPr>
        <w:t xml:space="preserve">An assessment of Banco </w:t>
      </w:r>
      <w:proofErr w:type="spellStart"/>
      <w:r>
        <w:rPr>
          <w:rFonts w:ascii="Arial" w:eastAsia="Times New Roman" w:hAnsi="Arial" w:cs="Arial"/>
          <w:lang w:eastAsia="ja-JP"/>
        </w:rPr>
        <w:t>Sicredi</w:t>
      </w:r>
      <w:r w:rsidR="004C7DC0" w:rsidRPr="00F40D14">
        <w:rPr>
          <w:rFonts w:ascii="Arial" w:eastAsia="Times New Roman" w:hAnsi="Arial" w:cs="Arial"/>
          <w:lang w:eastAsia="ja-JP"/>
        </w:rPr>
        <w:t>’s</w:t>
      </w:r>
      <w:proofErr w:type="spellEnd"/>
      <w:r w:rsidR="004C7DC0" w:rsidRPr="00F40D14">
        <w:rPr>
          <w:rFonts w:ascii="Arial" w:eastAsia="Times New Roman" w:hAnsi="Arial" w:cs="Arial"/>
          <w:lang w:eastAsia="ja-JP"/>
        </w:rPr>
        <w:t xml:space="preserve"> actual portfolio and proposed pipeline, in light </w:t>
      </w:r>
      <w:r>
        <w:rPr>
          <w:rFonts w:ascii="Arial" w:eastAsia="Times New Roman" w:hAnsi="Arial" w:cs="Arial"/>
          <w:lang w:eastAsia="ja-JP"/>
        </w:rPr>
        <w:t>of relevant contextual factors,</w:t>
      </w:r>
      <w:r w:rsidR="004C7DC0" w:rsidRPr="00F40D14">
        <w:rPr>
          <w:rFonts w:ascii="Arial" w:eastAsia="Times New Roman" w:hAnsi="Arial" w:cs="Arial"/>
          <w:lang w:eastAsia="ja-JP"/>
        </w:rPr>
        <w:t xml:space="preserve"> to establish: (</w:t>
      </w:r>
      <w:proofErr w:type="spellStart"/>
      <w:r w:rsidR="004C7DC0" w:rsidRPr="00F40D14">
        <w:rPr>
          <w:rFonts w:ascii="Arial" w:eastAsia="Times New Roman" w:hAnsi="Arial" w:cs="Arial"/>
          <w:lang w:eastAsia="ja-JP"/>
        </w:rPr>
        <w:t>i</w:t>
      </w:r>
      <w:proofErr w:type="spellEnd"/>
      <w:r w:rsidR="004C7DC0" w:rsidRPr="00F40D14">
        <w:rPr>
          <w:rFonts w:ascii="Arial" w:eastAsia="Times New Roman" w:hAnsi="Arial" w:cs="Arial"/>
          <w:lang w:eastAsia="ja-JP"/>
        </w:rPr>
        <w:t>) potential specific ESHS and labor impacts and risks related to investment in certain sectors, projects or activities, likely to be financed under the operation;  (ii) repu</w:t>
      </w:r>
      <w:r>
        <w:rPr>
          <w:rFonts w:ascii="Arial" w:eastAsia="Times New Roman" w:hAnsi="Arial" w:cs="Arial"/>
          <w:lang w:eastAsia="ja-JP"/>
        </w:rPr>
        <w:t xml:space="preserve">tational risks associated with Banco </w:t>
      </w:r>
      <w:proofErr w:type="spellStart"/>
      <w:r>
        <w:rPr>
          <w:rFonts w:ascii="Arial" w:eastAsia="Times New Roman" w:hAnsi="Arial" w:cs="Arial"/>
          <w:lang w:eastAsia="ja-JP"/>
        </w:rPr>
        <w:t>Sicredi</w:t>
      </w:r>
      <w:r w:rsidR="004C7DC0" w:rsidRPr="00F40D14">
        <w:rPr>
          <w:rFonts w:ascii="Arial" w:eastAsia="Times New Roman" w:hAnsi="Arial" w:cs="Arial"/>
          <w:lang w:eastAsia="ja-JP"/>
        </w:rPr>
        <w:t>’s</w:t>
      </w:r>
      <w:proofErr w:type="spellEnd"/>
      <w:r w:rsidR="004C7DC0" w:rsidRPr="00F40D14">
        <w:rPr>
          <w:rFonts w:ascii="Arial" w:eastAsia="Times New Roman" w:hAnsi="Arial" w:cs="Arial"/>
          <w:lang w:eastAsia="ja-JP"/>
        </w:rPr>
        <w:t xml:space="preserve"> involvement in projects, companies or activities considered unacceptable to the IDB or posing significant reputational risks or material risks to local communities; and.</w:t>
      </w:r>
    </w:p>
    <w:p w:rsidR="004C7DC0" w:rsidRPr="00F40D14" w:rsidRDefault="004C7DC0" w:rsidP="004C7DC0">
      <w:pPr>
        <w:numPr>
          <w:ilvl w:val="2"/>
          <w:numId w:val="5"/>
        </w:numPr>
        <w:autoSpaceDE w:val="0"/>
        <w:autoSpaceDN w:val="0"/>
        <w:spacing w:after="0" w:line="240" w:lineRule="auto"/>
        <w:ind w:left="1080" w:hanging="360"/>
        <w:jc w:val="both"/>
        <w:rPr>
          <w:rFonts w:ascii="Arial" w:eastAsia="Times New Roman" w:hAnsi="Arial" w:cs="Arial"/>
          <w:lang w:eastAsia="ja-JP"/>
        </w:rPr>
      </w:pPr>
      <w:r w:rsidRPr="00F40D14">
        <w:rPr>
          <w:rFonts w:ascii="Arial" w:eastAsia="Times New Roman" w:hAnsi="Arial" w:cs="Arial"/>
          <w:lang w:eastAsia="ja-JP"/>
        </w:rPr>
        <w:t xml:space="preserve">A full evaluation of the client’s </w:t>
      </w:r>
      <w:r w:rsidR="00B902C2">
        <w:rPr>
          <w:rFonts w:ascii="Arial" w:eastAsia="Times New Roman" w:hAnsi="Arial" w:cs="Arial"/>
          <w:lang w:eastAsia="ja-JP"/>
        </w:rPr>
        <w:t>Environmental and Social procedures/ tools</w:t>
      </w:r>
      <w:r w:rsidRPr="00F40D14">
        <w:rPr>
          <w:rFonts w:ascii="Arial" w:eastAsia="Times New Roman" w:hAnsi="Arial" w:cs="Arial"/>
          <w:lang w:eastAsia="ja-JP"/>
        </w:rPr>
        <w:t xml:space="preserve"> and of all current credit appraisal, approval and monitoring procedures in place to manage potential environmental and social impacts, risks an</w:t>
      </w:r>
      <w:r w:rsidR="00682D6A">
        <w:rPr>
          <w:rFonts w:ascii="Arial" w:eastAsia="Times New Roman" w:hAnsi="Arial" w:cs="Arial"/>
          <w:lang w:eastAsia="ja-JP"/>
        </w:rPr>
        <w:t xml:space="preserve">d liabilities, associated with Banco </w:t>
      </w:r>
      <w:proofErr w:type="spellStart"/>
      <w:r w:rsidR="00682D6A">
        <w:rPr>
          <w:rFonts w:ascii="Arial" w:eastAsia="Times New Roman" w:hAnsi="Arial" w:cs="Arial"/>
          <w:lang w:eastAsia="ja-JP"/>
        </w:rPr>
        <w:t>Sicredi</w:t>
      </w:r>
      <w:r w:rsidRPr="00F40D14">
        <w:rPr>
          <w:rFonts w:ascii="Arial" w:eastAsia="Times New Roman" w:hAnsi="Arial" w:cs="Arial"/>
          <w:lang w:eastAsia="ja-JP"/>
        </w:rPr>
        <w:t>’s</w:t>
      </w:r>
      <w:proofErr w:type="spellEnd"/>
      <w:r w:rsidRPr="00F40D14">
        <w:rPr>
          <w:rFonts w:ascii="Arial" w:eastAsia="Times New Roman" w:hAnsi="Arial" w:cs="Arial"/>
          <w:lang w:eastAsia="ja-JP"/>
        </w:rPr>
        <w:t xml:space="preserve"> portfolio.</w:t>
      </w:r>
    </w:p>
    <w:p w:rsidR="004C7DC0" w:rsidRPr="00F40D14" w:rsidRDefault="004C7DC0" w:rsidP="004C7DC0">
      <w:pPr>
        <w:numPr>
          <w:ilvl w:val="2"/>
          <w:numId w:val="5"/>
        </w:numPr>
        <w:autoSpaceDE w:val="0"/>
        <w:autoSpaceDN w:val="0"/>
        <w:spacing w:after="0" w:line="240" w:lineRule="auto"/>
        <w:ind w:left="1080" w:hanging="360"/>
        <w:jc w:val="both"/>
        <w:rPr>
          <w:rFonts w:ascii="Arial" w:eastAsia="Times New Roman" w:hAnsi="Arial" w:cs="Arial"/>
          <w:lang w:eastAsia="ja-JP"/>
        </w:rPr>
      </w:pPr>
      <w:r w:rsidRPr="00F40D14">
        <w:rPr>
          <w:rFonts w:ascii="Arial" w:eastAsia="Times New Roman" w:hAnsi="Arial" w:cs="Arial"/>
          <w:lang w:eastAsia="ja-JP"/>
        </w:rPr>
        <w:t>An as</w:t>
      </w:r>
      <w:r w:rsidR="00682D6A">
        <w:rPr>
          <w:rFonts w:ascii="Arial" w:eastAsia="Times New Roman" w:hAnsi="Arial" w:cs="Arial"/>
          <w:lang w:eastAsia="ja-JP"/>
        </w:rPr>
        <w:t xml:space="preserve">sessment of Banco </w:t>
      </w:r>
      <w:proofErr w:type="spellStart"/>
      <w:r w:rsidR="00682D6A">
        <w:rPr>
          <w:rFonts w:ascii="Arial" w:eastAsia="Times New Roman" w:hAnsi="Arial" w:cs="Arial"/>
          <w:lang w:eastAsia="ja-JP"/>
        </w:rPr>
        <w:t>Sicredi</w:t>
      </w:r>
      <w:r w:rsidRPr="00F40D14">
        <w:rPr>
          <w:rFonts w:ascii="Arial" w:eastAsia="Times New Roman" w:hAnsi="Arial" w:cs="Arial"/>
          <w:lang w:eastAsia="ja-JP"/>
        </w:rPr>
        <w:t>’s</w:t>
      </w:r>
      <w:proofErr w:type="spellEnd"/>
      <w:r w:rsidRPr="00F40D14">
        <w:rPr>
          <w:rFonts w:ascii="Arial" w:eastAsia="Times New Roman" w:hAnsi="Arial" w:cs="Arial"/>
          <w:lang w:eastAsia="ja-JP"/>
        </w:rPr>
        <w:t xml:space="preserve"> capacity in terms of environmen</w:t>
      </w:r>
      <w:r w:rsidR="00682D6A">
        <w:rPr>
          <w:rFonts w:ascii="Arial" w:eastAsia="Times New Roman" w:hAnsi="Arial" w:cs="Arial"/>
          <w:lang w:eastAsia="ja-JP"/>
        </w:rPr>
        <w:t>tal and social risk management.</w:t>
      </w:r>
    </w:p>
    <w:p w:rsidR="004C7DC0" w:rsidRPr="00F40D14" w:rsidRDefault="004C7DC0" w:rsidP="004C7DC0">
      <w:pPr>
        <w:spacing w:after="0" w:line="240" w:lineRule="auto"/>
        <w:rPr>
          <w:rFonts w:ascii="Arial" w:eastAsia="MS Mincho" w:hAnsi="Arial" w:cs="Arial"/>
          <w:lang w:eastAsia="ja-JP"/>
        </w:rPr>
      </w:pPr>
    </w:p>
    <w:p w:rsidR="004C7DC0" w:rsidRPr="00465E38" w:rsidRDefault="004C7DC0" w:rsidP="004C7DC0">
      <w:pPr>
        <w:numPr>
          <w:ilvl w:val="1"/>
          <w:numId w:val="5"/>
        </w:numPr>
        <w:autoSpaceDE w:val="0"/>
        <w:autoSpaceDN w:val="0"/>
        <w:spacing w:after="0" w:line="240" w:lineRule="auto"/>
        <w:ind w:left="540" w:hanging="540"/>
        <w:jc w:val="both"/>
        <w:rPr>
          <w:rFonts w:ascii="Arial" w:eastAsia="MS Mincho" w:hAnsi="Arial" w:cs="Arial"/>
          <w:lang w:eastAsia="ja-JP"/>
        </w:rPr>
      </w:pPr>
      <w:r w:rsidRPr="00465E38">
        <w:rPr>
          <w:rFonts w:ascii="Arial" w:eastAsia="MS Mincho" w:hAnsi="Arial" w:cs="Arial"/>
          <w:lang w:eastAsia="ja-JP"/>
        </w:rPr>
        <w:t xml:space="preserve">The results of the due diligence will be presented in an Environmental and Social Management Report and summarized in the Loan Proposal to establish the environmental, social, health and safety, and labor requirements for the operation. </w:t>
      </w:r>
    </w:p>
    <w:p w:rsidR="004C7DC0" w:rsidRPr="00F40D14" w:rsidRDefault="004C7DC0" w:rsidP="004C7DC0">
      <w:pPr>
        <w:spacing w:after="0" w:line="240" w:lineRule="auto"/>
        <w:rPr>
          <w:rFonts w:ascii="Arial" w:eastAsia="MS Mincho" w:hAnsi="Arial" w:cs="Arial"/>
          <w:lang w:eastAsia="ja-JP"/>
        </w:rPr>
      </w:pPr>
    </w:p>
    <w:p w:rsidR="004C7DC0" w:rsidRPr="00F40D14" w:rsidRDefault="004C7DC0" w:rsidP="004C7DC0">
      <w:pPr>
        <w:autoSpaceDE w:val="0"/>
        <w:spacing w:after="0" w:line="240" w:lineRule="auto"/>
        <w:ind w:left="1080"/>
        <w:contextualSpacing/>
        <w:jc w:val="both"/>
        <w:rPr>
          <w:rFonts w:ascii="Arial" w:eastAsia="MS Mincho" w:hAnsi="Arial" w:cs="Arial"/>
          <w:lang w:eastAsia="ja-JP"/>
        </w:rPr>
      </w:pPr>
    </w:p>
    <w:p w:rsidR="004C7DC0" w:rsidRPr="00F40D14" w:rsidRDefault="004C7DC0" w:rsidP="004C7DC0">
      <w:pPr>
        <w:spacing w:after="0" w:line="240" w:lineRule="auto"/>
        <w:rPr>
          <w:rFonts w:ascii="Arial" w:eastAsia="MS Mincho" w:hAnsi="Arial" w:cs="Arial"/>
          <w:lang w:eastAsia="ja-JP"/>
        </w:rPr>
      </w:pPr>
    </w:p>
    <w:p w:rsidR="007E03FA" w:rsidRDefault="007E03FA"/>
    <w:sectPr w:rsidR="007E03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DC0" w:rsidRDefault="004C7DC0" w:rsidP="004C7DC0">
      <w:pPr>
        <w:spacing w:after="0" w:line="240" w:lineRule="auto"/>
      </w:pPr>
      <w:r>
        <w:separator/>
      </w:r>
    </w:p>
  </w:endnote>
  <w:endnote w:type="continuationSeparator" w:id="0">
    <w:p w:rsidR="004C7DC0" w:rsidRDefault="004C7DC0" w:rsidP="004C7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DC0" w:rsidRDefault="004C7DC0" w:rsidP="004C7DC0">
      <w:pPr>
        <w:spacing w:after="0" w:line="240" w:lineRule="auto"/>
      </w:pPr>
      <w:r>
        <w:separator/>
      </w:r>
    </w:p>
  </w:footnote>
  <w:footnote w:type="continuationSeparator" w:id="0">
    <w:p w:rsidR="004C7DC0" w:rsidRDefault="004C7DC0" w:rsidP="004C7DC0">
      <w:pPr>
        <w:spacing w:after="0" w:line="240" w:lineRule="auto"/>
      </w:pPr>
      <w:r>
        <w:continuationSeparator/>
      </w:r>
    </w:p>
  </w:footnote>
  <w:footnote w:id="1">
    <w:p w:rsidR="004C7DC0" w:rsidRPr="006A7229" w:rsidRDefault="004C7DC0" w:rsidP="00F3356A">
      <w:pPr>
        <w:pStyle w:val="FootnoteText"/>
        <w:spacing w:after="240"/>
        <w:jc w:val="both"/>
        <w:rPr>
          <w:rFonts w:ascii="Arial" w:hAnsi="Arial" w:cs="Arial"/>
          <w:sz w:val="18"/>
          <w:szCs w:val="18"/>
        </w:rPr>
      </w:pPr>
      <w:r w:rsidRPr="006A7229">
        <w:rPr>
          <w:rStyle w:val="FootnoteReference"/>
          <w:rFonts w:ascii="Arial" w:hAnsi="Arial" w:cs="Arial"/>
          <w:sz w:val="18"/>
          <w:szCs w:val="18"/>
        </w:rPr>
        <w:footnoteRef/>
      </w:r>
      <w:r w:rsidRPr="006A7229">
        <w:rPr>
          <w:rFonts w:ascii="Arial" w:hAnsi="Arial" w:cs="Arial"/>
          <w:sz w:val="18"/>
          <w:szCs w:val="18"/>
        </w:rPr>
        <w:t xml:space="preserve"> This ESS will be made available to the public in accordance with the Bank’s policy on information disclosure. The ESS does not represent either the Bank’s approval of the Project or verification of the ESS completeness or accuracy. The Bank, as part of its due-diligence on the feasibility of the Project, will assess the environmental and social aspects. This assessment will be presented in the Project Environmental and Social Management Report that will be prepared by the Bank, and will be made available to public prior to consideration of the Project by the Bank’s Board of Executive Directors.</w:t>
      </w:r>
    </w:p>
  </w:footnote>
  <w:footnote w:id="2">
    <w:p w:rsidR="001C0477" w:rsidRPr="00F3356A" w:rsidRDefault="001C0477" w:rsidP="00F3356A">
      <w:pPr>
        <w:spacing w:after="240" w:line="240" w:lineRule="auto"/>
        <w:jc w:val="both"/>
        <w:rPr>
          <w:rFonts w:ascii="Arial" w:hAnsi="Arial" w:cs="Arial"/>
          <w:sz w:val="18"/>
          <w:szCs w:val="18"/>
        </w:rPr>
      </w:pPr>
      <w:r>
        <w:rPr>
          <w:rStyle w:val="FootnoteReference"/>
        </w:rPr>
        <w:footnoteRef/>
      </w:r>
      <w:r w:rsidRPr="001C0477">
        <w:t xml:space="preserve"> </w:t>
      </w:r>
      <w:r w:rsidRPr="001C0477">
        <w:rPr>
          <w:rFonts w:ascii="Arial" w:hAnsi="Arial" w:cs="Arial"/>
          <w:sz w:val="18"/>
          <w:szCs w:val="18"/>
        </w:rPr>
        <w:t>These activities include: (1) recovery of degraded land, implementation of organic rural production systems,(2)  no-tillage practices, (3) implementation of systems for the integration between tillage-livestock, tillage-forest, livestock-forest or tillage-livestock-forest and agroforestry systems, (4) implementation, maintenance and enhancement of the management of forestry for commercial exploration, including those used for industrial purposes or for production of vegetal coal, (5) compliance of rural properties with environmental legislation, (6) implementation, maintenance and enhancement of animal waste treatment systems for energy generation and composting, (7) implementation, enhancement and maintenance of “</w:t>
      </w:r>
      <w:proofErr w:type="spellStart"/>
      <w:r w:rsidRPr="001C0477">
        <w:rPr>
          <w:rFonts w:ascii="Arial" w:hAnsi="Arial" w:cs="Arial"/>
          <w:sz w:val="18"/>
          <w:szCs w:val="18"/>
        </w:rPr>
        <w:t>dendezeiro</w:t>
      </w:r>
      <w:proofErr w:type="spellEnd"/>
      <w:r w:rsidRPr="001C0477">
        <w:rPr>
          <w:rFonts w:ascii="Arial" w:hAnsi="Arial" w:cs="Arial"/>
          <w:sz w:val="18"/>
          <w:szCs w:val="18"/>
        </w:rPr>
        <w:t>” forests, mainly in degraded productive areas, (8) utilization of biologic fixation of nitrogen.</w:t>
      </w:r>
    </w:p>
  </w:footnote>
  <w:footnote w:id="3">
    <w:p w:rsidR="00F3356A" w:rsidRPr="00F3356A" w:rsidRDefault="00F3356A" w:rsidP="00F3356A">
      <w:pPr>
        <w:pStyle w:val="FootnoteText"/>
        <w:spacing w:after="240"/>
        <w:jc w:val="both"/>
        <w:rPr>
          <w:rFonts w:ascii="Arial" w:hAnsi="Arial" w:cs="Arial"/>
          <w:sz w:val="18"/>
          <w:szCs w:val="18"/>
        </w:rPr>
      </w:pPr>
      <w:r>
        <w:rPr>
          <w:rStyle w:val="FootnoteReference"/>
        </w:rPr>
        <w:footnoteRef/>
      </w:r>
      <w:r w:rsidRPr="00F3356A">
        <w:t xml:space="preserve"> </w:t>
      </w:r>
      <w:r w:rsidRPr="00F3356A">
        <w:rPr>
          <w:rFonts w:ascii="Arial" w:hAnsi="Arial" w:cs="Arial"/>
          <w:sz w:val="18"/>
          <w:szCs w:val="18"/>
        </w:rPr>
        <w:t xml:space="preserve">Developed by the Government of Brazil, was created to </w:t>
      </w:r>
      <w:r>
        <w:rPr>
          <w:rFonts w:ascii="Arial" w:hAnsi="Arial" w:cs="Arial"/>
          <w:sz w:val="18"/>
          <w:szCs w:val="18"/>
        </w:rPr>
        <w:t>reduce</w:t>
      </w:r>
      <w:r w:rsidRPr="00F3356A">
        <w:rPr>
          <w:rFonts w:ascii="Arial" w:hAnsi="Arial" w:cs="Arial"/>
          <w:sz w:val="18"/>
          <w:szCs w:val="18"/>
        </w:rPr>
        <w:t xml:space="preserve"> GHG emissions from agriculture and livestock activities th</w:t>
      </w:r>
      <w:r>
        <w:rPr>
          <w:rFonts w:ascii="Arial" w:hAnsi="Arial" w:cs="Arial"/>
          <w:sz w:val="18"/>
          <w:szCs w:val="18"/>
        </w:rPr>
        <w:t>r</w:t>
      </w:r>
      <w:r w:rsidRPr="00F3356A">
        <w:rPr>
          <w:rFonts w:ascii="Arial" w:hAnsi="Arial" w:cs="Arial"/>
          <w:sz w:val="18"/>
          <w:szCs w:val="18"/>
        </w:rPr>
        <w:t>ough sustainable agricultural practices</w:t>
      </w:r>
      <w:r>
        <w:rPr>
          <w:rFonts w:ascii="Arial" w:hAnsi="Arial" w:cs="Arial"/>
          <w:sz w:val="18"/>
          <w:szCs w:val="18"/>
        </w:rPr>
        <w:t>.</w:t>
      </w:r>
    </w:p>
  </w:footnote>
  <w:footnote w:id="4">
    <w:p w:rsidR="007A50C3" w:rsidRPr="007A50C3" w:rsidRDefault="007A50C3">
      <w:pPr>
        <w:pStyle w:val="FootnoteText"/>
        <w:rPr>
          <w:rFonts w:ascii="Arial" w:hAnsi="Arial" w:cs="Arial"/>
          <w:sz w:val="18"/>
          <w:szCs w:val="18"/>
          <w:lang w:val="pt-BR"/>
        </w:rPr>
      </w:pPr>
      <w:r>
        <w:rPr>
          <w:rStyle w:val="FootnoteReference"/>
        </w:rPr>
        <w:footnoteRef/>
      </w:r>
      <w:r w:rsidRPr="007A50C3">
        <w:rPr>
          <w:lang w:val="pt-BR"/>
        </w:rPr>
        <w:t xml:space="preserve"> </w:t>
      </w:r>
      <w:r w:rsidRPr="007A50C3">
        <w:rPr>
          <w:rFonts w:ascii="Arial" w:hAnsi="Arial" w:cs="Arial"/>
          <w:sz w:val="18"/>
          <w:szCs w:val="18"/>
          <w:lang w:val="pt-BR"/>
        </w:rPr>
        <w:t xml:space="preserve">Banco </w:t>
      </w:r>
      <w:proofErr w:type="spellStart"/>
      <w:r w:rsidRPr="007A50C3">
        <w:rPr>
          <w:rFonts w:ascii="Arial" w:hAnsi="Arial" w:cs="Arial"/>
          <w:sz w:val="18"/>
          <w:szCs w:val="18"/>
          <w:lang w:val="pt-BR"/>
        </w:rPr>
        <w:t>Sicredi</w:t>
      </w:r>
      <w:proofErr w:type="spellEnd"/>
      <w:r w:rsidRPr="007A50C3">
        <w:rPr>
          <w:rFonts w:ascii="Arial" w:hAnsi="Arial" w:cs="Arial"/>
          <w:sz w:val="18"/>
          <w:szCs w:val="18"/>
          <w:lang w:val="pt-BR"/>
        </w:rPr>
        <w:t xml:space="preserve"> </w:t>
      </w:r>
      <w:proofErr w:type="spellStart"/>
      <w:r w:rsidR="001C0477">
        <w:rPr>
          <w:rFonts w:ascii="Arial" w:hAnsi="Arial" w:cs="Arial"/>
          <w:sz w:val="18"/>
          <w:szCs w:val="18"/>
          <w:lang w:val="pt-BR"/>
        </w:rPr>
        <w:t>operates</w:t>
      </w:r>
      <w:proofErr w:type="spellEnd"/>
      <w:r w:rsidR="001C0477" w:rsidRPr="007A50C3">
        <w:rPr>
          <w:rFonts w:ascii="Arial" w:hAnsi="Arial" w:cs="Arial"/>
          <w:sz w:val="18"/>
          <w:szCs w:val="18"/>
          <w:lang w:val="pt-BR"/>
        </w:rPr>
        <w:t xml:space="preserve"> in 11 </w:t>
      </w:r>
      <w:proofErr w:type="spellStart"/>
      <w:r w:rsidR="001C0477" w:rsidRPr="007A50C3">
        <w:rPr>
          <w:rFonts w:ascii="Arial" w:hAnsi="Arial" w:cs="Arial"/>
          <w:sz w:val="18"/>
          <w:szCs w:val="18"/>
          <w:lang w:val="pt-BR"/>
        </w:rPr>
        <w:t>States</w:t>
      </w:r>
      <w:proofErr w:type="spellEnd"/>
      <w:r w:rsidR="001C0477">
        <w:rPr>
          <w:rFonts w:ascii="Arial" w:hAnsi="Arial" w:cs="Arial"/>
          <w:sz w:val="18"/>
          <w:szCs w:val="18"/>
          <w:lang w:val="pt-BR"/>
        </w:rPr>
        <w:t xml:space="preserve"> </w:t>
      </w:r>
      <w:proofErr w:type="spellStart"/>
      <w:r>
        <w:rPr>
          <w:rFonts w:ascii="Arial" w:hAnsi="Arial" w:cs="Arial"/>
          <w:sz w:val="18"/>
          <w:szCs w:val="18"/>
          <w:lang w:val="pt-BR"/>
        </w:rPr>
        <w:t>through</w:t>
      </w:r>
      <w:proofErr w:type="spellEnd"/>
      <w:r>
        <w:rPr>
          <w:rFonts w:ascii="Arial" w:hAnsi="Arial" w:cs="Arial"/>
          <w:sz w:val="18"/>
          <w:szCs w:val="18"/>
          <w:lang w:val="pt-BR"/>
        </w:rPr>
        <w:t xml:space="preserve"> 100 </w:t>
      </w:r>
      <w:proofErr w:type="spellStart"/>
      <w:r>
        <w:rPr>
          <w:rFonts w:ascii="Arial" w:hAnsi="Arial" w:cs="Arial"/>
          <w:sz w:val="18"/>
          <w:szCs w:val="18"/>
          <w:lang w:val="pt-BR"/>
        </w:rPr>
        <w:t>cooperatives</w:t>
      </w:r>
      <w:proofErr w:type="spellEnd"/>
      <w:r>
        <w:rPr>
          <w:rFonts w:ascii="Arial" w:hAnsi="Arial" w:cs="Arial"/>
          <w:sz w:val="18"/>
          <w:szCs w:val="18"/>
          <w:lang w:val="pt-BR"/>
        </w:rPr>
        <w:t>:</w:t>
      </w:r>
      <w:r w:rsidRPr="007A50C3">
        <w:rPr>
          <w:rFonts w:ascii="Arial" w:hAnsi="Arial" w:cs="Arial"/>
          <w:sz w:val="18"/>
          <w:szCs w:val="18"/>
          <w:lang w:val="pt-BR"/>
        </w:rPr>
        <w:t xml:space="preserve"> Rio Grande do Sul, Santa Catarina, Paraná, São Paulo, Mato Grosso do Sul, Mato Grosso, Tocantins, Pará, Rondônia, Goiás and Bahia.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9389D"/>
    <w:multiLevelType w:val="multilevel"/>
    <w:tmpl w:val="5FC2FE26"/>
    <w:lvl w:ilvl="0">
      <w:start w:val="1"/>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2AB771F1"/>
    <w:multiLevelType w:val="multilevel"/>
    <w:tmpl w:val="151C2CDE"/>
    <w:lvl w:ilvl="0">
      <w:start w:val="4"/>
      <w:numFmt w:val="decimal"/>
      <w:lvlText w:val="%1"/>
      <w:lvlJc w:val="left"/>
      <w:pPr>
        <w:ind w:left="360" w:hanging="360"/>
      </w:pPr>
    </w:lvl>
    <w:lvl w:ilvl="1">
      <w:start w:val="1"/>
      <w:numFmt w:val="decimal"/>
      <w:lvlText w:val="%1.%2"/>
      <w:lvlJc w:val="left"/>
      <w:pPr>
        <w:ind w:left="4860" w:hanging="360"/>
      </w:pPr>
    </w:lvl>
    <w:lvl w:ilvl="2">
      <w:start w:val="1"/>
      <w:numFmt w:val="lowerLetter"/>
      <w:lvlText w:val="%3."/>
      <w:lvlJc w:val="left"/>
      <w:pPr>
        <w:ind w:left="720" w:hanging="720"/>
      </w:pPr>
    </w:lvl>
    <w:lvl w:ilvl="3">
      <w:start w:val="1"/>
      <w:numFmt w:val="lowerLetter"/>
      <w:lvlText w:val="%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43C806A4"/>
    <w:multiLevelType w:val="multilevel"/>
    <w:tmpl w:val="02DC03FE"/>
    <w:lvl w:ilvl="0">
      <w:start w:val="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nsid w:val="4CA63F16"/>
    <w:multiLevelType w:val="multilevel"/>
    <w:tmpl w:val="C14CF9A2"/>
    <w:name w:val="AOBullet2"/>
    <w:lvl w:ilvl="0">
      <w:start w:val="1"/>
      <w:numFmt w:val="upperRoman"/>
      <w:lvlText w:val="%1."/>
      <w:lvlJc w:val="left"/>
      <w:pPr>
        <w:ind w:left="1080" w:hanging="720"/>
      </w:pPr>
      <w:rPr>
        <w:b/>
        <w:color w:val="000000"/>
      </w:rPr>
    </w:lvl>
    <w:lvl w:ilvl="1">
      <w:start w:val="1"/>
      <w:numFmt w:val="decimal"/>
      <w:lvlText w:val="%2.1."/>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54D41F3"/>
    <w:multiLevelType w:val="multilevel"/>
    <w:tmpl w:val="879E54EC"/>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
    <w:nsid w:val="55D9236B"/>
    <w:multiLevelType w:val="hybridMultilevel"/>
    <w:tmpl w:val="FFA28D6A"/>
    <w:lvl w:ilvl="0" w:tplc="826CFBB4">
      <w:start w:val="1"/>
      <w:numFmt w:val="decimal"/>
      <w:lvlText w:val="2.%1"/>
      <w:lvlJc w:val="righ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DC0"/>
    <w:rsid w:val="000E6CE2"/>
    <w:rsid w:val="001C0477"/>
    <w:rsid w:val="002339F9"/>
    <w:rsid w:val="002458CE"/>
    <w:rsid w:val="00465E38"/>
    <w:rsid w:val="004A7982"/>
    <w:rsid w:val="004C7DC0"/>
    <w:rsid w:val="005A0B85"/>
    <w:rsid w:val="00682D6A"/>
    <w:rsid w:val="0079054E"/>
    <w:rsid w:val="007A50C3"/>
    <w:rsid w:val="007A7543"/>
    <w:rsid w:val="007E03FA"/>
    <w:rsid w:val="007E685E"/>
    <w:rsid w:val="00836D73"/>
    <w:rsid w:val="008F1164"/>
    <w:rsid w:val="00904917"/>
    <w:rsid w:val="009E61D9"/>
    <w:rsid w:val="00A473D4"/>
    <w:rsid w:val="00A50821"/>
    <w:rsid w:val="00B13D0C"/>
    <w:rsid w:val="00B60A8E"/>
    <w:rsid w:val="00B902C2"/>
    <w:rsid w:val="00C65C1D"/>
    <w:rsid w:val="00C91104"/>
    <w:rsid w:val="00CB56C3"/>
    <w:rsid w:val="00EC2162"/>
    <w:rsid w:val="00F33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D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7D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7DC0"/>
    <w:rPr>
      <w:sz w:val="20"/>
      <w:szCs w:val="20"/>
    </w:rPr>
  </w:style>
  <w:style w:type="character" w:styleId="FootnoteReference">
    <w:name w:val="footnote reference"/>
    <w:aliases w:val="Style 24,Style 2,Sty,Style,titulo 2,referencia nota al pie,Ref. de nota al pie.,Ref,de nota al pie"/>
    <w:basedOn w:val="DefaultParagraphFont"/>
    <w:unhideWhenUsed/>
    <w:rsid w:val="004C7DC0"/>
    <w:rPr>
      <w:vertAlign w:val="superscript"/>
    </w:rPr>
  </w:style>
  <w:style w:type="paragraph" w:styleId="ListParagraph">
    <w:name w:val="List Paragraph"/>
    <w:basedOn w:val="Normal"/>
    <w:uiPriority w:val="34"/>
    <w:qFormat/>
    <w:rsid w:val="00465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D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7D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7DC0"/>
    <w:rPr>
      <w:sz w:val="20"/>
      <w:szCs w:val="20"/>
    </w:rPr>
  </w:style>
  <w:style w:type="character" w:styleId="FootnoteReference">
    <w:name w:val="footnote reference"/>
    <w:aliases w:val="Style 24,Style 2,Sty,Style,titulo 2,referencia nota al pie,Ref. de nota al pie.,Ref,de nota al pie"/>
    <w:basedOn w:val="DefaultParagraphFont"/>
    <w:unhideWhenUsed/>
    <w:rsid w:val="004C7DC0"/>
    <w:rPr>
      <w:vertAlign w:val="superscript"/>
    </w:rPr>
  </w:style>
  <w:style w:type="paragraph" w:styleId="ListParagraph">
    <w:name w:val="List Paragraph"/>
    <w:basedOn w:val="Normal"/>
    <w:uiPriority w:val="34"/>
    <w:qFormat/>
    <w:rsid w:val="00465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39644703</IDBDocs_x0020_Number>
    <TaxCatchAll xmlns="9c571b2f-e523-4ab2-ba2e-09e151a03ef4">
      <Value>2</Value>
      <Value>8</Value>
      <Value>1</Value>
    </TaxCatchAll>
    <Phase xmlns="9c571b2f-e523-4ab2-ba2e-09e151a03ef4" xsi:nil="true"/>
    <SISCOR_x0020_Number xmlns="9c571b2f-e523-4ab2-ba2e-09e151a03ef4" xsi:nil="true"/>
    <Division_x0020_or_x0020_Unit xmlns="9c571b2f-e523-4ab2-ba2e-09e151a03ef4">SCF/FMK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 xsi:nil="true"/>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BR-L1435</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j8b96605ee2f4c4e988849e658583fee>
    <Migration_x0020_Info xmlns="9c571b2f-e523-4ab2-ba2e-09e151a03ef4">&lt;Data&gt;&lt;APPLICATION&gt;MS WORD&lt;/APPLICATION&gt;&lt;STAGE_CODE&gt;ESS&lt;/STAGE_CODE&gt;&lt;USER_STAGE&gt;Environmental &amp; Social Strategies&lt;/USER_STAGE&gt;&lt;PD_OBJ_TYPE&gt;0&lt;/PD_OBJ_TYPE&gt;&lt;MAKERECORD&gt;N&lt;/MAKERECORD&gt;&lt;/Data&gt;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ESS Banco Sicredi BR-L1435 </Identifier>
    <Abstract xmlns="9c571b2f-e523-4ab2-ba2e-09e151a03ef4" xsi:nil="true"/>
    <Disclosure_x0020_Activity xmlns="9c571b2f-e523-4ab2-ba2e-09e151a03ef4">Environmental and Social Strategies</Disclosure_x0020_Activity>
    <Webtopic xmlns="9c571b2f-e523-4ab2-ba2e-09e151a03ef4">Manufacturing</Webtopic>
    <Publishing_x0020_House xmlns="9c571b2f-e523-4ab2-ba2e-09e151a03ef4" xsi:nil="true"/>
    <Issue_x0020_Date xmlns="9c571b2f-e523-4ab2-ba2e-09e151a03ef4" xsi:nil="true"/>
    <Disclosed xmlns="9c571b2f-e523-4ab2-ba2e-09e151a03ef4">false</Disclosed>
    <Publication_x0020_Type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87CE9FE3D13E4189B1E95DD61628B6" ma:contentTypeVersion="0" ma:contentTypeDescription="A content type to manage public (operations) IDB documents" ma:contentTypeScope="" ma:versionID="42cce9409239f931bf1c170cb6902144">
  <xsd:schema xmlns:xsd="http://www.w3.org/2001/XMLSchema" xmlns:xs="http://www.w3.org/2001/XMLSchema" xmlns:p="http://schemas.microsoft.com/office/2006/metadata/properties" xmlns:ns2="9c571b2f-e523-4ab2-ba2e-09e151a03ef4" targetNamespace="http://schemas.microsoft.com/office/2006/metadata/properties" ma:root="true" ma:fieldsID="e2af45e4a4ff33c06f6ae30fb386a4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08a4625-26f1-4cc5-a5e3-eb0bbc9d1506}" ma:internalName="TaxCatchAll" ma:showField="CatchAllData"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08a4625-26f1-4cc5-a5e3-eb0bbc9d1506}" ma:internalName="TaxCatchAllLabel" ma:readOnly="true" ma:showField="CatchAllDataLabel"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B3FC37-7C01-421E-AD7F-BB780977F68D}"/>
</file>

<file path=customXml/itemProps2.xml><?xml version="1.0" encoding="utf-8"?>
<ds:datastoreItem xmlns:ds="http://schemas.openxmlformats.org/officeDocument/2006/customXml" ds:itemID="{0E8B0F89-FD31-4640-95D4-8ACC244CFC5C}"/>
</file>

<file path=customXml/itemProps3.xml><?xml version="1.0" encoding="utf-8"?>
<ds:datastoreItem xmlns:ds="http://schemas.openxmlformats.org/officeDocument/2006/customXml" ds:itemID="{2EBAC3AC-A23B-46B5-9F2D-5F1D10957DF3}"/>
</file>

<file path=customXml/itemProps4.xml><?xml version="1.0" encoding="utf-8"?>
<ds:datastoreItem xmlns:ds="http://schemas.openxmlformats.org/officeDocument/2006/customXml" ds:itemID="{0606D6DD-054B-440E-8EE9-24EAA54B3B8E}"/>
</file>

<file path=customXml/itemProps5.xml><?xml version="1.0" encoding="utf-8"?>
<ds:datastoreItem xmlns:ds="http://schemas.openxmlformats.org/officeDocument/2006/customXml" ds:itemID="{16DC8AFB-1753-4687-9E94-7665631A273A}"/>
</file>

<file path=customXml/itemProps6.xml><?xml version="1.0" encoding="utf-8"?>
<ds:datastoreItem xmlns:ds="http://schemas.openxmlformats.org/officeDocument/2006/customXml" ds:itemID="{7990E79A-C8A8-4EA6-90B5-D2A4592F6263}"/>
</file>

<file path=docProps/app.xml><?xml version="1.0" encoding="utf-8"?>
<Properties xmlns="http://schemas.openxmlformats.org/officeDocument/2006/extended-properties" xmlns:vt="http://schemas.openxmlformats.org/officeDocument/2006/docPropsVTypes">
  <Template>Normal.dotm</Template>
  <TotalTime>1</TotalTime>
  <Pages>3</Pages>
  <Words>946</Words>
  <Characters>5395</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 Banco Sicredi BR-L1435</dc:title>
  <dc:creator>IADB</dc:creator>
  <cp:lastModifiedBy>Test</cp:lastModifiedBy>
  <cp:revision>2</cp:revision>
  <dcterms:created xsi:type="dcterms:W3CDTF">2015-05-22T20:56:00Z</dcterms:created>
  <dcterms:modified xsi:type="dcterms:W3CDTF">2015-05-22T20:56:00Z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0x01010046CF21643EE8D14686A648AA6DAD0892009587CE9FE3D13E4189B1E95DD61628B6</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8;#Brazil|7deb27ec-6837-4974-9aa8-6cfbac841ef8</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1;#IDBDocs|cca77002-e150-4b2d-ab1f-1d7a7cdcae16</vt:lpwstr>
  </property>
  <property fmtid="{D5CDD505-2E9C-101B-9397-08002B2CF9AE}" pid="14" name="Sub-Sector">
    <vt:lpwstr/>
  </property>
</Properties>
</file>