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4369" w:rsidRDefault="00684369" w:rsidP="00684369">
      <w:pPr>
        <w:autoSpaceDE w:val="0"/>
        <w:autoSpaceDN w:val="0"/>
        <w:adjustRightInd w:val="0"/>
        <w:spacing w:after="0" w:line="240" w:lineRule="auto"/>
        <w:jc w:val="center"/>
        <w:rPr>
          <w:b/>
          <w:bCs/>
          <w:sz w:val="28"/>
          <w:szCs w:val="28"/>
        </w:rPr>
      </w:pPr>
    </w:p>
    <w:p w:rsidR="00684369" w:rsidRPr="007742FA" w:rsidRDefault="00684369" w:rsidP="00684369">
      <w:pPr>
        <w:autoSpaceDE w:val="0"/>
        <w:autoSpaceDN w:val="0"/>
        <w:adjustRightInd w:val="0"/>
        <w:spacing w:after="0" w:line="240" w:lineRule="auto"/>
        <w:jc w:val="center"/>
        <w:rPr>
          <w:b/>
          <w:bCs/>
        </w:rPr>
      </w:pPr>
    </w:p>
    <w:p w:rsidR="00684369" w:rsidRDefault="00684369" w:rsidP="00684369">
      <w:pPr>
        <w:pStyle w:val="Header"/>
        <w:spacing w:line="360" w:lineRule="auto"/>
        <w:jc w:val="center"/>
        <w:rPr>
          <w:rFonts w:ascii="Cambria" w:hAnsi="Cambria" w:cs="Cambria"/>
          <w:b/>
          <w:bCs/>
          <w:sz w:val="22"/>
          <w:szCs w:val="22"/>
        </w:rPr>
      </w:pPr>
    </w:p>
    <w:p w:rsidR="00684369" w:rsidRPr="00684369" w:rsidRDefault="00684369" w:rsidP="00684369">
      <w:pPr>
        <w:pStyle w:val="Header"/>
        <w:spacing w:line="360" w:lineRule="auto"/>
        <w:jc w:val="center"/>
        <w:rPr>
          <w:rFonts w:asciiTheme="minorHAnsi" w:hAnsiTheme="minorHAnsi" w:cs="Cambria"/>
          <w:b/>
          <w:bCs/>
          <w:sz w:val="28"/>
          <w:szCs w:val="28"/>
        </w:rPr>
      </w:pPr>
      <w:r w:rsidRPr="00684369">
        <w:rPr>
          <w:rFonts w:asciiTheme="minorHAnsi" w:hAnsiTheme="minorHAnsi" w:cs="Cambria"/>
          <w:b/>
          <w:bCs/>
          <w:sz w:val="28"/>
          <w:szCs w:val="28"/>
        </w:rPr>
        <w:t xml:space="preserve">BANCO INTERAMERICANO DE DESARROLLO </w:t>
      </w:r>
    </w:p>
    <w:p w:rsidR="00684369" w:rsidRPr="00684369" w:rsidRDefault="00684369" w:rsidP="00684369">
      <w:pPr>
        <w:pStyle w:val="Header"/>
        <w:spacing w:line="360" w:lineRule="auto"/>
        <w:jc w:val="center"/>
        <w:rPr>
          <w:rFonts w:asciiTheme="minorHAnsi" w:hAnsiTheme="minorHAnsi" w:cs="Cambria"/>
          <w:b/>
          <w:bCs/>
          <w:sz w:val="22"/>
          <w:szCs w:val="22"/>
        </w:rPr>
      </w:pPr>
    </w:p>
    <w:p w:rsidR="00684369" w:rsidRPr="00684369" w:rsidRDefault="00684369" w:rsidP="00684369">
      <w:pPr>
        <w:pStyle w:val="Header"/>
        <w:spacing w:line="360" w:lineRule="auto"/>
        <w:jc w:val="center"/>
        <w:rPr>
          <w:rFonts w:asciiTheme="minorHAnsi" w:hAnsiTheme="minorHAnsi" w:cs="Cambria"/>
          <w:b/>
          <w:bCs/>
          <w:sz w:val="22"/>
          <w:szCs w:val="22"/>
        </w:rPr>
      </w:pPr>
    </w:p>
    <w:p w:rsidR="00684369" w:rsidRDefault="00684369" w:rsidP="00684369">
      <w:pPr>
        <w:jc w:val="center"/>
        <w:rPr>
          <w:rFonts w:asciiTheme="minorHAnsi" w:hAnsiTheme="minorHAnsi" w:cs="Arial"/>
          <w:b/>
          <w:bCs/>
          <w:sz w:val="28"/>
          <w:szCs w:val="28"/>
          <w:lang w:val="es-ES"/>
        </w:rPr>
      </w:pPr>
      <w:r w:rsidRPr="00684369">
        <w:rPr>
          <w:rFonts w:asciiTheme="minorHAnsi" w:hAnsiTheme="minorHAnsi" w:cs="Arial"/>
          <w:b/>
          <w:bCs/>
          <w:sz w:val="28"/>
          <w:szCs w:val="28"/>
          <w:lang w:val="es-ES"/>
        </w:rPr>
        <w:t>Proyecto UR-L1107</w:t>
      </w:r>
    </w:p>
    <w:p w:rsidR="00684369" w:rsidRPr="00684369" w:rsidRDefault="00684369" w:rsidP="00684369">
      <w:pPr>
        <w:pStyle w:val="Header"/>
        <w:spacing w:line="360" w:lineRule="auto"/>
        <w:jc w:val="center"/>
        <w:rPr>
          <w:rFonts w:asciiTheme="minorHAnsi" w:hAnsiTheme="minorHAnsi" w:cs="Cambria"/>
          <w:sz w:val="22"/>
          <w:szCs w:val="22"/>
        </w:rPr>
      </w:pPr>
    </w:p>
    <w:p w:rsidR="00684369" w:rsidRPr="00684369" w:rsidRDefault="00684369" w:rsidP="00684369">
      <w:pPr>
        <w:autoSpaceDE w:val="0"/>
        <w:autoSpaceDN w:val="0"/>
        <w:adjustRightInd w:val="0"/>
        <w:spacing w:after="0" w:line="240" w:lineRule="auto"/>
        <w:jc w:val="center"/>
        <w:rPr>
          <w:rFonts w:asciiTheme="minorHAnsi" w:hAnsiTheme="minorHAnsi" w:cs="Arial"/>
          <w:sz w:val="20"/>
          <w:szCs w:val="20"/>
          <w:lang w:val="es-ES"/>
        </w:rPr>
      </w:pPr>
    </w:p>
    <w:p w:rsidR="00684369" w:rsidRPr="00684369" w:rsidRDefault="00684369" w:rsidP="00684369">
      <w:pPr>
        <w:autoSpaceDE w:val="0"/>
        <w:autoSpaceDN w:val="0"/>
        <w:adjustRightInd w:val="0"/>
        <w:spacing w:after="0" w:line="240" w:lineRule="auto"/>
        <w:jc w:val="center"/>
        <w:rPr>
          <w:rFonts w:asciiTheme="minorHAnsi" w:hAnsiTheme="minorHAnsi" w:cs="Arial"/>
          <w:sz w:val="20"/>
          <w:szCs w:val="20"/>
          <w:lang w:val="es-ES"/>
        </w:rPr>
      </w:pPr>
    </w:p>
    <w:p w:rsidR="00684369" w:rsidRPr="00684369" w:rsidRDefault="00684369" w:rsidP="00684369">
      <w:pPr>
        <w:autoSpaceDE w:val="0"/>
        <w:autoSpaceDN w:val="0"/>
        <w:adjustRightInd w:val="0"/>
        <w:spacing w:after="0" w:line="240" w:lineRule="auto"/>
        <w:jc w:val="center"/>
        <w:rPr>
          <w:rFonts w:asciiTheme="minorHAnsi" w:hAnsiTheme="minorHAnsi" w:cs="Arial"/>
          <w:sz w:val="20"/>
          <w:szCs w:val="20"/>
          <w:lang w:val="es-ES"/>
        </w:rPr>
      </w:pPr>
    </w:p>
    <w:p w:rsidR="00684369" w:rsidRPr="00684369" w:rsidRDefault="00684369" w:rsidP="00684369">
      <w:pPr>
        <w:autoSpaceDE w:val="0"/>
        <w:autoSpaceDN w:val="0"/>
        <w:adjustRightInd w:val="0"/>
        <w:spacing w:after="0" w:line="240" w:lineRule="auto"/>
        <w:jc w:val="center"/>
        <w:rPr>
          <w:rFonts w:asciiTheme="minorHAnsi" w:hAnsiTheme="minorHAnsi" w:cs="Arial"/>
          <w:sz w:val="20"/>
          <w:szCs w:val="20"/>
          <w:lang w:val="es-ES"/>
        </w:rPr>
      </w:pPr>
    </w:p>
    <w:p w:rsidR="00684369" w:rsidRPr="00684369" w:rsidRDefault="00684369" w:rsidP="00684369">
      <w:pPr>
        <w:autoSpaceDE w:val="0"/>
        <w:autoSpaceDN w:val="0"/>
        <w:adjustRightInd w:val="0"/>
        <w:spacing w:after="0" w:line="240" w:lineRule="auto"/>
        <w:jc w:val="center"/>
        <w:rPr>
          <w:rFonts w:asciiTheme="minorHAnsi" w:hAnsiTheme="minorHAnsi" w:cs="Arial"/>
          <w:sz w:val="20"/>
          <w:szCs w:val="20"/>
        </w:rPr>
      </w:pPr>
    </w:p>
    <w:p w:rsidR="00684369" w:rsidRPr="00684369" w:rsidRDefault="00684369" w:rsidP="00684369">
      <w:pPr>
        <w:shd w:val="clear" w:color="auto" w:fill="943634"/>
        <w:autoSpaceDE w:val="0"/>
        <w:autoSpaceDN w:val="0"/>
        <w:adjustRightInd w:val="0"/>
        <w:spacing w:after="0" w:line="240" w:lineRule="auto"/>
        <w:jc w:val="center"/>
        <w:rPr>
          <w:rFonts w:asciiTheme="minorHAnsi" w:hAnsiTheme="minorHAnsi"/>
          <w:b/>
          <w:bCs/>
          <w:color w:val="FFFFFF"/>
          <w:sz w:val="40"/>
          <w:szCs w:val="40"/>
        </w:rPr>
      </w:pPr>
    </w:p>
    <w:p w:rsidR="00770F49" w:rsidRDefault="00680F25" w:rsidP="00684369">
      <w:pPr>
        <w:shd w:val="clear" w:color="auto" w:fill="943634"/>
        <w:autoSpaceDE w:val="0"/>
        <w:autoSpaceDN w:val="0"/>
        <w:adjustRightInd w:val="0"/>
        <w:spacing w:after="0" w:line="240" w:lineRule="auto"/>
        <w:jc w:val="center"/>
        <w:rPr>
          <w:rFonts w:asciiTheme="minorHAnsi" w:hAnsiTheme="minorHAnsi"/>
          <w:b/>
          <w:bCs/>
          <w:color w:val="FFFFFF"/>
          <w:sz w:val="40"/>
          <w:szCs w:val="40"/>
        </w:rPr>
      </w:pPr>
      <w:r>
        <w:rPr>
          <w:rFonts w:asciiTheme="minorHAnsi" w:hAnsiTheme="minorHAnsi"/>
          <w:b/>
          <w:bCs/>
          <w:color w:val="FFFFFF"/>
          <w:sz w:val="40"/>
          <w:szCs w:val="40"/>
        </w:rPr>
        <w:t>ANALISIS FINANCIERO</w:t>
      </w:r>
    </w:p>
    <w:p w:rsidR="00680F25" w:rsidRDefault="00680F25" w:rsidP="00684369">
      <w:pPr>
        <w:shd w:val="clear" w:color="auto" w:fill="943634"/>
        <w:autoSpaceDE w:val="0"/>
        <w:autoSpaceDN w:val="0"/>
        <w:adjustRightInd w:val="0"/>
        <w:spacing w:after="0" w:line="240" w:lineRule="auto"/>
        <w:jc w:val="center"/>
        <w:rPr>
          <w:rFonts w:asciiTheme="minorHAnsi" w:hAnsiTheme="minorHAnsi"/>
          <w:b/>
          <w:bCs/>
          <w:color w:val="FFFFFF"/>
          <w:sz w:val="40"/>
          <w:szCs w:val="40"/>
        </w:rPr>
      </w:pPr>
    </w:p>
    <w:p w:rsidR="00684369" w:rsidRPr="00680F25" w:rsidRDefault="00680F25" w:rsidP="00684369">
      <w:pPr>
        <w:shd w:val="clear" w:color="auto" w:fill="943634"/>
        <w:autoSpaceDE w:val="0"/>
        <w:autoSpaceDN w:val="0"/>
        <w:adjustRightInd w:val="0"/>
        <w:spacing w:after="0" w:line="240" w:lineRule="auto"/>
        <w:jc w:val="center"/>
        <w:rPr>
          <w:rFonts w:asciiTheme="minorHAnsi" w:hAnsiTheme="minorHAnsi"/>
          <w:b/>
          <w:bCs/>
          <w:i/>
          <w:color w:val="FFFFFF"/>
          <w:sz w:val="28"/>
          <w:szCs w:val="28"/>
        </w:rPr>
      </w:pPr>
      <w:r w:rsidRPr="00680F25">
        <w:rPr>
          <w:rFonts w:asciiTheme="minorHAnsi" w:hAnsiTheme="minorHAnsi"/>
          <w:b/>
          <w:bCs/>
          <w:i/>
          <w:color w:val="FFFFFF"/>
          <w:sz w:val="28"/>
          <w:szCs w:val="28"/>
        </w:rPr>
        <w:t xml:space="preserve">Análisis financiero </w:t>
      </w:r>
      <w:r w:rsidR="00684369" w:rsidRPr="00680F25">
        <w:rPr>
          <w:rFonts w:asciiTheme="minorHAnsi" w:hAnsiTheme="minorHAnsi"/>
          <w:b/>
          <w:bCs/>
          <w:i/>
          <w:color w:val="FFFFFF"/>
          <w:sz w:val="28"/>
          <w:szCs w:val="28"/>
        </w:rPr>
        <w:t>de</w:t>
      </w:r>
      <w:r w:rsidR="001D2337" w:rsidRPr="00680F25">
        <w:rPr>
          <w:rFonts w:asciiTheme="minorHAnsi" w:hAnsiTheme="minorHAnsi"/>
          <w:b/>
          <w:bCs/>
          <w:i/>
          <w:color w:val="FFFFFF"/>
          <w:sz w:val="28"/>
          <w:szCs w:val="28"/>
        </w:rPr>
        <w:t xml:space="preserve"> la</w:t>
      </w:r>
      <w:r w:rsidR="00684369" w:rsidRPr="00680F25">
        <w:rPr>
          <w:rFonts w:asciiTheme="minorHAnsi" w:hAnsiTheme="minorHAnsi"/>
          <w:b/>
          <w:bCs/>
          <w:i/>
          <w:color w:val="FFFFFF"/>
          <w:sz w:val="28"/>
          <w:szCs w:val="28"/>
        </w:rPr>
        <w:t xml:space="preserve"> Corporación Vial del </w:t>
      </w:r>
      <w:r w:rsidRPr="00680F25">
        <w:rPr>
          <w:rFonts w:asciiTheme="minorHAnsi" w:hAnsiTheme="minorHAnsi"/>
          <w:b/>
          <w:bCs/>
          <w:i/>
          <w:color w:val="FFFFFF"/>
          <w:sz w:val="28"/>
          <w:szCs w:val="28"/>
        </w:rPr>
        <w:t>U</w:t>
      </w:r>
      <w:r w:rsidR="00684369" w:rsidRPr="00680F25">
        <w:rPr>
          <w:rFonts w:asciiTheme="minorHAnsi" w:hAnsiTheme="minorHAnsi"/>
          <w:b/>
          <w:bCs/>
          <w:i/>
          <w:color w:val="FFFFFF"/>
          <w:sz w:val="28"/>
          <w:szCs w:val="28"/>
        </w:rPr>
        <w:t>ruguay (CVU)</w:t>
      </w:r>
      <w:r w:rsidRPr="00680F25">
        <w:rPr>
          <w:rFonts w:asciiTheme="minorHAnsi" w:hAnsiTheme="minorHAnsi"/>
          <w:b/>
          <w:bCs/>
          <w:i/>
          <w:color w:val="FFFFFF"/>
          <w:sz w:val="28"/>
          <w:szCs w:val="28"/>
        </w:rPr>
        <w:t xml:space="preserve"> </w:t>
      </w:r>
      <w:r w:rsidR="00746DB5" w:rsidRPr="00680F25">
        <w:rPr>
          <w:rFonts w:asciiTheme="minorHAnsi" w:hAnsiTheme="minorHAnsi"/>
          <w:b/>
          <w:bCs/>
          <w:i/>
          <w:color w:val="FFFFFF"/>
          <w:sz w:val="28"/>
          <w:szCs w:val="28"/>
        </w:rPr>
        <w:t>y</w:t>
      </w:r>
      <w:r w:rsidRPr="00680F25">
        <w:rPr>
          <w:rFonts w:asciiTheme="minorHAnsi" w:hAnsiTheme="minorHAnsi"/>
          <w:b/>
          <w:bCs/>
          <w:i/>
          <w:color w:val="FFFFFF"/>
          <w:sz w:val="28"/>
          <w:szCs w:val="28"/>
        </w:rPr>
        <w:t xml:space="preserve"> del </w:t>
      </w:r>
      <w:r w:rsidR="00746DB5" w:rsidRPr="00680F25">
        <w:rPr>
          <w:rFonts w:asciiTheme="minorHAnsi" w:hAnsiTheme="minorHAnsi"/>
          <w:b/>
          <w:bCs/>
          <w:i/>
          <w:color w:val="FFFFFF"/>
          <w:sz w:val="28"/>
          <w:szCs w:val="28"/>
        </w:rPr>
        <w:t xml:space="preserve">Riesgo Fiscal </w:t>
      </w:r>
      <w:r w:rsidRPr="00680F25">
        <w:rPr>
          <w:rFonts w:asciiTheme="minorHAnsi" w:hAnsiTheme="minorHAnsi"/>
          <w:b/>
          <w:bCs/>
          <w:i/>
          <w:color w:val="FFFFFF"/>
          <w:sz w:val="28"/>
          <w:szCs w:val="28"/>
        </w:rPr>
        <w:t xml:space="preserve"> </w:t>
      </w:r>
      <w:r w:rsidR="001D2337" w:rsidRPr="00680F25">
        <w:rPr>
          <w:rFonts w:asciiTheme="minorHAnsi" w:hAnsiTheme="minorHAnsi"/>
          <w:b/>
          <w:bCs/>
          <w:i/>
          <w:color w:val="FFFFFF"/>
          <w:sz w:val="28"/>
          <w:szCs w:val="28"/>
        </w:rPr>
        <w:t xml:space="preserve">relacionado a </w:t>
      </w:r>
      <w:r w:rsidRPr="00680F25">
        <w:rPr>
          <w:rFonts w:asciiTheme="minorHAnsi" w:hAnsiTheme="minorHAnsi"/>
          <w:b/>
          <w:bCs/>
          <w:i/>
          <w:color w:val="FFFFFF"/>
          <w:sz w:val="28"/>
          <w:szCs w:val="28"/>
        </w:rPr>
        <w:t>P</w:t>
      </w:r>
      <w:r w:rsidR="00746DB5" w:rsidRPr="00680F25">
        <w:rPr>
          <w:rFonts w:asciiTheme="minorHAnsi" w:hAnsiTheme="minorHAnsi"/>
          <w:b/>
          <w:bCs/>
          <w:i/>
          <w:color w:val="FFFFFF"/>
          <w:sz w:val="28"/>
          <w:szCs w:val="28"/>
        </w:rPr>
        <w:t>rogramas de PPP y de la CVU</w:t>
      </w:r>
    </w:p>
    <w:p w:rsidR="00684369" w:rsidRPr="00684369" w:rsidRDefault="00684369" w:rsidP="00684369">
      <w:pPr>
        <w:shd w:val="clear" w:color="auto" w:fill="943634"/>
        <w:autoSpaceDE w:val="0"/>
        <w:autoSpaceDN w:val="0"/>
        <w:adjustRightInd w:val="0"/>
        <w:spacing w:after="0" w:line="240" w:lineRule="auto"/>
        <w:jc w:val="center"/>
        <w:rPr>
          <w:rFonts w:asciiTheme="minorHAnsi" w:hAnsiTheme="minorHAnsi"/>
          <w:b/>
          <w:bCs/>
          <w:color w:val="FFFFFF"/>
          <w:sz w:val="40"/>
          <w:szCs w:val="40"/>
        </w:rPr>
      </w:pPr>
    </w:p>
    <w:p w:rsidR="00684369" w:rsidRDefault="00684369" w:rsidP="00684369">
      <w:pPr>
        <w:autoSpaceDE w:val="0"/>
        <w:autoSpaceDN w:val="0"/>
        <w:adjustRightInd w:val="0"/>
        <w:spacing w:after="0" w:line="240" w:lineRule="auto"/>
        <w:jc w:val="center"/>
        <w:rPr>
          <w:rFonts w:asciiTheme="minorHAnsi" w:hAnsiTheme="minorHAnsi" w:cs="Arial"/>
          <w:b/>
          <w:bCs/>
          <w:sz w:val="24"/>
          <w:szCs w:val="24"/>
        </w:rPr>
      </w:pPr>
    </w:p>
    <w:p w:rsidR="001D2337" w:rsidRDefault="001D2337" w:rsidP="00684369">
      <w:pPr>
        <w:autoSpaceDE w:val="0"/>
        <w:autoSpaceDN w:val="0"/>
        <w:adjustRightInd w:val="0"/>
        <w:spacing w:after="0" w:line="240" w:lineRule="auto"/>
        <w:jc w:val="center"/>
        <w:rPr>
          <w:rFonts w:asciiTheme="minorHAnsi" w:hAnsiTheme="minorHAnsi" w:cs="Arial"/>
          <w:b/>
          <w:bCs/>
          <w:sz w:val="24"/>
          <w:szCs w:val="24"/>
        </w:rPr>
      </w:pPr>
    </w:p>
    <w:p w:rsidR="001D2337" w:rsidRDefault="001D2337" w:rsidP="00684369">
      <w:pPr>
        <w:autoSpaceDE w:val="0"/>
        <w:autoSpaceDN w:val="0"/>
        <w:adjustRightInd w:val="0"/>
        <w:spacing w:after="0" w:line="240" w:lineRule="auto"/>
        <w:jc w:val="center"/>
        <w:rPr>
          <w:rFonts w:asciiTheme="minorHAnsi" w:hAnsiTheme="minorHAnsi" w:cs="Arial"/>
          <w:b/>
          <w:bCs/>
          <w:sz w:val="24"/>
          <w:szCs w:val="24"/>
        </w:rPr>
      </w:pPr>
    </w:p>
    <w:p w:rsidR="001D2337" w:rsidRDefault="001D2337" w:rsidP="00684369">
      <w:pPr>
        <w:autoSpaceDE w:val="0"/>
        <w:autoSpaceDN w:val="0"/>
        <w:adjustRightInd w:val="0"/>
        <w:spacing w:after="0" w:line="240" w:lineRule="auto"/>
        <w:jc w:val="center"/>
        <w:rPr>
          <w:rFonts w:asciiTheme="minorHAnsi" w:hAnsiTheme="minorHAnsi" w:cs="Arial"/>
          <w:b/>
          <w:bCs/>
          <w:sz w:val="24"/>
          <w:szCs w:val="24"/>
        </w:rPr>
      </w:pPr>
    </w:p>
    <w:p w:rsidR="00684369" w:rsidRDefault="00684369" w:rsidP="00684369">
      <w:pPr>
        <w:autoSpaceDE w:val="0"/>
        <w:autoSpaceDN w:val="0"/>
        <w:adjustRightInd w:val="0"/>
        <w:spacing w:after="0" w:line="240" w:lineRule="auto"/>
        <w:jc w:val="center"/>
        <w:rPr>
          <w:rFonts w:asciiTheme="minorHAnsi" w:hAnsiTheme="minorHAnsi" w:cs="Arial"/>
          <w:b/>
          <w:bCs/>
          <w:sz w:val="24"/>
          <w:szCs w:val="24"/>
        </w:rPr>
      </w:pPr>
    </w:p>
    <w:p w:rsidR="00680F25" w:rsidRDefault="00680F25" w:rsidP="00684369">
      <w:pPr>
        <w:autoSpaceDE w:val="0"/>
        <w:autoSpaceDN w:val="0"/>
        <w:adjustRightInd w:val="0"/>
        <w:spacing w:after="0" w:line="240" w:lineRule="auto"/>
        <w:jc w:val="center"/>
        <w:rPr>
          <w:rFonts w:asciiTheme="minorHAnsi" w:hAnsiTheme="minorHAnsi" w:cs="Arial"/>
          <w:b/>
          <w:bCs/>
          <w:sz w:val="24"/>
          <w:szCs w:val="24"/>
        </w:rPr>
      </w:pPr>
    </w:p>
    <w:p w:rsidR="006404CA" w:rsidRPr="00684369" w:rsidRDefault="006404CA" w:rsidP="00684369">
      <w:pPr>
        <w:autoSpaceDE w:val="0"/>
        <w:autoSpaceDN w:val="0"/>
        <w:adjustRightInd w:val="0"/>
        <w:spacing w:after="0" w:line="240" w:lineRule="auto"/>
        <w:jc w:val="center"/>
        <w:rPr>
          <w:rFonts w:asciiTheme="minorHAnsi" w:hAnsiTheme="minorHAnsi" w:cs="Arial"/>
          <w:b/>
          <w:bCs/>
          <w:sz w:val="24"/>
          <w:szCs w:val="24"/>
        </w:rPr>
      </w:pPr>
    </w:p>
    <w:p w:rsidR="00684369" w:rsidRPr="00684369" w:rsidRDefault="00684369" w:rsidP="00684369">
      <w:pPr>
        <w:autoSpaceDE w:val="0"/>
        <w:autoSpaceDN w:val="0"/>
        <w:adjustRightInd w:val="0"/>
        <w:spacing w:after="0" w:line="240" w:lineRule="auto"/>
        <w:jc w:val="center"/>
        <w:rPr>
          <w:rFonts w:asciiTheme="minorHAnsi" w:hAnsiTheme="minorHAnsi" w:cs="Arial"/>
          <w:b/>
          <w:bCs/>
          <w:sz w:val="28"/>
          <w:szCs w:val="28"/>
        </w:rPr>
      </w:pPr>
    </w:p>
    <w:p w:rsidR="00684369" w:rsidRPr="00684369" w:rsidRDefault="00684369" w:rsidP="00684369">
      <w:pPr>
        <w:autoSpaceDE w:val="0"/>
        <w:autoSpaceDN w:val="0"/>
        <w:adjustRightInd w:val="0"/>
        <w:spacing w:after="0" w:line="240" w:lineRule="auto"/>
        <w:rPr>
          <w:rFonts w:asciiTheme="minorHAnsi" w:hAnsiTheme="minorHAnsi" w:cs="Arial"/>
          <w:b/>
          <w:bCs/>
          <w:sz w:val="19"/>
          <w:szCs w:val="19"/>
        </w:rPr>
      </w:pPr>
    </w:p>
    <w:p w:rsidR="00684369" w:rsidRPr="00684369" w:rsidRDefault="00684369" w:rsidP="00684369">
      <w:pPr>
        <w:autoSpaceDE w:val="0"/>
        <w:autoSpaceDN w:val="0"/>
        <w:adjustRightInd w:val="0"/>
        <w:spacing w:after="0" w:line="240" w:lineRule="auto"/>
        <w:rPr>
          <w:rFonts w:asciiTheme="minorHAnsi" w:hAnsiTheme="minorHAnsi" w:cs="Arial"/>
          <w:b/>
          <w:bCs/>
          <w:sz w:val="19"/>
          <w:szCs w:val="19"/>
        </w:rPr>
      </w:pPr>
    </w:p>
    <w:p w:rsidR="00684369" w:rsidRPr="00684369" w:rsidRDefault="00684369" w:rsidP="00684369">
      <w:pPr>
        <w:autoSpaceDE w:val="0"/>
        <w:autoSpaceDN w:val="0"/>
        <w:adjustRightInd w:val="0"/>
        <w:spacing w:after="0" w:line="240" w:lineRule="auto"/>
        <w:rPr>
          <w:rFonts w:asciiTheme="minorHAnsi" w:hAnsiTheme="minorHAnsi" w:cs="Arial"/>
          <w:b/>
          <w:bCs/>
          <w:sz w:val="19"/>
          <w:szCs w:val="19"/>
        </w:rPr>
      </w:pPr>
    </w:p>
    <w:p w:rsidR="00684369" w:rsidRPr="00684369" w:rsidRDefault="00684369" w:rsidP="00684369">
      <w:pPr>
        <w:autoSpaceDE w:val="0"/>
        <w:autoSpaceDN w:val="0"/>
        <w:adjustRightInd w:val="0"/>
        <w:spacing w:after="0" w:line="240" w:lineRule="auto"/>
        <w:rPr>
          <w:rFonts w:asciiTheme="minorHAnsi" w:hAnsiTheme="minorHAnsi" w:cs="Arial"/>
          <w:b/>
          <w:bCs/>
          <w:sz w:val="19"/>
          <w:szCs w:val="19"/>
        </w:rPr>
      </w:pPr>
    </w:p>
    <w:p w:rsidR="00684369" w:rsidRPr="00684369" w:rsidRDefault="00684369" w:rsidP="00684369">
      <w:pPr>
        <w:autoSpaceDE w:val="0"/>
        <w:autoSpaceDN w:val="0"/>
        <w:adjustRightInd w:val="0"/>
        <w:spacing w:after="0" w:line="240" w:lineRule="auto"/>
        <w:rPr>
          <w:rFonts w:asciiTheme="minorHAnsi" w:hAnsiTheme="minorHAnsi" w:cs="Arial"/>
          <w:b/>
          <w:bCs/>
          <w:sz w:val="19"/>
          <w:szCs w:val="19"/>
        </w:rPr>
      </w:pPr>
    </w:p>
    <w:p w:rsidR="00684369" w:rsidRPr="00684369" w:rsidRDefault="00684369" w:rsidP="00684369">
      <w:pPr>
        <w:autoSpaceDE w:val="0"/>
        <w:autoSpaceDN w:val="0"/>
        <w:adjustRightInd w:val="0"/>
        <w:spacing w:after="0" w:line="240" w:lineRule="auto"/>
        <w:rPr>
          <w:rFonts w:asciiTheme="minorHAnsi" w:hAnsiTheme="minorHAnsi" w:cs="Arial"/>
          <w:b/>
          <w:bCs/>
          <w:sz w:val="19"/>
          <w:szCs w:val="19"/>
        </w:rPr>
      </w:pPr>
    </w:p>
    <w:p w:rsidR="00684369" w:rsidRPr="00680F25" w:rsidRDefault="00684369" w:rsidP="00680F25">
      <w:pPr>
        <w:autoSpaceDE w:val="0"/>
        <w:autoSpaceDN w:val="0"/>
        <w:adjustRightInd w:val="0"/>
        <w:spacing w:after="0" w:line="240" w:lineRule="auto"/>
        <w:rPr>
          <w:rFonts w:asciiTheme="minorHAnsi" w:hAnsiTheme="minorHAnsi" w:cs="Arial"/>
          <w:sz w:val="24"/>
          <w:szCs w:val="24"/>
        </w:rPr>
      </w:pPr>
    </w:p>
    <w:p w:rsidR="00684369" w:rsidRPr="00680F25" w:rsidRDefault="00684369" w:rsidP="00680F25">
      <w:pPr>
        <w:autoSpaceDE w:val="0"/>
        <w:autoSpaceDN w:val="0"/>
        <w:adjustRightInd w:val="0"/>
        <w:spacing w:after="0" w:line="240" w:lineRule="auto"/>
        <w:rPr>
          <w:rFonts w:asciiTheme="minorHAnsi" w:hAnsiTheme="minorHAnsi" w:cs="Arial"/>
          <w:sz w:val="24"/>
          <w:szCs w:val="24"/>
        </w:rPr>
      </w:pPr>
    </w:p>
    <w:p w:rsidR="00684369" w:rsidRDefault="00680F25" w:rsidP="00680F25">
      <w:pPr>
        <w:autoSpaceDE w:val="0"/>
        <w:autoSpaceDN w:val="0"/>
        <w:adjustRightInd w:val="0"/>
        <w:spacing w:after="0" w:line="240" w:lineRule="auto"/>
        <w:rPr>
          <w:rFonts w:asciiTheme="minorHAnsi" w:hAnsiTheme="minorHAnsi" w:cs="Arial"/>
          <w:sz w:val="24"/>
          <w:szCs w:val="24"/>
        </w:rPr>
      </w:pPr>
      <w:r w:rsidRPr="00680F25">
        <w:rPr>
          <w:rFonts w:asciiTheme="minorHAnsi" w:hAnsiTheme="minorHAnsi" w:cs="Arial"/>
          <w:sz w:val="24"/>
          <w:szCs w:val="24"/>
        </w:rPr>
        <w:t>Informe preparado por el Equipo de Proyecto en colaboración con el consultor Pedro Barrenechea.</w:t>
      </w:r>
    </w:p>
    <w:p w:rsidR="00680F25" w:rsidRDefault="00680F25" w:rsidP="00680F25">
      <w:pPr>
        <w:autoSpaceDE w:val="0"/>
        <w:autoSpaceDN w:val="0"/>
        <w:adjustRightInd w:val="0"/>
        <w:spacing w:after="0" w:line="240" w:lineRule="auto"/>
        <w:rPr>
          <w:rFonts w:asciiTheme="minorHAnsi" w:hAnsiTheme="minorHAnsi" w:cs="Arial"/>
          <w:sz w:val="24"/>
          <w:szCs w:val="24"/>
        </w:rPr>
      </w:pPr>
    </w:p>
    <w:p w:rsidR="00680F25" w:rsidRPr="00680F25" w:rsidRDefault="00680F25" w:rsidP="00680F25">
      <w:pPr>
        <w:autoSpaceDE w:val="0"/>
        <w:autoSpaceDN w:val="0"/>
        <w:adjustRightInd w:val="0"/>
        <w:spacing w:after="0" w:line="240" w:lineRule="auto"/>
        <w:rPr>
          <w:rFonts w:asciiTheme="minorHAnsi" w:hAnsiTheme="minorHAnsi" w:cs="Arial"/>
          <w:sz w:val="24"/>
          <w:szCs w:val="24"/>
        </w:rPr>
      </w:pPr>
      <w:r>
        <w:rPr>
          <w:rFonts w:asciiTheme="minorHAnsi" w:hAnsiTheme="minorHAnsi" w:cs="Arial"/>
          <w:sz w:val="24"/>
          <w:szCs w:val="24"/>
        </w:rPr>
        <w:t>Agosto 2015</w:t>
      </w:r>
    </w:p>
    <w:p w:rsidR="00684369" w:rsidRPr="00684369" w:rsidRDefault="00684369" w:rsidP="00684369">
      <w:pPr>
        <w:autoSpaceDE w:val="0"/>
        <w:autoSpaceDN w:val="0"/>
        <w:adjustRightInd w:val="0"/>
        <w:spacing w:after="0" w:line="240" w:lineRule="auto"/>
        <w:jc w:val="center"/>
        <w:rPr>
          <w:rFonts w:asciiTheme="minorHAnsi" w:hAnsiTheme="minorHAnsi" w:cs="Arial"/>
        </w:rPr>
      </w:pPr>
    </w:p>
    <w:p w:rsidR="001070B6" w:rsidRDefault="001070B6" w:rsidP="00684369">
      <w:pPr>
        <w:autoSpaceDE w:val="0"/>
        <w:autoSpaceDN w:val="0"/>
        <w:adjustRightInd w:val="0"/>
        <w:spacing w:after="0" w:line="240" w:lineRule="auto"/>
        <w:jc w:val="center"/>
        <w:rPr>
          <w:rFonts w:asciiTheme="minorHAnsi" w:hAnsiTheme="minorHAnsi" w:cs="Arial"/>
        </w:rPr>
        <w:sectPr w:rsidR="001070B6" w:rsidSect="00B16A04">
          <w:footerReference w:type="default" r:id="rId9"/>
          <w:pgSz w:w="11906" w:h="16838"/>
          <w:pgMar w:top="1417" w:right="1701" w:bottom="1417" w:left="1701" w:header="708" w:footer="708" w:gutter="0"/>
          <w:cols w:space="708"/>
          <w:titlePg/>
          <w:docGrid w:linePitch="360"/>
        </w:sectPr>
      </w:pPr>
    </w:p>
    <w:p w:rsidR="00684369" w:rsidRPr="00684369" w:rsidRDefault="00684369" w:rsidP="00684369">
      <w:pPr>
        <w:autoSpaceDE w:val="0"/>
        <w:autoSpaceDN w:val="0"/>
        <w:adjustRightInd w:val="0"/>
        <w:spacing w:after="0" w:line="240" w:lineRule="auto"/>
        <w:jc w:val="center"/>
        <w:rPr>
          <w:rFonts w:asciiTheme="minorHAnsi" w:hAnsiTheme="minorHAnsi" w:cs="Arial"/>
        </w:rPr>
      </w:pPr>
    </w:p>
    <w:sdt>
      <w:sdtPr>
        <w:rPr>
          <w:rFonts w:eastAsia="Calibri"/>
          <w:b w:val="0"/>
          <w:bCs w:val="0"/>
          <w:color w:val="auto"/>
          <w:sz w:val="22"/>
          <w:szCs w:val="22"/>
          <w:lang w:val="es-UY"/>
        </w:rPr>
        <w:id w:val="9197080"/>
        <w:docPartObj>
          <w:docPartGallery w:val="Table of Contents"/>
          <w:docPartUnique/>
        </w:docPartObj>
      </w:sdtPr>
      <w:sdtEndPr/>
      <w:sdtContent>
        <w:p w:rsidR="00172730" w:rsidRPr="001070B6" w:rsidRDefault="00172730" w:rsidP="001070B6">
          <w:pPr>
            <w:pStyle w:val="TOCHeading"/>
            <w:numPr>
              <w:ilvl w:val="0"/>
              <w:numId w:val="0"/>
            </w:numPr>
            <w:ind w:left="432" w:hanging="432"/>
          </w:pPr>
          <w:r w:rsidRPr="001070B6">
            <w:t>Contenido</w:t>
          </w:r>
        </w:p>
        <w:p w:rsidR="00172730" w:rsidRPr="00172730" w:rsidRDefault="00172730" w:rsidP="00172730">
          <w:pPr>
            <w:rPr>
              <w:lang w:val="es-ES"/>
            </w:rPr>
          </w:pPr>
        </w:p>
        <w:p w:rsidR="00A962A0" w:rsidRDefault="00AA3B02">
          <w:pPr>
            <w:pStyle w:val="TOC1"/>
            <w:rPr>
              <w:rFonts w:asciiTheme="minorHAnsi" w:eastAsiaTheme="minorEastAsia" w:hAnsiTheme="minorHAnsi" w:cstheme="minorBidi"/>
              <w:lang w:eastAsia="es-UY"/>
            </w:rPr>
          </w:pPr>
          <w:r>
            <w:rPr>
              <w:lang w:val="es-ES"/>
            </w:rPr>
            <w:fldChar w:fldCharType="begin"/>
          </w:r>
          <w:r w:rsidR="00172730">
            <w:rPr>
              <w:lang w:val="es-ES"/>
            </w:rPr>
            <w:instrText xml:space="preserve"> TOC \o "1-3" \h \z \u </w:instrText>
          </w:r>
          <w:r>
            <w:rPr>
              <w:lang w:val="es-ES"/>
            </w:rPr>
            <w:fldChar w:fldCharType="separate"/>
          </w:r>
          <w:hyperlink w:anchor="_Toc428464174" w:history="1">
            <w:r w:rsidR="00A962A0" w:rsidRPr="00925C59">
              <w:rPr>
                <w:rStyle w:val="Hyperlink"/>
              </w:rPr>
              <w:t>1</w:t>
            </w:r>
            <w:r w:rsidR="00A962A0">
              <w:rPr>
                <w:rFonts w:asciiTheme="minorHAnsi" w:eastAsiaTheme="minorEastAsia" w:hAnsiTheme="minorHAnsi" w:cstheme="minorBidi"/>
                <w:lang w:eastAsia="es-UY"/>
              </w:rPr>
              <w:tab/>
            </w:r>
            <w:r w:rsidR="00A962A0" w:rsidRPr="00925C59">
              <w:rPr>
                <w:rStyle w:val="Hyperlink"/>
              </w:rPr>
              <w:t>Introducción</w:t>
            </w:r>
            <w:r w:rsidR="00A962A0">
              <w:rPr>
                <w:webHidden/>
              </w:rPr>
              <w:tab/>
            </w:r>
            <w:r w:rsidR="00A962A0">
              <w:rPr>
                <w:webHidden/>
              </w:rPr>
              <w:fldChar w:fldCharType="begin"/>
            </w:r>
            <w:r w:rsidR="00A962A0">
              <w:rPr>
                <w:webHidden/>
              </w:rPr>
              <w:instrText xml:space="preserve"> PAGEREF _Toc428464174 \h </w:instrText>
            </w:r>
            <w:r w:rsidR="00A962A0">
              <w:rPr>
                <w:webHidden/>
              </w:rPr>
            </w:r>
            <w:r w:rsidR="00A962A0">
              <w:rPr>
                <w:webHidden/>
              </w:rPr>
              <w:fldChar w:fldCharType="separate"/>
            </w:r>
            <w:r w:rsidR="00A962A0">
              <w:rPr>
                <w:webHidden/>
              </w:rPr>
              <w:t>3</w:t>
            </w:r>
            <w:r w:rsidR="00A962A0">
              <w:rPr>
                <w:webHidden/>
              </w:rPr>
              <w:fldChar w:fldCharType="end"/>
            </w:r>
          </w:hyperlink>
        </w:p>
        <w:p w:rsidR="00A962A0" w:rsidRDefault="00143D43">
          <w:pPr>
            <w:pStyle w:val="TOC1"/>
            <w:rPr>
              <w:rFonts w:asciiTheme="minorHAnsi" w:eastAsiaTheme="minorEastAsia" w:hAnsiTheme="minorHAnsi" w:cstheme="minorBidi"/>
              <w:lang w:eastAsia="es-UY"/>
            </w:rPr>
          </w:pPr>
          <w:hyperlink w:anchor="_Toc428464175" w:history="1">
            <w:r w:rsidR="00A962A0" w:rsidRPr="00925C59">
              <w:rPr>
                <w:rStyle w:val="Hyperlink"/>
              </w:rPr>
              <w:t>1.</w:t>
            </w:r>
            <w:r w:rsidR="00A962A0">
              <w:rPr>
                <w:rFonts w:asciiTheme="minorHAnsi" w:eastAsiaTheme="minorEastAsia" w:hAnsiTheme="minorHAnsi" w:cstheme="minorBidi"/>
                <w:lang w:eastAsia="es-UY"/>
              </w:rPr>
              <w:tab/>
            </w:r>
            <w:r w:rsidR="00A962A0" w:rsidRPr="00925C59">
              <w:rPr>
                <w:rStyle w:val="Hyperlink"/>
              </w:rPr>
              <w:t>Informe Financiero de la Corporación Vial del Uruguay</w:t>
            </w:r>
            <w:r w:rsidR="00A962A0">
              <w:rPr>
                <w:webHidden/>
              </w:rPr>
              <w:tab/>
            </w:r>
            <w:r w:rsidR="00A962A0">
              <w:rPr>
                <w:webHidden/>
              </w:rPr>
              <w:fldChar w:fldCharType="begin"/>
            </w:r>
            <w:r w:rsidR="00A962A0">
              <w:rPr>
                <w:webHidden/>
              </w:rPr>
              <w:instrText xml:space="preserve"> PAGEREF _Toc428464175 \h </w:instrText>
            </w:r>
            <w:r w:rsidR="00A962A0">
              <w:rPr>
                <w:webHidden/>
              </w:rPr>
            </w:r>
            <w:r w:rsidR="00A962A0">
              <w:rPr>
                <w:webHidden/>
              </w:rPr>
              <w:fldChar w:fldCharType="separate"/>
            </w:r>
            <w:r w:rsidR="00A962A0">
              <w:rPr>
                <w:webHidden/>
              </w:rPr>
              <w:t>4</w:t>
            </w:r>
            <w:r w:rsidR="00A962A0">
              <w:rPr>
                <w:webHidden/>
              </w:rPr>
              <w:fldChar w:fldCharType="end"/>
            </w:r>
          </w:hyperlink>
        </w:p>
        <w:p w:rsidR="00A962A0" w:rsidRDefault="00143D43">
          <w:pPr>
            <w:pStyle w:val="TOC2"/>
            <w:tabs>
              <w:tab w:val="left" w:pos="880"/>
              <w:tab w:val="right" w:leader="dot" w:pos="8494"/>
            </w:tabs>
            <w:rPr>
              <w:rFonts w:asciiTheme="minorHAnsi" w:eastAsiaTheme="minorEastAsia" w:hAnsiTheme="minorHAnsi" w:cstheme="minorBidi"/>
              <w:noProof/>
              <w:lang w:eastAsia="es-UY"/>
            </w:rPr>
          </w:pPr>
          <w:hyperlink w:anchor="_Toc428464176" w:history="1">
            <w:r w:rsidR="00A962A0" w:rsidRPr="00925C59">
              <w:rPr>
                <w:rStyle w:val="Hyperlink"/>
                <w:noProof/>
              </w:rPr>
              <w:t>1.1</w:t>
            </w:r>
            <w:r w:rsidR="00A962A0">
              <w:rPr>
                <w:rFonts w:asciiTheme="minorHAnsi" w:eastAsiaTheme="minorEastAsia" w:hAnsiTheme="minorHAnsi" w:cstheme="minorBidi"/>
                <w:noProof/>
                <w:lang w:eastAsia="es-UY"/>
              </w:rPr>
              <w:tab/>
            </w:r>
            <w:r w:rsidR="00A962A0" w:rsidRPr="00925C59">
              <w:rPr>
                <w:rStyle w:val="Hyperlink"/>
                <w:noProof/>
              </w:rPr>
              <w:t>La Corporación Vial del Uruguay.</w:t>
            </w:r>
            <w:r w:rsidR="00A962A0">
              <w:rPr>
                <w:noProof/>
                <w:webHidden/>
              </w:rPr>
              <w:tab/>
            </w:r>
            <w:r w:rsidR="00A962A0">
              <w:rPr>
                <w:noProof/>
                <w:webHidden/>
              </w:rPr>
              <w:fldChar w:fldCharType="begin"/>
            </w:r>
            <w:r w:rsidR="00A962A0">
              <w:rPr>
                <w:noProof/>
                <w:webHidden/>
              </w:rPr>
              <w:instrText xml:space="preserve"> PAGEREF _Toc428464176 \h </w:instrText>
            </w:r>
            <w:r w:rsidR="00A962A0">
              <w:rPr>
                <w:noProof/>
                <w:webHidden/>
              </w:rPr>
            </w:r>
            <w:r w:rsidR="00A962A0">
              <w:rPr>
                <w:noProof/>
                <w:webHidden/>
              </w:rPr>
              <w:fldChar w:fldCharType="separate"/>
            </w:r>
            <w:r w:rsidR="00A962A0">
              <w:rPr>
                <w:noProof/>
                <w:webHidden/>
              </w:rPr>
              <w:t>4</w:t>
            </w:r>
            <w:r w:rsidR="00A962A0">
              <w:rPr>
                <w:noProof/>
                <w:webHidden/>
              </w:rPr>
              <w:fldChar w:fldCharType="end"/>
            </w:r>
          </w:hyperlink>
        </w:p>
        <w:p w:rsidR="00A962A0" w:rsidRDefault="00143D43">
          <w:pPr>
            <w:pStyle w:val="TOC2"/>
            <w:tabs>
              <w:tab w:val="left" w:pos="880"/>
              <w:tab w:val="right" w:leader="dot" w:pos="8494"/>
            </w:tabs>
            <w:rPr>
              <w:rFonts w:asciiTheme="minorHAnsi" w:eastAsiaTheme="minorEastAsia" w:hAnsiTheme="minorHAnsi" w:cstheme="minorBidi"/>
              <w:noProof/>
              <w:lang w:eastAsia="es-UY"/>
            </w:rPr>
          </w:pPr>
          <w:hyperlink w:anchor="_Toc428464177" w:history="1">
            <w:r w:rsidR="00A962A0" w:rsidRPr="00925C59">
              <w:rPr>
                <w:rStyle w:val="Hyperlink"/>
                <w:noProof/>
              </w:rPr>
              <w:t>1.2</w:t>
            </w:r>
            <w:r w:rsidR="00A962A0">
              <w:rPr>
                <w:rFonts w:asciiTheme="minorHAnsi" w:eastAsiaTheme="minorEastAsia" w:hAnsiTheme="minorHAnsi" w:cstheme="minorBidi"/>
                <w:noProof/>
                <w:lang w:eastAsia="es-UY"/>
              </w:rPr>
              <w:tab/>
            </w:r>
            <w:r w:rsidR="00A962A0" w:rsidRPr="00925C59">
              <w:rPr>
                <w:rStyle w:val="Hyperlink"/>
                <w:noProof/>
              </w:rPr>
              <w:t>Análisis de la información contable histórica de CVU</w:t>
            </w:r>
            <w:r w:rsidR="00A962A0">
              <w:rPr>
                <w:noProof/>
                <w:webHidden/>
              </w:rPr>
              <w:tab/>
            </w:r>
            <w:r w:rsidR="00A962A0">
              <w:rPr>
                <w:noProof/>
                <w:webHidden/>
              </w:rPr>
              <w:fldChar w:fldCharType="begin"/>
            </w:r>
            <w:r w:rsidR="00A962A0">
              <w:rPr>
                <w:noProof/>
                <w:webHidden/>
              </w:rPr>
              <w:instrText xml:space="preserve"> PAGEREF _Toc428464177 \h </w:instrText>
            </w:r>
            <w:r w:rsidR="00A962A0">
              <w:rPr>
                <w:noProof/>
                <w:webHidden/>
              </w:rPr>
            </w:r>
            <w:r w:rsidR="00A962A0">
              <w:rPr>
                <w:noProof/>
                <w:webHidden/>
              </w:rPr>
              <w:fldChar w:fldCharType="separate"/>
            </w:r>
            <w:r w:rsidR="00A962A0">
              <w:rPr>
                <w:noProof/>
                <w:webHidden/>
              </w:rPr>
              <w:t>5</w:t>
            </w:r>
            <w:r w:rsidR="00A962A0">
              <w:rPr>
                <w:noProof/>
                <w:webHidden/>
              </w:rPr>
              <w:fldChar w:fldCharType="end"/>
            </w:r>
          </w:hyperlink>
        </w:p>
        <w:p w:rsidR="00A962A0" w:rsidRDefault="00143D43">
          <w:pPr>
            <w:pStyle w:val="TOC2"/>
            <w:tabs>
              <w:tab w:val="left" w:pos="880"/>
              <w:tab w:val="right" w:leader="dot" w:pos="8494"/>
            </w:tabs>
            <w:rPr>
              <w:rFonts w:asciiTheme="minorHAnsi" w:eastAsiaTheme="minorEastAsia" w:hAnsiTheme="minorHAnsi" w:cstheme="minorBidi"/>
              <w:noProof/>
              <w:lang w:eastAsia="es-UY"/>
            </w:rPr>
          </w:pPr>
          <w:hyperlink w:anchor="_Toc428464178" w:history="1">
            <w:r w:rsidR="00A962A0" w:rsidRPr="00925C59">
              <w:rPr>
                <w:rStyle w:val="Hyperlink"/>
                <w:noProof/>
              </w:rPr>
              <w:t>1.3</w:t>
            </w:r>
            <w:r w:rsidR="00A962A0">
              <w:rPr>
                <w:rFonts w:asciiTheme="minorHAnsi" w:eastAsiaTheme="minorEastAsia" w:hAnsiTheme="minorHAnsi" w:cstheme="minorBidi"/>
                <w:noProof/>
                <w:lang w:eastAsia="es-UY"/>
              </w:rPr>
              <w:tab/>
            </w:r>
            <w:r w:rsidR="00A962A0" w:rsidRPr="00925C59">
              <w:rPr>
                <w:rStyle w:val="Hyperlink"/>
                <w:noProof/>
              </w:rPr>
              <w:t>La Corporación Nacional para el Desarrollo</w:t>
            </w:r>
            <w:r w:rsidR="00A962A0">
              <w:rPr>
                <w:noProof/>
                <w:webHidden/>
              </w:rPr>
              <w:tab/>
            </w:r>
            <w:r w:rsidR="00A962A0">
              <w:rPr>
                <w:noProof/>
                <w:webHidden/>
              </w:rPr>
              <w:fldChar w:fldCharType="begin"/>
            </w:r>
            <w:r w:rsidR="00A962A0">
              <w:rPr>
                <w:noProof/>
                <w:webHidden/>
              </w:rPr>
              <w:instrText xml:space="preserve"> PAGEREF _Toc428464178 \h </w:instrText>
            </w:r>
            <w:r w:rsidR="00A962A0">
              <w:rPr>
                <w:noProof/>
                <w:webHidden/>
              </w:rPr>
            </w:r>
            <w:r w:rsidR="00A962A0">
              <w:rPr>
                <w:noProof/>
                <w:webHidden/>
              </w:rPr>
              <w:fldChar w:fldCharType="separate"/>
            </w:r>
            <w:r w:rsidR="00A962A0">
              <w:rPr>
                <w:noProof/>
                <w:webHidden/>
              </w:rPr>
              <w:t>11</w:t>
            </w:r>
            <w:r w:rsidR="00A962A0">
              <w:rPr>
                <w:noProof/>
                <w:webHidden/>
              </w:rPr>
              <w:fldChar w:fldCharType="end"/>
            </w:r>
          </w:hyperlink>
        </w:p>
        <w:p w:rsidR="00A962A0" w:rsidRDefault="00143D43">
          <w:pPr>
            <w:pStyle w:val="TOC2"/>
            <w:tabs>
              <w:tab w:val="left" w:pos="880"/>
              <w:tab w:val="right" w:leader="dot" w:pos="8494"/>
            </w:tabs>
            <w:rPr>
              <w:rFonts w:asciiTheme="minorHAnsi" w:eastAsiaTheme="minorEastAsia" w:hAnsiTheme="minorHAnsi" w:cstheme="minorBidi"/>
              <w:noProof/>
              <w:lang w:eastAsia="es-UY"/>
            </w:rPr>
          </w:pPr>
          <w:hyperlink w:anchor="_Toc428464179" w:history="1">
            <w:r w:rsidR="00A962A0" w:rsidRPr="00925C59">
              <w:rPr>
                <w:rStyle w:val="Hyperlink"/>
                <w:noProof/>
              </w:rPr>
              <w:t>1.4</w:t>
            </w:r>
            <w:r w:rsidR="00A962A0">
              <w:rPr>
                <w:rFonts w:asciiTheme="minorHAnsi" w:eastAsiaTheme="minorEastAsia" w:hAnsiTheme="minorHAnsi" w:cstheme="minorBidi"/>
                <w:noProof/>
                <w:lang w:eastAsia="es-UY"/>
              </w:rPr>
              <w:tab/>
            </w:r>
            <w:r w:rsidR="00A962A0" w:rsidRPr="00925C59">
              <w:rPr>
                <w:rStyle w:val="Hyperlink"/>
                <w:noProof/>
              </w:rPr>
              <w:t>Proyecciones de flujos financieros de la concesión vigente de la CVU.</w:t>
            </w:r>
            <w:r w:rsidR="00A962A0">
              <w:rPr>
                <w:noProof/>
                <w:webHidden/>
              </w:rPr>
              <w:tab/>
            </w:r>
            <w:r w:rsidR="00A962A0">
              <w:rPr>
                <w:noProof/>
                <w:webHidden/>
              </w:rPr>
              <w:fldChar w:fldCharType="begin"/>
            </w:r>
            <w:r w:rsidR="00A962A0">
              <w:rPr>
                <w:noProof/>
                <w:webHidden/>
              </w:rPr>
              <w:instrText xml:space="preserve"> PAGEREF _Toc428464179 \h </w:instrText>
            </w:r>
            <w:r w:rsidR="00A962A0">
              <w:rPr>
                <w:noProof/>
                <w:webHidden/>
              </w:rPr>
            </w:r>
            <w:r w:rsidR="00A962A0">
              <w:rPr>
                <w:noProof/>
                <w:webHidden/>
              </w:rPr>
              <w:fldChar w:fldCharType="separate"/>
            </w:r>
            <w:r w:rsidR="00A962A0">
              <w:rPr>
                <w:noProof/>
                <w:webHidden/>
              </w:rPr>
              <w:t>16</w:t>
            </w:r>
            <w:r w:rsidR="00A962A0">
              <w:rPr>
                <w:noProof/>
                <w:webHidden/>
              </w:rPr>
              <w:fldChar w:fldCharType="end"/>
            </w:r>
          </w:hyperlink>
        </w:p>
        <w:p w:rsidR="00A962A0" w:rsidRDefault="00143D43">
          <w:pPr>
            <w:pStyle w:val="TOC2"/>
            <w:tabs>
              <w:tab w:val="left" w:pos="880"/>
              <w:tab w:val="right" w:leader="dot" w:pos="8494"/>
            </w:tabs>
            <w:rPr>
              <w:rFonts w:asciiTheme="minorHAnsi" w:eastAsiaTheme="minorEastAsia" w:hAnsiTheme="minorHAnsi" w:cstheme="minorBidi"/>
              <w:noProof/>
              <w:lang w:eastAsia="es-UY"/>
            </w:rPr>
          </w:pPr>
          <w:hyperlink w:anchor="_Toc428464180" w:history="1">
            <w:r w:rsidR="00A962A0" w:rsidRPr="00925C59">
              <w:rPr>
                <w:rStyle w:val="Hyperlink"/>
                <w:noProof/>
              </w:rPr>
              <w:t>1.5</w:t>
            </w:r>
            <w:r w:rsidR="00A962A0">
              <w:rPr>
                <w:rFonts w:asciiTheme="minorHAnsi" w:eastAsiaTheme="minorEastAsia" w:hAnsiTheme="minorHAnsi" w:cstheme="minorBidi"/>
                <w:noProof/>
                <w:lang w:eastAsia="es-UY"/>
              </w:rPr>
              <w:tab/>
            </w:r>
            <w:r w:rsidR="00A962A0" w:rsidRPr="00925C59">
              <w:rPr>
                <w:rStyle w:val="Hyperlink"/>
                <w:noProof/>
              </w:rPr>
              <w:t>Nuevo convenio para la concesión a la CVU</w:t>
            </w:r>
            <w:r w:rsidR="00A962A0">
              <w:rPr>
                <w:noProof/>
                <w:webHidden/>
              </w:rPr>
              <w:tab/>
            </w:r>
            <w:r w:rsidR="00A962A0">
              <w:rPr>
                <w:noProof/>
                <w:webHidden/>
              </w:rPr>
              <w:fldChar w:fldCharType="begin"/>
            </w:r>
            <w:r w:rsidR="00A962A0">
              <w:rPr>
                <w:noProof/>
                <w:webHidden/>
              </w:rPr>
              <w:instrText xml:space="preserve"> PAGEREF _Toc428464180 \h </w:instrText>
            </w:r>
            <w:r w:rsidR="00A962A0">
              <w:rPr>
                <w:noProof/>
                <w:webHidden/>
              </w:rPr>
            </w:r>
            <w:r w:rsidR="00A962A0">
              <w:rPr>
                <w:noProof/>
                <w:webHidden/>
              </w:rPr>
              <w:fldChar w:fldCharType="separate"/>
            </w:r>
            <w:r w:rsidR="00A962A0">
              <w:rPr>
                <w:noProof/>
                <w:webHidden/>
              </w:rPr>
              <w:t>20</w:t>
            </w:r>
            <w:r w:rsidR="00A962A0">
              <w:rPr>
                <w:noProof/>
                <w:webHidden/>
              </w:rPr>
              <w:fldChar w:fldCharType="end"/>
            </w:r>
          </w:hyperlink>
        </w:p>
        <w:p w:rsidR="00A962A0" w:rsidRDefault="00143D43">
          <w:pPr>
            <w:pStyle w:val="TOC3"/>
            <w:tabs>
              <w:tab w:val="left" w:pos="1320"/>
              <w:tab w:val="right" w:leader="dot" w:pos="8494"/>
            </w:tabs>
            <w:rPr>
              <w:rFonts w:asciiTheme="minorHAnsi" w:eastAsiaTheme="minorEastAsia" w:hAnsiTheme="minorHAnsi" w:cstheme="minorBidi"/>
              <w:noProof/>
              <w:lang w:eastAsia="es-UY"/>
            </w:rPr>
          </w:pPr>
          <w:hyperlink w:anchor="_Toc428464181" w:history="1">
            <w:r w:rsidR="00A962A0" w:rsidRPr="00925C59">
              <w:rPr>
                <w:rStyle w:val="Hyperlink"/>
                <w:noProof/>
                <w:lang w:val="es-ES_tradnl"/>
              </w:rPr>
              <w:t>1.5.1</w:t>
            </w:r>
            <w:r w:rsidR="00A962A0">
              <w:rPr>
                <w:rFonts w:asciiTheme="minorHAnsi" w:eastAsiaTheme="minorEastAsia" w:hAnsiTheme="minorHAnsi" w:cstheme="minorBidi"/>
                <w:noProof/>
                <w:lang w:eastAsia="es-UY"/>
              </w:rPr>
              <w:tab/>
            </w:r>
            <w:r w:rsidR="00A962A0" w:rsidRPr="00925C59">
              <w:rPr>
                <w:rStyle w:val="Hyperlink"/>
                <w:noProof/>
                <w:lang w:val="es-ES_tradnl"/>
              </w:rPr>
              <w:t>Ingresos</w:t>
            </w:r>
            <w:r w:rsidR="00A962A0">
              <w:rPr>
                <w:noProof/>
                <w:webHidden/>
              </w:rPr>
              <w:tab/>
            </w:r>
            <w:r w:rsidR="00A962A0">
              <w:rPr>
                <w:noProof/>
                <w:webHidden/>
              </w:rPr>
              <w:fldChar w:fldCharType="begin"/>
            </w:r>
            <w:r w:rsidR="00A962A0">
              <w:rPr>
                <w:noProof/>
                <w:webHidden/>
              </w:rPr>
              <w:instrText xml:space="preserve"> PAGEREF _Toc428464181 \h </w:instrText>
            </w:r>
            <w:r w:rsidR="00A962A0">
              <w:rPr>
                <w:noProof/>
                <w:webHidden/>
              </w:rPr>
            </w:r>
            <w:r w:rsidR="00A962A0">
              <w:rPr>
                <w:noProof/>
                <w:webHidden/>
              </w:rPr>
              <w:fldChar w:fldCharType="separate"/>
            </w:r>
            <w:r w:rsidR="00A962A0">
              <w:rPr>
                <w:noProof/>
                <w:webHidden/>
              </w:rPr>
              <w:t>22</w:t>
            </w:r>
            <w:r w:rsidR="00A962A0">
              <w:rPr>
                <w:noProof/>
                <w:webHidden/>
              </w:rPr>
              <w:fldChar w:fldCharType="end"/>
            </w:r>
          </w:hyperlink>
        </w:p>
        <w:p w:rsidR="00A962A0" w:rsidRDefault="00143D43">
          <w:pPr>
            <w:pStyle w:val="TOC3"/>
            <w:tabs>
              <w:tab w:val="left" w:pos="1320"/>
              <w:tab w:val="right" w:leader="dot" w:pos="8494"/>
            </w:tabs>
            <w:rPr>
              <w:rFonts w:asciiTheme="minorHAnsi" w:eastAsiaTheme="minorEastAsia" w:hAnsiTheme="minorHAnsi" w:cstheme="minorBidi"/>
              <w:noProof/>
              <w:lang w:eastAsia="es-UY"/>
            </w:rPr>
          </w:pPr>
          <w:hyperlink w:anchor="_Toc428464182" w:history="1">
            <w:r w:rsidR="00A962A0" w:rsidRPr="00925C59">
              <w:rPr>
                <w:rStyle w:val="Hyperlink"/>
                <w:noProof/>
                <w:lang w:val="es-ES_tradnl"/>
              </w:rPr>
              <w:t>1.5.2</w:t>
            </w:r>
            <w:r w:rsidR="00A962A0">
              <w:rPr>
                <w:rFonts w:asciiTheme="minorHAnsi" w:eastAsiaTheme="minorEastAsia" w:hAnsiTheme="minorHAnsi" w:cstheme="minorBidi"/>
                <w:noProof/>
                <w:lang w:eastAsia="es-UY"/>
              </w:rPr>
              <w:tab/>
            </w:r>
            <w:r w:rsidR="00A962A0" w:rsidRPr="00925C59">
              <w:rPr>
                <w:rStyle w:val="Hyperlink"/>
                <w:noProof/>
                <w:lang w:val="es-ES_tradnl"/>
              </w:rPr>
              <w:t>Egresos.</w:t>
            </w:r>
            <w:r w:rsidR="00A962A0">
              <w:rPr>
                <w:noProof/>
                <w:webHidden/>
              </w:rPr>
              <w:tab/>
            </w:r>
            <w:r w:rsidR="00A962A0">
              <w:rPr>
                <w:noProof/>
                <w:webHidden/>
              </w:rPr>
              <w:fldChar w:fldCharType="begin"/>
            </w:r>
            <w:r w:rsidR="00A962A0">
              <w:rPr>
                <w:noProof/>
                <w:webHidden/>
              </w:rPr>
              <w:instrText xml:space="preserve"> PAGEREF _Toc428464182 \h </w:instrText>
            </w:r>
            <w:r w:rsidR="00A962A0">
              <w:rPr>
                <w:noProof/>
                <w:webHidden/>
              </w:rPr>
            </w:r>
            <w:r w:rsidR="00A962A0">
              <w:rPr>
                <w:noProof/>
                <w:webHidden/>
              </w:rPr>
              <w:fldChar w:fldCharType="separate"/>
            </w:r>
            <w:r w:rsidR="00A962A0">
              <w:rPr>
                <w:noProof/>
                <w:webHidden/>
              </w:rPr>
              <w:t>23</w:t>
            </w:r>
            <w:r w:rsidR="00A962A0">
              <w:rPr>
                <w:noProof/>
                <w:webHidden/>
              </w:rPr>
              <w:fldChar w:fldCharType="end"/>
            </w:r>
          </w:hyperlink>
        </w:p>
        <w:p w:rsidR="00A962A0" w:rsidRDefault="00143D43">
          <w:pPr>
            <w:pStyle w:val="TOC3"/>
            <w:tabs>
              <w:tab w:val="left" w:pos="1320"/>
              <w:tab w:val="right" w:leader="dot" w:pos="8494"/>
            </w:tabs>
            <w:rPr>
              <w:rFonts w:asciiTheme="minorHAnsi" w:eastAsiaTheme="minorEastAsia" w:hAnsiTheme="minorHAnsi" w:cstheme="minorBidi"/>
              <w:noProof/>
              <w:lang w:eastAsia="es-UY"/>
            </w:rPr>
          </w:pPr>
          <w:hyperlink w:anchor="_Toc428464183" w:history="1">
            <w:r w:rsidR="00A962A0" w:rsidRPr="00925C59">
              <w:rPr>
                <w:rStyle w:val="Hyperlink"/>
                <w:noProof/>
              </w:rPr>
              <w:t>1.5.3</w:t>
            </w:r>
            <w:r w:rsidR="00A962A0">
              <w:rPr>
                <w:rFonts w:asciiTheme="minorHAnsi" w:eastAsiaTheme="minorEastAsia" w:hAnsiTheme="minorHAnsi" w:cstheme="minorBidi"/>
                <w:noProof/>
                <w:lang w:eastAsia="es-UY"/>
              </w:rPr>
              <w:tab/>
            </w:r>
            <w:r w:rsidR="00A962A0" w:rsidRPr="00925C59">
              <w:rPr>
                <w:rStyle w:val="Hyperlink"/>
                <w:noProof/>
              </w:rPr>
              <w:t>Financiamiento</w:t>
            </w:r>
            <w:r w:rsidR="00A962A0">
              <w:rPr>
                <w:noProof/>
                <w:webHidden/>
              </w:rPr>
              <w:tab/>
            </w:r>
            <w:r w:rsidR="00A962A0">
              <w:rPr>
                <w:noProof/>
                <w:webHidden/>
              </w:rPr>
              <w:fldChar w:fldCharType="begin"/>
            </w:r>
            <w:r w:rsidR="00A962A0">
              <w:rPr>
                <w:noProof/>
                <w:webHidden/>
              </w:rPr>
              <w:instrText xml:space="preserve"> PAGEREF _Toc428464183 \h </w:instrText>
            </w:r>
            <w:r w:rsidR="00A962A0">
              <w:rPr>
                <w:noProof/>
                <w:webHidden/>
              </w:rPr>
            </w:r>
            <w:r w:rsidR="00A962A0">
              <w:rPr>
                <w:noProof/>
                <w:webHidden/>
              </w:rPr>
              <w:fldChar w:fldCharType="separate"/>
            </w:r>
            <w:r w:rsidR="00A962A0">
              <w:rPr>
                <w:noProof/>
                <w:webHidden/>
              </w:rPr>
              <w:t>23</w:t>
            </w:r>
            <w:r w:rsidR="00A962A0">
              <w:rPr>
                <w:noProof/>
                <w:webHidden/>
              </w:rPr>
              <w:fldChar w:fldCharType="end"/>
            </w:r>
          </w:hyperlink>
        </w:p>
        <w:p w:rsidR="00A962A0" w:rsidRDefault="00143D43">
          <w:pPr>
            <w:pStyle w:val="TOC3"/>
            <w:tabs>
              <w:tab w:val="left" w:pos="1320"/>
              <w:tab w:val="right" w:leader="dot" w:pos="8494"/>
            </w:tabs>
            <w:rPr>
              <w:rFonts w:asciiTheme="minorHAnsi" w:eastAsiaTheme="minorEastAsia" w:hAnsiTheme="minorHAnsi" w:cstheme="minorBidi"/>
              <w:noProof/>
              <w:lang w:eastAsia="es-UY"/>
            </w:rPr>
          </w:pPr>
          <w:hyperlink w:anchor="_Toc428464184" w:history="1">
            <w:r w:rsidR="00A962A0" w:rsidRPr="00925C59">
              <w:rPr>
                <w:rStyle w:val="Hyperlink"/>
                <w:noProof/>
                <w:lang w:val="es-ES_tradnl"/>
              </w:rPr>
              <w:t>1.5.4</w:t>
            </w:r>
            <w:r w:rsidR="00A962A0">
              <w:rPr>
                <w:rFonts w:asciiTheme="minorHAnsi" w:eastAsiaTheme="minorEastAsia" w:hAnsiTheme="minorHAnsi" w:cstheme="minorBidi"/>
                <w:noProof/>
                <w:lang w:eastAsia="es-UY"/>
              </w:rPr>
              <w:tab/>
            </w:r>
            <w:r w:rsidR="00A962A0" w:rsidRPr="00925C59">
              <w:rPr>
                <w:rStyle w:val="Hyperlink"/>
                <w:noProof/>
                <w:lang w:val="es-ES_tradnl"/>
              </w:rPr>
              <w:t>Resultados</w:t>
            </w:r>
            <w:r w:rsidR="00A962A0">
              <w:rPr>
                <w:noProof/>
                <w:webHidden/>
              </w:rPr>
              <w:tab/>
            </w:r>
            <w:r w:rsidR="00A962A0">
              <w:rPr>
                <w:noProof/>
                <w:webHidden/>
              </w:rPr>
              <w:fldChar w:fldCharType="begin"/>
            </w:r>
            <w:r w:rsidR="00A962A0">
              <w:rPr>
                <w:noProof/>
                <w:webHidden/>
              </w:rPr>
              <w:instrText xml:space="preserve"> PAGEREF _Toc428464184 \h </w:instrText>
            </w:r>
            <w:r w:rsidR="00A962A0">
              <w:rPr>
                <w:noProof/>
                <w:webHidden/>
              </w:rPr>
            </w:r>
            <w:r w:rsidR="00A962A0">
              <w:rPr>
                <w:noProof/>
                <w:webHidden/>
              </w:rPr>
              <w:fldChar w:fldCharType="separate"/>
            </w:r>
            <w:r w:rsidR="00A962A0">
              <w:rPr>
                <w:noProof/>
                <w:webHidden/>
              </w:rPr>
              <w:t>24</w:t>
            </w:r>
            <w:r w:rsidR="00A962A0">
              <w:rPr>
                <w:noProof/>
                <w:webHidden/>
              </w:rPr>
              <w:fldChar w:fldCharType="end"/>
            </w:r>
          </w:hyperlink>
        </w:p>
        <w:p w:rsidR="00A962A0" w:rsidRDefault="00143D43">
          <w:pPr>
            <w:pStyle w:val="TOC3"/>
            <w:tabs>
              <w:tab w:val="left" w:pos="1320"/>
              <w:tab w:val="right" w:leader="dot" w:pos="8494"/>
            </w:tabs>
            <w:rPr>
              <w:rFonts w:asciiTheme="minorHAnsi" w:eastAsiaTheme="minorEastAsia" w:hAnsiTheme="minorHAnsi" w:cstheme="minorBidi"/>
              <w:noProof/>
              <w:lang w:eastAsia="es-UY"/>
            </w:rPr>
          </w:pPr>
          <w:hyperlink w:anchor="_Toc428464185" w:history="1">
            <w:r w:rsidR="00A962A0" w:rsidRPr="00925C59">
              <w:rPr>
                <w:rStyle w:val="Hyperlink"/>
                <w:noProof/>
                <w:lang w:val="es-ES_tradnl"/>
              </w:rPr>
              <w:t>1.5.5</w:t>
            </w:r>
            <w:r w:rsidR="00A962A0">
              <w:rPr>
                <w:rFonts w:asciiTheme="minorHAnsi" w:eastAsiaTheme="minorEastAsia" w:hAnsiTheme="minorHAnsi" w:cstheme="minorBidi"/>
                <w:noProof/>
                <w:lang w:eastAsia="es-UY"/>
              </w:rPr>
              <w:tab/>
            </w:r>
            <w:r w:rsidR="00A962A0" w:rsidRPr="00925C59">
              <w:rPr>
                <w:rStyle w:val="Hyperlink"/>
                <w:noProof/>
                <w:lang w:val="es-ES_tradnl"/>
              </w:rPr>
              <w:t>Alternativas</w:t>
            </w:r>
            <w:r w:rsidR="00A962A0">
              <w:rPr>
                <w:noProof/>
                <w:webHidden/>
              </w:rPr>
              <w:tab/>
            </w:r>
            <w:r w:rsidR="00A962A0">
              <w:rPr>
                <w:noProof/>
                <w:webHidden/>
              </w:rPr>
              <w:fldChar w:fldCharType="begin"/>
            </w:r>
            <w:r w:rsidR="00A962A0">
              <w:rPr>
                <w:noProof/>
                <w:webHidden/>
              </w:rPr>
              <w:instrText xml:space="preserve"> PAGEREF _Toc428464185 \h </w:instrText>
            </w:r>
            <w:r w:rsidR="00A962A0">
              <w:rPr>
                <w:noProof/>
                <w:webHidden/>
              </w:rPr>
            </w:r>
            <w:r w:rsidR="00A962A0">
              <w:rPr>
                <w:noProof/>
                <w:webHidden/>
              </w:rPr>
              <w:fldChar w:fldCharType="separate"/>
            </w:r>
            <w:r w:rsidR="00A962A0">
              <w:rPr>
                <w:noProof/>
                <w:webHidden/>
              </w:rPr>
              <w:t>25</w:t>
            </w:r>
            <w:r w:rsidR="00A962A0">
              <w:rPr>
                <w:noProof/>
                <w:webHidden/>
              </w:rPr>
              <w:fldChar w:fldCharType="end"/>
            </w:r>
          </w:hyperlink>
        </w:p>
        <w:p w:rsidR="00A962A0" w:rsidRDefault="00143D43">
          <w:pPr>
            <w:pStyle w:val="TOC3"/>
            <w:tabs>
              <w:tab w:val="left" w:pos="1320"/>
              <w:tab w:val="right" w:leader="dot" w:pos="8494"/>
            </w:tabs>
            <w:rPr>
              <w:rFonts w:asciiTheme="minorHAnsi" w:eastAsiaTheme="minorEastAsia" w:hAnsiTheme="minorHAnsi" w:cstheme="minorBidi"/>
              <w:noProof/>
              <w:lang w:eastAsia="es-UY"/>
            </w:rPr>
          </w:pPr>
          <w:hyperlink w:anchor="_Toc428464186" w:history="1">
            <w:r w:rsidR="00A962A0" w:rsidRPr="00925C59">
              <w:rPr>
                <w:rStyle w:val="Hyperlink"/>
                <w:noProof/>
                <w:lang w:val="es-ES_tradnl"/>
              </w:rPr>
              <w:t>1.5.6</w:t>
            </w:r>
            <w:r w:rsidR="00A962A0">
              <w:rPr>
                <w:rFonts w:asciiTheme="minorHAnsi" w:eastAsiaTheme="minorEastAsia" w:hAnsiTheme="minorHAnsi" w:cstheme="minorBidi"/>
                <w:noProof/>
                <w:lang w:eastAsia="es-UY"/>
              </w:rPr>
              <w:tab/>
            </w:r>
            <w:r w:rsidR="00A962A0" w:rsidRPr="00925C59">
              <w:rPr>
                <w:rStyle w:val="Hyperlink"/>
                <w:noProof/>
                <w:lang w:val="es-ES_tradnl"/>
              </w:rPr>
              <w:t>Endeudamiento de la CVU</w:t>
            </w:r>
            <w:r w:rsidR="00A962A0">
              <w:rPr>
                <w:noProof/>
                <w:webHidden/>
              </w:rPr>
              <w:tab/>
            </w:r>
            <w:r w:rsidR="00A962A0">
              <w:rPr>
                <w:noProof/>
                <w:webHidden/>
              </w:rPr>
              <w:fldChar w:fldCharType="begin"/>
            </w:r>
            <w:r w:rsidR="00A962A0">
              <w:rPr>
                <w:noProof/>
                <w:webHidden/>
              </w:rPr>
              <w:instrText xml:space="preserve"> PAGEREF _Toc428464186 \h </w:instrText>
            </w:r>
            <w:r w:rsidR="00A962A0">
              <w:rPr>
                <w:noProof/>
                <w:webHidden/>
              </w:rPr>
            </w:r>
            <w:r w:rsidR="00A962A0">
              <w:rPr>
                <w:noProof/>
                <w:webHidden/>
              </w:rPr>
              <w:fldChar w:fldCharType="separate"/>
            </w:r>
            <w:r w:rsidR="00A962A0">
              <w:rPr>
                <w:noProof/>
                <w:webHidden/>
              </w:rPr>
              <w:t>26</w:t>
            </w:r>
            <w:r w:rsidR="00A962A0">
              <w:rPr>
                <w:noProof/>
                <w:webHidden/>
              </w:rPr>
              <w:fldChar w:fldCharType="end"/>
            </w:r>
          </w:hyperlink>
        </w:p>
        <w:p w:rsidR="00A962A0" w:rsidRDefault="00143D43">
          <w:pPr>
            <w:pStyle w:val="TOC1"/>
            <w:rPr>
              <w:rFonts w:asciiTheme="minorHAnsi" w:eastAsiaTheme="minorEastAsia" w:hAnsiTheme="minorHAnsi" w:cstheme="minorBidi"/>
              <w:lang w:eastAsia="es-UY"/>
            </w:rPr>
          </w:pPr>
          <w:hyperlink w:anchor="_Toc428464187" w:history="1">
            <w:r w:rsidR="00A962A0" w:rsidRPr="00925C59">
              <w:rPr>
                <w:rStyle w:val="Hyperlink"/>
              </w:rPr>
              <w:t>2</w:t>
            </w:r>
            <w:r w:rsidR="00A962A0">
              <w:rPr>
                <w:rFonts w:asciiTheme="minorHAnsi" w:eastAsiaTheme="minorEastAsia" w:hAnsiTheme="minorHAnsi" w:cstheme="minorBidi"/>
                <w:lang w:eastAsia="es-UY"/>
              </w:rPr>
              <w:tab/>
            </w:r>
            <w:r w:rsidR="00A962A0" w:rsidRPr="00925C59">
              <w:rPr>
                <w:rStyle w:val="Hyperlink"/>
              </w:rPr>
              <w:t>Riesgo fiscal</w:t>
            </w:r>
            <w:r w:rsidR="00A962A0">
              <w:rPr>
                <w:webHidden/>
              </w:rPr>
              <w:tab/>
            </w:r>
            <w:r w:rsidR="00A962A0">
              <w:rPr>
                <w:webHidden/>
              </w:rPr>
              <w:fldChar w:fldCharType="begin"/>
            </w:r>
            <w:r w:rsidR="00A962A0">
              <w:rPr>
                <w:webHidden/>
              </w:rPr>
              <w:instrText xml:space="preserve"> PAGEREF _Toc428464187 \h </w:instrText>
            </w:r>
            <w:r w:rsidR="00A962A0">
              <w:rPr>
                <w:webHidden/>
              </w:rPr>
            </w:r>
            <w:r w:rsidR="00A962A0">
              <w:rPr>
                <w:webHidden/>
              </w:rPr>
              <w:fldChar w:fldCharType="separate"/>
            </w:r>
            <w:r w:rsidR="00A962A0">
              <w:rPr>
                <w:webHidden/>
              </w:rPr>
              <w:t>27</w:t>
            </w:r>
            <w:r w:rsidR="00A962A0">
              <w:rPr>
                <w:webHidden/>
              </w:rPr>
              <w:fldChar w:fldCharType="end"/>
            </w:r>
          </w:hyperlink>
        </w:p>
        <w:p w:rsidR="00A962A0" w:rsidRDefault="00143D43">
          <w:pPr>
            <w:pStyle w:val="TOC2"/>
            <w:tabs>
              <w:tab w:val="left" w:pos="880"/>
              <w:tab w:val="right" w:leader="dot" w:pos="8494"/>
            </w:tabs>
            <w:rPr>
              <w:rFonts w:asciiTheme="minorHAnsi" w:eastAsiaTheme="minorEastAsia" w:hAnsiTheme="minorHAnsi" w:cstheme="minorBidi"/>
              <w:noProof/>
              <w:lang w:eastAsia="es-UY"/>
            </w:rPr>
          </w:pPr>
          <w:hyperlink w:anchor="_Toc428464188" w:history="1">
            <w:r w:rsidR="00A962A0" w:rsidRPr="00925C59">
              <w:rPr>
                <w:rStyle w:val="Hyperlink"/>
                <w:noProof/>
              </w:rPr>
              <w:t>2.1</w:t>
            </w:r>
            <w:r w:rsidR="00A962A0">
              <w:rPr>
                <w:rFonts w:asciiTheme="minorHAnsi" w:eastAsiaTheme="minorEastAsia" w:hAnsiTheme="minorHAnsi" w:cstheme="minorBidi"/>
                <w:noProof/>
                <w:lang w:eastAsia="es-UY"/>
              </w:rPr>
              <w:tab/>
            </w:r>
            <w:r w:rsidR="00A962A0" w:rsidRPr="00925C59">
              <w:rPr>
                <w:rStyle w:val="Hyperlink"/>
                <w:noProof/>
              </w:rPr>
              <w:t>Introducción</w:t>
            </w:r>
            <w:r w:rsidR="00A962A0">
              <w:rPr>
                <w:noProof/>
                <w:webHidden/>
              </w:rPr>
              <w:tab/>
            </w:r>
            <w:r w:rsidR="00A962A0">
              <w:rPr>
                <w:noProof/>
                <w:webHidden/>
              </w:rPr>
              <w:fldChar w:fldCharType="begin"/>
            </w:r>
            <w:r w:rsidR="00A962A0">
              <w:rPr>
                <w:noProof/>
                <w:webHidden/>
              </w:rPr>
              <w:instrText xml:space="preserve"> PAGEREF _Toc428464188 \h </w:instrText>
            </w:r>
            <w:r w:rsidR="00A962A0">
              <w:rPr>
                <w:noProof/>
                <w:webHidden/>
              </w:rPr>
            </w:r>
            <w:r w:rsidR="00A962A0">
              <w:rPr>
                <w:noProof/>
                <w:webHidden/>
              </w:rPr>
              <w:fldChar w:fldCharType="separate"/>
            </w:r>
            <w:r w:rsidR="00A962A0">
              <w:rPr>
                <w:noProof/>
                <w:webHidden/>
              </w:rPr>
              <w:t>27</w:t>
            </w:r>
            <w:r w:rsidR="00A962A0">
              <w:rPr>
                <w:noProof/>
                <w:webHidden/>
              </w:rPr>
              <w:fldChar w:fldCharType="end"/>
            </w:r>
          </w:hyperlink>
        </w:p>
        <w:p w:rsidR="00A962A0" w:rsidRDefault="00143D43">
          <w:pPr>
            <w:pStyle w:val="TOC2"/>
            <w:tabs>
              <w:tab w:val="left" w:pos="880"/>
              <w:tab w:val="right" w:leader="dot" w:pos="8494"/>
            </w:tabs>
            <w:rPr>
              <w:rFonts w:asciiTheme="minorHAnsi" w:eastAsiaTheme="minorEastAsia" w:hAnsiTheme="minorHAnsi" w:cstheme="minorBidi"/>
              <w:noProof/>
              <w:lang w:eastAsia="es-UY"/>
            </w:rPr>
          </w:pPr>
          <w:hyperlink w:anchor="_Toc428464189" w:history="1">
            <w:r w:rsidR="00A962A0" w:rsidRPr="00925C59">
              <w:rPr>
                <w:rStyle w:val="Hyperlink"/>
                <w:noProof/>
              </w:rPr>
              <w:t>2.2</w:t>
            </w:r>
            <w:r w:rsidR="00A962A0">
              <w:rPr>
                <w:rFonts w:asciiTheme="minorHAnsi" w:eastAsiaTheme="minorEastAsia" w:hAnsiTheme="minorHAnsi" w:cstheme="minorBidi"/>
                <w:noProof/>
                <w:lang w:eastAsia="es-UY"/>
              </w:rPr>
              <w:tab/>
            </w:r>
            <w:r w:rsidR="00A962A0" w:rsidRPr="00925C59">
              <w:rPr>
                <w:rStyle w:val="Hyperlink"/>
                <w:noProof/>
              </w:rPr>
              <w:t>Antecedentes internacionales</w:t>
            </w:r>
            <w:r w:rsidR="00A962A0">
              <w:rPr>
                <w:noProof/>
                <w:webHidden/>
              </w:rPr>
              <w:tab/>
            </w:r>
            <w:r w:rsidR="00A962A0">
              <w:rPr>
                <w:noProof/>
                <w:webHidden/>
              </w:rPr>
              <w:fldChar w:fldCharType="begin"/>
            </w:r>
            <w:r w:rsidR="00A962A0">
              <w:rPr>
                <w:noProof/>
                <w:webHidden/>
              </w:rPr>
              <w:instrText xml:space="preserve"> PAGEREF _Toc428464189 \h </w:instrText>
            </w:r>
            <w:r w:rsidR="00A962A0">
              <w:rPr>
                <w:noProof/>
                <w:webHidden/>
              </w:rPr>
            </w:r>
            <w:r w:rsidR="00A962A0">
              <w:rPr>
                <w:noProof/>
                <w:webHidden/>
              </w:rPr>
              <w:fldChar w:fldCharType="separate"/>
            </w:r>
            <w:r w:rsidR="00A962A0">
              <w:rPr>
                <w:noProof/>
                <w:webHidden/>
              </w:rPr>
              <w:t>28</w:t>
            </w:r>
            <w:r w:rsidR="00A962A0">
              <w:rPr>
                <w:noProof/>
                <w:webHidden/>
              </w:rPr>
              <w:fldChar w:fldCharType="end"/>
            </w:r>
          </w:hyperlink>
        </w:p>
        <w:p w:rsidR="00A962A0" w:rsidRDefault="00143D43">
          <w:pPr>
            <w:pStyle w:val="TOC2"/>
            <w:tabs>
              <w:tab w:val="left" w:pos="880"/>
              <w:tab w:val="right" w:leader="dot" w:pos="8494"/>
            </w:tabs>
            <w:rPr>
              <w:rFonts w:asciiTheme="minorHAnsi" w:eastAsiaTheme="minorEastAsia" w:hAnsiTheme="minorHAnsi" w:cstheme="minorBidi"/>
              <w:noProof/>
              <w:lang w:eastAsia="es-UY"/>
            </w:rPr>
          </w:pPr>
          <w:hyperlink w:anchor="_Toc428464190" w:history="1">
            <w:r w:rsidR="00A962A0" w:rsidRPr="00925C59">
              <w:rPr>
                <w:rStyle w:val="Hyperlink"/>
                <w:noProof/>
              </w:rPr>
              <w:t>2.3</w:t>
            </w:r>
            <w:r w:rsidR="00A962A0">
              <w:rPr>
                <w:rFonts w:asciiTheme="minorHAnsi" w:eastAsiaTheme="minorEastAsia" w:hAnsiTheme="minorHAnsi" w:cstheme="minorBidi"/>
                <w:noProof/>
                <w:lang w:eastAsia="es-UY"/>
              </w:rPr>
              <w:tab/>
            </w:r>
            <w:r w:rsidR="00A962A0" w:rsidRPr="00925C59">
              <w:rPr>
                <w:rStyle w:val="Hyperlink"/>
                <w:noProof/>
              </w:rPr>
              <w:t>Las PPP en Uruguay</w:t>
            </w:r>
            <w:r w:rsidR="00A962A0">
              <w:rPr>
                <w:noProof/>
                <w:webHidden/>
              </w:rPr>
              <w:tab/>
            </w:r>
            <w:r w:rsidR="00A962A0">
              <w:rPr>
                <w:noProof/>
                <w:webHidden/>
              </w:rPr>
              <w:fldChar w:fldCharType="begin"/>
            </w:r>
            <w:r w:rsidR="00A962A0">
              <w:rPr>
                <w:noProof/>
                <w:webHidden/>
              </w:rPr>
              <w:instrText xml:space="preserve"> PAGEREF _Toc428464190 \h </w:instrText>
            </w:r>
            <w:r w:rsidR="00A962A0">
              <w:rPr>
                <w:noProof/>
                <w:webHidden/>
              </w:rPr>
            </w:r>
            <w:r w:rsidR="00A962A0">
              <w:rPr>
                <w:noProof/>
                <w:webHidden/>
              </w:rPr>
              <w:fldChar w:fldCharType="separate"/>
            </w:r>
            <w:r w:rsidR="00A962A0">
              <w:rPr>
                <w:noProof/>
                <w:webHidden/>
              </w:rPr>
              <w:t>30</w:t>
            </w:r>
            <w:r w:rsidR="00A962A0">
              <w:rPr>
                <w:noProof/>
                <w:webHidden/>
              </w:rPr>
              <w:fldChar w:fldCharType="end"/>
            </w:r>
          </w:hyperlink>
        </w:p>
        <w:p w:rsidR="00A962A0" w:rsidRDefault="00143D43">
          <w:pPr>
            <w:pStyle w:val="TOC2"/>
            <w:tabs>
              <w:tab w:val="left" w:pos="880"/>
              <w:tab w:val="right" w:leader="dot" w:pos="8494"/>
            </w:tabs>
            <w:rPr>
              <w:rFonts w:asciiTheme="minorHAnsi" w:eastAsiaTheme="minorEastAsia" w:hAnsiTheme="minorHAnsi" w:cstheme="minorBidi"/>
              <w:noProof/>
              <w:lang w:eastAsia="es-UY"/>
            </w:rPr>
          </w:pPr>
          <w:hyperlink w:anchor="_Toc428464191" w:history="1">
            <w:r w:rsidR="00A962A0" w:rsidRPr="00925C59">
              <w:rPr>
                <w:rStyle w:val="Hyperlink"/>
                <w:noProof/>
              </w:rPr>
              <w:t>2.4</w:t>
            </w:r>
            <w:r w:rsidR="00A962A0">
              <w:rPr>
                <w:rFonts w:asciiTheme="minorHAnsi" w:eastAsiaTheme="minorEastAsia" w:hAnsiTheme="minorHAnsi" w:cstheme="minorBidi"/>
                <w:noProof/>
                <w:lang w:eastAsia="es-UY"/>
              </w:rPr>
              <w:tab/>
            </w:r>
            <w:r w:rsidR="00A962A0" w:rsidRPr="00925C59">
              <w:rPr>
                <w:rStyle w:val="Hyperlink"/>
                <w:noProof/>
              </w:rPr>
              <w:t>Criterios aplicados en Uruguay por el riesgo fiscal</w:t>
            </w:r>
            <w:r w:rsidR="00A962A0">
              <w:rPr>
                <w:noProof/>
                <w:webHidden/>
              </w:rPr>
              <w:tab/>
            </w:r>
            <w:r w:rsidR="00A962A0">
              <w:rPr>
                <w:noProof/>
                <w:webHidden/>
              </w:rPr>
              <w:fldChar w:fldCharType="begin"/>
            </w:r>
            <w:r w:rsidR="00A962A0">
              <w:rPr>
                <w:noProof/>
                <w:webHidden/>
              </w:rPr>
              <w:instrText xml:space="preserve"> PAGEREF _Toc428464191 \h </w:instrText>
            </w:r>
            <w:r w:rsidR="00A962A0">
              <w:rPr>
                <w:noProof/>
                <w:webHidden/>
              </w:rPr>
            </w:r>
            <w:r w:rsidR="00A962A0">
              <w:rPr>
                <w:noProof/>
                <w:webHidden/>
              </w:rPr>
              <w:fldChar w:fldCharType="separate"/>
            </w:r>
            <w:r w:rsidR="00A962A0">
              <w:rPr>
                <w:noProof/>
                <w:webHidden/>
              </w:rPr>
              <w:t>33</w:t>
            </w:r>
            <w:r w:rsidR="00A962A0">
              <w:rPr>
                <w:noProof/>
                <w:webHidden/>
              </w:rPr>
              <w:fldChar w:fldCharType="end"/>
            </w:r>
          </w:hyperlink>
        </w:p>
        <w:p w:rsidR="00A962A0" w:rsidRDefault="00143D43">
          <w:pPr>
            <w:pStyle w:val="TOC2"/>
            <w:tabs>
              <w:tab w:val="left" w:pos="880"/>
              <w:tab w:val="right" w:leader="dot" w:pos="8494"/>
            </w:tabs>
            <w:rPr>
              <w:rFonts w:asciiTheme="minorHAnsi" w:eastAsiaTheme="minorEastAsia" w:hAnsiTheme="minorHAnsi" w:cstheme="minorBidi"/>
              <w:noProof/>
              <w:lang w:eastAsia="es-UY"/>
            </w:rPr>
          </w:pPr>
          <w:hyperlink w:anchor="_Toc428464192" w:history="1">
            <w:r w:rsidR="00A962A0" w:rsidRPr="00925C59">
              <w:rPr>
                <w:rStyle w:val="Hyperlink"/>
                <w:noProof/>
              </w:rPr>
              <w:t>2.5</w:t>
            </w:r>
            <w:r w:rsidR="00A962A0">
              <w:rPr>
                <w:rFonts w:asciiTheme="minorHAnsi" w:eastAsiaTheme="minorEastAsia" w:hAnsiTheme="minorHAnsi" w:cstheme="minorBidi"/>
                <w:noProof/>
                <w:lang w:eastAsia="es-UY"/>
              </w:rPr>
              <w:tab/>
            </w:r>
            <w:r w:rsidR="00A962A0" w:rsidRPr="00925C59">
              <w:rPr>
                <w:rStyle w:val="Hyperlink"/>
                <w:noProof/>
              </w:rPr>
              <w:t>Endeudamiento para inversiones viales.</w:t>
            </w:r>
            <w:r w:rsidR="00A962A0">
              <w:rPr>
                <w:noProof/>
                <w:webHidden/>
              </w:rPr>
              <w:tab/>
            </w:r>
            <w:r w:rsidR="00A962A0">
              <w:rPr>
                <w:noProof/>
                <w:webHidden/>
              </w:rPr>
              <w:fldChar w:fldCharType="begin"/>
            </w:r>
            <w:r w:rsidR="00A962A0">
              <w:rPr>
                <w:noProof/>
                <w:webHidden/>
              </w:rPr>
              <w:instrText xml:space="preserve"> PAGEREF _Toc428464192 \h </w:instrText>
            </w:r>
            <w:r w:rsidR="00A962A0">
              <w:rPr>
                <w:noProof/>
                <w:webHidden/>
              </w:rPr>
            </w:r>
            <w:r w:rsidR="00A962A0">
              <w:rPr>
                <w:noProof/>
                <w:webHidden/>
              </w:rPr>
              <w:fldChar w:fldCharType="separate"/>
            </w:r>
            <w:r w:rsidR="00A962A0">
              <w:rPr>
                <w:noProof/>
                <w:webHidden/>
              </w:rPr>
              <w:t>37</w:t>
            </w:r>
            <w:r w:rsidR="00A962A0">
              <w:rPr>
                <w:noProof/>
                <w:webHidden/>
              </w:rPr>
              <w:fldChar w:fldCharType="end"/>
            </w:r>
          </w:hyperlink>
        </w:p>
        <w:p w:rsidR="00A962A0" w:rsidRDefault="00143D43">
          <w:pPr>
            <w:pStyle w:val="TOC3"/>
            <w:tabs>
              <w:tab w:val="left" w:pos="1320"/>
              <w:tab w:val="right" w:leader="dot" w:pos="8494"/>
            </w:tabs>
            <w:rPr>
              <w:rFonts w:asciiTheme="minorHAnsi" w:eastAsiaTheme="minorEastAsia" w:hAnsiTheme="minorHAnsi" w:cstheme="minorBidi"/>
              <w:noProof/>
              <w:lang w:eastAsia="es-UY"/>
            </w:rPr>
          </w:pPr>
          <w:hyperlink w:anchor="_Toc428464193" w:history="1">
            <w:r w:rsidR="00A962A0" w:rsidRPr="00925C59">
              <w:rPr>
                <w:rStyle w:val="Hyperlink"/>
                <w:noProof/>
                <w:lang w:val="es-ES_tradnl"/>
              </w:rPr>
              <w:t>2.5.1</w:t>
            </w:r>
            <w:r w:rsidR="00A962A0">
              <w:rPr>
                <w:rFonts w:asciiTheme="minorHAnsi" w:eastAsiaTheme="minorEastAsia" w:hAnsiTheme="minorHAnsi" w:cstheme="minorBidi"/>
                <w:noProof/>
                <w:lang w:eastAsia="es-UY"/>
              </w:rPr>
              <w:tab/>
            </w:r>
            <w:r w:rsidR="00A962A0" w:rsidRPr="00925C59">
              <w:rPr>
                <w:rStyle w:val="Hyperlink"/>
                <w:noProof/>
                <w:lang w:val="es-ES_tradnl"/>
              </w:rPr>
              <w:t>Inversiones viales para el próximo quinquenio</w:t>
            </w:r>
            <w:r w:rsidR="00A962A0">
              <w:rPr>
                <w:noProof/>
                <w:webHidden/>
              </w:rPr>
              <w:tab/>
            </w:r>
            <w:r w:rsidR="00A962A0">
              <w:rPr>
                <w:noProof/>
                <w:webHidden/>
              </w:rPr>
              <w:fldChar w:fldCharType="begin"/>
            </w:r>
            <w:r w:rsidR="00A962A0">
              <w:rPr>
                <w:noProof/>
                <w:webHidden/>
              </w:rPr>
              <w:instrText xml:space="preserve"> PAGEREF _Toc428464193 \h </w:instrText>
            </w:r>
            <w:r w:rsidR="00A962A0">
              <w:rPr>
                <w:noProof/>
                <w:webHidden/>
              </w:rPr>
            </w:r>
            <w:r w:rsidR="00A962A0">
              <w:rPr>
                <w:noProof/>
                <w:webHidden/>
              </w:rPr>
              <w:fldChar w:fldCharType="separate"/>
            </w:r>
            <w:r w:rsidR="00A962A0">
              <w:rPr>
                <w:noProof/>
                <w:webHidden/>
              </w:rPr>
              <w:t>37</w:t>
            </w:r>
            <w:r w:rsidR="00A962A0">
              <w:rPr>
                <w:noProof/>
                <w:webHidden/>
              </w:rPr>
              <w:fldChar w:fldCharType="end"/>
            </w:r>
          </w:hyperlink>
        </w:p>
        <w:p w:rsidR="00A962A0" w:rsidRDefault="00143D43">
          <w:pPr>
            <w:pStyle w:val="TOC3"/>
            <w:tabs>
              <w:tab w:val="left" w:pos="1320"/>
              <w:tab w:val="right" w:leader="dot" w:pos="8494"/>
            </w:tabs>
            <w:rPr>
              <w:rFonts w:asciiTheme="minorHAnsi" w:eastAsiaTheme="minorEastAsia" w:hAnsiTheme="minorHAnsi" w:cstheme="minorBidi"/>
              <w:noProof/>
              <w:lang w:eastAsia="es-UY"/>
            </w:rPr>
          </w:pPr>
          <w:hyperlink w:anchor="_Toc428464194" w:history="1">
            <w:r w:rsidR="00A962A0" w:rsidRPr="00925C59">
              <w:rPr>
                <w:rStyle w:val="Hyperlink"/>
                <w:noProof/>
                <w:lang w:val="es-ES_tradnl"/>
              </w:rPr>
              <w:t>2.5.2</w:t>
            </w:r>
            <w:r w:rsidR="00A962A0">
              <w:rPr>
                <w:rFonts w:asciiTheme="minorHAnsi" w:eastAsiaTheme="minorEastAsia" w:hAnsiTheme="minorHAnsi" w:cstheme="minorBidi"/>
                <w:noProof/>
                <w:lang w:eastAsia="es-UY"/>
              </w:rPr>
              <w:tab/>
            </w:r>
            <w:r w:rsidR="00A962A0" w:rsidRPr="00925C59">
              <w:rPr>
                <w:rStyle w:val="Hyperlink"/>
                <w:noProof/>
                <w:lang w:val="es-ES_tradnl"/>
              </w:rPr>
              <w:t>Financiamiento para el próximo quinquenio</w:t>
            </w:r>
            <w:r w:rsidR="00A962A0">
              <w:rPr>
                <w:noProof/>
                <w:webHidden/>
              </w:rPr>
              <w:tab/>
            </w:r>
            <w:r w:rsidR="00A962A0">
              <w:rPr>
                <w:noProof/>
                <w:webHidden/>
              </w:rPr>
              <w:fldChar w:fldCharType="begin"/>
            </w:r>
            <w:r w:rsidR="00A962A0">
              <w:rPr>
                <w:noProof/>
                <w:webHidden/>
              </w:rPr>
              <w:instrText xml:space="preserve"> PAGEREF _Toc428464194 \h </w:instrText>
            </w:r>
            <w:r w:rsidR="00A962A0">
              <w:rPr>
                <w:noProof/>
                <w:webHidden/>
              </w:rPr>
            </w:r>
            <w:r w:rsidR="00A962A0">
              <w:rPr>
                <w:noProof/>
                <w:webHidden/>
              </w:rPr>
              <w:fldChar w:fldCharType="separate"/>
            </w:r>
            <w:r w:rsidR="00A962A0">
              <w:rPr>
                <w:noProof/>
                <w:webHidden/>
              </w:rPr>
              <w:t>38</w:t>
            </w:r>
            <w:r w:rsidR="00A962A0">
              <w:rPr>
                <w:noProof/>
                <w:webHidden/>
              </w:rPr>
              <w:fldChar w:fldCharType="end"/>
            </w:r>
          </w:hyperlink>
        </w:p>
        <w:p w:rsidR="00A962A0" w:rsidRDefault="00143D43">
          <w:pPr>
            <w:pStyle w:val="TOC3"/>
            <w:tabs>
              <w:tab w:val="left" w:pos="1320"/>
              <w:tab w:val="right" w:leader="dot" w:pos="8494"/>
            </w:tabs>
            <w:rPr>
              <w:rFonts w:asciiTheme="minorHAnsi" w:eastAsiaTheme="minorEastAsia" w:hAnsiTheme="minorHAnsi" w:cstheme="minorBidi"/>
              <w:noProof/>
              <w:lang w:eastAsia="es-UY"/>
            </w:rPr>
          </w:pPr>
          <w:hyperlink w:anchor="_Toc428464195" w:history="1">
            <w:r w:rsidR="00A962A0" w:rsidRPr="00925C59">
              <w:rPr>
                <w:rStyle w:val="Hyperlink"/>
                <w:noProof/>
                <w:lang w:val="es-ES_tradnl"/>
              </w:rPr>
              <w:t>2.5.3</w:t>
            </w:r>
            <w:r w:rsidR="00A962A0">
              <w:rPr>
                <w:rFonts w:asciiTheme="minorHAnsi" w:eastAsiaTheme="minorEastAsia" w:hAnsiTheme="minorHAnsi" w:cstheme="minorBidi"/>
                <w:noProof/>
                <w:lang w:eastAsia="es-UY"/>
              </w:rPr>
              <w:tab/>
            </w:r>
            <w:r w:rsidR="00A962A0" w:rsidRPr="00925C59">
              <w:rPr>
                <w:rStyle w:val="Hyperlink"/>
                <w:noProof/>
                <w:lang w:val="es-ES_tradnl"/>
              </w:rPr>
              <w:t>Presupuesto de la DNV y el financiamiento</w:t>
            </w:r>
            <w:r w:rsidR="00A962A0">
              <w:rPr>
                <w:noProof/>
                <w:webHidden/>
              </w:rPr>
              <w:tab/>
            </w:r>
            <w:r w:rsidR="00A962A0">
              <w:rPr>
                <w:noProof/>
                <w:webHidden/>
              </w:rPr>
              <w:fldChar w:fldCharType="begin"/>
            </w:r>
            <w:r w:rsidR="00A962A0">
              <w:rPr>
                <w:noProof/>
                <w:webHidden/>
              </w:rPr>
              <w:instrText xml:space="preserve"> PAGEREF _Toc428464195 \h </w:instrText>
            </w:r>
            <w:r w:rsidR="00A962A0">
              <w:rPr>
                <w:noProof/>
                <w:webHidden/>
              </w:rPr>
            </w:r>
            <w:r w:rsidR="00A962A0">
              <w:rPr>
                <w:noProof/>
                <w:webHidden/>
              </w:rPr>
              <w:fldChar w:fldCharType="separate"/>
            </w:r>
            <w:r w:rsidR="00A962A0">
              <w:rPr>
                <w:noProof/>
                <w:webHidden/>
              </w:rPr>
              <w:t>40</w:t>
            </w:r>
            <w:r w:rsidR="00A962A0">
              <w:rPr>
                <w:noProof/>
                <w:webHidden/>
              </w:rPr>
              <w:fldChar w:fldCharType="end"/>
            </w:r>
          </w:hyperlink>
        </w:p>
        <w:p w:rsidR="00A962A0" w:rsidRDefault="00143D43">
          <w:pPr>
            <w:pStyle w:val="TOC1"/>
            <w:rPr>
              <w:rFonts w:asciiTheme="minorHAnsi" w:eastAsiaTheme="minorEastAsia" w:hAnsiTheme="minorHAnsi" w:cstheme="minorBidi"/>
              <w:lang w:eastAsia="es-UY"/>
            </w:rPr>
          </w:pPr>
          <w:hyperlink w:anchor="_Toc428464196" w:history="1">
            <w:r w:rsidR="00A962A0" w:rsidRPr="00925C59">
              <w:rPr>
                <w:rStyle w:val="Hyperlink"/>
                <w:lang w:val="es-ES_tradnl"/>
              </w:rPr>
              <w:t>3</w:t>
            </w:r>
            <w:r w:rsidR="00A962A0">
              <w:rPr>
                <w:rFonts w:asciiTheme="minorHAnsi" w:eastAsiaTheme="minorEastAsia" w:hAnsiTheme="minorHAnsi" w:cstheme="minorBidi"/>
                <w:lang w:eastAsia="es-UY"/>
              </w:rPr>
              <w:tab/>
            </w:r>
            <w:r w:rsidR="00A962A0" w:rsidRPr="00925C59">
              <w:rPr>
                <w:rStyle w:val="Hyperlink"/>
                <w:lang w:val="es-ES_tradnl"/>
              </w:rPr>
              <w:t>Bibliografía</w:t>
            </w:r>
            <w:r w:rsidR="00A962A0">
              <w:rPr>
                <w:webHidden/>
              </w:rPr>
              <w:tab/>
            </w:r>
            <w:r w:rsidR="00A962A0">
              <w:rPr>
                <w:webHidden/>
              </w:rPr>
              <w:fldChar w:fldCharType="begin"/>
            </w:r>
            <w:r w:rsidR="00A962A0">
              <w:rPr>
                <w:webHidden/>
              </w:rPr>
              <w:instrText xml:space="preserve"> PAGEREF _Toc428464196 \h </w:instrText>
            </w:r>
            <w:r w:rsidR="00A962A0">
              <w:rPr>
                <w:webHidden/>
              </w:rPr>
            </w:r>
            <w:r w:rsidR="00A962A0">
              <w:rPr>
                <w:webHidden/>
              </w:rPr>
              <w:fldChar w:fldCharType="separate"/>
            </w:r>
            <w:r w:rsidR="00A962A0">
              <w:rPr>
                <w:webHidden/>
              </w:rPr>
              <w:t>43</w:t>
            </w:r>
            <w:r w:rsidR="00A962A0">
              <w:rPr>
                <w:webHidden/>
              </w:rPr>
              <w:fldChar w:fldCharType="end"/>
            </w:r>
          </w:hyperlink>
        </w:p>
        <w:p w:rsidR="00A962A0" w:rsidRDefault="00143D43">
          <w:pPr>
            <w:pStyle w:val="TOC1"/>
            <w:rPr>
              <w:rFonts w:asciiTheme="minorHAnsi" w:eastAsiaTheme="minorEastAsia" w:hAnsiTheme="minorHAnsi" w:cstheme="minorBidi"/>
              <w:lang w:eastAsia="es-UY"/>
            </w:rPr>
          </w:pPr>
          <w:hyperlink w:anchor="_Toc428464197" w:history="1">
            <w:r w:rsidR="00A962A0" w:rsidRPr="00925C59">
              <w:rPr>
                <w:rStyle w:val="Hyperlink"/>
                <w:lang w:val="es-ES_tradnl"/>
              </w:rPr>
              <w:t>4</w:t>
            </w:r>
            <w:r w:rsidR="00A962A0">
              <w:rPr>
                <w:rFonts w:asciiTheme="minorHAnsi" w:eastAsiaTheme="minorEastAsia" w:hAnsiTheme="minorHAnsi" w:cstheme="minorBidi"/>
                <w:lang w:eastAsia="es-UY"/>
              </w:rPr>
              <w:tab/>
            </w:r>
            <w:r w:rsidR="00A962A0" w:rsidRPr="00925C59">
              <w:rPr>
                <w:rStyle w:val="Hyperlink"/>
                <w:lang w:val="es-ES_tradnl"/>
              </w:rPr>
              <w:t>Entrevistas y contactos</w:t>
            </w:r>
            <w:r w:rsidR="00A962A0">
              <w:rPr>
                <w:webHidden/>
              </w:rPr>
              <w:tab/>
            </w:r>
            <w:r w:rsidR="00A962A0">
              <w:rPr>
                <w:webHidden/>
              </w:rPr>
              <w:fldChar w:fldCharType="begin"/>
            </w:r>
            <w:r w:rsidR="00A962A0">
              <w:rPr>
                <w:webHidden/>
              </w:rPr>
              <w:instrText xml:space="preserve"> PAGEREF _Toc428464197 \h </w:instrText>
            </w:r>
            <w:r w:rsidR="00A962A0">
              <w:rPr>
                <w:webHidden/>
              </w:rPr>
            </w:r>
            <w:r w:rsidR="00A962A0">
              <w:rPr>
                <w:webHidden/>
              </w:rPr>
              <w:fldChar w:fldCharType="separate"/>
            </w:r>
            <w:r w:rsidR="00A962A0">
              <w:rPr>
                <w:webHidden/>
              </w:rPr>
              <w:t>44</w:t>
            </w:r>
            <w:r w:rsidR="00A962A0">
              <w:rPr>
                <w:webHidden/>
              </w:rPr>
              <w:fldChar w:fldCharType="end"/>
            </w:r>
          </w:hyperlink>
        </w:p>
        <w:p w:rsidR="00A962A0" w:rsidRDefault="00143D43">
          <w:pPr>
            <w:pStyle w:val="TOC1"/>
            <w:rPr>
              <w:rFonts w:asciiTheme="minorHAnsi" w:eastAsiaTheme="minorEastAsia" w:hAnsiTheme="minorHAnsi" w:cstheme="minorBidi"/>
              <w:lang w:eastAsia="es-UY"/>
            </w:rPr>
          </w:pPr>
          <w:hyperlink w:anchor="_Toc428464198" w:history="1">
            <w:r w:rsidR="00A962A0" w:rsidRPr="00925C59">
              <w:rPr>
                <w:rStyle w:val="Hyperlink"/>
                <w:lang w:val="es-ES_tradnl"/>
              </w:rPr>
              <w:t>5</w:t>
            </w:r>
            <w:r w:rsidR="00A962A0">
              <w:rPr>
                <w:rFonts w:asciiTheme="minorHAnsi" w:eastAsiaTheme="minorEastAsia" w:hAnsiTheme="minorHAnsi" w:cstheme="minorBidi"/>
                <w:lang w:eastAsia="es-UY"/>
              </w:rPr>
              <w:tab/>
            </w:r>
            <w:r w:rsidR="00A962A0" w:rsidRPr="00925C59">
              <w:rPr>
                <w:rStyle w:val="Hyperlink"/>
                <w:lang w:val="es-ES_tradnl"/>
              </w:rPr>
              <w:t>Anexos</w:t>
            </w:r>
            <w:r w:rsidR="00A962A0">
              <w:rPr>
                <w:webHidden/>
              </w:rPr>
              <w:tab/>
            </w:r>
            <w:r w:rsidR="00A962A0">
              <w:rPr>
                <w:webHidden/>
              </w:rPr>
              <w:fldChar w:fldCharType="begin"/>
            </w:r>
            <w:r w:rsidR="00A962A0">
              <w:rPr>
                <w:webHidden/>
              </w:rPr>
              <w:instrText xml:space="preserve"> PAGEREF _Toc428464198 \h </w:instrText>
            </w:r>
            <w:r w:rsidR="00A962A0">
              <w:rPr>
                <w:webHidden/>
              </w:rPr>
            </w:r>
            <w:r w:rsidR="00A962A0">
              <w:rPr>
                <w:webHidden/>
              </w:rPr>
              <w:fldChar w:fldCharType="separate"/>
            </w:r>
            <w:r w:rsidR="00A962A0">
              <w:rPr>
                <w:webHidden/>
              </w:rPr>
              <w:t>46</w:t>
            </w:r>
            <w:r w:rsidR="00A962A0">
              <w:rPr>
                <w:webHidden/>
              </w:rPr>
              <w:fldChar w:fldCharType="end"/>
            </w:r>
          </w:hyperlink>
        </w:p>
        <w:p w:rsidR="00A962A0" w:rsidRDefault="00143D43">
          <w:pPr>
            <w:pStyle w:val="TOC2"/>
            <w:tabs>
              <w:tab w:val="left" w:pos="880"/>
              <w:tab w:val="right" w:leader="dot" w:pos="8494"/>
            </w:tabs>
            <w:rPr>
              <w:rFonts w:asciiTheme="minorHAnsi" w:eastAsiaTheme="minorEastAsia" w:hAnsiTheme="minorHAnsi" w:cstheme="minorBidi"/>
              <w:noProof/>
              <w:lang w:eastAsia="es-UY"/>
            </w:rPr>
          </w:pPr>
          <w:hyperlink w:anchor="_Toc428464199" w:history="1">
            <w:r w:rsidR="00A962A0" w:rsidRPr="00925C59">
              <w:rPr>
                <w:rStyle w:val="Hyperlink"/>
                <w:noProof/>
                <w:lang w:val="es-ES_tradnl"/>
              </w:rPr>
              <w:t>5.1</w:t>
            </w:r>
            <w:r w:rsidR="00A962A0">
              <w:rPr>
                <w:rFonts w:asciiTheme="minorHAnsi" w:eastAsiaTheme="minorEastAsia" w:hAnsiTheme="minorHAnsi" w:cstheme="minorBidi"/>
                <w:noProof/>
                <w:lang w:eastAsia="es-UY"/>
              </w:rPr>
              <w:tab/>
            </w:r>
            <w:r w:rsidR="00A962A0" w:rsidRPr="00925C59">
              <w:rPr>
                <w:rStyle w:val="Hyperlink"/>
                <w:noProof/>
                <w:lang w:val="es-ES_tradnl"/>
              </w:rPr>
              <w:t>Anexo 1 – Tránsito Promedio Diario</w:t>
            </w:r>
            <w:r w:rsidR="00A962A0">
              <w:rPr>
                <w:noProof/>
                <w:webHidden/>
              </w:rPr>
              <w:tab/>
            </w:r>
            <w:r w:rsidR="00A962A0">
              <w:rPr>
                <w:noProof/>
                <w:webHidden/>
              </w:rPr>
              <w:fldChar w:fldCharType="begin"/>
            </w:r>
            <w:r w:rsidR="00A962A0">
              <w:rPr>
                <w:noProof/>
                <w:webHidden/>
              </w:rPr>
              <w:instrText xml:space="preserve"> PAGEREF _Toc428464199 \h </w:instrText>
            </w:r>
            <w:r w:rsidR="00A962A0">
              <w:rPr>
                <w:noProof/>
                <w:webHidden/>
              </w:rPr>
            </w:r>
            <w:r w:rsidR="00A962A0">
              <w:rPr>
                <w:noProof/>
                <w:webHidden/>
              </w:rPr>
              <w:fldChar w:fldCharType="separate"/>
            </w:r>
            <w:r w:rsidR="00A962A0">
              <w:rPr>
                <w:noProof/>
                <w:webHidden/>
              </w:rPr>
              <w:t>46</w:t>
            </w:r>
            <w:r w:rsidR="00A962A0">
              <w:rPr>
                <w:noProof/>
                <w:webHidden/>
              </w:rPr>
              <w:fldChar w:fldCharType="end"/>
            </w:r>
          </w:hyperlink>
        </w:p>
        <w:p w:rsidR="00A962A0" w:rsidRDefault="00143D43">
          <w:pPr>
            <w:pStyle w:val="TOC2"/>
            <w:tabs>
              <w:tab w:val="left" w:pos="880"/>
              <w:tab w:val="right" w:leader="dot" w:pos="8494"/>
            </w:tabs>
            <w:rPr>
              <w:rFonts w:asciiTheme="minorHAnsi" w:eastAsiaTheme="minorEastAsia" w:hAnsiTheme="minorHAnsi" w:cstheme="minorBidi"/>
              <w:noProof/>
              <w:lang w:eastAsia="es-UY"/>
            </w:rPr>
          </w:pPr>
          <w:hyperlink w:anchor="_Toc428464200" w:history="1">
            <w:r w:rsidR="00A962A0" w:rsidRPr="00925C59">
              <w:rPr>
                <w:rStyle w:val="Hyperlink"/>
                <w:noProof/>
                <w:lang w:val="es-ES_tradnl"/>
              </w:rPr>
              <w:t>5.2</w:t>
            </w:r>
            <w:r w:rsidR="00A962A0">
              <w:rPr>
                <w:rFonts w:asciiTheme="minorHAnsi" w:eastAsiaTheme="minorEastAsia" w:hAnsiTheme="minorHAnsi" w:cstheme="minorBidi"/>
                <w:noProof/>
                <w:lang w:eastAsia="es-UY"/>
              </w:rPr>
              <w:tab/>
            </w:r>
            <w:r w:rsidR="00A962A0" w:rsidRPr="00925C59">
              <w:rPr>
                <w:rStyle w:val="Hyperlink"/>
                <w:noProof/>
                <w:lang w:val="es-ES_tradnl"/>
              </w:rPr>
              <w:t>Anexo 2 - Endeudamiento de la Corporación Vial del Uruguay</w:t>
            </w:r>
            <w:r w:rsidR="00A962A0">
              <w:rPr>
                <w:noProof/>
                <w:webHidden/>
              </w:rPr>
              <w:tab/>
            </w:r>
            <w:r w:rsidR="00A962A0">
              <w:rPr>
                <w:noProof/>
                <w:webHidden/>
              </w:rPr>
              <w:fldChar w:fldCharType="begin"/>
            </w:r>
            <w:r w:rsidR="00A962A0">
              <w:rPr>
                <w:noProof/>
                <w:webHidden/>
              </w:rPr>
              <w:instrText xml:space="preserve"> PAGEREF _Toc428464200 \h </w:instrText>
            </w:r>
            <w:r w:rsidR="00A962A0">
              <w:rPr>
                <w:noProof/>
                <w:webHidden/>
              </w:rPr>
            </w:r>
            <w:r w:rsidR="00A962A0">
              <w:rPr>
                <w:noProof/>
                <w:webHidden/>
              </w:rPr>
              <w:fldChar w:fldCharType="separate"/>
            </w:r>
            <w:r w:rsidR="00A962A0">
              <w:rPr>
                <w:noProof/>
                <w:webHidden/>
              </w:rPr>
              <w:t>49</w:t>
            </w:r>
            <w:r w:rsidR="00A962A0">
              <w:rPr>
                <w:noProof/>
                <w:webHidden/>
              </w:rPr>
              <w:fldChar w:fldCharType="end"/>
            </w:r>
          </w:hyperlink>
        </w:p>
        <w:p w:rsidR="00A962A0" w:rsidRDefault="00143D43">
          <w:pPr>
            <w:pStyle w:val="TOC2"/>
            <w:tabs>
              <w:tab w:val="left" w:pos="880"/>
              <w:tab w:val="right" w:leader="dot" w:pos="8494"/>
            </w:tabs>
            <w:rPr>
              <w:rFonts w:asciiTheme="minorHAnsi" w:eastAsiaTheme="minorEastAsia" w:hAnsiTheme="minorHAnsi" w:cstheme="minorBidi"/>
              <w:noProof/>
              <w:lang w:eastAsia="es-UY"/>
            </w:rPr>
          </w:pPr>
          <w:hyperlink w:anchor="_Toc428464201" w:history="1">
            <w:r w:rsidR="00A962A0" w:rsidRPr="00925C59">
              <w:rPr>
                <w:rStyle w:val="Hyperlink"/>
                <w:noProof/>
                <w:lang w:val="es-ES_tradnl"/>
              </w:rPr>
              <w:t>5.3</w:t>
            </w:r>
            <w:r w:rsidR="00A962A0">
              <w:rPr>
                <w:rFonts w:asciiTheme="minorHAnsi" w:eastAsiaTheme="minorEastAsia" w:hAnsiTheme="minorHAnsi" w:cstheme="minorBidi"/>
                <w:noProof/>
                <w:lang w:eastAsia="es-UY"/>
              </w:rPr>
              <w:tab/>
            </w:r>
            <w:r w:rsidR="00A962A0" w:rsidRPr="00925C59">
              <w:rPr>
                <w:rStyle w:val="Hyperlink"/>
                <w:noProof/>
                <w:lang w:val="es-ES_tradnl"/>
              </w:rPr>
              <w:t>Anexo 3 – Endeudamiento de la Corporación Nacional para el Desarrollo en US$</w:t>
            </w:r>
            <w:r w:rsidR="00A962A0">
              <w:rPr>
                <w:noProof/>
                <w:webHidden/>
              </w:rPr>
              <w:tab/>
            </w:r>
            <w:r w:rsidR="00A962A0">
              <w:rPr>
                <w:noProof/>
                <w:webHidden/>
              </w:rPr>
              <w:fldChar w:fldCharType="begin"/>
            </w:r>
            <w:r w:rsidR="00A962A0">
              <w:rPr>
                <w:noProof/>
                <w:webHidden/>
              </w:rPr>
              <w:instrText xml:space="preserve"> PAGEREF _Toc428464201 \h </w:instrText>
            </w:r>
            <w:r w:rsidR="00A962A0">
              <w:rPr>
                <w:noProof/>
                <w:webHidden/>
              </w:rPr>
            </w:r>
            <w:r w:rsidR="00A962A0">
              <w:rPr>
                <w:noProof/>
                <w:webHidden/>
              </w:rPr>
              <w:fldChar w:fldCharType="separate"/>
            </w:r>
            <w:r w:rsidR="00A962A0">
              <w:rPr>
                <w:noProof/>
                <w:webHidden/>
              </w:rPr>
              <w:t>50</w:t>
            </w:r>
            <w:r w:rsidR="00A962A0">
              <w:rPr>
                <w:noProof/>
                <w:webHidden/>
              </w:rPr>
              <w:fldChar w:fldCharType="end"/>
            </w:r>
          </w:hyperlink>
        </w:p>
        <w:p w:rsidR="00A962A0" w:rsidRDefault="00143D43">
          <w:pPr>
            <w:pStyle w:val="TOC2"/>
            <w:tabs>
              <w:tab w:val="left" w:pos="880"/>
              <w:tab w:val="right" w:leader="dot" w:pos="8494"/>
            </w:tabs>
            <w:rPr>
              <w:rFonts w:asciiTheme="minorHAnsi" w:eastAsiaTheme="minorEastAsia" w:hAnsiTheme="minorHAnsi" w:cstheme="minorBidi"/>
              <w:noProof/>
              <w:lang w:eastAsia="es-UY"/>
            </w:rPr>
          </w:pPr>
          <w:hyperlink w:anchor="_Toc428464202" w:history="1">
            <w:r w:rsidR="00A962A0" w:rsidRPr="00925C59">
              <w:rPr>
                <w:rStyle w:val="Hyperlink"/>
                <w:noProof/>
                <w:lang w:val="es-ES_tradnl"/>
              </w:rPr>
              <w:t>5.4</w:t>
            </w:r>
            <w:r w:rsidR="00A962A0">
              <w:rPr>
                <w:rFonts w:asciiTheme="minorHAnsi" w:eastAsiaTheme="minorEastAsia" w:hAnsiTheme="minorHAnsi" w:cstheme="minorBidi"/>
                <w:noProof/>
                <w:lang w:eastAsia="es-UY"/>
              </w:rPr>
              <w:tab/>
            </w:r>
            <w:r w:rsidR="00A962A0" w:rsidRPr="00925C59">
              <w:rPr>
                <w:rStyle w:val="Hyperlink"/>
                <w:noProof/>
                <w:lang w:val="es-ES_tradnl"/>
              </w:rPr>
              <w:t>Anexo 4 – Proyecciones de obras según Consorcio Ingeniería del Sur</w:t>
            </w:r>
            <w:r w:rsidR="00A962A0">
              <w:rPr>
                <w:noProof/>
                <w:webHidden/>
              </w:rPr>
              <w:tab/>
            </w:r>
            <w:r w:rsidR="00A962A0">
              <w:rPr>
                <w:noProof/>
                <w:webHidden/>
              </w:rPr>
              <w:fldChar w:fldCharType="begin"/>
            </w:r>
            <w:r w:rsidR="00A962A0">
              <w:rPr>
                <w:noProof/>
                <w:webHidden/>
              </w:rPr>
              <w:instrText xml:space="preserve"> PAGEREF _Toc428464202 \h </w:instrText>
            </w:r>
            <w:r w:rsidR="00A962A0">
              <w:rPr>
                <w:noProof/>
                <w:webHidden/>
              </w:rPr>
            </w:r>
            <w:r w:rsidR="00A962A0">
              <w:rPr>
                <w:noProof/>
                <w:webHidden/>
              </w:rPr>
              <w:fldChar w:fldCharType="separate"/>
            </w:r>
            <w:r w:rsidR="00A962A0">
              <w:rPr>
                <w:noProof/>
                <w:webHidden/>
              </w:rPr>
              <w:t>51</w:t>
            </w:r>
            <w:r w:rsidR="00A962A0">
              <w:rPr>
                <w:noProof/>
                <w:webHidden/>
              </w:rPr>
              <w:fldChar w:fldCharType="end"/>
            </w:r>
          </w:hyperlink>
        </w:p>
        <w:p w:rsidR="00A962A0" w:rsidRDefault="00143D43">
          <w:pPr>
            <w:pStyle w:val="TOC2"/>
            <w:tabs>
              <w:tab w:val="left" w:pos="880"/>
              <w:tab w:val="right" w:leader="dot" w:pos="8494"/>
            </w:tabs>
            <w:rPr>
              <w:rFonts w:asciiTheme="minorHAnsi" w:eastAsiaTheme="minorEastAsia" w:hAnsiTheme="minorHAnsi" w:cstheme="minorBidi"/>
              <w:noProof/>
              <w:lang w:eastAsia="es-UY"/>
            </w:rPr>
          </w:pPr>
          <w:hyperlink w:anchor="_Toc428464203" w:history="1">
            <w:r w:rsidR="00A962A0" w:rsidRPr="00925C59">
              <w:rPr>
                <w:rStyle w:val="Hyperlink"/>
                <w:noProof/>
                <w:lang w:val="es-ES_tradnl"/>
              </w:rPr>
              <w:t>5.5</w:t>
            </w:r>
            <w:r w:rsidR="00A962A0">
              <w:rPr>
                <w:rFonts w:asciiTheme="minorHAnsi" w:eastAsiaTheme="minorEastAsia" w:hAnsiTheme="minorHAnsi" w:cstheme="minorBidi"/>
                <w:noProof/>
                <w:lang w:eastAsia="es-UY"/>
              </w:rPr>
              <w:tab/>
            </w:r>
            <w:r w:rsidR="00A962A0" w:rsidRPr="00925C59">
              <w:rPr>
                <w:rStyle w:val="Hyperlink"/>
                <w:noProof/>
                <w:lang w:val="es-ES_tradnl"/>
              </w:rPr>
              <w:t>Anexo 5 - Inversiones Viales en Millones de Dólares</w:t>
            </w:r>
            <w:r w:rsidR="00A962A0">
              <w:rPr>
                <w:noProof/>
                <w:webHidden/>
              </w:rPr>
              <w:tab/>
            </w:r>
            <w:r w:rsidR="00A962A0">
              <w:rPr>
                <w:noProof/>
                <w:webHidden/>
              </w:rPr>
              <w:fldChar w:fldCharType="begin"/>
            </w:r>
            <w:r w:rsidR="00A962A0">
              <w:rPr>
                <w:noProof/>
                <w:webHidden/>
              </w:rPr>
              <w:instrText xml:space="preserve"> PAGEREF _Toc428464203 \h </w:instrText>
            </w:r>
            <w:r w:rsidR="00A962A0">
              <w:rPr>
                <w:noProof/>
                <w:webHidden/>
              </w:rPr>
            </w:r>
            <w:r w:rsidR="00A962A0">
              <w:rPr>
                <w:noProof/>
                <w:webHidden/>
              </w:rPr>
              <w:fldChar w:fldCharType="separate"/>
            </w:r>
            <w:r w:rsidR="00A962A0">
              <w:rPr>
                <w:noProof/>
                <w:webHidden/>
              </w:rPr>
              <w:t>52</w:t>
            </w:r>
            <w:r w:rsidR="00A962A0">
              <w:rPr>
                <w:noProof/>
                <w:webHidden/>
              </w:rPr>
              <w:fldChar w:fldCharType="end"/>
            </w:r>
          </w:hyperlink>
        </w:p>
        <w:p w:rsidR="00A962A0" w:rsidRDefault="00143D43">
          <w:pPr>
            <w:pStyle w:val="TOC2"/>
            <w:tabs>
              <w:tab w:val="left" w:pos="880"/>
              <w:tab w:val="right" w:leader="dot" w:pos="8494"/>
            </w:tabs>
            <w:rPr>
              <w:rFonts w:asciiTheme="minorHAnsi" w:eastAsiaTheme="minorEastAsia" w:hAnsiTheme="minorHAnsi" w:cstheme="minorBidi"/>
              <w:noProof/>
              <w:lang w:eastAsia="es-UY"/>
            </w:rPr>
          </w:pPr>
          <w:hyperlink w:anchor="_Toc428464204" w:history="1">
            <w:r w:rsidR="00A962A0" w:rsidRPr="00925C59">
              <w:rPr>
                <w:rStyle w:val="Hyperlink"/>
                <w:noProof/>
                <w:lang w:val="es-ES_tradnl"/>
              </w:rPr>
              <w:t>5.6</w:t>
            </w:r>
            <w:r w:rsidR="00A962A0">
              <w:rPr>
                <w:rFonts w:asciiTheme="minorHAnsi" w:eastAsiaTheme="minorEastAsia" w:hAnsiTheme="minorHAnsi" w:cstheme="minorBidi"/>
                <w:noProof/>
                <w:lang w:eastAsia="es-UY"/>
              </w:rPr>
              <w:tab/>
            </w:r>
            <w:r w:rsidR="00A962A0" w:rsidRPr="00925C59">
              <w:rPr>
                <w:rStyle w:val="Hyperlink"/>
                <w:noProof/>
                <w:lang w:val="es-ES_tradnl"/>
              </w:rPr>
              <w:t>Anexo 6 – CVU – Flujo de Fondos Mensuales en Miles de Dólares</w:t>
            </w:r>
            <w:r w:rsidR="00A962A0">
              <w:rPr>
                <w:noProof/>
                <w:webHidden/>
              </w:rPr>
              <w:tab/>
            </w:r>
            <w:r w:rsidR="00A962A0">
              <w:rPr>
                <w:noProof/>
                <w:webHidden/>
              </w:rPr>
              <w:fldChar w:fldCharType="begin"/>
            </w:r>
            <w:r w:rsidR="00A962A0">
              <w:rPr>
                <w:noProof/>
                <w:webHidden/>
              </w:rPr>
              <w:instrText xml:space="preserve"> PAGEREF _Toc428464204 \h </w:instrText>
            </w:r>
            <w:r w:rsidR="00A962A0">
              <w:rPr>
                <w:noProof/>
                <w:webHidden/>
              </w:rPr>
            </w:r>
            <w:r w:rsidR="00A962A0">
              <w:rPr>
                <w:noProof/>
                <w:webHidden/>
              </w:rPr>
              <w:fldChar w:fldCharType="separate"/>
            </w:r>
            <w:r w:rsidR="00A962A0">
              <w:rPr>
                <w:noProof/>
                <w:webHidden/>
              </w:rPr>
              <w:t>53</w:t>
            </w:r>
            <w:r w:rsidR="00A962A0">
              <w:rPr>
                <w:noProof/>
                <w:webHidden/>
              </w:rPr>
              <w:fldChar w:fldCharType="end"/>
            </w:r>
          </w:hyperlink>
        </w:p>
        <w:p w:rsidR="00172730" w:rsidRDefault="00AA3B02">
          <w:pPr>
            <w:rPr>
              <w:lang w:val="es-ES"/>
            </w:rPr>
          </w:pPr>
          <w:r>
            <w:rPr>
              <w:lang w:val="es-ES"/>
            </w:rPr>
            <w:fldChar w:fldCharType="end"/>
          </w:r>
        </w:p>
      </w:sdtContent>
    </w:sdt>
    <w:p w:rsidR="00684369" w:rsidRPr="00684369" w:rsidRDefault="00684369" w:rsidP="002F7A8F">
      <w:pPr>
        <w:pStyle w:val="Heading1"/>
      </w:pPr>
      <w:r w:rsidRPr="00684369">
        <w:rPr>
          <w:rFonts w:cs="Arial"/>
        </w:rPr>
        <w:br w:type="page"/>
      </w:r>
      <w:bookmarkStart w:id="0" w:name="_Toc373334683"/>
      <w:bookmarkStart w:id="1" w:name="_Toc428464174"/>
      <w:r w:rsidRPr="00684369">
        <w:t>Introducción</w:t>
      </w:r>
      <w:bookmarkEnd w:id="0"/>
      <w:bookmarkEnd w:id="1"/>
    </w:p>
    <w:p w:rsidR="00684369" w:rsidRDefault="00684369" w:rsidP="00684369">
      <w:pPr>
        <w:spacing w:after="0" w:line="240" w:lineRule="auto"/>
        <w:rPr>
          <w:rFonts w:asciiTheme="minorHAnsi" w:hAnsiTheme="minorHAnsi"/>
        </w:rPr>
      </w:pPr>
      <w:bookmarkStart w:id="2" w:name="_Toc330670489"/>
      <w:bookmarkStart w:id="3" w:name="_Toc330719466"/>
      <w:bookmarkStart w:id="4" w:name="_Toc330740080"/>
    </w:p>
    <w:p w:rsidR="002D58B7" w:rsidRPr="00E913CA" w:rsidRDefault="00C32760" w:rsidP="002D58B7">
      <w:pPr>
        <w:jc w:val="both"/>
        <w:rPr>
          <w:rFonts w:asciiTheme="minorHAnsi" w:hAnsiTheme="minorHAnsi"/>
          <w:lang w:val="es-ES_tradnl"/>
        </w:rPr>
      </w:pPr>
      <w:r w:rsidRPr="00E913CA">
        <w:rPr>
          <w:rFonts w:asciiTheme="minorHAnsi" w:hAnsiTheme="minorHAnsi" w:cs="Times New Roman"/>
          <w:lang w:val="es-ES_tradnl"/>
        </w:rPr>
        <w:t>E</w:t>
      </w:r>
      <w:r w:rsidR="008A1911" w:rsidRPr="00E913CA">
        <w:rPr>
          <w:rFonts w:asciiTheme="minorHAnsi" w:hAnsiTheme="minorHAnsi" w:cs="Times New Roman"/>
          <w:lang w:val="es-ES_tradnl"/>
        </w:rPr>
        <w:t xml:space="preserve">l presente informe </w:t>
      </w:r>
      <w:r w:rsidR="00ED1035">
        <w:rPr>
          <w:rFonts w:asciiTheme="minorHAnsi" w:hAnsiTheme="minorHAnsi" w:cs="Times New Roman"/>
          <w:lang w:val="es-ES_tradnl"/>
        </w:rPr>
        <w:t xml:space="preserve">final </w:t>
      </w:r>
      <w:r w:rsidR="008A1911" w:rsidRPr="00E913CA">
        <w:rPr>
          <w:rFonts w:asciiTheme="minorHAnsi" w:hAnsiTheme="minorHAnsi" w:cs="Times New Roman"/>
          <w:lang w:val="es-ES_tradnl"/>
        </w:rPr>
        <w:t>corresponde a</w:t>
      </w:r>
      <w:r w:rsidR="00162EE4">
        <w:rPr>
          <w:rFonts w:asciiTheme="minorHAnsi" w:hAnsiTheme="minorHAnsi" w:cs="Times New Roman"/>
          <w:lang w:val="es-ES_tradnl"/>
        </w:rPr>
        <w:t xml:space="preserve"> </w:t>
      </w:r>
      <w:r w:rsidR="002D58B7" w:rsidRPr="00E913CA">
        <w:rPr>
          <w:rFonts w:asciiTheme="minorHAnsi" w:hAnsiTheme="minorHAnsi" w:cs="Times New Roman"/>
          <w:lang w:val="es-ES_tradnl"/>
        </w:rPr>
        <w:t xml:space="preserve">la consultoría </w:t>
      </w:r>
      <w:r w:rsidR="00ED1035">
        <w:rPr>
          <w:rFonts w:asciiTheme="minorHAnsi" w:hAnsiTheme="minorHAnsi" w:cs="Times New Roman"/>
          <w:lang w:val="es-ES_tradnl"/>
        </w:rPr>
        <w:t xml:space="preserve">para el Banco Interamericano de Desarrollo </w:t>
      </w:r>
      <w:r w:rsidR="002D58B7" w:rsidRPr="00E913CA">
        <w:rPr>
          <w:rFonts w:asciiTheme="minorHAnsi" w:hAnsiTheme="minorHAnsi" w:cs="Times New Roman"/>
          <w:lang w:val="es-ES_tradnl"/>
        </w:rPr>
        <w:t>que tiene como objet</w:t>
      </w:r>
      <w:r w:rsidR="00DF0C93">
        <w:rPr>
          <w:rFonts w:asciiTheme="minorHAnsi" w:hAnsiTheme="minorHAnsi" w:cs="Times New Roman"/>
          <w:lang w:val="es-ES_tradnl"/>
        </w:rPr>
        <w:t>ivos</w:t>
      </w:r>
      <w:r w:rsidR="002D58B7" w:rsidRPr="00E913CA">
        <w:rPr>
          <w:rFonts w:asciiTheme="minorHAnsi" w:hAnsiTheme="minorHAnsi" w:cs="Times New Roman"/>
          <w:lang w:val="es-ES_tradnl"/>
        </w:rPr>
        <w:t xml:space="preserve">, en primer lugar, realizar </w:t>
      </w:r>
      <w:r w:rsidR="002D58B7" w:rsidRPr="00E913CA">
        <w:rPr>
          <w:rFonts w:asciiTheme="minorHAnsi" w:hAnsiTheme="minorHAnsi"/>
          <w:lang w:val="es-ES_tradnl"/>
        </w:rPr>
        <w:t xml:space="preserve">el análisis financiero del prestatario (Corporación Nacional de Desarrollo - CND) y ejecutor (Corporación Vial del Uruguay – CVU)  </w:t>
      </w:r>
      <w:r w:rsidR="002D58B7" w:rsidRPr="00E913CA">
        <w:rPr>
          <w:rFonts w:asciiTheme="minorHAnsi" w:hAnsiTheme="minorHAnsi" w:cs="Times New Roman"/>
          <w:lang w:val="es-ES_tradnl"/>
        </w:rPr>
        <w:t>del programa de la Corporación Vial II (UR-L1</w:t>
      </w:r>
      <w:r w:rsidR="00E913CA" w:rsidRPr="00E913CA">
        <w:rPr>
          <w:rFonts w:asciiTheme="minorHAnsi" w:hAnsiTheme="minorHAnsi" w:cs="Times New Roman"/>
          <w:lang w:val="es-ES_tradnl"/>
        </w:rPr>
        <w:t>107</w:t>
      </w:r>
      <w:r w:rsidR="002D58B7" w:rsidRPr="00E913CA">
        <w:rPr>
          <w:rFonts w:asciiTheme="minorHAnsi" w:hAnsiTheme="minorHAnsi" w:cs="Times New Roman"/>
          <w:lang w:val="es-ES_tradnl"/>
        </w:rPr>
        <w:t xml:space="preserve">), que están elaborando el Gobierno y el Banco Interamericano de Desarrollo, y en segundo lugar </w:t>
      </w:r>
      <w:r w:rsidR="002D58B7" w:rsidRPr="00E913CA">
        <w:rPr>
          <w:rFonts w:asciiTheme="minorHAnsi" w:hAnsiTheme="minorHAnsi"/>
          <w:lang w:val="es-ES_tradnl"/>
        </w:rPr>
        <w:t>analizar el riesgo que sobre las cuentas públicas puede tener el volumen de compromisos que se prevén tanto a través de CVU como de Proyectos de Participación Pública Privada (</w:t>
      </w:r>
      <w:proofErr w:type="spellStart"/>
      <w:r w:rsidR="00ED1035">
        <w:rPr>
          <w:rFonts w:asciiTheme="minorHAnsi" w:hAnsiTheme="minorHAnsi"/>
          <w:lang w:val="es-ES_tradnl"/>
        </w:rPr>
        <w:t>P</w:t>
      </w:r>
      <w:r w:rsidR="002D58B7" w:rsidRPr="00E913CA">
        <w:rPr>
          <w:rFonts w:asciiTheme="minorHAnsi" w:hAnsiTheme="minorHAnsi"/>
          <w:lang w:val="es-ES_tradnl"/>
        </w:rPr>
        <w:t>PPs</w:t>
      </w:r>
      <w:proofErr w:type="spellEnd"/>
      <w:r w:rsidR="002D58B7" w:rsidRPr="00E913CA">
        <w:rPr>
          <w:rFonts w:asciiTheme="minorHAnsi" w:hAnsiTheme="minorHAnsi"/>
          <w:lang w:val="es-ES_tradnl"/>
        </w:rPr>
        <w:t>).</w:t>
      </w:r>
    </w:p>
    <w:p w:rsidR="00C32760" w:rsidRPr="00E913CA" w:rsidRDefault="00C32760" w:rsidP="00C32760">
      <w:pPr>
        <w:jc w:val="both"/>
        <w:rPr>
          <w:rFonts w:asciiTheme="minorHAnsi" w:hAnsiTheme="minorHAnsi" w:cs="Times New Roman"/>
          <w:lang w:val="es-ES_tradnl"/>
        </w:rPr>
      </w:pPr>
      <w:r w:rsidRPr="00E913CA">
        <w:rPr>
          <w:rFonts w:asciiTheme="minorHAnsi" w:hAnsiTheme="minorHAnsi" w:cs="Times New Roman"/>
          <w:lang w:val="es-ES_tradnl"/>
        </w:rPr>
        <w:t>El objetivo general de</w:t>
      </w:r>
      <w:r w:rsidR="00DF0C93">
        <w:rPr>
          <w:rFonts w:asciiTheme="minorHAnsi" w:hAnsiTheme="minorHAnsi" w:cs="Times New Roman"/>
          <w:lang w:val="es-ES_tradnl"/>
        </w:rPr>
        <w:t xml:space="preserve"> este</w:t>
      </w:r>
      <w:r w:rsidRPr="00E913CA">
        <w:rPr>
          <w:rFonts w:asciiTheme="minorHAnsi" w:hAnsiTheme="minorHAnsi" w:cs="Times New Roman"/>
          <w:lang w:val="es-ES_tradnl"/>
        </w:rPr>
        <w:t xml:space="preserve"> programa </w:t>
      </w:r>
      <w:r w:rsidR="001563BE">
        <w:rPr>
          <w:rFonts w:asciiTheme="minorHAnsi" w:hAnsiTheme="minorHAnsi" w:cs="Times New Roman"/>
          <w:lang w:val="es-ES_tradnl"/>
        </w:rPr>
        <w:t xml:space="preserve">del Banco </w:t>
      </w:r>
      <w:r w:rsidRPr="00E913CA">
        <w:rPr>
          <w:rFonts w:asciiTheme="minorHAnsi" w:hAnsiTheme="minorHAnsi" w:cs="Times New Roman"/>
          <w:lang w:val="es-ES_tradnl"/>
        </w:rPr>
        <w:t xml:space="preserve">es continuar mejorando la calidad y seguridad en la circulación de </w:t>
      </w:r>
      <w:r w:rsidR="008A1911" w:rsidRPr="00E913CA">
        <w:rPr>
          <w:rFonts w:asciiTheme="minorHAnsi" w:hAnsiTheme="minorHAnsi" w:cs="Times New Roman"/>
          <w:lang w:val="es-ES_tradnl"/>
        </w:rPr>
        <w:t xml:space="preserve">la </w:t>
      </w:r>
      <w:r w:rsidRPr="00E913CA">
        <w:rPr>
          <w:rFonts w:asciiTheme="minorHAnsi" w:hAnsiTheme="minorHAnsi" w:cs="Times New Roman"/>
          <w:lang w:val="es-ES_tradnl"/>
        </w:rPr>
        <w:t>R</w:t>
      </w:r>
      <w:r w:rsidR="008A1911" w:rsidRPr="00E913CA">
        <w:rPr>
          <w:rFonts w:asciiTheme="minorHAnsi" w:hAnsiTheme="minorHAnsi" w:cs="Times New Roman"/>
          <w:lang w:val="es-ES_tradnl"/>
        </w:rPr>
        <w:t xml:space="preserve">ed </w:t>
      </w:r>
      <w:r w:rsidRPr="00E913CA">
        <w:rPr>
          <w:rFonts w:asciiTheme="minorHAnsi" w:hAnsiTheme="minorHAnsi" w:cs="Times New Roman"/>
          <w:lang w:val="es-ES_tradnl"/>
        </w:rPr>
        <w:t>V</w:t>
      </w:r>
      <w:r w:rsidR="008A1911" w:rsidRPr="00E913CA">
        <w:rPr>
          <w:rFonts w:asciiTheme="minorHAnsi" w:hAnsiTheme="minorHAnsi" w:cs="Times New Roman"/>
          <w:lang w:val="es-ES_tradnl"/>
        </w:rPr>
        <w:t xml:space="preserve">ial </w:t>
      </w:r>
      <w:r w:rsidRPr="00E913CA">
        <w:rPr>
          <w:rFonts w:asciiTheme="minorHAnsi" w:hAnsiTheme="minorHAnsi" w:cs="Times New Roman"/>
          <w:lang w:val="es-ES_tradnl"/>
        </w:rPr>
        <w:t>P</w:t>
      </w:r>
      <w:r w:rsidR="008A1911" w:rsidRPr="00E913CA">
        <w:rPr>
          <w:rFonts w:asciiTheme="minorHAnsi" w:hAnsiTheme="minorHAnsi" w:cs="Times New Roman"/>
          <w:lang w:val="es-ES_tradnl"/>
        </w:rPr>
        <w:t xml:space="preserve">ública (RVP), mientras que los </w:t>
      </w:r>
      <w:r w:rsidR="002D58B7" w:rsidRPr="00E913CA">
        <w:rPr>
          <w:rFonts w:asciiTheme="minorHAnsi" w:hAnsiTheme="minorHAnsi" w:cs="Times New Roman"/>
          <w:lang w:val="es-ES_tradnl"/>
        </w:rPr>
        <w:t xml:space="preserve">objetivos </w:t>
      </w:r>
      <w:r w:rsidRPr="00E913CA">
        <w:rPr>
          <w:rFonts w:asciiTheme="minorHAnsi" w:hAnsiTheme="minorHAnsi" w:cs="Times New Roman"/>
          <w:lang w:val="es-ES_tradnl"/>
        </w:rPr>
        <w:t>específicos s</w:t>
      </w:r>
      <w:r w:rsidR="008A1911" w:rsidRPr="00E913CA">
        <w:rPr>
          <w:rFonts w:asciiTheme="minorHAnsi" w:hAnsiTheme="minorHAnsi" w:cs="Times New Roman"/>
          <w:lang w:val="es-ES_tradnl"/>
        </w:rPr>
        <w:t xml:space="preserve">e centran en </w:t>
      </w:r>
      <w:r w:rsidRPr="00E913CA">
        <w:rPr>
          <w:rFonts w:asciiTheme="minorHAnsi" w:hAnsiTheme="minorHAnsi" w:cs="Times New Roman"/>
          <w:lang w:val="es-ES_tradnl"/>
        </w:rPr>
        <w:t>disminuir los costos de operación vehicular</w:t>
      </w:r>
      <w:r w:rsidR="008A1911" w:rsidRPr="00E913CA">
        <w:rPr>
          <w:rFonts w:asciiTheme="minorHAnsi" w:hAnsiTheme="minorHAnsi" w:cs="Times New Roman"/>
          <w:lang w:val="es-ES_tradnl"/>
        </w:rPr>
        <w:t xml:space="preserve">, </w:t>
      </w:r>
      <w:r w:rsidRPr="00E913CA">
        <w:rPr>
          <w:rFonts w:asciiTheme="minorHAnsi" w:hAnsiTheme="minorHAnsi" w:cs="Times New Roman"/>
          <w:lang w:val="es-ES_tradnl"/>
        </w:rPr>
        <w:t>la accidentalidad y conservar el patrimonio vial</w:t>
      </w:r>
      <w:r w:rsidR="008A1911" w:rsidRPr="00E913CA">
        <w:rPr>
          <w:rFonts w:asciiTheme="minorHAnsi" w:hAnsiTheme="minorHAnsi" w:cs="Times New Roman"/>
          <w:lang w:val="es-ES_tradnl"/>
        </w:rPr>
        <w:t xml:space="preserve">, a partir de </w:t>
      </w:r>
      <w:r w:rsidRPr="00E913CA">
        <w:rPr>
          <w:rFonts w:asciiTheme="minorHAnsi" w:hAnsiTheme="minorHAnsi" w:cs="Times New Roman"/>
          <w:lang w:val="es-ES_tradnl"/>
        </w:rPr>
        <w:t>apoy</w:t>
      </w:r>
      <w:r w:rsidR="008A1911" w:rsidRPr="00E913CA">
        <w:rPr>
          <w:rFonts w:asciiTheme="minorHAnsi" w:hAnsiTheme="minorHAnsi" w:cs="Times New Roman"/>
          <w:lang w:val="es-ES_tradnl"/>
        </w:rPr>
        <w:t>ar</w:t>
      </w:r>
      <w:r w:rsidRPr="00E913CA">
        <w:rPr>
          <w:rFonts w:asciiTheme="minorHAnsi" w:hAnsiTheme="minorHAnsi" w:cs="Times New Roman"/>
          <w:lang w:val="es-ES_tradnl"/>
        </w:rPr>
        <w:t xml:space="preserve"> </w:t>
      </w:r>
      <w:r w:rsidR="008A1911" w:rsidRPr="00E913CA">
        <w:rPr>
          <w:rFonts w:asciiTheme="minorHAnsi" w:hAnsiTheme="minorHAnsi" w:cs="Times New Roman"/>
          <w:lang w:val="es-ES_tradnl"/>
        </w:rPr>
        <w:t>e</w:t>
      </w:r>
      <w:r w:rsidRPr="00E913CA">
        <w:rPr>
          <w:rFonts w:asciiTheme="minorHAnsi" w:hAnsiTheme="minorHAnsi" w:cs="Times New Roman"/>
          <w:lang w:val="es-ES_tradnl"/>
        </w:rPr>
        <w:t>l financiamiento de la rehabilitación y conservación por niveles de servicio de corredores principales bajo responsabilidad de la CVU</w:t>
      </w:r>
      <w:r w:rsidR="008A1911" w:rsidRPr="00E913CA">
        <w:rPr>
          <w:rFonts w:asciiTheme="minorHAnsi" w:hAnsiTheme="minorHAnsi" w:cs="Times New Roman"/>
          <w:lang w:val="es-ES_tradnl"/>
        </w:rPr>
        <w:t xml:space="preserve">, </w:t>
      </w:r>
      <w:r w:rsidRPr="00E913CA">
        <w:rPr>
          <w:rFonts w:asciiTheme="minorHAnsi" w:hAnsiTheme="minorHAnsi" w:cs="Times New Roman"/>
          <w:lang w:val="es-ES_tradnl"/>
        </w:rPr>
        <w:t>consideración de aspectos de seguridad vial en los diseños de ingeniería y mejora y estandarización de las condiciones generales de seguridad vial en los corredores intervenidos</w:t>
      </w:r>
      <w:r w:rsidR="008A1911" w:rsidRPr="00E913CA">
        <w:rPr>
          <w:rFonts w:asciiTheme="minorHAnsi" w:hAnsiTheme="minorHAnsi" w:cs="Times New Roman"/>
          <w:lang w:val="es-ES_tradnl"/>
        </w:rPr>
        <w:t>,</w:t>
      </w:r>
      <w:r w:rsidRPr="00E913CA">
        <w:rPr>
          <w:rFonts w:asciiTheme="minorHAnsi" w:hAnsiTheme="minorHAnsi" w:cs="Times New Roman"/>
          <w:lang w:val="es-ES_tradnl"/>
        </w:rPr>
        <w:t xml:space="preserve"> y apoyo técnico y financiero al diseño, evaluación y estructuración de proyectos v</w:t>
      </w:r>
      <w:r w:rsidRPr="00E913CA">
        <w:rPr>
          <w:rFonts w:asciiTheme="minorHAnsi" w:hAnsiTheme="minorHAnsi" w:cs="Times New Roman"/>
          <w:i/>
          <w:lang w:val="es-ES_tradnl"/>
        </w:rPr>
        <w:t>i</w:t>
      </w:r>
      <w:r w:rsidRPr="00E913CA">
        <w:rPr>
          <w:rFonts w:asciiTheme="minorHAnsi" w:hAnsiTheme="minorHAnsi" w:cs="Times New Roman"/>
          <w:lang w:val="es-ES_tradnl"/>
        </w:rPr>
        <w:t xml:space="preserve">ales a ser contratados como </w:t>
      </w:r>
      <w:r w:rsidR="008A1911" w:rsidRPr="00E913CA">
        <w:rPr>
          <w:rFonts w:asciiTheme="minorHAnsi" w:hAnsiTheme="minorHAnsi" w:cs="Times New Roman"/>
          <w:lang w:val="es-ES_tradnl"/>
        </w:rPr>
        <w:t>de Participación Público Privada (</w:t>
      </w:r>
      <w:r w:rsidR="00DF0C93">
        <w:rPr>
          <w:rFonts w:asciiTheme="minorHAnsi" w:hAnsiTheme="minorHAnsi" w:cs="Times New Roman"/>
          <w:lang w:val="es-ES_tradnl"/>
        </w:rPr>
        <w:t>P</w:t>
      </w:r>
      <w:r w:rsidR="008A1911" w:rsidRPr="00E913CA">
        <w:rPr>
          <w:rFonts w:asciiTheme="minorHAnsi" w:hAnsiTheme="minorHAnsi" w:cs="Times New Roman"/>
          <w:lang w:val="es-ES_tradnl"/>
        </w:rPr>
        <w:t>PP)</w:t>
      </w:r>
      <w:r w:rsidRPr="00E913CA">
        <w:rPr>
          <w:rFonts w:asciiTheme="minorHAnsi" w:hAnsiTheme="minorHAnsi" w:cs="Times New Roman"/>
          <w:lang w:val="es-ES_tradnl"/>
        </w:rPr>
        <w:t>.</w:t>
      </w:r>
    </w:p>
    <w:p w:rsidR="00E913CA" w:rsidRPr="00E913CA" w:rsidRDefault="008A1911" w:rsidP="008A1911">
      <w:pPr>
        <w:jc w:val="both"/>
        <w:rPr>
          <w:rFonts w:asciiTheme="minorHAnsi" w:hAnsiTheme="minorHAnsi" w:cs="Times New Roman"/>
          <w:lang w:val="es-ES_tradnl"/>
        </w:rPr>
      </w:pPr>
      <w:r w:rsidRPr="00E913CA">
        <w:rPr>
          <w:rFonts w:asciiTheme="minorHAnsi" w:hAnsiTheme="minorHAnsi" w:cs="Times New Roman"/>
          <w:lang w:val="es-ES_tradnl"/>
        </w:rPr>
        <w:t>Este programa contiene tres componentes basados en la r</w:t>
      </w:r>
      <w:r w:rsidR="00C32760" w:rsidRPr="00E913CA">
        <w:rPr>
          <w:rFonts w:asciiTheme="minorHAnsi" w:hAnsiTheme="minorHAnsi" w:cs="Times New Roman"/>
          <w:lang w:val="es-ES_tradnl"/>
        </w:rPr>
        <w:t>ehabilitación y conservación de la RVP</w:t>
      </w:r>
      <w:r w:rsidRPr="00E913CA">
        <w:rPr>
          <w:rFonts w:asciiTheme="minorHAnsi" w:hAnsiTheme="minorHAnsi" w:cs="Times New Roman"/>
          <w:lang w:val="es-ES_tradnl"/>
        </w:rPr>
        <w:t>, la s</w:t>
      </w:r>
      <w:r w:rsidR="00C32760" w:rsidRPr="00E913CA">
        <w:rPr>
          <w:rFonts w:asciiTheme="minorHAnsi" w:hAnsiTheme="minorHAnsi" w:cs="Times New Roman"/>
          <w:lang w:val="es-ES_tradnl"/>
        </w:rPr>
        <w:t xml:space="preserve">eguridad </w:t>
      </w:r>
      <w:r w:rsidRPr="00E913CA">
        <w:rPr>
          <w:rFonts w:asciiTheme="minorHAnsi" w:hAnsiTheme="minorHAnsi" w:cs="Times New Roman"/>
          <w:lang w:val="es-ES_tradnl"/>
        </w:rPr>
        <w:t>v</w:t>
      </w:r>
      <w:r w:rsidR="00C32760" w:rsidRPr="00E913CA">
        <w:rPr>
          <w:rFonts w:asciiTheme="minorHAnsi" w:hAnsiTheme="minorHAnsi" w:cs="Times New Roman"/>
          <w:lang w:val="es-ES_tradnl"/>
        </w:rPr>
        <w:t>ial</w:t>
      </w:r>
      <w:r w:rsidRPr="00E913CA">
        <w:rPr>
          <w:rFonts w:asciiTheme="minorHAnsi" w:hAnsiTheme="minorHAnsi" w:cs="Times New Roman"/>
          <w:lang w:val="es-ES_tradnl"/>
        </w:rPr>
        <w:t xml:space="preserve"> y el a</w:t>
      </w:r>
      <w:r w:rsidR="00C32760" w:rsidRPr="00E913CA">
        <w:rPr>
          <w:rFonts w:asciiTheme="minorHAnsi" w:hAnsiTheme="minorHAnsi" w:cs="Times New Roman"/>
          <w:lang w:val="es-ES_tradnl"/>
        </w:rPr>
        <w:t xml:space="preserve">poyo al proceso de diseño e implementación de </w:t>
      </w:r>
      <w:r w:rsidR="00DF0C93">
        <w:rPr>
          <w:rFonts w:asciiTheme="minorHAnsi" w:hAnsiTheme="minorHAnsi" w:cs="Times New Roman"/>
          <w:lang w:val="es-ES_tradnl"/>
        </w:rPr>
        <w:t>P</w:t>
      </w:r>
      <w:r w:rsidRPr="00E913CA">
        <w:rPr>
          <w:rFonts w:asciiTheme="minorHAnsi" w:hAnsiTheme="minorHAnsi" w:cs="Times New Roman"/>
          <w:lang w:val="es-ES_tradnl"/>
        </w:rPr>
        <w:t>P</w:t>
      </w:r>
      <w:r w:rsidR="00C32760" w:rsidRPr="00E913CA">
        <w:rPr>
          <w:rFonts w:asciiTheme="minorHAnsi" w:hAnsiTheme="minorHAnsi" w:cs="Times New Roman"/>
          <w:lang w:val="es-ES_tradnl"/>
        </w:rPr>
        <w:t xml:space="preserve">P en el sector vial y revisión contractual de CVU. </w:t>
      </w:r>
    </w:p>
    <w:p w:rsidR="00E913CA" w:rsidRPr="00E913CA" w:rsidRDefault="00E913CA" w:rsidP="00E913CA">
      <w:pPr>
        <w:jc w:val="both"/>
        <w:rPr>
          <w:rFonts w:asciiTheme="minorHAnsi" w:hAnsiTheme="minorHAnsi" w:cs="Times New Roman"/>
          <w:lang w:val="es-ES_tradnl"/>
        </w:rPr>
      </w:pPr>
      <w:r w:rsidRPr="00E913CA">
        <w:rPr>
          <w:rFonts w:asciiTheme="minorHAnsi" w:hAnsiTheme="minorHAnsi" w:cs="Times New Roman"/>
          <w:lang w:val="es-ES_tradnl"/>
        </w:rPr>
        <w:t>Por tanto, en este marco se han realizado las siguientes actividades, que constituían parte de los Términos de Referencia de esta consultoría, a saber:</w:t>
      </w:r>
    </w:p>
    <w:p w:rsidR="00C32760" w:rsidRPr="00E913CA" w:rsidRDefault="00C32760" w:rsidP="00C32760">
      <w:pPr>
        <w:pStyle w:val="ListParagraph"/>
        <w:numPr>
          <w:ilvl w:val="0"/>
          <w:numId w:val="2"/>
        </w:numPr>
        <w:rPr>
          <w:lang w:val="es-ES_tradnl"/>
        </w:rPr>
      </w:pPr>
      <w:r w:rsidRPr="00E913CA">
        <w:rPr>
          <w:lang w:val="es-ES_tradnl"/>
        </w:rPr>
        <w:t>Revisión de los estados contables de CVU</w:t>
      </w:r>
    </w:p>
    <w:p w:rsidR="00E913CA" w:rsidRPr="00E913CA" w:rsidRDefault="00C32760" w:rsidP="00C32760">
      <w:pPr>
        <w:pStyle w:val="ListParagraph"/>
        <w:numPr>
          <w:ilvl w:val="0"/>
          <w:numId w:val="2"/>
        </w:numPr>
        <w:rPr>
          <w:lang w:val="es-ES_tradnl"/>
        </w:rPr>
      </w:pPr>
      <w:r w:rsidRPr="00E913CA">
        <w:rPr>
          <w:lang w:val="es-ES_tradnl"/>
        </w:rPr>
        <w:t xml:space="preserve">Reunión con Auditores de CVU para analizar procedimientos </w:t>
      </w:r>
    </w:p>
    <w:p w:rsidR="00C32760" w:rsidRPr="00E913CA" w:rsidRDefault="00C32760" w:rsidP="00C32760">
      <w:pPr>
        <w:pStyle w:val="ListParagraph"/>
        <w:numPr>
          <w:ilvl w:val="0"/>
          <w:numId w:val="2"/>
        </w:numPr>
        <w:rPr>
          <w:lang w:val="es-ES_tradnl"/>
        </w:rPr>
      </w:pPr>
      <w:r w:rsidRPr="00E913CA">
        <w:rPr>
          <w:lang w:val="es-ES_tradnl"/>
        </w:rPr>
        <w:t>Revisión del contrato de concesión y de los planes de modificación contractual</w:t>
      </w:r>
    </w:p>
    <w:p w:rsidR="00C32760" w:rsidRPr="00E913CA" w:rsidRDefault="00C32760" w:rsidP="00C32760">
      <w:pPr>
        <w:pStyle w:val="ListParagraph"/>
        <w:numPr>
          <w:ilvl w:val="0"/>
          <w:numId w:val="2"/>
        </w:numPr>
        <w:rPr>
          <w:lang w:val="es-ES_tradnl"/>
        </w:rPr>
      </w:pPr>
      <w:r w:rsidRPr="00E913CA">
        <w:rPr>
          <w:lang w:val="es-ES_tradnl"/>
        </w:rPr>
        <w:t>Revisión del Flujo de Fondos de CVU</w:t>
      </w:r>
    </w:p>
    <w:p w:rsidR="00E913CA" w:rsidRPr="00E913CA" w:rsidRDefault="00C32760" w:rsidP="00C32760">
      <w:pPr>
        <w:pStyle w:val="ListParagraph"/>
        <w:numPr>
          <w:ilvl w:val="0"/>
          <w:numId w:val="2"/>
        </w:numPr>
        <w:rPr>
          <w:lang w:val="es-ES_tradnl"/>
        </w:rPr>
      </w:pPr>
      <w:r w:rsidRPr="00E913CA">
        <w:rPr>
          <w:lang w:val="es-ES_tradnl"/>
        </w:rPr>
        <w:t>Revisión de los procedimientos de contabilización pública de gastos y deudas de CVU, y de los proyectos de CVU</w:t>
      </w:r>
    </w:p>
    <w:p w:rsidR="00C32760" w:rsidRPr="00E913CA" w:rsidRDefault="00C32760" w:rsidP="00C32760">
      <w:pPr>
        <w:pStyle w:val="ListParagraph"/>
        <w:numPr>
          <w:ilvl w:val="0"/>
          <w:numId w:val="2"/>
        </w:numPr>
        <w:rPr>
          <w:lang w:val="es-ES_tradnl"/>
        </w:rPr>
      </w:pPr>
      <w:r w:rsidRPr="00E913CA">
        <w:rPr>
          <w:lang w:val="es-ES_tradnl"/>
        </w:rPr>
        <w:t>Reunión con Unidad de Deuda y con Unidad de PPP del MEF para verificar hallazgos en el punto anterior</w:t>
      </w:r>
    </w:p>
    <w:p w:rsidR="00346029" w:rsidRPr="00346029" w:rsidRDefault="00C32760" w:rsidP="00346029">
      <w:pPr>
        <w:pStyle w:val="ListParagraph"/>
        <w:numPr>
          <w:ilvl w:val="0"/>
          <w:numId w:val="2"/>
        </w:numPr>
        <w:jc w:val="both"/>
        <w:rPr>
          <w:rFonts w:cs="Times New Roman"/>
          <w:lang w:val="es-ES_tradnl"/>
        </w:rPr>
      </w:pPr>
      <w:r w:rsidRPr="00346029">
        <w:rPr>
          <w:lang w:val="es-ES_tradnl"/>
        </w:rPr>
        <w:t>Construcción de flujos financieros asociados a los planes de inversión vial previstos</w:t>
      </w:r>
    </w:p>
    <w:p w:rsidR="00E913CA" w:rsidRPr="00346029" w:rsidRDefault="00C32760" w:rsidP="00346029">
      <w:pPr>
        <w:pStyle w:val="ListParagraph"/>
        <w:numPr>
          <w:ilvl w:val="0"/>
          <w:numId w:val="2"/>
        </w:numPr>
        <w:jc w:val="both"/>
        <w:rPr>
          <w:rFonts w:cs="Times New Roman"/>
          <w:lang w:val="es-ES_tradnl"/>
        </w:rPr>
      </w:pPr>
      <w:r w:rsidRPr="00346029">
        <w:rPr>
          <w:lang w:val="es-ES_tradnl"/>
        </w:rPr>
        <w:t xml:space="preserve">Revisión de metodologías de análisis de riesgo fiscal y estimación del mismo </w:t>
      </w:r>
      <w:r w:rsidR="00E913CA" w:rsidRPr="00346029">
        <w:rPr>
          <w:lang w:val="es-ES_tradnl"/>
        </w:rPr>
        <w:t xml:space="preserve">para </w:t>
      </w:r>
      <w:r w:rsidR="00E913CA" w:rsidRPr="00346029">
        <w:rPr>
          <w:rFonts w:cs="Times New Roman"/>
          <w:lang w:val="es-ES_tradnl"/>
        </w:rPr>
        <w:t>los compromisos de CVU y PPP previstos.</w:t>
      </w:r>
    </w:p>
    <w:p w:rsidR="002D6AC2" w:rsidRDefault="00E913CA" w:rsidP="00DF0C93">
      <w:pPr>
        <w:jc w:val="both"/>
        <w:rPr>
          <w:rFonts w:asciiTheme="minorHAnsi" w:hAnsiTheme="minorHAnsi" w:cs="Times New Roman"/>
          <w:lang w:val="es-ES_tradnl"/>
        </w:rPr>
      </w:pPr>
      <w:r w:rsidRPr="00346029">
        <w:rPr>
          <w:rFonts w:asciiTheme="minorHAnsi" w:hAnsiTheme="minorHAnsi" w:cs="Times New Roman"/>
          <w:lang w:val="es-ES_tradnl"/>
        </w:rPr>
        <w:t>A partir de la realización de las actividades mencionadas</w:t>
      </w:r>
      <w:r w:rsidR="009D36DC" w:rsidRPr="00346029">
        <w:rPr>
          <w:rFonts w:asciiTheme="minorHAnsi" w:hAnsiTheme="minorHAnsi" w:cs="Times New Roman"/>
          <w:lang w:val="es-ES_tradnl"/>
        </w:rPr>
        <w:t xml:space="preserve"> y de acuerdo a los </w:t>
      </w:r>
      <w:proofErr w:type="spellStart"/>
      <w:r w:rsidR="009D36DC" w:rsidRPr="00346029">
        <w:rPr>
          <w:rFonts w:asciiTheme="minorHAnsi" w:hAnsiTheme="minorHAnsi" w:cs="Times New Roman"/>
          <w:lang w:val="es-ES_tradnl"/>
        </w:rPr>
        <w:t>TdR</w:t>
      </w:r>
      <w:proofErr w:type="spellEnd"/>
      <w:r w:rsidRPr="00346029">
        <w:rPr>
          <w:rFonts w:asciiTheme="minorHAnsi" w:hAnsiTheme="minorHAnsi" w:cs="Times New Roman"/>
          <w:lang w:val="es-ES_tradnl"/>
        </w:rPr>
        <w:t>, esta</w:t>
      </w:r>
      <w:r w:rsidR="009D36DC" w:rsidRPr="00346029">
        <w:rPr>
          <w:rFonts w:asciiTheme="minorHAnsi" w:hAnsiTheme="minorHAnsi" w:cs="Times New Roman"/>
          <w:lang w:val="es-ES_tradnl"/>
        </w:rPr>
        <w:t xml:space="preserve"> </w:t>
      </w:r>
      <w:r w:rsidRPr="00346029">
        <w:rPr>
          <w:rFonts w:asciiTheme="minorHAnsi" w:hAnsiTheme="minorHAnsi" w:cs="Times New Roman"/>
          <w:lang w:val="es-ES_tradnl"/>
        </w:rPr>
        <w:t>consultor</w:t>
      </w:r>
      <w:r w:rsidR="009D36DC" w:rsidRPr="00346029">
        <w:rPr>
          <w:rFonts w:asciiTheme="minorHAnsi" w:hAnsiTheme="minorHAnsi" w:cs="Times New Roman"/>
          <w:lang w:val="es-ES_tradnl"/>
        </w:rPr>
        <w:t>ía</w:t>
      </w:r>
      <w:r w:rsidRPr="00346029">
        <w:rPr>
          <w:rFonts w:asciiTheme="minorHAnsi" w:hAnsiTheme="minorHAnsi" w:cs="Times New Roman"/>
          <w:lang w:val="es-ES_tradnl"/>
        </w:rPr>
        <w:t xml:space="preserve"> elaboró </w:t>
      </w:r>
      <w:r w:rsidR="00DF0C93">
        <w:rPr>
          <w:rFonts w:asciiTheme="minorHAnsi" w:hAnsiTheme="minorHAnsi" w:cs="Times New Roman"/>
          <w:lang w:val="es-ES_tradnl"/>
        </w:rPr>
        <w:t>el presente informe que se compone de los siguientes temas.</w:t>
      </w:r>
    </w:p>
    <w:p w:rsidR="00DF0C93" w:rsidRDefault="00DF0C93" w:rsidP="00DF0C93">
      <w:pPr>
        <w:jc w:val="both"/>
        <w:rPr>
          <w:rFonts w:asciiTheme="minorHAnsi" w:hAnsiTheme="minorHAnsi" w:cs="Times New Roman"/>
          <w:lang w:val="es-ES_tradnl"/>
        </w:rPr>
      </w:pPr>
      <w:r>
        <w:rPr>
          <w:rFonts w:asciiTheme="minorHAnsi" w:hAnsiTheme="minorHAnsi" w:cs="Times New Roman"/>
          <w:lang w:val="es-ES_tradnl"/>
        </w:rPr>
        <w:t>En primer lugar, se analiza la situación financiera actual de la Corporación Vial del Uruguay (CVU)</w:t>
      </w:r>
      <w:r w:rsidR="00ED1035">
        <w:rPr>
          <w:rFonts w:asciiTheme="minorHAnsi" w:hAnsiTheme="minorHAnsi" w:cs="Times New Roman"/>
          <w:lang w:val="es-ES_tradnl"/>
        </w:rPr>
        <w:t xml:space="preserve"> y de </w:t>
      </w:r>
      <w:r>
        <w:rPr>
          <w:rFonts w:asciiTheme="minorHAnsi" w:hAnsiTheme="minorHAnsi" w:cs="Times New Roman"/>
          <w:lang w:val="es-ES_tradnl"/>
        </w:rPr>
        <w:t xml:space="preserve">la Corporación Nacional para el Desarrollo (CND), entidad propietaria de la CVU y </w:t>
      </w:r>
      <w:r w:rsidR="00ED1035">
        <w:rPr>
          <w:rFonts w:asciiTheme="minorHAnsi" w:hAnsiTheme="minorHAnsi" w:cs="Times New Roman"/>
          <w:lang w:val="es-ES_tradnl"/>
        </w:rPr>
        <w:t>prestataria</w:t>
      </w:r>
      <w:r>
        <w:rPr>
          <w:rFonts w:asciiTheme="minorHAnsi" w:hAnsiTheme="minorHAnsi" w:cs="Times New Roman"/>
          <w:lang w:val="es-ES_tradnl"/>
        </w:rPr>
        <w:t xml:space="preserve"> de los créditos internacionales dirigidos a </w:t>
      </w:r>
      <w:r w:rsidR="00ED1035">
        <w:rPr>
          <w:rFonts w:asciiTheme="minorHAnsi" w:hAnsiTheme="minorHAnsi" w:cs="Times New Roman"/>
          <w:lang w:val="es-ES_tradnl"/>
        </w:rPr>
        <w:t>atender a al CVU</w:t>
      </w:r>
      <w:r>
        <w:rPr>
          <w:rFonts w:asciiTheme="minorHAnsi" w:hAnsiTheme="minorHAnsi" w:cs="Times New Roman"/>
          <w:lang w:val="es-ES_tradnl"/>
        </w:rPr>
        <w:t xml:space="preserve">, </w:t>
      </w:r>
      <w:r w:rsidR="00ED1035">
        <w:rPr>
          <w:rFonts w:asciiTheme="minorHAnsi" w:hAnsiTheme="minorHAnsi" w:cs="Times New Roman"/>
          <w:lang w:val="es-ES_tradnl"/>
        </w:rPr>
        <w:t>como e</w:t>
      </w:r>
      <w:r>
        <w:rPr>
          <w:rFonts w:asciiTheme="minorHAnsi" w:hAnsiTheme="minorHAnsi" w:cs="Times New Roman"/>
          <w:lang w:val="es-ES_tradnl"/>
        </w:rPr>
        <w:t>l que está elaborando el Banco</w:t>
      </w:r>
      <w:r w:rsidR="00ED1035">
        <w:rPr>
          <w:rFonts w:asciiTheme="minorHAnsi" w:hAnsiTheme="minorHAnsi" w:cs="Times New Roman"/>
          <w:lang w:val="es-ES_tradnl"/>
        </w:rPr>
        <w:t xml:space="preserve"> en la actualidad</w:t>
      </w:r>
      <w:r>
        <w:rPr>
          <w:rFonts w:asciiTheme="minorHAnsi" w:hAnsiTheme="minorHAnsi" w:cs="Times New Roman"/>
          <w:lang w:val="es-ES_tradnl"/>
        </w:rPr>
        <w:t xml:space="preserve">. </w:t>
      </w:r>
    </w:p>
    <w:p w:rsidR="00DF0C93" w:rsidRDefault="00DF0C93" w:rsidP="00DF0C93">
      <w:pPr>
        <w:jc w:val="both"/>
        <w:rPr>
          <w:rFonts w:asciiTheme="minorHAnsi" w:hAnsiTheme="minorHAnsi" w:cs="Times New Roman"/>
          <w:lang w:val="es-ES_tradnl"/>
        </w:rPr>
      </w:pPr>
      <w:r>
        <w:rPr>
          <w:rFonts w:asciiTheme="minorHAnsi" w:hAnsiTheme="minorHAnsi" w:cs="Times New Roman"/>
          <w:lang w:val="es-ES_tradnl"/>
        </w:rPr>
        <w:t xml:space="preserve">Luego, se analiza la concesión que </w:t>
      </w:r>
      <w:r w:rsidR="00ED1035">
        <w:rPr>
          <w:rFonts w:asciiTheme="minorHAnsi" w:hAnsiTheme="minorHAnsi" w:cs="Times New Roman"/>
          <w:lang w:val="es-ES_tradnl"/>
        </w:rPr>
        <w:t xml:space="preserve">el MTOP </w:t>
      </w:r>
      <w:r>
        <w:rPr>
          <w:rFonts w:asciiTheme="minorHAnsi" w:hAnsiTheme="minorHAnsi" w:cs="Times New Roman"/>
          <w:lang w:val="es-ES_tradnl"/>
        </w:rPr>
        <w:t>se otorga a</w:t>
      </w:r>
      <w:r w:rsidR="00ED1035">
        <w:rPr>
          <w:rFonts w:asciiTheme="minorHAnsi" w:hAnsiTheme="minorHAnsi" w:cs="Times New Roman"/>
          <w:lang w:val="es-ES_tradnl"/>
        </w:rPr>
        <w:t xml:space="preserve"> la CND y ésta crea la CVU para atender la misma. Se estudian los flujos de fondos de la </w:t>
      </w:r>
      <w:r>
        <w:rPr>
          <w:rFonts w:asciiTheme="minorHAnsi" w:hAnsiTheme="minorHAnsi" w:cs="Times New Roman"/>
          <w:lang w:val="es-ES_tradnl"/>
        </w:rPr>
        <w:t xml:space="preserve">CVU hasta el final del actual plazo, donde se trasluce la situación financiera que presentaría esta Corporación sino cambian las condiciones de la concesión, tal como </w:t>
      </w:r>
      <w:r w:rsidR="00ED1035">
        <w:rPr>
          <w:rFonts w:asciiTheme="minorHAnsi" w:hAnsiTheme="minorHAnsi" w:cs="Times New Roman"/>
          <w:lang w:val="es-ES_tradnl"/>
        </w:rPr>
        <w:t>es la intención actual del Gobierno</w:t>
      </w:r>
      <w:r>
        <w:rPr>
          <w:rFonts w:asciiTheme="minorHAnsi" w:hAnsiTheme="minorHAnsi" w:cs="Times New Roman"/>
          <w:lang w:val="es-ES_tradnl"/>
        </w:rPr>
        <w:t>.</w:t>
      </w:r>
    </w:p>
    <w:p w:rsidR="00CD18F9" w:rsidRDefault="00DF0C93" w:rsidP="00DF0C93">
      <w:pPr>
        <w:jc w:val="both"/>
        <w:rPr>
          <w:rFonts w:asciiTheme="minorHAnsi" w:hAnsiTheme="minorHAnsi" w:cs="Times New Roman"/>
          <w:lang w:val="es-ES_tradnl"/>
        </w:rPr>
      </w:pPr>
      <w:r>
        <w:rPr>
          <w:rFonts w:asciiTheme="minorHAnsi" w:hAnsiTheme="minorHAnsi" w:cs="Times New Roman"/>
          <w:lang w:val="es-ES_tradnl"/>
        </w:rPr>
        <w:t xml:space="preserve">Por ello, luego, se estudian escenarios de proyecciones financieras de la CVU en el marco </w:t>
      </w:r>
      <w:r w:rsidR="00CD18F9">
        <w:rPr>
          <w:rFonts w:asciiTheme="minorHAnsi" w:hAnsiTheme="minorHAnsi" w:cs="Times New Roman"/>
          <w:lang w:val="es-ES_tradnl"/>
        </w:rPr>
        <w:t xml:space="preserve">de una nueva concesión </w:t>
      </w:r>
      <w:r>
        <w:rPr>
          <w:rFonts w:asciiTheme="minorHAnsi" w:hAnsiTheme="minorHAnsi" w:cs="Times New Roman"/>
          <w:lang w:val="es-ES_tradnl"/>
        </w:rPr>
        <w:t>que las autoridades están decidiendo, a</w:t>
      </w:r>
      <w:r w:rsidR="00CD18F9">
        <w:rPr>
          <w:rFonts w:asciiTheme="minorHAnsi" w:hAnsiTheme="minorHAnsi" w:cs="Times New Roman"/>
          <w:lang w:val="es-ES_tradnl"/>
        </w:rPr>
        <w:t xml:space="preserve"> </w:t>
      </w:r>
      <w:r>
        <w:rPr>
          <w:rFonts w:asciiTheme="minorHAnsi" w:hAnsiTheme="minorHAnsi" w:cs="Times New Roman"/>
          <w:lang w:val="es-ES_tradnl"/>
        </w:rPr>
        <w:t>los efectos de visualizar las obligaciones en términos de obras</w:t>
      </w:r>
      <w:r w:rsidR="00CD18F9">
        <w:rPr>
          <w:rFonts w:asciiTheme="minorHAnsi" w:hAnsiTheme="minorHAnsi" w:cs="Times New Roman"/>
          <w:lang w:val="es-ES_tradnl"/>
        </w:rPr>
        <w:t xml:space="preserve"> a realizar</w:t>
      </w:r>
      <w:r>
        <w:rPr>
          <w:rFonts w:asciiTheme="minorHAnsi" w:hAnsiTheme="minorHAnsi" w:cs="Times New Roman"/>
          <w:lang w:val="es-ES_tradnl"/>
        </w:rPr>
        <w:t xml:space="preserve">, </w:t>
      </w:r>
      <w:r w:rsidR="00CD18F9">
        <w:rPr>
          <w:rFonts w:asciiTheme="minorHAnsi" w:hAnsiTheme="minorHAnsi" w:cs="Times New Roman"/>
          <w:lang w:val="es-ES_tradnl"/>
        </w:rPr>
        <w:t xml:space="preserve">futuros ingresos, </w:t>
      </w:r>
      <w:r>
        <w:rPr>
          <w:rFonts w:asciiTheme="minorHAnsi" w:hAnsiTheme="minorHAnsi" w:cs="Times New Roman"/>
          <w:lang w:val="es-ES_tradnl"/>
        </w:rPr>
        <w:t>necesidades de apoyos financieros</w:t>
      </w:r>
      <w:r w:rsidR="00CD18F9">
        <w:rPr>
          <w:rFonts w:asciiTheme="minorHAnsi" w:hAnsiTheme="minorHAnsi" w:cs="Times New Roman"/>
          <w:lang w:val="es-ES_tradnl"/>
        </w:rPr>
        <w:t xml:space="preserve"> y exposición de la empresa ante su mayor endeudamiento</w:t>
      </w:r>
      <w:r>
        <w:rPr>
          <w:rFonts w:asciiTheme="minorHAnsi" w:hAnsiTheme="minorHAnsi" w:cs="Times New Roman"/>
          <w:lang w:val="es-ES_tradnl"/>
        </w:rPr>
        <w:t>.</w:t>
      </w:r>
    </w:p>
    <w:p w:rsidR="00ED1035" w:rsidRDefault="00CD18F9" w:rsidP="00DF0C93">
      <w:pPr>
        <w:jc w:val="both"/>
        <w:rPr>
          <w:rFonts w:asciiTheme="minorHAnsi" w:hAnsiTheme="minorHAnsi" w:cs="Times New Roman"/>
          <w:lang w:val="es-ES_tradnl"/>
        </w:rPr>
      </w:pPr>
      <w:r>
        <w:rPr>
          <w:rFonts w:asciiTheme="minorHAnsi" w:hAnsiTheme="minorHAnsi" w:cs="Times New Roman"/>
          <w:lang w:val="es-ES_tradnl"/>
        </w:rPr>
        <w:t>Por último, ante estos cambios que podrían generar ciertos niveles de riesgo fiscal, se revisan los antecedentes internacionales en esta materia, se relevan las iniciativas de proyectos de Participación Pública Privada y sus límites legales, que podrían agregar también riesgos fiscales adicionales</w:t>
      </w:r>
      <w:r w:rsidR="00ED1035">
        <w:rPr>
          <w:rFonts w:asciiTheme="minorHAnsi" w:hAnsiTheme="minorHAnsi" w:cs="Times New Roman"/>
          <w:lang w:val="es-ES_tradnl"/>
        </w:rPr>
        <w:t>.</w:t>
      </w:r>
    </w:p>
    <w:p w:rsidR="00DF0C93" w:rsidRDefault="00ED1035" w:rsidP="00DF0C93">
      <w:pPr>
        <w:jc w:val="both"/>
        <w:rPr>
          <w:rFonts w:asciiTheme="minorHAnsi" w:hAnsiTheme="minorHAnsi"/>
          <w:lang w:val="es-ES_tradnl"/>
        </w:rPr>
      </w:pPr>
      <w:r>
        <w:rPr>
          <w:rFonts w:asciiTheme="minorHAnsi" w:hAnsiTheme="minorHAnsi" w:cs="Times New Roman"/>
          <w:lang w:val="es-ES_tradnl"/>
        </w:rPr>
        <w:t xml:space="preserve">Finalmente, se tratan en forma conjunta los movimientos financieros correspondientes a atender las obras viales previstas no sólo en la nueva concesión sino también las realizadas por la DNV y las correspondientes a las PPP propuestas en la actualidad. Estos </w:t>
      </w:r>
      <w:r w:rsidR="00CD18F9">
        <w:rPr>
          <w:rFonts w:asciiTheme="minorHAnsi" w:hAnsiTheme="minorHAnsi" w:cs="Times New Roman"/>
          <w:lang w:val="es-ES_tradnl"/>
        </w:rPr>
        <w:t xml:space="preserve">movimientos </w:t>
      </w:r>
      <w:r>
        <w:rPr>
          <w:rFonts w:asciiTheme="minorHAnsi" w:hAnsiTheme="minorHAnsi" w:cs="Times New Roman"/>
          <w:lang w:val="es-ES_tradnl"/>
        </w:rPr>
        <w:t xml:space="preserve">se comparan </w:t>
      </w:r>
      <w:r w:rsidR="00CD18F9">
        <w:rPr>
          <w:rFonts w:asciiTheme="minorHAnsi" w:hAnsiTheme="minorHAnsi" w:cs="Times New Roman"/>
          <w:lang w:val="es-ES_tradnl"/>
        </w:rPr>
        <w:t xml:space="preserve">con la situación de </w:t>
      </w:r>
      <w:r>
        <w:rPr>
          <w:rFonts w:asciiTheme="minorHAnsi" w:hAnsiTheme="minorHAnsi" w:cs="Times New Roman"/>
          <w:lang w:val="es-ES_tradnl"/>
        </w:rPr>
        <w:t xml:space="preserve">la </w:t>
      </w:r>
      <w:r w:rsidR="00CD18F9">
        <w:rPr>
          <w:rFonts w:asciiTheme="minorHAnsi" w:hAnsiTheme="minorHAnsi" w:cs="Times New Roman"/>
          <w:lang w:val="es-ES_tradnl"/>
        </w:rPr>
        <w:t>deuda pública del país</w:t>
      </w:r>
      <w:r>
        <w:rPr>
          <w:rFonts w:asciiTheme="minorHAnsi" w:hAnsiTheme="minorHAnsi" w:cs="Times New Roman"/>
          <w:lang w:val="es-ES_tradnl"/>
        </w:rPr>
        <w:t>, para comprender su entidad relativa y las acciones que ello podría provocar en términos de atender al riesgo fiscal</w:t>
      </w:r>
      <w:r w:rsidR="00CD18F9">
        <w:rPr>
          <w:rFonts w:asciiTheme="minorHAnsi" w:hAnsiTheme="minorHAnsi" w:cs="Times New Roman"/>
          <w:lang w:val="es-ES_tradnl"/>
        </w:rPr>
        <w:t xml:space="preserve">. </w:t>
      </w:r>
      <w:r w:rsidR="00DF0C93">
        <w:rPr>
          <w:rFonts w:asciiTheme="minorHAnsi" w:hAnsiTheme="minorHAnsi" w:cs="Times New Roman"/>
          <w:lang w:val="es-ES_tradnl"/>
        </w:rPr>
        <w:t xml:space="preserve"> </w:t>
      </w:r>
    </w:p>
    <w:p w:rsidR="004F6166" w:rsidRPr="00346029" w:rsidRDefault="004F6166" w:rsidP="00346029">
      <w:pPr>
        <w:jc w:val="both"/>
        <w:rPr>
          <w:rFonts w:asciiTheme="minorHAnsi" w:hAnsiTheme="minorHAnsi" w:cs="Times New Roman"/>
          <w:lang w:val="es-ES_tradnl"/>
        </w:rPr>
      </w:pPr>
    </w:p>
    <w:p w:rsidR="005C7397" w:rsidRDefault="005C7397" w:rsidP="00346029">
      <w:pPr>
        <w:pStyle w:val="Heading1"/>
        <w:numPr>
          <w:ilvl w:val="0"/>
          <w:numId w:val="1"/>
        </w:numPr>
        <w:tabs>
          <w:tab w:val="num" w:pos="432"/>
        </w:tabs>
        <w:spacing w:before="0" w:line="240" w:lineRule="auto"/>
        <w:ind w:left="0" w:firstLine="0"/>
        <w:jc w:val="both"/>
        <w:rPr>
          <w:rFonts w:asciiTheme="minorHAnsi" w:hAnsiTheme="minorHAnsi"/>
          <w:sz w:val="24"/>
          <w:szCs w:val="24"/>
        </w:rPr>
      </w:pPr>
      <w:bookmarkStart w:id="5" w:name="_Toc428464175"/>
      <w:bookmarkEnd w:id="2"/>
      <w:bookmarkEnd w:id="3"/>
      <w:bookmarkEnd w:id="4"/>
      <w:r>
        <w:rPr>
          <w:rFonts w:asciiTheme="minorHAnsi" w:hAnsiTheme="minorHAnsi"/>
          <w:sz w:val="24"/>
          <w:szCs w:val="24"/>
        </w:rPr>
        <w:t xml:space="preserve">Informe Financiero de </w:t>
      </w:r>
      <w:r w:rsidR="00ED1035">
        <w:rPr>
          <w:rFonts w:asciiTheme="minorHAnsi" w:hAnsiTheme="minorHAnsi"/>
          <w:sz w:val="24"/>
          <w:szCs w:val="24"/>
        </w:rPr>
        <w:t xml:space="preserve">la </w:t>
      </w:r>
      <w:r>
        <w:rPr>
          <w:rFonts w:asciiTheme="minorHAnsi" w:hAnsiTheme="minorHAnsi"/>
          <w:sz w:val="24"/>
          <w:szCs w:val="24"/>
        </w:rPr>
        <w:t>Corporación Vial del Uruguay</w:t>
      </w:r>
      <w:bookmarkEnd w:id="5"/>
    </w:p>
    <w:p w:rsidR="005C7397" w:rsidRDefault="005C7397" w:rsidP="005C7397">
      <w:pPr>
        <w:pStyle w:val="Heading1"/>
        <w:numPr>
          <w:ilvl w:val="0"/>
          <w:numId w:val="0"/>
        </w:numPr>
        <w:spacing w:before="0" w:line="240" w:lineRule="auto"/>
        <w:jc w:val="both"/>
        <w:rPr>
          <w:rFonts w:asciiTheme="minorHAnsi" w:hAnsiTheme="minorHAnsi"/>
          <w:sz w:val="24"/>
          <w:szCs w:val="24"/>
        </w:rPr>
      </w:pPr>
    </w:p>
    <w:p w:rsidR="00801C97" w:rsidRPr="002D6AC2" w:rsidRDefault="00801C97" w:rsidP="005C7397">
      <w:pPr>
        <w:pStyle w:val="Heading2"/>
      </w:pPr>
      <w:bookmarkStart w:id="6" w:name="_Toc428464176"/>
      <w:r w:rsidRPr="002D6AC2">
        <w:t>La Corporación Vial del Uruguay.</w:t>
      </w:r>
      <w:bookmarkEnd w:id="6"/>
    </w:p>
    <w:p w:rsidR="004F6166" w:rsidRDefault="004F6166" w:rsidP="004F6166">
      <w:pPr>
        <w:jc w:val="both"/>
        <w:rPr>
          <w:rFonts w:asciiTheme="minorHAnsi" w:hAnsiTheme="minorHAnsi" w:cs="Times New Roman"/>
          <w:lang w:val="es-ES_tradnl"/>
        </w:rPr>
      </w:pPr>
    </w:p>
    <w:p w:rsidR="00D85F75" w:rsidRPr="004F6166" w:rsidRDefault="00801C97" w:rsidP="004F6166">
      <w:pPr>
        <w:jc w:val="both"/>
        <w:rPr>
          <w:rFonts w:asciiTheme="minorHAnsi" w:hAnsiTheme="minorHAnsi" w:cs="Times New Roman"/>
          <w:lang w:val="es-ES_tradnl"/>
        </w:rPr>
      </w:pPr>
      <w:r w:rsidRPr="004F6166">
        <w:rPr>
          <w:rFonts w:asciiTheme="minorHAnsi" w:hAnsiTheme="minorHAnsi" w:cs="Times New Roman"/>
          <w:lang w:val="es-ES_tradnl"/>
        </w:rPr>
        <w:t xml:space="preserve">La </w:t>
      </w:r>
      <w:r w:rsidR="008B59E6" w:rsidRPr="004F6166">
        <w:rPr>
          <w:rFonts w:asciiTheme="minorHAnsi" w:hAnsiTheme="minorHAnsi" w:cs="Times New Roman"/>
          <w:lang w:val="es-ES_tradnl"/>
        </w:rPr>
        <w:t xml:space="preserve">Corporación Vial del Uruguay </w:t>
      </w:r>
      <w:r w:rsidRPr="004F6166">
        <w:rPr>
          <w:rFonts w:asciiTheme="minorHAnsi" w:hAnsiTheme="minorHAnsi" w:cs="Times New Roman"/>
          <w:lang w:val="es-ES_tradnl"/>
        </w:rPr>
        <w:t xml:space="preserve">es una empresa privada que </w:t>
      </w:r>
      <w:r w:rsidR="00ED1035">
        <w:rPr>
          <w:rFonts w:asciiTheme="minorHAnsi" w:hAnsiTheme="minorHAnsi" w:cs="Times New Roman"/>
          <w:lang w:val="es-ES_tradnl"/>
        </w:rPr>
        <w:t xml:space="preserve">fue creada por la </w:t>
      </w:r>
      <w:hyperlink r:id="rId10" w:tgtFrame="_blank" w:history="1">
        <w:r w:rsidR="00050C27" w:rsidRPr="004F6166">
          <w:rPr>
            <w:rFonts w:asciiTheme="minorHAnsi" w:hAnsiTheme="minorHAnsi" w:cs="Times New Roman"/>
            <w:lang w:val="es-ES_tradnl"/>
          </w:rPr>
          <w:t>Corporación Nacional para el Desarrollo</w:t>
        </w:r>
      </w:hyperlink>
      <w:r w:rsidR="00050C27" w:rsidRPr="004F6166">
        <w:rPr>
          <w:rFonts w:asciiTheme="minorHAnsi" w:hAnsiTheme="minorHAnsi" w:cs="Times New Roman"/>
          <w:lang w:val="es-ES_tradnl"/>
        </w:rPr>
        <w:t> (CND) - persona pública de derecho privado</w:t>
      </w:r>
      <w:r w:rsidR="00050C27">
        <w:rPr>
          <w:rFonts w:asciiTheme="minorHAnsi" w:hAnsiTheme="minorHAnsi" w:cs="Times New Roman"/>
          <w:lang w:val="es-ES_tradnl"/>
        </w:rPr>
        <w:t xml:space="preserve"> – para que ejecutara</w:t>
      </w:r>
      <w:r w:rsidR="00050C27" w:rsidRPr="004F6166">
        <w:rPr>
          <w:rFonts w:asciiTheme="minorHAnsi" w:hAnsiTheme="minorHAnsi" w:cs="Times New Roman"/>
          <w:lang w:val="es-ES_tradnl"/>
        </w:rPr>
        <w:t xml:space="preserve"> </w:t>
      </w:r>
      <w:r w:rsidRPr="004F6166">
        <w:rPr>
          <w:rFonts w:asciiTheme="minorHAnsi" w:hAnsiTheme="minorHAnsi" w:cs="Times New Roman"/>
          <w:lang w:val="es-ES_tradnl"/>
        </w:rPr>
        <w:t xml:space="preserve">la operación de una </w:t>
      </w:r>
      <w:r w:rsidR="00ED1035">
        <w:rPr>
          <w:rFonts w:asciiTheme="minorHAnsi" w:hAnsiTheme="minorHAnsi" w:cs="Times New Roman"/>
          <w:lang w:val="es-ES_tradnl"/>
        </w:rPr>
        <w:t>c</w:t>
      </w:r>
      <w:r w:rsidRPr="004F6166">
        <w:rPr>
          <w:rFonts w:asciiTheme="minorHAnsi" w:hAnsiTheme="minorHAnsi" w:cs="Times New Roman"/>
          <w:lang w:val="es-ES_tradnl"/>
        </w:rPr>
        <w:t xml:space="preserve">oncesión </w:t>
      </w:r>
      <w:r w:rsidR="00ED1035">
        <w:rPr>
          <w:rFonts w:asciiTheme="minorHAnsi" w:hAnsiTheme="minorHAnsi" w:cs="Times New Roman"/>
          <w:lang w:val="es-ES_tradnl"/>
        </w:rPr>
        <w:t>v</w:t>
      </w:r>
      <w:r w:rsidRPr="004F6166">
        <w:rPr>
          <w:rFonts w:asciiTheme="minorHAnsi" w:hAnsiTheme="minorHAnsi" w:cs="Times New Roman"/>
          <w:lang w:val="es-ES_tradnl"/>
        </w:rPr>
        <w:t>ial otorgada por el </w:t>
      </w:r>
      <w:hyperlink r:id="rId11" w:tgtFrame="_blank" w:history="1">
        <w:r w:rsidRPr="004F6166">
          <w:rPr>
            <w:rFonts w:asciiTheme="minorHAnsi" w:hAnsiTheme="minorHAnsi" w:cs="Times New Roman"/>
            <w:lang w:val="es-ES_tradnl"/>
          </w:rPr>
          <w:t>Ministerio de Transporte y Obras Públicas</w:t>
        </w:r>
      </w:hyperlink>
      <w:r w:rsidRPr="004F6166">
        <w:rPr>
          <w:rFonts w:asciiTheme="minorHAnsi" w:hAnsiTheme="minorHAnsi" w:cs="Times New Roman"/>
          <w:lang w:val="es-ES_tradnl"/>
        </w:rPr>
        <w:t> </w:t>
      </w:r>
      <w:r w:rsidR="00050C27">
        <w:rPr>
          <w:rFonts w:asciiTheme="minorHAnsi" w:hAnsiTheme="minorHAnsi" w:cs="Times New Roman"/>
          <w:lang w:val="es-ES_tradnl"/>
        </w:rPr>
        <w:t>a la CND</w:t>
      </w:r>
      <w:r w:rsidRPr="004F6166">
        <w:rPr>
          <w:rFonts w:asciiTheme="minorHAnsi" w:hAnsiTheme="minorHAnsi" w:cs="Times New Roman"/>
          <w:lang w:val="es-ES_tradnl"/>
        </w:rPr>
        <w:t xml:space="preserve">. La </w:t>
      </w:r>
      <w:r w:rsidR="00050C27">
        <w:rPr>
          <w:rFonts w:asciiTheme="minorHAnsi" w:hAnsiTheme="minorHAnsi" w:cs="Times New Roman"/>
          <w:lang w:val="es-ES_tradnl"/>
        </w:rPr>
        <w:t xml:space="preserve">CND </w:t>
      </w:r>
      <w:r w:rsidRPr="004F6166">
        <w:rPr>
          <w:rFonts w:asciiTheme="minorHAnsi" w:hAnsiTheme="minorHAnsi" w:cs="Times New Roman"/>
          <w:lang w:val="es-ES_tradnl"/>
        </w:rPr>
        <w:t xml:space="preserve">es </w:t>
      </w:r>
      <w:r w:rsidR="00050C27">
        <w:rPr>
          <w:rFonts w:asciiTheme="minorHAnsi" w:hAnsiTheme="minorHAnsi" w:cs="Times New Roman"/>
          <w:lang w:val="es-ES_tradnl"/>
        </w:rPr>
        <w:t xml:space="preserve">totalmente de propiedad pública, aunque podría tener hasta un 40% de capital privado, y es </w:t>
      </w:r>
      <w:r w:rsidRPr="004F6166">
        <w:rPr>
          <w:rFonts w:asciiTheme="minorHAnsi" w:hAnsiTheme="minorHAnsi" w:cs="Times New Roman"/>
          <w:lang w:val="es-ES_tradnl"/>
        </w:rPr>
        <w:t>la propietaria de la totalidad del paquete accionario</w:t>
      </w:r>
      <w:r w:rsidR="00050C27">
        <w:rPr>
          <w:rFonts w:asciiTheme="minorHAnsi" w:hAnsiTheme="minorHAnsi" w:cs="Times New Roman"/>
          <w:lang w:val="es-ES_tradnl"/>
        </w:rPr>
        <w:t xml:space="preserve"> de la CVU</w:t>
      </w:r>
      <w:r w:rsidRPr="004F6166">
        <w:rPr>
          <w:rFonts w:asciiTheme="minorHAnsi" w:hAnsiTheme="minorHAnsi" w:cs="Times New Roman"/>
          <w:lang w:val="es-ES_tradnl"/>
        </w:rPr>
        <w:t>.</w:t>
      </w:r>
      <w:r w:rsidR="00D85F75" w:rsidRPr="004F6166">
        <w:rPr>
          <w:rFonts w:asciiTheme="minorHAnsi" w:hAnsiTheme="minorHAnsi" w:cs="Times New Roman"/>
          <w:lang w:val="es-ES_tradnl"/>
        </w:rPr>
        <w:t xml:space="preserve"> </w:t>
      </w:r>
    </w:p>
    <w:p w:rsidR="008B59E6" w:rsidRPr="004F6166" w:rsidRDefault="00D85F75" w:rsidP="004F6166">
      <w:pPr>
        <w:jc w:val="both"/>
        <w:rPr>
          <w:rFonts w:asciiTheme="minorHAnsi" w:hAnsiTheme="minorHAnsi" w:cs="Times New Roman"/>
          <w:lang w:val="es-ES_tradnl"/>
        </w:rPr>
      </w:pPr>
      <w:r w:rsidRPr="004F6166">
        <w:rPr>
          <w:rFonts w:asciiTheme="minorHAnsi" w:hAnsiTheme="minorHAnsi" w:cs="Times New Roman"/>
          <w:lang w:val="es-ES_tradnl"/>
        </w:rPr>
        <w:t xml:space="preserve">La concesión fue asignada directamente a la CND, de acuerdo a </w:t>
      </w:r>
      <w:r w:rsidR="008B59E6" w:rsidRPr="004F6166">
        <w:rPr>
          <w:rFonts w:asciiTheme="minorHAnsi" w:hAnsiTheme="minorHAnsi" w:cs="Times New Roman"/>
          <w:lang w:val="es-ES_tradnl"/>
        </w:rPr>
        <w:t>la</w:t>
      </w:r>
      <w:r w:rsidRPr="004F6166">
        <w:rPr>
          <w:rFonts w:asciiTheme="minorHAnsi" w:hAnsiTheme="minorHAnsi" w:cs="Times New Roman"/>
          <w:lang w:val="es-ES_tradnl"/>
        </w:rPr>
        <w:t xml:space="preserve"> normativa </w:t>
      </w:r>
      <w:r w:rsidR="008B59E6" w:rsidRPr="004F6166">
        <w:rPr>
          <w:rFonts w:asciiTheme="minorHAnsi" w:hAnsiTheme="minorHAnsi" w:cs="Times New Roman"/>
          <w:lang w:val="es-ES_tradnl"/>
        </w:rPr>
        <w:t>de</w:t>
      </w:r>
      <w:r w:rsidRPr="004F6166">
        <w:rPr>
          <w:rFonts w:asciiTheme="minorHAnsi" w:hAnsiTheme="minorHAnsi" w:cs="Times New Roman"/>
          <w:lang w:val="es-ES_tradnl"/>
        </w:rPr>
        <w:t xml:space="preserve"> contratación pública (TOCAF). El contrato de concesión se firmó el 5 de octubre de 2001 y en su Anexo </w:t>
      </w:r>
      <w:r w:rsidR="00CD18F9">
        <w:rPr>
          <w:rFonts w:asciiTheme="minorHAnsi" w:hAnsiTheme="minorHAnsi" w:cs="Times New Roman"/>
          <w:lang w:val="es-ES_tradnl"/>
        </w:rPr>
        <w:t>I</w:t>
      </w:r>
      <w:r w:rsidRPr="004F6166">
        <w:rPr>
          <w:rFonts w:asciiTheme="minorHAnsi" w:hAnsiTheme="minorHAnsi" w:cs="Times New Roman"/>
          <w:lang w:val="es-ES_tradnl"/>
        </w:rPr>
        <w:t xml:space="preserve"> describe las obras públicas en infraestructura en las cuales se concede a la CND los estudios, proyectos, construcción,  mantenimiento, operación y explotación de las mismas. </w:t>
      </w:r>
      <w:r w:rsidR="001C5DED" w:rsidRPr="004F6166">
        <w:rPr>
          <w:rFonts w:asciiTheme="minorHAnsi" w:hAnsiTheme="minorHAnsi" w:cs="Times New Roman"/>
          <w:lang w:val="es-ES_tradnl"/>
        </w:rPr>
        <w:t>Estas obras se refieren a un total de aproximadamente 1.</w:t>
      </w:r>
      <w:r w:rsidR="00172730">
        <w:rPr>
          <w:rFonts w:asciiTheme="minorHAnsi" w:hAnsiTheme="minorHAnsi" w:cs="Times New Roman"/>
          <w:lang w:val="es-ES_tradnl"/>
        </w:rPr>
        <w:t>6</w:t>
      </w:r>
      <w:r w:rsidR="001C5DED" w:rsidRPr="004F6166">
        <w:rPr>
          <w:rFonts w:asciiTheme="minorHAnsi" w:hAnsiTheme="minorHAnsi" w:cs="Times New Roman"/>
          <w:lang w:val="es-ES_tradnl"/>
        </w:rPr>
        <w:t xml:space="preserve">00 km de carreteras de la Red Vial Pública </w:t>
      </w:r>
      <w:r w:rsidR="00CD18F9">
        <w:rPr>
          <w:rFonts w:asciiTheme="minorHAnsi" w:hAnsiTheme="minorHAnsi" w:cs="Times New Roman"/>
          <w:lang w:val="es-ES_tradnl"/>
        </w:rPr>
        <w:t>N</w:t>
      </w:r>
      <w:r w:rsidR="001C5DED" w:rsidRPr="004F6166">
        <w:rPr>
          <w:rFonts w:asciiTheme="minorHAnsi" w:hAnsiTheme="minorHAnsi" w:cs="Times New Roman"/>
          <w:lang w:val="es-ES_tradnl"/>
        </w:rPr>
        <w:t xml:space="preserve">acional, o sea las principales rutas del país, aunque </w:t>
      </w:r>
      <w:r w:rsidR="00CD18F9">
        <w:rPr>
          <w:rFonts w:asciiTheme="minorHAnsi" w:hAnsiTheme="minorHAnsi" w:cs="Times New Roman"/>
          <w:lang w:val="es-ES_tradnl"/>
        </w:rPr>
        <w:t xml:space="preserve">no las </w:t>
      </w:r>
      <w:r w:rsidR="001C5DED" w:rsidRPr="004F6166">
        <w:rPr>
          <w:rFonts w:asciiTheme="minorHAnsi" w:hAnsiTheme="minorHAnsi" w:cs="Times New Roman"/>
          <w:lang w:val="es-ES_tradnl"/>
        </w:rPr>
        <w:t>cubr</w:t>
      </w:r>
      <w:r w:rsidR="00CD18F9">
        <w:rPr>
          <w:rFonts w:asciiTheme="minorHAnsi" w:hAnsiTheme="minorHAnsi" w:cs="Times New Roman"/>
          <w:lang w:val="es-ES_tradnl"/>
        </w:rPr>
        <w:t>e</w:t>
      </w:r>
      <w:r w:rsidR="001C5DED" w:rsidRPr="004F6166">
        <w:rPr>
          <w:rFonts w:asciiTheme="minorHAnsi" w:hAnsiTheme="minorHAnsi" w:cs="Times New Roman"/>
          <w:lang w:val="es-ES_tradnl"/>
        </w:rPr>
        <w:t xml:space="preserve"> </w:t>
      </w:r>
      <w:r w:rsidR="00CD18F9">
        <w:rPr>
          <w:rFonts w:asciiTheme="minorHAnsi" w:hAnsiTheme="minorHAnsi" w:cs="Times New Roman"/>
          <w:lang w:val="es-ES_tradnl"/>
        </w:rPr>
        <w:t>total</w:t>
      </w:r>
      <w:r w:rsidR="001C5DED" w:rsidRPr="004F6166">
        <w:rPr>
          <w:rFonts w:asciiTheme="minorHAnsi" w:hAnsiTheme="minorHAnsi" w:cs="Times New Roman"/>
          <w:lang w:val="es-ES_tradnl"/>
        </w:rPr>
        <w:t xml:space="preserve">mente. </w:t>
      </w:r>
      <w:r w:rsidR="008B59E6" w:rsidRPr="004F6166">
        <w:rPr>
          <w:rFonts w:asciiTheme="minorHAnsi" w:hAnsiTheme="minorHAnsi" w:cs="Times New Roman"/>
          <w:lang w:val="es-ES_tradnl"/>
        </w:rPr>
        <w:t xml:space="preserve">El Anexo I del contrato ha sido modificado en dos oportunidades, </w:t>
      </w:r>
      <w:r w:rsidR="00172730">
        <w:rPr>
          <w:rFonts w:asciiTheme="minorHAnsi" w:hAnsiTheme="minorHAnsi" w:cs="Times New Roman"/>
          <w:lang w:val="es-ES_tradnl"/>
        </w:rPr>
        <w:t xml:space="preserve">en los años </w:t>
      </w:r>
      <w:r w:rsidR="008B59E6" w:rsidRPr="004F6166">
        <w:rPr>
          <w:rFonts w:asciiTheme="minorHAnsi" w:hAnsiTheme="minorHAnsi" w:cs="Times New Roman"/>
          <w:lang w:val="es-ES_tradnl"/>
        </w:rPr>
        <w:t xml:space="preserve">2006 y 2008.  </w:t>
      </w:r>
    </w:p>
    <w:p w:rsidR="00FB0A6C" w:rsidRPr="004F6166" w:rsidRDefault="00D85F75" w:rsidP="004F6166">
      <w:pPr>
        <w:jc w:val="both"/>
        <w:rPr>
          <w:rFonts w:asciiTheme="minorHAnsi" w:hAnsiTheme="minorHAnsi" w:cs="Times New Roman"/>
          <w:lang w:val="es-ES_tradnl"/>
        </w:rPr>
      </w:pPr>
      <w:r w:rsidRPr="004F6166">
        <w:rPr>
          <w:rFonts w:asciiTheme="minorHAnsi" w:hAnsiTheme="minorHAnsi" w:cs="Times New Roman"/>
          <w:lang w:val="es-ES_tradnl"/>
        </w:rPr>
        <w:t xml:space="preserve">En el convenio, se establece que la CND podía crear una empresa para la ejecución del contrato, </w:t>
      </w:r>
      <w:r w:rsidR="008B59E6" w:rsidRPr="004F6166">
        <w:rPr>
          <w:rFonts w:asciiTheme="minorHAnsi" w:hAnsiTheme="minorHAnsi" w:cs="Times New Roman"/>
          <w:lang w:val="es-ES_tradnl"/>
        </w:rPr>
        <w:t>dando lugar a l</w:t>
      </w:r>
      <w:r w:rsidRPr="004F6166">
        <w:rPr>
          <w:rFonts w:asciiTheme="minorHAnsi" w:hAnsiTheme="minorHAnsi" w:cs="Times New Roman"/>
          <w:lang w:val="es-ES_tradnl"/>
        </w:rPr>
        <w:t>a CVU</w:t>
      </w:r>
      <w:r w:rsidR="008B59E6" w:rsidRPr="004F6166">
        <w:rPr>
          <w:rFonts w:asciiTheme="minorHAnsi" w:hAnsiTheme="minorHAnsi" w:cs="Times New Roman"/>
          <w:lang w:val="es-ES_tradnl"/>
        </w:rPr>
        <w:t>, cediendo a esta última e</w:t>
      </w:r>
      <w:r w:rsidRPr="004F6166">
        <w:rPr>
          <w:rFonts w:asciiTheme="minorHAnsi" w:hAnsiTheme="minorHAnsi" w:cs="Times New Roman"/>
          <w:lang w:val="es-ES_tradnl"/>
        </w:rPr>
        <w:t>l contrato de concesión</w:t>
      </w:r>
      <w:r w:rsidR="008B59E6" w:rsidRPr="004F6166">
        <w:rPr>
          <w:rFonts w:asciiTheme="minorHAnsi" w:hAnsiTheme="minorHAnsi" w:cs="Times New Roman"/>
          <w:lang w:val="es-ES_tradnl"/>
        </w:rPr>
        <w:t>. Por tanto, en el  marco de este convenio, la CVU tiene por objeto el desarrollo de una parte de la infraestructura de transporte del país, durante un período de 18 años, que finaliza el 31 de octubre del año 2020.</w:t>
      </w:r>
      <w:r w:rsidR="0084572D" w:rsidRPr="004F6166">
        <w:rPr>
          <w:rFonts w:asciiTheme="minorHAnsi" w:hAnsiTheme="minorHAnsi" w:cs="Times New Roman"/>
          <w:lang w:val="es-ES_tradnl"/>
        </w:rPr>
        <w:t xml:space="preserve"> Para enfrentar este desarrollo</w:t>
      </w:r>
      <w:r w:rsidR="00050C27">
        <w:rPr>
          <w:rFonts w:asciiTheme="minorHAnsi" w:hAnsiTheme="minorHAnsi" w:cs="Times New Roman"/>
          <w:lang w:val="es-ES_tradnl"/>
        </w:rPr>
        <w:t>, l</w:t>
      </w:r>
      <w:r w:rsidR="0084572D" w:rsidRPr="004F6166">
        <w:rPr>
          <w:rFonts w:asciiTheme="minorHAnsi" w:hAnsiTheme="minorHAnsi" w:cs="Times New Roman"/>
          <w:lang w:val="es-ES_tradnl"/>
        </w:rPr>
        <w:t>a CVU tiene el derecho de la explotación de los puestos de peaje en carreteras, a lo cual se agrega el pago de US$ 2 millones mensuales de subsidios (según el convenio actualizado al año 2008) por parte del  M.T.O.P.</w:t>
      </w:r>
    </w:p>
    <w:p w:rsidR="00FB0A6C" w:rsidRPr="004F6166" w:rsidRDefault="00FB0A6C" w:rsidP="004F6166">
      <w:pPr>
        <w:jc w:val="both"/>
        <w:rPr>
          <w:rFonts w:asciiTheme="minorHAnsi" w:hAnsiTheme="minorHAnsi" w:cs="Times New Roman"/>
          <w:lang w:val="es-ES_tradnl"/>
        </w:rPr>
      </w:pPr>
      <w:r w:rsidRPr="004F6166">
        <w:rPr>
          <w:rFonts w:asciiTheme="minorHAnsi" w:hAnsiTheme="minorHAnsi" w:cs="Times New Roman"/>
          <w:lang w:val="es-ES_tradnl"/>
        </w:rPr>
        <w:t>Por tanto, en este esquema de funcionamiento, según lo establece el contrato, debe tenerse en cuenta que esta es una forma de concesión especial ya que el concedente</w:t>
      </w:r>
      <w:r w:rsidR="00CD18F9">
        <w:rPr>
          <w:rFonts w:asciiTheme="minorHAnsi" w:hAnsiTheme="minorHAnsi" w:cs="Times New Roman"/>
          <w:lang w:val="es-ES_tradnl"/>
        </w:rPr>
        <w:t>,</w:t>
      </w:r>
      <w:r w:rsidRPr="004F6166">
        <w:rPr>
          <w:rFonts w:asciiTheme="minorHAnsi" w:hAnsiTheme="minorHAnsi" w:cs="Times New Roman"/>
          <w:lang w:val="es-ES_tradnl"/>
        </w:rPr>
        <w:t xml:space="preserve"> el MTOP</w:t>
      </w:r>
      <w:r w:rsidR="00CD18F9">
        <w:rPr>
          <w:rFonts w:asciiTheme="minorHAnsi" w:hAnsiTheme="minorHAnsi" w:cs="Times New Roman"/>
          <w:lang w:val="es-ES_tradnl"/>
        </w:rPr>
        <w:t>,</w:t>
      </w:r>
      <w:r w:rsidRPr="004F6166">
        <w:rPr>
          <w:rFonts w:asciiTheme="minorHAnsi" w:hAnsiTheme="minorHAnsi" w:cs="Times New Roman"/>
          <w:lang w:val="es-ES_tradnl"/>
        </w:rPr>
        <w:t xml:space="preserve"> es el cliente por la concesión otorgada</w:t>
      </w:r>
      <w:r w:rsidR="00CD18F9">
        <w:rPr>
          <w:rFonts w:asciiTheme="minorHAnsi" w:hAnsiTheme="minorHAnsi" w:cs="Times New Roman"/>
          <w:lang w:val="es-ES_tradnl"/>
        </w:rPr>
        <w:t>, le pertenecen las obras</w:t>
      </w:r>
      <w:r w:rsidRPr="004F6166">
        <w:rPr>
          <w:rFonts w:asciiTheme="minorHAnsi" w:hAnsiTheme="minorHAnsi" w:cs="Times New Roman"/>
          <w:lang w:val="es-ES_tradnl"/>
        </w:rPr>
        <w:t>, pero además es el proveedor de asistencia técnica, donde se incluyen la elaboración de proyectos, dirección de obras, seguimiento técnico, etc.</w:t>
      </w:r>
    </w:p>
    <w:p w:rsidR="00FB0A6C" w:rsidRPr="004F6166" w:rsidRDefault="00FB0A6C" w:rsidP="004F6166">
      <w:pPr>
        <w:jc w:val="both"/>
        <w:rPr>
          <w:rFonts w:asciiTheme="minorHAnsi" w:hAnsiTheme="minorHAnsi" w:cs="Times New Roman"/>
          <w:lang w:val="es-ES_tradnl"/>
        </w:rPr>
      </w:pPr>
      <w:r w:rsidRPr="004F6166">
        <w:rPr>
          <w:rFonts w:asciiTheme="minorHAnsi" w:hAnsiTheme="minorHAnsi" w:cs="Times New Roman"/>
          <w:lang w:val="es-ES_tradnl"/>
        </w:rPr>
        <w:t xml:space="preserve">Se utiliza este esquema </w:t>
      </w:r>
      <w:r w:rsidR="00050C27">
        <w:rPr>
          <w:rFonts w:asciiTheme="minorHAnsi" w:hAnsiTheme="minorHAnsi" w:cs="Times New Roman"/>
          <w:lang w:val="es-ES_tradnl"/>
        </w:rPr>
        <w:t>d</w:t>
      </w:r>
      <w:r w:rsidR="00CD18F9">
        <w:rPr>
          <w:rFonts w:asciiTheme="minorHAnsi" w:hAnsiTheme="minorHAnsi" w:cs="Times New Roman"/>
          <w:lang w:val="es-ES_tradnl"/>
        </w:rPr>
        <w:t xml:space="preserve">e concesión,  </w:t>
      </w:r>
      <w:r w:rsidRPr="004F6166">
        <w:rPr>
          <w:rFonts w:asciiTheme="minorHAnsi" w:hAnsiTheme="minorHAnsi" w:cs="Times New Roman"/>
          <w:lang w:val="es-ES_tradnl"/>
        </w:rPr>
        <w:t xml:space="preserve">ya que el accionar previsto para la CVU permite acelerar las </w:t>
      </w:r>
      <w:r w:rsidR="002D6AC2" w:rsidRPr="004F6166">
        <w:rPr>
          <w:rFonts w:asciiTheme="minorHAnsi" w:hAnsiTheme="minorHAnsi" w:cs="Times New Roman"/>
          <w:lang w:val="es-ES_tradnl"/>
        </w:rPr>
        <w:t>l</w:t>
      </w:r>
      <w:r w:rsidRPr="004F6166">
        <w:rPr>
          <w:rFonts w:asciiTheme="minorHAnsi" w:hAnsiTheme="minorHAnsi" w:cs="Times New Roman"/>
          <w:lang w:val="es-ES_tradnl"/>
        </w:rPr>
        <w:t xml:space="preserve">icitaciones de obras, los contratos de </w:t>
      </w:r>
      <w:r w:rsidR="002D6AC2" w:rsidRPr="004F6166">
        <w:rPr>
          <w:rFonts w:asciiTheme="minorHAnsi" w:hAnsiTheme="minorHAnsi" w:cs="Times New Roman"/>
          <w:lang w:val="es-ES_tradnl"/>
        </w:rPr>
        <w:t>o</w:t>
      </w:r>
      <w:r w:rsidRPr="004F6166">
        <w:rPr>
          <w:rFonts w:asciiTheme="minorHAnsi" w:hAnsiTheme="minorHAnsi" w:cs="Times New Roman"/>
          <w:lang w:val="es-ES_tradnl"/>
        </w:rPr>
        <w:t>bra pública y la fina</w:t>
      </w:r>
      <w:r w:rsidR="002D6AC2" w:rsidRPr="004F6166">
        <w:rPr>
          <w:rFonts w:asciiTheme="minorHAnsi" w:hAnsiTheme="minorHAnsi" w:cs="Times New Roman"/>
          <w:lang w:val="es-ES_tradnl"/>
        </w:rPr>
        <w:t>n</w:t>
      </w:r>
      <w:r w:rsidRPr="004F6166">
        <w:rPr>
          <w:rFonts w:asciiTheme="minorHAnsi" w:hAnsiTheme="minorHAnsi" w:cs="Times New Roman"/>
          <w:lang w:val="es-ES_tradnl"/>
        </w:rPr>
        <w:t>ciación de los mismos, de allí que se pro</w:t>
      </w:r>
      <w:r w:rsidR="002D6AC2" w:rsidRPr="004F6166">
        <w:rPr>
          <w:rFonts w:asciiTheme="minorHAnsi" w:hAnsiTheme="minorHAnsi" w:cs="Times New Roman"/>
          <w:lang w:val="es-ES_tradnl"/>
        </w:rPr>
        <w:t>p</w:t>
      </w:r>
      <w:r w:rsidRPr="004F6166">
        <w:rPr>
          <w:rFonts w:asciiTheme="minorHAnsi" w:hAnsiTheme="minorHAnsi" w:cs="Times New Roman"/>
          <w:lang w:val="es-ES_tradnl"/>
        </w:rPr>
        <w:t>onga seguir usando este instru</w:t>
      </w:r>
      <w:r w:rsidR="002D6AC2" w:rsidRPr="004F6166">
        <w:rPr>
          <w:rFonts w:asciiTheme="minorHAnsi" w:hAnsiTheme="minorHAnsi" w:cs="Times New Roman"/>
          <w:lang w:val="es-ES_tradnl"/>
        </w:rPr>
        <w:t>m</w:t>
      </w:r>
      <w:r w:rsidRPr="004F6166">
        <w:rPr>
          <w:rFonts w:asciiTheme="minorHAnsi" w:hAnsiTheme="minorHAnsi" w:cs="Times New Roman"/>
          <w:lang w:val="es-ES_tradnl"/>
        </w:rPr>
        <w:t xml:space="preserve">ento más allá de </w:t>
      </w:r>
      <w:r w:rsidR="002D6AC2" w:rsidRPr="004F6166">
        <w:rPr>
          <w:rFonts w:asciiTheme="minorHAnsi" w:hAnsiTheme="minorHAnsi" w:cs="Times New Roman"/>
          <w:lang w:val="es-ES_tradnl"/>
        </w:rPr>
        <w:t>la</w:t>
      </w:r>
      <w:r w:rsidRPr="004F6166">
        <w:rPr>
          <w:rFonts w:asciiTheme="minorHAnsi" w:hAnsiTheme="minorHAnsi" w:cs="Times New Roman"/>
          <w:lang w:val="es-ES_tradnl"/>
        </w:rPr>
        <w:t xml:space="preserve"> finalización del contrato actual</w:t>
      </w:r>
      <w:r w:rsidR="002D6AC2" w:rsidRPr="004F6166">
        <w:rPr>
          <w:rFonts w:asciiTheme="minorHAnsi" w:hAnsiTheme="minorHAnsi" w:cs="Times New Roman"/>
          <w:lang w:val="es-ES_tradnl"/>
        </w:rPr>
        <w:t>.</w:t>
      </w:r>
      <w:r w:rsidRPr="004F6166">
        <w:rPr>
          <w:rFonts w:asciiTheme="minorHAnsi" w:hAnsiTheme="minorHAnsi" w:cs="Times New Roman"/>
          <w:lang w:val="es-ES_tradnl"/>
        </w:rPr>
        <w:t xml:space="preserve"> </w:t>
      </w:r>
    </w:p>
    <w:p w:rsidR="00FB0A6C" w:rsidRDefault="00FB0A6C" w:rsidP="00346029">
      <w:pPr>
        <w:spacing w:after="0" w:line="240" w:lineRule="auto"/>
        <w:jc w:val="both"/>
        <w:rPr>
          <w:rFonts w:asciiTheme="minorHAnsi" w:hAnsiTheme="minorHAnsi"/>
        </w:rPr>
      </w:pPr>
    </w:p>
    <w:p w:rsidR="0084572D" w:rsidRPr="002D6AC2" w:rsidRDefault="0084572D" w:rsidP="005C7397">
      <w:pPr>
        <w:pStyle w:val="Heading2"/>
      </w:pPr>
      <w:bookmarkStart w:id="7" w:name="_Toc428464177"/>
      <w:r w:rsidRPr="002D6AC2">
        <w:t>Análisis de la información contable histórica de CVU</w:t>
      </w:r>
      <w:bookmarkEnd w:id="7"/>
    </w:p>
    <w:p w:rsidR="004F6166" w:rsidRDefault="004F6166" w:rsidP="00346029">
      <w:pPr>
        <w:spacing w:after="0" w:line="240" w:lineRule="auto"/>
        <w:jc w:val="both"/>
        <w:rPr>
          <w:rFonts w:asciiTheme="minorHAnsi" w:hAnsiTheme="minorHAnsi"/>
        </w:rPr>
      </w:pPr>
    </w:p>
    <w:p w:rsidR="0084572D" w:rsidRPr="004F6166" w:rsidRDefault="001245C5" w:rsidP="004F6166">
      <w:pPr>
        <w:jc w:val="both"/>
        <w:rPr>
          <w:rFonts w:asciiTheme="minorHAnsi" w:hAnsiTheme="minorHAnsi" w:cs="Times New Roman"/>
          <w:lang w:val="es-ES_tradnl"/>
        </w:rPr>
      </w:pPr>
      <w:r>
        <w:rPr>
          <w:rFonts w:asciiTheme="minorHAnsi" w:hAnsiTheme="minorHAnsi" w:cs="Times New Roman"/>
          <w:lang w:val="es-ES_tradnl"/>
        </w:rPr>
        <w:t>Lo</w:t>
      </w:r>
      <w:r w:rsidR="00FB0A6C" w:rsidRPr="004F6166">
        <w:rPr>
          <w:rFonts w:asciiTheme="minorHAnsi" w:hAnsiTheme="minorHAnsi" w:cs="Times New Roman"/>
          <w:lang w:val="es-ES_tradnl"/>
        </w:rPr>
        <w:t xml:space="preserve">s Balances de </w:t>
      </w:r>
      <w:r>
        <w:rPr>
          <w:rFonts w:asciiTheme="minorHAnsi" w:hAnsiTheme="minorHAnsi" w:cs="Times New Roman"/>
          <w:lang w:val="es-ES_tradnl"/>
        </w:rPr>
        <w:t xml:space="preserve">la </w:t>
      </w:r>
      <w:r w:rsidR="00FB0A6C" w:rsidRPr="004F6166">
        <w:rPr>
          <w:rFonts w:asciiTheme="minorHAnsi" w:hAnsiTheme="minorHAnsi" w:cs="Times New Roman"/>
          <w:lang w:val="es-ES_tradnl"/>
        </w:rPr>
        <w:t xml:space="preserve">CVU </w:t>
      </w:r>
      <w:r>
        <w:rPr>
          <w:rFonts w:asciiTheme="minorHAnsi" w:hAnsiTheme="minorHAnsi" w:cs="Times New Roman"/>
          <w:lang w:val="es-ES_tradnl"/>
        </w:rPr>
        <w:t>están</w:t>
      </w:r>
      <w:r w:rsidR="00FB0A6C" w:rsidRPr="004F6166">
        <w:rPr>
          <w:rFonts w:asciiTheme="minorHAnsi" w:hAnsiTheme="minorHAnsi" w:cs="Times New Roman"/>
          <w:lang w:val="es-ES_tradnl"/>
        </w:rPr>
        <w:t xml:space="preserve"> publica</w:t>
      </w:r>
      <w:r>
        <w:rPr>
          <w:rFonts w:asciiTheme="minorHAnsi" w:hAnsiTheme="minorHAnsi" w:cs="Times New Roman"/>
          <w:lang w:val="es-ES_tradnl"/>
        </w:rPr>
        <w:t>dos</w:t>
      </w:r>
      <w:r w:rsidR="00FB0A6C" w:rsidRPr="004F6166">
        <w:rPr>
          <w:rFonts w:asciiTheme="minorHAnsi" w:hAnsiTheme="minorHAnsi" w:cs="Times New Roman"/>
          <w:lang w:val="es-ES_tradnl"/>
        </w:rPr>
        <w:t xml:space="preserve"> en la web de la Corporación para los últimos 4 ejercicios, de los cuales el último ha finalizado el 31 de Octubre del año 2014. Debe tenerse en cuenta que los Balances de la CVU </w:t>
      </w:r>
      <w:r>
        <w:rPr>
          <w:rFonts w:asciiTheme="minorHAnsi" w:hAnsiTheme="minorHAnsi" w:cs="Times New Roman"/>
          <w:lang w:val="es-ES_tradnl"/>
        </w:rPr>
        <w:t xml:space="preserve">corresponden al período </w:t>
      </w:r>
      <w:r w:rsidR="00FB0A6C" w:rsidRPr="004F6166">
        <w:rPr>
          <w:rFonts w:asciiTheme="minorHAnsi" w:hAnsiTheme="minorHAnsi" w:cs="Times New Roman"/>
          <w:lang w:val="es-ES_tradnl"/>
        </w:rPr>
        <w:t xml:space="preserve">1 de noviembre </w:t>
      </w:r>
      <w:r>
        <w:rPr>
          <w:rFonts w:asciiTheme="minorHAnsi" w:hAnsiTheme="minorHAnsi" w:cs="Times New Roman"/>
          <w:lang w:val="es-ES_tradnl"/>
        </w:rPr>
        <w:t>-</w:t>
      </w:r>
      <w:r w:rsidR="00FB0A6C" w:rsidRPr="004F6166">
        <w:rPr>
          <w:rFonts w:asciiTheme="minorHAnsi" w:hAnsiTheme="minorHAnsi" w:cs="Times New Roman"/>
          <w:lang w:val="es-ES_tradnl"/>
        </w:rPr>
        <w:t xml:space="preserve"> 31 de octubre.   </w:t>
      </w:r>
    </w:p>
    <w:p w:rsidR="009F7995" w:rsidRPr="004F6166" w:rsidRDefault="002471B4" w:rsidP="004F6166">
      <w:pPr>
        <w:jc w:val="both"/>
        <w:rPr>
          <w:rFonts w:asciiTheme="minorHAnsi" w:hAnsiTheme="minorHAnsi" w:cs="Times New Roman"/>
          <w:lang w:val="es-ES_tradnl"/>
        </w:rPr>
      </w:pPr>
      <w:r w:rsidRPr="004F6166">
        <w:rPr>
          <w:rFonts w:asciiTheme="minorHAnsi" w:hAnsiTheme="minorHAnsi" w:cs="Times New Roman"/>
          <w:lang w:val="es-ES_tradnl"/>
        </w:rPr>
        <w:t>Las inversiones a realizar obligatoriamente por la CVU, según con</w:t>
      </w:r>
      <w:r w:rsidR="00252F3A" w:rsidRPr="004F6166">
        <w:rPr>
          <w:rFonts w:asciiTheme="minorHAnsi" w:hAnsiTheme="minorHAnsi" w:cs="Times New Roman"/>
          <w:lang w:val="es-ES_tradnl"/>
        </w:rPr>
        <w:t xml:space="preserve">sta en el Anexo </w:t>
      </w:r>
      <w:r w:rsidR="001245C5">
        <w:rPr>
          <w:rFonts w:asciiTheme="minorHAnsi" w:hAnsiTheme="minorHAnsi" w:cs="Times New Roman"/>
          <w:lang w:val="es-ES_tradnl"/>
        </w:rPr>
        <w:t>I</w:t>
      </w:r>
      <w:r w:rsidR="00252F3A" w:rsidRPr="004F6166">
        <w:rPr>
          <w:rFonts w:asciiTheme="minorHAnsi" w:hAnsiTheme="minorHAnsi" w:cs="Times New Roman"/>
          <w:lang w:val="es-ES_tradnl"/>
        </w:rPr>
        <w:t xml:space="preserve"> del con</w:t>
      </w:r>
      <w:r w:rsidRPr="004F6166">
        <w:rPr>
          <w:rFonts w:asciiTheme="minorHAnsi" w:hAnsiTheme="minorHAnsi" w:cs="Times New Roman"/>
          <w:lang w:val="es-ES_tradnl"/>
        </w:rPr>
        <w:t xml:space="preserve">trato, deberán ser por un total de </w:t>
      </w:r>
      <w:r w:rsidR="00D50870">
        <w:rPr>
          <w:rFonts w:asciiTheme="minorHAnsi" w:hAnsiTheme="minorHAnsi" w:cs="Times New Roman"/>
          <w:lang w:val="es-ES_tradnl"/>
        </w:rPr>
        <w:t xml:space="preserve">obras, que se denomina </w:t>
      </w:r>
      <w:r w:rsidRPr="004F6166">
        <w:rPr>
          <w:rFonts w:asciiTheme="minorHAnsi" w:hAnsiTheme="minorHAnsi" w:cs="Times New Roman"/>
          <w:lang w:val="es-ES_tradnl"/>
        </w:rPr>
        <w:t>Gasto Comprometido</w:t>
      </w:r>
      <w:r w:rsidR="00D50870">
        <w:rPr>
          <w:rFonts w:asciiTheme="minorHAnsi" w:hAnsiTheme="minorHAnsi" w:cs="Times New Roman"/>
          <w:lang w:val="es-ES_tradnl"/>
        </w:rPr>
        <w:t xml:space="preserve">, </w:t>
      </w:r>
      <w:r w:rsidRPr="004F6166">
        <w:rPr>
          <w:rFonts w:asciiTheme="minorHAnsi" w:hAnsiTheme="minorHAnsi" w:cs="Times New Roman"/>
          <w:lang w:val="es-ES_tradnl"/>
        </w:rPr>
        <w:t>de US$ 861.864.000</w:t>
      </w:r>
      <w:r w:rsidR="001245C5">
        <w:rPr>
          <w:rFonts w:asciiTheme="minorHAnsi" w:hAnsiTheme="minorHAnsi" w:cs="Times New Roman"/>
          <w:lang w:val="es-ES_tradnl"/>
        </w:rPr>
        <w:t xml:space="preserve"> (valor presente)</w:t>
      </w:r>
      <w:r w:rsidRPr="004F6166">
        <w:rPr>
          <w:rFonts w:asciiTheme="minorHAnsi" w:hAnsiTheme="minorHAnsi" w:cs="Times New Roman"/>
          <w:lang w:val="es-ES_tradnl"/>
        </w:rPr>
        <w:t>. Este valor se ajusta anualmente por el cumplimiento en el pago de los subsidios</w:t>
      </w:r>
      <w:r w:rsidR="001245C5">
        <w:rPr>
          <w:rFonts w:asciiTheme="minorHAnsi" w:hAnsiTheme="minorHAnsi" w:cs="Times New Roman"/>
          <w:lang w:val="es-ES_tradnl"/>
        </w:rPr>
        <w:t xml:space="preserve"> que recibe la CVU del MTOP para efectuar estas obras</w:t>
      </w:r>
      <w:r w:rsidRPr="004F6166">
        <w:rPr>
          <w:rFonts w:asciiTheme="minorHAnsi" w:hAnsiTheme="minorHAnsi" w:cs="Times New Roman"/>
          <w:lang w:val="es-ES_tradnl"/>
        </w:rPr>
        <w:t>, las obligaciones de ejecución de obra por CVU</w:t>
      </w:r>
      <w:r w:rsidR="00A6443D">
        <w:rPr>
          <w:rFonts w:asciiTheme="minorHAnsi" w:hAnsiTheme="minorHAnsi" w:cs="Times New Roman"/>
          <w:lang w:val="es-ES_tradnl"/>
        </w:rPr>
        <w:t xml:space="preserve">, </w:t>
      </w:r>
      <w:r w:rsidRPr="004F6166">
        <w:rPr>
          <w:rFonts w:asciiTheme="minorHAnsi" w:hAnsiTheme="minorHAnsi" w:cs="Times New Roman"/>
          <w:lang w:val="es-ES_tradnl"/>
        </w:rPr>
        <w:t>los ingresos percibidos por peajes</w:t>
      </w:r>
      <w:r w:rsidR="00A6443D">
        <w:rPr>
          <w:rFonts w:asciiTheme="minorHAnsi" w:hAnsiTheme="minorHAnsi" w:cs="Times New Roman"/>
          <w:lang w:val="es-ES_tradnl"/>
        </w:rPr>
        <w:t xml:space="preserve">, para lo cual ha sido autorizado por el Gobierno también con estos fines, y </w:t>
      </w:r>
      <w:r w:rsidR="00A6443D" w:rsidRPr="004F6166">
        <w:rPr>
          <w:rFonts w:asciiTheme="minorHAnsi" w:hAnsiTheme="minorHAnsi" w:cs="Times New Roman"/>
          <w:lang w:val="es-ES_tradnl"/>
        </w:rPr>
        <w:t>los costos financieros incurridos</w:t>
      </w:r>
      <w:r w:rsidR="00A6443D">
        <w:rPr>
          <w:rFonts w:asciiTheme="minorHAnsi" w:hAnsiTheme="minorHAnsi" w:cs="Times New Roman"/>
          <w:lang w:val="es-ES_tradnl"/>
        </w:rPr>
        <w:t xml:space="preserve">, </w:t>
      </w:r>
      <w:r w:rsidR="00D50870">
        <w:rPr>
          <w:rFonts w:asciiTheme="minorHAnsi" w:hAnsiTheme="minorHAnsi" w:cs="Times New Roman"/>
          <w:lang w:val="es-ES_tradnl"/>
        </w:rPr>
        <w:t xml:space="preserve">estos últimos </w:t>
      </w:r>
      <w:r w:rsidR="00A6443D" w:rsidRPr="004F6166">
        <w:rPr>
          <w:rFonts w:asciiTheme="minorHAnsi" w:hAnsiTheme="minorHAnsi" w:cs="Times New Roman"/>
          <w:lang w:val="es-ES_tradnl"/>
        </w:rPr>
        <w:t>respecto a los previstos inicialmente en el contrato de concesión</w:t>
      </w:r>
      <w:r w:rsidRPr="004F6166">
        <w:rPr>
          <w:rFonts w:asciiTheme="minorHAnsi" w:hAnsiTheme="minorHAnsi" w:cs="Times New Roman"/>
          <w:lang w:val="es-ES_tradnl"/>
        </w:rPr>
        <w:t>. Si la inversión es menor al Gasto Comprometido</w:t>
      </w:r>
      <w:r w:rsidR="00A6443D">
        <w:rPr>
          <w:rFonts w:asciiTheme="minorHAnsi" w:hAnsiTheme="minorHAnsi" w:cs="Times New Roman"/>
          <w:lang w:val="es-ES_tradnl"/>
        </w:rPr>
        <w:t xml:space="preserve">, ajustado según los criterios anteriores, </w:t>
      </w:r>
      <w:r w:rsidRPr="004F6166">
        <w:rPr>
          <w:rFonts w:asciiTheme="minorHAnsi" w:hAnsiTheme="minorHAnsi" w:cs="Times New Roman"/>
          <w:lang w:val="es-ES_tradnl"/>
        </w:rPr>
        <w:t>en los 18 años de la concesión, la CVU tendrá el derecho a percibir la diferencia mediante la contratación de obras en un plazo máximo de dos años.</w:t>
      </w:r>
    </w:p>
    <w:p w:rsidR="002471B4" w:rsidRPr="004F6166" w:rsidRDefault="009F7995" w:rsidP="004F6166">
      <w:pPr>
        <w:jc w:val="both"/>
        <w:rPr>
          <w:rFonts w:asciiTheme="minorHAnsi" w:hAnsiTheme="minorHAnsi" w:cs="Times New Roman"/>
          <w:lang w:val="es-ES_tradnl"/>
        </w:rPr>
      </w:pPr>
      <w:r w:rsidRPr="004F6166">
        <w:rPr>
          <w:rFonts w:asciiTheme="minorHAnsi" w:hAnsiTheme="minorHAnsi" w:cs="Times New Roman"/>
          <w:lang w:val="es-ES_tradnl"/>
        </w:rPr>
        <w:t xml:space="preserve">El costo de estas inversiones, que incluye la ganancia establecida para la CVU y </w:t>
      </w:r>
      <w:r w:rsidR="00A6443D">
        <w:rPr>
          <w:rFonts w:asciiTheme="minorHAnsi" w:hAnsiTheme="minorHAnsi" w:cs="Times New Roman"/>
          <w:lang w:val="es-ES_tradnl"/>
        </w:rPr>
        <w:t>se paga</w:t>
      </w:r>
      <w:r w:rsidRPr="004F6166">
        <w:rPr>
          <w:rFonts w:asciiTheme="minorHAnsi" w:hAnsiTheme="minorHAnsi" w:cs="Times New Roman"/>
          <w:lang w:val="es-ES_tradnl"/>
        </w:rPr>
        <w:t xml:space="preserve"> con el cobro de peajes y subsidio</w:t>
      </w:r>
      <w:r w:rsidR="00A6443D">
        <w:rPr>
          <w:rFonts w:asciiTheme="minorHAnsi" w:hAnsiTheme="minorHAnsi" w:cs="Times New Roman"/>
          <w:lang w:val="es-ES_tradnl"/>
        </w:rPr>
        <w:t>s</w:t>
      </w:r>
      <w:r w:rsidRPr="004F6166">
        <w:rPr>
          <w:rFonts w:asciiTheme="minorHAnsi" w:hAnsiTheme="minorHAnsi" w:cs="Times New Roman"/>
          <w:lang w:val="es-ES_tradnl"/>
        </w:rPr>
        <w:t xml:space="preserve">, se reconoce por el MTOP a medida que avanzan las obras.  </w:t>
      </w:r>
      <w:r w:rsidR="00DD424B" w:rsidRPr="004F6166">
        <w:rPr>
          <w:rFonts w:asciiTheme="minorHAnsi" w:hAnsiTheme="minorHAnsi" w:cs="Times New Roman"/>
          <w:lang w:val="es-ES_tradnl"/>
        </w:rPr>
        <w:t xml:space="preserve">Hasta el ejercicio 2013/2014, el MTOP le ha reconocido un gasto total </w:t>
      </w:r>
      <w:r w:rsidRPr="004F6166">
        <w:rPr>
          <w:rFonts w:asciiTheme="minorHAnsi" w:hAnsiTheme="minorHAnsi" w:cs="Times New Roman"/>
          <w:lang w:val="es-ES_tradnl"/>
        </w:rPr>
        <w:t xml:space="preserve">por un valor </w:t>
      </w:r>
      <w:r w:rsidR="00A6443D">
        <w:rPr>
          <w:rFonts w:asciiTheme="minorHAnsi" w:hAnsiTheme="minorHAnsi" w:cs="Times New Roman"/>
          <w:lang w:val="es-ES_tradnl"/>
        </w:rPr>
        <w:t xml:space="preserve">presente </w:t>
      </w:r>
      <w:r w:rsidR="00DD424B" w:rsidRPr="004F6166">
        <w:rPr>
          <w:rFonts w:asciiTheme="minorHAnsi" w:hAnsiTheme="minorHAnsi" w:cs="Times New Roman"/>
          <w:lang w:val="es-ES_tradnl"/>
        </w:rPr>
        <w:t>de US$ 705.084.828 a la CVU, por tanto faltarían inversiones por valor de casi US$ 157 millones para ll</w:t>
      </w:r>
      <w:r w:rsidRPr="004F6166">
        <w:rPr>
          <w:rFonts w:asciiTheme="minorHAnsi" w:hAnsiTheme="minorHAnsi" w:cs="Times New Roman"/>
          <w:lang w:val="es-ES_tradnl"/>
        </w:rPr>
        <w:t>e</w:t>
      </w:r>
      <w:r w:rsidR="00DD424B" w:rsidRPr="004F6166">
        <w:rPr>
          <w:rFonts w:asciiTheme="minorHAnsi" w:hAnsiTheme="minorHAnsi" w:cs="Times New Roman"/>
          <w:lang w:val="es-ES_tradnl"/>
        </w:rPr>
        <w:t xml:space="preserve">gar al Gasto Comprometido. </w:t>
      </w:r>
    </w:p>
    <w:p w:rsidR="002471B4" w:rsidRDefault="00DD424B" w:rsidP="004F6166">
      <w:pPr>
        <w:jc w:val="both"/>
        <w:rPr>
          <w:rFonts w:asciiTheme="minorHAnsi" w:hAnsiTheme="minorHAnsi" w:cs="Times New Roman"/>
          <w:lang w:val="es-ES_tradnl"/>
        </w:rPr>
      </w:pPr>
      <w:r w:rsidRPr="004F6166">
        <w:rPr>
          <w:rFonts w:asciiTheme="minorHAnsi" w:hAnsiTheme="minorHAnsi" w:cs="Times New Roman"/>
          <w:lang w:val="es-ES_tradnl"/>
        </w:rPr>
        <w:t>Sin embargo, e</w:t>
      </w:r>
      <w:r w:rsidR="002471B4" w:rsidRPr="004F6166">
        <w:rPr>
          <w:rFonts w:asciiTheme="minorHAnsi" w:hAnsiTheme="minorHAnsi" w:cs="Times New Roman"/>
          <w:lang w:val="es-ES_tradnl"/>
        </w:rPr>
        <w:t>n función de las cláusulas del contrato,</w:t>
      </w:r>
      <w:r w:rsidR="009F7995" w:rsidRPr="004F6166">
        <w:rPr>
          <w:rFonts w:asciiTheme="minorHAnsi" w:hAnsiTheme="minorHAnsi" w:cs="Times New Roman"/>
          <w:lang w:val="es-ES_tradnl"/>
        </w:rPr>
        <w:t xml:space="preserve"> este monto debe ser ajustado anualmente</w:t>
      </w:r>
      <w:r w:rsidR="00D50870">
        <w:rPr>
          <w:rFonts w:asciiTheme="minorHAnsi" w:hAnsiTheme="minorHAnsi" w:cs="Times New Roman"/>
          <w:lang w:val="es-ES_tradnl"/>
        </w:rPr>
        <w:t xml:space="preserve"> </w:t>
      </w:r>
      <w:r w:rsidR="009F7995" w:rsidRPr="004F6166">
        <w:rPr>
          <w:rFonts w:asciiTheme="minorHAnsi" w:hAnsiTheme="minorHAnsi" w:cs="Times New Roman"/>
          <w:lang w:val="es-ES_tradnl"/>
        </w:rPr>
        <w:t xml:space="preserve">y </w:t>
      </w:r>
      <w:r w:rsidR="00A6443D">
        <w:rPr>
          <w:rFonts w:asciiTheme="minorHAnsi" w:hAnsiTheme="minorHAnsi" w:cs="Times New Roman"/>
          <w:lang w:val="es-ES_tradnl"/>
        </w:rPr>
        <w:t>c</w:t>
      </w:r>
      <w:r w:rsidR="002471B4" w:rsidRPr="004F6166">
        <w:rPr>
          <w:rFonts w:asciiTheme="minorHAnsi" w:hAnsiTheme="minorHAnsi" w:cs="Times New Roman"/>
          <w:lang w:val="es-ES_tradnl"/>
        </w:rPr>
        <w:t xml:space="preserve">omo el flujo percibido de peajes </w:t>
      </w:r>
      <w:r w:rsidRPr="004F6166">
        <w:rPr>
          <w:rFonts w:asciiTheme="minorHAnsi" w:hAnsiTheme="minorHAnsi" w:cs="Times New Roman"/>
          <w:lang w:val="es-ES_tradnl"/>
        </w:rPr>
        <w:t xml:space="preserve">desde el año 2009 </w:t>
      </w:r>
      <w:r w:rsidR="002471B4" w:rsidRPr="004F6166">
        <w:rPr>
          <w:rFonts w:asciiTheme="minorHAnsi" w:hAnsiTheme="minorHAnsi" w:cs="Times New Roman"/>
          <w:lang w:val="es-ES_tradnl"/>
        </w:rPr>
        <w:t>ha superado al estimado inicialmente</w:t>
      </w:r>
      <w:r w:rsidRPr="004F6166">
        <w:rPr>
          <w:rFonts w:asciiTheme="minorHAnsi" w:hAnsiTheme="minorHAnsi" w:cs="Times New Roman"/>
          <w:lang w:val="es-ES_tradnl"/>
        </w:rPr>
        <w:t xml:space="preserve">, </w:t>
      </w:r>
      <w:r w:rsidR="00FB0A6C" w:rsidRPr="004F6166">
        <w:rPr>
          <w:rFonts w:asciiTheme="minorHAnsi" w:hAnsiTheme="minorHAnsi" w:cs="Times New Roman"/>
          <w:lang w:val="es-ES_tradnl"/>
        </w:rPr>
        <w:t xml:space="preserve">al igual que </w:t>
      </w:r>
      <w:r w:rsidRPr="004F6166">
        <w:rPr>
          <w:rFonts w:asciiTheme="minorHAnsi" w:hAnsiTheme="minorHAnsi" w:cs="Times New Roman"/>
          <w:lang w:val="es-ES_tradnl"/>
        </w:rPr>
        <w:t>los costos de financiamiento</w:t>
      </w:r>
      <w:r w:rsidR="002471B4" w:rsidRPr="004F6166">
        <w:rPr>
          <w:rFonts w:asciiTheme="minorHAnsi" w:hAnsiTheme="minorHAnsi" w:cs="Times New Roman"/>
          <w:lang w:val="es-ES_tradnl"/>
        </w:rPr>
        <w:t>,</w:t>
      </w:r>
      <w:r w:rsidRPr="004F6166">
        <w:rPr>
          <w:rFonts w:asciiTheme="minorHAnsi" w:hAnsiTheme="minorHAnsi" w:cs="Times New Roman"/>
          <w:lang w:val="es-ES_tradnl"/>
        </w:rPr>
        <w:t xml:space="preserve"> </w:t>
      </w:r>
      <w:r w:rsidR="002471B4" w:rsidRPr="004F6166">
        <w:rPr>
          <w:rFonts w:asciiTheme="minorHAnsi" w:hAnsiTheme="minorHAnsi" w:cs="Times New Roman"/>
          <w:lang w:val="es-ES_tradnl"/>
        </w:rPr>
        <w:t xml:space="preserve">ese valor </w:t>
      </w:r>
      <w:r w:rsidRPr="004F6166">
        <w:rPr>
          <w:rFonts w:asciiTheme="minorHAnsi" w:hAnsiTheme="minorHAnsi" w:cs="Times New Roman"/>
          <w:lang w:val="es-ES_tradnl"/>
        </w:rPr>
        <w:t xml:space="preserve">inicial </w:t>
      </w:r>
      <w:r w:rsidR="002471B4" w:rsidRPr="004F6166">
        <w:rPr>
          <w:rFonts w:asciiTheme="minorHAnsi" w:hAnsiTheme="minorHAnsi" w:cs="Times New Roman"/>
          <w:lang w:val="es-ES_tradnl"/>
        </w:rPr>
        <w:t>debe ser aju</w:t>
      </w:r>
      <w:r w:rsidRPr="004F6166">
        <w:rPr>
          <w:rFonts w:asciiTheme="minorHAnsi" w:hAnsiTheme="minorHAnsi" w:cs="Times New Roman"/>
          <w:lang w:val="es-ES_tradnl"/>
        </w:rPr>
        <w:t>s</w:t>
      </w:r>
      <w:r w:rsidR="002471B4" w:rsidRPr="004F6166">
        <w:rPr>
          <w:rFonts w:asciiTheme="minorHAnsi" w:hAnsiTheme="minorHAnsi" w:cs="Times New Roman"/>
          <w:lang w:val="es-ES_tradnl"/>
        </w:rPr>
        <w:t>tado</w:t>
      </w:r>
      <w:r w:rsidRPr="004F6166">
        <w:rPr>
          <w:rFonts w:asciiTheme="minorHAnsi" w:hAnsiTheme="minorHAnsi" w:cs="Times New Roman"/>
          <w:lang w:val="es-ES_tradnl"/>
        </w:rPr>
        <w:t xml:space="preserve"> </w:t>
      </w:r>
      <w:r w:rsidR="0084572D" w:rsidRPr="004F6166">
        <w:rPr>
          <w:rFonts w:asciiTheme="minorHAnsi" w:hAnsiTheme="minorHAnsi" w:cs="Times New Roman"/>
          <w:lang w:val="es-ES_tradnl"/>
        </w:rPr>
        <w:t xml:space="preserve">actualmente </w:t>
      </w:r>
      <w:r w:rsidRPr="004F6166">
        <w:rPr>
          <w:rFonts w:asciiTheme="minorHAnsi" w:hAnsiTheme="minorHAnsi" w:cs="Times New Roman"/>
          <w:lang w:val="es-ES_tradnl"/>
        </w:rPr>
        <w:t xml:space="preserve">en un monto de casi </w:t>
      </w:r>
      <w:r w:rsidR="009F7995" w:rsidRPr="004F6166">
        <w:rPr>
          <w:rFonts w:asciiTheme="minorHAnsi" w:hAnsiTheme="minorHAnsi" w:cs="Times New Roman"/>
          <w:lang w:val="es-ES_tradnl"/>
        </w:rPr>
        <w:t>US$ 104</w:t>
      </w:r>
      <w:r w:rsidRPr="004F6166">
        <w:rPr>
          <w:rFonts w:asciiTheme="minorHAnsi" w:hAnsiTheme="minorHAnsi" w:cs="Times New Roman"/>
          <w:lang w:val="es-ES_tradnl"/>
        </w:rPr>
        <w:t xml:space="preserve"> millones adicionales</w:t>
      </w:r>
      <w:r w:rsidR="0084572D" w:rsidRPr="004F6166">
        <w:rPr>
          <w:rFonts w:asciiTheme="minorHAnsi" w:hAnsiTheme="minorHAnsi" w:cs="Times New Roman"/>
          <w:lang w:val="es-ES_tradnl"/>
        </w:rPr>
        <w:t xml:space="preserve"> de obras</w:t>
      </w:r>
      <w:r w:rsidRPr="004F6166">
        <w:rPr>
          <w:rFonts w:asciiTheme="minorHAnsi" w:hAnsiTheme="minorHAnsi" w:cs="Times New Roman"/>
          <w:lang w:val="es-ES_tradnl"/>
        </w:rPr>
        <w:t>, con lo cu</w:t>
      </w:r>
      <w:r w:rsidR="0084572D" w:rsidRPr="004F6166">
        <w:rPr>
          <w:rFonts w:asciiTheme="minorHAnsi" w:hAnsiTheme="minorHAnsi" w:cs="Times New Roman"/>
          <w:lang w:val="es-ES_tradnl"/>
        </w:rPr>
        <w:t>a</w:t>
      </w:r>
      <w:r w:rsidRPr="004F6166">
        <w:rPr>
          <w:rFonts w:asciiTheme="minorHAnsi" w:hAnsiTheme="minorHAnsi" w:cs="Times New Roman"/>
          <w:lang w:val="es-ES_tradnl"/>
        </w:rPr>
        <w:t>l el Ga</w:t>
      </w:r>
      <w:r w:rsidR="0084572D" w:rsidRPr="004F6166">
        <w:rPr>
          <w:rFonts w:asciiTheme="minorHAnsi" w:hAnsiTheme="minorHAnsi" w:cs="Times New Roman"/>
          <w:lang w:val="es-ES_tradnl"/>
        </w:rPr>
        <w:t>s</w:t>
      </w:r>
      <w:r w:rsidRPr="004F6166">
        <w:rPr>
          <w:rFonts w:asciiTheme="minorHAnsi" w:hAnsiTheme="minorHAnsi" w:cs="Times New Roman"/>
          <w:lang w:val="es-ES_tradnl"/>
        </w:rPr>
        <w:t>to Comprome</w:t>
      </w:r>
      <w:r w:rsidR="0084572D" w:rsidRPr="004F6166">
        <w:rPr>
          <w:rFonts w:asciiTheme="minorHAnsi" w:hAnsiTheme="minorHAnsi" w:cs="Times New Roman"/>
          <w:lang w:val="es-ES_tradnl"/>
        </w:rPr>
        <w:t>t</w:t>
      </w:r>
      <w:r w:rsidRPr="004F6166">
        <w:rPr>
          <w:rFonts w:asciiTheme="minorHAnsi" w:hAnsiTheme="minorHAnsi" w:cs="Times New Roman"/>
          <w:lang w:val="es-ES_tradnl"/>
        </w:rPr>
        <w:t>ido</w:t>
      </w:r>
      <w:r w:rsidR="0084572D" w:rsidRPr="004F6166">
        <w:rPr>
          <w:rFonts w:asciiTheme="minorHAnsi" w:hAnsiTheme="minorHAnsi" w:cs="Times New Roman"/>
          <w:lang w:val="es-ES_tradnl"/>
        </w:rPr>
        <w:t xml:space="preserve"> total </w:t>
      </w:r>
      <w:r w:rsidRPr="004F6166">
        <w:rPr>
          <w:rFonts w:asciiTheme="minorHAnsi" w:hAnsiTheme="minorHAnsi" w:cs="Times New Roman"/>
          <w:lang w:val="es-ES_tradnl"/>
        </w:rPr>
        <w:t>a hoy ascende</w:t>
      </w:r>
      <w:r w:rsidR="0084572D" w:rsidRPr="004F6166">
        <w:rPr>
          <w:rFonts w:asciiTheme="minorHAnsi" w:hAnsiTheme="minorHAnsi" w:cs="Times New Roman"/>
          <w:lang w:val="es-ES_tradnl"/>
        </w:rPr>
        <w:t xml:space="preserve">ría </w:t>
      </w:r>
      <w:r w:rsidRPr="004F6166">
        <w:rPr>
          <w:rFonts w:asciiTheme="minorHAnsi" w:hAnsiTheme="minorHAnsi" w:cs="Times New Roman"/>
          <w:lang w:val="es-ES_tradnl"/>
        </w:rPr>
        <w:t xml:space="preserve">a casi US$ </w:t>
      </w:r>
      <w:r w:rsidR="0084572D" w:rsidRPr="004F6166">
        <w:rPr>
          <w:rFonts w:asciiTheme="minorHAnsi" w:hAnsiTheme="minorHAnsi" w:cs="Times New Roman"/>
          <w:lang w:val="es-ES_tradnl"/>
        </w:rPr>
        <w:t>9</w:t>
      </w:r>
      <w:r w:rsidRPr="004F6166">
        <w:rPr>
          <w:rFonts w:asciiTheme="minorHAnsi" w:hAnsiTheme="minorHAnsi" w:cs="Times New Roman"/>
          <w:lang w:val="es-ES_tradnl"/>
        </w:rPr>
        <w:t>6</w:t>
      </w:r>
      <w:r w:rsidR="00A6443D">
        <w:rPr>
          <w:rFonts w:asciiTheme="minorHAnsi" w:hAnsiTheme="minorHAnsi" w:cs="Times New Roman"/>
          <w:lang w:val="es-ES_tradnl"/>
        </w:rPr>
        <w:t>5</w:t>
      </w:r>
      <w:r w:rsidRPr="004F6166">
        <w:rPr>
          <w:rFonts w:asciiTheme="minorHAnsi" w:hAnsiTheme="minorHAnsi" w:cs="Times New Roman"/>
          <w:lang w:val="es-ES_tradnl"/>
        </w:rPr>
        <w:t xml:space="preserve"> millones, re</w:t>
      </w:r>
      <w:r w:rsidR="0084572D" w:rsidRPr="004F6166">
        <w:rPr>
          <w:rFonts w:asciiTheme="minorHAnsi" w:hAnsiTheme="minorHAnsi" w:cs="Times New Roman"/>
          <w:lang w:val="es-ES_tradnl"/>
        </w:rPr>
        <w:t>s</w:t>
      </w:r>
      <w:r w:rsidRPr="004F6166">
        <w:rPr>
          <w:rFonts w:asciiTheme="minorHAnsi" w:hAnsiTheme="minorHAnsi" w:cs="Times New Roman"/>
          <w:lang w:val="es-ES_tradnl"/>
        </w:rPr>
        <w:t>tando por ejecutar en lo</w:t>
      </w:r>
      <w:r w:rsidR="0084572D" w:rsidRPr="004F6166">
        <w:rPr>
          <w:rFonts w:asciiTheme="minorHAnsi" w:hAnsiTheme="minorHAnsi" w:cs="Times New Roman"/>
          <w:lang w:val="es-ES_tradnl"/>
        </w:rPr>
        <w:t>s</w:t>
      </w:r>
      <w:r w:rsidRPr="004F6166">
        <w:rPr>
          <w:rFonts w:asciiTheme="minorHAnsi" w:hAnsiTheme="minorHAnsi" w:cs="Times New Roman"/>
          <w:lang w:val="es-ES_tradnl"/>
        </w:rPr>
        <w:t xml:space="preserve"> próximos ejercicio</w:t>
      </w:r>
      <w:r w:rsidR="0084572D" w:rsidRPr="004F6166">
        <w:rPr>
          <w:rFonts w:asciiTheme="minorHAnsi" w:hAnsiTheme="minorHAnsi" w:cs="Times New Roman"/>
          <w:lang w:val="es-ES_tradnl"/>
        </w:rPr>
        <w:t>s de la concesión</w:t>
      </w:r>
      <w:r w:rsidRPr="004F6166">
        <w:rPr>
          <w:rFonts w:asciiTheme="minorHAnsi" w:hAnsiTheme="minorHAnsi" w:cs="Times New Roman"/>
          <w:lang w:val="es-ES_tradnl"/>
        </w:rPr>
        <w:t xml:space="preserve"> un monto de US$ </w:t>
      </w:r>
      <w:r w:rsidR="00FA6606">
        <w:rPr>
          <w:rFonts w:asciiTheme="minorHAnsi" w:hAnsiTheme="minorHAnsi" w:cs="Times New Roman"/>
          <w:lang w:val="es-ES_tradnl"/>
        </w:rPr>
        <w:t>2</w:t>
      </w:r>
      <w:r w:rsidRPr="004F6166">
        <w:rPr>
          <w:rFonts w:asciiTheme="minorHAnsi" w:hAnsiTheme="minorHAnsi" w:cs="Times New Roman"/>
          <w:lang w:val="es-ES_tradnl"/>
        </w:rPr>
        <w:t>60 millones.</w:t>
      </w:r>
      <w:r w:rsidR="0084572D" w:rsidRPr="004F6166">
        <w:rPr>
          <w:rFonts w:asciiTheme="minorHAnsi" w:hAnsiTheme="minorHAnsi" w:cs="Times New Roman"/>
          <w:lang w:val="es-ES_tradnl"/>
        </w:rPr>
        <w:t xml:space="preserve"> E</w:t>
      </w:r>
      <w:r w:rsidRPr="004F6166">
        <w:rPr>
          <w:rFonts w:asciiTheme="minorHAnsi" w:hAnsiTheme="minorHAnsi" w:cs="Times New Roman"/>
          <w:lang w:val="es-ES_tradnl"/>
        </w:rPr>
        <w:t>sta información puede verse en</w:t>
      </w:r>
      <w:r w:rsidR="0084572D" w:rsidRPr="004F6166">
        <w:rPr>
          <w:rFonts w:asciiTheme="minorHAnsi" w:hAnsiTheme="minorHAnsi" w:cs="Times New Roman"/>
          <w:lang w:val="es-ES_tradnl"/>
        </w:rPr>
        <w:t xml:space="preserve"> </w:t>
      </w:r>
      <w:r w:rsidRPr="004F6166">
        <w:rPr>
          <w:rFonts w:asciiTheme="minorHAnsi" w:hAnsiTheme="minorHAnsi" w:cs="Times New Roman"/>
          <w:lang w:val="es-ES_tradnl"/>
        </w:rPr>
        <w:t>e</w:t>
      </w:r>
      <w:r w:rsidR="0084572D" w:rsidRPr="004F6166">
        <w:rPr>
          <w:rFonts w:asciiTheme="minorHAnsi" w:hAnsiTheme="minorHAnsi" w:cs="Times New Roman"/>
          <w:lang w:val="es-ES_tradnl"/>
        </w:rPr>
        <w:t>l</w:t>
      </w:r>
      <w:r w:rsidRPr="004F6166">
        <w:rPr>
          <w:rFonts w:asciiTheme="minorHAnsi" w:hAnsiTheme="minorHAnsi" w:cs="Times New Roman"/>
          <w:lang w:val="es-ES_tradnl"/>
        </w:rPr>
        <w:t xml:space="preserve"> cu</w:t>
      </w:r>
      <w:r w:rsidR="0084572D" w:rsidRPr="004F6166">
        <w:rPr>
          <w:rFonts w:asciiTheme="minorHAnsi" w:hAnsiTheme="minorHAnsi" w:cs="Times New Roman"/>
          <w:lang w:val="es-ES_tradnl"/>
        </w:rPr>
        <w:t>a</w:t>
      </w:r>
      <w:r w:rsidRPr="004F6166">
        <w:rPr>
          <w:rFonts w:asciiTheme="minorHAnsi" w:hAnsiTheme="minorHAnsi" w:cs="Times New Roman"/>
          <w:lang w:val="es-ES_tradnl"/>
        </w:rPr>
        <w:t xml:space="preserve">dro siguiente.   </w:t>
      </w:r>
    </w:p>
    <w:p w:rsidR="00A6443D" w:rsidRDefault="00F92117" w:rsidP="00A6443D">
      <w:pPr>
        <w:jc w:val="center"/>
        <w:rPr>
          <w:rFonts w:asciiTheme="minorHAnsi" w:hAnsiTheme="minorHAnsi" w:cs="Times New Roman"/>
          <w:lang w:val="es-ES_tradnl"/>
        </w:rPr>
      </w:pPr>
      <w:r w:rsidRPr="00F92117">
        <w:rPr>
          <w:noProof/>
          <w:lang w:val="en-US"/>
        </w:rPr>
        <w:drawing>
          <wp:inline distT="0" distB="0" distL="0" distR="0">
            <wp:extent cx="3689350" cy="1701800"/>
            <wp:effectExtent l="19050" t="0" r="6350" b="0"/>
            <wp:docPr id="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srcRect/>
                    <a:stretch>
                      <a:fillRect/>
                    </a:stretch>
                  </pic:blipFill>
                  <pic:spPr bwMode="auto">
                    <a:xfrm>
                      <a:off x="0" y="0"/>
                      <a:ext cx="3689350" cy="1701800"/>
                    </a:xfrm>
                    <a:prstGeom prst="rect">
                      <a:avLst/>
                    </a:prstGeom>
                    <a:noFill/>
                    <a:ln w="9525">
                      <a:noFill/>
                      <a:miter lim="800000"/>
                      <a:headEnd/>
                      <a:tailEnd/>
                    </a:ln>
                  </pic:spPr>
                </pic:pic>
              </a:graphicData>
            </a:graphic>
          </wp:inline>
        </w:drawing>
      </w:r>
    </w:p>
    <w:p w:rsidR="00A6443D" w:rsidRPr="00A6443D" w:rsidRDefault="00A6443D" w:rsidP="00A6443D">
      <w:pPr>
        <w:jc w:val="center"/>
        <w:rPr>
          <w:rFonts w:asciiTheme="minorHAnsi" w:hAnsiTheme="minorHAnsi" w:cs="Times New Roman"/>
          <w:sz w:val="18"/>
          <w:szCs w:val="18"/>
          <w:lang w:val="es-ES_tradnl"/>
        </w:rPr>
      </w:pPr>
      <w:r w:rsidRPr="00A6443D">
        <w:rPr>
          <w:rFonts w:asciiTheme="minorHAnsi" w:hAnsiTheme="minorHAnsi" w:cs="Times New Roman"/>
          <w:sz w:val="18"/>
          <w:szCs w:val="18"/>
          <w:lang w:val="es-ES_tradnl"/>
        </w:rPr>
        <w:t>Fuente: Cálculos propios en base a datos CVU</w:t>
      </w:r>
    </w:p>
    <w:p w:rsidR="00B62A6A" w:rsidRDefault="00D50870" w:rsidP="004F6166">
      <w:pPr>
        <w:jc w:val="both"/>
        <w:rPr>
          <w:rFonts w:asciiTheme="minorHAnsi" w:hAnsiTheme="minorHAnsi" w:cs="Times New Roman"/>
          <w:lang w:val="es-ES_tradnl"/>
        </w:rPr>
      </w:pPr>
      <w:r>
        <w:rPr>
          <w:rFonts w:asciiTheme="minorHAnsi" w:hAnsiTheme="minorHAnsi" w:cs="Times New Roman"/>
          <w:lang w:val="es-ES_tradnl"/>
        </w:rPr>
        <w:t>Por su parte, l</w:t>
      </w:r>
      <w:r w:rsidR="0084572D" w:rsidRPr="004F6166">
        <w:rPr>
          <w:rFonts w:asciiTheme="minorHAnsi" w:hAnsiTheme="minorHAnsi" w:cs="Times New Roman"/>
          <w:lang w:val="es-ES_tradnl"/>
        </w:rPr>
        <w:t>a operatoria de la registración de estas inversiones en el Balance de la CVU responde a normas contables aprobadas internacionalmente para las concesiones de</w:t>
      </w:r>
      <w:r w:rsidR="00B51FFA" w:rsidRPr="004F6166">
        <w:rPr>
          <w:rFonts w:asciiTheme="minorHAnsi" w:hAnsiTheme="minorHAnsi" w:cs="Times New Roman"/>
          <w:lang w:val="es-ES_tradnl"/>
        </w:rPr>
        <w:t xml:space="preserve"> </w:t>
      </w:r>
      <w:r w:rsidR="0084572D" w:rsidRPr="004F6166">
        <w:rPr>
          <w:rFonts w:asciiTheme="minorHAnsi" w:hAnsiTheme="minorHAnsi" w:cs="Times New Roman"/>
          <w:lang w:val="es-ES_tradnl"/>
        </w:rPr>
        <w:t>obras públicas,</w:t>
      </w:r>
      <w:r w:rsidR="000E56F2" w:rsidRPr="004F6166">
        <w:rPr>
          <w:rFonts w:asciiTheme="minorHAnsi" w:hAnsiTheme="minorHAnsi" w:cs="Times New Roman"/>
          <w:lang w:val="es-ES_tradnl"/>
        </w:rPr>
        <w:t xml:space="preserve"> o sea </w:t>
      </w:r>
      <w:r w:rsidR="00B62A6A">
        <w:rPr>
          <w:rFonts w:asciiTheme="minorHAnsi" w:hAnsiTheme="minorHAnsi" w:cs="Times New Roman"/>
          <w:lang w:val="es-ES_tradnl"/>
        </w:rPr>
        <w:t xml:space="preserve">a través de </w:t>
      </w:r>
      <w:r w:rsidR="000E56F2" w:rsidRPr="004F6166">
        <w:rPr>
          <w:rFonts w:asciiTheme="minorHAnsi" w:hAnsiTheme="minorHAnsi" w:cs="Times New Roman"/>
          <w:lang w:val="es-ES_tradnl"/>
        </w:rPr>
        <w:t xml:space="preserve">la interpretación </w:t>
      </w:r>
      <w:r w:rsidR="00DC7544">
        <w:rPr>
          <w:rFonts w:asciiTheme="minorHAnsi" w:hAnsiTheme="minorHAnsi" w:cs="Times New Roman"/>
          <w:lang w:val="es-ES_tradnl"/>
        </w:rPr>
        <w:t xml:space="preserve">de la regla </w:t>
      </w:r>
      <w:r w:rsidR="000E56F2" w:rsidRPr="004F6166">
        <w:rPr>
          <w:rFonts w:asciiTheme="minorHAnsi" w:hAnsiTheme="minorHAnsi" w:cs="Times New Roman"/>
          <w:lang w:val="es-ES_tradnl"/>
        </w:rPr>
        <w:t xml:space="preserve">CINIIF Nº12, </w:t>
      </w:r>
      <w:r w:rsidR="00B51FFA" w:rsidRPr="004F6166">
        <w:rPr>
          <w:rFonts w:asciiTheme="minorHAnsi" w:hAnsiTheme="minorHAnsi" w:cs="Times New Roman"/>
          <w:lang w:val="es-ES_tradnl"/>
        </w:rPr>
        <w:t>según puede verse en las Notas contables de los auditores a los Balances publicados en la web de la CVU</w:t>
      </w:r>
      <w:r w:rsidR="00B62A6A">
        <w:rPr>
          <w:rFonts w:asciiTheme="minorHAnsi" w:hAnsiTheme="minorHAnsi" w:cs="Times New Roman"/>
          <w:lang w:val="es-ES_tradnl"/>
        </w:rPr>
        <w:t>.</w:t>
      </w:r>
    </w:p>
    <w:p w:rsidR="00DC7544" w:rsidRDefault="00B62A6A" w:rsidP="004F6166">
      <w:pPr>
        <w:jc w:val="both"/>
        <w:rPr>
          <w:rFonts w:asciiTheme="minorHAnsi" w:hAnsiTheme="minorHAnsi" w:cs="Times New Roman"/>
          <w:lang w:val="es-ES_tradnl"/>
        </w:rPr>
      </w:pPr>
      <w:r>
        <w:rPr>
          <w:rFonts w:asciiTheme="minorHAnsi" w:hAnsiTheme="minorHAnsi" w:cs="Times New Roman"/>
          <w:lang w:val="es-ES_tradnl"/>
        </w:rPr>
        <w:t xml:space="preserve">Se registran </w:t>
      </w:r>
      <w:r w:rsidR="0084572D" w:rsidRPr="004F6166">
        <w:rPr>
          <w:rFonts w:asciiTheme="minorHAnsi" w:hAnsiTheme="minorHAnsi" w:cs="Times New Roman"/>
          <w:lang w:val="es-ES_tradnl"/>
        </w:rPr>
        <w:t>los movimientos de fondos y también l</w:t>
      </w:r>
      <w:r w:rsidR="00B51FFA" w:rsidRPr="004F6166">
        <w:rPr>
          <w:rFonts w:asciiTheme="minorHAnsi" w:hAnsiTheme="minorHAnsi" w:cs="Times New Roman"/>
          <w:lang w:val="es-ES_tradnl"/>
        </w:rPr>
        <w:t>as</w:t>
      </w:r>
      <w:r w:rsidR="0084572D" w:rsidRPr="004F6166">
        <w:rPr>
          <w:rFonts w:asciiTheme="minorHAnsi" w:hAnsiTheme="minorHAnsi" w:cs="Times New Roman"/>
          <w:lang w:val="es-ES_tradnl"/>
        </w:rPr>
        <w:t xml:space="preserve"> contingen</w:t>
      </w:r>
      <w:r w:rsidR="00B51FFA" w:rsidRPr="004F6166">
        <w:rPr>
          <w:rFonts w:asciiTheme="minorHAnsi" w:hAnsiTheme="minorHAnsi" w:cs="Times New Roman"/>
          <w:lang w:val="es-ES_tradnl"/>
        </w:rPr>
        <w:t>cias</w:t>
      </w:r>
      <w:r w:rsidR="0084572D" w:rsidRPr="004F6166">
        <w:rPr>
          <w:rFonts w:asciiTheme="minorHAnsi" w:hAnsiTheme="minorHAnsi" w:cs="Times New Roman"/>
          <w:lang w:val="es-ES_tradnl"/>
        </w:rPr>
        <w:t xml:space="preserve"> que responden a</w:t>
      </w:r>
      <w:r w:rsidR="00B51FFA" w:rsidRPr="004F6166">
        <w:rPr>
          <w:rFonts w:asciiTheme="minorHAnsi" w:hAnsiTheme="minorHAnsi" w:cs="Times New Roman"/>
          <w:lang w:val="es-ES_tradnl"/>
        </w:rPr>
        <w:t xml:space="preserve"> </w:t>
      </w:r>
      <w:r w:rsidR="0084572D" w:rsidRPr="004F6166">
        <w:rPr>
          <w:rFonts w:asciiTheme="minorHAnsi" w:hAnsiTheme="minorHAnsi" w:cs="Times New Roman"/>
          <w:lang w:val="es-ES_tradnl"/>
        </w:rPr>
        <w:t>lo</w:t>
      </w:r>
      <w:r w:rsidR="00B51FFA" w:rsidRPr="004F6166">
        <w:rPr>
          <w:rFonts w:asciiTheme="minorHAnsi" w:hAnsiTheme="minorHAnsi" w:cs="Times New Roman"/>
          <w:lang w:val="es-ES_tradnl"/>
        </w:rPr>
        <w:t>s</w:t>
      </w:r>
      <w:r w:rsidR="0084572D" w:rsidRPr="004F6166">
        <w:rPr>
          <w:rFonts w:asciiTheme="minorHAnsi" w:hAnsiTheme="minorHAnsi" w:cs="Times New Roman"/>
          <w:lang w:val="es-ES_tradnl"/>
        </w:rPr>
        <w:t xml:space="preserve"> compromisos que se as</w:t>
      </w:r>
      <w:r w:rsidR="00B51FFA" w:rsidRPr="004F6166">
        <w:rPr>
          <w:rFonts w:asciiTheme="minorHAnsi" w:hAnsiTheme="minorHAnsi" w:cs="Times New Roman"/>
          <w:lang w:val="es-ES_tradnl"/>
        </w:rPr>
        <w:t>u</w:t>
      </w:r>
      <w:r w:rsidR="0084572D" w:rsidRPr="004F6166">
        <w:rPr>
          <w:rFonts w:asciiTheme="minorHAnsi" w:hAnsiTheme="minorHAnsi" w:cs="Times New Roman"/>
          <w:lang w:val="es-ES_tradnl"/>
        </w:rPr>
        <w:t>men y debe</w:t>
      </w:r>
      <w:r w:rsidR="00B51FFA" w:rsidRPr="004F6166">
        <w:rPr>
          <w:rFonts w:asciiTheme="minorHAnsi" w:hAnsiTheme="minorHAnsi" w:cs="Times New Roman"/>
          <w:lang w:val="es-ES_tradnl"/>
        </w:rPr>
        <w:t>n</w:t>
      </w:r>
      <w:r w:rsidR="0084572D" w:rsidRPr="004F6166">
        <w:rPr>
          <w:rFonts w:asciiTheme="minorHAnsi" w:hAnsiTheme="minorHAnsi" w:cs="Times New Roman"/>
          <w:lang w:val="es-ES_tradnl"/>
        </w:rPr>
        <w:t xml:space="preserve"> estar comprendidos dentro de los balances. En </w:t>
      </w:r>
      <w:r w:rsidR="00F92309">
        <w:rPr>
          <w:rFonts w:asciiTheme="minorHAnsi" w:hAnsiTheme="minorHAnsi" w:cs="Times New Roman"/>
          <w:lang w:val="es-ES_tradnl"/>
        </w:rPr>
        <w:t>este</w:t>
      </w:r>
      <w:r w:rsidR="0084572D" w:rsidRPr="004F6166">
        <w:rPr>
          <w:rFonts w:asciiTheme="minorHAnsi" w:hAnsiTheme="minorHAnsi" w:cs="Times New Roman"/>
          <w:lang w:val="es-ES_tradnl"/>
        </w:rPr>
        <w:t xml:space="preserve"> caso, la operatoria puede describirse de</w:t>
      </w:r>
      <w:r w:rsidR="00B51FFA" w:rsidRPr="004F6166">
        <w:rPr>
          <w:rFonts w:asciiTheme="minorHAnsi" w:hAnsiTheme="minorHAnsi" w:cs="Times New Roman"/>
          <w:lang w:val="es-ES_tradnl"/>
        </w:rPr>
        <w:t xml:space="preserve"> </w:t>
      </w:r>
      <w:r w:rsidR="0084572D" w:rsidRPr="004F6166">
        <w:rPr>
          <w:rFonts w:asciiTheme="minorHAnsi" w:hAnsiTheme="minorHAnsi" w:cs="Times New Roman"/>
          <w:lang w:val="es-ES_tradnl"/>
        </w:rPr>
        <w:t>la siguiente manera.</w:t>
      </w:r>
      <w:r w:rsidR="000E56F2" w:rsidRPr="004F6166">
        <w:rPr>
          <w:rFonts w:asciiTheme="minorHAnsi" w:hAnsiTheme="minorHAnsi" w:cs="Times New Roman"/>
          <w:lang w:val="es-ES_tradnl"/>
        </w:rPr>
        <w:t xml:space="preserve"> </w:t>
      </w:r>
    </w:p>
    <w:p w:rsidR="0070217B" w:rsidRPr="004F6166" w:rsidRDefault="0084572D" w:rsidP="004F6166">
      <w:pPr>
        <w:jc w:val="both"/>
        <w:rPr>
          <w:rFonts w:asciiTheme="minorHAnsi" w:hAnsiTheme="minorHAnsi" w:cs="Times New Roman"/>
          <w:lang w:val="es-ES_tradnl"/>
        </w:rPr>
      </w:pPr>
      <w:r w:rsidRPr="004F6166">
        <w:rPr>
          <w:rFonts w:asciiTheme="minorHAnsi" w:hAnsiTheme="minorHAnsi" w:cs="Times New Roman"/>
          <w:lang w:val="es-ES_tradnl"/>
        </w:rPr>
        <w:t xml:space="preserve">Al ejecutarse la obra, se registra </w:t>
      </w:r>
      <w:r w:rsidR="00DC7544">
        <w:rPr>
          <w:rFonts w:asciiTheme="minorHAnsi" w:hAnsiTheme="minorHAnsi" w:cs="Times New Roman"/>
          <w:lang w:val="es-ES_tradnl"/>
        </w:rPr>
        <w:t xml:space="preserve">tanto </w:t>
      </w:r>
      <w:r w:rsidR="00B51FFA" w:rsidRPr="004F6166">
        <w:rPr>
          <w:rFonts w:asciiTheme="minorHAnsi" w:hAnsiTheme="minorHAnsi" w:cs="Times New Roman"/>
          <w:lang w:val="es-ES_tradnl"/>
        </w:rPr>
        <w:t xml:space="preserve">el costo de </w:t>
      </w:r>
      <w:r w:rsidRPr="004F6166">
        <w:rPr>
          <w:rFonts w:asciiTheme="minorHAnsi" w:hAnsiTheme="minorHAnsi" w:cs="Times New Roman"/>
          <w:lang w:val="es-ES_tradnl"/>
        </w:rPr>
        <w:t xml:space="preserve">la misma </w:t>
      </w:r>
      <w:r w:rsidR="00DC7544">
        <w:rPr>
          <w:rFonts w:asciiTheme="minorHAnsi" w:hAnsiTheme="minorHAnsi" w:cs="Times New Roman"/>
          <w:lang w:val="es-ES_tradnl"/>
        </w:rPr>
        <w:t>como</w:t>
      </w:r>
      <w:r w:rsidR="00B51FFA" w:rsidRPr="004F6166">
        <w:rPr>
          <w:rFonts w:asciiTheme="minorHAnsi" w:hAnsiTheme="minorHAnsi" w:cs="Times New Roman"/>
          <w:lang w:val="es-ES_tradnl"/>
        </w:rPr>
        <w:t xml:space="preserve"> la ganancia establecida para la CVU </w:t>
      </w:r>
      <w:r w:rsidRPr="004F6166">
        <w:rPr>
          <w:rFonts w:asciiTheme="minorHAnsi" w:hAnsiTheme="minorHAnsi" w:cs="Times New Roman"/>
          <w:lang w:val="es-ES_tradnl"/>
        </w:rPr>
        <w:t>y</w:t>
      </w:r>
      <w:r w:rsidR="00DC7544">
        <w:rPr>
          <w:rFonts w:asciiTheme="minorHAnsi" w:hAnsiTheme="minorHAnsi" w:cs="Times New Roman"/>
          <w:lang w:val="es-ES_tradnl"/>
        </w:rPr>
        <w:t>,</w:t>
      </w:r>
      <w:r w:rsidRPr="004F6166">
        <w:rPr>
          <w:rFonts w:asciiTheme="minorHAnsi" w:hAnsiTheme="minorHAnsi" w:cs="Times New Roman"/>
          <w:lang w:val="es-ES_tradnl"/>
        </w:rPr>
        <w:t xml:space="preserve"> por otra parte, se </w:t>
      </w:r>
      <w:r w:rsidR="00B51FFA" w:rsidRPr="004F6166">
        <w:rPr>
          <w:rFonts w:asciiTheme="minorHAnsi" w:hAnsiTheme="minorHAnsi" w:cs="Times New Roman"/>
          <w:lang w:val="es-ES_tradnl"/>
        </w:rPr>
        <w:t xml:space="preserve">registran </w:t>
      </w:r>
      <w:r w:rsidRPr="004F6166">
        <w:rPr>
          <w:rFonts w:asciiTheme="minorHAnsi" w:hAnsiTheme="minorHAnsi" w:cs="Times New Roman"/>
          <w:lang w:val="es-ES_tradnl"/>
        </w:rPr>
        <w:t xml:space="preserve">los </w:t>
      </w:r>
      <w:r w:rsidR="00B51FFA" w:rsidRPr="004F6166">
        <w:rPr>
          <w:rFonts w:asciiTheme="minorHAnsi" w:hAnsiTheme="minorHAnsi" w:cs="Times New Roman"/>
          <w:lang w:val="es-ES_tradnl"/>
        </w:rPr>
        <w:t xml:space="preserve">correspondientes </w:t>
      </w:r>
      <w:r w:rsidRPr="004F6166">
        <w:rPr>
          <w:rFonts w:asciiTheme="minorHAnsi" w:hAnsiTheme="minorHAnsi" w:cs="Times New Roman"/>
          <w:lang w:val="es-ES_tradnl"/>
        </w:rPr>
        <w:t>montos de subsidio</w:t>
      </w:r>
      <w:r w:rsidR="00DC7544">
        <w:rPr>
          <w:rFonts w:asciiTheme="minorHAnsi" w:hAnsiTheme="minorHAnsi" w:cs="Times New Roman"/>
          <w:lang w:val="es-ES_tradnl"/>
        </w:rPr>
        <w:t>s</w:t>
      </w:r>
      <w:r w:rsidRPr="004F6166">
        <w:rPr>
          <w:rFonts w:asciiTheme="minorHAnsi" w:hAnsiTheme="minorHAnsi" w:cs="Times New Roman"/>
          <w:lang w:val="es-ES_tradnl"/>
        </w:rPr>
        <w:t xml:space="preserve"> (en dólares), que se denomina</w:t>
      </w:r>
      <w:r w:rsidR="00B51FFA" w:rsidRPr="004F6166">
        <w:rPr>
          <w:rFonts w:asciiTheme="minorHAnsi" w:hAnsiTheme="minorHAnsi" w:cs="Times New Roman"/>
          <w:lang w:val="es-ES_tradnl"/>
        </w:rPr>
        <w:t>n</w:t>
      </w:r>
      <w:r w:rsidRPr="004F6166">
        <w:rPr>
          <w:rFonts w:asciiTheme="minorHAnsi" w:hAnsiTheme="minorHAnsi" w:cs="Times New Roman"/>
          <w:lang w:val="es-ES_tradnl"/>
        </w:rPr>
        <w:t xml:space="preserve"> Cuentas a Cobrar</w:t>
      </w:r>
      <w:r w:rsidR="00DC7544">
        <w:rPr>
          <w:rFonts w:asciiTheme="minorHAnsi" w:hAnsiTheme="minorHAnsi" w:cs="Times New Roman"/>
          <w:lang w:val="es-ES_tradnl"/>
        </w:rPr>
        <w:t>,</w:t>
      </w:r>
      <w:r w:rsidR="00B51FFA" w:rsidRPr="004F6166">
        <w:rPr>
          <w:rFonts w:asciiTheme="minorHAnsi" w:hAnsiTheme="minorHAnsi" w:cs="Times New Roman"/>
          <w:lang w:val="es-ES_tradnl"/>
        </w:rPr>
        <w:t xml:space="preserve"> </w:t>
      </w:r>
      <w:r w:rsidRPr="004F6166">
        <w:rPr>
          <w:rFonts w:asciiTheme="minorHAnsi" w:hAnsiTheme="minorHAnsi" w:cs="Times New Roman"/>
          <w:lang w:val="es-ES_tradnl"/>
        </w:rPr>
        <w:t xml:space="preserve">y los peajes </w:t>
      </w:r>
      <w:r w:rsidR="00B51FFA" w:rsidRPr="004F6166">
        <w:rPr>
          <w:rFonts w:asciiTheme="minorHAnsi" w:hAnsiTheme="minorHAnsi" w:cs="Times New Roman"/>
          <w:lang w:val="es-ES_tradnl"/>
        </w:rPr>
        <w:t xml:space="preserve">correspondientes </w:t>
      </w:r>
      <w:r w:rsidRPr="004F6166">
        <w:rPr>
          <w:rFonts w:asciiTheme="minorHAnsi" w:hAnsiTheme="minorHAnsi" w:cs="Times New Roman"/>
          <w:lang w:val="es-ES_tradnl"/>
        </w:rPr>
        <w:t>en pesos</w:t>
      </w:r>
      <w:r w:rsidR="00B51FFA" w:rsidRPr="004F6166">
        <w:rPr>
          <w:rFonts w:asciiTheme="minorHAnsi" w:hAnsiTheme="minorHAnsi" w:cs="Times New Roman"/>
          <w:lang w:val="es-ES_tradnl"/>
        </w:rPr>
        <w:t xml:space="preserve"> corrientes</w:t>
      </w:r>
      <w:r w:rsidRPr="004F6166">
        <w:rPr>
          <w:rFonts w:asciiTheme="minorHAnsi" w:hAnsiTheme="minorHAnsi" w:cs="Times New Roman"/>
          <w:lang w:val="es-ES_tradnl"/>
        </w:rPr>
        <w:t xml:space="preserve">, que se denominan </w:t>
      </w:r>
      <w:r w:rsidR="00B51FFA" w:rsidRPr="004F6166">
        <w:rPr>
          <w:rFonts w:asciiTheme="minorHAnsi" w:hAnsiTheme="minorHAnsi" w:cs="Times New Roman"/>
          <w:lang w:val="es-ES_tradnl"/>
        </w:rPr>
        <w:t>Ac</w:t>
      </w:r>
      <w:r w:rsidRPr="004F6166">
        <w:rPr>
          <w:rFonts w:asciiTheme="minorHAnsi" w:hAnsiTheme="minorHAnsi" w:cs="Times New Roman"/>
          <w:lang w:val="es-ES_tradnl"/>
        </w:rPr>
        <w:t xml:space="preserve">tivos </w:t>
      </w:r>
      <w:r w:rsidR="00B51FFA" w:rsidRPr="004F6166">
        <w:rPr>
          <w:rFonts w:asciiTheme="minorHAnsi" w:hAnsiTheme="minorHAnsi" w:cs="Times New Roman"/>
          <w:lang w:val="es-ES_tradnl"/>
        </w:rPr>
        <w:t>I</w:t>
      </w:r>
      <w:r w:rsidRPr="004F6166">
        <w:rPr>
          <w:rFonts w:asciiTheme="minorHAnsi" w:hAnsiTheme="minorHAnsi" w:cs="Times New Roman"/>
          <w:lang w:val="es-ES_tradnl"/>
        </w:rPr>
        <w:t>ntangibles</w:t>
      </w:r>
      <w:r w:rsidR="00DC7544">
        <w:rPr>
          <w:rFonts w:asciiTheme="minorHAnsi" w:hAnsiTheme="minorHAnsi" w:cs="Times New Roman"/>
          <w:lang w:val="es-ES_tradnl"/>
        </w:rPr>
        <w:t xml:space="preserve">. Ambos rubros </w:t>
      </w:r>
      <w:r w:rsidRPr="004F6166">
        <w:rPr>
          <w:rFonts w:asciiTheme="minorHAnsi" w:hAnsiTheme="minorHAnsi" w:cs="Times New Roman"/>
          <w:lang w:val="es-ES_tradnl"/>
        </w:rPr>
        <w:t xml:space="preserve">comprenden los </w:t>
      </w:r>
      <w:r w:rsidR="00B51FFA" w:rsidRPr="004F6166">
        <w:rPr>
          <w:rFonts w:asciiTheme="minorHAnsi" w:hAnsiTheme="minorHAnsi" w:cs="Times New Roman"/>
          <w:lang w:val="es-ES_tradnl"/>
        </w:rPr>
        <w:t xml:space="preserve">llamados </w:t>
      </w:r>
      <w:r w:rsidRPr="004F6166">
        <w:rPr>
          <w:rFonts w:asciiTheme="minorHAnsi" w:hAnsiTheme="minorHAnsi" w:cs="Times New Roman"/>
          <w:lang w:val="es-ES_tradnl"/>
        </w:rPr>
        <w:t xml:space="preserve">Ingresos de </w:t>
      </w:r>
      <w:r w:rsidR="00B51FFA" w:rsidRPr="004F6166">
        <w:rPr>
          <w:rFonts w:asciiTheme="minorHAnsi" w:hAnsiTheme="minorHAnsi" w:cs="Times New Roman"/>
          <w:lang w:val="es-ES_tradnl"/>
        </w:rPr>
        <w:t>C</w:t>
      </w:r>
      <w:r w:rsidRPr="004F6166">
        <w:rPr>
          <w:rFonts w:asciiTheme="minorHAnsi" w:hAnsiTheme="minorHAnsi" w:cs="Times New Roman"/>
          <w:lang w:val="es-ES_tradnl"/>
        </w:rPr>
        <w:t>onstrucción de la concesión</w:t>
      </w:r>
      <w:r w:rsidR="00B51FFA" w:rsidRPr="004F6166">
        <w:rPr>
          <w:rFonts w:asciiTheme="minorHAnsi" w:hAnsiTheme="minorHAnsi" w:cs="Times New Roman"/>
          <w:lang w:val="es-ES_tradnl"/>
        </w:rPr>
        <w:t>, que se devengan en este acto.</w:t>
      </w:r>
    </w:p>
    <w:p w:rsidR="0084572D" w:rsidRPr="004F6166" w:rsidRDefault="000E56F2" w:rsidP="004F6166">
      <w:pPr>
        <w:jc w:val="both"/>
        <w:rPr>
          <w:rFonts w:asciiTheme="minorHAnsi" w:hAnsiTheme="minorHAnsi" w:cs="Times New Roman"/>
          <w:lang w:val="es-ES_tradnl"/>
        </w:rPr>
      </w:pPr>
      <w:r w:rsidRPr="004F6166">
        <w:rPr>
          <w:rFonts w:asciiTheme="minorHAnsi" w:hAnsiTheme="minorHAnsi" w:cs="Times New Roman"/>
          <w:lang w:val="es-ES_tradnl"/>
        </w:rPr>
        <w:t>Los activos intangibles son</w:t>
      </w:r>
      <w:r w:rsidR="00DC7544">
        <w:rPr>
          <w:rFonts w:asciiTheme="minorHAnsi" w:hAnsiTheme="minorHAnsi" w:cs="Times New Roman"/>
          <w:lang w:val="es-ES_tradnl"/>
        </w:rPr>
        <w:t xml:space="preserve">, entonces, </w:t>
      </w:r>
      <w:r w:rsidRPr="004F6166">
        <w:rPr>
          <w:rFonts w:asciiTheme="minorHAnsi" w:hAnsiTheme="minorHAnsi" w:cs="Times New Roman"/>
          <w:lang w:val="es-ES_tradnl"/>
        </w:rPr>
        <w:t>el reconocimien</w:t>
      </w:r>
      <w:r w:rsidR="0070217B" w:rsidRPr="004F6166">
        <w:rPr>
          <w:rFonts w:asciiTheme="minorHAnsi" w:hAnsiTheme="minorHAnsi" w:cs="Times New Roman"/>
          <w:lang w:val="es-ES_tradnl"/>
        </w:rPr>
        <w:t>t</w:t>
      </w:r>
      <w:r w:rsidRPr="004F6166">
        <w:rPr>
          <w:rFonts w:asciiTheme="minorHAnsi" w:hAnsiTheme="minorHAnsi" w:cs="Times New Roman"/>
          <w:lang w:val="es-ES_tradnl"/>
        </w:rPr>
        <w:t>o a recibir lo</w:t>
      </w:r>
      <w:r w:rsidR="0070217B" w:rsidRPr="004F6166">
        <w:rPr>
          <w:rFonts w:asciiTheme="minorHAnsi" w:hAnsiTheme="minorHAnsi" w:cs="Times New Roman"/>
          <w:lang w:val="es-ES_tradnl"/>
        </w:rPr>
        <w:t xml:space="preserve">s </w:t>
      </w:r>
      <w:r w:rsidRPr="004F6166">
        <w:rPr>
          <w:rFonts w:asciiTheme="minorHAnsi" w:hAnsiTheme="minorHAnsi" w:cs="Times New Roman"/>
          <w:lang w:val="es-ES_tradnl"/>
        </w:rPr>
        <w:t xml:space="preserve">peajes y se denominan Derechos de </w:t>
      </w:r>
      <w:r w:rsidR="00B62A6A">
        <w:rPr>
          <w:rFonts w:asciiTheme="minorHAnsi" w:hAnsiTheme="minorHAnsi" w:cs="Times New Roman"/>
          <w:lang w:val="es-ES_tradnl"/>
        </w:rPr>
        <w:t>C</w:t>
      </w:r>
      <w:r w:rsidRPr="004F6166">
        <w:rPr>
          <w:rFonts w:asciiTheme="minorHAnsi" w:hAnsiTheme="minorHAnsi" w:cs="Times New Roman"/>
          <w:lang w:val="es-ES_tradnl"/>
        </w:rPr>
        <w:t>oncesión de</w:t>
      </w:r>
      <w:r w:rsidR="0070217B" w:rsidRPr="004F6166">
        <w:rPr>
          <w:rFonts w:asciiTheme="minorHAnsi" w:hAnsiTheme="minorHAnsi" w:cs="Times New Roman"/>
          <w:lang w:val="es-ES_tradnl"/>
        </w:rPr>
        <w:t xml:space="preserve"> </w:t>
      </w:r>
      <w:r w:rsidR="00B62A6A">
        <w:rPr>
          <w:rFonts w:asciiTheme="minorHAnsi" w:hAnsiTheme="minorHAnsi" w:cs="Times New Roman"/>
          <w:lang w:val="es-ES_tradnl"/>
        </w:rPr>
        <w:t>O</w:t>
      </w:r>
      <w:r w:rsidRPr="004F6166">
        <w:rPr>
          <w:rFonts w:asciiTheme="minorHAnsi" w:hAnsiTheme="minorHAnsi" w:cs="Times New Roman"/>
          <w:lang w:val="es-ES_tradnl"/>
        </w:rPr>
        <w:t xml:space="preserve">bra </w:t>
      </w:r>
      <w:r w:rsidR="00B62A6A">
        <w:rPr>
          <w:rFonts w:asciiTheme="minorHAnsi" w:hAnsiTheme="minorHAnsi" w:cs="Times New Roman"/>
          <w:lang w:val="es-ES_tradnl"/>
        </w:rPr>
        <w:t>P</w:t>
      </w:r>
      <w:r w:rsidRPr="004F6166">
        <w:rPr>
          <w:rFonts w:asciiTheme="minorHAnsi" w:hAnsiTheme="minorHAnsi" w:cs="Times New Roman"/>
          <w:lang w:val="es-ES_tradnl"/>
        </w:rPr>
        <w:t>ública</w:t>
      </w:r>
      <w:r w:rsidR="0070217B" w:rsidRPr="004F6166">
        <w:rPr>
          <w:rFonts w:asciiTheme="minorHAnsi" w:hAnsiTheme="minorHAnsi" w:cs="Times New Roman"/>
          <w:lang w:val="es-ES_tradnl"/>
        </w:rPr>
        <w:t>, por lo que de esta manera estos activos representan el valor razonable del activo bajo concesión. L</w:t>
      </w:r>
      <w:r w:rsidR="0084572D" w:rsidRPr="004F6166">
        <w:rPr>
          <w:rFonts w:asciiTheme="minorHAnsi" w:hAnsiTheme="minorHAnsi" w:cs="Times New Roman"/>
          <w:lang w:val="es-ES_tradnl"/>
        </w:rPr>
        <w:t xml:space="preserve">a amortización de </w:t>
      </w:r>
      <w:r w:rsidR="00B51FFA" w:rsidRPr="004F6166">
        <w:rPr>
          <w:rFonts w:asciiTheme="minorHAnsi" w:hAnsiTheme="minorHAnsi" w:cs="Times New Roman"/>
          <w:lang w:val="es-ES_tradnl"/>
        </w:rPr>
        <w:t>los</w:t>
      </w:r>
      <w:r w:rsidR="0084572D" w:rsidRPr="004F6166">
        <w:rPr>
          <w:rFonts w:asciiTheme="minorHAnsi" w:hAnsiTheme="minorHAnsi" w:cs="Times New Roman"/>
          <w:lang w:val="es-ES_tradnl"/>
        </w:rPr>
        <w:t xml:space="preserve"> activos intangibles es </w:t>
      </w:r>
      <w:r w:rsidR="00B51FFA" w:rsidRPr="004F6166">
        <w:rPr>
          <w:rFonts w:asciiTheme="minorHAnsi" w:hAnsiTheme="minorHAnsi" w:cs="Times New Roman"/>
          <w:lang w:val="es-ES_tradnl"/>
        </w:rPr>
        <w:t xml:space="preserve">registrada cuando ocurre </w:t>
      </w:r>
      <w:r w:rsidR="0084572D" w:rsidRPr="004F6166">
        <w:rPr>
          <w:rFonts w:asciiTheme="minorHAnsi" w:hAnsiTheme="minorHAnsi" w:cs="Times New Roman"/>
          <w:lang w:val="es-ES_tradnl"/>
        </w:rPr>
        <w:t>la rec</w:t>
      </w:r>
      <w:r w:rsidR="00B51FFA" w:rsidRPr="004F6166">
        <w:rPr>
          <w:rFonts w:asciiTheme="minorHAnsi" w:hAnsiTheme="minorHAnsi" w:cs="Times New Roman"/>
          <w:lang w:val="es-ES_tradnl"/>
        </w:rPr>
        <w:t>a</w:t>
      </w:r>
      <w:r w:rsidR="0084572D" w:rsidRPr="004F6166">
        <w:rPr>
          <w:rFonts w:asciiTheme="minorHAnsi" w:hAnsiTheme="minorHAnsi" w:cs="Times New Roman"/>
          <w:lang w:val="es-ES_tradnl"/>
        </w:rPr>
        <w:t>udación efectiva de los peaje</w:t>
      </w:r>
      <w:r w:rsidR="00B51FFA" w:rsidRPr="004F6166">
        <w:rPr>
          <w:rFonts w:asciiTheme="minorHAnsi" w:hAnsiTheme="minorHAnsi" w:cs="Times New Roman"/>
          <w:lang w:val="es-ES_tradnl"/>
        </w:rPr>
        <w:t>s concedidos</w:t>
      </w:r>
      <w:r w:rsidR="0070217B" w:rsidRPr="004F6166">
        <w:rPr>
          <w:rFonts w:asciiTheme="minorHAnsi" w:hAnsiTheme="minorHAnsi" w:cs="Times New Roman"/>
          <w:lang w:val="es-ES_tradnl"/>
        </w:rPr>
        <w:t>, es decir que esto refleja la forma en que los derechos a percibir peajes son consumidos por el concesionario</w:t>
      </w:r>
      <w:r w:rsidR="0084572D" w:rsidRPr="004F6166">
        <w:rPr>
          <w:rFonts w:asciiTheme="minorHAnsi" w:hAnsiTheme="minorHAnsi" w:cs="Times New Roman"/>
          <w:lang w:val="es-ES_tradnl"/>
        </w:rPr>
        <w:t xml:space="preserve">. </w:t>
      </w:r>
      <w:r w:rsidR="0070217B" w:rsidRPr="004F6166">
        <w:rPr>
          <w:rFonts w:asciiTheme="minorHAnsi" w:hAnsiTheme="minorHAnsi" w:cs="Times New Roman"/>
          <w:lang w:val="es-ES_tradnl"/>
        </w:rPr>
        <w:t>Por tanto, e</w:t>
      </w:r>
      <w:r w:rsidR="0084572D" w:rsidRPr="004F6166">
        <w:rPr>
          <w:rFonts w:asciiTheme="minorHAnsi" w:hAnsiTheme="minorHAnsi" w:cs="Times New Roman"/>
          <w:lang w:val="es-ES_tradnl"/>
        </w:rPr>
        <w:t xml:space="preserve">stos </w:t>
      </w:r>
      <w:r w:rsidR="00B51FFA" w:rsidRPr="004F6166">
        <w:rPr>
          <w:rFonts w:asciiTheme="minorHAnsi" w:hAnsiTheme="minorHAnsi" w:cs="Times New Roman"/>
          <w:lang w:val="es-ES_tradnl"/>
        </w:rPr>
        <w:t>A</w:t>
      </w:r>
      <w:r w:rsidR="0084572D" w:rsidRPr="004F6166">
        <w:rPr>
          <w:rFonts w:asciiTheme="minorHAnsi" w:hAnsiTheme="minorHAnsi" w:cs="Times New Roman"/>
          <w:lang w:val="es-ES_tradnl"/>
        </w:rPr>
        <w:t>ctiv</w:t>
      </w:r>
      <w:r w:rsidR="00B51FFA" w:rsidRPr="004F6166">
        <w:rPr>
          <w:rFonts w:asciiTheme="minorHAnsi" w:hAnsiTheme="minorHAnsi" w:cs="Times New Roman"/>
          <w:lang w:val="es-ES_tradnl"/>
        </w:rPr>
        <w:t>o</w:t>
      </w:r>
      <w:r w:rsidR="0084572D" w:rsidRPr="004F6166">
        <w:rPr>
          <w:rFonts w:asciiTheme="minorHAnsi" w:hAnsiTheme="minorHAnsi" w:cs="Times New Roman"/>
          <w:lang w:val="es-ES_tradnl"/>
        </w:rPr>
        <w:t xml:space="preserve">s </w:t>
      </w:r>
      <w:r w:rsidR="00B51FFA" w:rsidRPr="004F6166">
        <w:rPr>
          <w:rFonts w:asciiTheme="minorHAnsi" w:hAnsiTheme="minorHAnsi" w:cs="Times New Roman"/>
          <w:lang w:val="es-ES_tradnl"/>
        </w:rPr>
        <w:t>I</w:t>
      </w:r>
      <w:r w:rsidR="0084572D" w:rsidRPr="004F6166">
        <w:rPr>
          <w:rFonts w:asciiTheme="minorHAnsi" w:hAnsiTheme="minorHAnsi" w:cs="Times New Roman"/>
          <w:lang w:val="es-ES_tradnl"/>
        </w:rPr>
        <w:t>ntangibles son la exposición del compromiso de entrega</w:t>
      </w:r>
      <w:r w:rsidR="00B51FFA" w:rsidRPr="004F6166">
        <w:rPr>
          <w:rFonts w:asciiTheme="minorHAnsi" w:hAnsiTheme="minorHAnsi" w:cs="Times New Roman"/>
          <w:lang w:val="es-ES_tradnl"/>
        </w:rPr>
        <w:t xml:space="preserve"> de </w:t>
      </w:r>
      <w:r w:rsidR="0084572D" w:rsidRPr="004F6166">
        <w:rPr>
          <w:rFonts w:asciiTheme="minorHAnsi" w:hAnsiTheme="minorHAnsi" w:cs="Times New Roman"/>
          <w:lang w:val="es-ES_tradnl"/>
        </w:rPr>
        <w:t>los peajes a la CVU</w:t>
      </w:r>
      <w:r w:rsidR="00B51FFA" w:rsidRPr="004F6166">
        <w:rPr>
          <w:rFonts w:asciiTheme="minorHAnsi" w:hAnsiTheme="minorHAnsi" w:cs="Times New Roman"/>
          <w:lang w:val="es-ES_tradnl"/>
        </w:rPr>
        <w:t xml:space="preserve"> por parte del MTOP. </w:t>
      </w:r>
      <w:r w:rsidR="00DC7544">
        <w:rPr>
          <w:rFonts w:asciiTheme="minorHAnsi" w:hAnsiTheme="minorHAnsi" w:cs="Times New Roman"/>
          <w:lang w:val="es-ES_tradnl"/>
        </w:rPr>
        <w:t>A</w:t>
      </w:r>
      <w:r w:rsidR="00B51FFA" w:rsidRPr="004F6166">
        <w:rPr>
          <w:rFonts w:asciiTheme="minorHAnsi" w:hAnsiTheme="minorHAnsi" w:cs="Times New Roman"/>
          <w:lang w:val="es-ES_tradnl"/>
        </w:rPr>
        <w:t>l final de la concesión se amortizan totalmente, si se cumple con el Gasto Comprometido ajustado por las variaciones en los peajes</w:t>
      </w:r>
      <w:r w:rsidR="00DC7544">
        <w:rPr>
          <w:rFonts w:asciiTheme="minorHAnsi" w:hAnsiTheme="minorHAnsi" w:cs="Times New Roman"/>
          <w:lang w:val="es-ES_tradnl"/>
        </w:rPr>
        <w:t xml:space="preserve"> y costos financieros</w:t>
      </w:r>
      <w:r w:rsidR="00B51FFA" w:rsidRPr="004F6166">
        <w:rPr>
          <w:rFonts w:asciiTheme="minorHAnsi" w:hAnsiTheme="minorHAnsi" w:cs="Times New Roman"/>
          <w:lang w:val="es-ES_tradnl"/>
        </w:rPr>
        <w:t>.</w:t>
      </w:r>
    </w:p>
    <w:p w:rsidR="00252F3A" w:rsidRPr="004F6166" w:rsidRDefault="00252F3A" w:rsidP="004F6166">
      <w:pPr>
        <w:jc w:val="both"/>
        <w:rPr>
          <w:rFonts w:asciiTheme="minorHAnsi" w:hAnsiTheme="minorHAnsi" w:cs="Times New Roman"/>
          <w:lang w:val="es-ES_tradnl"/>
        </w:rPr>
      </w:pPr>
      <w:r w:rsidRPr="004F6166">
        <w:rPr>
          <w:rFonts w:asciiTheme="minorHAnsi" w:hAnsiTheme="minorHAnsi" w:cs="Times New Roman"/>
          <w:lang w:val="es-ES_tradnl"/>
        </w:rPr>
        <w:t xml:space="preserve">Por tanto, el riesgo de la concesión está cubierto por estos reconocimientos, ya que si aumentan los costos de las obras, se reduce el Gasto Comprometido a ejecutar posteriormente y si se reducen los peajes se ajusta </w:t>
      </w:r>
      <w:r w:rsidR="00DC7544">
        <w:rPr>
          <w:rFonts w:asciiTheme="minorHAnsi" w:hAnsiTheme="minorHAnsi" w:cs="Times New Roman"/>
          <w:lang w:val="es-ES_tradnl"/>
        </w:rPr>
        <w:t xml:space="preserve">a la baja </w:t>
      </w:r>
      <w:r w:rsidRPr="004F6166">
        <w:rPr>
          <w:rFonts w:asciiTheme="minorHAnsi" w:hAnsiTheme="minorHAnsi" w:cs="Times New Roman"/>
          <w:lang w:val="es-ES_tradnl"/>
        </w:rPr>
        <w:t>el Gasto Comprometido total y</w:t>
      </w:r>
      <w:r w:rsidR="00DC7544">
        <w:rPr>
          <w:rFonts w:asciiTheme="minorHAnsi" w:hAnsiTheme="minorHAnsi" w:cs="Times New Roman"/>
          <w:lang w:val="es-ES_tradnl"/>
        </w:rPr>
        <w:t>,</w:t>
      </w:r>
      <w:r w:rsidRPr="004F6166">
        <w:rPr>
          <w:rFonts w:asciiTheme="minorHAnsi" w:hAnsiTheme="minorHAnsi" w:cs="Times New Roman"/>
          <w:lang w:val="es-ES_tradnl"/>
        </w:rPr>
        <w:t xml:space="preserve"> por ende</w:t>
      </w:r>
      <w:r w:rsidR="00DC7544">
        <w:rPr>
          <w:rFonts w:asciiTheme="minorHAnsi" w:hAnsiTheme="minorHAnsi" w:cs="Times New Roman"/>
          <w:lang w:val="es-ES_tradnl"/>
        </w:rPr>
        <w:t>,</w:t>
      </w:r>
      <w:r w:rsidRPr="004F6166">
        <w:rPr>
          <w:rFonts w:asciiTheme="minorHAnsi" w:hAnsiTheme="minorHAnsi" w:cs="Times New Roman"/>
          <w:lang w:val="es-ES_tradnl"/>
        </w:rPr>
        <w:t xml:space="preserve"> el restante de obras. Como el registro de las obras es con su ejecución efectiva, ello minimiza a su vez el riesgo.</w:t>
      </w:r>
    </w:p>
    <w:p w:rsidR="00252F3A" w:rsidRPr="004F6166" w:rsidRDefault="00252F3A" w:rsidP="004F6166">
      <w:pPr>
        <w:jc w:val="both"/>
        <w:rPr>
          <w:rFonts w:asciiTheme="minorHAnsi" w:hAnsiTheme="minorHAnsi" w:cs="Times New Roman"/>
          <w:lang w:val="es-ES_tradnl"/>
        </w:rPr>
      </w:pPr>
      <w:r w:rsidRPr="004F6166">
        <w:rPr>
          <w:rFonts w:asciiTheme="minorHAnsi" w:hAnsiTheme="minorHAnsi" w:cs="Times New Roman"/>
          <w:lang w:val="es-ES_tradnl"/>
        </w:rPr>
        <w:t>Por otra parte, otra cobertura del riesgo opera cuando las obras ya están contratadas y el costo registrado, ya que si se caen los peajes, el costo de estas obras pasa a ser una deuda del MTOP, según lo establece el contrato.</w:t>
      </w:r>
    </w:p>
    <w:p w:rsidR="00252F3A" w:rsidRPr="004F6166" w:rsidRDefault="00252F3A" w:rsidP="004F6166">
      <w:pPr>
        <w:jc w:val="both"/>
        <w:rPr>
          <w:rFonts w:asciiTheme="minorHAnsi" w:hAnsiTheme="minorHAnsi" w:cs="Times New Roman"/>
          <w:lang w:val="es-ES_tradnl"/>
        </w:rPr>
      </w:pPr>
      <w:r w:rsidRPr="004F6166">
        <w:rPr>
          <w:rFonts w:asciiTheme="minorHAnsi" w:hAnsiTheme="minorHAnsi" w:cs="Times New Roman"/>
          <w:lang w:val="es-ES_tradnl"/>
        </w:rPr>
        <w:t>En cuanto al pago del subsidio, ya está establecido en el contrato que su falta de pago genera una deuda del MTOP con la CVU y no tendría riesgo en este caso por tal motivo.</w:t>
      </w:r>
    </w:p>
    <w:p w:rsidR="00FB0A6C" w:rsidRDefault="00FB0A6C" w:rsidP="004F6166">
      <w:pPr>
        <w:jc w:val="both"/>
        <w:rPr>
          <w:rFonts w:asciiTheme="minorHAnsi" w:hAnsiTheme="minorHAnsi" w:cs="Times New Roman"/>
          <w:lang w:val="es-ES_tradnl"/>
        </w:rPr>
      </w:pPr>
      <w:r w:rsidRPr="004F6166">
        <w:rPr>
          <w:rFonts w:asciiTheme="minorHAnsi" w:hAnsiTheme="minorHAnsi" w:cs="Times New Roman"/>
          <w:lang w:val="es-ES_tradnl"/>
        </w:rPr>
        <w:t xml:space="preserve">En el cuadro siguiente puede verse la evolución de los Activos Intangibles en </w:t>
      </w:r>
      <w:r w:rsidR="00BA1737">
        <w:rPr>
          <w:rFonts w:asciiTheme="minorHAnsi" w:hAnsiTheme="minorHAnsi" w:cs="Times New Roman"/>
          <w:lang w:val="es-ES_tradnl"/>
        </w:rPr>
        <w:t>e</w:t>
      </w:r>
      <w:r w:rsidRPr="004F6166">
        <w:rPr>
          <w:rFonts w:asciiTheme="minorHAnsi" w:hAnsiTheme="minorHAnsi" w:cs="Times New Roman"/>
          <w:lang w:val="es-ES_tradnl"/>
        </w:rPr>
        <w:t>l último ejercicio.</w:t>
      </w:r>
    </w:p>
    <w:p w:rsidR="00DC7544" w:rsidRDefault="006B1B49" w:rsidP="00BA1737">
      <w:pPr>
        <w:jc w:val="center"/>
        <w:rPr>
          <w:rFonts w:asciiTheme="minorHAnsi" w:hAnsiTheme="minorHAnsi" w:cs="Times New Roman"/>
          <w:lang w:val="es-ES_tradnl"/>
        </w:rPr>
      </w:pPr>
      <w:r w:rsidRPr="006B1B49">
        <w:rPr>
          <w:noProof/>
          <w:lang w:val="en-US"/>
        </w:rPr>
        <w:drawing>
          <wp:inline distT="0" distB="0" distL="0" distR="0">
            <wp:extent cx="5400040" cy="3343449"/>
            <wp:effectExtent l="19050" t="0" r="0" b="0"/>
            <wp:docPr id="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srcRect/>
                    <a:stretch>
                      <a:fillRect/>
                    </a:stretch>
                  </pic:blipFill>
                  <pic:spPr bwMode="auto">
                    <a:xfrm>
                      <a:off x="0" y="0"/>
                      <a:ext cx="5400040" cy="3343449"/>
                    </a:xfrm>
                    <a:prstGeom prst="rect">
                      <a:avLst/>
                    </a:prstGeom>
                    <a:noFill/>
                    <a:ln w="9525">
                      <a:noFill/>
                      <a:miter lim="800000"/>
                      <a:headEnd/>
                      <a:tailEnd/>
                    </a:ln>
                  </pic:spPr>
                </pic:pic>
              </a:graphicData>
            </a:graphic>
          </wp:inline>
        </w:drawing>
      </w:r>
    </w:p>
    <w:p w:rsidR="00BA1737" w:rsidRPr="00A6443D" w:rsidRDefault="00BA1737" w:rsidP="00BA1737">
      <w:pPr>
        <w:jc w:val="center"/>
        <w:rPr>
          <w:rFonts w:asciiTheme="minorHAnsi" w:hAnsiTheme="minorHAnsi" w:cs="Times New Roman"/>
          <w:sz w:val="18"/>
          <w:szCs w:val="18"/>
          <w:lang w:val="es-ES_tradnl"/>
        </w:rPr>
      </w:pPr>
      <w:r w:rsidRPr="00A6443D">
        <w:rPr>
          <w:rFonts w:asciiTheme="minorHAnsi" w:hAnsiTheme="minorHAnsi" w:cs="Times New Roman"/>
          <w:sz w:val="18"/>
          <w:szCs w:val="18"/>
          <w:lang w:val="es-ES_tradnl"/>
        </w:rPr>
        <w:t>Fuente: Cálculos propios en base a datos CVU</w:t>
      </w:r>
    </w:p>
    <w:p w:rsidR="0070217B" w:rsidRPr="004F6166" w:rsidRDefault="0070217B" w:rsidP="004F6166">
      <w:pPr>
        <w:jc w:val="both"/>
        <w:rPr>
          <w:rFonts w:asciiTheme="minorHAnsi" w:hAnsiTheme="minorHAnsi" w:cs="Times New Roman"/>
          <w:lang w:val="es-ES_tradnl"/>
        </w:rPr>
      </w:pPr>
      <w:r w:rsidRPr="004F6166">
        <w:rPr>
          <w:rFonts w:asciiTheme="minorHAnsi" w:hAnsiTheme="minorHAnsi" w:cs="Times New Roman"/>
          <w:lang w:val="es-ES_tradnl"/>
        </w:rPr>
        <w:t xml:space="preserve">Por su parte, el operador tiene el derecho </w:t>
      </w:r>
      <w:r w:rsidR="00E51A72">
        <w:rPr>
          <w:rFonts w:asciiTheme="minorHAnsi" w:hAnsiTheme="minorHAnsi" w:cs="Times New Roman"/>
          <w:lang w:val="es-ES_tradnl"/>
        </w:rPr>
        <w:t>ante</w:t>
      </w:r>
      <w:r w:rsidRPr="004F6166">
        <w:rPr>
          <w:rFonts w:asciiTheme="minorHAnsi" w:hAnsiTheme="minorHAnsi" w:cs="Times New Roman"/>
          <w:lang w:val="es-ES_tradnl"/>
        </w:rPr>
        <w:t xml:space="preserve"> la ejecución de la concesión de recibir pagos del concedente, independientes del activo de concesión. Estos son </w:t>
      </w:r>
      <w:r w:rsidR="00A4395E" w:rsidRPr="004F6166">
        <w:rPr>
          <w:rFonts w:asciiTheme="minorHAnsi" w:hAnsiTheme="minorHAnsi" w:cs="Times New Roman"/>
          <w:lang w:val="es-ES_tradnl"/>
        </w:rPr>
        <w:t xml:space="preserve">los subsidios mensuales y son </w:t>
      </w:r>
      <w:r w:rsidRPr="004F6166">
        <w:rPr>
          <w:rFonts w:asciiTheme="minorHAnsi" w:hAnsiTheme="minorHAnsi" w:cs="Times New Roman"/>
          <w:lang w:val="es-ES_tradnl"/>
        </w:rPr>
        <w:t xml:space="preserve">denominados activos financieros o sea Cuentas a Cobrar </w:t>
      </w:r>
      <w:r w:rsidR="00A4395E" w:rsidRPr="004F6166">
        <w:rPr>
          <w:rFonts w:asciiTheme="minorHAnsi" w:hAnsiTheme="minorHAnsi" w:cs="Times New Roman"/>
          <w:lang w:val="es-ES_tradnl"/>
        </w:rPr>
        <w:t>o Subsidios a Cobrar, sin un tratamiento especial en esta concesión.</w:t>
      </w:r>
      <w:r w:rsidRPr="004F6166">
        <w:rPr>
          <w:rFonts w:asciiTheme="minorHAnsi" w:hAnsiTheme="minorHAnsi" w:cs="Times New Roman"/>
          <w:lang w:val="es-ES_tradnl"/>
        </w:rPr>
        <w:t xml:space="preserve"> </w:t>
      </w:r>
    </w:p>
    <w:p w:rsidR="0070217B" w:rsidRPr="004F6166" w:rsidRDefault="0070217B" w:rsidP="004F6166">
      <w:pPr>
        <w:jc w:val="both"/>
        <w:rPr>
          <w:rFonts w:asciiTheme="minorHAnsi" w:hAnsiTheme="minorHAnsi" w:cs="Times New Roman"/>
          <w:lang w:val="es-ES_tradnl"/>
        </w:rPr>
      </w:pPr>
      <w:r w:rsidRPr="004F6166">
        <w:rPr>
          <w:rFonts w:asciiTheme="minorHAnsi" w:hAnsiTheme="minorHAnsi" w:cs="Times New Roman"/>
          <w:lang w:val="es-ES_tradnl"/>
        </w:rPr>
        <w:t>En el caso de la CVU, se tiene</w:t>
      </w:r>
      <w:r w:rsidR="00252F3A" w:rsidRPr="004F6166">
        <w:rPr>
          <w:rFonts w:asciiTheme="minorHAnsi" w:hAnsiTheme="minorHAnsi" w:cs="Times New Roman"/>
          <w:lang w:val="es-ES_tradnl"/>
        </w:rPr>
        <w:t>n</w:t>
      </w:r>
      <w:r w:rsidRPr="004F6166">
        <w:rPr>
          <w:rFonts w:asciiTheme="minorHAnsi" w:hAnsiTheme="minorHAnsi" w:cs="Times New Roman"/>
          <w:lang w:val="es-ES_tradnl"/>
        </w:rPr>
        <w:t xml:space="preserve"> en cuenta tanto los activos intangibles como los financieros al percibir peajes y subsidios</w:t>
      </w:r>
      <w:r w:rsidR="00252F3A" w:rsidRPr="004F6166">
        <w:rPr>
          <w:rFonts w:asciiTheme="minorHAnsi" w:hAnsiTheme="minorHAnsi" w:cs="Times New Roman"/>
          <w:lang w:val="es-ES_tradnl"/>
        </w:rPr>
        <w:t>,</w:t>
      </w:r>
      <w:r w:rsidRPr="004F6166">
        <w:rPr>
          <w:rFonts w:asciiTheme="minorHAnsi" w:hAnsiTheme="minorHAnsi" w:cs="Times New Roman"/>
          <w:lang w:val="es-ES_tradnl"/>
        </w:rPr>
        <w:t xml:space="preserve"> por lo que </w:t>
      </w:r>
      <w:r w:rsidR="001C5DED" w:rsidRPr="004F6166">
        <w:rPr>
          <w:rFonts w:asciiTheme="minorHAnsi" w:hAnsiTheme="minorHAnsi" w:cs="Times New Roman"/>
          <w:lang w:val="es-ES_tradnl"/>
        </w:rPr>
        <w:t xml:space="preserve">este tipo de operaciones </w:t>
      </w:r>
      <w:r w:rsidRPr="004F6166">
        <w:rPr>
          <w:rFonts w:asciiTheme="minorHAnsi" w:hAnsiTheme="minorHAnsi" w:cs="Times New Roman"/>
          <w:lang w:val="es-ES_tradnl"/>
        </w:rPr>
        <w:t xml:space="preserve">se denomina sistema mixto de </w:t>
      </w:r>
      <w:r w:rsidR="00252F3A" w:rsidRPr="004F6166">
        <w:rPr>
          <w:rFonts w:asciiTheme="minorHAnsi" w:hAnsiTheme="minorHAnsi" w:cs="Times New Roman"/>
          <w:lang w:val="es-ES_tradnl"/>
        </w:rPr>
        <w:t xml:space="preserve">registración de </w:t>
      </w:r>
      <w:r w:rsidRPr="004F6166">
        <w:rPr>
          <w:rFonts w:asciiTheme="minorHAnsi" w:hAnsiTheme="minorHAnsi" w:cs="Times New Roman"/>
          <w:lang w:val="es-ES_tradnl"/>
        </w:rPr>
        <w:t>concesión de obra pública.</w:t>
      </w:r>
    </w:p>
    <w:p w:rsidR="00346029" w:rsidRPr="004F6166" w:rsidRDefault="00346029" w:rsidP="004F6166">
      <w:pPr>
        <w:jc w:val="both"/>
        <w:rPr>
          <w:rFonts w:asciiTheme="minorHAnsi" w:hAnsiTheme="minorHAnsi" w:cs="Times New Roman"/>
          <w:lang w:val="es-ES_tradnl"/>
        </w:rPr>
      </w:pPr>
      <w:r w:rsidRPr="004F6166">
        <w:rPr>
          <w:rFonts w:asciiTheme="minorHAnsi" w:hAnsiTheme="minorHAnsi" w:cs="Times New Roman"/>
          <w:lang w:val="es-ES_tradnl"/>
        </w:rPr>
        <w:t>Además, debe tenerse en c</w:t>
      </w:r>
      <w:r w:rsidR="00FB0A6C" w:rsidRPr="004F6166">
        <w:rPr>
          <w:rFonts w:asciiTheme="minorHAnsi" w:hAnsiTheme="minorHAnsi" w:cs="Times New Roman"/>
          <w:lang w:val="es-ES_tradnl"/>
        </w:rPr>
        <w:t>u</w:t>
      </w:r>
      <w:r w:rsidRPr="004F6166">
        <w:rPr>
          <w:rFonts w:asciiTheme="minorHAnsi" w:hAnsiTheme="minorHAnsi" w:cs="Times New Roman"/>
          <w:lang w:val="es-ES_tradnl"/>
        </w:rPr>
        <w:t>e</w:t>
      </w:r>
      <w:r w:rsidR="00FB0A6C" w:rsidRPr="004F6166">
        <w:rPr>
          <w:rFonts w:asciiTheme="minorHAnsi" w:hAnsiTheme="minorHAnsi" w:cs="Times New Roman"/>
          <w:lang w:val="es-ES_tradnl"/>
        </w:rPr>
        <w:t>nta</w:t>
      </w:r>
      <w:r w:rsidRPr="004F6166">
        <w:rPr>
          <w:rFonts w:asciiTheme="minorHAnsi" w:hAnsiTheme="minorHAnsi" w:cs="Times New Roman"/>
          <w:lang w:val="es-ES_tradnl"/>
        </w:rPr>
        <w:t xml:space="preserve"> que la CVU ejecuta por cuenta del MTOP un conjunto de programas especiales </w:t>
      </w:r>
      <w:r w:rsidR="001C5DED" w:rsidRPr="004F6166">
        <w:rPr>
          <w:rFonts w:asciiTheme="minorHAnsi" w:hAnsiTheme="minorHAnsi" w:cs="Times New Roman"/>
          <w:lang w:val="es-ES_tradnl"/>
        </w:rPr>
        <w:t xml:space="preserve">de vialidad </w:t>
      </w:r>
      <w:r w:rsidR="00677315" w:rsidRPr="004F6166">
        <w:rPr>
          <w:rFonts w:asciiTheme="minorHAnsi" w:hAnsiTheme="minorHAnsi" w:cs="Times New Roman"/>
          <w:lang w:val="es-ES_tradnl"/>
        </w:rPr>
        <w:t>adicion</w:t>
      </w:r>
      <w:r w:rsidR="0070217B" w:rsidRPr="004F6166">
        <w:rPr>
          <w:rFonts w:asciiTheme="minorHAnsi" w:hAnsiTheme="minorHAnsi" w:cs="Times New Roman"/>
          <w:lang w:val="es-ES_tradnl"/>
        </w:rPr>
        <w:t>a</w:t>
      </w:r>
      <w:r w:rsidR="00677315" w:rsidRPr="004F6166">
        <w:rPr>
          <w:rFonts w:asciiTheme="minorHAnsi" w:hAnsiTheme="minorHAnsi" w:cs="Times New Roman"/>
          <w:lang w:val="es-ES_tradnl"/>
        </w:rPr>
        <w:t>les</w:t>
      </w:r>
      <w:r w:rsidR="001C5DED" w:rsidRPr="004F6166">
        <w:rPr>
          <w:rFonts w:asciiTheme="minorHAnsi" w:hAnsiTheme="minorHAnsi" w:cs="Times New Roman"/>
          <w:lang w:val="es-ES_tradnl"/>
        </w:rPr>
        <w:t xml:space="preserve"> a los de la concesión y establecidos en el Anexo 1</w:t>
      </w:r>
      <w:r w:rsidR="0070217B" w:rsidRPr="004F6166">
        <w:rPr>
          <w:rFonts w:asciiTheme="minorHAnsi" w:hAnsiTheme="minorHAnsi" w:cs="Times New Roman"/>
          <w:lang w:val="es-ES_tradnl"/>
        </w:rPr>
        <w:t xml:space="preserve">, </w:t>
      </w:r>
      <w:r w:rsidRPr="004F6166">
        <w:rPr>
          <w:rFonts w:asciiTheme="minorHAnsi" w:hAnsiTheme="minorHAnsi" w:cs="Times New Roman"/>
          <w:lang w:val="es-ES_tradnl"/>
        </w:rPr>
        <w:t xml:space="preserve">que constan de </w:t>
      </w:r>
      <w:r w:rsidR="001C5DED" w:rsidRPr="004F6166">
        <w:rPr>
          <w:rFonts w:asciiTheme="minorHAnsi" w:hAnsiTheme="minorHAnsi" w:cs="Times New Roman"/>
          <w:lang w:val="es-ES_tradnl"/>
        </w:rPr>
        <w:t xml:space="preserve">determinadas </w:t>
      </w:r>
      <w:r w:rsidRPr="004F6166">
        <w:rPr>
          <w:rFonts w:asciiTheme="minorHAnsi" w:hAnsiTheme="minorHAnsi" w:cs="Times New Roman"/>
          <w:lang w:val="es-ES_tradnl"/>
        </w:rPr>
        <w:t xml:space="preserve">obras públicas de infraestructura </w:t>
      </w:r>
      <w:r w:rsidR="001C5DED" w:rsidRPr="004F6166">
        <w:rPr>
          <w:rFonts w:asciiTheme="minorHAnsi" w:hAnsiTheme="minorHAnsi" w:cs="Times New Roman"/>
          <w:lang w:val="es-ES_tradnl"/>
        </w:rPr>
        <w:t>p</w:t>
      </w:r>
      <w:r w:rsidRPr="004F6166">
        <w:rPr>
          <w:rFonts w:asciiTheme="minorHAnsi" w:hAnsiTheme="minorHAnsi" w:cs="Times New Roman"/>
          <w:lang w:val="es-ES_tradnl"/>
        </w:rPr>
        <w:t>or el MTOP</w:t>
      </w:r>
      <w:r w:rsidR="001C5DED" w:rsidRPr="004F6166">
        <w:rPr>
          <w:rFonts w:asciiTheme="minorHAnsi" w:hAnsiTheme="minorHAnsi" w:cs="Times New Roman"/>
          <w:lang w:val="es-ES_tradnl"/>
        </w:rPr>
        <w:t>. Ello implica que la CVU ejecuta</w:t>
      </w:r>
      <w:r w:rsidR="00252F3A" w:rsidRPr="004F6166">
        <w:rPr>
          <w:rFonts w:asciiTheme="minorHAnsi" w:hAnsiTheme="minorHAnsi" w:cs="Times New Roman"/>
          <w:lang w:val="es-ES_tradnl"/>
        </w:rPr>
        <w:t xml:space="preserve"> otras inversiones </w:t>
      </w:r>
      <w:r w:rsidR="001C5DED" w:rsidRPr="004F6166">
        <w:rPr>
          <w:rFonts w:asciiTheme="minorHAnsi" w:hAnsiTheme="minorHAnsi" w:cs="Times New Roman"/>
          <w:lang w:val="es-ES_tradnl"/>
        </w:rPr>
        <w:t xml:space="preserve">por las que </w:t>
      </w:r>
      <w:r w:rsidR="00252F3A" w:rsidRPr="004F6166">
        <w:rPr>
          <w:rFonts w:asciiTheme="minorHAnsi" w:hAnsiTheme="minorHAnsi" w:cs="Times New Roman"/>
          <w:lang w:val="es-ES_tradnl"/>
        </w:rPr>
        <w:t>recibe a su vez subsidios específicos para enfrentar dichos gastos</w:t>
      </w:r>
      <w:r w:rsidRPr="004F6166">
        <w:rPr>
          <w:rFonts w:asciiTheme="minorHAnsi" w:hAnsiTheme="minorHAnsi" w:cs="Times New Roman"/>
          <w:lang w:val="es-ES_tradnl"/>
        </w:rPr>
        <w:t>.</w:t>
      </w:r>
    </w:p>
    <w:p w:rsidR="001414EA" w:rsidRPr="004F6166" w:rsidRDefault="00346029" w:rsidP="004F6166">
      <w:pPr>
        <w:jc w:val="both"/>
        <w:rPr>
          <w:rFonts w:asciiTheme="minorHAnsi" w:hAnsiTheme="minorHAnsi" w:cs="Times New Roman"/>
          <w:lang w:val="es-ES_tradnl"/>
        </w:rPr>
      </w:pPr>
      <w:r w:rsidRPr="004F6166">
        <w:rPr>
          <w:rFonts w:asciiTheme="minorHAnsi" w:hAnsiTheme="minorHAnsi" w:cs="Times New Roman"/>
          <w:lang w:val="es-ES_tradnl"/>
        </w:rPr>
        <w:t>Estos program</w:t>
      </w:r>
      <w:r w:rsidR="00252F3A" w:rsidRPr="004F6166">
        <w:rPr>
          <w:rFonts w:asciiTheme="minorHAnsi" w:hAnsiTheme="minorHAnsi" w:cs="Times New Roman"/>
          <w:lang w:val="es-ES_tradnl"/>
        </w:rPr>
        <w:t>a</w:t>
      </w:r>
      <w:r w:rsidRPr="004F6166">
        <w:rPr>
          <w:rFonts w:asciiTheme="minorHAnsi" w:hAnsiTheme="minorHAnsi" w:cs="Times New Roman"/>
          <w:lang w:val="es-ES_tradnl"/>
        </w:rPr>
        <w:t>s especiales establecen los costos de</w:t>
      </w:r>
      <w:r w:rsidR="00252F3A" w:rsidRPr="004F6166">
        <w:rPr>
          <w:rFonts w:asciiTheme="minorHAnsi" w:hAnsiTheme="minorHAnsi" w:cs="Times New Roman"/>
          <w:lang w:val="es-ES_tradnl"/>
        </w:rPr>
        <w:t xml:space="preserve"> </w:t>
      </w:r>
      <w:r w:rsidRPr="004F6166">
        <w:rPr>
          <w:rFonts w:asciiTheme="minorHAnsi" w:hAnsiTheme="minorHAnsi" w:cs="Times New Roman"/>
          <w:lang w:val="es-ES_tradnl"/>
        </w:rPr>
        <w:t>las obras y las gana</w:t>
      </w:r>
      <w:r w:rsidR="00252F3A" w:rsidRPr="004F6166">
        <w:rPr>
          <w:rFonts w:asciiTheme="minorHAnsi" w:hAnsiTheme="minorHAnsi" w:cs="Times New Roman"/>
          <w:lang w:val="es-ES_tradnl"/>
        </w:rPr>
        <w:t>n</w:t>
      </w:r>
      <w:r w:rsidRPr="004F6166">
        <w:rPr>
          <w:rFonts w:asciiTheme="minorHAnsi" w:hAnsiTheme="minorHAnsi" w:cs="Times New Roman"/>
          <w:lang w:val="es-ES_tradnl"/>
        </w:rPr>
        <w:t>cias definidas p</w:t>
      </w:r>
      <w:r w:rsidR="00252F3A" w:rsidRPr="004F6166">
        <w:rPr>
          <w:rFonts w:asciiTheme="minorHAnsi" w:hAnsiTheme="minorHAnsi" w:cs="Times New Roman"/>
          <w:lang w:val="es-ES_tradnl"/>
        </w:rPr>
        <w:t>a</w:t>
      </w:r>
      <w:r w:rsidRPr="004F6166">
        <w:rPr>
          <w:rFonts w:asciiTheme="minorHAnsi" w:hAnsiTheme="minorHAnsi" w:cs="Times New Roman"/>
          <w:lang w:val="es-ES_tradnl"/>
        </w:rPr>
        <w:t>ra la CVU, con estimaciones que prácticamente son los valores finales de estos emprendimien</w:t>
      </w:r>
      <w:r w:rsidR="00252F3A" w:rsidRPr="004F6166">
        <w:rPr>
          <w:rFonts w:asciiTheme="minorHAnsi" w:hAnsiTheme="minorHAnsi" w:cs="Times New Roman"/>
          <w:lang w:val="es-ES_tradnl"/>
        </w:rPr>
        <w:t>t</w:t>
      </w:r>
      <w:r w:rsidRPr="004F6166">
        <w:rPr>
          <w:rFonts w:asciiTheme="minorHAnsi" w:hAnsiTheme="minorHAnsi" w:cs="Times New Roman"/>
          <w:lang w:val="es-ES_tradnl"/>
        </w:rPr>
        <w:t>os, por lo que el riesgo en estas obra</w:t>
      </w:r>
      <w:r w:rsidR="00252F3A" w:rsidRPr="004F6166">
        <w:rPr>
          <w:rFonts w:asciiTheme="minorHAnsi" w:hAnsiTheme="minorHAnsi" w:cs="Times New Roman"/>
          <w:lang w:val="es-ES_tradnl"/>
        </w:rPr>
        <w:t>s</w:t>
      </w:r>
      <w:r w:rsidRPr="004F6166">
        <w:rPr>
          <w:rFonts w:asciiTheme="minorHAnsi" w:hAnsiTheme="minorHAnsi" w:cs="Times New Roman"/>
          <w:lang w:val="es-ES_tradnl"/>
        </w:rPr>
        <w:t xml:space="preserve"> es muy bajo, ya que el día de la firma de</w:t>
      </w:r>
      <w:r w:rsidR="001C5DED" w:rsidRPr="004F6166">
        <w:rPr>
          <w:rFonts w:asciiTheme="minorHAnsi" w:hAnsiTheme="minorHAnsi" w:cs="Times New Roman"/>
          <w:lang w:val="es-ES_tradnl"/>
        </w:rPr>
        <w:t xml:space="preserve"> </w:t>
      </w:r>
      <w:r w:rsidRPr="004F6166">
        <w:rPr>
          <w:rFonts w:asciiTheme="minorHAnsi" w:hAnsiTheme="minorHAnsi" w:cs="Times New Roman"/>
          <w:lang w:val="es-ES_tradnl"/>
        </w:rPr>
        <w:t>los programas, habitualmente de muy corto plazo, se conocen los montos del programa y el pago de</w:t>
      </w:r>
      <w:r w:rsidR="005E67A6">
        <w:rPr>
          <w:rFonts w:asciiTheme="minorHAnsi" w:hAnsiTheme="minorHAnsi" w:cs="Times New Roman"/>
          <w:lang w:val="es-ES_tradnl"/>
        </w:rPr>
        <w:t xml:space="preserve"> los </w:t>
      </w:r>
      <w:r w:rsidRPr="004F6166">
        <w:rPr>
          <w:rFonts w:asciiTheme="minorHAnsi" w:hAnsiTheme="minorHAnsi" w:cs="Times New Roman"/>
          <w:lang w:val="es-ES_tradnl"/>
        </w:rPr>
        <w:t>mismo</w:t>
      </w:r>
      <w:r w:rsidR="005E67A6">
        <w:rPr>
          <w:rFonts w:asciiTheme="minorHAnsi" w:hAnsiTheme="minorHAnsi" w:cs="Times New Roman"/>
          <w:lang w:val="es-ES_tradnl"/>
        </w:rPr>
        <w:t>s</w:t>
      </w:r>
      <w:r w:rsidRPr="004F6166">
        <w:rPr>
          <w:rFonts w:asciiTheme="minorHAnsi" w:hAnsiTheme="minorHAnsi" w:cs="Times New Roman"/>
          <w:lang w:val="es-ES_tradnl"/>
        </w:rPr>
        <w:t>,</w:t>
      </w:r>
      <w:r w:rsidR="005E67A6">
        <w:rPr>
          <w:rFonts w:asciiTheme="minorHAnsi" w:hAnsiTheme="minorHAnsi" w:cs="Times New Roman"/>
          <w:lang w:val="es-ES_tradnl"/>
        </w:rPr>
        <w:t xml:space="preserve"> a través de los subsidios extraordinarios, </w:t>
      </w:r>
      <w:r w:rsidRPr="004F6166">
        <w:rPr>
          <w:rFonts w:asciiTheme="minorHAnsi" w:hAnsiTheme="minorHAnsi" w:cs="Times New Roman"/>
          <w:lang w:val="es-ES_tradnl"/>
        </w:rPr>
        <w:t xml:space="preserve">que </w:t>
      </w:r>
      <w:r w:rsidR="005E67A6">
        <w:rPr>
          <w:rFonts w:asciiTheme="minorHAnsi" w:hAnsiTheme="minorHAnsi" w:cs="Times New Roman"/>
          <w:lang w:val="es-ES_tradnl"/>
        </w:rPr>
        <w:t>son</w:t>
      </w:r>
      <w:r w:rsidRPr="004F6166">
        <w:rPr>
          <w:rFonts w:asciiTheme="minorHAnsi" w:hAnsiTheme="minorHAnsi" w:cs="Times New Roman"/>
          <w:lang w:val="es-ES_tradnl"/>
        </w:rPr>
        <w:t xml:space="preserve"> avalado</w:t>
      </w:r>
      <w:r w:rsidR="005E67A6">
        <w:rPr>
          <w:rFonts w:asciiTheme="minorHAnsi" w:hAnsiTheme="minorHAnsi" w:cs="Times New Roman"/>
          <w:lang w:val="es-ES_tradnl"/>
        </w:rPr>
        <w:t>s</w:t>
      </w:r>
      <w:r w:rsidRPr="004F6166">
        <w:rPr>
          <w:rFonts w:asciiTheme="minorHAnsi" w:hAnsiTheme="minorHAnsi" w:cs="Times New Roman"/>
          <w:lang w:val="es-ES_tradnl"/>
        </w:rPr>
        <w:t xml:space="preserve"> por la CND, el MTOP y el MEF. A medida que avanza el programa de gastos de obras, se autoriza también dicho porcentaje de avance en la utilida</w:t>
      </w:r>
      <w:r w:rsidR="00677315" w:rsidRPr="004F6166">
        <w:rPr>
          <w:rFonts w:asciiTheme="minorHAnsi" w:hAnsiTheme="minorHAnsi" w:cs="Times New Roman"/>
          <w:lang w:val="es-ES_tradnl"/>
        </w:rPr>
        <w:t>d</w:t>
      </w:r>
      <w:r w:rsidRPr="004F6166">
        <w:rPr>
          <w:rFonts w:asciiTheme="minorHAnsi" w:hAnsiTheme="minorHAnsi" w:cs="Times New Roman"/>
          <w:lang w:val="es-ES_tradnl"/>
        </w:rPr>
        <w:t xml:space="preserve"> de la CVU, lo cu</w:t>
      </w:r>
      <w:r w:rsidR="001C5DED" w:rsidRPr="004F6166">
        <w:rPr>
          <w:rFonts w:asciiTheme="minorHAnsi" w:hAnsiTheme="minorHAnsi" w:cs="Times New Roman"/>
          <w:lang w:val="es-ES_tradnl"/>
        </w:rPr>
        <w:t>a</w:t>
      </w:r>
      <w:r w:rsidRPr="004F6166">
        <w:rPr>
          <w:rFonts w:asciiTheme="minorHAnsi" w:hAnsiTheme="minorHAnsi" w:cs="Times New Roman"/>
          <w:lang w:val="es-ES_tradnl"/>
        </w:rPr>
        <w:t>l se registra directamente</w:t>
      </w:r>
      <w:r w:rsidR="00677315" w:rsidRPr="004F6166">
        <w:rPr>
          <w:rFonts w:asciiTheme="minorHAnsi" w:hAnsiTheme="minorHAnsi" w:cs="Times New Roman"/>
          <w:lang w:val="es-ES_tradnl"/>
        </w:rPr>
        <w:t xml:space="preserve"> como </w:t>
      </w:r>
      <w:r w:rsidR="001C5DED" w:rsidRPr="004F6166">
        <w:rPr>
          <w:rFonts w:asciiTheme="minorHAnsi" w:hAnsiTheme="minorHAnsi" w:cs="Times New Roman"/>
          <w:lang w:val="es-ES_tradnl"/>
        </w:rPr>
        <w:t>C</w:t>
      </w:r>
      <w:r w:rsidR="00677315" w:rsidRPr="004F6166">
        <w:rPr>
          <w:rFonts w:asciiTheme="minorHAnsi" w:hAnsiTheme="minorHAnsi" w:cs="Times New Roman"/>
          <w:lang w:val="es-ES_tradnl"/>
        </w:rPr>
        <w:t>ue</w:t>
      </w:r>
      <w:r w:rsidR="001C5DED" w:rsidRPr="004F6166">
        <w:rPr>
          <w:rFonts w:asciiTheme="minorHAnsi" w:hAnsiTheme="minorHAnsi" w:cs="Times New Roman"/>
          <w:lang w:val="es-ES_tradnl"/>
        </w:rPr>
        <w:t>n</w:t>
      </w:r>
      <w:r w:rsidR="00677315" w:rsidRPr="004F6166">
        <w:rPr>
          <w:rFonts w:asciiTheme="minorHAnsi" w:hAnsiTheme="minorHAnsi" w:cs="Times New Roman"/>
          <w:lang w:val="es-ES_tradnl"/>
        </w:rPr>
        <w:t xml:space="preserve">tas </w:t>
      </w:r>
      <w:r w:rsidR="001C5DED" w:rsidRPr="004F6166">
        <w:rPr>
          <w:rFonts w:asciiTheme="minorHAnsi" w:hAnsiTheme="minorHAnsi" w:cs="Times New Roman"/>
          <w:lang w:val="es-ES_tradnl"/>
        </w:rPr>
        <w:t>por</w:t>
      </w:r>
      <w:r w:rsidR="00677315" w:rsidRPr="004F6166">
        <w:rPr>
          <w:rFonts w:asciiTheme="minorHAnsi" w:hAnsiTheme="minorHAnsi" w:cs="Times New Roman"/>
          <w:lang w:val="es-ES_tradnl"/>
        </w:rPr>
        <w:t xml:space="preserve"> cobrar.</w:t>
      </w:r>
    </w:p>
    <w:p w:rsidR="001414EA" w:rsidRPr="004F6166" w:rsidRDefault="001414EA" w:rsidP="004F6166">
      <w:pPr>
        <w:jc w:val="both"/>
        <w:rPr>
          <w:rFonts w:asciiTheme="minorHAnsi" w:hAnsiTheme="minorHAnsi" w:cs="Times New Roman"/>
          <w:lang w:val="es-ES_tradnl"/>
        </w:rPr>
      </w:pPr>
      <w:r w:rsidRPr="004F6166">
        <w:rPr>
          <w:rFonts w:asciiTheme="minorHAnsi" w:hAnsiTheme="minorHAnsi" w:cs="Times New Roman"/>
          <w:lang w:val="es-ES_tradnl"/>
        </w:rPr>
        <w:t>Debe tenerse en cuenta que estos programas especiales corresponden</w:t>
      </w:r>
      <w:r w:rsidR="005E67A6">
        <w:rPr>
          <w:rFonts w:asciiTheme="minorHAnsi" w:hAnsiTheme="minorHAnsi" w:cs="Times New Roman"/>
          <w:lang w:val="es-ES_tradnl"/>
        </w:rPr>
        <w:t xml:space="preserve"> hoy </w:t>
      </w:r>
      <w:r w:rsidRPr="004F6166">
        <w:rPr>
          <w:rFonts w:asciiTheme="minorHAnsi" w:hAnsiTheme="minorHAnsi" w:cs="Times New Roman"/>
          <w:lang w:val="es-ES_tradnl"/>
        </w:rPr>
        <w:t xml:space="preserve">a: 1) Programa </w:t>
      </w:r>
      <w:r w:rsidR="00E51A72">
        <w:rPr>
          <w:rFonts w:asciiTheme="minorHAnsi" w:hAnsiTheme="minorHAnsi" w:cs="Times New Roman"/>
          <w:lang w:val="es-ES_tradnl"/>
        </w:rPr>
        <w:t>d</w:t>
      </w:r>
      <w:r w:rsidRPr="004F6166">
        <w:rPr>
          <w:rFonts w:asciiTheme="minorHAnsi" w:hAnsiTheme="minorHAnsi" w:cs="Times New Roman"/>
          <w:lang w:val="es-ES_tradnl"/>
        </w:rPr>
        <w:t>e Obras Viales I por un monto de obras de US$ 98,8 millones, habiendo sido ejecutadas US$ 90,3 millones, y con subsidios por US$ 104,5 millones, 2) Subsidio extraordinario del 2011 por US$ 26 millones más otras partidas, con ejecución de obras por US$ 27,6 millones, 3) Plan de Obras Viales 2012 con subsidios por US$ 104 millones, ya entregados US$ 81,6 y obras ejecutadas por US$ 75,7 millones, 4) Subsidio extraordinario del 2013 por US$ 7,3 millones, con ejecución de obras por US$ 427 miles y 5) Plan de Inversión Pública en Infraestructura Vial II con subsidios por US$ 100 millones para obras por US$ 97,4 millones, habiendo ejecutado US$ 22</w:t>
      </w:r>
      <w:r w:rsidR="00463B9E">
        <w:rPr>
          <w:rFonts w:asciiTheme="minorHAnsi" w:hAnsiTheme="minorHAnsi" w:cs="Times New Roman"/>
          <w:lang w:val="es-ES_tradnl"/>
        </w:rPr>
        <w:t xml:space="preserve"> </w:t>
      </w:r>
      <w:r w:rsidRPr="004F6166">
        <w:rPr>
          <w:rFonts w:asciiTheme="minorHAnsi" w:hAnsiTheme="minorHAnsi" w:cs="Times New Roman"/>
          <w:lang w:val="es-ES_tradnl"/>
        </w:rPr>
        <w:t xml:space="preserve">millones de obras y recibido US$ 22,5 </w:t>
      </w:r>
      <w:r w:rsidR="00463B9E">
        <w:rPr>
          <w:rFonts w:asciiTheme="minorHAnsi" w:hAnsiTheme="minorHAnsi" w:cs="Times New Roman"/>
          <w:lang w:val="es-ES_tradnl"/>
        </w:rPr>
        <w:t xml:space="preserve">millones </w:t>
      </w:r>
      <w:r w:rsidRPr="004F6166">
        <w:rPr>
          <w:rFonts w:asciiTheme="minorHAnsi" w:hAnsiTheme="minorHAnsi" w:cs="Times New Roman"/>
          <w:lang w:val="es-ES_tradnl"/>
        </w:rPr>
        <w:t>de subsidios.</w:t>
      </w:r>
    </w:p>
    <w:p w:rsidR="006C4913" w:rsidRPr="004F6166" w:rsidRDefault="00163C49" w:rsidP="004F6166">
      <w:pPr>
        <w:jc w:val="both"/>
        <w:rPr>
          <w:rFonts w:asciiTheme="minorHAnsi" w:hAnsiTheme="minorHAnsi" w:cs="Times New Roman"/>
          <w:lang w:val="es-ES_tradnl"/>
        </w:rPr>
      </w:pPr>
      <w:r w:rsidRPr="004F6166">
        <w:rPr>
          <w:rFonts w:asciiTheme="minorHAnsi" w:hAnsiTheme="minorHAnsi" w:cs="Times New Roman"/>
          <w:lang w:val="es-ES_tradnl"/>
        </w:rPr>
        <w:t xml:space="preserve">En síntesis, a partir de los comentarios previos, puede </w:t>
      </w:r>
      <w:r w:rsidR="006C4913" w:rsidRPr="004F6166">
        <w:rPr>
          <w:rFonts w:asciiTheme="minorHAnsi" w:hAnsiTheme="minorHAnsi" w:cs="Times New Roman"/>
          <w:lang w:val="es-ES_tradnl"/>
        </w:rPr>
        <w:t xml:space="preserve">concluirse </w:t>
      </w:r>
      <w:r w:rsidRPr="004F6166">
        <w:rPr>
          <w:rFonts w:asciiTheme="minorHAnsi" w:hAnsiTheme="minorHAnsi" w:cs="Times New Roman"/>
          <w:lang w:val="es-ES_tradnl"/>
        </w:rPr>
        <w:t xml:space="preserve">que la CVU recibió ingresos por peajes de aproximadamente US$ 61 millones en el ejercicio 2012/2013 y por US$ 63 millones en el ejercicio </w:t>
      </w:r>
      <w:r w:rsidR="005E67A6">
        <w:rPr>
          <w:rFonts w:asciiTheme="minorHAnsi" w:hAnsiTheme="minorHAnsi" w:cs="Times New Roman"/>
          <w:lang w:val="es-ES_tradnl"/>
        </w:rPr>
        <w:t>siguiente</w:t>
      </w:r>
      <w:r w:rsidRPr="004F6166">
        <w:rPr>
          <w:rFonts w:asciiTheme="minorHAnsi" w:hAnsiTheme="minorHAnsi" w:cs="Times New Roman"/>
          <w:lang w:val="es-ES_tradnl"/>
        </w:rPr>
        <w:t>, a lo cual se agregan lo</w:t>
      </w:r>
      <w:r w:rsidR="006C4913" w:rsidRPr="004F6166">
        <w:rPr>
          <w:rFonts w:asciiTheme="minorHAnsi" w:hAnsiTheme="minorHAnsi" w:cs="Times New Roman"/>
          <w:lang w:val="es-ES_tradnl"/>
        </w:rPr>
        <w:t>s</w:t>
      </w:r>
      <w:r w:rsidRPr="004F6166">
        <w:rPr>
          <w:rFonts w:asciiTheme="minorHAnsi" w:hAnsiTheme="minorHAnsi" w:cs="Times New Roman"/>
          <w:lang w:val="es-ES_tradnl"/>
        </w:rPr>
        <w:t xml:space="preserve"> ingresos por program</w:t>
      </w:r>
      <w:r w:rsidR="006C4913" w:rsidRPr="004F6166">
        <w:rPr>
          <w:rFonts w:asciiTheme="minorHAnsi" w:hAnsiTheme="minorHAnsi" w:cs="Times New Roman"/>
          <w:lang w:val="es-ES_tradnl"/>
        </w:rPr>
        <w:t>a</w:t>
      </w:r>
      <w:r w:rsidRPr="004F6166">
        <w:rPr>
          <w:rFonts w:asciiTheme="minorHAnsi" w:hAnsiTheme="minorHAnsi" w:cs="Times New Roman"/>
          <w:lang w:val="es-ES_tradnl"/>
        </w:rPr>
        <w:t>s especiales</w:t>
      </w:r>
      <w:r w:rsidR="006C4913" w:rsidRPr="004F6166">
        <w:rPr>
          <w:rFonts w:asciiTheme="minorHAnsi" w:hAnsiTheme="minorHAnsi" w:cs="Times New Roman"/>
          <w:lang w:val="es-ES_tradnl"/>
        </w:rPr>
        <w:t>, que elevan los ingresos a más de US$ 160 millones en el ejercicio 201</w:t>
      </w:r>
      <w:r w:rsidR="005E67A6">
        <w:rPr>
          <w:rFonts w:asciiTheme="minorHAnsi" w:hAnsiTheme="minorHAnsi" w:cs="Times New Roman"/>
          <w:lang w:val="es-ES_tradnl"/>
        </w:rPr>
        <w:t>3</w:t>
      </w:r>
      <w:r w:rsidR="006C4913" w:rsidRPr="004F6166">
        <w:rPr>
          <w:rFonts w:asciiTheme="minorHAnsi" w:hAnsiTheme="minorHAnsi" w:cs="Times New Roman"/>
          <w:lang w:val="es-ES_tradnl"/>
        </w:rPr>
        <w:t>/201</w:t>
      </w:r>
      <w:r w:rsidR="005E67A6">
        <w:rPr>
          <w:rFonts w:asciiTheme="minorHAnsi" w:hAnsiTheme="minorHAnsi" w:cs="Times New Roman"/>
          <w:lang w:val="es-ES_tradnl"/>
        </w:rPr>
        <w:t>4</w:t>
      </w:r>
      <w:r w:rsidR="006C4913" w:rsidRPr="004F6166">
        <w:rPr>
          <w:rFonts w:asciiTheme="minorHAnsi" w:hAnsiTheme="minorHAnsi" w:cs="Times New Roman"/>
          <w:lang w:val="es-ES_tradnl"/>
        </w:rPr>
        <w:t xml:space="preserve"> y a más de US$ 230 millones en el 201</w:t>
      </w:r>
      <w:r w:rsidR="005E67A6">
        <w:rPr>
          <w:rFonts w:asciiTheme="minorHAnsi" w:hAnsiTheme="minorHAnsi" w:cs="Times New Roman"/>
          <w:lang w:val="es-ES_tradnl"/>
        </w:rPr>
        <w:t>2</w:t>
      </w:r>
      <w:r w:rsidR="006C4913" w:rsidRPr="004F6166">
        <w:rPr>
          <w:rFonts w:asciiTheme="minorHAnsi" w:hAnsiTheme="minorHAnsi" w:cs="Times New Roman"/>
          <w:lang w:val="es-ES_tradnl"/>
        </w:rPr>
        <w:t>/2013.</w:t>
      </w:r>
      <w:r w:rsidRPr="004F6166">
        <w:rPr>
          <w:rFonts w:asciiTheme="minorHAnsi" w:hAnsiTheme="minorHAnsi" w:cs="Times New Roman"/>
          <w:lang w:val="es-ES_tradnl"/>
        </w:rPr>
        <w:t xml:space="preserve"> </w:t>
      </w:r>
    </w:p>
    <w:p w:rsidR="006C4913" w:rsidRDefault="00163C49" w:rsidP="004F6166">
      <w:pPr>
        <w:jc w:val="both"/>
        <w:rPr>
          <w:rFonts w:asciiTheme="minorHAnsi" w:hAnsiTheme="minorHAnsi" w:cs="Times New Roman"/>
          <w:lang w:val="es-ES_tradnl"/>
        </w:rPr>
      </w:pPr>
      <w:r w:rsidRPr="004F6166">
        <w:rPr>
          <w:rFonts w:asciiTheme="minorHAnsi" w:hAnsiTheme="minorHAnsi" w:cs="Times New Roman"/>
          <w:lang w:val="es-ES_tradnl"/>
        </w:rPr>
        <w:t>Po</w:t>
      </w:r>
      <w:r w:rsidR="006C4913" w:rsidRPr="004F6166">
        <w:rPr>
          <w:rFonts w:asciiTheme="minorHAnsi" w:hAnsiTheme="minorHAnsi" w:cs="Times New Roman"/>
          <w:lang w:val="es-ES_tradnl"/>
        </w:rPr>
        <w:t>r</w:t>
      </w:r>
      <w:r w:rsidRPr="004F6166">
        <w:rPr>
          <w:rFonts w:asciiTheme="minorHAnsi" w:hAnsiTheme="minorHAnsi" w:cs="Times New Roman"/>
          <w:lang w:val="es-ES_tradnl"/>
        </w:rPr>
        <w:t xml:space="preserve"> su p</w:t>
      </w:r>
      <w:r w:rsidR="006C4913" w:rsidRPr="004F6166">
        <w:rPr>
          <w:rFonts w:asciiTheme="minorHAnsi" w:hAnsiTheme="minorHAnsi" w:cs="Times New Roman"/>
          <w:lang w:val="es-ES_tradnl"/>
        </w:rPr>
        <w:t>a</w:t>
      </w:r>
      <w:r w:rsidRPr="004F6166">
        <w:rPr>
          <w:rFonts w:asciiTheme="minorHAnsi" w:hAnsiTheme="minorHAnsi" w:cs="Times New Roman"/>
          <w:lang w:val="es-ES_tradnl"/>
        </w:rPr>
        <w:t>rte, en e</w:t>
      </w:r>
      <w:r w:rsidR="006C4913" w:rsidRPr="004F6166">
        <w:rPr>
          <w:rFonts w:asciiTheme="minorHAnsi" w:hAnsiTheme="minorHAnsi" w:cs="Times New Roman"/>
          <w:lang w:val="es-ES_tradnl"/>
        </w:rPr>
        <w:t>l</w:t>
      </w:r>
      <w:r w:rsidRPr="004F6166">
        <w:rPr>
          <w:rFonts w:asciiTheme="minorHAnsi" w:hAnsiTheme="minorHAnsi" w:cs="Times New Roman"/>
          <w:lang w:val="es-ES_tradnl"/>
        </w:rPr>
        <w:t xml:space="preserve"> caso </w:t>
      </w:r>
      <w:r w:rsidR="006C4913" w:rsidRPr="004F6166">
        <w:rPr>
          <w:rFonts w:asciiTheme="minorHAnsi" w:hAnsiTheme="minorHAnsi" w:cs="Times New Roman"/>
          <w:lang w:val="es-ES_tradnl"/>
        </w:rPr>
        <w:t>d</w:t>
      </w:r>
      <w:r w:rsidRPr="004F6166">
        <w:rPr>
          <w:rFonts w:asciiTheme="minorHAnsi" w:hAnsiTheme="minorHAnsi" w:cs="Times New Roman"/>
          <w:lang w:val="es-ES_tradnl"/>
        </w:rPr>
        <w:t>e</w:t>
      </w:r>
      <w:r w:rsidR="006C4913" w:rsidRPr="004F6166">
        <w:rPr>
          <w:rFonts w:asciiTheme="minorHAnsi" w:hAnsiTheme="minorHAnsi" w:cs="Times New Roman"/>
          <w:lang w:val="es-ES_tradnl"/>
        </w:rPr>
        <w:t xml:space="preserve"> </w:t>
      </w:r>
      <w:r w:rsidRPr="004F6166">
        <w:rPr>
          <w:rFonts w:asciiTheme="minorHAnsi" w:hAnsiTheme="minorHAnsi" w:cs="Times New Roman"/>
          <w:lang w:val="es-ES_tradnl"/>
        </w:rPr>
        <w:t xml:space="preserve">las obras también se agregan </w:t>
      </w:r>
      <w:r w:rsidR="006C4913" w:rsidRPr="004F6166">
        <w:rPr>
          <w:rFonts w:asciiTheme="minorHAnsi" w:hAnsiTheme="minorHAnsi" w:cs="Times New Roman"/>
          <w:lang w:val="es-ES_tradnl"/>
        </w:rPr>
        <w:t>las de programas especiales a</w:t>
      </w:r>
      <w:r w:rsidRPr="004F6166">
        <w:rPr>
          <w:rFonts w:asciiTheme="minorHAnsi" w:hAnsiTheme="minorHAnsi" w:cs="Times New Roman"/>
          <w:lang w:val="es-ES_tradnl"/>
        </w:rPr>
        <w:t xml:space="preserve"> las realizadas segú</w:t>
      </w:r>
      <w:r w:rsidR="006C4913" w:rsidRPr="004F6166">
        <w:rPr>
          <w:rFonts w:asciiTheme="minorHAnsi" w:hAnsiTheme="minorHAnsi" w:cs="Times New Roman"/>
          <w:lang w:val="es-ES_tradnl"/>
        </w:rPr>
        <w:t>n</w:t>
      </w:r>
      <w:r w:rsidRPr="004F6166">
        <w:rPr>
          <w:rFonts w:asciiTheme="minorHAnsi" w:hAnsiTheme="minorHAnsi" w:cs="Times New Roman"/>
          <w:lang w:val="es-ES_tradnl"/>
        </w:rPr>
        <w:t xml:space="preserve"> la concesión, p</w:t>
      </w:r>
      <w:r w:rsidR="006C4913" w:rsidRPr="004F6166">
        <w:rPr>
          <w:rFonts w:asciiTheme="minorHAnsi" w:hAnsiTheme="minorHAnsi" w:cs="Times New Roman"/>
          <w:lang w:val="es-ES_tradnl"/>
        </w:rPr>
        <w:t>a</w:t>
      </w:r>
      <w:r w:rsidRPr="004F6166">
        <w:rPr>
          <w:rFonts w:asciiTheme="minorHAnsi" w:hAnsiTheme="minorHAnsi" w:cs="Times New Roman"/>
          <w:lang w:val="es-ES_tradnl"/>
        </w:rPr>
        <w:t xml:space="preserve">ra ubicarse </w:t>
      </w:r>
      <w:r w:rsidR="006C4913" w:rsidRPr="004F6166">
        <w:rPr>
          <w:rFonts w:asciiTheme="minorHAnsi" w:hAnsiTheme="minorHAnsi" w:cs="Times New Roman"/>
          <w:lang w:val="es-ES_tradnl"/>
        </w:rPr>
        <w:t>los costos de obra totales e</w:t>
      </w:r>
      <w:r w:rsidRPr="004F6166">
        <w:rPr>
          <w:rFonts w:asciiTheme="minorHAnsi" w:hAnsiTheme="minorHAnsi" w:cs="Times New Roman"/>
          <w:lang w:val="es-ES_tradnl"/>
        </w:rPr>
        <w:t xml:space="preserve">n  </w:t>
      </w:r>
      <w:r w:rsidR="006C4913" w:rsidRPr="004F6166">
        <w:rPr>
          <w:rFonts w:asciiTheme="minorHAnsi" w:hAnsiTheme="minorHAnsi" w:cs="Times New Roman"/>
          <w:lang w:val="es-ES_tradnl"/>
        </w:rPr>
        <w:t xml:space="preserve">el </w:t>
      </w:r>
      <w:r w:rsidRPr="004F6166">
        <w:rPr>
          <w:rFonts w:asciiTheme="minorHAnsi" w:hAnsiTheme="minorHAnsi" w:cs="Times New Roman"/>
          <w:lang w:val="es-ES_tradnl"/>
        </w:rPr>
        <w:t xml:space="preserve">orden de </w:t>
      </w:r>
      <w:r w:rsidR="006C4913" w:rsidRPr="004F6166">
        <w:rPr>
          <w:rFonts w:asciiTheme="minorHAnsi" w:hAnsiTheme="minorHAnsi" w:cs="Times New Roman"/>
          <w:lang w:val="es-ES_tradnl"/>
        </w:rPr>
        <w:t>U</w:t>
      </w:r>
      <w:r w:rsidRPr="004F6166">
        <w:rPr>
          <w:rFonts w:asciiTheme="minorHAnsi" w:hAnsiTheme="minorHAnsi" w:cs="Times New Roman"/>
          <w:lang w:val="es-ES_tradnl"/>
        </w:rPr>
        <w:t xml:space="preserve">S$ </w:t>
      </w:r>
      <w:r w:rsidR="006C4913" w:rsidRPr="004F6166">
        <w:rPr>
          <w:rFonts w:asciiTheme="minorHAnsi" w:hAnsiTheme="minorHAnsi" w:cs="Times New Roman"/>
          <w:lang w:val="es-ES_tradnl"/>
        </w:rPr>
        <w:t>155 millones en total en el ejercicio 201</w:t>
      </w:r>
      <w:r w:rsidR="005E67A6">
        <w:rPr>
          <w:rFonts w:asciiTheme="minorHAnsi" w:hAnsiTheme="minorHAnsi" w:cs="Times New Roman"/>
          <w:lang w:val="es-ES_tradnl"/>
        </w:rPr>
        <w:t>3</w:t>
      </w:r>
      <w:r w:rsidR="006C4913" w:rsidRPr="004F6166">
        <w:rPr>
          <w:rFonts w:asciiTheme="minorHAnsi" w:hAnsiTheme="minorHAnsi" w:cs="Times New Roman"/>
          <w:lang w:val="es-ES_tradnl"/>
        </w:rPr>
        <w:t>/201</w:t>
      </w:r>
      <w:r w:rsidR="005E67A6">
        <w:rPr>
          <w:rFonts w:asciiTheme="minorHAnsi" w:hAnsiTheme="minorHAnsi" w:cs="Times New Roman"/>
          <w:lang w:val="es-ES_tradnl"/>
        </w:rPr>
        <w:t>4</w:t>
      </w:r>
      <w:r w:rsidR="006C4913" w:rsidRPr="004F6166">
        <w:rPr>
          <w:rFonts w:asciiTheme="minorHAnsi" w:hAnsiTheme="minorHAnsi" w:cs="Times New Roman"/>
          <w:lang w:val="es-ES_tradnl"/>
        </w:rPr>
        <w:t xml:space="preserve"> y más de US$ 220 millones en el ejercicio anterior.</w:t>
      </w:r>
    </w:p>
    <w:p w:rsidR="006C4913" w:rsidRPr="004F6166" w:rsidRDefault="006C4913" w:rsidP="004F6166">
      <w:pPr>
        <w:jc w:val="both"/>
        <w:rPr>
          <w:rFonts w:asciiTheme="minorHAnsi" w:hAnsiTheme="minorHAnsi" w:cs="Times New Roman"/>
          <w:lang w:val="es-ES_tradnl"/>
        </w:rPr>
      </w:pPr>
      <w:r w:rsidRPr="004F6166">
        <w:rPr>
          <w:rFonts w:asciiTheme="minorHAnsi" w:hAnsiTheme="minorHAnsi" w:cs="Times New Roman"/>
          <w:lang w:val="es-ES_tradnl"/>
        </w:rPr>
        <w:t xml:space="preserve"> </w:t>
      </w:r>
      <w:r w:rsidRPr="006B1B49">
        <w:rPr>
          <w:rFonts w:asciiTheme="minorHAnsi" w:hAnsiTheme="minorHAnsi" w:cs="Times New Roman"/>
          <w:lang w:val="es-ES_tradnl"/>
        </w:rPr>
        <w:t>A continuación se resume el estado de resultados de la CVU en los últimos ejercicios.</w:t>
      </w:r>
    </w:p>
    <w:p w:rsidR="006B1B49" w:rsidRDefault="006B1B49" w:rsidP="006B1B49">
      <w:pPr>
        <w:jc w:val="center"/>
        <w:rPr>
          <w:rFonts w:asciiTheme="minorHAnsi" w:hAnsiTheme="minorHAnsi" w:cs="Times New Roman"/>
          <w:lang w:val="es-ES_tradnl"/>
        </w:rPr>
      </w:pPr>
      <w:r w:rsidRPr="006B1B49">
        <w:rPr>
          <w:noProof/>
          <w:lang w:val="en-US"/>
        </w:rPr>
        <w:drawing>
          <wp:inline distT="0" distB="0" distL="0" distR="0">
            <wp:extent cx="4508500" cy="1518920"/>
            <wp:effectExtent l="19050" t="0" r="6350" b="0"/>
            <wp:docPr id="6"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srcRect/>
                    <a:stretch>
                      <a:fillRect/>
                    </a:stretch>
                  </pic:blipFill>
                  <pic:spPr bwMode="auto">
                    <a:xfrm>
                      <a:off x="0" y="0"/>
                      <a:ext cx="4508500" cy="1518920"/>
                    </a:xfrm>
                    <a:prstGeom prst="rect">
                      <a:avLst/>
                    </a:prstGeom>
                    <a:noFill/>
                    <a:ln w="9525">
                      <a:noFill/>
                      <a:miter lim="800000"/>
                      <a:headEnd/>
                      <a:tailEnd/>
                    </a:ln>
                  </pic:spPr>
                </pic:pic>
              </a:graphicData>
            </a:graphic>
          </wp:inline>
        </w:drawing>
      </w:r>
    </w:p>
    <w:p w:rsidR="006B1B49" w:rsidRPr="00A6443D" w:rsidRDefault="006B1B49" w:rsidP="006B1B49">
      <w:pPr>
        <w:jc w:val="center"/>
        <w:rPr>
          <w:rFonts w:asciiTheme="minorHAnsi" w:hAnsiTheme="minorHAnsi" w:cs="Times New Roman"/>
          <w:sz w:val="18"/>
          <w:szCs w:val="18"/>
          <w:lang w:val="es-ES_tradnl"/>
        </w:rPr>
      </w:pPr>
      <w:r w:rsidRPr="00A6443D">
        <w:rPr>
          <w:rFonts w:asciiTheme="minorHAnsi" w:hAnsiTheme="minorHAnsi" w:cs="Times New Roman"/>
          <w:sz w:val="18"/>
          <w:szCs w:val="18"/>
          <w:lang w:val="es-ES_tradnl"/>
        </w:rPr>
        <w:t>Fuente: Cálculos propios en base a datos CVU</w:t>
      </w:r>
    </w:p>
    <w:p w:rsidR="006C4913" w:rsidRPr="004F6166" w:rsidRDefault="006C4913" w:rsidP="004F6166">
      <w:pPr>
        <w:jc w:val="both"/>
        <w:rPr>
          <w:rFonts w:asciiTheme="minorHAnsi" w:hAnsiTheme="minorHAnsi" w:cs="Times New Roman"/>
          <w:lang w:val="es-ES_tradnl"/>
        </w:rPr>
      </w:pPr>
      <w:r w:rsidRPr="004F6166">
        <w:rPr>
          <w:rFonts w:asciiTheme="minorHAnsi" w:hAnsiTheme="minorHAnsi" w:cs="Times New Roman"/>
          <w:lang w:val="es-ES_tradnl"/>
        </w:rPr>
        <w:t>Del cuadro anterior, se desprende que luego de los ingresos y costos de operación comentados previamente, se destacan los gastos financieros, producto de los préstamos tomados por un total de US$ 197 millones, donde se destaca el otorgado por el Banco en el año 2008 por un monto de US$ 100 millones (Programa Corporación Vial I) a amortizar hasta el año 20</w:t>
      </w:r>
      <w:r w:rsidR="005E67A6">
        <w:rPr>
          <w:rFonts w:asciiTheme="minorHAnsi" w:hAnsiTheme="minorHAnsi" w:cs="Times New Roman"/>
          <w:lang w:val="es-ES_tradnl"/>
        </w:rPr>
        <w:t>20</w:t>
      </w:r>
      <w:r w:rsidRPr="004F6166">
        <w:rPr>
          <w:rFonts w:asciiTheme="minorHAnsi" w:hAnsiTheme="minorHAnsi" w:cs="Times New Roman"/>
          <w:lang w:val="es-ES_tradnl"/>
        </w:rPr>
        <w:t xml:space="preserve">, con cinco primeros años de gracia y amortizaciones semestrales, con una tasa de LIBOR de tres meses más margen de fondeo y de préstamo, seguido por el de CAF por US$ 70 millones también del año 2008 y hasta el 2019, con los tres primeros de gracia y una tasa de interés de LIBOR </w:t>
      </w:r>
      <w:r w:rsidR="009145E5">
        <w:rPr>
          <w:rFonts w:asciiTheme="minorHAnsi" w:hAnsiTheme="minorHAnsi" w:cs="Times New Roman"/>
          <w:lang w:val="es-ES_tradnl"/>
        </w:rPr>
        <w:t xml:space="preserve">a </w:t>
      </w:r>
      <w:r w:rsidRPr="004F6166">
        <w:rPr>
          <w:rFonts w:asciiTheme="minorHAnsi" w:hAnsiTheme="minorHAnsi" w:cs="Times New Roman"/>
          <w:lang w:val="es-ES_tradnl"/>
        </w:rPr>
        <w:t>6 meses más 0,2% y pagos semestrales.</w:t>
      </w:r>
      <w:r w:rsidR="00666264">
        <w:rPr>
          <w:rFonts w:asciiTheme="minorHAnsi" w:hAnsiTheme="minorHAnsi" w:cs="Times New Roman"/>
          <w:lang w:val="es-ES_tradnl"/>
        </w:rPr>
        <w:t xml:space="preserve"> A ellos se agregan préstamos de corto plazo del BBVA por US$ 3 millones y del </w:t>
      </w:r>
      <w:proofErr w:type="spellStart"/>
      <w:r w:rsidR="00666264">
        <w:rPr>
          <w:rFonts w:asciiTheme="minorHAnsi" w:hAnsiTheme="minorHAnsi" w:cs="Times New Roman"/>
          <w:lang w:val="es-ES_tradnl"/>
        </w:rPr>
        <w:t>Scotia</w:t>
      </w:r>
      <w:proofErr w:type="spellEnd"/>
      <w:r w:rsidR="00666264">
        <w:rPr>
          <w:rFonts w:asciiTheme="minorHAnsi" w:hAnsiTheme="minorHAnsi" w:cs="Times New Roman"/>
          <w:lang w:val="es-ES_tradnl"/>
        </w:rPr>
        <w:t xml:space="preserve"> Bank por US$ 5 millones.</w:t>
      </w:r>
    </w:p>
    <w:p w:rsidR="006C4913" w:rsidRPr="004F6166" w:rsidRDefault="006C4913" w:rsidP="004F6166">
      <w:pPr>
        <w:jc w:val="both"/>
        <w:rPr>
          <w:rFonts w:asciiTheme="minorHAnsi" w:hAnsiTheme="minorHAnsi" w:cs="Times New Roman"/>
          <w:lang w:val="es-ES_tradnl"/>
        </w:rPr>
      </w:pPr>
      <w:r w:rsidRPr="004F6166">
        <w:rPr>
          <w:rFonts w:asciiTheme="minorHAnsi" w:hAnsiTheme="minorHAnsi" w:cs="Times New Roman"/>
          <w:lang w:val="es-ES_tradnl"/>
        </w:rPr>
        <w:t>Los ga</w:t>
      </w:r>
      <w:r w:rsidR="004F6166">
        <w:rPr>
          <w:rFonts w:asciiTheme="minorHAnsi" w:hAnsiTheme="minorHAnsi" w:cs="Times New Roman"/>
          <w:lang w:val="es-ES_tradnl"/>
        </w:rPr>
        <w:t>s</w:t>
      </w:r>
      <w:r w:rsidRPr="004F6166">
        <w:rPr>
          <w:rFonts w:asciiTheme="minorHAnsi" w:hAnsiTheme="minorHAnsi" w:cs="Times New Roman"/>
          <w:lang w:val="es-ES_tradnl"/>
        </w:rPr>
        <w:t xml:space="preserve">tos propios de la CVU son de una entidad menor ya que se ubican en el orden de los US$ 1,6 millones por año. Además, esta empresa está exenta de impuestos por su tipo de actividad. </w:t>
      </w:r>
    </w:p>
    <w:p w:rsidR="00204D6D" w:rsidRPr="004F6166" w:rsidRDefault="001C5DED" w:rsidP="004F6166">
      <w:pPr>
        <w:jc w:val="both"/>
        <w:rPr>
          <w:rFonts w:asciiTheme="minorHAnsi" w:hAnsiTheme="minorHAnsi" w:cs="Times New Roman"/>
          <w:lang w:val="es-ES_tradnl"/>
        </w:rPr>
      </w:pPr>
      <w:r w:rsidRPr="004F6166">
        <w:rPr>
          <w:rFonts w:asciiTheme="minorHAnsi" w:hAnsiTheme="minorHAnsi" w:cs="Times New Roman"/>
          <w:lang w:val="es-ES_tradnl"/>
        </w:rPr>
        <w:t>Por otro lado, la evolución del tipo de cambio en estos últimos años y la ejecución de obras por encima de lo comprometido</w:t>
      </w:r>
      <w:r w:rsidR="009F4ED3" w:rsidRPr="004F6166">
        <w:rPr>
          <w:rFonts w:asciiTheme="minorHAnsi" w:hAnsiTheme="minorHAnsi" w:cs="Times New Roman"/>
          <w:lang w:val="es-ES_tradnl"/>
        </w:rPr>
        <w:t>,</w:t>
      </w:r>
      <w:r w:rsidRPr="004F6166">
        <w:rPr>
          <w:rFonts w:asciiTheme="minorHAnsi" w:hAnsiTheme="minorHAnsi" w:cs="Times New Roman"/>
          <w:lang w:val="es-ES_tradnl"/>
        </w:rPr>
        <w:t xml:space="preserve"> o sea que la CVU está en una etapa de sobre cumplimiento de sus obligaciones</w:t>
      </w:r>
      <w:r w:rsidR="009F4ED3" w:rsidRPr="004F6166">
        <w:rPr>
          <w:rFonts w:asciiTheme="minorHAnsi" w:hAnsiTheme="minorHAnsi" w:cs="Times New Roman"/>
          <w:lang w:val="es-ES_tradnl"/>
        </w:rPr>
        <w:t xml:space="preserve"> en la concesión</w:t>
      </w:r>
      <w:r w:rsidR="00B25E09" w:rsidRPr="004F6166">
        <w:rPr>
          <w:rFonts w:asciiTheme="minorHAnsi" w:hAnsiTheme="minorHAnsi" w:cs="Times New Roman"/>
          <w:lang w:val="es-ES_tradnl"/>
        </w:rPr>
        <w:t>, ha provocado que se produzcan pérdidas en el último balance</w:t>
      </w:r>
      <w:r w:rsidR="009145E5">
        <w:rPr>
          <w:rFonts w:asciiTheme="minorHAnsi" w:hAnsiTheme="minorHAnsi" w:cs="Times New Roman"/>
          <w:lang w:val="es-ES_tradnl"/>
        </w:rPr>
        <w:t>,</w:t>
      </w:r>
      <w:r w:rsidR="00B25E09" w:rsidRPr="004F6166">
        <w:rPr>
          <w:rFonts w:asciiTheme="minorHAnsi" w:hAnsiTheme="minorHAnsi" w:cs="Times New Roman"/>
          <w:lang w:val="es-ES_tradnl"/>
        </w:rPr>
        <w:t xml:space="preserve"> ya que la recaudación de peajes es en pesos y los compromisos asumidos son en dólares, por lo que la erosión de la moneda afecta los balances de la CVU, al enfrentar rezagos de peajes frente a obras mayores de</w:t>
      </w:r>
      <w:r w:rsidR="00673799" w:rsidRPr="004F6166">
        <w:rPr>
          <w:rFonts w:asciiTheme="minorHAnsi" w:hAnsiTheme="minorHAnsi" w:cs="Times New Roman"/>
          <w:lang w:val="es-ES_tradnl"/>
        </w:rPr>
        <w:t xml:space="preserve"> </w:t>
      </w:r>
      <w:r w:rsidR="00B25E09" w:rsidRPr="004F6166">
        <w:rPr>
          <w:rFonts w:asciiTheme="minorHAnsi" w:hAnsiTheme="minorHAnsi" w:cs="Times New Roman"/>
          <w:lang w:val="es-ES_tradnl"/>
        </w:rPr>
        <w:t>las comprometidas por esos peajes. La pérdida del último ejercicio se ubica en el orden de los US$ 2,5 millones de dólares</w:t>
      </w:r>
      <w:r w:rsidR="0051738F" w:rsidRPr="004F6166">
        <w:rPr>
          <w:rFonts w:asciiTheme="minorHAnsi" w:hAnsiTheme="minorHAnsi" w:cs="Times New Roman"/>
          <w:lang w:val="es-ES_tradnl"/>
        </w:rPr>
        <w:t xml:space="preserve">, y representa un </w:t>
      </w:r>
      <w:r w:rsidR="00163C49" w:rsidRPr="004F6166">
        <w:rPr>
          <w:rFonts w:asciiTheme="minorHAnsi" w:hAnsiTheme="minorHAnsi" w:cs="Times New Roman"/>
          <w:lang w:val="es-ES_tradnl"/>
        </w:rPr>
        <w:t>-1</w:t>
      </w:r>
      <w:r w:rsidR="0051738F" w:rsidRPr="004F6166">
        <w:rPr>
          <w:rFonts w:asciiTheme="minorHAnsi" w:hAnsiTheme="minorHAnsi" w:cs="Times New Roman"/>
          <w:lang w:val="es-ES_tradnl"/>
        </w:rPr>
        <w:t>,</w:t>
      </w:r>
      <w:r w:rsidR="00163C49" w:rsidRPr="004F6166">
        <w:rPr>
          <w:rFonts w:asciiTheme="minorHAnsi" w:hAnsiTheme="minorHAnsi" w:cs="Times New Roman"/>
          <w:lang w:val="es-ES_tradnl"/>
        </w:rPr>
        <w:t>5</w:t>
      </w:r>
      <w:r w:rsidR="0051738F" w:rsidRPr="004F6166">
        <w:rPr>
          <w:rFonts w:asciiTheme="minorHAnsi" w:hAnsiTheme="minorHAnsi" w:cs="Times New Roman"/>
          <w:lang w:val="es-ES_tradnl"/>
        </w:rPr>
        <w:t>% de los ingresos</w:t>
      </w:r>
      <w:r w:rsidR="00163C49" w:rsidRPr="004F6166">
        <w:rPr>
          <w:rFonts w:asciiTheme="minorHAnsi" w:hAnsiTheme="minorHAnsi" w:cs="Times New Roman"/>
          <w:lang w:val="es-ES_tradnl"/>
        </w:rPr>
        <w:t xml:space="preserve"> y un -5,9</w:t>
      </w:r>
      <w:r w:rsidR="009F4ED3" w:rsidRPr="004F6166">
        <w:rPr>
          <w:rFonts w:asciiTheme="minorHAnsi" w:hAnsiTheme="minorHAnsi" w:cs="Times New Roman"/>
          <w:lang w:val="es-ES_tradnl"/>
        </w:rPr>
        <w:t>%</w:t>
      </w:r>
      <w:r w:rsidR="00163C49" w:rsidRPr="004F6166">
        <w:rPr>
          <w:rFonts w:asciiTheme="minorHAnsi" w:hAnsiTheme="minorHAnsi" w:cs="Times New Roman"/>
          <w:lang w:val="es-ES_tradnl"/>
        </w:rPr>
        <w:t xml:space="preserve"> del Patrimonio, mientras que en el ejercicio 2012/2013 era una utilidad de 1,2% de los ingresos y 5,5% del Patrimonio</w:t>
      </w:r>
      <w:r w:rsidR="00B25E09" w:rsidRPr="004F6166">
        <w:rPr>
          <w:rFonts w:asciiTheme="minorHAnsi" w:hAnsiTheme="minorHAnsi" w:cs="Times New Roman"/>
          <w:lang w:val="es-ES_tradnl"/>
        </w:rPr>
        <w:t xml:space="preserve">. </w:t>
      </w:r>
    </w:p>
    <w:p w:rsidR="00DE7A5F" w:rsidRPr="004F6166" w:rsidRDefault="00DE7A5F" w:rsidP="004F6166">
      <w:pPr>
        <w:jc w:val="both"/>
        <w:rPr>
          <w:rFonts w:asciiTheme="minorHAnsi" w:hAnsiTheme="minorHAnsi" w:cs="Times New Roman"/>
          <w:lang w:val="es-ES_tradnl"/>
        </w:rPr>
      </w:pPr>
      <w:r w:rsidRPr="004F6166">
        <w:rPr>
          <w:rFonts w:asciiTheme="minorHAnsi" w:hAnsiTheme="minorHAnsi" w:cs="Times New Roman"/>
          <w:lang w:val="es-ES_tradnl"/>
        </w:rPr>
        <w:t xml:space="preserve">A su vez, originalmente en el Anexo I se estableció que el Patrimonio final de la CVU debería ser de US$ 20 millones de cumplirse el Gasto Comprometido. A ellos se </w:t>
      </w:r>
      <w:r w:rsidR="009145E5">
        <w:rPr>
          <w:rFonts w:asciiTheme="minorHAnsi" w:hAnsiTheme="minorHAnsi" w:cs="Times New Roman"/>
          <w:lang w:val="es-ES_tradnl"/>
        </w:rPr>
        <w:t xml:space="preserve">deben </w:t>
      </w:r>
      <w:r w:rsidRPr="004F6166">
        <w:rPr>
          <w:rFonts w:asciiTheme="minorHAnsi" w:hAnsiTheme="minorHAnsi" w:cs="Times New Roman"/>
          <w:lang w:val="es-ES_tradnl"/>
        </w:rPr>
        <w:t>agrega</w:t>
      </w:r>
      <w:r w:rsidR="009145E5">
        <w:rPr>
          <w:rFonts w:asciiTheme="minorHAnsi" w:hAnsiTheme="minorHAnsi" w:cs="Times New Roman"/>
          <w:lang w:val="es-ES_tradnl"/>
        </w:rPr>
        <w:t>r</w:t>
      </w:r>
      <w:r w:rsidRPr="004F6166">
        <w:rPr>
          <w:rFonts w:asciiTheme="minorHAnsi" w:hAnsiTheme="minorHAnsi" w:cs="Times New Roman"/>
          <w:lang w:val="es-ES_tradnl"/>
        </w:rPr>
        <w:t xml:space="preserve"> ganancias financieras </w:t>
      </w:r>
      <w:r w:rsidR="004F6166" w:rsidRPr="004F6166">
        <w:rPr>
          <w:rFonts w:asciiTheme="minorHAnsi" w:hAnsiTheme="minorHAnsi" w:cs="Times New Roman"/>
          <w:lang w:val="es-ES_tradnl"/>
        </w:rPr>
        <w:t xml:space="preserve">iniciales </w:t>
      </w:r>
      <w:r w:rsidRPr="004F6166">
        <w:rPr>
          <w:rFonts w:asciiTheme="minorHAnsi" w:hAnsiTheme="minorHAnsi" w:cs="Times New Roman"/>
          <w:lang w:val="es-ES_tradnl"/>
        </w:rPr>
        <w:t xml:space="preserve">por colocaciones de los primeros años, más unos US$ 5 millones de ganancias por los programas especiales. Hoy este </w:t>
      </w:r>
      <w:r w:rsidR="005E67A6">
        <w:rPr>
          <w:rFonts w:asciiTheme="minorHAnsi" w:hAnsiTheme="minorHAnsi" w:cs="Times New Roman"/>
          <w:lang w:val="es-ES_tradnl"/>
        </w:rPr>
        <w:t>P</w:t>
      </w:r>
      <w:r w:rsidRPr="004F6166">
        <w:rPr>
          <w:rFonts w:asciiTheme="minorHAnsi" w:hAnsiTheme="minorHAnsi" w:cs="Times New Roman"/>
          <w:lang w:val="es-ES_tradnl"/>
        </w:rPr>
        <w:t>atrimonio se ubica en US$ 29 millones y restarían unos US$ 3 millones del resto de la concesión según los gastos comprometidos, lo cual estaría mostrando que la CVU no presentaría mayores problemas de cumplimiento en su patrimonio final con el actual esquema de la concesión.</w:t>
      </w:r>
    </w:p>
    <w:p w:rsidR="00DE7A5F" w:rsidRPr="004F6166" w:rsidRDefault="00DE7A5F" w:rsidP="004F6166">
      <w:pPr>
        <w:jc w:val="both"/>
        <w:rPr>
          <w:rFonts w:asciiTheme="minorHAnsi" w:hAnsiTheme="minorHAnsi" w:cs="Times New Roman"/>
          <w:lang w:val="es-ES_tradnl"/>
        </w:rPr>
      </w:pPr>
      <w:r w:rsidRPr="009145E5">
        <w:rPr>
          <w:rFonts w:asciiTheme="minorHAnsi" w:hAnsiTheme="minorHAnsi" w:cs="Times New Roman"/>
          <w:lang w:val="es-ES_tradnl"/>
        </w:rPr>
        <w:t>A continuación, se presenta una síntesis del Estado de Situación de los últimos dos ejercicios</w:t>
      </w:r>
      <w:r w:rsidR="005E67A6">
        <w:rPr>
          <w:rFonts w:asciiTheme="minorHAnsi" w:hAnsiTheme="minorHAnsi" w:cs="Times New Roman"/>
          <w:lang w:val="es-ES_tradnl"/>
        </w:rPr>
        <w:t xml:space="preserve"> de la CVU</w:t>
      </w:r>
      <w:r w:rsidRPr="009145E5">
        <w:rPr>
          <w:rFonts w:asciiTheme="minorHAnsi" w:hAnsiTheme="minorHAnsi" w:cs="Times New Roman"/>
          <w:lang w:val="es-ES_tradnl"/>
        </w:rPr>
        <w:t>.</w:t>
      </w:r>
    </w:p>
    <w:p w:rsidR="009145E5" w:rsidRDefault="009145E5" w:rsidP="009145E5">
      <w:pPr>
        <w:jc w:val="center"/>
        <w:rPr>
          <w:rFonts w:asciiTheme="minorHAnsi" w:hAnsiTheme="minorHAnsi" w:cs="Times New Roman"/>
          <w:lang w:val="es-ES_tradnl"/>
        </w:rPr>
      </w:pPr>
      <w:r w:rsidRPr="009145E5">
        <w:rPr>
          <w:noProof/>
          <w:lang w:val="en-US"/>
        </w:rPr>
        <w:drawing>
          <wp:inline distT="0" distB="0" distL="0" distR="0">
            <wp:extent cx="4723130" cy="2616200"/>
            <wp:effectExtent l="19050" t="0" r="1270" b="0"/>
            <wp:docPr id="7"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srcRect/>
                    <a:stretch>
                      <a:fillRect/>
                    </a:stretch>
                  </pic:blipFill>
                  <pic:spPr bwMode="auto">
                    <a:xfrm>
                      <a:off x="0" y="0"/>
                      <a:ext cx="4723130" cy="2616200"/>
                    </a:xfrm>
                    <a:prstGeom prst="rect">
                      <a:avLst/>
                    </a:prstGeom>
                    <a:noFill/>
                    <a:ln w="9525">
                      <a:noFill/>
                      <a:miter lim="800000"/>
                      <a:headEnd/>
                      <a:tailEnd/>
                    </a:ln>
                  </pic:spPr>
                </pic:pic>
              </a:graphicData>
            </a:graphic>
          </wp:inline>
        </w:drawing>
      </w:r>
    </w:p>
    <w:p w:rsidR="009145E5" w:rsidRPr="00A6443D" w:rsidRDefault="009145E5" w:rsidP="009145E5">
      <w:pPr>
        <w:jc w:val="center"/>
        <w:rPr>
          <w:rFonts w:asciiTheme="minorHAnsi" w:hAnsiTheme="minorHAnsi" w:cs="Times New Roman"/>
          <w:sz w:val="18"/>
          <w:szCs w:val="18"/>
          <w:lang w:val="es-ES_tradnl"/>
        </w:rPr>
      </w:pPr>
      <w:r w:rsidRPr="00A6443D">
        <w:rPr>
          <w:rFonts w:asciiTheme="minorHAnsi" w:hAnsiTheme="minorHAnsi" w:cs="Times New Roman"/>
          <w:sz w:val="18"/>
          <w:szCs w:val="18"/>
          <w:lang w:val="es-ES_tradnl"/>
        </w:rPr>
        <w:t>Fuente: Cálculos propios en base a datos CVU</w:t>
      </w:r>
    </w:p>
    <w:p w:rsidR="004C399C" w:rsidRPr="004F6166" w:rsidRDefault="00673799" w:rsidP="004F6166">
      <w:pPr>
        <w:jc w:val="both"/>
        <w:rPr>
          <w:rFonts w:asciiTheme="minorHAnsi" w:hAnsiTheme="minorHAnsi" w:cs="Times New Roman"/>
          <w:lang w:val="es-ES_tradnl"/>
        </w:rPr>
      </w:pPr>
      <w:r w:rsidRPr="004F6166">
        <w:rPr>
          <w:rFonts w:asciiTheme="minorHAnsi" w:hAnsiTheme="minorHAnsi" w:cs="Times New Roman"/>
          <w:lang w:val="es-ES_tradnl"/>
        </w:rPr>
        <w:t>Por último, para dar una idea global de la situación económico-financiera de la CVU a partir de los resultados expuestos aquí, se ha</w:t>
      </w:r>
      <w:r w:rsidR="00D04602">
        <w:rPr>
          <w:rFonts w:asciiTheme="minorHAnsi" w:hAnsiTheme="minorHAnsi" w:cs="Times New Roman"/>
          <w:lang w:val="es-ES_tradnl"/>
        </w:rPr>
        <w:t>n</w:t>
      </w:r>
      <w:r w:rsidRPr="004F6166">
        <w:rPr>
          <w:rFonts w:asciiTheme="minorHAnsi" w:hAnsiTheme="minorHAnsi" w:cs="Times New Roman"/>
          <w:lang w:val="es-ES_tradnl"/>
        </w:rPr>
        <w:t xml:space="preserve"> elaborado los indicadores comúnmente utilizados para evaluar estos estados contables. Ellos son, en primer lugar, los indicadores de solvencia y el índice de endeudamiento.</w:t>
      </w:r>
    </w:p>
    <w:p w:rsidR="001C5DED" w:rsidRPr="004F6166" w:rsidRDefault="0051738F" w:rsidP="004F6166">
      <w:pPr>
        <w:jc w:val="both"/>
        <w:rPr>
          <w:rFonts w:asciiTheme="minorHAnsi" w:hAnsiTheme="minorHAnsi" w:cs="Times New Roman"/>
          <w:lang w:val="es-ES_tradnl"/>
        </w:rPr>
      </w:pPr>
      <w:r w:rsidRPr="004F6166">
        <w:rPr>
          <w:rFonts w:asciiTheme="minorHAnsi" w:hAnsiTheme="minorHAnsi" w:cs="Times New Roman"/>
          <w:lang w:val="es-ES_tradnl"/>
        </w:rPr>
        <w:t>L</w:t>
      </w:r>
      <w:r w:rsidR="00673799" w:rsidRPr="004F6166">
        <w:rPr>
          <w:rFonts w:asciiTheme="minorHAnsi" w:hAnsiTheme="minorHAnsi" w:cs="Times New Roman"/>
          <w:lang w:val="es-ES_tradnl"/>
        </w:rPr>
        <w:t xml:space="preserve">os indicadores de solvencia </w:t>
      </w:r>
      <w:r w:rsidRPr="004F6166">
        <w:rPr>
          <w:rFonts w:asciiTheme="minorHAnsi" w:hAnsiTheme="minorHAnsi" w:cs="Times New Roman"/>
          <w:lang w:val="es-ES_tradnl"/>
        </w:rPr>
        <w:t xml:space="preserve">utilizados habitualmente son el denominado </w:t>
      </w:r>
      <w:r w:rsidR="00673799" w:rsidRPr="004F6166">
        <w:rPr>
          <w:rFonts w:asciiTheme="minorHAnsi" w:hAnsiTheme="minorHAnsi" w:cs="Times New Roman"/>
          <w:lang w:val="es-ES_tradnl"/>
        </w:rPr>
        <w:t>ratio de liquidez o razón corriente o relación corriente y la prueba ácida</w:t>
      </w:r>
      <w:r w:rsidRPr="004F6166">
        <w:rPr>
          <w:rFonts w:asciiTheme="minorHAnsi" w:hAnsiTheme="minorHAnsi" w:cs="Times New Roman"/>
          <w:lang w:val="es-ES_tradnl"/>
        </w:rPr>
        <w:t xml:space="preserve"> que puede ser la mayor o la menor, por sus niveles de exigencia.</w:t>
      </w:r>
    </w:p>
    <w:p w:rsidR="0051738F" w:rsidRPr="004F6166" w:rsidRDefault="0051738F" w:rsidP="004F6166">
      <w:pPr>
        <w:jc w:val="both"/>
        <w:rPr>
          <w:rFonts w:asciiTheme="minorHAnsi" w:hAnsiTheme="minorHAnsi" w:cs="Times New Roman"/>
          <w:lang w:val="es-ES_tradnl"/>
        </w:rPr>
      </w:pPr>
      <w:r w:rsidRPr="004F6166">
        <w:rPr>
          <w:rFonts w:asciiTheme="minorHAnsi" w:hAnsiTheme="minorHAnsi" w:cs="Times New Roman"/>
          <w:lang w:val="es-ES_tradnl"/>
        </w:rPr>
        <w:t xml:space="preserve">El ratio de liquidez se obtiene de relacionar el activo corriente con el pasivo corriente y que en el caso de la CVU, según puede verse en el cuadro siguiente, se ubica en 0,785 en el ejercicio 2013/2014 y más de uno en el 2012/2013, lo que está mostrando dificultades para enfrentar la exigencias </w:t>
      </w:r>
      <w:r w:rsidR="00D04602">
        <w:rPr>
          <w:rFonts w:asciiTheme="minorHAnsi" w:hAnsiTheme="minorHAnsi" w:cs="Times New Roman"/>
          <w:lang w:val="es-ES_tradnl"/>
        </w:rPr>
        <w:t xml:space="preserve">financieras </w:t>
      </w:r>
      <w:r w:rsidRPr="004F6166">
        <w:rPr>
          <w:rFonts w:asciiTheme="minorHAnsi" w:hAnsiTheme="minorHAnsi" w:cs="Times New Roman"/>
          <w:lang w:val="es-ES_tradnl"/>
        </w:rPr>
        <w:t xml:space="preserve">de la actividad, luego de una buena posición </w:t>
      </w:r>
      <w:r w:rsidR="00D04602">
        <w:rPr>
          <w:rFonts w:asciiTheme="minorHAnsi" w:hAnsiTheme="minorHAnsi" w:cs="Times New Roman"/>
          <w:lang w:val="es-ES_tradnl"/>
        </w:rPr>
        <w:t xml:space="preserve">en el ejercicio </w:t>
      </w:r>
      <w:r w:rsidRPr="004F6166">
        <w:rPr>
          <w:rFonts w:asciiTheme="minorHAnsi" w:hAnsiTheme="minorHAnsi" w:cs="Times New Roman"/>
          <w:lang w:val="es-ES_tradnl"/>
        </w:rPr>
        <w:t xml:space="preserve">anterior, mostrando falta de apalancamiento. </w:t>
      </w:r>
    </w:p>
    <w:p w:rsidR="0051738F" w:rsidRPr="004F6166" w:rsidRDefault="0051738F" w:rsidP="004F6166">
      <w:pPr>
        <w:jc w:val="both"/>
        <w:rPr>
          <w:rFonts w:asciiTheme="minorHAnsi" w:hAnsiTheme="minorHAnsi" w:cs="Times New Roman"/>
          <w:lang w:val="es-ES_tradnl"/>
        </w:rPr>
      </w:pPr>
      <w:r w:rsidRPr="004F6166">
        <w:rPr>
          <w:rFonts w:asciiTheme="minorHAnsi" w:hAnsiTheme="minorHAnsi" w:cs="Times New Roman"/>
          <w:lang w:val="es-ES_tradnl"/>
        </w:rPr>
        <w:t>La prueba ácida mayor se obtiene de relacionar el activo corriente menos los inventarios con el pasivo corriente</w:t>
      </w:r>
      <w:r w:rsidR="00182C1C">
        <w:rPr>
          <w:rFonts w:asciiTheme="minorHAnsi" w:hAnsiTheme="minorHAnsi" w:cs="Times New Roman"/>
          <w:lang w:val="es-ES_tradnl"/>
        </w:rPr>
        <w:t xml:space="preserve">. Para el último ejercicio, este cálculo arroja un resultado de </w:t>
      </w:r>
      <w:r w:rsidRPr="004F6166">
        <w:rPr>
          <w:rFonts w:asciiTheme="minorHAnsi" w:hAnsiTheme="minorHAnsi" w:cs="Times New Roman"/>
          <w:lang w:val="es-ES_tradnl"/>
        </w:rPr>
        <w:t>0,</w:t>
      </w:r>
      <w:r w:rsidR="009F4ED3" w:rsidRPr="004F6166">
        <w:rPr>
          <w:rFonts w:asciiTheme="minorHAnsi" w:hAnsiTheme="minorHAnsi" w:cs="Times New Roman"/>
          <w:lang w:val="es-ES_tradnl"/>
        </w:rPr>
        <w:t>72</w:t>
      </w:r>
      <w:r w:rsidRPr="004F6166">
        <w:rPr>
          <w:rFonts w:asciiTheme="minorHAnsi" w:hAnsiTheme="minorHAnsi" w:cs="Times New Roman"/>
          <w:lang w:val="es-ES_tradnl"/>
        </w:rPr>
        <w:t xml:space="preserve"> y en un valor </w:t>
      </w:r>
      <w:r w:rsidR="009F4ED3" w:rsidRPr="004F6166">
        <w:rPr>
          <w:rFonts w:asciiTheme="minorHAnsi" w:hAnsiTheme="minorHAnsi" w:cs="Times New Roman"/>
          <w:lang w:val="es-ES_tradnl"/>
        </w:rPr>
        <w:t xml:space="preserve">algo superior a uno </w:t>
      </w:r>
      <w:r w:rsidRPr="004F6166">
        <w:rPr>
          <w:rFonts w:asciiTheme="minorHAnsi" w:hAnsiTheme="minorHAnsi" w:cs="Times New Roman"/>
          <w:lang w:val="es-ES_tradnl"/>
        </w:rPr>
        <w:t>en el anterior</w:t>
      </w:r>
      <w:r w:rsidR="00182C1C">
        <w:rPr>
          <w:rFonts w:asciiTheme="minorHAnsi" w:hAnsiTheme="minorHAnsi" w:cs="Times New Roman"/>
          <w:lang w:val="es-ES_tradnl"/>
        </w:rPr>
        <w:t xml:space="preserve"> ejercicio</w:t>
      </w:r>
      <w:r w:rsidRPr="004F6166">
        <w:rPr>
          <w:rFonts w:asciiTheme="minorHAnsi" w:hAnsiTheme="minorHAnsi" w:cs="Times New Roman"/>
          <w:lang w:val="es-ES_tradnl"/>
        </w:rPr>
        <w:t xml:space="preserve">, también mostrando una falta de equilibrio financiero (valor de </w:t>
      </w:r>
      <w:r w:rsidR="009F4ED3" w:rsidRPr="004F6166">
        <w:rPr>
          <w:rFonts w:asciiTheme="minorHAnsi" w:hAnsiTheme="minorHAnsi" w:cs="Times New Roman"/>
          <w:lang w:val="es-ES_tradnl"/>
        </w:rPr>
        <w:t>1</w:t>
      </w:r>
      <w:r w:rsidRPr="004F6166">
        <w:rPr>
          <w:rFonts w:asciiTheme="minorHAnsi" w:hAnsiTheme="minorHAnsi" w:cs="Times New Roman"/>
          <w:lang w:val="es-ES_tradnl"/>
        </w:rPr>
        <w:t>)</w:t>
      </w:r>
      <w:r w:rsidR="009F4ED3" w:rsidRPr="004F6166">
        <w:rPr>
          <w:rFonts w:asciiTheme="minorHAnsi" w:hAnsiTheme="minorHAnsi" w:cs="Times New Roman"/>
          <w:lang w:val="es-ES_tradnl"/>
        </w:rPr>
        <w:t xml:space="preserve"> en e</w:t>
      </w:r>
      <w:r w:rsidR="00182C1C">
        <w:rPr>
          <w:rFonts w:asciiTheme="minorHAnsi" w:hAnsiTheme="minorHAnsi" w:cs="Times New Roman"/>
          <w:lang w:val="es-ES_tradnl"/>
        </w:rPr>
        <w:t>l ejercicio 2013/2014</w:t>
      </w:r>
      <w:r w:rsidR="009F4ED3" w:rsidRPr="004F6166">
        <w:rPr>
          <w:rFonts w:asciiTheme="minorHAnsi" w:hAnsiTheme="minorHAnsi" w:cs="Times New Roman"/>
          <w:lang w:val="es-ES_tradnl"/>
        </w:rPr>
        <w:t>.</w:t>
      </w:r>
    </w:p>
    <w:p w:rsidR="009F4ED3" w:rsidRPr="004F6166" w:rsidRDefault="009F4ED3" w:rsidP="004F6166">
      <w:pPr>
        <w:jc w:val="both"/>
        <w:rPr>
          <w:rFonts w:asciiTheme="minorHAnsi" w:hAnsiTheme="minorHAnsi" w:cs="Times New Roman"/>
          <w:lang w:val="es-ES_tradnl"/>
        </w:rPr>
      </w:pPr>
      <w:r w:rsidRPr="004F6166">
        <w:rPr>
          <w:rFonts w:asciiTheme="minorHAnsi" w:hAnsiTheme="minorHAnsi" w:cs="Times New Roman"/>
          <w:lang w:val="es-ES_tradnl"/>
        </w:rPr>
        <w:t>Por su parte</w:t>
      </w:r>
      <w:r w:rsidR="00182C1C">
        <w:rPr>
          <w:rFonts w:asciiTheme="minorHAnsi" w:hAnsiTheme="minorHAnsi" w:cs="Times New Roman"/>
          <w:lang w:val="es-ES_tradnl"/>
        </w:rPr>
        <w:t>,</w:t>
      </w:r>
      <w:r w:rsidRPr="004F6166">
        <w:rPr>
          <w:rFonts w:asciiTheme="minorHAnsi" w:hAnsiTheme="minorHAnsi" w:cs="Times New Roman"/>
          <w:lang w:val="es-ES_tradnl"/>
        </w:rPr>
        <w:t xml:space="preserve"> la prueba ácida menor que se obtiene de dividir las disponibilidades menos las inversiones temporarias por el pasivo corriente arroja un valor de 0,41 y de 0,34 en ambos ejercicios, respectivamente, confirmando también a este nivel más exigente la falta de disponibilidades financieras para enfrentar los compromisos. </w:t>
      </w:r>
    </w:p>
    <w:p w:rsidR="00D04602" w:rsidRDefault="00D04602" w:rsidP="00D04602">
      <w:pPr>
        <w:jc w:val="center"/>
        <w:rPr>
          <w:rFonts w:asciiTheme="minorHAnsi" w:hAnsiTheme="minorHAnsi" w:cs="Times New Roman"/>
          <w:lang w:val="es-ES_tradnl"/>
        </w:rPr>
      </w:pPr>
      <w:r w:rsidRPr="00D04602">
        <w:rPr>
          <w:noProof/>
          <w:lang w:val="en-US"/>
        </w:rPr>
        <w:drawing>
          <wp:inline distT="0" distB="0" distL="0" distR="0">
            <wp:extent cx="4723130" cy="1518920"/>
            <wp:effectExtent l="19050" t="0" r="1270" b="0"/>
            <wp:docPr id="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srcRect/>
                    <a:stretch>
                      <a:fillRect/>
                    </a:stretch>
                  </pic:blipFill>
                  <pic:spPr bwMode="auto">
                    <a:xfrm>
                      <a:off x="0" y="0"/>
                      <a:ext cx="4723130" cy="1518920"/>
                    </a:xfrm>
                    <a:prstGeom prst="rect">
                      <a:avLst/>
                    </a:prstGeom>
                    <a:noFill/>
                    <a:ln w="9525">
                      <a:noFill/>
                      <a:miter lim="800000"/>
                      <a:headEnd/>
                      <a:tailEnd/>
                    </a:ln>
                  </pic:spPr>
                </pic:pic>
              </a:graphicData>
            </a:graphic>
          </wp:inline>
        </w:drawing>
      </w:r>
    </w:p>
    <w:p w:rsidR="005A4745" w:rsidRPr="00A6443D" w:rsidRDefault="005A4745" w:rsidP="005A4745">
      <w:pPr>
        <w:jc w:val="center"/>
        <w:rPr>
          <w:rFonts w:asciiTheme="minorHAnsi" w:hAnsiTheme="minorHAnsi" w:cs="Times New Roman"/>
          <w:sz w:val="18"/>
          <w:szCs w:val="18"/>
          <w:lang w:val="es-ES_tradnl"/>
        </w:rPr>
      </w:pPr>
      <w:r w:rsidRPr="00A6443D">
        <w:rPr>
          <w:rFonts w:asciiTheme="minorHAnsi" w:hAnsiTheme="minorHAnsi" w:cs="Times New Roman"/>
          <w:sz w:val="18"/>
          <w:szCs w:val="18"/>
          <w:lang w:val="es-ES_tradnl"/>
        </w:rPr>
        <w:t>Fuente: Cálculos propios en base a datos CVU</w:t>
      </w:r>
    </w:p>
    <w:p w:rsidR="009F4ED3" w:rsidRPr="004F6166" w:rsidRDefault="00DB3A42" w:rsidP="00367E50">
      <w:pPr>
        <w:jc w:val="both"/>
        <w:rPr>
          <w:rFonts w:asciiTheme="minorHAnsi" w:hAnsiTheme="minorHAnsi" w:cs="Times New Roman"/>
          <w:lang w:val="es-ES_tradnl"/>
        </w:rPr>
      </w:pPr>
      <w:r>
        <w:rPr>
          <w:rFonts w:asciiTheme="minorHAnsi" w:hAnsiTheme="minorHAnsi" w:cs="Times New Roman"/>
          <w:lang w:val="es-ES_tradnl"/>
        </w:rPr>
        <w:t>Por su parte, en</w:t>
      </w:r>
      <w:r w:rsidR="009F4ED3" w:rsidRPr="004F6166">
        <w:rPr>
          <w:rFonts w:asciiTheme="minorHAnsi" w:hAnsiTheme="minorHAnsi" w:cs="Times New Roman"/>
          <w:lang w:val="es-ES_tradnl"/>
        </w:rPr>
        <w:t xml:space="preserve"> el capítulo siguiente se presentan las proyecciones de los flujos financieros de la CVU para el resto de la concesión, de allí se desprende claramente la necesidad de un apoyo financiero adicional en el actual ejercicio, para enfrentar las dificultades financieras que los indicadores analizados establecían. Luego, el menor monto de obras a realizar ya contratadas permite sanear rápidamente la situación financiera y enfrentar los compromisos asumidos</w:t>
      </w:r>
      <w:r w:rsidR="007E6590" w:rsidRPr="004F6166">
        <w:rPr>
          <w:rFonts w:asciiTheme="minorHAnsi" w:hAnsiTheme="minorHAnsi" w:cs="Times New Roman"/>
          <w:lang w:val="es-ES_tradnl"/>
        </w:rPr>
        <w:t>, en términos tanto de obras como de amortizaciones de los préstamos de BID, CAF y otros ya comentados</w:t>
      </w:r>
      <w:r w:rsidR="009F4ED3" w:rsidRPr="004F6166">
        <w:rPr>
          <w:rFonts w:asciiTheme="minorHAnsi" w:hAnsiTheme="minorHAnsi" w:cs="Times New Roman"/>
          <w:lang w:val="es-ES_tradnl"/>
        </w:rPr>
        <w:t>.</w:t>
      </w:r>
    </w:p>
    <w:p w:rsidR="007E6590" w:rsidRDefault="007E6590" w:rsidP="004F6166">
      <w:pPr>
        <w:jc w:val="both"/>
        <w:rPr>
          <w:rFonts w:asciiTheme="minorHAnsi" w:hAnsiTheme="minorHAnsi" w:cs="Times New Roman"/>
          <w:lang w:val="es-ES_tradnl"/>
        </w:rPr>
      </w:pPr>
      <w:r w:rsidRPr="004F6166">
        <w:rPr>
          <w:rFonts w:asciiTheme="minorHAnsi" w:hAnsiTheme="minorHAnsi" w:cs="Times New Roman"/>
          <w:lang w:val="es-ES_tradnl"/>
        </w:rPr>
        <w:t>En conclusión, puede decirse que la actual situación de problemas de financiamiento de corto plazo deberían ser sobrellevados a la brevedad al minimizarse el ritmo de obras, según se ha previsto, a la vez que el cumplimiento del Gasto Comprometido y la minimización del ritmo de obras en consecuencia permitiría también contrarrestar las pérdidas actuales, tal cual se vio precedentemente</w:t>
      </w:r>
      <w:r w:rsidR="00DB3A42">
        <w:rPr>
          <w:rFonts w:asciiTheme="minorHAnsi" w:hAnsiTheme="minorHAnsi" w:cs="Times New Roman"/>
          <w:lang w:val="es-ES_tradnl"/>
        </w:rPr>
        <w:t xml:space="preserve">, a lo cual se agrega que, de todas maneras, </w:t>
      </w:r>
      <w:r w:rsidRPr="004F6166">
        <w:rPr>
          <w:rFonts w:asciiTheme="minorHAnsi" w:hAnsiTheme="minorHAnsi" w:cs="Times New Roman"/>
          <w:lang w:val="es-ES_tradnl"/>
        </w:rPr>
        <w:t>las pérdidas contables del ejercicio 2013/2014 son de baja magnitud.</w:t>
      </w:r>
    </w:p>
    <w:p w:rsidR="00DB3A42" w:rsidRDefault="00DB3A42">
      <w:pPr>
        <w:spacing w:after="180" w:line="264" w:lineRule="auto"/>
        <w:jc w:val="both"/>
        <w:rPr>
          <w:rFonts w:asciiTheme="minorHAnsi" w:hAnsiTheme="minorHAnsi" w:cs="Times New Roman"/>
          <w:lang w:val="es-ES_tradnl"/>
        </w:rPr>
      </w:pPr>
      <w:r>
        <w:rPr>
          <w:rFonts w:asciiTheme="minorHAnsi" w:hAnsiTheme="minorHAnsi" w:cs="Times New Roman"/>
          <w:lang w:val="es-ES_tradnl"/>
        </w:rPr>
        <w:br w:type="page"/>
      </w:r>
    </w:p>
    <w:p w:rsidR="00367E50" w:rsidRPr="004F6166" w:rsidRDefault="00367E50" w:rsidP="004F6166">
      <w:pPr>
        <w:jc w:val="both"/>
        <w:rPr>
          <w:rFonts w:asciiTheme="minorHAnsi" w:hAnsiTheme="minorHAnsi" w:cs="Times New Roman"/>
          <w:lang w:val="es-ES_tradnl"/>
        </w:rPr>
      </w:pPr>
    </w:p>
    <w:p w:rsidR="007E6590" w:rsidRPr="00367E50" w:rsidRDefault="00367E50" w:rsidP="005C7397">
      <w:pPr>
        <w:pStyle w:val="Heading2"/>
      </w:pPr>
      <w:bookmarkStart w:id="8" w:name="_Toc428464178"/>
      <w:r w:rsidRPr="00367E50">
        <w:t>La Corporación Nacional para el Desarrollo</w:t>
      </w:r>
      <w:bookmarkEnd w:id="8"/>
    </w:p>
    <w:p w:rsidR="00367E50" w:rsidRPr="00CB0236" w:rsidRDefault="00367E50" w:rsidP="00CB0236">
      <w:pPr>
        <w:spacing w:after="240"/>
        <w:jc w:val="both"/>
        <w:rPr>
          <w:rFonts w:asciiTheme="minorHAnsi" w:hAnsiTheme="minorHAnsi" w:cs="Times New Roman"/>
          <w:lang w:val="es-ES_tradnl"/>
        </w:rPr>
      </w:pPr>
    </w:p>
    <w:p w:rsidR="00CB0236" w:rsidRPr="00CB0236" w:rsidRDefault="00CB0236" w:rsidP="00CB0236">
      <w:pPr>
        <w:spacing w:after="240"/>
        <w:jc w:val="both"/>
        <w:rPr>
          <w:rFonts w:asciiTheme="minorHAnsi" w:hAnsiTheme="minorHAnsi" w:cs="Times New Roman"/>
          <w:b/>
          <w:lang w:val="es-ES_tradnl"/>
        </w:rPr>
      </w:pPr>
      <w:r w:rsidRPr="00CB0236">
        <w:rPr>
          <w:rFonts w:asciiTheme="minorHAnsi" w:hAnsiTheme="minorHAnsi" w:cs="Times New Roman"/>
          <w:b/>
          <w:lang w:val="es-ES_tradnl"/>
        </w:rPr>
        <w:t>Descripción</w:t>
      </w:r>
    </w:p>
    <w:p w:rsidR="00367E50" w:rsidRPr="00CB0236" w:rsidRDefault="00367E50" w:rsidP="00CB0236">
      <w:pPr>
        <w:spacing w:after="240"/>
        <w:jc w:val="both"/>
        <w:rPr>
          <w:rFonts w:asciiTheme="minorHAnsi" w:hAnsiTheme="minorHAnsi" w:cs="Times New Roman"/>
          <w:lang w:val="es-ES_tradnl"/>
        </w:rPr>
      </w:pPr>
      <w:r w:rsidRPr="00CB0236">
        <w:rPr>
          <w:rFonts w:asciiTheme="minorHAnsi" w:hAnsiTheme="minorHAnsi" w:cs="Times New Roman"/>
          <w:lang w:val="es-ES_tradnl"/>
        </w:rPr>
        <w:t xml:space="preserve">La Corporación Nacional para el Desarrollo (CND) es una persona jurídica de derecho público no estatal, </w:t>
      </w:r>
      <w:proofErr w:type="gramStart"/>
      <w:r w:rsidRPr="00CB0236">
        <w:rPr>
          <w:rFonts w:asciiTheme="minorHAnsi" w:hAnsiTheme="minorHAnsi" w:cs="Times New Roman"/>
          <w:lang w:val="es-ES_tradnl"/>
        </w:rPr>
        <w:t>creada</w:t>
      </w:r>
      <w:proofErr w:type="gramEnd"/>
      <w:r w:rsidRPr="00CB0236">
        <w:rPr>
          <w:rFonts w:asciiTheme="minorHAnsi" w:hAnsiTheme="minorHAnsi" w:cs="Times New Roman"/>
          <w:lang w:val="es-ES_tradnl"/>
        </w:rPr>
        <w:t xml:space="preserve"> por Ley Nº 15.785 del 4 de diciembre de 1985, siendo actualmente de propiedad estatal, aunque legalmente el capital privado podría participar hasta en un 40%. Se rige </w:t>
      </w:r>
      <w:r w:rsidR="00B5159F" w:rsidRPr="00CB0236">
        <w:rPr>
          <w:rFonts w:asciiTheme="minorHAnsi" w:hAnsiTheme="minorHAnsi" w:cs="Times New Roman"/>
          <w:lang w:val="es-ES_tradnl"/>
        </w:rPr>
        <w:t>e</w:t>
      </w:r>
      <w:r w:rsidRPr="00CB0236">
        <w:rPr>
          <w:rFonts w:asciiTheme="minorHAnsi" w:hAnsiTheme="minorHAnsi" w:cs="Times New Roman"/>
          <w:lang w:val="es-ES_tradnl"/>
        </w:rPr>
        <w:t>n todas sus relaciones con terceros por el Derecho Privado.</w:t>
      </w:r>
    </w:p>
    <w:p w:rsidR="00367E50" w:rsidRPr="00DD5FA1" w:rsidRDefault="002A0D10" w:rsidP="00CB0236">
      <w:pPr>
        <w:spacing w:after="240"/>
        <w:jc w:val="both"/>
        <w:rPr>
          <w:rFonts w:asciiTheme="minorHAnsi" w:hAnsiTheme="minorHAnsi" w:cs="Times New Roman"/>
          <w:lang w:val="es-ES_tradnl"/>
        </w:rPr>
      </w:pPr>
      <w:r w:rsidRPr="00CB0236">
        <w:rPr>
          <w:rFonts w:asciiTheme="minorHAnsi" w:hAnsiTheme="minorHAnsi" w:cs="Times New Roman"/>
          <w:lang w:val="es-ES_tradnl"/>
        </w:rPr>
        <w:t>Se ha creado para  b</w:t>
      </w:r>
      <w:r w:rsidR="00367E50" w:rsidRPr="00CB0236">
        <w:rPr>
          <w:rFonts w:asciiTheme="minorHAnsi" w:hAnsiTheme="minorHAnsi" w:cs="Times New Roman"/>
          <w:lang w:val="es-ES_tradnl"/>
        </w:rPr>
        <w:t>rindar servicios a Ministerios, Intendencias, Entes y Empresas Públicas para la consecución de los objetivos de desarrollo del país</w:t>
      </w:r>
      <w:r w:rsidRPr="00CB0236">
        <w:rPr>
          <w:rFonts w:asciiTheme="minorHAnsi" w:hAnsiTheme="minorHAnsi" w:cs="Times New Roman"/>
          <w:lang w:val="es-ES_tradnl"/>
        </w:rPr>
        <w:t>, con los siguientes cometidos en la actualidad (</w:t>
      </w:r>
      <w:r w:rsidR="00367E50" w:rsidRPr="00DD5FA1">
        <w:rPr>
          <w:rFonts w:asciiTheme="minorHAnsi" w:hAnsiTheme="minorHAnsi" w:cs="Times New Roman"/>
          <w:lang w:val="es-ES_tradnl"/>
        </w:rPr>
        <w:t>art. 34 de Ley 18.602</w:t>
      </w:r>
      <w:r w:rsidRPr="00CB0236">
        <w:rPr>
          <w:rFonts w:asciiTheme="minorHAnsi" w:hAnsiTheme="minorHAnsi" w:cs="Times New Roman"/>
          <w:lang w:val="es-ES_tradnl"/>
        </w:rPr>
        <w:t xml:space="preserve"> del </w:t>
      </w:r>
      <w:r w:rsidRPr="00DD5FA1">
        <w:rPr>
          <w:rFonts w:asciiTheme="minorHAnsi" w:hAnsiTheme="minorHAnsi" w:cs="Times New Roman"/>
          <w:lang w:val="es-ES_tradnl"/>
        </w:rPr>
        <w:t>21</w:t>
      </w:r>
      <w:r w:rsidRPr="00CB0236">
        <w:rPr>
          <w:rFonts w:asciiTheme="minorHAnsi" w:hAnsiTheme="minorHAnsi" w:cs="Times New Roman"/>
          <w:lang w:val="es-ES_tradnl"/>
        </w:rPr>
        <w:t>/09/</w:t>
      </w:r>
      <w:r w:rsidRPr="00DD5FA1">
        <w:rPr>
          <w:rFonts w:asciiTheme="minorHAnsi" w:hAnsiTheme="minorHAnsi" w:cs="Times New Roman"/>
          <w:lang w:val="es-ES_tradnl"/>
        </w:rPr>
        <w:t>2009</w:t>
      </w:r>
      <w:r w:rsidRPr="00CB0236">
        <w:rPr>
          <w:rFonts w:asciiTheme="minorHAnsi" w:hAnsiTheme="minorHAnsi" w:cs="Times New Roman"/>
          <w:lang w:val="es-ES_tradnl"/>
        </w:rPr>
        <w:t>)</w:t>
      </w:r>
      <w:r w:rsidR="00367E50" w:rsidRPr="00DD5FA1">
        <w:rPr>
          <w:rFonts w:asciiTheme="minorHAnsi" w:hAnsiTheme="minorHAnsi" w:cs="Times New Roman"/>
          <w:lang w:val="es-ES_tradnl"/>
        </w:rPr>
        <w:t>:</w:t>
      </w:r>
    </w:p>
    <w:p w:rsidR="002A0D10" w:rsidRPr="00CB0236" w:rsidRDefault="002A0D10" w:rsidP="00CB0236">
      <w:pPr>
        <w:pStyle w:val="ListParagraph"/>
        <w:numPr>
          <w:ilvl w:val="0"/>
          <w:numId w:val="9"/>
        </w:numPr>
        <w:spacing w:after="240"/>
        <w:jc w:val="both"/>
        <w:rPr>
          <w:rFonts w:cs="Times New Roman"/>
          <w:lang w:val="es-ES_tradnl"/>
        </w:rPr>
      </w:pPr>
      <w:r w:rsidRPr="00CB0236">
        <w:rPr>
          <w:rFonts w:cs="Times New Roman"/>
          <w:lang w:val="es-ES_tradnl"/>
        </w:rPr>
        <w:t>C</w:t>
      </w:r>
      <w:r w:rsidR="00367E50" w:rsidRPr="00CB0236">
        <w:rPr>
          <w:rFonts w:cs="Times New Roman"/>
          <w:lang w:val="es-ES_tradnl"/>
        </w:rPr>
        <w:t>oncesionario de proyectos de infraestructura pública de transporte, energía, telecomunicaciones y de cualquier otro tipo que sean de uso público</w:t>
      </w:r>
      <w:r w:rsidRPr="00CB0236">
        <w:rPr>
          <w:rFonts w:cs="Times New Roman"/>
          <w:lang w:val="es-ES_tradnl"/>
        </w:rPr>
        <w:t xml:space="preserve">. </w:t>
      </w:r>
      <w:r w:rsidR="00367E50" w:rsidRPr="00CB0236">
        <w:rPr>
          <w:rFonts w:cs="Times New Roman"/>
          <w:lang w:val="es-ES_tradnl"/>
        </w:rPr>
        <w:t>A estos efectos la Corporación podrá crear o adquirir sociedades comerciales o participar en consorcios y/o en fideicomisos especializados en la explotación de las concesiones o proyectos que se le otorguen.</w:t>
      </w:r>
      <w:r w:rsidRPr="00CB0236">
        <w:rPr>
          <w:rFonts w:cs="Times New Roman"/>
          <w:lang w:val="es-ES_tradnl"/>
        </w:rPr>
        <w:t xml:space="preserve"> En base a esta atribución es que crea la CVU.</w:t>
      </w:r>
    </w:p>
    <w:p w:rsidR="00367E50" w:rsidRPr="00CB0236" w:rsidRDefault="002A0D10" w:rsidP="00CB0236">
      <w:pPr>
        <w:pStyle w:val="ListParagraph"/>
        <w:numPr>
          <w:ilvl w:val="0"/>
          <w:numId w:val="9"/>
        </w:numPr>
        <w:spacing w:after="240"/>
        <w:jc w:val="both"/>
        <w:rPr>
          <w:rFonts w:cs="Times New Roman"/>
          <w:lang w:val="es-ES_tradnl"/>
        </w:rPr>
      </w:pPr>
      <w:r w:rsidRPr="00CB0236">
        <w:rPr>
          <w:rFonts w:cs="Times New Roman"/>
          <w:lang w:val="es-ES_tradnl"/>
        </w:rPr>
        <w:t>A</w:t>
      </w:r>
      <w:r w:rsidR="00367E50" w:rsidRPr="00CB0236">
        <w:rPr>
          <w:rFonts w:cs="Times New Roman"/>
          <w:lang w:val="es-ES_tradnl"/>
        </w:rPr>
        <w:t>dministrador y/o fiduciario de proyectos vinculados al desarrollo y mantenimiento de infraestructura financiados con recursos públicos, préstamos o donaciones nacionales o internacionales.</w:t>
      </w:r>
    </w:p>
    <w:p w:rsidR="00367E50" w:rsidRPr="00CB0236" w:rsidRDefault="00367E50" w:rsidP="00CB0236">
      <w:pPr>
        <w:pStyle w:val="ListParagraph"/>
        <w:numPr>
          <w:ilvl w:val="0"/>
          <w:numId w:val="9"/>
        </w:numPr>
        <w:spacing w:after="240"/>
        <w:jc w:val="both"/>
        <w:rPr>
          <w:rFonts w:cs="Times New Roman"/>
          <w:lang w:val="es-ES_tradnl"/>
        </w:rPr>
      </w:pPr>
      <w:r w:rsidRPr="00CB0236">
        <w:rPr>
          <w:rFonts w:cs="Times New Roman"/>
          <w:lang w:val="es-ES_tradnl"/>
        </w:rPr>
        <w:t>Constituir sociedades comerciales, consorcios y/o fideicomisos con entes autónomos y servicios descentralizados a los efectos de la realización de obras de infraestructura o prestación de servicios.</w:t>
      </w:r>
    </w:p>
    <w:p w:rsidR="00367E50" w:rsidRPr="00CB0236" w:rsidRDefault="00367E50" w:rsidP="00CB0236">
      <w:pPr>
        <w:pStyle w:val="ListParagraph"/>
        <w:numPr>
          <w:ilvl w:val="0"/>
          <w:numId w:val="9"/>
        </w:numPr>
        <w:spacing w:after="240"/>
        <w:jc w:val="both"/>
        <w:rPr>
          <w:rFonts w:cs="Times New Roman"/>
          <w:lang w:val="es-ES_tradnl"/>
        </w:rPr>
      </w:pPr>
      <w:r w:rsidRPr="00CB0236">
        <w:rPr>
          <w:rFonts w:cs="Times New Roman"/>
          <w:lang w:val="es-ES_tradnl"/>
        </w:rPr>
        <w:t>Analizar y preparar proyectos de inversión así como identificar áreas de oportunidad en infraestructura pública.</w:t>
      </w:r>
    </w:p>
    <w:p w:rsidR="00367E50" w:rsidRPr="00CB0236" w:rsidRDefault="00367E50" w:rsidP="00CB0236">
      <w:pPr>
        <w:pStyle w:val="ListParagraph"/>
        <w:numPr>
          <w:ilvl w:val="0"/>
          <w:numId w:val="9"/>
        </w:numPr>
        <w:spacing w:after="240"/>
        <w:jc w:val="both"/>
        <w:rPr>
          <w:rFonts w:cs="Times New Roman"/>
          <w:lang w:val="es-ES_tradnl"/>
        </w:rPr>
      </w:pPr>
      <w:r w:rsidRPr="00CB0236">
        <w:rPr>
          <w:rFonts w:cs="Times New Roman"/>
          <w:lang w:val="es-ES_tradnl"/>
        </w:rPr>
        <w:t>Prestar servicios de administración de fondos, de recursos humanos o de administración contable y financiera.</w:t>
      </w:r>
    </w:p>
    <w:p w:rsidR="00367E50" w:rsidRPr="00DD5FA1" w:rsidRDefault="002A0D10" w:rsidP="00CB0236">
      <w:pPr>
        <w:spacing w:after="240"/>
        <w:jc w:val="both"/>
        <w:rPr>
          <w:rFonts w:asciiTheme="minorHAnsi" w:hAnsiTheme="minorHAnsi" w:cs="Times New Roman"/>
          <w:lang w:val="es-ES_tradnl"/>
        </w:rPr>
      </w:pPr>
      <w:r w:rsidRPr="00CB0236">
        <w:rPr>
          <w:rFonts w:asciiTheme="minorHAnsi" w:hAnsiTheme="minorHAnsi" w:cs="Times New Roman"/>
          <w:lang w:val="es-ES_tradnl"/>
        </w:rPr>
        <w:t xml:space="preserve">A ellos se agregan según </w:t>
      </w:r>
      <w:r w:rsidR="00E53FAB">
        <w:rPr>
          <w:rFonts w:asciiTheme="minorHAnsi" w:hAnsiTheme="minorHAnsi" w:cs="Times New Roman"/>
          <w:lang w:val="es-ES_tradnl"/>
        </w:rPr>
        <w:t xml:space="preserve">el </w:t>
      </w:r>
      <w:r w:rsidRPr="00CB0236">
        <w:rPr>
          <w:rFonts w:asciiTheme="minorHAnsi" w:hAnsiTheme="minorHAnsi" w:cs="Times New Roman"/>
          <w:lang w:val="es-ES_tradnl"/>
        </w:rPr>
        <w:t>art</w:t>
      </w:r>
      <w:r w:rsidR="00E53FAB">
        <w:rPr>
          <w:rFonts w:asciiTheme="minorHAnsi" w:hAnsiTheme="minorHAnsi" w:cs="Times New Roman"/>
          <w:lang w:val="es-ES_tradnl"/>
        </w:rPr>
        <w:t>.</w:t>
      </w:r>
      <w:r w:rsidRPr="00CB0236">
        <w:rPr>
          <w:rFonts w:asciiTheme="minorHAnsi" w:hAnsiTheme="minorHAnsi" w:cs="Times New Roman"/>
          <w:lang w:val="es-ES_tradnl"/>
        </w:rPr>
        <w:t xml:space="preserve"> 9 de la </w:t>
      </w:r>
      <w:r w:rsidR="00367E50" w:rsidRPr="00DD5FA1">
        <w:rPr>
          <w:rFonts w:asciiTheme="minorHAnsi" w:hAnsiTheme="minorHAnsi" w:cs="Times New Roman"/>
          <w:lang w:val="es-ES_tradnl"/>
        </w:rPr>
        <w:t xml:space="preserve">Ley Nº 18.786 </w:t>
      </w:r>
      <w:r w:rsidRPr="00CB0236">
        <w:rPr>
          <w:rFonts w:asciiTheme="minorHAnsi" w:hAnsiTheme="minorHAnsi" w:cs="Times New Roman"/>
          <w:lang w:val="es-ES_tradnl"/>
        </w:rPr>
        <w:t xml:space="preserve"> del </w:t>
      </w:r>
      <w:r w:rsidR="00367E50" w:rsidRPr="00DD5FA1">
        <w:rPr>
          <w:rFonts w:asciiTheme="minorHAnsi" w:hAnsiTheme="minorHAnsi" w:cs="Times New Roman"/>
          <w:lang w:val="es-ES_tradnl"/>
        </w:rPr>
        <w:t>19 de julio de 2011:</w:t>
      </w:r>
    </w:p>
    <w:p w:rsidR="00367E50" w:rsidRPr="00CB0236" w:rsidRDefault="00367E50" w:rsidP="00CB0236">
      <w:pPr>
        <w:pStyle w:val="ListParagraph"/>
        <w:numPr>
          <w:ilvl w:val="0"/>
          <w:numId w:val="10"/>
        </w:numPr>
        <w:spacing w:after="240"/>
        <w:jc w:val="both"/>
        <w:rPr>
          <w:rFonts w:cs="Times New Roman"/>
          <w:lang w:val="es-ES_tradnl"/>
        </w:rPr>
      </w:pPr>
      <w:r w:rsidRPr="00CB0236">
        <w:rPr>
          <w:rFonts w:cs="Times New Roman"/>
          <w:lang w:val="es-ES_tradnl"/>
        </w:rPr>
        <w:t>Desarrollar y fomentar la ejecución de proyectos de Participación Público-Privada</w:t>
      </w:r>
      <w:r w:rsidR="002A0D10" w:rsidRPr="00CB0236">
        <w:rPr>
          <w:rFonts w:cs="Times New Roman"/>
          <w:lang w:val="es-ES_tradnl"/>
        </w:rPr>
        <w:t>.</w:t>
      </w:r>
    </w:p>
    <w:p w:rsidR="00367E50" w:rsidRPr="00CB0236" w:rsidRDefault="00367E50" w:rsidP="00CB0236">
      <w:pPr>
        <w:pStyle w:val="ListParagraph"/>
        <w:numPr>
          <w:ilvl w:val="0"/>
          <w:numId w:val="10"/>
        </w:numPr>
        <w:spacing w:after="240"/>
        <w:jc w:val="both"/>
        <w:rPr>
          <w:rFonts w:cs="Times New Roman"/>
          <w:lang w:val="es-ES_tradnl"/>
        </w:rPr>
      </w:pPr>
      <w:r w:rsidRPr="00CB0236">
        <w:rPr>
          <w:rFonts w:cs="Times New Roman"/>
          <w:lang w:val="es-ES_tradnl"/>
        </w:rPr>
        <w:t>Elaborar los lineamientos técnicos aplicables a proyectos de Participación Público-Privada.</w:t>
      </w:r>
    </w:p>
    <w:p w:rsidR="00367E50" w:rsidRPr="00CB0236" w:rsidRDefault="00367E50" w:rsidP="00CB0236">
      <w:pPr>
        <w:pStyle w:val="ListParagraph"/>
        <w:numPr>
          <w:ilvl w:val="0"/>
          <w:numId w:val="10"/>
        </w:numPr>
        <w:spacing w:after="240"/>
        <w:jc w:val="both"/>
        <w:rPr>
          <w:rFonts w:cs="Times New Roman"/>
          <w:lang w:val="es-ES_tradnl"/>
        </w:rPr>
      </w:pPr>
      <w:r w:rsidRPr="00CB0236">
        <w:rPr>
          <w:rFonts w:cs="Times New Roman"/>
          <w:lang w:val="es-ES_tradnl"/>
        </w:rPr>
        <w:t>Asesorar en la identificación, concepción, diseño, estudio, estructuración, promoción, selección y contratación de los proyectos de Participación Público-Privada.</w:t>
      </w:r>
    </w:p>
    <w:p w:rsidR="00367E50" w:rsidRPr="00CB0236" w:rsidRDefault="00367E50" w:rsidP="00CB0236">
      <w:pPr>
        <w:pStyle w:val="ListParagraph"/>
        <w:numPr>
          <w:ilvl w:val="0"/>
          <w:numId w:val="10"/>
        </w:numPr>
        <w:spacing w:after="240"/>
        <w:jc w:val="both"/>
        <w:rPr>
          <w:rFonts w:cs="Times New Roman"/>
          <w:lang w:val="es-ES_tradnl"/>
        </w:rPr>
      </w:pPr>
      <w:r w:rsidRPr="00CB0236">
        <w:rPr>
          <w:rFonts w:cs="Times New Roman"/>
          <w:lang w:val="es-ES_tradnl"/>
        </w:rPr>
        <w:t>Contribuir al fortalecimiento de capacidades de las Administraciones Públicas contratantes en el diseño e implementación de proyectos de Participación Público-Privada.</w:t>
      </w:r>
    </w:p>
    <w:p w:rsidR="002A0D10" w:rsidRPr="00CB0236" w:rsidRDefault="00367E50" w:rsidP="00CB0236">
      <w:pPr>
        <w:pStyle w:val="ListParagraph"/>
        <w:numPr>
          <w:ilvl w:val="0"/>
          <w:numId w:val="10"/>
        </w:numPr>
        <w:spacing w:after="240"/>
        <w:jc w:val="both"/>
        <w:rPr>
          <w:rFonts w:cs="Times New Roman"/>
          <w:lang w:val="es-ES_tradnl"/>
        </w:rPr>
      </w:pPr>
      <w:r w:rsidRPr="00CB0236">
        <w:rPr>
          <w:rFonts w:cs="Times New Roman"/>
          <w:lang w:val="es-ES_tradnl"/>
        </w:rPr>
        <w:t>Asesorar al Poder Ejecutivo a identificar y priorizar proyectos susceptibles de ser ejecutados mediante el sistema de Participación Público-Privada.</w:t>
      </w:r>
    </w:p>
    <w:p w:rsidR="00367E50" w:rsidRPr="00CB0236" w:rsidRDefault="00367E50" w:rsidP="00CB0236">
      <w:pPr>
        <w:pStyle w:val="ListParagraph"/>
        <w:numPr>
          <w:ilvl w:val="0"/>
          <w:numId w:val="10"/>
        </w:numPr>
        <w:spacing w:after="240"/>
        <w:jc w:val="both"/>
        <w:rPr>
          <w:rFonts w:cs="Times New Roman"/>
          <w:lang w:val="es-ES_tradnl"/>
        </w:rPr>
      </w:pPr>
      <w:r w:rsidRPr="00CB0236">
        <w:rPr>
          <w:rFonts w:cs="Times New Roman"/>
          <w:lang w:val="es-ES_tradnl"/>
        </w:rPr>
        <w:t>Facilitar a las Administraciones Públicas contratantes la coordinación interinstitucional de sus actividades relacionadas con proyectos de  Participación Público-Privada.</w:t>
      </w:r>
    </w:p>
    <w:p w:rsidR="00367E50" w:rsidRPr="00CB0236" w:rsidRDefault="00367E50" w:rsidP="00CB0236">
      <w:pPr>
        <w:pStyle w:val="ListParagraph"/>
        <w:numPr>
          <w:ilvl w:val="0"/>
          <w:numId w:val="10"/>
        </w:numPr>
        <w:spacing w:after="240"/>
        <w:jc w:val="both"/>
        <w:rPr>
          <w:rFonts w:cs="Times New Roman"/>
          <w:lang w:val="es-ES_tradnl"/>
        </w:rPr>
      </w:pPr>
      <w:r w:rsidRPr="00CB0236">
        <w:rPr>
          <w:rFonts w:cs="Times New Roman"/>
          <w:lang w:val="es-ES_tradnl"/>
        </w:rPr>
        <w:t>Crear o adquirir sociedades comerciales de cualquier naturaleza así como instrumentos financieros, cuando ello se entienda necesario para el mejor desarrollo de proyectos de Participación Público-Privada.</w:t>
      </w:r>
    </w:p>
    <w:p w:rsidR="00367E50" w:rsidRPr="00CB0236" w:rsidRDefault="00E53FAB" w:rsidP="00CB0236">
      <w:pPr>
        <w:spacing w:after="240"/>
        <w:jc w:val="both"/>
        <w:rPr>
          <w:rFonts w:asciiTheme="minorHAnsi" w:hAnsiTheme="minorHAnsi" w:cs="Times New Roman"/>
          <w:lang w:val="es-ES_tradnl"/>
        </w:rPr>
      </w:pPr>
      <w:r>
        <w:rPr>
          <w:rFonts w:asciiTheme="minorHAnsi" w:hAnsiTheme="minorHAnsi" w:cs="Times New Roman"/>
          <w:lang w:val="es-ES_tradnl"/>
        </w:rPr>
        <w:t>Además, e</w:t>
      </w:r>
      <w:r w:rsidR="00367E50" w:rsidRPr="00DD5FA1">
        <w:rPr>
          <w:rFonts w:asciiTheme="minorHAnsi" w:hAnsiTheme="minorHAnsi" w:cs="Times New Roman"/>
          <w:lang w:val="es-ES_tradnl"/>
        </w:rPr>
        <w:t>l art. 10 de la Ley Nº 18.786 refiere a la estructuración de los proyectos de Participación Público-Privada, estableciendo que la Administración Pública puede contratar en forma directa a CND a tales efectos.</w:t>
      </w:r>
      <w:r w:rsidR="002A0D10" w:rsidRPr="00CB0236">
        <w:rPr>
          <w:rFonts w:asciiTheme="minorHAnsi" w:hAnsiTheme="minorHAnsi" w:cs="Times New Roman"/>
          <w:lang w:val="es-ES_tradnl"/>
        </w:rPr>
        <w:t xml:space="preserve"> </w:t>
      </w:r>
      <w:r w:rsidR="00367E50" w:rsidRPr="00DD5FA1">
        <w:rPr>
          <w:rFonts w:asciiTheme="minorHAnsi" w:hAnsiTheme="minorHAnsi" w:cs="Times New Roman"/>
          <w:lang w:val="es-ES_tradnl"/>
        </w:rPr>
        <w:t>Asimismo, admite que la Administración Pública acuerde con CND que ésta asuma “la implementación de un proyecto de Participación Público-Privada en forma integral, con el fin de viabilizar su concreción y, posteriormente, transferir el mismo al sector privado” (art. 11).</w:t>
      </w:r>
      <w:r w:rsidR="002A0D10" w:rsidRPr="00CB0236">
        <w:rPr>
          <w:rFonts w:asciiTheme="minorHAnsi" w:hAnsiTheme="minorHAnsi" w:cs="Times New Roman"/>
          <w:lang w:val="es-ES_tradnl"/>
        </w:rPr>
        <w:t xml:space="preserve"> </w:t>
      </w:r>
      <w:r w:rsidR="00367E50" w:rsidRPr="00DD5FA1">
        <w:rPr>
          <w:rFonts w:asciiTheme="minorHAnsi" w:hAnsiTheme="minorHAnsi" w:cs="Times New Roman"/>
          <w:lang w:val="es-ES_tradnl"/>
        </w:rPr>
        <w:t>Con respecto a los contratos de Participación Público-Privada institucional, la Administración Pública puede celebrar directamente contratos de Participación Público-Privada con CND (art. 12)</w:t>
      </w:r>
      <w:r w:rsidR="002A0D10" w:rsidRPr="00CB0236">
        <w:rPr>
          <w:rFonts w:asciiTheme="minorHAnsi" w:hAnsiTheme="minorHAnsi" w:cs="Times New Roman"/>
          <w:lang w:val="es-ES_tradnl"/>
        </w:rPr>
        <w:t>.</w:t>
      </w:r>
    </w:p>
    <w:p w:rsidR="002A0D10" w:rsidRPr="00CB0236" w:rsidRDefault="002A0D10" w:rsidP="00CB0236">
      <w:pPr>
        <w:spacing w:after="240"/>
        <w:jc w:val="both"/>
        <w:rPr>
          <w:rFonts w:asciiTheme="minorHAnsi" w:hAnsiTheme="minorHAnsi" w:cs="Times New Roman"/>
          <w:lang w:val="es-ES_tradnl"/>
        </w:rPr>
      </w:pPr>
      <w:r w:rsidRPr="00CB0236">
        <w:rPr>
          <w:rFonts w:asciiTheme="minorHAnsi" w:hAnsiTheme="minorHAnsi" w:cs="Times New Roman"/>
          <w:lang w:val="es-ES_tradnl"/>
        </w:rPr>
        <w:t>En función de este cúmulo de funciones</w:t>
      </w:r>
      <w:r w:rsidR="006B1D59" w:rsidRPr="00CB0236">
        <w:rPr>
          <w:rFonts w:asciiTheme="minorHAnsi" w:hAnsiTheme="minorHAnsi" w:cs="Times New Roman"/>
          <w:lang w:val="es-ES_tradnl"/>
        </w:rPr>
        <w:t>, la CND ha desarrollado diversas herramientas con las cuales cumple los cometidos establecidos</w:t>
      </w:r>
      <w:r w:rsidR="00E53FAB">
        <w:rPr>
          <w:rFonts w:asciiTheme="minorHAnsi" w:hAnsiTheme="minorHAnsi" w:cs="Times New Roman"/>
          <w:lang w:val="es-ES_tradnl"/>
        </w:rPr>
        <w:t xml:space="preserve"> por Ley</w:t>
      </w:r>
      <w:r w:rsidR="006B1D59" w:rsidRPr="00CB0236">
        <w:rPr>
          <w:rFonts w:asciiTheme="minorHAnsi" w:hAnsiTheme="minorHAnsi" w:cs="Times New Roman"/>
          <w:lang w:val="es-ES_tradnl"/>
        </w:rPr>
        <w:t>.</w:t>
      </w:r>
    </w:p>
    <w:p w:rsidR="006B1D59" w:rsidRPr="00CB0236" w:rsidRDefault="006B1D59" w:rsidP="00CB0236">
      <w:pPr>
        <w:spacing w:after="240"/>
        <w:jc w:val="both"/>
        <w:rPr>
          <w:rFonts w:asciiTheme="minorHAnsi" w:hAnsiTheme="minorHAnsi" w:cs="Times New Roman"/>
          <w:lang w:val="es-ES_tradnl"/>
        </w:rPr>
      </w:pPr>
      <w:r w:rsidRPr="00CB0236">
        <w:rPr>
          <w:rFonts w:asciiTheme="minorHAnsi" w:hAnsiTheme="minorHAnsi" w:cs="Times New Roman"/>
          <w:lang w:val="es-ES_tradnl"/>
        </w:rPr>
        <w:t xml:space="preserve">En primer lugar se destaca su actuación como banca de segundo piso en </w:t>
      </w:r>
      <w:r w:rsidR="004B4435" w:rsidRPr="00BC2273">
        <w:rPr>
          <w:rFonts w:asciiTheme="minorHAnsi" w:hAnsiTheme="minorHAnsi" w:cs="Times New Roman"/>
          <w:b/>
          <w:lang w:val="es-ES_tradnl"/>
        </w:rPr>
        <w:t>C</w:t>
      </w:r>
      <w:r w:rsidRPr="00CB0236">
        <w:rPr>
          <w:rFonts w:asciiTheme="minorHAnsi" w:hAnsiTheme="minorHAnsi" w:cs="Times New Roman"/>
          <w:b/>
          <w:lang w:val="es-ES_tradnl"/>
        </w:rPr>
        <w:t>réditos para  proyectos</w:t>
      </w:r>
      <w:r w:rsidRPr="00CB0236">
        <w:rPr>
          <w:rFonts w:asciiTheme="minorHAnsi" w:hAnsiTheme="minorHAnsi" w:cs="Times New Roman"/>
          <w:lang w:val="es-ES_tradnl"/>
        </w:rPr>
        <w:t xml:space="preserve"> a través de los programas denominados: </w:t>
      </w:r>
    </w:p>
    <w:p w:rsidR="006B1D59" w:rsidRPr="00CB0236" w:rsidRDefault="006B1D59" w:rsidP="00CB0236">
      <w:pPr>
        <w:pStyle w:val="ListParagraph"/>
        <w:numPr>
          <w:ilvl w:val="0"/>
          <w:numId w:val="12"/>
        </w:numPr>
        <w:spacing w:after="240"/>
        <w:jc w:val="both"/>
        <w:rPr>
          <w:rFonts w:cs="Times New Roman"/>
          <w:lang w:val="es-ES_tradnl"/>
        </w:rPr>
      </w:pPr>
      <w:r w:rsidRPr="00CB0236">
        <w:rPr>
          <w:rFonts w:cs="Times New Roman"/>
          <w:lang w:val="es-ES_tradnl"/>
        </w:rPr>
        <w:t>Corporación,  atiende necesidades de MYPES</w:t>
      </w:r>
    </w:p>
    <w:p w:rsidR="006B1D59" w:rsidRPr="00CB0236" w:rsidRDefault="006B1D59" w:rsidP="00CB0236">
      <w:pPr>
        <w:pStyle w:val="ListParagraph"/>
        <w:numPr>
          <w:ilvl w:val="0"/>
          <w:numId w:val="12"/>
        </w:numPr>
        <w:spacing w:after="240"/>
        <w:jc w:val="both"/>
        <w:rPr>
          <w:rFonts w:cs="Times New Roman"/>
          <w:lang w:val="es-ES_tradnl"/>
        </w:rPr>
      </w:pPr>
      <w:r w:rsidRPr="00CB0236">
        <w:rPr>
          <w:rFonts w:cs="Times New Roman"/>
          <w:lang w:val="es-ES_tradnl"/>
        </w:rPr>
        <w:t xml:space="preserve">CND </w:t>
      </w:r>
      <w:proofErr w:type="spellStart"/>
      <w:r w:rsidRPr="00CB0236">
        <w:rPr>
          <w:rFonts w:cs="Times New Roman"/>
          <w:lang w:val="es-ES_tradnl"/>
        </w:rPr>
        <w:t>Microfinanzas</w:t>
      </w:r>
      <w:proofErr w:type="spellEnd"/>
      <w:r w:rsidRPr="00CB0236">
        <w:rPr>
          <w:rFonts w:cs="Times New Roman"/>
          <w:lang w:val="es-ES_tradnl"/>
        </w:rPr>
        <w:t>, desde el 2008 para emprendimientos productivos de aumento de empleo, inclusión social y reducción de pobreza</w:t>
      </w:r>
    </w:p>
    <w:p w:rsidR="006B1D59" w:rsidRPr="00CB0236" w:rsidRDefault="006B1D59" w:rsidP="00CB0236">
      <w:pPr>
        <w:pStyle w:val="ListParagraph"/>
        <w:numPr>
          <w:ilvl w:val="0"/>
          <w:numId w:val="12"/>
        </w:numPr>
        <w:spacing w:after="240"/>
        <w:jc w:val="both"/>
        <w:rPr>
          <w:rFonts w:cs="Times New Roman"/>
          <w:lang w:val="es-ES_tradnl"/>
        </w:rPr>
      </w:pPr>
      <w:r w:rsidRPr="00CB0236">
        <w:rPr>
          <w:rFonts w:cs="Times New Roman"/>
          <w:lang w:val="es-ES_tradnl"/>
        </w:rPr>
        <w:t xml:space="preserve">Programa de Empresariado Social, financia modelos de negocios para solucionar problemas de la población de bajos ingresos y  </w:t>
      </w:r>
    </w:p>
    <w:p w:rsidR="006B1D59" w:rsidRPr="00CB0236" w:rsidRDefault="006B1D59" w:rsidP="00CB0236">
      <w:pPr>
        <w:pStyle w:val="ListParagraph"/>
        <w:numPr>
          <w:ilvl w:val="0"/>
          <w:numId w:val="12"/>
        </w:numPr>
        <w:spacing w:after="240"/>
        <w:jc w:val="both"/>
        <w:rPr>
          <w:rFonts w:eastAsia="Calibri" w:cs="Times New Roman"/>
          <w:lang w:val="es-ES_tradnl"/>
        </w:rPr>
      </w:pPr>
      <w:r w:rsidRPr="00CB0236">
        <w:rPr>
          <w:rFonts w:cs="Times New Roman"/>
          <w:lang w:val="es-ES_tradnl"/>
        </w:rPr>
        <w:t>Crédito Italiano, administración de fondo para fina</w:t>
      </w:r>
      <w:r w:rsidR="00E53FAB">
        <w:rPr>
          <w:rFonts w:cs="Times New Roman"/>
          <w:lang w:val="es-ES_tradnl"/>
        </w:rPr>
        <w:t>nciar</w:t>
      </w:r>
      <w:r w:rsidRPr="00CB0236">
        <w:rPr>
          <w:rFonts w:cs="Times New Roman"/>
          <w:lang w:val="es-ES_tradnl"/>
        </w:rPr>
        <w:t xml:space="preserve"> pequeñas y median</w:t>
      </w:r>
      <w:r w:rsidR="00E53FAB">
        <w:rPr>
          <w:rFonts w:cs="Times New Roman"/>
          <w:lang w:val="es-ES_tradnl"/>
        </w:rPr>
        <w:t>a</w:t>
      </w:r>
      <w:r w:rsidRPr="00CB0236">
        <w:rPr>
          <w:rFonts w:cs="Times New Roman"/>
          <w:lang w:val="es-ES_tradnl"/>
        </w:rPr>
        <w:t xml:space="preserve">s empresas </w:t>
      </w:r>
      <w:proofErr w:type="spellStart"/>
      <w:r w:rsidRPr="00CB0236">
        <w:rPr>
          <w:rFonts w:cs="Times New Roman"/>
          <w:lang w:val="es-ES_tradnl"/>
        </w:rPr>
        <w:t>italo</w:t>
      </w:r>
      <w:proofErr w:type="spellEnd"/>
      <w:r w:rsidRPr="00CB0236">
        <w:rPr>
          <w:rFonts w:cs="Times New Roman"/>
          <w:lang w:val="es-ES_tradnl"/>
        </w:rPr>
        <w:t xml:space="preserve">-uruguayas y uruguayas. </w:t>
      </w:r>
    </w:p>
    <w:p w:rsidR="004B4435" w:rsidRPr="00CB0236" w:rsidRDefault="006B1D59" w:rsidP="00CB0236">
      <w:pPr>
        <w:spacing w:after="240"/>
        <w:jc w:val="both"/>
        <w:rPr>
          <w:rFonts w:asciiTheme="minorHAnsi" w:hAnsiTheme="minorHAnsi" w:cs="Times New Roman"/>
          <w:lang w:val="es-ES_tradnl"/>
        </w:rPr>
      </w:pPr>
      <w:r w:rsidRPr="00CB0236">
        <w:rPr>
          <w:rFonts w:asciiTheme="minorHAnsi" w:hAnsiTheme="minorHAnsi" w:cs="Times New Roman"/>
          <w:lang w:val="es-ES_tradnl"/>
        </w:rPr>
        <w:t xml:space="preserve">Además realiza </w:t>
      </w:r>
      <w:r w:rsidRPr="00CB0236">
        <w:rPr>
          <w:rFonts w:asciiTheme="minorHAnsi" w:hAnsiTheme="minorHAnsi" w:cs="Times New Roman"/>
          <w:b/>
          <w:lang w:val="es-ES_tradnl"/>
        </w:rPr>
        <w:t>Administración de fondos</w:t>
      </w:r>
      <w:r w:rsidRPr="00CB0236">
        <w:rPr>
          <w:rFonts w:asciiTheme="minorHAnsi" w:hAnsiTheme="minorHAnsi" w:cs="Times New Roman"/>
          <w:lang w:val="es-ES_tradnl"/>
        </w:rPr>
        <w:t>, donde se destaca el SODRE, M</w:t>
      </w:r>
      <w:r w:rsidR="00E53FAB">
        <w:rPr>
          <w:rFonts w:asciiTheme="minorHAnsi" w:hAnsiTheme="minorHAnsi" w:cs="Times New Roman"/>
          <w:lang w:val="es-ES_tradnl"/>
        </w:rPr>
        <w:t xml:space="preserve">ercado </w:t>
      </w:r>
      <w:r w:rsidRPr="00CB0236">
        <w:rPr>
          <w:rFonts w:asciiTheme="minorHAnsi" w:hAnsiTheme="minorHAnsi" w:cs="Times New Roman"/>
          <w:lang w:val="es-ES_tradnl"/>
        </w:rPr>
        <w:t>A</w:t>
      </w:r>
      <w:r w:rsidR="00E53FAB">
        <w:rPr>
          <w:rFonts w:asciiTheme="minorHAnsi" w:hAnsiTheme="minorHAnsi" w:cs="Times New Roman"/>
          <w:lang w:val="es-ES_tradnl"/>
        </w:rPr>
        <w:t xml:space="preserve">grícola </w:t>
      </w:r>
      <w:r w:rsidRPr="00CB0236">
        <w:rPr>
          <w:rFonts w:asciiTheme="minorHAnsi" w:hAnsiTheme="minorHAnsi" w:cs="Times New Roman"/>
          <w:lang w:val="es-ES_tradnl"/>
        </w:rPr>
        <w:t>M</w:t>
      </w:r>
      <w:r w:rsidR="00E53FAB">
        <w:rPr>
          <w:rFonts w:asciiTheme="minorHAnsi" w:hAnsiTheme="minorHAnsi" w:cs="Times New Roman"/>
          <w:lang w:val="es-ES_tradnl"/>
        </w:rPr>
        <w:t>odelo (MAM)</w:t>
      </w:r>
      <w:r w:rsidRPr="00CB0236">
        <w:rPr>
          <w:rFonts w:asciiTheme="minorHAnsi" w:hAnsiTheme="minorHAnsi" w:cs="Times New Roman"/>
          <w:lang w:val="es-ES_tradnl"/>
        </w:rPr>
        <w:t xml:space="preserve">, Museo del Carnaval, entre otros, a la vez que da </w:t>
      </w:r>
      <w:r w:rsidR="00E53FAB" w:rsidRPr="00E53FAB">
        <w:rPr>
          <w:rFonts w:asciiTheme="minorHAnsi" w:hAnsiTheme="minorHAnsi" w:cs="Times New Roman"/>
          <w:b/>
          <w:lang w:val="es-ES_tradnl"/>
        </w:rPr>
        <w:t>S</w:t>
      </w:r>
      <w:r w:rsidRPr="00E53FAB">
        <w:rPr>
          <w:rFonts w:asciiTheme="minorHAnsi" w:hAnsiTheme="minorHAnsi" w:cs="Times New Roman"/>
          <w:b/>
          <w:lang w:val="es-ES_tradnl"/>
        </w:rPr>
        <w:t xml:space="preserve">ervicios de </w:t>
      </w:r>
      <w:r w:rsidR="004B4435" w:rsidRPr="00CB0236">
        <w:rPr>
          <w:rFonts w:asciiTheme="minorHAnsi" w:hAnsiTheme="minorHAnsi" w:cs="Times New Roman"/>
          <w:b/>
          <w:lang w:val="es-ES_tradnl"/>
        </w:rPr>
        <w:t>G</w:t>
      </w:r>
      <w:r w:rsidRPr="00CB0236">
        <w:rPr>
          <w:rFonts w:asciiTheme="minorHAnsi" w:hAnsiTheme="minorHAnsi" w:cs="Times New Roman"/>
          <w:b/>
          <w:lang w:val="es-ES_tradnl"/>
        </w:rPr>
        <w:t>arantía</w:t>
      </w:r>
      <w:r w:rsidRPr="00CB0236">
        <w:rPr>
          <w:rFonts w:asciiTheme="minorHAnsi" w:hAnsiTheme="minorHAnsi" w:cs="Times New Roman"/>
          <w:lang w:val="es-ES_tradnl"/>
        </w:rPr>
        <w:t xml:space="preserve"> en el marco del Sistema Nacional de Garantía y el Fondo de Garantía para Proyectos Inmobiliarios</w:t>
      </w:r>
      <w:r w:rsidR="004B4435" w:rsidRPr="00CB0236">
        <w:rPr>
          <w:rFonts w:asciiTheme="minorHAnsi" w:hAnsiTheme="minorHAnsi" w:cs="Times New Roman"/>
          <w:lang w:val="es-ES_tradnl"/>
        </w:rPr>
        <w:t>.</w:t>
      </w:r>
    </w:p>
    <w:p w:rsidR="00E44D21" w:rsidRPr="00CB0236" w:rsidRDefault="00E44D21" w:rsidP="00CB0236">
      <w:pPr>
        <w:spacing w:after="240"/>
        <w:jc w:val="both"/>
        <w:rPr>
          <w:rFonts w:asciiTheme="minorHAnsi" w:hAnsiTheme="minorHAnsi" w:cs="Times New Roman"/>
          <w:lang w:val="es-ES_tradnl"/>
        </w:rPr>
      </w:pPr>
      <w:r w:rsidRPr="00CB0236">
        <w:rPr>
          <w:rFonts w:asciiTheme="minorHAnsi" w:hAnsiTheme="minorHAnsi" w:cs="Times New Roman"/>
          <w:lang w:val="es-ES_tradnl"/>
        </w:rPr>
        <w:t xml:space="preserve">También se destaca que CND actúa como </w:t>
      </w:r>
      <w:r w:rsidR="00E53FAB" w:rsidRPr="00E53FAB">
        <w:rPr>
          <w:rFonts w:asciiTheme="minorHAnsi" w:hAnsiTheme="minorHAnsi" w:cs="Times New Roman"/>
          <w:b/>
          <w:lang w:val="es-ES_tradnl"/>
        </w:rPr>
        <w:t>F</w:t>
      </w:r>
      <w:r w:rsidRPr="00E53FAB">
        <w:rPr>
          <w:rFonts w:asciiTheme="minorHAnsi" w:hAnsiTheme="minorHAnsi" w:cs="Times New Roman"/>
          <w:b/>
          <w:lang w:val="es-ES_tradnl"/>
        </w:rPr>
        <w:t xml:space="preserve">iduciario y/o </w:t>
      </w:r>
      <w:r w:rsidR="00E53FAB" w:rsidRPr="00E53FAB">
        <w:rPr>
          <w:rFonts w:asciiTheme="minorHAnsi" w:hAnsiTheme="minorHAnsi" w:cs="Times New Roman"/>
          <w:b/>
          <w:lang w:val="es-ES_tradnl"/>
        </w:rPr>
        <w:t>A</w:t>
      </w:r>
      <w:r w:rsidRPr="00E53FAB">
        <w:rPr>
          <w:rFonts w:asciiTheme="minorHAnsi" w:hAnsiTheme="minorHAnsi" w:cs="Times New Roman"/>
          <w:b/>
          <w:lang w:val="es-ES_tradnl"/>
        </w:rPr>
        <w:t xml:space="preserve">dministrador de </w:t>
      </w:r>
      <w:r w:rsidRPr="00CB0236">
        <w:rPr>
          <w:rFonts w:asciiTheme="minorHAnsi" w:hAnsiTheme="minorHAnsi" w:cs="Times New Roman"/>
          <w:b/>
          <w:lang w:val="es-ES_tradnl"/>
        </w:rPr>
        <w:t>Fideicomisos</w:t>
      </w:r>
      <w:r w:rsidRPr="00CB0236">
        <w:rPr>
          <w:rFonts w:asciiTheme="minorHAnsi" w:hAnsiTheme="minorHAnsi" w:cs="Times New Roman"/>
          <w:lang w:val="es-ES_tradnl"/>
        </w:rPr>
        <w:t xml:space="preserve"> constituidos con fondos públicos, donde los de ANEP e INAU suman obras por más de US$ 90 millones, a los cuales se agregan otros </w:t>
      </w:r>
      <w:r w:rsidR="00E97D87" w:rsidRPr="00CB0236">
        <w:rPr>
          <w:rFonts w:asciiTheme="minorHAnsi" w:hAnsiTheme="minorHAnsi" w:cs="Times New Roman"/>
          <w:lang w:val="es-ES_tradnl"/>
        </w:rPr>
        <w:t>tales como la UDELAR, la Intendencia de Canelones, etc.</w:t>
      </w:r>
      <w:r w:rsidRPr="00CB0236">
        <w:rPr>
          <w:rFonts w:asciiTheme="minorHAnsi" w:hAnsiTheme="minorHAnsi" w:cs="Times New Roman"/>
          <w:lang w:val="es-ES_tradnl"/>
        </w:rPr>
        <w:t xml:space="preserve">  </w:t>
      </w:r>
    </w:p>
    <w:p w:rsidR="00367E50" w:rsidRPr="00CB0236" w:rsidRDefault="004B4435" w:rsidP="00CB0236">
      <w:pPr>
        <w:spacing w:after="240"/>
        <w:jc w:val="both"/>
        <w:rPr>
          <w:rFonts w:asciiTheme="minorHAnsi" w:hAnsiTheme="minorHAnsi" w:cs="Times New Roman"/>
          <w:b/>
          <w:lang w:val="es-ES_tradnl"/>
        </w:rPr>
      </w:pPr>
      <w:r w:rsidRPr="00CB0236">
        <w:rPr>
          <w:rFonts w:asciiTheme="minorHAnsi" w:hAnsiTheme="minorHAnsi" w:cs="Times New Roman"/>
          <w:lang w:val="es-ES_tradnl"/>
        </w:rPr>
        <w:t>A ello, s</w:t>
      </w:r>
      <w:r w:rsidR="00E44D21" w:rsidRPr="00CB0236">
        <w:rPr>
          <w:rFonts w:asciiTheme="minorHAnsi" w:hAnsiTheme="minorHAnsi" w:cs="Times New Roman"/>
          <w:lang w:val="es-ES_tradnl"/>
        </w:rPr>
        <w:t>e</w:t>
      </w:r>
      <w:r w:rsidRPr="00CB0236">
        <w:rPr>
          <w:rFonts w:asciiTheme="minorHAnsi" w:hAnsiTheme="minorHAnsi" w:cs="Times New Roman"/>
          <w:lang w:val="es-ES_tradnl"/>
        </w:rPr>
        <w:t xml:space="preserve"> agrega la </w:t>
      </w:r>
      <w:r w:rsidR="00E53FAB" w:rsidRPr="00E53FAB">
        <w:rPr>
          <w:rFonts w:asciiTheme="minorHAnsi" w:hAnsiTheme="minorHAnsi" w:cs="Times New Roman"/>
          <w:b/>
          <w:lang w:val="es-ES_tradnl"/>
        </w:rPr>
        <w:t>C</w:t>
      </w:r>
      <w:r w:rsidRPr="00CB0236">
        <w:rPr>
          <w:rFonts w:asciiTheme="minorHAnsi" w:hAnsiTheme="minorHAnsi" w:cs="Times New Roman"/>
          <w:b/>
          <w:lang w:val="es-ES_tradnl"/>
        </w:rPr>
        <w:t>onstitución de empresas</w:t>
      </w:r>
      <w:r w:rsidRPr="00CB0236">
        <w:rPr>
          <w:rFonts w:asciiTheme="minorHAnsi" w:hAnsiTheme="minorHAnsi" w:cs="Times New Roman"/>
          <w:lang w:val="es-ES_tradnl"/>
        </w:rPr>
        <w:t xml:space="preserve"> para obras de infraestructura y/o servicios, en el marco de lo cual se creó la CVU. A su vez, ejecuta </w:t>
      </w:r>
      <w:r w:rsidR="00E53FAB">
        <w:rPr>
          <w:rFonts w:asciiTheme="minorHAnsi" w:hAnsiTheme="minorHAnsi" w:cs="Times New Roman"/>
          <w:b/>
          <w:lang w:val="es-ES_tradnl"/>
        </w:rPr>
        <w:t>C</w:t>
      </w:r>
      <w:r w:rsidRPr="00CB0236">
        <w:rPr>
          <w:rFonts w:asciiTheme="minorHAnsi" w:hAnsiTheme="minorHAnsi" w:cs="Times New Roman"/>
          <w:b/>
          <w:lang w:val="es-ES_tradnl"/>
        </w:rPr>
        <w:t>oncesiones de obras públicas</w:t>
      </w:r>
      <w:r w:rsidRPr="00CB0236">
        <w:rPr>
          <w:rFonts w:asciiTheme="minorHAnsi" w:hAnsiTheme="minorHAnsi" w:cs="Times New Roman"/>
          <w:lang w:val="es-ES_tradnl"/>
        </w:rPr>
        <w:t>, donde se ubica la del MTOP cedida a la CVU y la del Ministerio de Defensa sobre las áreas de control integrado en las fronteras del país</w:t>
      </w:r>
      <w:r w:rsidRPr="00CB0236">
        <w:rPr>
          <w:rFonts w:asciiTheme="minorHAnsi" w:hAnsiTheme="minorHAnsi" w:cs="Times New Roman"/>
          <w:b/>
          <w:lang w:val="es-ES_tradnl"/>
        </w:rPr>
        <w:t xml:space="preserve">. </w:t>
      </w:r>
    </w:p>
    <w:p w:rsidR="004448AB" w:rsidRPr="00CB0236" w:rsidRDefault="004448AB" w:rsidP="00CB0236">
      <w:pPr>
        <w:spacing w:after="240"/>
        <w:jc w:val="both"/>
        <w:rPr>
          <w:rFonts w:asciiTheme="minorHAnsi" w:hAnsiTheme="minorHAnsi" w:cs="Times New Roman"/>
          <w:lang w:val="es-ES_tradnl"/>
        </w:rPr>
      </w:pPr>
      <w:r w:rsidRPr="00CB0236">
        <w:rPr>
          <w:rFonts w:asciiTheme="minorHAnsi" w:hAnsiTheme="minorHAnsi" w:cs="Times New Roman"/>
          <w:lang w:val="es-ES_tradnl"/>
        </w:rPr>
        <w:t xml:space="preserve">Por último, cabe agregar que actualmente la CND posee distintas participaciones en un conjunto de empresas tal cual puede verse seguidamente: </w:t>
      </w:r>
    </w:p>
    <w:p w:rsidR="00E53FAB" w:rsidRDefault="00E53FAB" w:rsidP="00E53FAB">
      <w:pPr>
        <w:autoSpaceDE w:val="0"/>
        <w:autoSpaceDN w:val="0"/>
        <w:adjustRightInd w:val="0"/>
        <w:spacing w:after="240"/>
        <w:jc w:val="center"/>
        <w:rPr>
          <w:rFonts w:asciiTheme="minorHAnsi" w:eastAsiaTheme="minorHAnsi" w:hAnsiTheme="minorHAnsi" w:cs="Calibri"/>
          <w:bCs/>
          <w:color w:val="000000"/>
        </w:rPr>
      </w:pPr>
      <w:r w:rsidRPr="00E53FAB">
        <w:rPr>
          <w:noProof/>
          <w:lang w:val="en-US"/>
        </w:rPr>
        <w:drawing>
          <wp:inline distT="0" distB="0" distL="0" distR="0">
            <wp:extent cx="3657600" cy="2250440"/>
            <wp:effectExtent l="19050" t="0" r="0" b="0"/>
            <wp:docPr id="9"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srcRect/>
                    <a:stretch>
                      <a:fillRect/>
                    </a:stretch>
                  </pic:blipFill>
                  <pic:spPr bwMode="auto">
                    <a:xfrm>
                      <a:off x="0" y="0"/>
                      <a:ext cx="3657600" cy="2250440"/>
                    </a:xfrm>
                    <a:prstGeom prst="rect">
                      <a:avLst/>
                    </a:prstGeom>
                    <a:noFill/>
                    <a:ln w="9525">
                      <a:noFill/>
                      <a:miter lim="800000"/>
                      <a:headEnd/>
                      <a:tailEnd/>
                    </a:ln>
                  </pic:spPr>
                </pic:pic>
              </a:graphicData>
            </a:graphic>
          </wp:inline>
        </w:drawing>
      </w:r>
    </w:p>
    <w:p w:rsidR="00E53FAB" w:rsidRPr="00E53FAB" w:rsidRDefault="00E53FAB" w:rsidP="00E53FAB">
      <w:pPr>
        <w:autoSpaceDE w:val="0"/>
        <w:autoSpaceDN w:val="0"/>
        <w:adjustRightInd w:val="0"/>
        <w:spacing w:after="240"/>
        <w:jc w:val="center"/>
        <w:rPr>
          <w:rFonts w:asciiTheme="minorHAnsi" w:eastAsiaTheme="minorHAnsi" w:hAnsiTheme="minorHAnsi" w:cs="Calibri"/>
          <w:bCs/>
          <w:color w:val="000000"/>
          <w:sz w:val="18"/>
          <w:szCs w:val="18"/>
        </w:rPr>
      </w:pPr>
      <w:r w:rsidRPr="00E53FAB">
        <w:rPr>
          <w:rFonts w:asciiTheme="minorHAnsi" w:eastAsiaTheme="minorHAnsi" w:hAnsiTheme="minorHAnsi" w:cs="Calibri"/>
          <w:bCs/>
          <w:color w:val="000000"/>
          <w:sz w:val="18"/>
          <w:szCs w:val="18"/>
        </w:rPr>
        <w:t>Fuente: CND</w:t>
      </w:r>
    </w:p>
    <w:p w:rsidR="004448AB" w:rsidRPr="00CB0236" w:rsidRDefault="004448AB" w:rsidP="00CB0236">
      <w:pPr>
        <w:autoSpaceDE w:val="0"/>
        <w:autoSpaceDN w:val="0"/>
        <w:adjustRightInd w:val="0"/>
        <w:spacing w:after="240"/>
        <w:jc w:val="both"/>
        <w:rPr>
          <w:rFonts w:asciiTheme="minorHAnsi" w:eastAsiaTheme="minorHAnsi" w:hAnsiTheme="minorHAnsi" w:cs="Segoe UI"/>
          <w:color w:val="000000"/>
        </w:rPr>
      </w:pPr>
      <w:r w:rsidRPr="00CB0236">
        <w:rPr>
          <w:rFonts w:asciiTheme="minorHAnsi" w:eastAsiaTheme="minorHAnsi" w:hAnsiTheme="minorHAnsi" w:cs="Calibri"/>
          <w:bCs/>
          <w:color w:val="000000"/>
        </w:rPr>
        <w:t xml:space="preserve">La Corporación Ferroviaria del Uruguay (CFU </w:t>
      </w:r>
      <w:r w:rsidRPr="004448AB">
        <w:rPr>
          <w:rFonts w:asciiTheme="minorHAnsi" w:eastAsiaTheme="minorHAnsi" w:hAnsiTheme="minorHAnsi" w:cs="Calibri"/>
          <w:bCs/>
          <w:color w:val="000000"/>
        </w:rPr>
        <w:t>SA</w:t>
      </w:r>
      <w:r w:rsidRPr="00CB0236">
        <w:rPr>
          <w:rFonts w:asciiTheme="minorHAnsi" w:eastAsiaTheme="minorHAnsi" w:hAnsiTheme="minorHAnsi" w:cs="Calibri"/>
          <w:bCs/>
          <w:color w:val="000000"/>
        </w:rPr>
        <w:t xml:space="preserve">) está ejecutando el </w:t>
      </w:r>
      <w:r w:rsidRPr="004448AB">
        <w:rPr>
          <w:rFonts w:asciiTheme="minorHAnsi" w:eastAsiaTheme="minorHAnsi" w:hAnsiTheme="minorHAnsi" w:cs="Segoe UI"/>
          <w:color w:val="000000"/>
        </w:rPr>
        <w:t>contrato por la Licitación Pública Internacional N°60/12 del MTOP, ¨Rehabilitación de Vías Férreas, Línea Rivera, Tramo: Pintado - Rivera¨, completando aproximadamente el 25% de avance de obra. Esto implicó una certificación de ejecución de tareas por $ 139</w:t>
      </w:r>
      <w:r w:rsidR="00BC2273">
        <w:rPr>
          <w:rFonts w:asciiTheme="minorHAnsi" w:eastAsiaTheme="minorHAnsi" w:hAnsiTheme="minorHAnsi" w:cs="Segoe UI"/>
          <w:color w:val="000000"/>
        </w:rPr>
        <w:t>.</w:t>
      </w:r>
      <w:r w:rsidRPr="004448AB">
        <w:rPr>
          <w:rFonts w:asciiTheme="minorHAnsi" w:eastAsiaTheme="minorHAnsi" w:hAnsiTheme="minorHAnsi" w:cs="Segoe UI"/>
          <w:color w:val="000000"/>
        </w:rPr>
        <w:t xml:space="preserve">217.278. </w:t>
      </w:r>
    </w:p>
    <w:p w:rsidR="004448AB" w:rsidRPr="004448AB" w:rsidRDefault="004448AB" w:rsidP="00CB0236">
      <w:pPr>
        <w:autoSpaceDE w:val="0"/>
        <w:autoSpaceDN w:val="0"/>
        <w:adjustRightInd w:val="0"/>
        <w:spacing w:after="240"/>
        <w:jc w:val="both"/>
        <w:rPr>
          <w:rFonts w:asciiTheme="minorHAnsi" w:eastAsiaTheme="minorHAnsi" w:hAnsiTheme="minorHAnsi" w:cs="Segoe UI"/>
        </w:rPr>
      </w:pPr>
      <w:r w:rsidRPr="004448AB">
        <w:rPr>
          <w:rFonts w:asciiTheme="minorHAnsi" w:eastAsiaTheme="minorHAnsi" w:hAnsiTheme="minorHAnsi" w:cs="Segoe UI"/>
        </w:rPr>
        <w:t>ACCESA es una sociedad anónima constituida por ANTEL y CND</w:t>
      </w:r>
      <w:r w:rsidRPr="00CB0236">
        <w:rPr>
          <w:rFonts w:asciiTheme="minorHAnsi" w:eastAsiaTheme="minorHAnsi" w:hAnsiTheme="minorHAnsi" w:cs="Segoe UI"/>
        </w:rPr>
        <w:t xml:space="preserve"> para </w:t>
      </w:r>
      <w:r w:rsidRPr="004448AB">
        <w:rPr>
          <w:rFonts w:asciiTheme="minorHAnsi" w:eastAsiaTheme="minorHAnsi" w:hAnsiTheme="minorHAnsi" w:cs="Segoe UI"/>
        </w:rPr>
        <w:t xml:space="preserve">la prestación de servicios de </w:t>
      </w:r>
      <w:proofErr w:type="spellStart"/>
      <w:r w:rsidRPr="004448AB">
        <w:rPr>
          <w:rFonts w:asciiTheme="minorHAnsi" w:eastAsiaTheme="minorHAnsi" w:hAnsiTheme="minorHAnsi" w:cs="Segoe UI"/>
        </w:rPr>
        <w:t>call</w:t>
      </w:r>
      <w:proofErr w:type="spellEnd"/>
      <w:r w:rsidRPr="004448AB">
        <w:rPr>
          <w:rFonts w:asciiTheme="minorHAnsi" w:eastAsiaTheme="minorHAnsi" w:hAnsiTheme="minorHAnsi" w:cs="Segoe UI"/>
        </w:rPr>
        <w:t xml:space="preserve"> center</w:t>
      </w:r>
      <w:r w:rsidRPr="00CB0236">
        <w:rPr>
          <w:rFonts w:asciiTheme="minorHAnsi" w:eastAsiaTheme="minorHAnsi" w:hAnsiTheme="minorHAnsi" w:cs="Segoe UI"/>
        </w:rPr>
        <w:t xml:space="preserve">, con un </w:t>
      </w:r>
      <w:r w:rsidRPr="004448AB">
        <w:rPr>
          <w:rFonts w:asciiTheme="minorHAnsi" w:eastAsiaTheme="minorHAnsi" w:hAnsiTheme="minorHAnsi" w:cs="Segoe UI"/>
        </w:rPr>
        <w:t xml:space="preserve">personal ocupado </w:t>
      </w:r>
      <w:r w:rsidRPr="00CB0236">
        <w:rPr>
          <w:rFonts w:asciiTheme="minorHAnsi" w:eastAsiaTheme="minorHAnsi" w:hAnsiTheme="minorHAnsi" w:cs="Segoe UI"/>
        </w:rPr>
        <w:t>de</w:t>
      </w:r>
      <w:r w:rsidRPr="004448AB">
        <w:rPr>
          <w:rFonts w:asciiTheme="minorHAnsi" w:eastAsiaTheme="minorHAnsi" w:hAnsiTheme="minorHAnsi" w:cs="Segoe UI"/>
        </w:rPr>
        <w:t xml:space="preserve"> 1</w:t>
      </w:r>
      <w:r w:rsidR="00BC2273">
        <w:rPr>
          <w:rFonts w:asciiTheme="minorHAnsi" w:eastAsiaTheme="minorHAnsi" w:hAnsiTheme="minorHAnsi" w:cs="Segoe UI"/>
        </w:rPr>
        <w:t>.</w:t>
      </w:r>
      <w:r w:rsidRPr="004448AB">
        <w:rPr>
          <w:rFonts w:asciiTheme="minorHAnsi" w:eastAsiaTheme="minorHAnsi" w:hAnsiTheme="minorHAnsi" w:cs="Segoe UI"/>
        </w:rPr>
        <w:t>073 personas</w:t>
      </w:r>
      <w:r w:rsidRPr="00CB0236">
        <w:rPr>
          <w:rFonts w:asciiTheme="minorHAnsi" w:eastAsiaTheme="minorHAnsi" w:hAnsiTheme="minorHAnsi" w:cs="Segoe UI"/>
        </w:rPr>
        <w:t xml:space="preserve">. </w:t>
      </w:r>
    </w:p>
    <w:p w:rsidR="004448AB" w:rsidRPr="004448AB" w:rsidRDefault="004448AB" w:rsidP="00CB0236">
      <w:pPr>
        <w:autoSpaceDE w:val="0"/>
        <w:autoSpaceDN w:val="0"/>
        <w:adjustRightInd w:val="0"/>
        <w:spacing w:after="240"/>
        <w:jc w:val="both"/>
        <w:rPr>
          <w:rFonts w:asciiTheme="minorHAnsi" w:eastAsiaTheme="minorHAnsi" w:hAnsiTheme="minorHAnsi" w:cs="Segoe UI"/>
        </w:rPr>
      </w:pPr>
      <w:r w:rsidRPr="004448AB">
        <w:rPr>
          <w:rFonts w:asciiTheme="minorHAnsi" w:eastAsiaTheme="minorHAnsi" w:hAnsiTheme="minorHAnsi" w:cs="Segoe UI"/>
        </w:rPr>
        <w:t xml:space="preserve">HG S.A. es una sociedad constituida en el año 2001, cuya actividad principal es realizar negocios basados en las tecnologías de las telecomunicaciones y la información. </w:t>
      </w:r>
    </w:p>
    <w:p w:rsidR="004448AB" w:rsidRPr="004448AB" w:rsidRDefault="004448AB" w:rsidP="00CB0236">
      <w:pPr>
        <w:autoSpaceDE w:val="0"/>
        <w:autoSpaceDN w:val="0"/>
        <w:adjustRightInd w:val="0"/>
        <w:spacing w:after="240"/>
        <w:jc w:val="both"/>
        <w:rPr>
          <w:rFonts w:asciiTheme="minorHAnsi" w:eastAsiaTheme="minorHAnsi" w:hAnsiTheme="minorHAnsi" w:cs="Segoe UI"/>
        </w:rPr>
      </w:pPr>
      <w:r w:rsidRPr="004448AB">
        <w:rPr>
          <w:rFonts w:asciiTheme="minorHAnsi" w:eastAsiaTheme="minorHAnsi" w:hAnsiTheme="minorHAnsi" w:cs="Segoe UI"/>
        </w:rPr>
        <w:t>INTERCONEXIÓN DEL SUR S.A.</w:t>
      </w:r>
      <w:r w:rsidRPr="00CB0236">
        <w:rPr>
          <w:rFonts w:asciiTheme="minorHAnsi" w:eastAsiaTheme="minorHAnsi" w:hAnsiTheme="minorHAnsi" w:cs="Segoe UI"/>
        </w:rPr>
        <w:t xml:space="preserve"> (ISUR SA)</w:t>
      </w:r>
      <w:r w:rsidRPr="004448AB">
        <w:rPr>
          <w:rFonts w:asciiTheme="minorHAnsi" w:eastAsiaTheme="minorHAnsi" w:hAnsiTheme="minorHAnsi" w:cs="Segoe UI"/>
        </w:rPr>
        <w:t xml:space="preserve"> es una sociedad anónima constituida en 2007 por UTE y CND con el objeto de realizar todas las actividades necesarias para la construcción y gestión de una Estación </w:t>
      </w:r>
      <w:proofErr w:type="spellStart"/>
      <w:r w:rsidRPr="004448AB">
        <w:rPr>
          <w:rFonts w:asciiTheme="minorHAnsi" w:eastAsiaTheme="minorHAnsi" w:hAnsiTheme="minorHAnsi" w:cs="Segoe UI"/>
        </w:rPr>
        <w:t>Conversora</w:t>
      </w:r>
      <w:proofErr w:type="spellEnd"/>
      <w:r w:rsidRPr="004448AB">
        <w:rPr>
          <w:rFonts w:asciiTheme="minorHAnsi" w:eastAsiaTheme="minorHAnsi" w:hAnsiTheme="minorHAnsi" w:cs="Segoe UI"/>
        </w:rPr>
        <w:t xml:space="preserve"> de Frecuencia </w:t>
      </w:r>
      <w:r w:rsidR="00657B39" w:rsidRPr="00CB0236">
        <w:rPr>
          <w:rFonts w:asciiTheme="minorHAnsi" w:eastAsiaTheme="minorHAnsi" w:hAnsiTheme="minorHAnsi" w:cs="Segoe UI"/>
        </w:rPr>
        <w:t xml:space="preserve">prácticamente finalizada en </w:t>
      </w:r>
      <w:r w:rsidRPr="004448AB">
        <w:rPr>
          <w:rFonts w:asciiTheme="minorHAnsi" w:eastAsiaTheme="minorHAnsi" w:hAnsiTheme="minorHAnsi" w:cs="Segoe UI"/>
        </w:rPr>
        <w:t xml:space="preserve">Melo y una línea aérea que la unirá con </w:t>
      </w:r>
      <w:r w:rsidR="00657B39" w:rsidRPr="00CB0236">
        <w:rPr>
          <w:rFonts w:asciiTheme="minorHAnsi" w:eastAsiaTheme="minorHAnsi" w:hAnsiTheme="minorHAnsi" w:cs="Segoe UI"/>
        </w:rPr>
        <w:t xml:space="preserve">la planta eléctrica de </w:t>
      </w:r>
      <w:r w:rsidRPr="004448AB">
        <w:rPr>
          <w:rFonts w:asciiTheme="minorHAnsi" w:eastAsiaTheme="minorHAnsi" w:hAnsiTheme="minorHAnsi" w:cs="Segoe UI"/>
        </w:rPr>
        <w:t>Candiota en Brasil, posibilitando así la interconexión eléctrica</w:t>
      </w:r>
      <w:r w:rsidR="00BD13E7">
        <w:rPr>
          <w:rFonts w:asciiTheme="minorHAnsi" w:eastAsiaTheme="minorHAnsi" w:hAnsiTheme="minorHAnsi" w:cs="Segoe UI"/>
        </w:rPr>
        <w:t xml:space="preserve"> con Brasil.</w:t>
      </w:r>
    </w:p>
    <w:p w:rsidR="00657B39" w:rsidRPr="00CB0236" w:rsidRDefault="004448AB" w:rsidP="00CB0236">
      <w:pPr>
        <w:autoSpaceDE w:val="0"/>
        <w:autoSpaceDN w:val="0"/>
        <w:adjustRightInd w:val="0"/>
        <w:spacing w:after="240"/>
        <w:jc w:val="both"/>
        <w:rPr>
          <w:rFonts w:asciiTheme="minorHAnsi" w:eastAsiaTheme="minorHAnsi" w:hAnsiTheme="minorHAnsi" w:cs="Segoe UI"/>
          <w:color w:val="000000"/>
        </w:rPr>
      </w:pPr>
      <w:r w:rsidRPr="004448AB">
        <w:rPr>
          <w:rFonts w:asciiTheme="minorHAnsi" w:eastAsiaTheme="minorHAnsi" w:hAnsiTheme="minorHAnsi" w:cs="Segoe UI"/>
          <w:color w:val="000000"/>
        </w:rPr>
        <w:t xml:space="preserve">El giro principal de ITC SA es proveer servicios de consultoría, asesoramiento profesional y asistencia técnica en Telecomunicaciones, Gestión Estratégica, RRHH, Tecnologías de la Información y Operaciones. </w:t>
      </w:r>
    </w:p>
    <w:p w:rsidR="00657B39" w:rsidRPr="00CB0236" w:rsidRDefault="004448AB" w:rsidP="00CB0236">
      <w:pPr>
        <w:autoSpaceDE w:val="0"/>
        <w:autoSpaceDN w:val="0"/>
        <w:adjustRightInd w:val="0"/>
        <w:spacing w:after="240"/>
        <w:jc w:val="both"/>
        <w:rPr>
          <w:rFonts w:asciiTheme="minorHAnsi" w:eastAsiaTheme="minorHAnsi" w:hAnsiTheme="minorHAnsi" w:cs="Segoe UI"/>
        </w:rPr>
      </w:pPr>
      <w:r w:rsidRPr="004448AB">
        <w:rPr>
          <w:rFonts w:asciiTheme="minorHAnsi" w:eastAsiaTheme="minorHAnsi" w:hAnsiTheme="minorHAnsi" w:cs="Calibri"/>
          <w:bCs/>
        </w:rPr>
        <w:t xml:space="preserve">LEGADER SA </w:t>
      </w:r>
      <w:r w:rsidR="00657B39" w:rsidRPr="00CB0236">
        <w:rPr>
          <w:rFonts w:asciiTheme="minorHAnsi" w:eastAsiaTheme="minorHAnsi" w:hAnsiTheme="minorHAnsi" w:cs="Calibri"/>
          <w:bCs/>
        </w:rPr>
        <w:t>e</w:t>
      </w:r>
      <w:r w:rsidRPr="004448AB">
        <w:rPr>
          <w:rFonts w:asciiTheme="minorHAnsi" w:eastAsiaTheme="minorHAnsi" w:hAnsiTheme="minorHAnsi" w:cs="Segoe UI"/>
        </w:rPr>
        <w:t xml:space="preserve">s una sociedad propiedad de CND, constituida </w:t>
      </w:r>
      <w:r w:rsidR="00BD13E7">
        <w:rPr>
          <w:rFonts w:asciiTheme="minorHAnsi" w:eastAsiaTheme="minorHAnsi" w:hAnsiTheme="minorHAnsi" w:cs="Segoe UI"/>
        </w:rPr>
        <w:t>para</w:t>
      </w:r>
      <w:r w:rsidRPr="004448AB">
        <w:rPr>
          <w:rFonts w:asciiTheme="minorHAnsi" w:eastAsiaTheme="minorHAnsi" w:hAnsiTheme="minorHAnsi" w:cs="Segoe UI"/>
        </w:rPr>
        <w:t xml:space="preserve"> administrar, arrendar y operar con bienes inmuebles.</w:t>
      </w:r>
    </w:p>
    <w:p w:rsidR="004448AB" w:rsidRPr="004448AB" w:rsidRDefault="00CB0236" w:rsidP="00CB0236">
      <w:pPr>
        <w:autoSpaceDE w:val="0"/>
        <w:autoSpaceDN w:val="0"/>
        <w:adjustRightInd w:val="0"/>
        <w:spacing w:after="240"/>
        <w:jc w:val="both"/>
        <w:rPr>
          <w:rFonts w:asciiTheme="minorHAnsi" w:eastAsiaTheme="minorHAnsi" w:hAnsiTheme="minorHAnsi" w:cs="Segoe UI"/>
        </w:rPr>
      </w:pPr>
      <w:r>
        <w:rPr>
          <w:rFonts w:asciiTheme="minorHAnsi" w:eastAsiaTheme="minorHAnsi" w:hAnsiTheme="minorHAnsi" w:cs="Segoe UI"/>
        </w:rPr>
        <w:t>M</w:t>
      </w:r>
      <w:r w:rsidR="004448AB" w:rsidRPr="004448AB">
        <w:rPr>
          <w:rFonts w:asciiTheme="minorHAnsi" w:eastAsiaTheme="minorHAnsi" w:hAnsiTheme="minorHAnsi" w:cs="Segoe UI"/>
        </w:rPr>
        <w:t xml:space="preserve">anantial Dorado es una sociedad anónima </w:t>
      </w:r>
      <w:r w:rsidR="00657B39" w:rsidRPr="00CB0236">
        <w:rPr>
          <w:rFonts w:asciiTheme="minorHAnsi" w:eastAsiaTheme="minorHAnsi" w:hAnsiTheme="minorHAnsi" w:cs="Segoe UI"/>
        </w:rPr>
        <w:t>constitui</w:t>
      </w:r>
      <w:r w:rsidR="004448AB" w:rsidRPr="004448AB">
        <w:rPr>
          <w:rFonts w:asciiTheme="minorHAnsi" w:eastAsiaTheme="minorHAnsi" w:hAnsiTheme="minorHAnsi" w:cs="Segoe UI"/>
        </w:rPr>
        <w:t xml:space="preserve">da por OSE y CND para </w:t>
      </w:r>
      <w:r w:rsidR="00BD13E7">
        <w:rPr>
          <w:rFonts w:asciiTheme="minorHAnsi" w:eastAsiaTheme="minorHAnsi" w:hAnsiTheme="minorHAnsi" w:cs="Segoe UI"/>
        </w:rPr>
        <w:t xml:space="preserve">generar </w:t>
      </w:r>
      <w:r w:rsidR="004448AB" w:rsidRPr="004448AB">
        <w:rPr>
          <w:rFonts w:asciiTheme="minorHAnsi" w:eastAsiaTheme="minorHAnsi" w:hAnsiTheme="minorHAnsi" w:cs="Segoe UI"/>
        </w:rPr>
        <w:t xml:space="preserve">soluciones estructurales </w:t>
      </w:r>
      <w:r w:rsidR="00657B39" w:rsidRPr="00CB0236">
        <w:rPr>
          <w:rFonts w:asciiTheme="minorHAnsi" w:eastAsiaTheme="minorHAnsi" w:hAnsiTheme="minorHAnsi" w:cs="Segoe UI"/>
        </w:rPr>
        <w:t xml:space="preserve">en </w:t>
      </w:r>
      <w:r w:rsidR="004448AB" w:rsidRPr="004448AB">
        <w:rPr>
          <w:rFonts w:asciiTheme="minorHAnsi" w:eastAsiaTheme="minorHAnsi" w:hAnsiTheme="minorHAnsi" w:cs="Segoe UI"/>
        </w:rPr>
        <w:t>tratamiento de líquidos residuales, abastecimiento de agua potable y/o actividades vinculadas</w:t>
      </w:r>
      <w:r w:rsidR="00657B39" w:rsidRPr="00CB0236">
        <w:rPr>
          <w:rFonts w:asciiTheme="minorHAnsi" w:eastAsiaTheme="minorHAnsi" w:hAnsiTheme="minorHAnsi" w:cs="Segoe UI"/>
        </w:rPr>
        <w:t xml:space="preserve">, junto a la </w:t>
      </w:r>
      <w:r w:rsidR="004448AB" w:rsidRPr="004448AB">
        <w:rPr>
          <w:rFonts w:asciiTheme="minorHAnsi" w:eastAsiaTheme="minorHAnsi" w:hAnsiTheme="minorHAnsi" w:cs="Segoe UI"/>
        </w:rPr>
        <w:t>prestación de servicios de consultoría</w:t>
      </w:r>
      <w:r w:rsidR="00657B39" w:rsidRPr="00CB0236">
        <w:rPr>
          <w:rFonts w:asciiTheme="minorHAnsi" w:eastAsiaTheme="minorHAnsi" w:hAnsiTheme="minorHAnsi" w:cs="Segoe UI"/>
        </w:rPr>
        <w:t xml:space="preserve"> en dichos temas</w:t>
      </w:r>
      <w:r w:rsidR="004448AB" w:rsidRPr="004448AB">
        <w:rPr>
          <w:rFonts w:asciiTheme="minorHAnsi" w:eastAsiaTheme="minorHAnsi" w:hAnsiTheme="minorHAnsi" w:cs="Segoe UI"/>
        </w:rPr>
        <w:t xml:space="preserve">. </w:t>
      </w:r>
    </w:p>
    <w:p w:rsidR="004448AB" w:rsidRPr="00CB0236" w:rsidRDefault="004448AB" w:rsidP="00CB0236">
      <w:pPr>
        <w:autoSpaceDE w:val="0"/>
        <w:autoSpaceDN w:val="0"/>
        <w:adjustRightInd w:val="0"/>
        <w:spacing w:after="240"/>
        <w:jc w:val="both"/>
        <w:rPr>
          <w:rFonts w:asciiTheme="minorHAnsi" w:hAnsiTheme="minorHAnsi" w:cs="Calibri"/>
        </w:rPr>
      </w:pPr>
      <w:r w:rsidRPr="004448AB">
        <w:rPr>
          <w:rFonts w:asciiTheme="minorHAnsi" w:eastAsiaTheme="minorHAnsi" w:hAnsiTheme="minorHAnsi" w:cs="Segoe UI"/>
        </w:rPr>
        <w:t xml:space="preserve">El Parque Industrial de Juan </w:t>
      </w:r>
      <w:proofErr w:type="spellStart"/>
      <w:r w:rsidRPr="004448AB">
        <w:rPr>
          <w:rFonts w:asciiTheme="minorHAnsi" w:eastAsiaTheme="minorHAnsi" w:hAnsiTheme="minorHAnsi" w:cs="Segoe UI"/>
        </w:rPr>
        <w:t>Lacaze</w:t>
      </w:r>
      <w:proofErr w:type="spellEnd"/>
      <w:r w:rsidRPr="004448AB">
        <w:rPr>
          <w:rFonts w:asciiTheme="minorHAnsi" w:eastAsiaTheme="minorHAnsi" w:hAnsiTheme="minorHAnsi" w:cs="Segoe UI"/>
        </w:rPr>
        <w:t xml:space="preserve"> fue creado por Ley Nº 17.547 de 7/8/2008 y decreto de reglamentación Nº 524 de 19/12/2005</w:t>
      </w:r>
      <w:r w:rsidR="00657B39" w:rsidRPr="00CB0236">
        <w:rPr>
          <w:rFonts w:asciiTheme="minorHAnsi" w:eastAsiaTheme="minorHAnsi" w:hAnsiTheme="minorHAnsi" w:cs="Segoe UI"/>
        </w:rPr>
        <w:t>, donde se desarrollan diversas actividades industriales y de servicios.</w:t>
      </w:r>
      <w:r w:rsidRPr="00CB0236">
        <w:rPr>
          <w:rFonts w:asciiTheme="minorHAnsi" w:hAnsiTheme="minorHAnsi" w:cs="Calibri"/>
          <w:b/>
          <w:bCs/>
        </w:rPr>
        <w:t xml:space="preserve"> </w:t>
      </w:r>
    </w:p>
    <w:p w:rsidR="00657B39" w:rsidRPr="00CB0236" w:rsidRDefault="004448AB" w:rsidP="00CB0236">
      <w:pPr>
        <w:pStyle w:val="Default"/>
        <w:spacing w:after="240" w:line="276" w:lineRule="auto"/>
        <w:jc w:val="both"/>
        <w:rPr>
          <w:rFonts w:asciiTheme="minorHAnsi" w:hAnsiTheme="minorHAnsi"/>
          <w:color w:val="auto"/>
          <w:sz w:val="22"/>
          <w:szCs w:val="22"/>
        </w:rPr>
      </w:pPr>
      <w:proofErr w:type="spellStart"/>
      <w:r w:rsidRPr="00CB0236">
        <w:rPr>
          <w:rFonts w:asciiTheme="minorHAnsi" w:hAnsiTheme="minorHAnsi"/>
          <w:sz w:val="22"/>
          <w:szCs w:val="22"/>
        </w:rPr>
        <w:t>Saindesur</w:t>
      </w:r>
      <w:proofErr w:type="spellEnd"/>
      <w:r w:rsidRPr="00CB0236">
        <w:rPr>
          <w:rFonts w:asciiTheme="minorHAnsi" w:hAnsiTheme="minorHAnsi"/>
          <w:sz w:val="22"/>
          <w:szCs w:val="22"/>
        </w:rPr>
        <w:t xml:space="preserve"> SA es una empresa fundada en 1990 dedicada a brindar servicios de financiamiento a pequeñas y medianas empresas, cuyo capital social está integrado por CND</w:t>
      </w:r>
      <w:r w:rsidR="00657B39" w:rsidRPr="00CB0236">
        <w:rPr>
          <w:rFonts w:asciiTheme="minorHAnsi" w:hAnsiTheme="minorHAnsi"/>
          <w:sz w:val="22"/>
          <w:szCs w:val="22"/>
        </w:rPr>
        <w:t xml:space="preserve">, </w:t>
      </w:r>
      <w:proofErr w:type="spellStart"/>
      <w:r w:rsidR="00657B39" w:rsidRPr="00CB0236">
        <w:rPr>
          <w:rFonts w:asciiTheme="minorHAnsi" w:hAnsiTheme="minorHAnsi"/>
          <w:sz w:val="22"/>
          <w:szCs w:val="22"/>
        </w:rPr>
        <w:t>S</w:t>
      </w:r>
      <w:r w:rsidRPr="00CB0236">
        <w:rPr>
          <w:rFonts w:asciiTheme="minorHAnsi" w:hAnsiTheme="minorHAnsi"/>
          <w:color w:val="auto"/>
          <w:sz w:val="22"/>
          <w:szCs w:val="22"/>
        </w:rPr>
        <w:t>idi</w:t>
      </w:r>
      <w:proofErr w:type="spellEnd"/>
      <w:r w:rsidRPr="00CB0236">
        <w:rPr>
          <w:rFonts w:asciiTheme="minorHAnsi" w:hAnsiTheme="minorHAnsi"/>
          <w:color w:val="auto"/>
          <w:sz w:val="22"/>
          <w:szCs w:val="22"/>
        </w:rPr>
        <w:t xml:space="preserve">, </w:t>
      </w:r>
      <w:proofErr w:type="spellStart"/>
      <w:r w:rsidRPr="00CB0236">
        <w:rPr>
          <w:rFonts w:asciiTheme="minorHAnsi" w:hAnsiTheme="minorHAnsi"/>
          <w:color w:val="auto"/>
          <w:sz w:val="22"/>
          <w:szCs w:val="22"/>
        </w:rPr>
        <w:t>Fundasol</w:t>
      </w:r>
      <w:proofErr w:type="spellEnd"/>
      <w:r w:rsidRPr="00CB0236">
        <w:rPr>
          <w:rFonts w:asciiTheme="minorHAnsi" w:hAnsiTheme="minorHAnsi"/>
          <w:color w:val="auto"/>
          <w:sz w:val="22"/>
          <w:szCs w:val="22"/>
        </w:rPr>
        <w:t xml:space="preserve">, </w:t>
      </w:r>
      <w:proofErr w:type="spellStart"/>
      <w:r w:rsidRPr="00CB0236">
        <w:rPr>
          <w:rFonts w:asciiTheme="minorHAnsi" w:hAnsiTheme="minorHAnsi"/>
          <w:color w:val="auto"/>
          <w:sz w:val="22"/>
          <w:szCs w:val="22"/>
        </w:rPr>
        <w:t>Oikocredit</w:t>
      </w:r>
      <w:proofErr w:type="spellEnd"/>
      <w:r w:rsidRPr="00CB0236">
        <w:rPr>
          <w:rFonts w:asciiTheme="minorHAnsi" w:hAnsiTheme="minorHAnsi"/>
          <w:color w:val="auto"/>
          <w:sz w:val="22"/>
          <w:szCs w:val="22"/>
        </w:rPr>
        <w:t xml:space="preserve"> y otros socios menores.</w:t>
      </w:r>
    </w:p>
    <w:p w:rsidR="004448AB" w:rsidRPr="00CB0236" w:rsidRDefault="00657B39" w:rsidP="00CB0236">
      <w:pPr>
        <w:pStyle w:val="Default"/>
        <w:spacing w:after="240" w:line="276" w:lineRule="auto"/>
        <w:jc w:val="both"/>
        <w:rPr>
          <w:rFonts w:asciiTheme="minorHAnsi" w:hAnsiTheme="minorHAnsi"/>
          <w:sz w:val="22"/>
          <w:szCs w:val="22"/>
        </w:rPr>
      </w:pPr>
      <w:r w:rsidRPr="00CB0236">
        <w:rPr>
          <w:rFonts w:asciiTheme="minorHAnsi" w:hAnsiTheme="minorHAnsi"/>
          <w:sz w:val="22"/>
          <w:szCs w:val="22"/>
        </w:rPr>
        <w:t>En el caso de Servicios Logísticos Ferroviarios SA (SLF SA)</w:t>
      </w:r>
      <w:r w:rsidR="00BD13E7">
        <w:rPr>
          <w:rFonts w:asciiTheme="minorHAnsi" w:hAnsiTheme="minorHAnsi"/>
          <w:sz w:val="22"/>
          <w:szCs w:val="22"/>
        </w:rPr>
        <w:t>,</w:t>
      </w:r>
      <w:r w:rsidRPr="00CB0236">
        <w:rPr>
          <w:rFonts w:asciiTheme="minorHAnsi" w:hAnsiTheme="minorHAnsi"/>
          <w:sz w:val="22"/>
          <w:szCs w:val="22"/>
        </w:rPr>
        <w:t xml:space="preserve"> </w:t>
      </w:r>
      <w:r w:rsidR="004448AB" w:rsidRPr="00CB0236">
        <w:rPr>
          <w:rFonts w:asciiTheme="minorHAnsi" w:hAnsiTheme="minorHAnsi"/>
          <w:sz w:val="22"/>
          <w:szCs w:val="22"/>
        </w:rPr>
        <w:t xml:space="preserve">se ejecutó la transferencia de bienes de AFE a </w:t>
      </w:r>
      <w:r w:rsidRPr="00CB0236">
        <w:rPr>
          <w:rFonts w:asciiTheme="minorHAnsi" w:hAnsiTheme="minorHAnsi"/>
          <w:sz w:val="22"/>
          <w:szCs w:val="22"/>
        </w:rPr>
        <w:t xml:space="preserve">la empresa </w:t>
      </w:r>
      <w:r w:rsidR="00BD13E7">
        <w:rPr>
          <w:rFonts w:asciiTheme="minorHAnsi" w:hAnsiTheme="minorHAnsi"/>
          <w:sz w:val="22"/>
          <w:szCs w:val="22"/>
        </w:rPr>
        <w:t xml:space="preserve">por un </w:t>
      </w:r>
      <w:r w:rsidR="004448AB" w:rsidRPr="00CB0236">
        <w:rPr>
          <w:rFonts w:asciiTheme="minorHAnsi" w:hAnsiTheme="minorHAnsi"/>
          <w:sz w:val="22"/>
          <w:szCs w:val="22"/>
        </w:rPr>
        <w:t xml:space="preserve">valor </w:t>
      </w:r>
      <w:r w:rsidR="00BD13E7">
        <w:rPr>
          <w:rFonts w:asciiTheme="minorHAnsi" w:hAnsiTheme="minorHAnsi"/>
          <w:sz w:val="22"/>
          <w:szCs w:val="22"/>
        </w:rPr>
        <w:t>de</w:t>
      </w:r>
      <w:r w:rsidR="004448AB" w:rsidRPr="00CB0236">
        <w:rPr>
          <w:rFonts w:asciiTheme="minorHAnsi" w:hAnsiTheme="minorHAnsi"/>
          <w:sz w:val="22"/>
          <w:szCs w:val="22"/>
        </w:rPr>
        <w:t xml:space="preserve"> $ 468.820.352,50. El capital integrado de la sociedad asciende a $ 570.000.000. </w:t>
      </w:r>
      <w:r w:rsidR="00CB0236" w:rsidRPr="00CB0236">
        <w:rPr>
          <w:rFonts w:asciiTheme="minorHAnsi" w:hAnsiTheme="minorHAnsi"/>
          <w:sz w:val="22"/>
          <w:szCs w:val="22"/>
        </w:rPr>
        <w:t xml:space="preserve">Se ha solicitado un préstamo de US$ 45 millones para el proyecto de </w:t>
      </w:r>
      <w:r w:rsidRPr="00CB0236">
        <w:rPr>
          <w:rFonts w:asciiTheme="minorHAnsi" w:hAnsiTheme="minorHAnsi"/>
          <w:sz w:val="22"/>
          <w:szCs w:val="22"/>
        </w:rPr>
        <w:t>inicio y puest</w:t>
      </w:r>
      <w:r w:rsidR="00CB0236" w:rsidRPr="00CB0236">
        <w:rPr>
          <w:rFonts w:asciiTheme="minorHAnsi" w:hAnsiTheme="minorHAnsi"/>
          <w:sz w:val="22"/>
          <w:szCs w:val="22"/>
        </w:rPr>
        <w:t>a</w:t>
      </w:r>
      <w:r w:rsidR="00BD13E7">
        <w:rPr>
          <w:rFonts w:asciiTheme="minorHAnsi" w:hAnsiTheme="minorHAnsi"/>
          <w:sz w:val="22"/>
          <w:szCs w:val="22"/>
        </w:rPr>
        <w:t xml:space="preserve"> en marcha.</w:t>
      </w:r>
    </w:p>
    <w:p w:rsidR="007E6590" w:rsidRPr="00CB0236" w:rsidRDefault="00CB0236" w:rsidP="00CB0236">
      <w:pPr>
        <w:spacing w:after="240"/>
        <w:jc w:val="both"/>
        <w:rPr>
          <w:rFonts w:asciiTheme="minorHAnsi" w:hAnsiTheme="minorHAnsi" w:cs="Times New Roman"/>
          <w:b/>
          <w:lang w:val="es-ES_tradnl"/>
        </w:rPr>
      </w:pPr>
      <w:r w:rsidRPr="00CB0236">
        <w:rPr>
          <w:rFonts w:asciiTheme="minorHAnsi" w:hAnsiTheme="minorHAnsi" w:cs="Times New Roman"/>
          <w:b/>
          <w:lang w:val="es-ES_tradnl"/>
        </w:rPr>
        <w:t>Información contable</w:t>
      </w:r>
    </w:p>
    <w:p w:rsidR="00CB0236" w:rsidRDefault="00CB0236" w:rsidP="00CB0236">
      <w:pPr>
        <w:spacing w:after="240"/>
        <w:jc w:val="both"/>
        <w:rPr>
          <w:rFonts w:asciiTheme="minorHAnsi" w:hAnsiTheme="minorHAnsi" w:cs="Times New Roman"/>
          <w:lang w:val="es-ES_tradnl"/>
        </w:rPr>
      </w:pPr>
      <w:r>
        <w:rPr>
          <w:rFonts w:asciiTheme="minorHAnsi" w:hAnsiTheme="minorHAnsi" w:cs="Times New Roman"/>
          <w:lang w:val="es-ES_tradnl"/>
        </w:rPr>
        <w:t>En función de las distintas actividades de la CND y su participación en diversas empresas, se ha efectuado un somero análisis de los balances consolidados de la empresa, o mejor dicho de lo que representa el Grupo CND</w:t>
      </w:r>
      <w:r w:rsidR="00BD13E7">
        <w:rPr>
          <w:rFonts w:asciiTheme="minorHAnsi" w:hAnsiTheme="minorHAnsi" w:cs="Times New Roman"/>
          <w:lang w:val="es-ES_tradnl"/>
        </w:rPr>
        <w:t>, que integra la CVU</w:t>
      </w:r>
      <w:r>
        <w:rPr>
          <w:rFonts w:asciiTheme="minorHAnsi" w:hAnsiTheme="minorHAnsi" w:cs="Times New Roman"/>
          <w:lang w:val="es-ES_tradnl"/>
        </w:rPr>
        <w:t xml:space="preserve">. </w:t>
      </w:r>
    </w:p>
    <w:p w:rsidR="00596DCC" w:rsidRDefault="00925609" w:rsidP="00CB0236">
      <w:pPr>
        <w:spacing w:after="240"/>
        <w:jc w:val="both"/>
        <w:rPr>
          <w:rFonts w:asciiTheme="minorHAnsi" w:hAnsiTheme="minorHAnsi" w:cs="Times New Roman"/>
          <w:lang w:val="es-ES_tradnl"/>
        </w:rPr>
      </w:pPr>
      <w:r>
        <w:rPr>
          <w:rFonts w:asciiTheme="minorHAnsi" w:hAnsiTheme="minorHAnsi" w:cs="Times New Roman"/>
          <w:lang w:val="es-ES_tradnl"/>
        </w:rPr>
        <w:t>Según se desprende del Balance al 31 de diciembre del 2014, la CND ha recibido ingresos por más de US$ 200 millones en el ejercicio, algo menos que los casi US$ 230 millones del ejercicio anterior. Sin embargo, ello se enfrentó a m</w:t>
      </w:r>
      <w:r w:rsidR="00A67332">
        <w:rPr>
          <w:rFonts w:asciiTheme="minorHAnsi" w:hAnsiTheme="minorHAnsi" w:cs="Times New Roman"/>
          <w:lang w:val="es-ES_tradnl"/>
        </w:rPr>
        <w:t>enore</w:t>
      </w:r>
      <w:r>
        <w:rPr>
          <w:rFonts w:asciiTheme="minorHAnsi" w:hAnsiTheme="minorHAnsi" w:cs="Times New Roman"/>
          <w:lang w:val="es-ES_tradnl"/>
        </w:rPr>
        <w:t xml:space="preserve">s </w:t>
      </w:r>
      <w:r w:rsidR="00596DCC">
        <w:rPr>
          <w:rFonts w:asciiTheme="minorHAnsi" w:hAnsiTheme="minorHAnsi" w:cs="Times New Roman"/>
          <w:lang w:val="es-ES_tradnl"/>
        </w:rPr>
        <w:t xml:space="preserve">costos de ventas y servicios prestados, determinando que en el actual ejercicio se constituyera un resultado bruto </w:t>
      </w:r>
      <w:r w:rsidR="00A67332">
        <w:rPr>
          <w:rFonts w:asciiTheme="minorHAnsi" w:hAnsiTheme="minorHAnsi" w:cs="Times New Roman"/>
          <w:lang w:val="es-ES_tradnl"/>
        </w:rPr>
        <w:t xml:space="preserve">positivo de más de </w:t>
      </w:r>
      <w:r w:rsidR="00596DCC">
        <w:rPr>
          <w:rFonts w:asciiTheme="minorHAnsi" w:hAnsiTheme="minorHAnsi" w:cs="Times New Roman"/>
          <w:lang w:val="es-ES_tradnl"/>
        </w:rPr>
        <w:t xml:space="preserve">US$ 11 millones, respecto a alrededor de </w:t>
      </w:r>
      <w:r w:rsidR="00A67332">
        <w:rPr>
          <w:rFonts w:asciiTheme="minorHAnsi" w:hAnsiTheme="minorHAnsi" w:cs="Times New Roman"/>
          <w:lang w:val="es-ES_tradnl"/>
        </w:rPr>
        <w:t xml:space="preserve">sólo </w:t>
      </w:r>
      <w:r w:rsidR="00596DCC">
        <w:rPr>
          <w:rFonts w:asciiTheme="minorHAnsi" w:hAnsiTheme="minorHAnsi" w:cs="Times New Roman"/>
          <w:lang w:val="es-ES_tradnl"/>
        </w:rPr>
        <w:t xml:space="preserve">US$ 7 millones </w:t>
      </w:r>
      <w:r w:rsidR="00A67332">
        <w:rPr>
          <w:rFonts w:asciiTheme="minorHAnsi" w:hAnsiTheme="minorHAnsi" w:cs="Times New Roman"/>
          <w:lang w:val="es-ES_tradnl"/>
        </w:rPr>
        <w:t>en el ejercicio anterior</w:t>
      </w:r>
      <w:r w:rsidR="00596DCC">
        <w:rPr>
          <w:rFonts w:asciiTheme="minorHAnsi" w:hAnsiTheme="minorHAnsi" w:cs="Times New Roman"/>
          <w:lang w:val="es-ES_tradnl"/>
        </w:rPr>
        <w:t>.</w:t>
      </w:r>
    </w:p>
    <w:p w:rsidR="00FB4106" w:rsidRDefault="00FB4106" w:rsidP="00CB0236">
      <w:pPr>
        <w:spacing w:after="240"/>
        <w:jc w:val="both"/>
        <w:rPr>
          <w:rFonts w:asciiTheme="minorHAnsi" w:hAnsiTheme="minorHAnsi" w:cs="Times New Roman"/>
          <w:lang w:val="es-ES_tradnl"/>
        </w:rPr>
      </w:pPr>
      <w:r>
        <w:rPr>
          <w:rFonts w:asciiTheme="minorHAnsi" w:hAnsiTheme="minorHAnsi" w:cs="Times New Roman"/>
          <w:lang w:val="es-ES_tradnl"/>
        </w:rPr>
        <w:t>Se destaca que los costos financieros se ubican en el orden de los US$ 6/7 millones en ambos ejercicios, en virtud de un endeudamiento que se ubica en alrededor de US$ 330 millones en el último ejercicio. En dicho endeudamiento la CND propiamente dicha tiene préstamos financieros por US$ 216 millones</w:t>
      </w:r>
      <w:r w:rsidR="00A67332">
        <w:rPr>
          <w:rFonts w:asciiTheme="minorHAnsi" w:hAnsiTheme="minorHAnsi" w:cs="Times New Roman"/>
          <w:lang w:val="es-ES_tradnl"/>
        </w:rPr>
        <w:t>,</w:t>
      </w:r>
      <w:r>
        <w:rPr>
          <w:rFonts w:asciiTheme="minorHAnsi" w:hAnsiTheme="minorHAnsi" w:cs="Times New Roman"/>
          <w:lang w:val="es-ES_tradnl"/>
        </w:rPr>
        <w:t xml:space="preserve"> a los cuales se agregan US$ 114 millones de la CVU.</w:t>
      </w:r>
    </w:p>
    <w:p w:rsidR="00CB0236" w:rsidRDefault="00FB4106" w:rsidP="00CB0236">
      <w:pPr>
        <w:spacing w:after="240"/>
        <w:jc w:val="both"/>
        <w:rPr>
          <w:rFonts w:asciiTheme="minorHAnsi" w:hAnsiTheme="minorHAnsi" w:cs="Times New Roman"/>
          <w:lang w:val="es-ES_tradnl"/>
        </w:rPr>
      </w:pPr>
      <w:r>
        <w:rPr>
          <w:rFonts w:asciiTheme="minorHAnsi" w:hAnsiTheme="minorHAnsi" w:cs="Times New Roman"/>
          <w:lang w:val="es-ES_tradnl"/>
        </w:rPr>
        <w:t xml:space="preserve">Los resultados comentados previamente </w:t>
      </w:r>
      <w:r w:rsidR="00596DCC">
        <w:rPr>
          <w:rFonts w:asciiTheme="minorHAnsi" w:hAnsiTheme="minorHAnsi" w:cs="Times New Roman"/>
          <w:lang w:val="es-ES_tradnl"/>
        </w:rPr>
        <w:t>implic</w:t>
      </w:r>
      <w:r>
        <w:rPr>
          <w:rFonts w:asciiTheme="minorHAnsi" w:hAnsiTheme="minorHAnsi" w:cs="Times New Roman"/>
          <w:lang w:val="es-ES_tradnl"/>
        </w:rPr>
        <w:t>aron</w:t>
      </w:r>
      <w:r w:rsidR="00596DCC">
        <w:rPr>
          <w:rFonts w:asciiTheme="minorHAnsi" w:hAnsiTheme="minorHAnsi" w:cs="Times New Roman"/>
          <w:lang w:val="es-ES_tradnl"/>
        </w:rPr>
        <w:t xml:space="preserve"> que el balance consolidado de la CND arrojara una utilidad del orden de los </w:t>
      </w:r>
      <w:r>
        <w:rPr>
          <w:rFonts w:asciiTheme="minorHAnsi" w:hAnsiTheme="minorHAnsi" w:cs="Times New Roman"/>
          <w:lang w:val="es-ES_tradnl"/>
        </w:rPr>
        <w:t>U</w:t>
      </w:r>
      <w:r w:rsidR="00596DCC">
        <w:rPr>
          <w:rFonts w:asciiTheme="minorHAnsi" w:hAnsiTheme="minorHAnsi" w:cs="Times New Roman"/>
          <w:lang w:val="es-ES_tradnl"/>
        </w:rPr>
        <w:t xml:space="preserve">S$ 3,5 millones en el año contrarrestando la pérdida de alrededor de US$ 1,7 millones del ejercicio </w:t>
      </w:r>
      <w:r w:rsidR="00A67332">
        <w:rPr>
          <w:rFonts w:asciiTheme="minorHAnsi" w:hAnsiTheme="minorHAnsi" w:cs="Times New Roman"/>
          <w:lang w:val="es-ES_tradnl"/>
        </w:rPr>
        <w:t>anterior</w:t>
      </w:r>
      <w:r w:rsidR="00596DCC">
        <w:rPr>
          <w:rFonts w:asciiTheme="minorHAnsi" w:hAnsiTheme="minorHAnsi" w:cs="Times New Roman"/>
          <w:lang w:val="es-ES_tradnl"/>
        </w:rPr>
        <w:t xml:space="preserve">. La utilidad obtenida representa sólo menos del 2% de los ingresos y menos del 4% del patrimonio de la CND consolidada.  </w:t>
      </w:r>
      <w:r w:rsidR="00925609">
        <w:rPr>
          <w:rFonts w:asciiTheme="minorHAnsi" w:hAnsiTheme="minorHAnsi" w:cs="Times New Roman"/>
          <w:lang w:val="es-ES_tradnl"/>
        </w:rPr>
        <w:t xml:space="preserve"> </w:t>
      </w:r>
    </w:p>
    <w:p w:rsidR="00FB4106" w:rsidRDefault="00FB4106" w:rsidP="00CB0236">
      <w:pPr>
        <w:spacing w:after="240"/>
        <w:jc w:val="both"/>
        <w:rPr>
          <w:rFonts w:asciiTheme="minorHAnsi" w:hAnsiTheme="minorHAnsi" w:cs="Times New Roman"/>
          <w:lang w:val="es-ES_tradnl"/>
        </w:rPr>
      </w:pPr>
      <w:r>
        <w:rPr>
          <w:rFonts w:asciiTheme="minorHAnsi" w:hAnsiTheme="minorHAnsi" w:cs="Times New Roman"/>
          <w:lang w:val="es-ES_tradnl"/>
        </w:rPr>
        <w:t>A continuación se resume el Estado de Resultados Consolidado de la CND de los últimos ejercicios.</w:t>
      </w:r>
    </w:p>
    <w:p w:rsidR="00A67332" w:rsidRDefault="00E36EF9" w:rsidP="00A67332">
      <w:pPr>
        <w:spacing w:after="240"/>
        <w:jc w:val="center"/>
        <w:rPr>
          <w:rFonts w:asciiTheme="minorHAnsi" w:hAnsiTheme="minorHAnsi" w:cs="Times New Roman"/>
          <w:lang w:val="es-ES_tradnl"/>
        </w:rPr>
      </w:pPr>
      <w:r w:rsidRPr="00E36EF9">
        <w:rPr>
          <w:noProof/>
          <w:lang w:val="en-US"/>
        </w:rPr>
        <w:drawing>
          <wp:inline distT="0" distB="0" distL="0" distR="0">
            <wp:extent cx="4723130" cy="2067560"/>
            <wp:effectExtent l="19050" t="0" r="1270" b="0"/>
            <wp:docPr id="12"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srcRect/>
                    <a:stretch>
                      <a:fillRect/>
                    </a:stretch>
                  </pic:blipFill>
                  <pic:spPr bwMode="auto">
                    <a:xfrm>
                      <a:off x="0" y="0"/>
                      <a:ext cx="4723130" cy="2067560"/>
                    </a:xfrm>
                    <a:prstGeom prst="rect">
                      <a:avLst/>
                    </a:prstGeom>
                    <a:noFill/>
                    <a:ln w="9525">
                      <a:noFill/>
                      <a:miter lim="800000"/>
                      <a:headEnd/>
                      <a:tailEnd/>
                    </a:ln>
                  </pic:spPr>
                </pic:pic>
              </a:graphicData>
            </a:graphic>
          </wp:inline>
        </w:drawing>
      </w:r>
    </w:p>
    <w:p w:rsidR="00A67332" w:rsidRPr="00E53FAB" w:rsidRDefault="00A67332" w:rsidP="00A67332">
      <w:pPr>
        <w:autoSpaceDE w:val="0"/>
        <w:autoSpaceDN w:val="0"/>
        <w:adjustRightInd w:val="0"/>
        <w:spacing w:after="240"/>
        <w:jc w:val="center"/>
        <w:rPr>
          <w:rFonts w:asciiTheme="minorHAnsi" w:eastAsiaTheme="minorHAnsi" w:hAnsiTheme="minorHAnsi" w:cs="Calibri"/>
          <w:bCs/>
          <w:color w:val="000000"/>
          <w:sz w:val="18"/>
          <w:szCs w:val="18"/>
        </w:rPr>
      </w:pPr>
      <w:r w:rsidRPr="00E53FAB">
        <w:rPr>
          <w:rFonts w:asciiTheme="minorHAnsi" w:eastAsiaTheme="minorHAnsi" w:hAnsiTheme="minorHAnsi" w:cs="Calibri"/>
          <w:bCs/>
          <w:color w:val="000000"/>
          <w:sz w:val="18"/>
          <w:szCs w:val="18"/>
        </w:rPr>
        <w:t>Fuente: CND</w:t>
      </w:r>
    </w:p>
    <w:p w:rsidR="00FB4106" w:rsidRDefault="00FB4106" w:rsidP="00CB0236">
      <w:pPr>
        <w:spacing w:after="240"/>
        <w:jc w:val="both"/>
        <w:rPr>
          <w:rFonts w:asciiTheme="minorHAnsi" w:hAnsiTheme="minorHAnsi" w:cs="Times New Roman"/>
          <w:lang w:val="es-ES_tradnl"/>
        </w:rPr>
      </w:pPr>
      <w:r>
        <w:rPr>
          <w:rFonts w:asciiTheme="minorHAnsi" w:hAnsiTheme="minorHAnsi" w:cs="Times New Roman"/>
          <w:lang w:val="es-ES_tradnl"/>
        </w:rPr>
        <w:t>Por otra p</w:t>
      </w:r>
      <w:r w:rsidR="00666631">
        <w:rPr>
          <w:rFonts w:asciiTheme="minorHAnsi" w:hAnsiTheme="minorHAnsi" w:cs="Times New Roman"/>
          <w:lang w:val="es-ES_tradnl"/>
        </w:rPr>
        <w:t>a</w:t>
      </w:r>
      <w:r>
        <w:rPr>
          <w:rFonts w:asciiTheme="minorHAnsi" w:hAnsiTheme="minorHAnsi" w:cs="Times New Roman"/>
          <w:lang w:val="es-ES_tradnl"/>
        </w:rPr>
        <w:t>rte, si observamos el estado de situación del balance consolidado de</w:t>
      </w:r>
      <w:r w:rsidR="00666631">
        <w:rPr>
          <w:rFonts w:asciiTheme="minorHAnsi" w:hAnsiTheme="minorHAnsi" w:cs="Times New Roman"/>
          <w:lang w:val="es-ES_tradnl"/>
        </w:rPr>
        <w:t xml:space="preserve"> </w:t>
      </w:r>
      <w:r>
        <w:rPr>
          <w:rFonts w:asciiTheme="minorHAnsi" w:hAnsiTheme="minorHAnsi" w:cs="Times New Roman"/>
          <w:lang w:val="es-ES_tradnl"/>
        </w:rPr>
        <w:t xml:space="preserve">la CND, </w:t>
      </w:r>
      <w:r w:rsidR="00666631">
        <w:rPr>
          <w:rFonts w:asciiTheme="minorHAnsi" w:hAnsiTheme="minorHAnsi" w:cs="Times New Roman"/>
          <w:lang w:val="es-ES_tradnl"/>
        </w:rPr>
        <w:t>se desprende que los activos de la empresa se ubican actualmente en el orden de los US$ 550 millones en el ejercicio finalizado al 31/12/2014, con pasivos totales por alrededor de US$ 450 millones, con lo que el Patrimonio de la CND se ubica actualmente en un valor cercano a los US$ 100 millones, indicando la importancia de esta entidad en el marco de las actividades que realiza y las empresas en las que participa total o parcialmente.</w:t>
      </w:r>
    </w:p>
    <w:p w:rsidR="009A1F1E" w:rsidRDefault="00E36EF9" w:rsidP="009A1F1E">
      <w:pPr>
        <w:spacing w:after="240"/>
        <w:jc w:val="center"/>
        <w:rPr>
          <w:rFonts w:asciiTheme="minorHAnsi" w:hAnsiTheme="minorHAnsi" w:cs="Times New Roman"/>
          <w:lang w:val="es-ES_tradnl"/>
        </w:rPr>
      </w:pPr>
      <w:r w:rsidRPr="00E36EF9">
        <w:rPr>
          <w:noProof/>
          <w:lang w:val="en-US"/>
        </w:rPr>
        <w:drawing>
          <wp:inline distT="0" distB="0" distL="0" distR="0">
            <wp:extent cx="4723130" cy="2981960"/>
            <wp:effectExtent l="19050" t="0" r="1270" b="0"/>
            <wp:docPr id="13"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srcRect/>
                    <a:stretch>
                      <a:fillRect/>
                    </a:stretch>
                  </pic:blipFill>
                  <pic:spPr bwMode="auto">
                    <a:xfrm>
                      <a:off x="0" y="0"/>
                      <a:ext cx="4723130" cy="2981960"/>
                    </a:xfrm>
                    <a:prstGeom prst="rect">
                      <a:avLst/>
                    </a:prstGeom>
                    <a:noFill/>
                    <a:ln w="9525">
                      <a:noFill/>
                      <a:miter lim="800000"/>
                      <a:headEnd/>
                      <a:tailEnd/>
                    </a:ln>
                  </pic:spPr>
                </pic:pic>
              </a:graphicData>
            </a:graphic>
          </wp:inline>
        </w:drawing>
      </w:r>
    </w:p>
    <w:p w:rsidR="009A1F1E" w:rsidRPr="00E53FAB" w:rsidRDefault="009A1F1E" w:rsidP="009A1F1E">
      <w:pPr>
        <w:autoSpaceDE w:val="0"/>
        <w:autoSpaceDN w:val="0"/>
        <w:adjustRightInd w:val="0"/>
        <w:spacing w:after="240"/>
        <w:jc w:val="center"/>
        <w:rPr>
          <w:rFonts w:asciiTheme="minorHAnsi" w:eastAsiaTheme="minorHAnsi" w:hAnsiTheme="minorHAnsi" w:cs="Calibri"/>
          <w:bCs/>
          <w:color w:val="000000"/>
          <w:sz w:val="18"/>
          <w:szCs w:val="18"/>
        </w:rPr>
      </w:pPr>
      <w:r w:rsidRPr="00E53FAB">
        <w:rPr>
          <w:rFonts w:asciiTheme="minorHAnsi" w:eastAsiaTheme="minorHAnsi" w:hAnsiTheme="minorHAnsi" w:cs="Calibri"/>
          <w:bCs/>
          <w:color w:val="000000"/>
          <w:sz w:val="18"/>
          <w:szCs w:val="18"/>
        </w:rPr>
        <w:t>Fuente: CND</w:t>
      </w:r>
    </w:p>
    <w:p w:rsidR="00666631" w:rsidRDefault="00666631" w:rsidP="00666631">
      <w:pPr>
        <w:jc w:val="both"/>
        <w:rPr>
          <w:rFonts w:asciiTheme="minorHAnsi" w:hAnsiTheme="minorHAnsi" w:cs="Times New Roman"/>
          <w:lang w:val="es-ES_tradnl"/>
        </w:rPr>
      </w:pPr>
      <w:r>
        <w:rPr>
          <w:rFonts w:asciiTheme="minorHAnsi" w:hAnsiTheme="minorHAnsi" w:cs="Times New Roman"/>
          <w:lang w:val="es-ES_tradnl"/>
        </w:rPr>
        <w:t>A los efectos de completa</w:t>
      </w:r>
      <w:r w:rsidR="009A1F1E">
        <w:rPr>
          <w:rFonts w:asciiTheme="minorHAnsi" w:hAnsiTheme="minorHAnsi" w:cs="Times New Roman"/>
          <w:lang w:val="es-ES_tradnl"/>
        </w:rPr>
        <w:t>r</w:t>
      </w:r>
      <w:r>
        <w:rPr>
          <w:rFonts w:asciiTheme="minorHAnsi" w:hAnsiTheme="minorHAnsi" w:cs="Times New Roman"/>
          <w:lang w:val="es-ES_tradnl"/>
        </w:rPr>
        <w:t xml:space="preserve"> el panorama financiero de la CND, también aquí se </w:t>
      </w:r>
      <w:r w:rsidRPr="004F6166">
        <w:rPr>
          <w:rFonts w:asciiTheme="minorHAnsi" w:hAnsiTheme="minorHAnsi" w:cs="Times New Roman"/>
          <w:lang w:val="es-ES_tradnl"/>
        </w:rPr>
        <w:t>ha</w:t>
      </w:r>
      <w:r w:rsidR="009A1F1E">
        <w:rPr>
          <w:rFonts w:asciiTheme="minorHAnsi" w:hAnsiTheme="minorHAnsi" w:cs="Times New Roman"/>
          <w:lang w:val="es-ES_tradnl"/>
        </w:rPr>
        <w:t>n</w:t>
      </w:r>
      <w:r w:rsidRPr="004F6166">
        <w:rPr>
          <w:rFonts w:asciiTheme="minorHAnsi" w:hAnsiTheme="minorHAnsi" w:cs="Times New Roman"/>
          <w:lang w:val="es-ES_tradnl"/>
        </w:rPr>
        <w:t xml:space="preserve"> elaborado los indicadores para evaluar estos estados contables. </w:t>
      </w:r>
    </w:p>
    <w:p w:rsidR="009A1F1E" w:rsidRDefault="00666631" w:rsidP="00666631">
      <w:pPr>
        <w:jc w:val="both"/>
        <w:rPr>
          <w:rFonts w:asciiTheme="minorHAnsi" w:hAnsiTheme="minorHAnsi" w:cs="Times New Roman"/>
          <w:lang w:val="es-ES_tradnl"/>
        </w:rPr>
      </w:pPr>
      <w:r w:rsidRPr="004F6166">
        <w:rPr>
          <w:rFonts w:asciiTheme="minorHAnsi" w:hAnsiTheme="minorHAnsi" w:cs="Times New Roman"/>
          <w:lang w:val="es-ES_tradnl"/>
        </w:rPr>
        <w:t xml:space="preserve">El ratio de liquidez, según puede verse en el cuadro siguiente, se ubica </w:t>
      </w:r>
      <w:r>
        <w:rPr>
          <w:rFonts w:asciiTheme="minorHAnsi" w:hAnsiTheme="minorHAnsi" w:cs="Times New Roman"/>
          <w:lang w:val="es-ES_tradnl"/>
        </w:rPr>
        <w:t xml:space="preserve">básicamente </w:t>
      </w:r>
      <w:r w:rsidRPr="004F6166">
        <w:rPr>
          <w:rFonts w:asciiTheme="minorHAnsi" w:hAnsiTheme="minorHAnsi" w:cs="Times New Roman"/>
          <w:lang w:val="es-ES_tradnl"/>
        </w:rPr>
        <w:t xml:space="preserve">en </w:t>
      </w:r>
      <w:r>
        <w:rPr>
          <w:rFonts w:asciiTheme="minorHAnsi" w:hAnsiTheme="minorHAnsi" w:cs="Times New Roman"/>
          <w:lang w:val="es-ES_tradnl"/>
        </w:rPr>
        <w:t>1,3</w:t>
      </w:r>
      <w:r w:rsidRPr="004F6166">
        <w:rPr>
          <w:rFonts w:asciiTheme="minorHAnsi" w:hAnsiTheme="minorHAnsi" w:cs="Times New Roman"/>
          <w:lang w:val="es-ES_tradnl"/>
        </w:rPr>
        <w:t xml:space="preserve"> en </w:t>
      </w:r>
      <w:r>
        <w:rPr>
          <w:rFonts w:asciiTheme="minorHAnsi" w:hAnsiTheme="minorHAnsi" w:cs="Times New Roman"/>
          <w:lang w:val="es-ES_tradnl"/>
        </w:rPr>
        <w:t>ambos</w:t>
      </w:r>
      <w:r w:rsidRPr="004F6166">
        <w:rPr>
          <w:rFonts w:asciiTheme="minorHAnsi" w:hAnsiTheme="minorHAnsi" w:cs="Times New Roman"/>
          <w:lang w:val="es-ES_tradnl"/>
        </w:rPr>
        <w:t xml:space="preserve"> ejercicio</w:t>
      </w:r>
      <w:r>
        <w:rPr>
          <w:rFonts w:asciiTheme="minorHAnsi" w:hAnsiTheme="minorHAnsi" w:cs="Times New Roman"/>
          <w:lang w:val="es-ES_tradnl"/>
        </w:rPr>
        <w:t>s</w:t>
      </w:r>
      <w:r w:rsidRPr="004F6166">
        <w:rPr>
          <w:rFonts w:asciiTheme="minorHAnsi" w:hAnsiTheme="minorHAnsi" w:cs="Times New Roman"/>
          <w:lang w:val="es-ES_tradnl"/>
        </w:rPr>
        <w:t xml:space="preserve">, lo que </w:t>
      </w:r>
      <w:r>
        <w:rPr>
          <w:rFonts w:asciiTheme="minorHAnsi" w:hAnsiTheme="minorHAnsi" w:cs="Times New Roman"/>
          <w:lang w:val="es-ES_tradnl"/>
        </w:rPr>
        <w:t>muestra la posición satisfactoria en este campo de esta empresa, al superar a la unidad en forma significativa.</w:t>
      </w:r>
    </w:p>
    <w:p w:rsidR="00666631" w:rsidRPr="004F6166" w:rsidRDefault="006F6884" w:rsidP="00666631">
      <w:pPr>
        <w:jc w:val="both"/>
        <w:rPr>
          <w:rFonts w:asciiTheme="minorHAnsi" w:hAnsiTheme="minorHAnsi" w:cs="Times New Roman"/>
          <w:lang w:val="es-ES_tradnl"/>
        </w:rPr>
      </w:pPr>
      <w:r>
        <w:rPr>
          <w:rFonts w:asciiTheme="minorHAnsi" w:hAnsiTheme="minorHAnsi" w:cs="Times New Roman"/>
          <w:lang w:val="es-ES_tradnl"/>
        </w:rPr>
        <w:t>L</w:t>
      </w:r>
      <w:r w:rsidR="00666631" w:rsidRPr="004F6166">
        <w:rPr>
          <w:rFonts w:asciiTheme="minorHAnsi" w:hAnsiTheme="minorHAnsi" w:cs="Times New Roman"/>
          <w:lang w:val="es-ES_tradnl"/>
        </w:rPr>
        <w:t xml:space="preserve">a prueba ácida </w:t>
      </w:r>
      <w:r>
        <w:rPr>
          <w:rFonts w:asciiTheme="minorHAnsi" w:hAnsiTheme="minorHAnsi" w:cs="Times New Roman"/>
          <w:lang w:val="es-ES_tradnl"/>
        </w:rPr>
        <w:t xml:space="preserve">muestra que la situación de solvencia de la empresa es más que satisfactoria al ubicarse este indicador en </w:t>
      </w:r>
      <w:r w:rsidRPr="004F6166">
        <w:rPr>
          <w:rFonts w:asciiTheme="minorHAnsi" w:hAnsiTheme="minorHAnsi" w:cs="Times New Roman"/>
          <w:lang w:val="es-ES_tradnl"/>
        </w:rPr>
        <w:t xml:space="preserve">0,7 en el último ejercicio y </w:t>
      </w:r>
      <w:r>
        <w:rPr>
          <w:rFonts w:asciiTheme="minorHAnsi" w:hAnsiTheme="minorHAnsi" w:cs="Times New Roman"/>
          <w:lang w:val="es-ES_tradnl"/>
        </w:rPr>
        <w:t>0,6</w:t>
      </w:r>
      <w:r w:rsidRPr="004F6166">
        <w:rPr>
          <w:rFonts w:asciiTheme="minorHAnsi" w:hAnsiTheme="minorHAnsi" w:cs="Times New Roman"/>
          <w:lang w:val="es-ES_tradnl"/>
        </w:rPr>
        <w:t xml:space="preserve"> en el anterior </w:t>
      </w:r>
      <w:r>
        <w:rPr>
          <w:rFonts w:asciiTheme="minorHAnsi" w:hAnsiTheme="minorHAnsi" w:cs="Times New Roman"/>
          <w:lang w:val="es-ES_tradnl"/>
        </w:rPr>
        <w:t xml:space="preserve">(0,5 es el equilibrio), </w:t>
      </w:r>
      <w:r w:rsidR="0006244B">
        <w:rPr>
          <w:rFonts w:asciiTheme="minorHAnsi" w:hAnsiTheme="minorHAnsi" w:cs="Times New Roman"/>
          <w:lang w:val="es-ES_tradnl"/>
        </w:rPr>
        <w:t xml:space="preserve">por lo que ello está indicando la existencia de </w:t>
      </w:r>
      <w:r w:rsidR="00666631" w:rsidRPr="004F6166">
        <w:rPr>
          <w:rFonts w:asciiTheme="minorHAnsi" w:hAnsiTheme="minorHAnsi" w:cs="Times New Roman"/>
          <w:lang w:val="es-ES_tradnl"/>
        </w:rPr>
        <w:t xml:space="preserve">disponibilidades financieras para enfrentar los compromisos. </w:t>
      </w:r>
    </w:p>
    <w:p w:rsidR="009A1F1E" w:rsidRDefault="00D06F87" w:rsidP="00CB0236">
      <w:pPr>
        <w:spacing w:after="240"/>
        <w:jc w:val="both"/>
        <w:rPr>
          <w:rFonts w:asciiTheme="minorHAnsi" w:hAnsiTheme="minorHAnsi" w:cs="Times New Roman"/>
          <w:highlight w:val="green"/>
          <w:lang w:val="es-ES_tradnl"/>
        </w:rPr>
      </w:pPr>
      <w:r w:rsidRPr="00D06F87">
        <w:rPr>
          <w:noProof/>
          <w:lang w:val="en-US"/>
        </w:rPr>
        <w:drawing>
          <wp:inline distT="0" distB="0" distL="0" distR="0">
            <wp:extent cx="4723130" cy="1518920"/>
            <wp:effectExtent l="19050" t="0" r="1270" b="0"/>
            <wp:docPr id="14"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srcRect/>
                    <a:stretch>
                      <a:fillRect/>
                    </a:stretch>
                  </pic:blipFill>
                  <pic:spPr bwMode="auto">
                    <a:xfrm>
                      <a:off x="0" y="0"/>
                      <a:ext cx="4723130" cy="1518920"/>
                    </a:xfrm>
                    <a:prstGeom prst="rect">
                      <a:avLst/>
                    </a:prstGeom>
                    <a:noFill/>
                    <a:ln w="9525">
                      <a:noFill/>
                      <a:miter lim="800000"/>
                      <a:headEnd/>
                      <a:tailEnd/>
                    </a:ln>
                  </pic:spPr>
                </pic:pic>
              </a:graphicData>
            </a:graphic>
          </wp:inline>
        </w:drawing>
      </w:r>
    </w:p>
    <w:p w:rsidR="00D06F87" w:rsidRPr="00E53FAB" w:rsidRDefault="00D06F87" w:rsidP="00D06F87">
      <w:pPr>
        <w:autoSpaceDE w:val="0"/>
        <w:autoSpaceDN w:val="0"/>
        <w:adjustRightInd w:val="0"/>
        <w:spacing w:after="240"/>
        <w:jc w:val="center"/>
        <w:rPr>
          <w:rFonts w:asciiTheme="minorHAnsi" w:eastAsiaTheme="minorHAnsi" w:hAnsiTheme="minorHAnsi" w:cs="Calibri"/>
          <w:bCs/>
          <w:color w:val="000000"/>
          <w:sz w:val="18"/>
          <w:szCs w:val="18"/>
        </w:rPr>
      </w:pPr>
      <w:r w:rsidRPr="00E53FAB">
        <w:rPr>
          <w:rFonts w:asciiTheme="minorHAnsi" w:eastAsiaTheme="minorHAnsi" w:hAnsiTheme="minorHAnsi" w:cs="Calibri"/>
          <w:bCs/>
          <w:color w:val="000000"/>
          <w:sz w:val="18"/>
          <w:szCs w:val="18"/>
        </w:rPr>
        <w:t>Fuente: CND</w:t>
      </w:r>
    </w:p>
    <w:p w:rsidR="00172730" w:rsidRPr="00367E50" w:rsidRDefault="00172730" w:rsidP="00CB0236">
      <w:pPr>
        <w:spacing w:after="240"/>
        <w:jc w:val="both"/>
        <w:rPr>
          <w:rFonts w:asciiTheme="minorHAnsi" w:hAnsiTheme="minorHAnsi" w:cs="Times New Roman"/>
          <w:lang w:val="es-ES_tradnl"/>
        </w:rPr>
      </w:pPr>
    </w:p>
    <w:p w:rsidR="007E6590" w:rsidRPr="007E6590" w:rsidRDefault="007E6590" w:rsidP="005C7397">
      <w:pPr>
        <w:pStyle w:val="Heading2"/>
      </w:pPr>
      <w:bookmarkStart w:id="9" w:name="_Toc428464179"/>
      <w:r w:rsidRPr="007E6590">
        <w:t>Proyecciones de flujos financieros de la concesión</w:t>
      </w:r>
      <w:r w:rsidR="00DE7A5F">
        <w:t xml:space="preserve"> </w:t>
      </w:r>
      <w:r w:rsidR="00463ACA">
        <w:t>vigente</w:t>
      </w:r>
      <w:r w:rsidR="00CB0236">
        <w:t xml:space="preserve"> de la CVU</w:t>
      </w:r>
      <w:r w:rsidRPr="007E6590">
        <w:t>.</w:t>
      </w:r>
      <w:bookmarkEnd w:id="9"/>
    </w:p>
    <w:p w:rsidR="004C399C" w:rsidRDefault="004C399C" w:rsidP="00172730">
      <w:pPr>
        <w:jc w:val="both"/>
        <w:rPr>
          <w:rFonts w:asciiTheme="minorHAnsi" w:hAnsiTheme="minorHAnsi" w:cs="Times New Roman"/>
          <w:lang w:val="es-ES_tradnl"/>
        </w:rPr>
      </w:pPr>
    </w:p>
    <w:p w:rsidR="00666264" w:rsidRDefault="00666264" w:rsidP="00172730">
      <w:pPr>
        <w:jc w:val="both"/>
        <w:rPr>
          <w:rFonts w:asciiTheme="minorHAnsi" w:hAnsiTheme="minorHAnsi" w:cs="Times New Roman"/>
          <w:lang w:val="es-ES_tradnl"/>
        </w:rPr>
      </w:pPr>
      <w:r>
        <w:rPr>
          <w:rFonts w:asciiTheme="minorHAnsi" w:hAnsiTheme="minorHAnsi" w:cs="Times New Roman"/>
          <w:lang w:val="es-ES_tradnl"/>
        </w:rPr>
        <w:t>En el capítulo referente al análisis de la información contable de la CVU, se expuso la situación económico financiera de la empresa al cierre del ejercicio 2013</w:t>
      </w:r>
      <w:r w:rsidR="006645C4">
        <w:rPr>
          <w:rFonts w:asciiTheme="minorHAnsi" w:hAnsiTheme="minorHAnsi" w:cs="Times New Roman"/>
          <w:lang w:val="es-ES_tradnl"/>
        </w:rPr>
        <w:t>/</w:t>
      </w:r>
      <w:r>
        <w:rPr>
          <w:rFonts w:asciiTheme="minorHAnsi" w:hAnsiTheme="minorHAnsi" w:cs="Times New Roman"/>
          <w:lang w:val="es-ES_tradnl"/>
        </w:rPr>
        <w:t xml:space="preserve">2014, por lo que </w:t>
      </w:r>
      <w:r w:rsidR="00602C28">
        <w:rPr>
          <w:rFonts w:asciiTheme="minorHAnsi" w:hAnsiTheme="minorHAnsi" w:cs="Times New Roman"/>
          <w:lang w:val="es-ES_tradnl"/>
        </w:rPr>
        <w:t xml:space="preserve">aquí se verán las proyecciones hasta el cierre de la concesión, o sea hasta el final del ejercicio 2019-2020, a  </w:t>
      </w:r>
      <w:r>
        <w:rPr>
          <w:rFonts w:asciiTheme="minorHAnsi" w:hAnsiTheme="minorHAnsi" w:cs="Times New Roman"/>
          <w:lang w:val="es-ES_tradnl"/>
        </w:rPr>
        <w:t xml:space="preserve"> los efectos de evaluar </w:t>
      </w:r>
      <w:r w:rsidR="00602C28">
        <w:rPr>
          <w:rFonts w:asciiTheme="minorHAnsi" w:hAnsiTheme="minorHAnsi" w:cs="Times New Roman"/>
          <w:lang w:val="es-ES_tradnl"/>
        </w:rPr>
        <w:t xml:space="preserve">la situación de la empresa ante </w:t>
      </w:r>
      <w:r>
        <w:rPr>
          <w:rFonts w:asciiTheme="minorHAnsi" w:hAnsiTheme="minorHAnsi" w:cs="Times New Roman"/>
          <w:lang w:val="es-ES_tradnl"/>
        </w:rPr>
        <w:t>los compromisos ya asumidos en términos de inversiones a realizar y los posibles recursos que se lograr</w:t>
      </w:r>
      <w:r w:rsidR="006645C4">
        <w:rPr>
          <w:rFonts w:asciiTheme="minorHAnsi" w:hAnsiTheme="minorHAnsi" w:cs="Times New Roman"/>
          <w:lang w:val="es-ES_tradnl"/>
        </w:rPr>
        <w:t>ía</w:t>
      </w:r>
      <w:r>
        <w:rPr>
          <w:rFonts w:asciiTheme="minorHAnsi" w:hAnsiTheme="minorHAnsi" w:cs="Times New Roman"/>
          <w:lang w:val="es-ES_tradnl"/>
        </w:rPr>
        <w:t>n obtener</w:t>
      </w:r>
      <w:r w:rsidR="00602C28">
        <w:rPr>
          <w:rFonts w:asciiTheme="minorHAnsi" w:hAnsiTheme="minorHAnsi" w:cs="Times New Roman"/>
          <w:lang w:val="es-ES_tradnl"/>
        </w:rPr>
        <w:t xml:space="preserve"> en</w:t>
      </w:r>
      <w:r w:rsidR="00C0293E">
        <w:rPr>
          <w:rFonts w:asciiTheme="minorHAnsi" w:hAnsiTheme="minorHAnsi" w:cs="Times New Roman"/>
          <w:lang w:val="es-ES_tradnl"/>
        </w:rPr>
        <w:t xml:space="preserve"> l</w:t>
      </w:r>
      <w:r w:rsidR="00602C28">
        <w:rPr>
          <w:rFonts w:asciiTheme="minorHAnsi" w:hAnsiTheme="minorHAnsi" w:cs="Times New Roman"/>
          <w:lang w:val="es-ES_tradnl"/>
        </w:rPr>
        <w:t>a concesión vigente</w:t>
      </w:r>
      <w:r w:rsidR="006645C4">
        <w:rPr>
          <w:rFonts w:asciiTheme="minorHAnsi" w:hAnsiTheme="minorHAnsi" w:cs="Times New Roman"/>
          <w:lang w:val="es-ES_tradnl"/>
        </w:rPr>
        <w:t>.</w:t>
      </w:r>
    </w:p>
    <w:p w:rsidR="006645C4" w:rsidRDefault="006645C4" w:rsidP="00172730">
      <w:pPr>
        <w:jc w:val="both"/>
        <w:rPr>
          <w:rFonts w:asciiTheme="minorHAnsi" w:hAnsiTheme="minorHAnsi" w:cs="Times New Roman"/>
          <w:lang w:val="es-ES_tradnl"/>
        </w:rPr>
      </w:pPr>
      <w:r>
        <w:rPr>
          <w:rFonts w:asciiTheme="minorHAnsi" w:hAnsiTheme="minorHAnsi" w:cs="Times New Roman"/>
          <w:lang w:val="es-ES_tradnl"/>
        </w:rPr>
        <w:t xml:space="preserve">Para ello, </w:t>
      </w:r>
      <w:r w:rsidR="00602C28">
        <w:rPr>
          <w:rFonts w:asciiTheme="minorHAnsi" w:hAnsiTheme="minorHAnsi" w:cs="Times New Roman"/>
          <w:lang w:val="es-ES_tradnl"/>
        </w:rPr>
        <w:t>se analizaron lo</w:t>
      </w:r>
      <w:r>
        <w:rPr>
          <w:rFonts w:asciiTheme="minorHAnsi" w:hAnsiTheme="minorHAnsi" w:cs="Times New Roman"/>
          <w:lang w:val="es-ES_tradnl"/>
        </w:rPr>
        <w:t xml:space="preserve">s flujos de fondos </w:t>
      </w:r>
      <w:r w:rsidR="00602C28">
        <w:rPr>
          <w:rFonts w:asciiTheme="minorHAnsi" w:hAnsiTheme="minorHAnsi" w:cs="Times New Roman"/>
          <w:lang w:val="es-ES_tradnl"/>
        </w:rPr>
        <w:t>proyectados por la CVU</w:t>
      </w:r>
      <w:r>
        <w:rPr>
          <w:rFonts w:asciiTheme="minorHAnsi" w:hAnsiTheme="minorHAnsi" w:cs="Times New Roman"/>
          <w:lang w:val="es-ES_tradnl"/>
        </w:rPr>
        <w:t xml:space="preserve"> desde el ejercicio actual hasta el final de la concesión vigente</w:t>
      </w:r>
      <w:r w:rsidR="00602C28">
        <w:rPr>
          <w:rFonts w:asciiTheme="minorHAnsi" w:hAnsiTheme="minorHAnsi" w:cs="Times New Roman"/>
          <w:lang w:val="es-ES_tradnl"/>
        </w:rPr>
        <w:t xml:space="preserve">. Este </w:t>
      </w:r>
      <w:r>
        <w:rPr>
          <w:rFonts w:asciiTheme="minorHAnsi" w:hAnsiTheme="minorHAnsi" w:cs="Times New Roman"/>
          <w:lang w:val="es-ES_tradnl"/>
        </w:rPr>
        <w:t xml:space="preserve">análisis partió de dicha información recabada en la empresa, la cual fue revisada con técnicos y jerarcas de CVU y CND, para elaborar flujos de fondos alternativos que permitieran profundizar las conclusiones a obtener de mantenerse la actual concesión en las condiciones pactadas y según las características definidas en el Anexo I de la misma. </w:t>
      </w:r>
    </w:p>
    <w:p w:rsidR="006645C4" w:rsidRDefault="006645C4" w:rsidP="00172730">
      <w:pPr>
        <w:jc w:val="both"/>
        <w:rPr>
          <w:rFonts w:asciiTheme="minorHAnsi" w:hAnsiTheme="minorHAnsi" w:cs="Times New Roman"/>
          <w:lang w:val="es-ES_tradnl"/>
        </w:rPr>
      </w:pPr>
      <w:r>
        <w:rPr>
          <w:rFonts w:asciiTheme="minorHAnsi" w:hAnsiTheme="minorHAnsi" w:cs="Times New Roman"/>
          <w:lang w:val="es-ES_tradnl"/>
        </w:rPr>
        <w:t>A posteriori, en este trabajo, ello posibilitará que estos flujos de fondos sean la base de p</w:t>
      </w:r>
      <w:r w:rsidR="00EC346D">
        <w:rPr>
          <w:rFonts w:asciiTheme="minorHAnsi" w:hAnsiTheme="minorHAnsi" w:cs="Times New Roman"/>
          <w:lang w:val="es-ES_tradnl"/>
        </w:rPr>
        <w:t>a</w:t>
      </w:r>
      <w:r>
        <w:rPr>
          <w:rFonts w:asciiTheme="minorHAnsi" w:hAnsiTheme="minorHAnsi" w:cs="Times New Roman"/>
          <w:lang w:val="es-ES_tradnl"/>
        </w:rPr>
        <w:t>rtida</w:t>
      </w:r>
      <w:r w:rsidR="00EC346D">
        <w:rPr>
          <w:rFonts w:asciiTheme="minorHAnsi" w:hAnsiTheme="minorHAnsi" w:cs="Times New Roman"/>
          <w:lang w:val="es-ES_tradnl"/>
        </w:rPr>
        <w:t xml:space="preserve"> para la elaboración de escenarios de la futura concesión que se está definiendo a nivel de las autoridades del país. Se entiende, en primera instancia, que no se modificará la concesión realizada por el MTOP a la CND y desde ella a la CVU, sino que se efectuará un ajuste significativo en el Anexo I, para incluir un conjunto de obras que permitan aumentar el nivel de la concesión, en función de considerar que este instrumento (concesión a CND-CVU) ha cumplido un papel satisfactorio en el desarrollo de las obras públicas de infraestructura vial en el país durante su vigencia. </w:t>
      </w:r>
    </w:p>
    <w:p w:rsidR="00502FBF" w:rsidRDefault="00502FBF" w:rsidP="00172730">
      <w:pPr>
        <w:jc w:val="both"/>
        <w:rPr>
          <w:rFonts w:asciiTheme="minorHAnsi" w:hAnsiTheme="minorHAnsi" w:cs="Times New Roman"/>
          <w:lang w:val="es-ES_tradnl"/>
        </w:rPr>
      </w:pPr>
      <w:r>
        <w:rPr>
          <w:rFonts w:asciiTheme="minorHAnsi" w:hAnsiTheme="minorHAnsi" w:cs="Times New Roman"/>
          <w:lang w:val="es-ES_tradnl"/>
        </w:rPr>
        <w:t xml:space="preserve">A partir de estas consideraciones, los flujos de fondos de la CVU </w:t>
      </w:r>
      <w:r w:rsidR="00602C28">
        <w:rPr>
          <w:rFonts w:asciiTheme="minorHAnsi" w:hAnsiTheme="minorHAnsi" w:cs="Times New Roman"/>
          <w:lang w:val="es-ES_tradnl"/>
        </w:rPr>
        <w:t xml:space="preserve">desde el ejercicio 2014-2015 </w:t>
      </w:r>
      <w:r>
        <w:rPr>
          <w:rFonts w:asciiTheme="minorHAnsi" w:hAnsiTheme="minorHAnsi" w:cs="Times New Roman"/>
          <w:lang w:val="es-ES_tradnl"/>
        </w:rPr>
        <w:t xml:space="preserve">hasta el fin de la concesión </w:t>
      </w:r>
      <w:r w:rsidR="00602C28">
        <w:rPr>
          <w:rFonts w:asciiTheme="minorHAnsi" w:hAnsiTheme="minorHAnsi" w:cs="Times New Roman"/>
          <w:lang w:val="es-ES_tradnl"/>
        </w:rPr>
        <w:t xml:space="preserve">vigente y sin modificaciones al Anexo I </w:t>
      </w:r>
      <w:r>
        <w:rPr>
          <w:rFonts w:asciiTheme="minorHAnsi" w:hAnsiTheme="minorHAnsi" w:cs="Times New Roman"/>
          <w:lang w:val="es-ES_tradnl"/>
        </w:rPr>
        <w:t>se basaron en los supuestos que se describen a continuación</w:t>
      </w:r>
    </w:p>
    <w:p w:rsidR="00502FBF" w:rsidRPr="00247990" w:rsidRDefault="00502FBF" w:rsidP="00172730">
      <w:pPr>
        <w:jc w:val="both"/>
        <w:rPr>
          <w:rFonts w:asciiTheme="minorHAnsi" w:hAnsiTheme="minorHAnsi" w:cs="Times New Roman"/>
          <w:b/>
          <w:lang w:val="es-ES_tradnl"/>
        </w:rPr>
      </w:pPr>
      <w:r w:rsidRPr="00247990">
        <w:rPr>
          <w:rFonts w:asciiTheme="minorHAnsi" w:hAnsiTheme="minorHAnsi" w:cs="Times New Roman"/>
          <w:b/>
          <w:lang w:val="es-ES_tradnl"/>
        </w:rPr>
        <w:t>Ingresos</w:t>
      </w:r>
    </w:p>
    <w:p w:rsidR="00F00087" w:rsidRDefault="004F4089">
      <w:pPr>
        <w:jc w:val="both"/>
        <w:rPr>
          <w:rFonts w:cs="Times New Roman"/>
          <w:lang w:val="es-ES_tradnl"/>
        </w:rPr>
      </w:pPr>
      <w:r>
        <w:rPr>
          <w:rFonts w:asciiTheme="minorHAnsi" w:hAnsiTheme="minorHAnsi" w:cs="Times New Roman"/>
          <w:lang w:val="es-ES_tradnl"/>
        </w:rPr>
        <w:t>Los flujos de i</w:t>
      </w:r>
      <w:r w:rsidR="00EE7710" w:rsidRPr="00EE7710">
        <w:rPr>
          <w:rFonts w:asciiTheme="minorHAnsi" w:hAnsiTheme="minorHAnsi" w:cs="Times New Roman"/>
          <w:lang w:val="es-ES_tradnl"/>
        </w:rPr>
        <w:t>ngresos</w:t>
      </w:r>
      <w:r>
        <w:rPr>
          <w:rFonts w:asciiTheme="minorHAnsi" w:hAnsiTheme="minorHAnsi" w:cs="Times New Roman"/>
          <w:lang w:val="es-ES_tradnl"/>
        </w:rPr>
        <w:t xml:space="preserve"> estimados para los ejercicios 2014-2015 corresponden a los subsidios mensuales de la concesión de U</w:t>
      </w:r>
      <w:r w:rsidRPr="00172730">
        <w:rPr>
          <w:rFonts w:asciiTheme="minorHAnsi" w:hAnsiTheme="minorHAnsi" w:cs="Times New Roman"/>
          <w:lang w:val="es-ES_tradnl"/>
        </w:rPr>
        <w:t xml:space="preserve">S$ 2 millones </w:t>
      </w:r>
      <w:r>
        <w:rPr>
          <w:rFonts w:asciiTheme="minorHAnsi" w:hAnsiTheme="minorHAnsi" w:cs="Times New Roman"/>
          <w:lang w:val="es-ES_tradnl"/>
        </w:rPr>
        <w:t xml:space="preserve">(US$ 24 millones al año), los cuales no se modifican a lo largo de esta estimación. </w:t>
      </w:r>
    </w:p>
    <w:p w:rsidR="004F4089" w:rsidRDefault="004F4089" w:rsidP="004F4089">
      <w:pPr>
        <w:jc w:val="both"/>
        <w:rPr>
          <w:rFonts w:asciiTheme="minorHAnsi" w:hAnsiTheme="minorHAnsi" w:cs="Times New Roman"/>
          <w:lang w:val="es-ES_tradnl"/>
        </w:rPr>
      </w:pPr>
      <w:r>
        <w:rPr>
          <w:rFonts w:asciiTheme="minorHAnsi" w:hAnsiTheme="minorHAnsi" w:cs="Times New Roman"/>
          <w:lang w:val="es-ES_tradnl"/>
        </w:rPr>
        <w:t>Además, dado lo estipulado en la concesión, la CVU está autorizada a recaudar los peajes en las principales rutas del país, cuyo monto se ubica en el orden de los US$ 60 millones al año en la actualidad, como se vio precedentemente en el análisis de la información histórica de la CVU.</w:t>
      </w:r>
    </w:p>
    <w:p w:rsidR="0060401F" w:rsidRDefault="004F4089" w:rsidP="004F4089">
      <w:pPr>
        <w:jc w:val="both"/>
        <w:rPr>
          <w:rFonts w:asciiTheme="minorHAnsi" w:hAnsiTheme="minorHAnsi" w:cs="Times New Roman"/>
          <w:b/>
          <w:lang w:val="es-ES_tradnl"/>
        </w:rPr>
      </w:pPr>
      <w:r>
        <w:rPr>
          <w:rFonts w:asciiTheme="minorHAnsi" w:hAnsiTheme="minorHAnsi" w:cs="Times New Roman"/>
          <w:lang w:val="es-ES_tradnl"/>
        </w:rPr>
        <w:t xml:space="preserve">Las proyecciones de los peajes son realizadas </w:t>
      </w:r>
      <w:r w:rsidR="0060401F">
        <w:rPr>
          <w:rFonts w:asciiTheme="minorHAnsi" w:hAnsiTheme="minorHAnsi" w:cs="Times New Roman"/>
          <w:lang w:val="es-ES_tradnl"/>
        </w:rPr>
        <w:t xml:space="preserve">por los técnicos de la Gerencia del Evaluación de Proyectos de la </w:t>
      </w:r>
      <w:r>
        <w:rPr>
          <w:rFonts w:asciiTheme="minorHAnsi" w:hAnsiTheme="minorHAnsi" w:cs="Times New Roman"/>
          <w:lang w:val="es-ES_tradnl"/>
        </w:rPr>
        <w:t xml:space="preserve">CND según dos </w:t>
      </w:r>
      <w:r w:rsidR="0060401F">
        <w:rPr>
          <w:rFonts w:asciiTheme="minorHAnsi" w:hAnsiTheme="minorHAnsi" w:cs="Times New Roman"/>
          <w:lang w:val="es-ES_tradnl"/>
        </w:rPr>
        <w:t xml:space="preserve">metodologías </w:t>
      </w:r>
      <w:r>
        <w:rPr>
          <w:rFonts w:asciiTheme="minorHAnsi" w:hAnsiTheme="minorHAnsi" w:cs="Times New Roman"/>
          <w:lang w:val="es-ES_tradnl"/>
        </w:rPr>
        <w:t>diferentes</w:t>
      </w:r>
      <w:r w:rsidR="0060401F">
        <w:rPr>
          <w:rFonts w:asciiTheme="minorHAnsi" w:hAnsiTheme="minorHAnsi" w:cs="Times New Roman"/>
          <w:lang w:val="es-ES_tradnl"/>
        </w:rPr>
        <w:t xml:space="preserve"> en función de que las proyecciones sean de muy corto plazo (un año) o de mayor lapso.</w:t>
      </w:r>
      <w:r w:rsidR="00663261">
        <w:rPr>
          <w:rFonts w:asciiTheme="minorHAnsi" w:hAnsiTheme="minorHAnsi" w:cs="Times New Roman"/>
          <w:b/>
          <w:lang w:val="es-ES_tradnl"/>
        </w:rPr>
        <w:t xml:space="preserve"> </w:t>
      </w:r>
    </w:p>
    <w:p w:rsidR="00D04C1C" w:rsidRDefault="004F4089" w:rsidP="004F4089">
      <w:pPr>
        <w:jc w:val="both"/>
        <w:rPr>
          <w:rFonts w:asciiTheme="minorHAnsi" w:hAnsiTheme="minorHAnsi" w:cs="Times New Roman"/>
          <w:lang w:val="es-ES_tradnl"/>
        </w:rPr>
      </w:pPr>
      <w:r>
        <w:rPr>
          <w:rFonts w:asciiTheme="minorHAnsi" w:hAnsiTheme="minorHAnsi" w:cs="Times New Roman"/>
          <w:lang w:val="es-ES_tradnl"/>
        </w:rPr>
        <w:t>En primer lugar, para e</w:t>
      </w:r>
      <w:r w:rsidRPr="00172730">
        <w:rPr>
          <w:rFonts w:asciiTheme="minorHAnsi" w:hAnsiTheme="minorHAnsi" w:cs="Times New Roman"/>
          <w:lang w:val="es-ES_tradnl"/>
        </w:rPr>
        <w:t xml:space="preserve">l primer año </w:t>
      </w:r>
      <w:r w:rsidR="00B9629E">
        <w:rPr>
          <w:rFonts w:asciiTheme="minorHAnsi" w:hAnsiTheme="minorHAnsi" w:cs="Times New Roman"/>
          <w:lang w:val="es-ES_tradnl"/>
        </w:rPr>
        <w:t xml:space="preserve">(en este caso desde mayo de 2015) </w:t>
      </w:r>
      <w:r>
        <w:rPr>
          <w:rFonts w:asciiTheme="minorHAnsi" w:hAnsiTheme="minorHAnsi" w:cs="Times New Roman"/>
          <w:lang w:val="es-ES_tradnl"/>
        </w:rPr>
        <w:t xml:space="preserve">se recurre a las estimaciones que arroja un </w:t>
      </w:r>
      <w:r w:rsidRPr="00172730">
        <w:rPr>
          <w:rFonts w:asciiTheme="minorHAnsi" w:hAnsiTheme="minorHAnsi" w:cs="Times New Roman"/>
          <w:lang w:val="es-ES_tradnl"/>
        </w:rPr>
        <w:t xml:space="preserve">modelo ARIMA en pesos corrientes </w:t>
      </w:r>
      <w:r>
        <w:rPr>
          <w:rFonts w:asciiTheme="minorHAnsi" w:hAnsiTheme="minorHAnsi" w:cs="Times New Roman"/>
          <w:lang w:val="es-ES_tradnl"/>
        </w:rPr>
        <w:t xml:space="preserve">que se </w:t>
      </w:r>
      <w:r w:rsidRPr="00172730">
        <w:rPr>
          <w:rFonts w:asciiTheme="minorHAnsi" w:hAnsiTheme="minorHAnsi" w:cs="Times New Roman"/>
          <w:lang w:val="es-ES_tradnl"/>
        </w:rPr>
        <w:t>corre mensualmente</w:t>
      </w:r>
      <w:r w:rsidR="00B9629E">
        <w:rPr>
          <w:rFonts w:asciiTheme="minorHAnsi" w:hAnsiTheme="minorHAnsi" w:cs="Times New Roman"/>
          <w:lang w:val="es-ES_tradnl"/>
        </w:rPr>
        <w:t xml:space="preserve">, con sus ajustes pertinentes, </w:t>
      </w:r>
      <w:r>
        <w:rPr>
          <w:rFonts w:asciiTheme="minorHAnsi" w:hAnsiTheme="minorHAnsi" w:cs="Times New Roman"/>
          <w:lang w:val="es-ES_tradnl"/>
        </w:rPr>
        <w:t xml:space="preserve">y fue desarrollado por </w:t>
      </w:r>
      <w:r w:rsidR="0060401F">
        <w:rPr>
          <w:rFonts w:asciiTheme="minorHAnsi" w:hAnsiTheme="minorHAnsi" w:cs="Times New Roman"/>
          <w:lang w:val="es-ES_tradnl"/>
        </w:rPr>
        <w:t xml:space="preserve">los </w:t>
      </w:r>
      <w:r>
        <w:rPr>
          <w:rFonts w:asciiTheme="minorHAnsi" w:hAnsiTheme="minorHAnsi" w:cs="Times New Roman"/>
          <w:lang w:val="es-ES_tradnl"/>
        </w:rPr>
        <w:t>técnicos de</w:t>
      </w:r>
      <w:r w:rsidR="00663261">
        <w:rPr>
          <w:rFonts w:asciiTheme="minorHAnsi" w:hAnsiTheme="minorHAnsi" w:cs="Times New Roman"/>
          <w:lang w:val="es-ES_tradnl"/>
        </w:rPr>
        <w:t xml:space="preserve"> </w:t>
      </w:r>
      <w:r>
        <w:rPr>
          <w:rFonts w:asciiTheme="minorHAnsi" w:hAnsiTheme="minorHAnsi" w:cs="Times New Roman"/>
          <w:lang w:val="es-ES_tradnl"/>
        </w:rPr>
        <w:t>la CND</w:t>
      </w:r>
      <w:r w:rsidR="00B9629E">
        <w:rPr>
          <w:rFonts w:asciiTheme="minorHAnsi" w:hAnsiTheme="minorHAnsi" w:cs="Times New Roman"/>
          <w:lang w:val="es-ES_tradnl"/>
        </w:rPr>
        <w:t xml:space="preserve"> con este objetivo.</w:t>
      </w:r>
      <w:r w:rsidR="0060401F">
        <w:rPr>
          <w:rFonts w:asciiTheme="minorHAnsi" w:hAnsiTheme="minorHAnsi" w:cs="Times New Roman"/>
          <w:lang w:val="es-ES_tradnl"/>
        </w:rPr>
        <w:t xml:space="preserve"> </w:t>
      </w:r>
    </w:p>
    <w:p w:rsidR="00D04C1C" w:rsidRDefault="00B9629E" w:rsidP="00D04C1C">
      <w:pPr>
        <w:jc w:val="both"/>
        <w:rPr>
          <w:rFonts w:asciiTheme="minorHAnsi" w:hAnsiTheme="minorHAnsi" w:cs="Times New Roman"/>
          <w:lang w:val="es-ES_tradnl"/>
        </w:rPr>
      </w:pPr>
      <w:r>
        <w:rPr>
          <w:rFonts w:asciiTheme="minorHAnsi" w:hAnsiTheme="minorHAnsi" w:cs="Times New Roman"/>
          <w:lang w:val="es-ES_tradnl"/>
        </w:rPr>
        <w:t xml:space="preserve">Luego, para el resto de las proyecciones de los peajes, </w:t>
      </w:r>
      <w:r w:rsidR="0060401F">
        <w:rPr>
          <w:rFonts w:asciiTheme="minorHAnsi" w:hAnsiTheme="minorHAnsi" w:cs="Times New Roman"/>
          <w:lang w:val="es-ES_tradnl"/>
        </w:rPr>
        <w:t>se recurre a un modelo de</w:t>
      </w:r>
      <w:r w:rsidR="006750F1">
        <w:rPr>
          <w:rFonts w:asciiTheme="minorHAnsi" w:hAnsiTheme="minorHAnsi" w:cs="Times New Roman"/>
          <w:lang w:val="es-ES_tradnl"/>
        </w:rPr>
        <w:t xml:space="preserve"> elasticidades, a partir de datos de panel de periodicidad trimestral de los 10 peajes</w:t>
      </w:r>
      <w:r w:rsidR="003D315E">
        <w:rPr>
          <w:rFonts w:asciiTheme="minorHAnsi" w:hAnsiTheme="minorHAnsi" w:cs="Times New Roman"/>
          <w:lang w:val="es-ES_tradnl"/>
        </w:rPr>
        <w:t xml:space="preserve">, calculado </w:t>
      </w:r>
      <w:r w:rsidR="006750F1">
        <w:rPr>
          <w:rFonts w:asciiTheme="minorHAnsi" w:hAnsiTheme="minorHAnsi" w:cs="Times New Roman"/>
          <w:lang w:val="es-ES_tradnl"/>
        </w:rPr>
        <w:t>para e</w:t>
      </w:r>
      <w:r w:rsidR="00D04C1C">
        <w:rPr>
          <w:rFonts w:asciiTheme="minorHAnsi" w:hAnsiTheme="minorHAnsi" w:cs="Times New Roman"/>
          <w:lang w:val="es-ES_tradnl"/>
        </w:rPr>
        <w:t xml:space="preserve">l período junio 2003-junio 2010, que permite calcular la elasticidad precio y la elasticidad ingreso del tránsito en Uruguay. </w:t>
      </w:r>
    </w:p>
    <w:p w:rsidR="00D04C1C" w:rsidRDefault="006750F1" w:rsidP="00D04C1C">
      <w:pPr>
        <w:jc w:val="both"/>
        <w:rPr>
          <w:rFonts w:asciiTheme="minorHAnsi" w:hAnsiTheme="minorHAnsi" w:cs="Times New Roman"/>
          <w:lang w:val="es-ES_tradnl"/>
        </w:rPr>
      </w:pPr>
      <w:r>
        <w:rPr>
          <w:rFonts w:asciiTheme="minorHAnsi" w:hAnsiTheme="minorHAnsi" w:cs="Times New Roman"/>
          <w:lang w:val="es-ES_tradnl"/>
        </w:rPr>
        <w:t xml:space="preserve">La </w:t>
      </w:r>
      <w:r w:rsidR="004F4089" w:rsidRPr="00172730">
        <w:rPr>
          <w:rFonts w:asciiTheme="minorHAnsi" w:hAnsiTheme="minorHAnsi" w:cs="Times New Roman"/>
          <w:lang w:val="es-ES_tradnl"/>
        </w:rPr>
        <w:t xml:space="preserve">evolución del </w:t>
      </w:r>
      <w:r>
        <w:rPr>
          <w:rFonts w:asciiTheme="minorHAnsi" w:hAnsiTheme="minorHAnsi" w:cs="Times New Roman"/>
          <w:lang w:val="es-ES_tradnl"/>
        </w:rPr>
        <w:t>tránsito</w:t>
      </w:r>
      <w:r w:rsidR="004F4089" w:rsidRPr="00172730">
        <w:rPr>
          <w:rFonts w:asciiTheme="minorHAnsi" w:hAnsiTheme="minorHAnsi" w:cs="Times New Roman"/>
          <w:lang w:val="es-ES_tradnl"/>
        </w:rPr>
        <w:t xml:space="preserve"> </w:t>
      </w:r>
      <w:r>
        <w:rPr>
          <w:rFonts w:asciiTheme="minorHAnsi" w:hAnsiTheme="minorHAnsi" w:cs="Times New Roman"/>
          <w:lang w:val="es-ES_tradnl"/>
        </w:rPr>
        <w:t xml:space="preserve">se estima con una </w:t>
      </w:r>
      <w:r w:rsidR="004F4089" w:rsidRPr="00172730">
        <w:rPr>
          <w:rFonts w:asciiTheme="minorHAnsi" w:hAnsiTheme="minorHAnsi" w:cs="Times New Roman"/>
          <w:lang w:val="es-ES_tradnl"/>
        </w:rPr>
        <w:t xml:space="preserve">elasticidad producto </w:t>
      </w:r>
      <w:r>
        <w:rPr>
          <w:rFonts w:asciiTheme="minorHAnsi" w:hAnsiTheme="minorHAnsi" w:cs="Times New Roman"/>
          <w:lang w:val="es-ES_tradnl"/>
        </w:rPr>
        <w:t xml:space="preserve">de 1,51 para </w:t>
      </w:r>
      <w:r w:rsidR="004F4089" w:rsidRPr="00172730">
        <w:rPr>
          <w:rFonts w:asciiTheme="minorHAnsi" w:hAnsiTheme="minorHAnsi" w:cs="Times New Roman"/>
          <w:lang w:val="es-ES_tradnl"/>
        </w:rPr>
        <w:t xml:space="preserve">el </w:t>
      </w:r>
      <w:r>
        <w:rPr>
          <w:rFonts w:asciiTheme="minorHAnsi" w:hAnsiTheme="minorHAnsi" w:cs="Times New Roman"/>
          <w:lang w:val="es-ES_tradnl"/>
        </w:rPr>
        <w:t>tránsito</w:t>
      </w:r>
      <w:r w:rsidR="004F4089" w:rsidRPr="00172730">
        <w:rPr>
          <w:rFonts w:asciiTheme="minorHAnsi" w:hAnsiTheme="minorHAnsi" w:cs="Times New Roman"/>
          <w:lang w:val="es-ES_tradnl"/>
        </w:rPr>
        <w:t xml:space="preserve"> </w:t>
      </w:r>
      <w:r>
        <w:rPr>
          <w:rFonts w:asciiTheme="minorHAnsi" w:hAnsiTheme="minorHAnsi" w:cs="Times New Roman"/>
          <w:lang w:val="es-ES_tradnl"/>
        </w:rPr>
        <w:t xml:space="preserve">de </w:t>
      </w:r>
      <w:r w:rsidR="004F4089" w:rsidRPr="00172730">
        <w:rPr>
          <w:rFonts w:asciiTheme="minorHAnsi" w:hAnsiTheme="minorHAnsi" w:cs="Times New Roman"/>
          <w:lang w:val="es-ES_tradnl"/>
        </w:rPr>
        <w:t xml:space="preserve">autos y </w:t>
      </w:r>
      <w:r>
        <w:rPr>
          <w:rFonts w:asciiTheme="minorHAnsi" w:hAnsiTheme="minorHAnsi" w:cs="Times New Roman"/>
          <w:lang w:val="es-ES_tradnl"/>
        </w:rPr>
        <w:t xml:space="preserve">de </w:t>
      </w:r>
      <w:r w:rsidR="004F4089" w:rsidRPr="00172730">
        <w:rPr>
          <w:rFonts w:asciiTheme="minorHAnsi" w:hAnsiTheme="minorHAnsi" w:cs="Times New Roman"/>
          <w:lang w:val="es-ES_tradnl"/>
        </w:rPr>
        <w:t xml:space="preserve">1,26 para </w:t>
      </w:r>
      <w:r>
        <w:rPr>
          <w:rFonts w:asciiTheme="minorHAnsi" w:hAnsiTheme="minorHAnsi" w:cs="Times New Roman"/>
          <w:lang w:val="es-ES_tradnl"/>
        </w:rPr>
        <w:t>camiones</w:t>
      </w:r>
      <w:r w:rsidR="004F4089" w:rsidRPr="00172730">
        <w:rPr>
          <w:rFonts w:asciiTheme="minorHAnsi" w:hAnsiTheme="minorHAnsi" w:cs="Times New Roman"/>
          <w:lang w:val="es-ES_tradnl"/>
        </w:rPr>
        <w:t xml:space="preserve">, </w:t>
      </w:r>
      <w:r w:rsidR="00A20097">
        <w:rPr>
          <w:rFonts w:asciiTheme="minorHAnsi" w:hAnsiTheme="minorHAnsi" w:cs="Times New Roman"/>
          <w:lang w:val="es-ES_tradnl"/>
        </w:rPr>
        <w:t xml:space="preserve">según el modelo desarrollado, </w:t>
      </w:r>
      <w:r>
        <w:rPr>
          <w:rFonts w:asciiTheme="minorHAnsi" w:hAnsiTheme="minorHAnsi" w:cs="Times New Roman"/>
          <w:lang w:val="es-ES_tradnl"/>
        </w:rPr>
        <w:t>con una participación de</w:t>
      </w:r>
      <w:r w:rsidR="004F4089" w:rsidRPr="00172730">
        <w:rPr>
          <w:rFonts w:asciiTheme="minorHAnsi" w:hAnsiTheme="minorHAnsi" w:cs="Times New Roman"/>
          <w:lang w:val="es-ES_tradnl"/>
        </w:rPr>
        <w:t xml:space="preserve"> 88%</w:t>
      </w:r>
      <w:r>
        <w:rPr>
          <w:rFonts w:asciiTheme="minorHAnsi" w:hAnsiTheme="minorHAnsi" w:cs="Times New Roman"/>
          <w:lang w:val="es-ES_tradnl"/>
        </w:rPr>
        <w:t xml:space="preserve"> para los primeros y de </w:t>
      </w:r>
      <w:r w:rsidR="004F4089" w:rsidRPr="00172730">
        <w:rPr>
          <w:rFonts w:asciiTheme="minorHAnsi" w:hAnsiTheme="minorHAnsi" w:cs="Times New Roman"/>
          <w:lang w:val="es-ES_tradnl"/>
        </w:rPr>
        <w:t>12%</w:t>
      </w:r>
      <w:r>
        <w:rPr>
          <w:rFonts w:asciiTheme="minorHAnsi" w:hAnsiTheme="minorHAnsi" w:cs="Times New Roman"/>
          <w:lang w:val="es-ES_tradnl"/>
        </w:rPr>
        <w:t xml:space="preserve"> para los segundos. </w:t>
      </w:r>
      <w:r w:rsidR="00247990">
        <w:rPr>
          <w:rFonts w:asciiTheme="minorHAnsi" w:hAnsiTheme="minorHAnsi" w:cs="Times New Roman"/>
          <w:lang w:val="es-ES_tradnl"/>
        </w:rPr>
        <w:t>E</w:t>
      </w:r>
      <w:r>
        <w:rPr>
          <w:rFonts w:asciiTheme="minorHAnsi" w:hAnsiTheme="minorHAnsi" w:cs="Times New Roman"/>
          <w:lang w:val="es-ES_tradnl"/>
        </w:rPr>
        <w:t>l aumento del ingreso se asocia a</w:t>
      </w:r>
      <w:r w:rsidR="003D315E">
        <w:rPr>
          <w:rFonts w:asciiTheme="minorHAnsi" w:hAnsiTheme="minorHAnsi" w:cs="Times New Roman"/>
          <w:lang w:val="es-ES_tradnl"/>
        </w:rPr>
        <w:t>l</w:t>
      </w:r>
      <w:r>
        <w:rPr>
          <w:rFonts w:asciiTheme="minorHAnsi" w:hAnsiTheme="minorHAnsi" w:cs="Times New Roman"/>
          <w:lang w:val="es-ES_tradnl"/>
        </w:rPr>
        <w:t xml:space="preserve"> del PBI que se obtiene de un modelo </w:t>
      </w:r>
      <w:r w:rsidR="003D315E">
        <w:rPr>
          <w:rFonts w:asciiTheme="minorHAnsi" w:hAnsiTheme="minorHAnsi" w:cs="Times New Roman"/>
          <w:lang w:val="es-ES_tradnl"/>
        </w:rPr>
        <w:t xml:space="preserve">con filtro </w:t>
      </w:r>
      <w:proofErr w:type="spellStart"/>
      <w:r>
        <w:rPr>
          <w:rFonts w:asciiTheme="minorHAnsi" w:hAnsiTheme="minorHAnsi" w:cs="Times New Roman"/>
          <w:lang w:val="es-ES_tradnl"/>
        </w:rPr>
        <w:t>H</w:t>
      </w:r>
      <w:r w:rsidR="003D315E">
        <w:rPr>
          <w:rFonts w:asciiTheme="minorHAnsi" w:hAnsiTheme="minorHAnsi" w:cs="Times New Roman"/>
          <w:lang w:val="es-ES_tradnl"/>
        </w:rPr>
        <w:t>odrick</w:t>
      </w:r>
      <w:proofErr w:type="spellEnd"/>
      <w:r>
        <w:rPr>
          <w:rFonts w:asciiTheme="minorHAnsi" w:hAnsiTheme="minorHAnsi" w:cs="Times New Roman"/>
          <w:lang w:val="es-ES_tradnl"/>
        </w:rPr>
        <w:t xml:space="preserve">-Prescott elaborado por la CND hace </w:t>
      </w:r>
      <w:r w:rsidR="004F4089" w:rsidRPr="00172730">
        <w:rPr>
          <w:rFonts w:asciiTheme="minorHAnsi" w:hAnsiTheme="minorHAnsi" w:cs="Times New Roman"/>
          <w:lang w:val="es-ES_tradnl"/>
        </w:rPr>
        <w:t>4 años</w:t>
      </w:r>
      <w:r>
        <w:rPr>
          <w:rFonts w:asciiTheme="minorHAnsi" w:hAnsiTheme="minorHAnsi" w:cs="Times New Roman"/>
          <w:lang w:val="es-ES_tradnl"/>
        </w:rPr>
        <w:t>,</w:t>
      </w:r>
      <w:r w:rsidR="004F4089" w:rsidRPr="00172730">
        <w:rPr>
          <w:rFonts w:asciiTheme="minorHAnsi" w:hAnsiTheme="minorHAnsi" w:cs="Times New Roman"/>
          <w:lang w:val="es-ES_tradnl"/>
        </w:rPr>
        <w:t xml:space="preserve"> que dio </w:t>
      </w:r>
      <w:r>
        <w:rPr>
          <w:rFonts w:asciiTheme="minorHAnsi" w:hAnsiTheme="minorHAnsi" w:cs="Times New Roman"/>
          <w:lang w:val="es-ES_tradnl"/>
        </w:rPr>
        <w:t xml:space="preserve">un </w:t>
      </w:r>
      <w:r w:rsidR="004F4089" w:rsidRPr="00172730">
        <w:rPr>
          <w:rFonts w:asciiTheme="minorHAnsi" w:hAnsiTheme="minorHAnsi" w:cs="Times New Roman"/>
          <w:lang w:val="es-ES_tradnl"/>
        </w:rPr>
        <w:t>crecimiento anual de 3,21%</w:t>
      </w:r>
      <w:r w:rsidR="003D315E">
        <w:rPr>
          <w:rFonts w:asciiTheme="minorHAnsi" w:hAnsiTheme="minorHAnsi" w:cs="Times New Roman"/>
          <w:lang w:val="es-ES_tradnl"/>
        </w:rPr>
        <w:t xml:space="preserve"> del Producto</w:t>
      </w:r>
      <w:r w:rsidR="004F4089" w:rsidRPr="00172730">
        <w:rPr>
          <w:rFonts w:asciiTheme="minorHAnsi" w:hAnsiTheme="minorHAnsi" w:cs="Times New Roman"/>
          <w:lang w:val="es-ES_tradnl"/>
        </w:rPr>
        <w:t xml:space="preserve">. </w:t>
      </w:r>
      <w:r w:rsidR="00D04C1C">
        <w:rPr>
          <w:rFonts w:asciiTheme="minorHAnsi" w:hAnsiTheme="minorHAnsi" w:cs="Times New Roman"/>
          <w:lang w:val="es-ES_tradnl"/>
        </w:rPr>
        <w:t>En Anexo puede verse la información sobre crecimiento del tránsito en los últimos años.</w:t>
      </w:r>
    </w:p>
    <w:p w:rsidR="004F4089" w:rsidRDefault="00247990" w:rsidP="004F4089">
      <w:pPr>
        <w:jc w:val="both"/>
        <w:rPr>
          <w:rFonts w:asciiTheme="minorHAnsi" w:hAnsiTheme="minorHAnsi" w:cs="Times New Roman"/>
          <w:lang w:val="es-ES_tradnl"/>
        </w:rPr>
      </w:pPr>
      <w:r>
        <w:rPr>
          <w:rFonts w:asciiTheme="minorHAnsi" w:hAnsiTheme="minorHAnsi" w:cs="Times New Roman"/>
          <w:lang w:val="es-ES_tradnl"/>
        </w:rPr>
        <w:t xml:space="preserve">En el caso de los niveles de precios futuros, </w:t>
      </w:r>
      <w:r w:rsidR="004F4089" w:rsidRPr="00172730">
        <w:rPr>
          <w:rFonts w:asciiTheme="minorHAnsi" w:hAnsiTheme="minorHAnsi" w:cs="Times New Roman"/>
          <w:lang w:val="es-ES_tradnl"/>
        </w:rPr>
        <w:t xml:space="preserve">se toman en cuenta las tasas de inflación (los peajes ajustan en abril, agosto y diciembre) y los tipos de cambio </w:t>
      </w:r>
      <w:r>
        <w:rPr>
          <w:rFonts w:asciiTheme="minorHAnsi" w:hAnsiTheme="minorHAnsi" w:cs="Times New Roman"/>
          <w:lang w:val="es-ES_tradnl"/>
        </w:rPr>
        <w:t>mensuales</w:t>
      </w:r>
      <w:r w:rsidR="00A20097">
        <w:rPr>
          <w:rFonts w:asciiTheme="minorHAnsi" w:hAnsiTheme="minorHAnsi" w:cs="Times New Roman"/>
          <w:lang w:val="es-ES_tradnl"/>
        </w:rPr>
        <w:t xml:space="preserve">. Ambos extraídos de </w:t>
      </w:r>
      <w:r w:rsidR="004F4089" w:rsidRPr="00172730">
        <w:rPr>
          <w:rFonts w:asciiTheme="minorHAnsi" w:hAnsiTheme="minorHAnsi" w:cs="Times New Roman"/>
          <w:lang w:val="es-ES_tradnl"/>
        </w:rPr>
        <w:t>la encuesta de expectativas del BCU</w:t>
      </w:r>
      <w:r w:rsidR="000B1176">
        <w:rPr>
          <w:rFonts w:asciiTheme="minorHAnsi" w:hAnsiTheme="minorHAnsi" w:cs="Times New Roman"/>
          <w:lang w:val="es-ES_tradnl"/>
        </w:rPr>
        <w:t xml:space="preserve">. </w:t>
      </w:r>
      <w:r w:rsidR="00A20097">
        <w:rPr>
          <w:rFonts w:asciiTheme="minorHAnsi" w:hAnsiTheme="minorHAnsi" w:cs="Times New Roman"/>
          <w:lang w:val="es-ES_tradnl"/>
        </w:rPr>
        <w:t>Esta</w:t>
      </w:r>
      <w:r w:rsidR="000B1176">
        <w:rPr>
          <w:rFonts w:asciiTheme="minorHAnsi" w:hAnsiTheme="minorHAnsi" w:cs="Times New Roman"/>
          <w:lang w:val="es-ES_tradnl"/>
        </w:rPr>
        <w:t xml:space="preserve"> información se extiende </w:t>
      </w:r>
      <w:r>
        <w:rPr>
          <w:rFonts w:asciiTheme="minorHAnsi" w:hAnsiTheme="minorHAnsi" w:cs="Times New Roman"/>
          <w:lang w:val="es-ES_tradnl"/>
        </w:rPr>
        <w:t xml:space="preserve">hasta </w:t>
      </w:r>
      <w:r w:rsidR="004F4089" w:rsidRPr="00172730">
        <w:rPr>
          <w:rFonts w:asciiTheme="minorHAnsi" w:hAnsiTheme="minorHAnsi" w:cs="Times New Roman"/>
          <w:lang w:val="es-ES_tradnl"/>
        </w:rPr>
        <w:t xml:space="preserve"> enero de 2017</w:t>
      </w:r>
      <w:r w:rsidR="003D315E">
        <w:rPr>
          <w:rFonts w:asciiTheme="minorHAnsi" w:hAnsiTheme="minorHAnsi" w:cs="Times New Roman"/>
          <w:lang w:val="es-ES_tradnl"/>
        </w:rPr>
        <w:t>. P</w:t>
      </w:r>
      <w:r w:rsidR="000B1176">
        <w:rPr>
          <w:rFonts w:asciiTheme="minorHAnsi" w:hAnsiTheme="minorHAnsi" w:cs="Times New Roman"/>
          <w:lang w:val="es-ES_tradnl"/>
        </w:rPr>
        <w:t xml:space="preserve">or tanto, a partir de dicha fecha </w:t>
      </w:r>
      <w:r w:rsidR="004F4089" w:rsidRPr="00172730">
        <w:rPr>
          <w:rFonts w:asciiTheme="minorHAnsi" w:hAnsiTheme="minorHAnsi" w:cs="Times New Roman"/>
          <w:lang w:val="es-ES_tradnl"/>
        </w:rPr>
        <w:t xml:space="preserve">los precios reales </w:t>
      </w:r>
      <w:r>
        <w:rPr>
          <w:rFonts w:asciiTheme="minorHAnsi" w:hAnsiTheme="minorHAnsi" w:cs="Times New Roman"/>
          <w:lang w:val="es-ES_tradnl"/>
        </w:rPr>
        <w:t xml:space="preserve">se consideran </w:t>
      </w:r>
      <w:r w:rsidR="004F4089" w:rsidRPr="00172730">
        <w:rPr>
          <w:rFonts w:asciiTheme="minorHAnsi" w:hAnsiTheme="minorHAnsi" w:cs="Times New Roman"/>
          <w:lang w:val="es-ES_tradnl"/>
        </w:rPr>
        <w:t xml:space="preserve">fijos hasta el final, o sea </w:t>
      </w:r>
      <w:r w:rsidR="000B1176">
        <w:rPr>
          <w:rFonts w:asciiTheme="minorHAnsi" w:hAnsiTheme="minorHAnsi" w:cs="Times New Roman"/>
          <w:lang w:val="es-ES_tradnl"/>
        </w:rPr>
        <w:t xml:space="preserve">que los flujos están </w:t>
      </w:r>
      <w:r w:rsidR="004F4089" w:rsidRPr="00172730">
        <w:rPr>
          <w:rFonts w:asciiTheme="minorHAnsi" w:hAnsiTheme="minorHAnsi" w:cs="Times New Roman"/>
          <w:lang w:val="es-ES_tradnl"/>
        </w:rPr>
        <w:t>expresados en moneda del año 2016, operativamente.</w:t>
      </w:r>
      <w:r w:rsidR="00D04C1C" w:rsidRPr="00D04C1C">
        <w:rPr>
          <w:rFonts w:asciiTheme="minorHAnsi" w:hAnsiTheme="minorHAnsi" w:cs="Times New Roman"/>
          <w:lang w:val="es-ES_tradnl"/>
        </w:rPr>
        <w:t xml:space="preserve"> </w:t>
      </w:r>
      <w:r w:rsidR="00D04C1C">
        <w:rPr>
          <w:rFonts w:asciiTheme="minorHAnsi" w:hAnsiTheme="minorHAnsi" w:cs="Times New Roman"/>
          <w:lang w:val="es-ES_tradnl"/>
        </w:rPr>
        <w:t>Luego se toma una paramétrica que asocia el aumento de los precios de los peajes a la evolución de la i</w:t>
      </w:r>
      <w:r w:rsidR="00D04C1C" w:rsidRPr="00172730">
        <w:rPr>
          <w:rFonts w:asciiTheme="minorHAnsi" w:hAnsiTheme="minorHAnsi" w:cs="Times New Roman"/>
          <w:lang w:val="es-ES_tradnl"/>
        </w:rPr>
        <w:t>nflación</w:t>
      </w:r>
      <w:r w:rsidR="00D04C1C">
        <w:rPr>
          <w:rFonts w:asciiTheme="minorHAnsi" w:hAnsiTheme="minorHAnsi" w:cs="Times New Roman"/>
          <w:lang w:val="es-ES_tradnl"/>
        </w:rPr>
        <w:t xml:space="preserve"> en un 45% </w:t>
      </w:r>
      <w:r w:rsidR="00D04C1C" w:rsidRPr="00172730">
        <w:rPr>
          <w:rFonts w:asciiTheme="minorHAnsi" w:hAnsiTheme="minorHAnsi" w:cs="Times New Roman"/>
          <w:lang w:val="es-ES_tradnl"/>
        </w:rPr>
        <w:t xml:space="preserve">y </w:t>
      </w:r>
      <w:r w:rsidR="00D04C1C">
        <w:rPr>
          <w:rFonts w:asciiTheme="minorHAnsi" w:hAnsiTheme="minorHAnsi" w:cs="Times New Roman"/>
          <w:lang w:val="es-ES_tradnl"/>
        </w:rPr>
        <w:t>al tipo de cambio en un 55%.</w:t>
      </w:r>
      <w:r w:rsidR="00D04C1C" w:rsidRPr="00D04C1C">
        <w:rPr>
          <w:rFonts w:asciiTheme="minorHAnsi" w:hAnsiTheme="minorHAnsi" w:cs="Times New Roman"/>
          <w:lang w:val="es-ES_tradnl"/>
        </w:rPr>
        <w:t xml:space="preserve"> </w:t>
      </w:r>
    </w:p>
    <w:p w:rsidR="004F4089" w:rsidRDefault="00247990" w:rsidP="00762B4B">
      <w:pPr>
        <w:jc w:val="both"/>
        <w:rPr>
          <w:rFonts w:asciiTheme="minorHAnsi" w:hAnsiTheme="minorHAnsi" w:cs="Times New Roman"/>
          <w:lang w:val="es-ES_tradnl"/>
        </w:rPr>
      </w:pPr>
      <w:r>
        <w:rPr>
          <w:rFonts w:asciiTheme="minorHAnsi" w:hAnsiTheme="minorHAnsi" w:cs="Times New Roman"/>
          <w:lang w:val="es-ES_tradnl"/>
        </w:rPr>
        <w:t xml:space="preserve">Además, los ingresos </w:t>
      </w:r>
      <w:r w:rsidR="000B1176">
        <w:rPr>
          <w:rFonts w:asciiTheme="minorHAnsi" w:hAnsiTheme="minorHAnsi" w:cs="Times New Roman"/>
          <w:lang w:val="es-ES_tradnl"/>
        </w:rPr>
        <w:t xml:space="preserve">incluyen </w:t>
      </w:r>
      <w:r>
        <w:rPr>
          <w:rFonts w:asciiTheme="minorHAnsi" w:hAnsiTheme="minorHAnsi" w:cs="Times New Roman"/>
          <w:lang w:val="es-ES_tradnl"/>
        </w:rPr>
        <w:t xml:space="preserve">los subsidios extraordinarios otorgados por el MTOP para atender los programas especiales de obras viales que se conceden a la CVU, en forma adicional a la concesión primaria. En este caso, se incluyen los pagos para la ejecución de </w:t>
      </w:r>
      <w:r w:rsidR="00762B4B">
        <w:rPr>
          <w:rFonts w:asciiTheme="minorHAnsi" w:hAnsiTheme="minorHAnsi" w:cs="Times New Roman"/>
          <w:lang w:val="es-ES_tradnl"/>
        </w:rPr>
        <w:t xml:space="preserve">los contratos de obras y mantenimiento en </w:t>
      </w:r>
      <w:r>
        <w:rPr>
          <w:rFonts w:asciiTheme="minorHAnsi" w:hAnsiTheme="minorHAnsi" w:cs="Times New Roman"/>
          <w:lang w:val="es-ES_tradnl"/>
        </w:rPr>
        <w:t>tramos de R12,</w:t>
      </w:r>
      <w:r w:rsidR="00762B4B">
        <w:rPr>
          <w:rFonts w:asciiTheme="minorHAnsi" w:hAnsiTheme="minorHAnsi" w:cs="Times New Roman"/>
          <w:lang w:val="es-ES_tradnl"/>
        </w:rPr>
        <w:t xml:space="preserve"> R11 y R10, en los primeros ejercicios de la proyección, luego no se registran otros subsidios extraordinarios.</w:t>
      </w:r>
    </w:p>
    <w:p w:rsidR="0029547B" w:rsidRPr="00172730" w:rsidRDefault="0029547B" w:rsidP="00762B4B">
      <w:pPr>
        <w:jc w:val="both"/>
        <w:rPr>
          <w:rFonts w:asciiTheme="minorHAnsi" w:hAnsiTheme="minorHAnsi" w:cs="Times New Roman"/>
          <w:lang w:val="es-ES_tradnl"/>
        </w:rPr>
      </w:pPr>
      <w:r>
        <w:rPr>
          <w:rFonts w:asciiTheme="minorHAnsi" w:hAnsiTheme="minorHAnsi" w:cs="Times New Roman"/>
          <w:lang w:val="es-ES_tradnl"/>
        </w:rPr>
        <w:t>Por último, cabe consignar que en el flujo de ingresos se supone el pago en tiempo y forma de los subsidios considerados.</w:t>
      </w:r>
    </w:p>
    <w:p w:rsidR="00F00087" w:rsidRDefault="00762B4B">
      <w:pPr>
        <w:jc w:val="both"/>
        <w:rPr>
          <w:rFonts w:cs="Times New Roman"/>
          <w:b/>
          <w:lang w:val="es-ES_tradnl"/>
        </w:rPr>
      </w:pPr>
      <w:r w:rsidRPr="00732C25">
        <w:rPr>
          <w:rFonts w:asciiTheme="minorHAnsi" w:hAnsiTheme="minorHAnsi" w:cs="Times New Roman"/>
          <w:b/>
          <w:lang w:val="es-ES_tradnl"/>
        </w:rPr>
        <w:t xml:space="preserve">Egresos </w:t>
      </w:r>
    </w:p>
    <w:p w:rsidR="00732C25" w:rsidRDefault="00762B4B" w:rsidP="00762B4B">
      <w:pPr>
        <w:jc w:val="both"/>
        <w:rPr>
          <w:rFonts w:asciiTheme="minorHAnsi" w:hAnsiTheme="minorHAnsi" w:cs="Times New Roman"/>
          <w:lang w:val="es-ES_tradnl"/>
        </w:rPr>
      </w:pPr>
      <w:r w:rsidRPr="00172730">
        <w:rPr>
          <w:rFonts w:asciiTheme="minorHAnsi" w:hAnsiTheme="minorHAnsi" w:cs="Times New Roman"/>
          <w:lang w:val="es-ES_tradnl"/>
        </w:rPr>
        <w:t xml:space="preserve">Las proyecciones </w:t>
      </w:r>
      <w:r w:rsidR="00732C25">
        <w:rPr>
          <w:rFonts w:asciiTheme="minorHAnsi" w:hAnsiTheme="minorHAnsi" w:cs="Times New Roman"/>
          <w:lang w:val="es-ES_tradnl"/>
        </w:rPr>
        <w:t xml:space="preserve">de egresos por obras corresponden a </w:t>
      </w:r>
      <w:r w:rsidRPr="00172730">
        <w:rPr>
          <w:rFonts w:asciiTheme="minorHAnsi" w:hAnsiTheme="minorHAnsi" w:cs="Times New Roman"/>
          <w:lang w:val="es-ES_tradnl"/>
        </w:rPr>
        <w:t>las ya efectivamente contratadas</w:t>
      </w:r>
      <w:r w:rsidR="00732C25">
        <w:rPr>
          <w:rFonts w:asciiTheme="minorHAnsi" w:hAnsiTheme="minorHAnsi" w:cs="Times New Roman"/>
          <w:lang w:val="es-ES_tradnl"/>
        </w:rPr>
        <w:t xml:space="preserve"> por la CVU </w:t>
      </w:r>
      <w:r w:rsidR="0029547B">
        <w:rPr>
          <w:rFonts w:asciiTheme="minorHAnsi" w:hAnsiTheme="minorHAnsi" w:cs="Times New Roman"/>
          <w:lang w:val="es-ES_tradnl"/>
        </w:rPr>
        <w:t xml:space="preserve">durante el período de la concesión actualmente vigente </w:t>
      </w:r>
      <w:r w:rsidR="00732C25">
        <w:rPr>
          <w:rFonts w:asciiTheme="minorHAnsi" w:hAnsiTheme="minorHAnsi" w:cs="Times New Roman"/>
          <w:lang w:val="es-ES_tradnl"/>
        </w:rPr>
        <w:t xml:space="preserve">y que se encuentran </w:t>
      </w:r>
      <w:r w:rsidR="0029547B">
        <w:rPr>
          <w:rFonts w:asciiTheme="minorHAnsi" w:hAnsiTheme="minorHAnsi" w:cs="Times New Roman"/>
          <w:lang w:val="es-ES_tradnl"/>
        </w:rPr>
        <w:t>e</w:t>
      </w:r>
      <w:r w:rsidR="00732C25">
        <w:rPr>
          <w:rFonts w:asciiTheme="minorHAnsi" w:hAnsiTheme="minorHAnsi" w:cs="Times New Roman"/>
          <w:lang w:val="es-ES_tradnl"/>
        </w:rPr>
        <w:t>n distintas etapas de desarrollo.</w:t>
      </w:r>
      <w:r w:rsidR="0029547B">
        <w:rPr>
          <w:rFonts w:asciiTheme="minorHAnsi" w:hAnsiTheme="minorHAnsi" w:cs="Times New Roman"/>
          <w:lang w:val="es-ES_tradnl"/>
        </w:rPr>
        <w:t xml:space="preserve"> Se supone que se finalizan </w:t>
      </w:r>
      <w:r w:rsidR="00AC493A">
        <w:rPr>
          <w:rFonts w:asciiTheme="minorHAnsi" w:hAnsiTheme="minorHAnsi" w:cs="Times New Roman"/>
          <w:lang w:val="es-ES_tradnl"/>
        </w:rPr>
        <w:t xml:space="preserve">todas </w:t>
      </w:r>
      <w:r w:rsidR="0029547B">
        <w:rPr>
          <w:rFonts w:asciiTheme="minorHAnsi" w:hAnsiTheme="minorHAnsi" w:cs="Times New Roman"/>
          <w:lang w:val="es-ES_tradnl"/>
        </w:rPr>
        <w:t>las obras contratadas en el período de la concesión.</w:t>
      </w:r>
    </w:p>
    <w:p w:rsidR="00732C25" w:rsidRDefault="00732C25" w:rsidP="00762B4B">
      <w:pPr>
        <w:jc w:val="both"/>
        <w:rPr>
          <w:rFonts w:asciiTheme="minorHAnsi" w:hAnsiTheme="minorHAnsi" w:cs="Times New Roman"/>
          <w:lang w:val="es-ES_tradnl"/>
        </w:rPr>
      </w:pPr>
      <w:r>
        <w:rPr>
          <w:rFonts w:asciiTheme="minorHAnsi" w:hAnsiTheme="minorHAnsi" w:cs="Times New Roman"/>
          <w:lang w:val="es-ES_tradnl"/>
        </w:rPr>
        <w:t xml:space="preserve">Debe tenerse en cuenta que hasta la actualidad se ha invertido más allá de lo que permitían la evolución del Gasto Comprometido inicialmente por contrato, </w:t>
      </w:r>
      <w:r w:rsidR="00762B4B" w:rsidRPr="00172730">
        <w:rPr>
          <w:rFonts w:asciiTheme="minorHAnsi" w:hAnsiTheme="minorHAnsi" w:cs="Times New Roman"/>
          <w:lang w:val="es-ES_tradnl"/>
        </w:rPr>
        <w:t>o sea que está sobre cumplido</w:t>
      </w:r>
      <w:r>
        <w:rPr>
          <w:rFonts w:asciiTheme="minorHAnsi" w:hAnsiTheme="minorHAnsi" w:cs="Times New Roman"/>
          <w:lang w:val="es-ES_tradnl"/>
        </w:rPr>
        <w:t>, tal cual se expresó precedentemente.</w:t>
      </w:r>
      <w:r w:rsidR="00762B4B" w:rsidRPr="00172730">
        <w:rPr>
          <w:rFonts w:asciiTheme="minorHAnsi" w:hAnsiTheme="minorHAnsi" w:cs="Times New Roman"/>
          <w:lang w:val="es-ES_tradnl"/>
        </w:rPr>
        <w:t xml:space="preserve"> </w:t>
      </w:r>
    </w:p>
    <w:p w:rsidR="0029547B" w:rsidRDefault="0029547B" w:rsidP="00762B4B">
      <w:pPr>
        <w:jc w:val="both"/>
        <w:rPr>
          <w:rFonts w:asciiTheme="minorHAnsi" w:hAnsiTheme="minorHAnsi" w:cs="Times New Roman"/>
          <w:lang w:val="es-ES_tradnl"/>
        </w:rPr>
      </w:pPr>
      <w:r>
        <w:rPr>
          <w:rFonts w:asciiTheme="minorHAnsi" w:hAnsiTheme="minorHAnsi" w:cs="Times New Roman"/>
          <w:lang w:val="es-ES_tradnl"/>
        </w:rPr>
        <w:t xml:space="preserve">Luego, esta diferencia se ajusta y el flujo de inversiones prevista es igual al Gasto Comprometido inicial (US$ 861 millones) sin el aumento que corresponde en este caso. Por tanto, según se vio precedentemente, la CVU tendría, en la concesión vigente, dos años adicionales para ejecutar la diferencia, o sea obras por </w:t>
      </w:r>
      <w:r w:rsidR="00D04C1C">
        <w:rPr>
          <w:rFonts w:asciiTheme="minorHAnsi" w:hAnsiTheme="minorHAnsi" w:cs="Times New Roman"/>
          <w:lang w:val="es-ES_tradnl"/>
        </w:rPr>
        <w:t xml:space="preserve">más de </w:t>
      </w:r>
      <w:r>
        <w:rPr>
          <w:rFonts w:asciiTheme="minorHAnsi" w:hAnsiTheme="minorHAnsi" w:cs="Times New Roman"/>
          <w:lang w:val="es-ES_tradnl"/>
        </w:rPr>
        <w:t>US$ 1</w:t>
      </w:r>
      <w:r w:rsidR="00D04C1C">
        <w:rPr>
          <w:rFonts w:asciiTheme="minorHAnsi" w:hAnsiTheme="minorHAnsi" w:cs="Times New Roman"/>
          <w:lang w:val="es-ES_tradnl"/>
        </w:rPr>
        <w:t>00</w:t>
      </w:r>
      <w:r>
        <w:rPr>
          <w:rFonts w:asciiTheme="minorHAnsi" w:hAnsiTheme="minorHAnsi" w:cs="Times New Roman"/>
          <w:lang w:val="es-ES_tradnl"/>
        </w:rPr>
        <w:t xml:space="preserve"> millones</w:t>
      </w:r>
      <w:r w:rsidR="00AC493A">
        <w:rPr>
          <w:rFonts w:asciiTheme="minorHAnsi" w:hAnsiTheme="minorHAnsi" w:cs="Times New Roman"/>
          <w:lang w:val="es-ES_tradnl"/>
        </w:rPr>
        <w:t xml:space="preserve"> que </w:t>
      </w:r>
      <w:r>
        <w:rPr>
          <w:rFonts w:asciiTheme="minorHAnsi" w:hAnsiTheme="minorHAnsi" w:cs="Times New Roman"/>
          <w:lang w:val="es-ES_tradnl"/>
        </w:rPr>
        <w:t>no se incluye</w:t>
      </w:r>
      <w:r w:rsidR="00AC493A">
        <w:rPr>
          <w:rFonts w:asciiTheme="minorHAnsi" w:hAnsiTheme="minorHAnsi" w:cs="Times New Roman"/>
          <w:lang w:val="es-ES_tradnl"/>
        </w:rPr>
        <w:t>n</w:t>
      </w:r>
      <w:r>
        <w:rPr>
          <w:rFonts w:asciiTheme="minorHAnsi" w:hAnsiTheme="minorHAnsi" w:cs="Times New Roman"/>
          <w:lang w:val="es-ES_tradnl"/>
        </w:rPr>
        <w:t xml:space="preserve"> en esta proyección.</w:t>
      </w:r>
    </w:p>
    <w:p w:rsidR="0029547B" w:rsidRPr="00D41AE6" w:rsidRDefault="00C8259D" w:rsidP="00762B4B">
      <w:pPr>
        <w:jc w:val="both"/>
        <w:rPr>
          <w:rFonts w:asciiTheme="minorHAnsi" w:hAnsiTheme="minorHAnsi" w:cs="Times New Roman"/>
          <w:b/>
          <w:lang w:val="es-ES_tradnl"/>
        </w:rPr>
      </w:pPr>
      <w:r w:rsidRPr="00D41AE6">
        <w:rPr>
          <w:rFonts w:asciiTheme="minorHAnsi" w:hAnsiTheme="minorHAnsi" w:cs="Times New Roman"/>
          <w:b/>
          <w:lang w:val="es-ES_tradnl"/>
        </w:rPr>
        <w:t>Movimientos financieros.</w:t>
      </w:r>
    </w:p>
    <w:p w:rsidR="00C8259D" w:rsidRDefault="00C8259D" w:rsidP="00C8259D">
      <w:pPr>
        <w:jc w:val="both"/>
        <w:rPr>
          <w:rFonts w:asciiTheme="minorHAnsi" w:hAnsiTheme="minorHAnsi" w:cs="Times New Roman"/>
          <w:lang w:val="es-ES_tradnl"/>
        </w:rPr>
      </w:pPr>
      <w:r>
        <w:rPr>
          <w:rFonts w:asciiTheme="minorHAnsi" w:hAnsiTheme="minorHAnsi" w:cs="Times New Roman"/>
          <w:lang w:val="es-ES_tradnl"/>
        </w:rPr>
        <w:t>Como ya se han sobre</w:t>
      </w:r>
      <w:r w:rsidR="00D04C1C">
        <w:rPr>
          <w:rFonts w:asciiTheme="minorHAnsi" w:hAnsiTheme="minorHAnsi" w:cs="Times New Roman"/>
          <w:lang w:val="es-ES_tradnl"/>
        </w:rPr>
        <w:t xml:space="preserve"> </w:t>
      </w:r>
      <w:r>
        <w:rPr>
          <w:rFonts w:asciiTheme="minorHAnsi" w:hAnsiTheme="minorHAnsi" w:cs="Times New Roman"/>
          <w:lang w:val="es-ES_tradnl"/>
        </w:rPr>
        <w:t>cumplido los compromisos, las inversiones anuales reducen significativamente su monto a partir de lo</w:t>
      </w:r>
      <w:r w:rsidR="00D04C1C">
        <w:rPr>
          <w:rFonts w:asciiTheme="minorHAnsi" w:hAnsiTheme="minorHAnsi" w:cs="Times New Roman"/>
          <w:lang w:val="es-ES_tradnl"/>
        </w:rPr>
        <w:t>s</w:t>
      </w:r>
      <w:r>
        <w:rPr>
          <w:rFonts w:asciiTheme="minorHAnsi" w:hAnsiTheme="minorHAnsi" w:cs="Times New Roman"/>
          <w:lang w:val="es-ES_tradnl"/>
        </w:rPr>
        <w:t xml:space="preserve"> próximos años</w:t>
      </w:r>
      <w:r w:rsidR="00D04C1C">
        <w:rPr>
          <w:rFonts w:asciiTheme="minorHAnsi" w:hAnsiTheme="minorHAnsi" w:cs="Times New Roman"/>
          <w:lang w:val="es-ES_tradnl"/>
        </w:rPr>
        <w:t>, lo cual</w:t>
      </w:r>
      <w:r>
        <w:rPr>
          <w:rFonts w:asciiTheme="minorHAnsi" w:hAnsiTheme="minorHAnsi" w:cs="Times New Roman"/>
          <w:lang w:val="es-ES_tradnl"/>
        </w:rPr>
        <w:t xml:space="preserve"> reduciría la presión financiera y no exigiría nuevos préstamos luego del </w:t>
      </w:r>
      <w:r w:rsidR="00906CF7">
        <w:rPr>
          <w:rFonts w:asciiTheme="minorHAnsi" w:hAnsiTheme="minorHAnsi" w:cs="Times New Roman"/>
          <w:lang w:val="es-ES_tradnl"/>
        </w:rPr>
        <w:t xml:space="preserve">año </w:t>
      </w:r>
      <w:r>
        <w:rPr>
          <w:rFonts w:asciiTheme="minorHAnsi" w:hAnsiTheme="minorHAnsi" w:cs="Times New Roman"/>
          <w:lang w:val="es-ES_tradnl"/>
        </w:rPr>
        <w:t>2016. Téngase en cuenta que en dicho ejercicio se toman fondos por US$ 8 millones en plaza para paliar el problema financiero que se había observado en el análisis histórico de los datos de CVU. Se supone que no habría inconvenientes para obtener</w:t>
      </w:r>
      <w:r w:rsidR="00906CF7">
        <w:rPr>
          <w:rFonts w:asciiTheme="minorHAnsi" w:hAnsiTheme="minorHAnsi" w:cs="Times New Roman"/>
          <w:lang w:val="es-ES_tradnl"/>
        </w:rPr>
        <w:t xml:space="preserve"> este crédito de corto plazo</w:t>
      </w:r>
      <w:r>
        <w:rPr>
          <w:rFonts w:asciiTheme="minorHAnsi" w:hAnsiTheme="minorHAnsi" w:cs="Times New Roman"/>
          <w:lang w:val="es-ES_tradnl"/>
        </w:rPr>
        <w:t xml:space="preserve"> </w:t>
      </w:r>
      <w:r w:rsidR="00906CF7">
        <w:rPr>
          <w:rFonts w:asciiTheme="minorHAnsi" w:hAnsiTheme="minorHAnsi" w:cs="Times New Roman"/>
          <w:lang w:val="es-ES_tradnl"/>
        </w:rPr>
        <w:t>ante</w:t>
      </w:r>
      <w:r>
        <w:rPr>
          <w:rFonts w:asciiTheme="minorHAnsi" w:hAnsiTheme="minorHAnsi" w:cs="Times New Roman"/>
          <w:lang w:val="es-ES_tradnl"/>
        </w:rPr>
        <w:t xml:space="preserve"> las garantías de la CVU y </w:t>
      </w:r>
      <w:r w:rsidR="00906CF7">
        <w:rPr>
          <w:rFonts w:asciiTheme="minorHAnsi" w:hAnsiTheme="minorHAnsi" w:cs="Times New Roman"/>
          <w:lang w:val="es-ES_tradnl"/>
        </w:rPr>
        <w:t xml:space="preserve">el nivel de </w:t>
      </w:r>
      <w:r>
        <w:rPr>
          <w:rFonts w:asciiTheme="minorHAnsi" w:hAnsiTheme="minorHAnsi" w:cs="Times New Roman"/>
          <w:lang w:val="es-ES_tradnl"/>
        </w:rPr>
        <w:t>su operativa.</w:t>
      </w:r>
    </w:p>
    <w:p w:rsidR="00D41AE6" w:rsidRDefault="00C8259D" w:rsidP="00C8259D">
      <w:pPr>
        <w:jc w:val="both"/>
        <w:rPr>
          <w:rFonts w:asciiTheme="minorHAnsi" w:hAnsiTheme="minorHAnsi" w:cs="Times New Roman"/>
          <w:lang w:val="es-ES_tradnl"/>
        </w:rPr>
      </w:pPr>
      <w:r>
        <w:rPr>
          <w:rFonts w:asciiTheme="minorHAnsi" w:hAnsiTheme="minorHAnsi" w:cs="Times New Roman"/>
          <w:lang w:val="es-ES_tradnl"/>
        </w:rPr>
        <w:t xml:space="preserve">Además, se </w:t>
      </w:r>
      <w:r w:rsidR="00D41AE6">
        <w:rPr>
          <w:rFonts w:asciiTheme="minorHAnsi" w:hAnsiTheme="minorHAnsi" w:cs="Times New Roman"/>
          <w:lang w:val="es-ES_tradnl"/>
        </w:rPr>
        <w:t>incluye</w:t>
      </w:r>
      <w:r>
        <w:rPr>
          <w:rFonts w:asciiTheme="minorHAnsi" w:hAnsiTheme="minorHAnsi" w:cs="Times New Roman"/>
          <w:lang w:val="es-ES_tradnl"/>
        </w:rPr>
        <w:t xml:space="preserve"> la amortización definitiva de</w:t>
      </w:r>
      <w:r w:rsidR="00D41AE6">
        <w:rPr>
          <w:rFonts w:asciiTheme="minorHAnsi" w:hAnsiTheme="minorHAnsi" w:cs="Times New Roman"/>
          <w:lang w:val="es-ES_tradnl"/>
        </w:rPr>
        <w:t xml:space="preserve"> los</w:t>
      </w:r>
      <w:r>
        <w:rPr>
          <w:rFonts w:asciiTheme="minorHAnsi" w:hAnsiTheme="minorHAnsi" w:cs="Times New Roman"/>
          <w:lang w:val="es-ES_tradnl"/>
        </w:rPr>
        <w:t xml:space="preserve"> préstamos ya tomados por un valor original de US$ 197 millones, donde se destacan</w:t>
      </w:r>
      <w:r w:rsidR="00D41AE6">
        <w:rPr>
          <w:rFonts w:asciiTheme="minorHAnsi" w:hAnsiTheme="minorHAnsi" w:cs="Times New Roman"/>
          <w:lang w:val="es-ES_tradnl"/>
        </w:rPr>
        <w:t xml:space="preserve"> </w:t>
      </w:r>
      <w:r>
        <w:rPr>
          <w:rFonts w:asciiTheme="minorHAnsi" w:hAnsiTheme="minorHAnsi" w:cs="Times New Roman"/>
          <w:lang w:val="es-ES_tradnl"/>
        </w:rPr>
        <w:t>lo</w:t>
      </w:r>
      <w:r w:rsidR="00D41AE6">
        <w:rPr>
          <w:rFonts w:asciiTheme="minorHAnsi" w:hAnsiTheme="minorHAnsi" w:cs="Times New Roman"/>
          <w:lang w:val="es-ES_tradnl"/>
        </w:rPr>
        <w:t>s</w:t>
      </w:r>
      <w:r>
        <w:rPr>
          <w:rFonts w:asciiTheme="minorHAnsi" w:hAnsiTheme="minorHAnsi" w:cs="Times New Roman"/>
          <w:lang w:val="es-ES_tradnl"/>
        </w:rPr>
        <w:t xml:space="preserve"> préstamo</w:t>
      </w:r>
      <w:r w:rsidR="00D41AE6">
        <w:rPr>
          <w:rFonts w:asciiTheme="minorHAnsi" w:hAnsiTheme="minorHAnsi" w:cs="Times New Roman"/>
          <w:lang w:val="es-ES_tradnl"/>
        </w:rPr>
        <w:t>s</w:t>
      </w:r>
      <w:r>
        <w:rPr>
          <w:rFonts w:asciiTheme="minorHAnsi" w:hAnsiTheme="minorHAnsi" w:cs="Times New Roman"/>
          <w:lang w:val="es-ES_tradnl"/>
        </w:rPr>
        <w:t xml:space="preserve"> de BID y CAF. En Anexo se incluye </w:t>
      </w:r>
      <w:r w:rsidR="00D41AE6">
        <w:rPr>
          <w:rFonts w:asciiTheme="minorHAnsi" w:hAnsiTheme="minorHAnsi" w:cs="Times New Roman"/>
          <w:lang w:val="es-ES_tradnl"/>
        </w:rPr>
        <w:t>este endeudamiento financiero de la CVU</w:t>
      </w:r>
      <w:r>
        <w:rPr>
          <w:rFonts w:asciiTheme="minorHAnsi" w:hAnsiTheme="minorHAnsi" w:cs="Times New Roman"/>
          <w:lang w:val="es-ES_tradnl"/>
        </w:rPr>
        <w:t xml:space="preserve"> y </w:t>
      </w:r>
      <w:r w:rsidR="00D41AE6">
        <w:rPr>
          <w:rFonts w:asciiTheme="minorHAnsi" w:hAnsiTheme="minorHAnsi" w:cs="Times New Roman"/>
          <w:lang w:val="es-ES_tradnl"/>
        </w:rPr>
        <w:t>las</w:t>
      </w:r>
      <w:r>
        <w:rPr>
          <w:rFonts w:asciiTheme="minorHAnsi" w:hAnsiTheme="minorHAnsi" w:cs="Times New Roman"/>
          <w:lang w:val="es-ES_tradnl"/>
        </w:rPr>
        <w:t xml:space="preserve"> características </w:t>
      </w:r>
      <w:r w:rsidR="00D41AE6">
        <w:rPr>
          <w:rFonts w:asciiTheme="minorHAnsi" w:hAnsiTheme="minorHAnsi" w:cs="Times New Roman"/>
          <w:lang w:val="es-ES_tradnl"/>
        </w:rPr>
        <w:t>de los préstamos</w:t>
      </w:r>
      <w:r w:rsidR="00906CF7">
        <w:rPr>
          <w:rFonts w:asciiTheme="minorHAnsi" w:hAnsiTheme="minorHAnsi" w:cs="Times New Roman"/>
          <w:lang w:val="es-ES_tradnl"/>
        </w:rPr>
        <w:t>, en cuanto a</w:t>
      </w:r>
      <w:r>
        <w:rPr>
          <w:rFonts w:asciiTheme="minorHAnsi" w:hAnsiTheme="minorHAnsi" w:cs="Times New Roman"/>
          <w:lang w:val="es-ES_tradnl"/>
        </w:rPr>
        <w:t xml:space="preserve"> </w:t>
      </w:r>
      <w:r w:rsidR="00D41AE6">
        <w:rPr>
          <w:rFonts w:asciiTheme="minorHAnsi" w:hAnsiTheme="minorHAnsi" w:cs="Times New Roman"/>
          <w:lang w:val="es-ES_tradnl"/>
        </w:rPr>
        <w:t xml:space="preserve">costos y </w:t>
      </w:r>
      <w:r>
        <w:rPr>
          <w:rFonts w:asciiTheme="minorHAnsi" w:hAnsiTheme="minorHAnsi" w:cs="Times New Roman"/>
          <w:lang w:val="es-ES_tradnl"/>
        </w:rPr>
        <w:t>amortizaciones durante el período de</w:t>
      </w:r>
      <w:r w:rsidR="00D41AE6">
        <w:rPr>
          <w:rFonts w:asciiTheme="minorHAnsi" w:hAnsiTheme="minorHAnsi" w:cs="Times New Roman"/>
          <w:lang w:val="es-ES_tradnl"/>
        </w:rPr>
        <w:t xml:space="preserve"> </w:t>
      </w:r>
      <w:r>
        <w:rPr>
          <w:rFonts w:asciiTheme="minorHAnsi" w:hAnsiTheme="minorHAnsi" w:cs="Times New Roman"/>
          <w:lang w:val="es-ES_tradnl"/>
        </w:rPr>
        <w:t>l</w:t>
      </w:r>
      <w:r w:rsidR="00D41AE6">
        <w:rPr>
          <w:rFonts w:asciiTheme="minorHAnsi" w:hAnsiTheme="minorHAnsi" w:cs="Times New Roman"/>
          <w:lang w:val="es-ES_tradnl"/>
        </w:rPr>
        <w:t>a concesión.</w:t>
      </w:r>
    </w:p>
    <w:p w:rsidR="00D41AE6" w:rsidRPr="00EA3BBA" w:rsidRDefault="00D41AE6" w:rsidP="00C8259D">
      <w:pPr>
        <w:jc w:val="both"/>
        <w:rPr>
          <w:rFonts w:asciiTheme="minorHAnsi" w:hAnsiTheme="minorHAnsi" w:cs="Times New Roman"/>
          <w:b/>
          <w:lang w:val="es-ES_tradnl"/>
        </w:rPr>
      </w:pPr>
      <w:r w:rsidRPr="00EA3BBA">
        <w:rPr>
          <w:rFonts w:asciiTheme="minorHAnsi" w:hAnsiTheme="minorHAnsi" w:cs="Times New Roman"/>
          <w:b/>
          <w:lang w:val="es-ES_tradnl"/>
        </w:rPr>
        <w:t>Resultados</w:t>
      </w:r>
    </w:p>
    <w:p w:rsidR="00D04C1C" w:rsidRDefault="00D04C1C" w:rsidP="00C8259D">
      <w:pPr>
        <w:jc w:val="both"/>
        <w:rPr>
          <w:rFonts w:asciiTheme="minorHAnsi" w:hAnsiTheme="minorHAnsi" w:cs="Times New Roman"/>
          <w:lang w:val="es-ES_tradnl"/>
        </w:rPr>
      </w:pPr>
      <w:r>
        <w:rPr>
          <w:rFonts w:asciiTheme="minorHAnsi" w:hAnsiTheme="minorHAnsi" w:cs="Times New Roman"/>
          <w:lang w:val="es-ES_tradnl"/>
        </w:rPr>
        <w:t xml:space="preserve">En el cuadro siguiente se presenta un resumen de </w:t>
      </w:r>
      <w:r w:rsidR="003E4021">
        <w:rPr>
          <w:rFonts w:asciiTheme="minorHAnsi" w:hAnsiTheme="minorHAnsi" w:cs="Times New Roman"/>
          <w:lang w:val="es-ES_tradnl"/>
        </w:rPr>
        <w:t xml:space="preserve">la evolución de </w:t>
      </w:r>
      <w:r>
        <w:rPr>
          <w:rFonts w:asciiTheme="minorHAnsi" w:hAnsiTheme="minorHAnsi" w:cs="Times New Roman"/>
          <w:lang w:val="es-ES_tradnl"/>
        </w:rPr>
        <w:t xml:space="preserve">los flujos de fondos de la CVU </w:t>
      </w:r>
      <w:r w:rsidR="003E4021">
        <w:rPr>
          <w:rFonts w:asciiTheme="minorHAnsi" w:hAnsiTheme="minorHAnsi" w:cs="Times New Roman"/>
          <w:lang w:val="es-ES_tradnl"/>
        </w:rPr>
        <w:t xml:space="preserve">por el período restante de la concesión </w:t>
      </w:r>
      <w:r>
        <w:rPr>
          <w:rFonts w:asciiTheme="minorHAnsi" w:hAnsiTheme="minorHAnsi" w:cs="Times New Roman"/>
          <w:lang w:val="es-ES_tradnl"/>
        </w:rPr>
        <w:t>vigente, según los supuestos manejados por la empresa.</w:t>
      </w:r>
    </w:p>
    <w:p w:rsidR="00D04C1C" w:rsidRDefault="003E4021" w:rsidP="003E4021">
      <w:pPr>
        <w:jc w:val="center"/>
        <w:rPr>
          <w:rFonts w:asciiTheme="minorHAnsi" w:hAnsiTheme="minorHAnsi" w:cs="Times New Roman"/>
          <w:lang w:val="es-ES_tradnl"/>
        </w:rPr>
      </w:pPr>
      <w:r w:rsidRPr="003E4021">
        <w:rPr>
          <w:noProof/>
          <w:lang w:val="en-US"/>
        </w:rPr>
        <w:drawing>
          <wp:inline distT="0" distB="0" distL="0" distR="0">
            <wp:extent cx="5400040" cy="2030554"/>
            <wp:effectExtent l="19050" t="0" r="0" b="0"/>
            <wp:docPr id="15"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srcRect/>
                    <a:stretch>
                      <a:fillRect/>
                    </a:stretch>
                  </pic:blipFill>
                  <pic:spPr bwMode="auto">
                    <a:xfrm>
                      <a:off x="0" y="0"/>
                      <a:ext cx="5400040" cy="2030554"/>
                    </a:xfrm>
                    <a:prstGeom prst="rect">
                      <a:avLst/>
                    </a:prstGeom>
                    <a:noFill/>
                    <a:ln w="9525">
                      <a:noFill/>
                      <a:miter lim="800000"/>
                      <a:headEnd/>
                      <a:tailEnd/>
                    </a:ln>
                  </pic:spPr>
                </pic:pic>
              </a:graphicData>
            </a:graphic>
          </wp:inline>
        </w:drawing>
      </w:r>
    </w:p>
    <w:p w:rsidR="003E4021" w:rsidRPr="003E4021" w:rsidRDefault="003E4021" w:rsidP="003E4021">
      <w:pPr>
        <w:jc w:val="center"/>
        <w:rPr>
          <w:rFonts w:asciiTheme="minorHAnsi" w:hAnsiTheme="minorHAnsi" w:cs="Times New Roman"/>
          <w:sz w:val="18"/>
          <w:szCs w:val="18"/>
          <w:lang w:val="es-ES_tradnl"/>
        </w:rPr>
      </w:pPr>
      <w:r w:rsidRPr="003E4021">
        <w:rPr>
          <w:rFonts w:asciiTheme="minorHAnsi" w:hAnsiTheme="minorHAnsi" w:cs="Times New Roman"/>
          <w:sz w:val="18"/>
          <w:szCs w:val="18"/>
          <w:lang w:val="es-ES_tradnl"/>
        </w:rPr>
        <w:t>Fuente: CVU</w:t>
      </w:r>
    </w:p>
    <w:p w:rsidR="00D04C1C" w:rsidRDefault="00906CF7" w:rsidP="001F7E72">
      <w:pPr>
        <w:jc w:val="both"/>
        <w:rPr>
          <w:rFonts w:asciiTheme="minorHAnsi" w:hAnsiTheme="minorHAnsi" w:cs="Times New Roman"/>
          <w:lang w:val="es-ES_tradnl"/>
        </w:rPr>
      </w:pPr>
      <w:r>
        <w:rPr>
          <w:rFonts w:asciiTheme="minorHAnsi" w:hAnsiTheme="minorHAnsi" w:cs="Times New Roman"/>
          <w:lang w:val="es-ES_tradnl"/>
        </w:rPr>
        <w:t>Pue</w:t>
      </w:r>
      <w:r w:rsidR="00D41AE6">
        <w:rPr>
          <w:rFonts w:asciiTheme="minorHAnsi" w:hAnsiTheme="minorHAnsi" w:cs="Times New Roman"/>
          <w:lang w:val="es-ES_tradnl"/>
        </w:rPr>
        <w:t xml:space="preserve">de extraerse de </w:t>
      </w:r>
      <w:r w:rsidR="003E4021">
        <w:rPr>
          <w:rFonts w:asciiTheme="minorHAnsi" w:hAnsiTheme="minorHAnsi" w:cs="Times New Roman"/>
          <w:lang w:val="es-ES_tradnl"/>
        </w:rPr>
        <w:t>estos</w:t>
      </w:r>
      <w:r w:rsidR="00D41AE6">
        <w:rPr>
          <w:rFonts w:asciiTheme="minorHAnsi" w:hAnsiTheme="minorHAnsi" w:cs="Times New Roman"/>
          <w:lang w:val="es-ES_tradnl"/>
        </w:rPr>
        <w:t xml:space="preserve"> resultados</w:t>
      </w:r>
      <w:r w:rsidR="003E4021">
        <w:rPr>
          <w:rFonts w:asciiTheme="minorHAnsi" w:hAnsiTheme="minorHAnsi" w:cs="Times New Roman"/>
          <w:lang w:val="es-ES_tradnl"/>
        </w:rPr>
        <w:t xml:space="preserve">, </w:t>
      </w:r>
      <w:r w:rsidR="00D41AE6">
        <w:rPr>
          <w:rFonts w:asciiTheme="minorHAnsi" w:hAnsiTheme="minorHAnsi" w:cs="Times New Roman"/>
          <w:lang w:val="es-ES_tradnl"/>
        </w:rPr>
        <w:t>bajo los supuestos definidos aquí</w:t>
      </w:r>
      <w:r w:rsidR="003E4021">
        <w:rPr>
          <w:rFonts w:asciiTheme="minorHAnsi" w:hAnsiTheme="minorHAnsi" w:cs="Times New Roman"/>
          <w:lang w:val="es-ES_tradnl"/>
        </w:rPr>
        <w:t>,</w:t>
      </w:r>
      <w:r w:rsidR="00D41AE6">
        <w:rPr>
          <w:rFonts w:asciiTheme="minorHAnsi" w:hAnsiTheme="minorHAnsi" w:cs="Times New Roman"/>
          <w:lang w:val="es-ES_tradnl"/>
        </w:rPr>
        <w:t xml:space="preserve"> que las necesidades financieras se irán atenuando a medida que avanzan los ejercicios futuros por su menor requerimiento de inversiones. </w:t>
      </w:r>
    </w:p>
    <w:p w:rsidR="001F7E72" w:rsidRPr="00172730" w:rsidRDefault="001F7E72" w:rsidP="001F7E72">
      <w:pPr>
        <w:jc w:val="both"/>
        <w:rPr>
          <w:rFonts w:asciiTheme="minorHAnsi" w:hAnsiTheme="minorHAnsi" w:cs="Times New Roman"/>
          <w:lang w:val="es-ES_tradnl"/>
        </w:rPr>
      </w:pPr>
      <w:r>
        <w:rPr>
          <w:rFonts w:asciiTheme="minorHAnsi" w:hAnsiTheme="minorHAnsi" w:cs="Times New Roman"/>
          <w:lang w:val="es-ES_tradnl"/>
        </w:rPr>
        <w:t xml:space="preserve">Puede verse que la Caja Final se eleva permanentemente a partir del Ejercicio 2016/2017 hasta alcanzar los </w:t>
      </w:r>
      <w:r w:rsidR="00906CF7">
        <w:rPr>
          <w:rFonts w:asciiTheme="minorHAnsi" w:hAnsiTheme="minorHAnsi" w:cs="Times New Roman"/>
          <w:lang w:val="es-ES_tradnl"/>
        </w:rPr>
        <w:t xml:space="preserve">casi </w:t>
      </w:r>
      <w:r>
        <w:rPr>
          <w:rFonts w:asciiTheme="minorHAnsi" w:hAnsiTheme="minorHAnsi" w:cs="Times New Roman"/>
          <w:lang w:val="es-ES_tradnl"/>
        </w:rPr>
        <w:t>US$ 124 millones al</w:t>
      </w:r>
      <w:r w:rsidR="00762B4B" w:rsidRPr="00172730">
        <w:rPr>
          <w:rFonts w:asciiTheme="minorHAnsi" w:hAnsiTheme="minorHAnsi" w:cs="Times New Roman"/>
          <w:lang w:val="es-ES_tradnl"/>
        </w:rPr>
        <w:t xml:space="preserve"> final de las proyecciones. </w:t>
      </w:r>
      <w:r w:rsidR="003E4021">
        <w:rPr>
          <w:rFonts w:asciiTheme="minorHAnsi" w:hAnsiTheme="minorHAnsi" w:cs="Times New Roman"/>
          <w:lang w:val="es-ES_tradnl"/>
        </w:rPr>
        <w:t xml:space="preserve">Este excedente de fondos es generado por la diferencia del Gasto Comprometido ajustado por el incremento de la recaudación de los peajes y los costos financieros, según lo establecido en el contrato, con respecto a </w:t>
      </w:r>
      <w:r>
        <w:rPr>
          <w:rFonts w:asciiTheme="minorHAnsi" w:hAnsiTheme="minorHAnsi" w:cs="Times New Roman"/>
          <w:lang w:val="es-ES_tradnl"/>
        </w:rPr>
        <w:t xml:space="preserve">los costos de obras </w:t>
      </w:r>
      <w:r w:rsidR="003E4021">
        <w:rPr>
          <w:rFonts w:asciiTheme="minorHAnsi" w:hAnsiTheme="minorHAnsi" w:cs="Times New Roman"/>
          <w:lang w:val="es-ES_tradnl"/>
        </w:rPr>
        <w:t>que responden sólo a</w:t>
      </w:r>
      <w:r>
        <w:rPr>
          <w:rFonts w:asciiTheme="minorHAnsi" w:hAnsiTheme="minorHAnsi" w:cs="Times New Roman"/>
          <w:lang w:val="es-ES_tradnl"/>
        </w:rPr>
        <w:t xml:space="preserve">l </w:t>
      </w:r>
      <w:r w:rsidRPr="00172730">
        <w:rPr>
          <w:rFonts w:asciiTheme="minorHAnsi" w:hAnsiTheme="minorHAnsi" w:cs="Times New Roman"/>
          <w:lang w:val="es-ES_tradnl"/>
        </w:rPr>
        <w:t xml:space="preserve">Gasto Comprometido </w:t>
      </w:r>
      <w:r>
        <w:rPr>
          <w:rFonts w:asciiTheme="minorHAnsi" w:hAnsiTheme="minorHAnsi" w:cs="Times New Roman"/>
          <w:lang w:val="es-ES_tradnl"/>
        </w:rPr>
        <w:t>inicial</w:t>
      </w:r>
      <w:r w:rsidR="00EA3BBA">
        <w:rPr>
          <w:rFonts w:asciiTheme="minorHAnsi" w:hAnsiTheme="minorHAnsi" w:cs="Times New Roman"/>
          <w:lang w:val="es-ES_tradnl"/>
        </w:rPr>
        <w:t>.</w:t>
      </w:r>
      <w:r w:rsidRPr="00172730">
        <w:rPr>
          <w:rFonts w:asciiTheme="minorHAnsi" w:hAnsiTheme="minorHAnsi" w:cs="Times New Roman"/>
          <w:lang w:val="es-ES_tradnl"/>
        </w:rPr>
        <w:t xml:space="preserve"> Por tanto</w:t>
      </w:r>
      <w:r w:rsidR="003E4021">
        <w:rPr>
          <w:rFonts w:asciiTheme="minorHAnsi" w:hAnsiTheme="minorHAnsi" w:cs="Times New Roman"/>
          <w:lang w:val="es-ES_tradnl"/>
        </w:rPr>
        <w:t>,</w:t>
      </w:r>
      <w:r w:rsidRPr="00172730">
        <w:rPr>
          <w:rFonts w:asciiTheme="minorHAnsi" w:hAnsiTheme="minorHAnsi" w:cs="Times New Roman"/>
          <w:lang w:val="es-ES_tradnl"/>
        </w:rPr>
        <w:t xml:space="preserve"> de cumplirse estas previsiones de ingresos y obras</w:t>
      </w:r>
      <w:r w:rsidR="00EA3BBA">
        <w:rPr>
          <w:rFonts w:asciiTheme="minorHAnsi" w:hAnsiTheme="minorHAnsi" w:cs="Times New Roman"/>
          <w:lang w:val="es-ES_tradnl"/>
        </w:rPr>
        <w:t xml:space="preserve">, </w:t>
      </w:r>
      <w:r w:rsidRPr="00172730">
        <w:rPr>
          <w:rFonts w:asciiTheme="minorHAnsi" w:hAnsiTheme="minorHAnsi" w:cs="Times New Roman"/>
          <w:lang w:val="es-ES_tradnl"/>
        </w:rPr>
        <w:t xml:space="preserve">ello </w:t>
      </w:r>
      <w:r w:rsidR="003E4021">
        <w:rPr>
          <w:rFonts w:asciiTheme="minorHAnsi" w:hAnsiTheme="minorHAnsi" w:cs="Times New Roman"/>
          <w:lang w:val="es-ES_tradnl"/>
        </w:rPr>
        <w:t xml:space="preserve">genera un remanente </w:t>
      </w:r>
      <w:r w:rsidR="00EA3BBA">
        <w:rPr>
          <w:rFonts w:asciiTheme="minorHAnsi" w:hAnsiTheme="minorHAnsi" w:cs="Times New Roman"/>
          <w:lang w:val="es-ES_tradnl"/>
        </w:rPr>
        <w:t>en la caja final</w:t>
      </w:r>
      <w:r w:rsidR="003E4021">
        <w:rPr>
          <w:rFonts w:asciiTheme="minorHAnsi" w:hAnsiTheme="minorHAnsi" w:cs="Times New Roman"/>
          <w:lang w:val="es-ES_tradnl"/>
        </w:rPr>
        <w:t>, que la CVU está autorizada a invertir en obras</w:t>
      </w:r>
      <w:r w:rsidRPr="00172730">
        <w:rPr>
          <w:rFonts w:asciiTheme="minorHAnsi" w:hAnsiTheme="minorHAnsi" w:cs="Times New Roman"/>
          <w:lang w:val="es-ES_tradnl"/>
        </w:rPr>
        <w:t>.</w:t>
      </w:r>
    </w:p>
    <w:p w:rsidR="00762B4B" w:rsidRDefault="00762B4B" w:rsidP="00762B4B">
      <w:pPr>
        <w:jc w:val="both"/>
        <w:rPr>
          <w:rFonts w:asciiTheme="minorHAnsi" w:hAnsiTheme="minorHAnsi" w:cs="Times New Roman"/>
          <w:lang w:val="es-ES_tradnl"/>
        </w:rPr>
      </w:pPr>
      <w:r w:rsidRPr="00172730">
        <w:rPr>
          <w:rFonts w:asciiTheme="minorHAnsi" w:hAnsiTheme="minorHAnsi" w:cs="Times New Roman"/>
          <w:lang w:val="es-ES_tradnl"/>
        </w:rPr>
        <w:t xml:space="preserve">En este esquema el préstamo nuevo </w:t>
      </w:r>
      <w:r w:rsidR="00EA3BBA">
        <w:rPr>
          <w:rFonts w:asciiTheme="minorHAnsi" w:hAnsiTheme="minorHAnsi" w:cs="Times New Roman"/>
          <w:lang w:val="es-ES_tradnl"/>
        </w:rPr>
        <w:t>previsto por el Banco</w:t>
      </w:r>
      <w:r w:rsidRPr="00172730">
        <w:rPr>
          <w:rFonts w:asciiTheme="minorHAnsi" w:hAnsiTheme="minorHAnsi" w:cs="Times New Roman"/>
          <w:lang w:val="es-ES_tradnl"/>
        </w:rPr>
        <w:t xml:space="preserve"> no tendría sentido, excepto que </w:t>
      </w:r>
      <w:r w:rsidR="00EA3BBA">
        <w:rPr>
          <w:rFonts w:asciiTheme="minorHAnsi" w:hAnsiTheme="minorHAnsi" w:cs="Times New Roman"/>
          <w:lang w:val="es-ES_tradnl"/>
        </w:rPr>
        <w:t xml:space="preserve">se </w:t>
      </w:r>
      <w:r w:rsidRPr="00172730">
        <w:rPr>
          <w:rFonts w:asciiTheme="minorHAnsi" w:hAnsiTheme="minorHAnsi" w:cs="Times New Roman"/>
          <w:lang w:val="es-ES_tradnl"/>
        </w:rPr>
        <w:t>invierta por un valor superior a los US$ 200 millones y la CND se haga cargo de enfrentar los compromisos de repago</w:t>
      </w:r>
      <w:r w:rsidR="00EA3BBA">
        <w:rPr>
          <w:rFonts w:asciiTheme="minorHAnsi" w:hAnsiTheme="minorHAnsi" w:cs="Times New Roman"/>
          <w:lang w:val="es-ES_tradnl"/>
        </w:rPr>
        <w:t>, que exceden al período de finalización de la concesión.</w:t>
      </w:r>
    </w:p>
    <w:p w:rsidR="00EA3BBA" w:rsidRPr="003C0755" w:rsidRDefault="00EA3BBA" w:rsidP="00762B4B">
      <w:pPr>
        <w:jc w:val="both"/>
        <w:rPr>
          <w:rFonts w:asciiTheme="minorHAnsi" w:hAnsiTheme="minorHAnsi" w:cs="Times New Roman"/>
          <w:b/>
          <w:lang w:val="es-ES_tradnl"/>
        </w:rPr>
      </w:pPr>
      <w:r w:rsidRPr="003C0755">
        <w:rPr>
          <w:rFonts w:asciiTheme="minorHAnsi" w:hAnsiTheme="minorHAnsi" w:cs="Times New Roman"/>
          <w:b/>
          <w:lang w:val="es-ES_tradnl"/>
        </w:rPr>
        <w:t>Alternativas.</w:t>
      </w:r>
    </w:p>
    <w:p w:rsidR="0087283F" w:rsidRPr="00172730" w:rsidRDefault="00EA3BBA" w:rsidP="003C0755">
      <w:pPr>
        <w:jc w:val="both"/>
        <w:rPr>
          <w:rFonts w:asciiTheme="minorHAnsi" w:hAnsiTheme="minorHAnsi" w:cs="Times New Roman"/>
          <w:lang w:val="es-ES_tradnl"/>
        </w:rPr>
      </w:pPr>
      <w:r>
        <w:rPr>
          <w:rFonts w:asciiTheme="minorHAnsi" w:hAnsiTheme="minorHAnsi" w:cs="Times New Roman"/>
          <w:lang w:val="es-ES_tradnl"/>
        </w:rPr>
        <w:t>La evaluación de este flujo de fondos revela que se han adoptado hipótesis relativamente optimistas respecto a la situación actual, tanto en cuanto a la evolución de la actividad y con ello del tránsito (por debajo de las previsiones incluidas en los flujos previos)</w:t>
      </w:r>
      <w:r w:rsidR="007D254C">
        <w:rPr>
          <w:rFonts w:asciiTheme="minorHAnsi" w:hAnsiTheme="minorHAnsi" w:cs="Times New Roman"/>
          <w:lang w:val="es-ES_tradnl"/>
        </w:rPr>
        <w:t>, como en</w:t>
      </w:r>
      <w:r w:rsidR="003E4021">
        <w:rPr>
          <w:rFonts w:asciiTheme="minorHAnsi" w:hAnsiTheme="minorHAnsi" w:cs="Times New Roman"/>
          <w:lang w:val="es-ES_tradnl"/>
        </w:rPr>
        <w:t xml:space="preserve"> </w:t>
      </w:r>
      <w:r w:rsidR="007D254C">
        <w:rPr>
          <w:rFonts w:asciiTheme="minorHAnsi" w:hAnsiTheme="minorHAnsi" w:cs="Times New Roman"/>
          <w:lang w:val="es-ES_tradnl"/>
        </w:rPr>
        <w:t>lo que se refiere al tipo de cambio.</w:t>
      </w:r>
    </w:p>
    <w:p w:rsidR="003C0755" w:rsidRDefault="0087283F" w:rsidP="00172730">
      <w:pPr>
        <w:jc w:val="both"/>
        <w:rPr>
          <w:rFonts w:asciiTheme="minorHAnsi" w:hAnsiTheme="minorHAnsi" w:cs="Times New Roman"/>
          <w:lang w:val="es-ES_tradnl"/>
        </w:rPr>
      </w:pPr>
      <w:r w:rsidRPr="00172730">
        <w:rPr>
          <w:rFonts w:asciiTheme="minorHAnsi" w:hAnsiTheme="minorHAnsi" w:cs="Times New Roman"/>
          <w:lang w:val="es-ES_tradnl"/>
        </w:rPr>
        <w:t>A partir de ello</w:t>
      </w:r>
      <w:r w:rsidR="003E4021">
        <w:rPr>
          <w:rFonts w:asciiTheme="minorHAnsi" w:hAnsiTheme="minorHAnsi" w:cs="Times New Roman"/>
          <w:lang w:val="es-ES_tradnl"/>
        </w:rPr>
        <w:t>,</w:t>
      </w:r>
      <w:r w:rsidRPr="00172730">
        <w:rPr>
          <w:rFonts w:asciiTheme="minorHAnsi" w:hAnsiTheme="minorHAnsi" w:cs="Times New Roman"/>
          <w:lang w:val="es-ES_tradnl"/>
        </w:rPr>
        <w:t xml:space="preserve"> se ha</w:t>
      </w:r>
      <w:r w:rsidR="003E4021">
        <w:rPr>
          <w:rFonts w:asciiTheme="minorHAnsi" w:hAnsiTheme="minorHAnsi" w:cs="Times New Roman"/>
          <w:lang w:val="es-ES_tradnl"/>
        </w:rPr>
        <w:t>n</w:t>
      </w:r>
      <w:r w:rsidRPr="00172730">
        <w:rPr>
          <w:rFonts w:asciiTheme="minorHAnsi" w:hAnsiTheme="minorHAnsi" w:cs="Times New Roman"/>
          <w:lang w:val="es-ES_tradnl"/>
        </w:rPr>
        <w:t xml:space="preserve"> supuesto cambios en l</w:t>
      </w:r>
      <w:r w:rsidR="00BD1B40" w:rsidRPr="00172730">
        <w:rPr>
          <w:rFonts w:asciiTheme="minorHAnsi" w:hAnsiTheme="minorHAnsi" w:cs="Times New Roman"/>
          <w:lang w:val="es-ES_tradnl"/>
        </w:rPr>
        <w:t>a</w:t>
      </w:r>
      <w:r w:rsidRPr="00172730">
        <w:rPr>
          <w:rFonts w:asciiTheme="minorHAnsi" w:hAnsiTheme="minorHAnsi" w:cs="Times New Roman"/>
          <w:lang w:val="es-ES_tradnl"/>
        </w:rPr>
        <w:t xml:space="preserve">s proyecciones, </w:t>
      </w:r>
      <w:r w:rsidR="003C0755">
        <w:rPr>
          <w:rFonts w:asciiTheme="minorHAnsi" w:hAnsiTheme="minorHAnsi" w:cs="Times New Roman"/>
          <w:lang w:val="es-ES_tradnl"/>
        </w:rPr>
        <w:t xml:space="preserve">que implican una </w:t>
      </w:r>
      <w:r w:rsidRPr="00172730">
        <w:rPr>
          <w:rFonts w:asciiTheme="minorHAnsi" w:hAnsiTheme="minorHAnsi" w:cs="Times New Roman"/>
          <w:lang w:val="es-ES_tradnl"/>
        </w:rPr>
        <w:t xml:space="preserve">retracción de </w:t>
      </w:r>
      <w:r w:rsidR="003C0755">
        <w:rPr>
          <w:rFonts w:asciiTheme="minorHAnsi" w:hAnsiTheme="minorHAnsi" w:cs="Times New Roman"/>
          <w:lang w:val="es-ES_tradnl"/>
        </w:rPr>
        <w:t xml:space="preserve">los </w:t>
      </w:r>
      <w:r w:rsidRPr="00172730">
        <w:rPr>
          <w:rFonts w:asciiTheme="minorHAnsi" w:hAnsiTheme="minorHAnsi" w:cs="Times New Roman"/>
          <w:lang w:val="es-ES_tradnl"/>
        </w:rPr>
        <w:t>ingresos ante una menor din</w:t>
      </w:r>
      <w:r w:rsidR="00BD1B40" w:rsidRPr="00172730">
        <w:rPr>
          <w:rFonts w:asciiTheme="minorHAnsi" w:hAnsiTheme="minorHAnsi" w:cs="Times New Roman"/>
          <w:lang w:val="es-ES_tradnl"/>
        </w:rPr>
        <w:t>á</w:t>
      </w:r>
      <w:r w:rsidRPr="00172730">
        <w:rPr>
          <w:rFonts w:asciiTheme="minorHAnsi" w:hAnsiTheme="minorHAnsi" w:cs="Times New Roman"/>
          <w:lang w:val="es-ES_tradnl"/>
        </w:rPr>
        <w:t xml:space="preserve">mica económica a la prevista </w:t>
      </w:r>
      <w:r w:rsidR="003E4021">
        <w:rPr>
          <w:rFonts w:asciiTheme="minorHAnsi" w:hAnsiTheme="minorHAnsi" w:cs="Times New Roman"/>
          <w:lang w:val="es-ES_tradnl"/>
        </w:rPr>
        <w:t xml:space="preserve">originalmente </w:t>
      </w:r>
      <w:r w:rsidRPr="00172730">
        <w:rPr>
          <w:rFonts w:asciiTheme="minorHAnsi" w:hAnsiTheme="minorHAnsi" w:cs="Times New Roman"/>
          <w:lang w:val="es-ES_tradnl"/>
        </w:rPr>
        <w:t>y un aumento razonable en el costo de las obras</w:t>
      </w:r>
    </w:p>
    <w:p w:rsidR="000B1176" w:rsidRDefault="000B1176" w:rsidP="000B1176">
      <w:pPr>
        <w:jc w:val="both"/>
        <w:rPr>
          <w:rFonts w:asciiTheme="minorHAnsi" w:hAnsiTheme="minorHAnsi" w:cs="Times New Roman"/>
          <w:lang w:val="es-ES_tradnl"/>
        </w:rPr>
      </w:pPr>
      <w:r w:rsidRPr="00172730">
        <w:rPr>
          <w:rFonts w:asciiTheme="minorHAnsi" w:hAnsiTheme="minorHAnsi" w:cs="Times New Roman"/>
          <w:lang w:val="es-ES_tradnl"/>
        </w:rPr>
        <w:t>Las alternativas para evaluar estos resultados</w:t>
      </w:r>
      <w:r>
        <w:rPr>
          <w:rFonts w:asciiTheme="minorHAnsi" w:hAnsiTheme="minorHAnsi" w:cs="Times New Roman"/>
          <w:lang w:val="es-ES_tradnl"/>
        </w:rPr>
        <w:t xml:space="preserve"> se basaron en los siguientes supuestos</w:t>
      </w:r>
      <w:r w:rsidRPr="00172730">
        <w:rPr>
          <w:rFonts w:asciiTheme="minorHAnsi" w:hAnsiTheme="minorHAnsi" w:cs="Times New Roman"/>
          <w:lang w:val="es-ES_tradnl"/>
        </w:rPr>
        <w:t xml:space="preserve">: </w:t>
      </w:r>
    </w:p>
    <w:p w:rsidR="00D74BD1" w:rsidRDefault="000B1176" w:rsidP="000B1176">
      <w:pPr>
        <w:pStyle w:val="ListParagraph"/>
        <w:numPr>
          <w:ilvl w:val="0"/>
          <w:numId w:val="13"/>
        </w:numPr>
        <w:jc w:val="both"/>
        <w:rPr>
          <w:rFonts w:cs="Times New Roman"/>
          <w:lang w:val="es-ES_tradnl"/>
        </w:rPr>
      </w:pPr>
      <w:r w:rsidRPr="000B1176">
        <w:rPr>
          <w:rFonts w:cs="Times New Roman"/>
          <w:lang w:val="es-ES_tradnl"/>
        </w:rPr>
        <w:t xml:space="preserve">se ajustaron los ingresos a una caída de la recaudación del orden del 5% por menor actividad al </w:t>
      </w:r>
      <w:r>
        <w:rPr>
          <w:rFonts w:cs="Times New Roman"/>
          <w:lang w:val="es-ES_tradnl"/>
        </w:rPr>
        <w:t>ejercicio 2015/</w:t>
      </w:r>
      <w:r w:rsidRPr="000B1176">
        <w:rPr>
          <w:rFonts w:cs="Times New Roman"/>
          <w:lang w:val="es-ES_tradnl"/>
        </w:rPr>
        <w:t xml:space="preserve">2016, </w:t>
      </w:r>
      <w:r>
        <w:rPr>
          <w:rFonts w:cs="Times New Roman"/>
          <w:lang w:val="es-ES_tradnl"/>
        </w:rPr>
        <w:t xml:space="preserve">más </w:t>
      </w:r>
      <w:r w:rsidRPr="000B1176">
        <w:rPr>
          <w:rFonts w:cs="Times New Roman"/>
          <w:lang w:val="es-ES_tradnl"/>
        </w:rPr>
        <w:t xml:space="preserve">un ajuste </w:t>
      </w:r>
      <w:r>
        <w:rPr>
          <w:rFonts w:cs="Times New Roman"/>
          <w:lang w:val="es-ES_tradnl"/>
        </w:rPr>
        <w:t xml:space="preserve">a la baja </w:t>
      </w:r>
      <w:r w:rsidRPr="000B1176">
        <w:rPr>
          <w:rFonts w:cs="Times New Roman"/>
          <w:lang w:val="es-ES_tradnl"/>
        </w:rPr>
        <w:t xml:space="preserve">del </w:t>
      </w:r>
      <w:r w:rsidR="00D74BD1">
        <w:rPr>
          <w:rFonts w:cs="Times New Roman"/>
          <w:lang w:val="es-ES_tradnl"/>
        </w:rPr>
        <w:t>12</w:t>
      </w:r>
      <w:r w:rsidRPr="000B1176">
        <w:rPr>
          <w:rFonts w:cs="Times New Roman"/>
          <w:lang w:val="es-ES_tradnl"/>
        </w:rPr>
        <w:t xml:space="preserve">% por el incremento </w:t>
      </w:r>
      <w:r w:rsidR="00D74BD1">
        <w:rPr>
          <w:rFonts w:cs="Times New Roman"/>
          <w:lang w:val="es-ES_tradnl"/>
        </w:rPr>
        <w:t xml:space="preserve">actual </w:t>
      </w:r>
      <w:r w:rsidRPr="000B1176">
        <w:rPr>
          <w:rFonts w:cs="Times New Roman"/>
          <w:lang w:val="es-ES_tradnl"/>
        </w:rPr>
        <w:t>del tipo de cambio</w:t>
      </w:r>
      <w:r w:rsidR="003E4021">
        <w:rPr>
          <w:rStyle w:val="FootnoteReference"/>
          <w:rFonts w:cs="Times New Roman"/>
          <w:lang w:val="es-ES_tradnl"/>
        </w:rPr>
        <w:footnoteReference w:id="1"/>
      </w:r>
      <w:r w:rsidR="00D74BD1">
        <w:rPr>
          <w:rFonts w:cs="Times New Roman"/>
          <w:lang w:val="es-ES_tradnl"/>
        </w:rPr>
        <w:t xml:space="preserve"> </w:t>
      </w:r>
      <w:r w:rsidRPr="000B1176">
        <w:rPr>
          <w:rFonts w:cs="Times New Roman"/>
          <w:lang w:val="es-ES_tradnl"/>
        </w:rPr>
        <w:t xml:space="preserve">por encima de lo previsto por </w:t>
      </w:r>
      <w:r w:rsidR="00D74BD1">
        <w:rPr>
          <w:rFonts w:cs="Times New Roman"/>
          <w:lang w:val="es-ES_tradnl"/>
        </w:rPr>
        <w:t>la encuesta de expectativas del BCU y utilizado en el flujo anterior</w:t>
      </w:r>
      <w:r w:rsidRPr="000B1176">
        <w:rPr>
          <w:rFonts w:cs="Times New Roman"/>
          <w:lang w:val="es-ES_tradnl"/>
        </w:rPr>
        <w:t xml:space="preserve"> y un crecimiento del tránsito de sólo 1,5%, como hipótesis de mínima;</w:t>
      </w:r>
    </w:p>
    <w:p w:rsidR="000B1176" w:rsidRDefault="000B1176" w:rsidP="00D74BD1">
      <w:pPr>
        <w:pStyle w:val="ListParagraph"/>
        <w:jc w:val="both"/>
        <w:rPr>
          <w:rFonts w:cs="Times New Roman"/>
          <w:lang w:val="es-ES_tradnl"/>
        </w:rPr>
      </w:pPr>
      <w:r w:rsidRPr="000B1176">
        <w:rPr>
          <w:rFonts w:cs="Times New Roman"/>
          <w:lang w:val="es-ES_tradnl"/>
        </w:rPr>
        <w:t xml:space="preserve"> </w:t>
      </w:r>
    </w:p>
    <w:p w:rsidR="00D74BD1" w:rsidRDefault="00D74BD1" w:rsidP="000B1176">
      <w:pPr>
        <w:pStyle w:val="ListParagraph"/>
        <w:numPr>
          <w:ilvl w:val="0"/>
          <w:numId w:val="13"/>
        </w:numPr>
        <w:jc w:val="both"/>
        <w:rPr>
          <w:rFonts w:cs="Times New Roman"/>
          <w:lang w:val="es-ES_tradnl"/>
        </w:rPr>
      </w:pPr>
      <w:r>
        <w:rPr>
          <w:rFonts w:cs="Times New Roman"/>
          <w:lang w:val="es-ES_tradnl"/>
        </w:rPr>
        <w:t xml:space="preserve">A los supuestos anteriores se agrega </w:t>
      </w:r>
      <w:r w:rsidR="000B1176" w:rsidRPr="000B1176">
        <w:rPr>
          <w:rFonts w:cs="Times New Roman"/>
          <w:lang w:val="es-ES_tradnl"/>
        </w:rPr>
        <w:t xml:space="preserve">un aumento </w:t>
      </w:r>
      <w:r>
        <w:rPr>
          <w:rFonts w:cs="Times New Roman"/>
          <w:lang w:val="es-ES_tradnl"/>
        </w:rPr>
        <w:t>d</w:t>
      </w:r>
      <w:r w:rsidR="000B1176" w:rsidRPr="000B1176">
        <w:rPr>
          <w:rFonts w:cs="Times New Roman"/>
          <w:lang w:val="es-ES_tradnl"/>
        </w:rPr>
        <w:t xml:space="preserve">el 10% </w:t>
      </w:r>
      <w:r>
        <w:rPr>
          <w:rFonts w:cs="Times New Roman"/>
          <w:lang w:val="es-ES_tradnl"/>
        </w:rPr>
        <w:t xml:space="preserve">en </w:t>
      </w:r>
      <w:r w:rsidR="000B1176" w:rsidRPr="000B1176">
        <w:rPr>
          <w:rFonts w:cs="Times New Roman"/>
          <w:lang w:val="es-ES_tradnl"/>
        </w:rPr>
        <w:t>los costos</w:t>
      </w:r>
      <w:r>
        <w:rPr>
          <w:rFonts w:cs="Times New Roman"/>
          <w:lang w:val="es-ES_tradnl"/>
        </w:rPr>
        <w:t xml:space="preserve"> anuales de</w:t>
      </w:r>
      <w:r w:rsidR="00F62574">
        <w:rPr>
          <w:rFonts w:cs="Times New Roman"/>
          <w:lang w:val="es-ES_tradnl"/>
        </w:rPr>
        <w:t xml:space="preserve"> </w:t>
      </w:r>
      <w:r>
        <w:rPr>
          <w:rFonts w:cs="Times New Roman"/>
          <w:lang w:val="es-ES_tradnl"/>
        </w:rPr>
        <w:t>las inversiones</w:t>
      </w:r>
      <w:r w:rsidR="000B1176" w:rsidRPr="000B1176">
        <w:rPr>
          <w:rFonts w:cs="Times New Roman"/>
          <w:lang w:val="es-ES_tradnl"/>
        </w:rPr>
        <w:t xml:space="preserve">. </w:t>
      </w:r>
    </w:p>
    <w:p w:rsidR="00D74BD1" w:rsidRDefault="00D74BD1" w:rsidP="007E328A">
      <w:pPr>
        <w:jc w:val="both"/>
        <w:rPr>
          <w:rFonts w:asciiTheme="minorHAnsi" w:hAnsiTheme="minorHAnsi" w:cs="Times New Roman"/>
          <w:lang w:val="es-ES_tradnl"/>
        </w:rPr>
      </w:pPr>
      <w:r w:rsidRPr="007E328A">
        <w:rPr>
          <w:rFonts w:asciiTheme="minorHAnsi" w:hAnsiTheme="minorHAnsi" w:cs="Times New Roman"/>
          <w:lang w:val="es-ES_tradnl"/>
        </w:rPr>
        <w:t>A continuación se presentan las síntesis de los flujos de fondos calculados para estas dos alternativas, en base a los supuestos comentados y de acuerdo a las características de la concesión vigente.</w:t>
      </w:r>
    </w:p>
    <w:p w:rsidR="00F62574" w:rsidRPr="007E328A" w:rsidRDefault="00F62574" w:rsidP="00F62574">
      <w:pPr>
        <w:jc w:val="center"/>
        <w:rPr>
          <w:rFonts w:asciiTheme="minorHAnsi" w:hAnsiTheme="minorHAnsi" w:cs="Times New Roman"/>
          <w:lang w:val="es-ES_tradnl"/>
        </w:rPr>
      </w:pPr>
      <w:r w:rsidRPr="00F62574">
        <w:rPr>
          <w:noProof/>
          <w:lang w:val="en-US"/>
        </w:rPr>
        <w:drawing>
          <wp:inline distT="0" distB="0" distL="0" distR="0">
            <wp:extent cx="5400040" cy="1928992"/>
            <wp:effectExtent l="19050" t="0" r="0" b="0"/>
            <wp:docPr id="16"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srcRect/>
                    <a:stretch>
                      <a:fillRect/>
                    </a:stretch>
                  </pic:blipFill>
                  <pic:spPr bwMode="auto">
                    <a:xfrm>
                      <a:off x="0" y="0"/>
                      <a:ext cx="5400040" cy="1928992"/>
                    </a:xfrm>
                    <a:prstGeom prst="rect">
                      <a:avLst/>
                    </a:prstGeom>
                    <a:noFill/>
                    <a:ln w="9525">
                      <a:noFill/>
                      <a:miter lim="800000"/>
                      <a:headEnd/>
                      <a:tailEnd/>
                    </a:ln>
                  </pic:spPr>
                </pic:pic>
              </a:graphicData>
            </a:graphic>
          </wp:inline>
        </w:drawing>
      </w:r>
    </w:p>
    <w:p w:rsidR="00F62574" w:rsidRDefault="00F62574" w:rsidP="00F62574">
      <w:pPr>
        <w:jc w:val="center"/>
        <w:rPr>
          <w:rFonts w:asciiTheme="minorHAnsi" w:hAnsiTheme="minorHAnsi" w:cs="Times New Roman"/>
          <w:lang w:val="es-ES_tradnl"/>
        </w:rPr>
      </w:pPr>
      <w:r w:rsidRPr="00F62574">
        <w:rPr>
          <w:noProof/>
          <w:lang w:val="en-US"/>
        </w:rPr>
        <w:drawing>
          <wp:inline distT="0" distB="0" distL="0" distR="0">
            <wp:extent cx="5400040" cy="1928992"/>
            <wp:effectExtent l="19050" t="0" r="0" b="0"/>
            <wp:docPr id="17"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srcRect/>
                    <a:stretch>
                      <a:fillRect/>
                    </a:stretch>
                  </pic:blipFill>
                  <pic:spPr bwMode="auto">
                    <a:xfrm>
                      <a:off x="0" y="0"/>
                      <a:ext cx="5400040" cy="1928992"/>
                    </a:xfrm>
                    <a:prstGeom prst="rect">
                      <a:avLst/>
                    </a:prstGeom>
                    <a:noFill/>
                    <a:ln w="9525">
                      <a:noFill/>
                      <a:miter lim="800000"/>
                      <a:headEnd/>
                      <a:tailEnd/>
                    </a:ln>
                  </pic:spPr>
                </pic:pic>
              </a:graphicData>
            </a:graphic>
          </wp:inline>
        </w:drawing>
      </w:r>
    </w:p>
    <w:p w:rsidR="00F62574" w:rsidRPr="00F62574" w:rsidRDefault="00F62574" w:rsidP="00F62574">
      <w:pPr>
        <w:jc w:val="center"/>
        <w:rPr>
          <w:rFonts w:asciiTheme="minorHAnsi" w:hAnsiTheme="minorHAnsi" w:cs="Times New Roman"/>
          <w:sz w:val="18"/>
          <w:szCs w:val="18"/>
          <w:lang w:val="es-ES_tradnl"/>
        </w:rPr>
      </w:pPr>
      <w:r w:rsidRPr="00F62574">
        <w:rPr>
          <w:rFonts w:asciiTheme="minorHAnsi" w:hAnsiTheme="minorHAnsi" w:cs="Times New Roman"/>
          <w:sz w:val="18"/>
          <w:szCs w:val="18"/>
          <w:lang w:val="es-ES_tradnl"/>
        </w:rPr>
        <w:t>Fuente: Estimaciones propias a partir de datos de CVU y otras fuentes</w:t>
      </w:r>
    </w:p>
    <w:p w:rsidR="000B1176" w:rsidRPr="007E328A" w:rsidRDefault="000B1176" w:rsidP="00D74BD1">
      <w:pPr>
        <w:jc w:val="both"/>
        <w:rPr>
          <w:rFonts w:asciiTheme="minorHAnsi" w:hAnsiTheme="minorHAnsi" w:cs="Times New Roman"/>
          <w:lang w:val="es-ES_tradnl"/>
        </w:rPr>
      </w:pPr>
      <w:r w:rsidRPr="007E328A">
        <w:rPr>
          <w:rFonts w:asciiTheme="minorHAnsi" w:hAnsiTheme="minorHAnsi" w:cs="Times New Roman"/>
          <w:lang w:val="es-ES_tradnl"/>
        </w:rPr>
        <w:t xml:space="preserve">Ambas alternativas no arrojaron resultados muy diferentes por lo que se mantienen las conclusiones </w:t>
      </w:r>
      <w:r w:rsidR="007E328A">
        <w:rPr>
          <w:rFonts w:asciiTheme="minorHAnsi" w:hAnsiTheme="minorHAnsi" w:cs="Times New Roman"/>
          <w:lang w:val="es-ES_tradnl"/>
        </w:rPr>
        <w:t>arribadas en el análisis del flujo de fondos inicialmente considerado</w:t>
      </w:r>
      <w:r w:rsidRPr="007E328A">
        <w:rPr>
          <w:rFonts w:asciiTheme="minorHAnsi" w:hAnsiTheme="minorHAnsi" w:cs="Times New Roman"/>
          <w:lang w:val="es-ES_tradnl"/>
        </w:rPr>
        <w:t xml:space="preserve">, sólo que </w:t>
      </w:r>
      <w:r w:rsidR="007E328A">
        <w:rPr>
          <w:rFonts w:asciiTheme="minorHAnsi" w:hAnsiTheme="minorHAnsi" w:cs="Times New Roman"/>
          <w:lang w:val="es-ES_tradnl"/>
        </w:rPr>
        <w:t>la caja f</w:t>
      </w:r>
      <w:r w:rsidRPr="007E328A">
        <w:rPr>
          <w:rFonts w:asciiTheme="minorHAnsi" w:hAnsiTheme="minorHAnsi" w:cs="Times New Roman"/>
          <w:lang w:val="es-ES_tradnl"/>
        </w:rPr>
        <w:t xml:space="preserve">inal podría ser unas decenas de millones menor </w:t>
      </w:r>
      <w:r w:rsidR="007E328A">
        <w:rPr>
          <w:rFonts w:asciiTheme="minorHAnsi" w:hAnsiTheme="minorHAnsi" w:cs="Times New Roman"/>
          <w:lang w:val="es-ES_tradnl"/>
        </w:rPr>
        <w:t>a la calculada inicialmente</w:t>
      </w:r>
      <w:r w:rsidR="00643171">
        <w:rPr>
          <w:rFonts w:asciiTheme="minorHAnsi" w:hAnsiTheme="minorHAnsi" w:cs="Times New Roman"/>
          <w:lang w:val="es-ES_tradnl"/>
        </w:rPr>
        <w:t xml:space="preserve">, </w:t>
      </w:r>
      <w:r w:rsidR="00643171" w:rsidRPr="00172730">
        <w:rPr>
          <w:rFonts w:asciiTheme="minorHAnsi" w:hAnsiTheme="minorHAnsi" w:cs="Times New Roman"/>
          <w:lang w:val="es-ES_tradnl"/>
        </w:rPr>
        <w:t>con lo cual también se mantiene un excedente importante a pesar de estos cambio</w:t>
      </w:r>
      <w:r w:rsidR="00643171">
        <w:rPr>
          <w:rFonts w:asciiTheme="minorHAnsi" w:hAnsiTheme="minorHAnsi" w:cs="Times New Roman"/>
          <w:lang w:val="es-ES_tradnl"/>
        </w:rPr>
        <w:t xml:space="preserve">s, lo que avala concluir que estas hipótesis de mínima no </w:t>
      </w:r>
      <w:r w:rsidRPr="007E328A">
        <w:rPr>
          <w:rFonts w:asciiTheme="minorHAnsi" w:hAnsiTheme="minorHAnsi" w:cs="Times New Roman"/>
          <w:lang w:val="es-ES_tradnl"/>
        </w:rPr>
        <w:t>comprometer</w:t>
      </w:r>
      <w:r w:rsidR="00643171">
        <w:rPr>
          <w:rFonts w:asciiTheme="minorHAnsi" w:hAnsiTheme="minorHAnsi" w:cs="Times New Roman"/>
          <w:lang w:val="es-ES_tradnl"/>
        </w:rPr>
        <w:t>ían</w:t>
      </w:r>
      <w:r w:rsidRPr="007E328A">
        <w:rPr>
          <w:rFonts w:asciiTheme="minorHAnsi" w:hAnsiTheme="minorHAnsi" w:cs="Times New Roman"/>
          <w:lang w:val="es-ES_tradnl"/>
        </w:rPr>
        <w:t xml:space="preserve"> mayormente la situación</w:t>
      </w:r>
      <w:r w:rsidR="00643171">
        <w:rPr>
          <w:rFonts w:asciiTheme="minorHAnsi" w:hAnsiTheme="minorHAnsi" w:cs="Times New Roman"/>
          <w:lang w:val="es-ES_tradnl"/>
        </w:rPr>
        <w:t xml:space="preserve"> económico financiera de la concesión vigente.</w:t>
      </w:r>
    </w:p>
    <w:p w:rsidR="00643171" w:rsidRDefault="00643171" w:rsidP="00172730">
      <w:pPr>
        <w:jc w:val="both"/>
        <w:rPr>
          <w:rFonts w:asciiTheme="minorHAnsi" w:hAnsiTheme="minorHAnsi" w:cs="Times New Roman"/>
          <w:lang w:val="es-ES_tradnl"/>
        </w:rPr>
      </w:pPr>
      <w:r>
        <w:rPr>
          <w:rFonts w:asciiTheme="minorHAnsi" w:hAnsiTheme="minorHAnsi" w:cs="Times New Roman"/>
          <w:lang w:val="es-ES_tradnl"/>
        </w:rPr>
        <w:t>En c</w:t>
      </w:r>
      <w:r w:rsidR="0087283F" w:rsidRPr="00172730">
        <w:rPr>
          <w:rFonts w:asciiTheme="minorHAnsi" w:hAnsiTheme="minorHAnsi" w:cs="Times New Roman"/>
          <w:lang w:val="es-ES_tradnl"/>
        </w:rPr>
        <w:t>onclusión, la actual situación de</w:t>
      </w:r>
      <w:r w:rsidR="000E3E61" w:rsidRPr="00172730">
        <w:rPr>
          <w:rFonts w:asciiTheme="minorHAnsi" w:hAnsiTheme="minorHAnsi" w:cs="Times New Roman"/>
          <w:lang w:val="es-ES_tradnl"/>
        </w:rPr>
        <w:t xml:space="preserve"> </w:t>
      </w:r>
      <w:r w:rsidR="0087283F" w:rsidRPr="00172730">
        <w:rPr>
          <w:rFonts w:asciiTheme="minorHAnsi" w:hAnsiTheme="minorHAnsi" w:cs="Times New Roman"/>
          <w:lang w:val="es-ES_tradnl"/>
        </w:rPr>
        <w:t>la CVU permite enfrentar las necesid</w:t>
      </w:r>
      <w:r w:rsidR="000E3E61" w:rsidRPr="00172730">
        <w:rPr>
          <w:rFonts w:asciiTheme="minorHAnsi" w:hAnsiTheme="minorHAnsi" w:cs="Times New Roman"/>
          <w:lang w:val="es-ES_tradnl"/>
        </w:rPr>
        <w:t>ade</w:t>
      </w:r>
      <w:r w:rsidR="0087283F" w:rsidRPr="00172730">
        <w:rPr>
          <w:rFonts w:asciiTheme="minorHAnsi" w:hAnsiTheme="minorHAnsi" w:cs="Times New Roman"/>
          <w:lang w:val="es-ES_tradnl"/>
        </w:rPr>
        <w:t xml:space="preserve">s convenidas de obras </w:t>
      </w:r>
      <w:r w:rsidR="000E3E61" w:rsidRPr="00172730">
        <w:rPr>
          <w:rFonts w:asciiTheme="minorHAnsi" w:hAnsiTheme="minorHAnsi" w:cs="Times New Roman"/>
          <w:lang w:val="es-ES_tradnl"/>
        </w:rPr>
        <w:t xml:space="preserve">y costos financieros </w:t>
      </w:r>
      <w:r w:rsidR="0087283F" w:rsidRPr="00172730">
        <w:rPr>
          <w:rFonts w:asciiTheme="minorHAnsi" w:hAnsiTheme="minorHAnsi" w:cs="Times New Roman"/>
          <w:lang w:val="es-ES_tradnl"/>
        </w:rPr>
        <w:t xml:space="preserve">con </w:t>
      </w:r>
      <w:r>
        <w:rPr>
          <w:rFonts w:asciiTheme="minorHAnsi" w:hAnsiTheme="minorHAnsi" w:cs="Times New Roman"/>
          <w:lang w:val="es-ES_tradnl"/>
        </w:rPr>
        <w:t xml:space="preserve">los niveles de </w:t>
      </w:r>
      <w:r w:rsidR="0087283F" w:rsidRPr="00172730">
        <w:rPr>
          <w:rFonts w:asciiTheme="minorHAnsi" w:hAnsiTheme="minorHAnsi" w:cs="Times New Roman"/>
          <w:lang w:val="es-ES_tradnl"/>
        </w:rPr>
        <w:t>peajes y subsidios actuales</w:t>
      </w:r>
      <w:r w:rsidR="000E3E61" w:rsidRPr="00172730">
        <w:rPr>
          <w:rFonts w:asciiTheme="minorHAnsi" w:hAnsiTheme="minorHAnsi" w:cs="Times New Roman"/>
          <w:lang w:val="es-ES_tradnl"/>
        </w:rPr>
        <w:t xml:space="preserve">, </w:t>
      </w:r>
      <w:proofErr w:type="spellStart"/>
      <w:r w:rsidR="000E3E61" w:rsidRPr="00172730">
        <w:rPr>
          <w:rFonts w:asciiTheme="minorHAnsi" w:hAnsiTheme="minorHAnsi" w:cs="Times New Roman"/>
          <w:lang w:val="es-ES_tradnl"/>
        </w:rPr>
        <w:t>aún</w:t>
      </w:r>
      <w:proofErr w:type="spellEnd"/>
      <w:r w:rsidR="000E3E61" w:rsidRPr="00172730">
        <w:rPr>
          <w:rFonts w:asciiTheme="minorHAnsi" w:hAnsiTheme="minorHAnsi" w:cs="Times New Roman"/>
          <w:lang w:val="es-ES_tradnl"/>
        </w:rPr>
        <w:t xml:space="preserve"> cuando la economía se desacelere y los costos de obras se eleven</w:t>
      </w:r>
      <w:r w:rsidR="004A2B88">
        <w:rPr>
          <w:rFonts w:asciiTheme="minorHAnsi" w:hAnsiTheme="minorHAnsi" w:cs="Times New Roman"/>
          <w:lang w:val="es-ES_tradnl"/>
        </w:rPr>
        <w:t>, sin tener que recurrir a apoyos financieros adicionales</w:t>
      </w:r>
      <w:r w:rsidR="000E3E61" w:rsidRPr="00172730">
        <w:rPr>
          <w:rFonts w:asciiTheme="minorHAnsi" w:hAnsiTheme="minorHAnsi" w:cs="Times New Roman"/>
          <w:lang w:val="es-ES_tradnl"/>
        </w:rPr>
        <w:t xml:space="preserve">. </w:t>
      </w:r>
    </w:p>
    <w:p w:rsidR="00F00087" w:rsidRDefault="00643171">
      <w:pPr>
        <w:jc w:val="both"/>
        <w:rPr>
          <w:rFonts w:cs="Times New Roman"/>
          <w:lang w:val="es-ES_tradnl"/>
        </w:rPr>
      </w:pPr>
      <w:r>
        <w:rPr>
          <w:rFonts w:asciiTheme="minorHAnsi" w:hAnsiTheme="minorHAnsi" w:cs="Times New Roman"/>
          <w:lang w:val="es-ES_tradnl"/>
        </w:rPr>
        <w:t xml:space="preserve">Por tanto, </w:t>
      </w:r>
      <w:r w:rsidR="000E3E61" w:rsidRPr="00172730">
        <w:rPr>
          <w:rFonts w:asciiTheme="minorHAnsi" w:hAnsiTheme="minorHAnsi" w:cs="Times New Roman"/>
          <w:lang w:val="es-ES_tradnl"/>
        </w:rPr>
        <w:t>un nuevo préstamo</w:t>
      </w:r>
      <w:r>
        <w:rPr>
          <w:rFonts w:asciiTheme="minorHAnsi" w:hAnsiTheme="minorHAnsi" w:cs="Times New Roman"/>
          <w:lang w:val="es-ES_tradnl"/>
        </w:rPr>
        <w:t xml:space="preserve"> con el Banco</w:t>
      </w:r>
      <w:r w:rsidR="000E3E61" w:rsidRPr="00172730">
        <w:rPr>
          <w:rFonts w:asciiTheme="minorHAnsi" w:hAnsiTheme="minorHAnsi" w:cs="Times New Roman"/>
          <w:lang w:val="es-ES_tradnl"/>
        </w:rPr>
        <w:t xml:space="preserve"> </w:t>
      </w:r>
      <w:r>
        <w:rPr>
          <w:rFonts w:asciiTheme="minorHAnsi" w:hAnsiTheme="minorHAnsi" w:cs="Times New Roman"/>
          <w:lang w:val="es-ES_tradnl"/>
        </w:rPr>
        <w:t xml:space="preserve">no sería necesario para cumplir con la concesión vigente y además </w:t>
      </w:r>
      <w:r w:rsidR="000E3E61" w:rsidRPr="00172730">
        <w:rPr>
          <w:rFonts w:asciiTheme="minorHAnsi" w:hAnsiTheme="minorHAnsi" w:cs="Times New Roman"/>
          <w:lang w:val="es-ES_tradnl"/>
        </w:rPr>
        <w:t>debería ser acordado fuera de</w:t>
      </w:r>
      <w:r w:rsidR="00BD1B40" w:rsidRPr="00172730">
        <w:rPr>
          <w:rFonts w:asciiTheme="minorHAnsi" w:hAnsiTheme="minorHAnsi" w:cs="Times New Roman"/>
          <w:lang w:val="es-ES_tradnl"/>
        </w:rPr>
        <w:t xml:space="preserve"> </w:t>
      </w:r>
      <w:r w:rsidR="000E3E61" w:rsidRPr="00172730">
        <w:rPr>
          <w:rFonts w:asciiTheme="minorHAnsi" w:hAnsiTheme="minorHAnsi" w:cs="Times New Roman"/>
          <w:lang w:val="es-ES_tradnl"/>
        </w:rPr>
        <w:t>la concesión, ya que lo</w:t>
      </w:r>
      <w:r w:rsidR="00BD1B40" w:rsidRPr="00172730">
        <w:rPr>
          <w:rFonts w:asciiTheme="minorHAnsi" w:hAnsiTheme="minorHAnsi" w:cs="Times New Roman"/>
          <w:lang w:val="es-ES_tradnl"/>
        </w:rPr>
        <w:t>s</w:t>
      </w:r>
      <w:r w:rsidR="000E3E61" w:rsidRPr="00172730">
        <w:rPr>
          <w:rFonts w:asciiTheme="minorHAnsi" w:hAnsiTheme="minorHAnsi" w:cs="Times New Roman"/>
          <w:lang w:val="es-ES_tradnl"/>
        </w:rPr>
        <w:t xml:space="preserve"> plazos actuales podr</w:t>
      </w:r>
      <w:r>
        <w:rPr>
          <w:rFonts w:asciiTheme="minorHAnsi" w:hAnsiTheme="minorHAnsi" w:cs="Times New Roman"/>
          <w:lang w:val="es-ES_tradnl"/>
        </w:rPr>
        <w:t>ían</w:t>
      </w:r>
      <w:r w:rsidR="000E3E61" w:rsidRPr="00172730">
        <w:rPr>
          <w:rFonts w:asciiTheme="minorHAnsi" w:hAnsiTheme="minorHAnsi" w:cs="Times New Roman"/>
          <w:lang w:val="es-ES_tradnl"/>
        </w:rPr>
        <w:t xml:space="preserve"> permitir sólo p</w:t>
      </w:r>
      <w:r w:rsidR="00BD1B40" w:rsidRPr="00172730">
        <w:rPr>
          <w:rFonts w:asciiTheme="minorHAnsi" w:hAnsiTheme="minorHAnsi" w:cs="Times New Roman"/>
          <w:lang w:val="es-ES_tradnl"/>
        </w:rPr>
        <w:t>a</w:t>
      </w:r>
      <w:r w:rsidR="000E3E61" w:rsidRPr="00172730">
        <w:rPr>
          <w:rFonts w:asciiTheme="minorHAnsi" w:hAnsiTheme="minorHAnsi" w:cs="Times New Roman"/>
          <w:lang w:val="es-ES_tradnl"/>
        </w:rPr>
        <w:t xml:space="preserve">rte de su repago al finalizar la </w:t>
      </w:r>
      <w:r>
        <w:rPr>
          <w:rFonts w:asciiTheme="minorHAnsi" w:hAnsiTheme="minorHAnsi" w:cs="Times New Roman"/>
          <w:lang w:val="es-ES_tradnl"/>
        </w:rPr>
        <w:t>concesión</w:t>
      </w:r>
      <w:r w:rsidR="000E3E61" w:rsidRPr="00172730">
        <w:rPr>
          <w:rFonts w:asciiTheme="minorHAnsi" w:hAnsiTheme="minorHAnsi" w:cs="Times New Roman"/>
          <w:lang w:val="es-ES_tradnl"/>
        </w:rPr>
        <w:t>, con</w:t>
      </w:r>
      <w:r w:rsidR="00BD1B40" w:rsidRPr="00172730">
        <w:rPr>
          <w:rFonts w:asciiTheme="minorHAnsi" w:hAnsiTheme="minorHAnsi" w:cs="Times New Roman"/>
          <w:lang w:val="es-ES_tradnl"/>
        </w:rPr>
        <w:t xml:space="preserve"> </w:t>
      </w:r>
      <w:r w:rsidR="000E3E61" w:rsidRPr="00172730">
        <w:rPr>
          <w:rFonts w:asciiTheme="minorHAnsi" w:hAnsiTheme="minorHAnsi" w:cs="Times New Roman"/>
          <w:lang w:val="es-ES_tradnl"/>
        </w:rPr>
        <w:t>lo cual su papel de ejecutor ser</w:t>
      </w:r>
      <w:r w:rsidR="00BD1B40" w:rsidRPr="00172730">
        <w:rPr>
          <w:rFonts w:asciiTheme="minorHAnsi" w:hAnsiTheme="minorHAnsi" w:cs="Times New Roman"/>
          <w:lang w:val="es-ES_tradnl"/>
        </w:rPr>
        <w:t>ía</w:t>
      </w:r>
      <w:r w:rsidR="000E3E61" w:rsidRPr="00172730">
        <w:rPr>
          <w:rFonts w:asciiTheme="minorHAnsi" w:hAnsiTheme="minorHAnsi" w:cs="Times New Roman"/>
          <w:lang w:val="es-ES_tradnl"/>
        </w:rPr>
        <w:t xml:space="preserve"> p</w:t>
      </w:r>
      <w:r w:rsidR="00BD1B40" w:rsidRPr="00172730">
        <w:rPr>
          <w:rFonts w:asciiTheme="minorHAnsi" w:hAnsiTheme="minorHAnsi" w:cs="Times New Roman"/>
          <w:lang w:val="es-ES_tradnl"/>
        </w:rPr>
        <w:t>a</w:t>
      </w:r>
      <w:r w:rsidR="000E3E61" w:rsidRPr="00172730">
        <w:rPr>
          <w:rFonts w:asciiTheme="minorHAnsi" w:hAnsiTheme="minorHAnsi" w:cs="Times New Roman"/>
          <w:lang w:val="es-ES_tradnl"/>
        </w:rPr>
        <w:t>rcial y el resto corresponder</w:t>
      </w:r>
      <w:r w:rsidR="00BD1B40" w:rsidRPr="00172730">
        <w:rPr>
          <w:rFonts w:asciiTheme="minorHAnsi" w:hAnsiTheme="minorHAnsi" w:cs="Times New Roman"/>
          <w:lang w:val="es-ES_tradnl"/>
        </w:rPr>
        <w:t>ía</w:t>
      </w:r>
      <w:r w:rsidR="000E3E61" w:rsidRPr="00172730">
        <w:rPr>
          <w:rFonts w:asciiTheme="minorHAnsi" w:hAnsiTheme="minorHAnsi" w:cs="Times New Roman"/>
          <w:lang w:val="es-ES_tradnl"/>
        </w:rPr>
        <w:t xml:space="preserve"> a</w:t>
      </w:r>
      <w:r w:rsidR="00BD1B40" w:rsidRPr="00172730">
        <w:rPr>
          <w:rFonts w:asciiTheme="minorHAnsi" w:hAnsiTheme="minorHAnsi" w:cs="Times New Roman"/>
          <w:lang w:val="es-ES_tradnl"/>
        </w:rPr>
        <w:t xml:space="preserve"> </w:t>
      </w:r>
      <w:r w:rsidR="000E3E61" w:rsidRPr="00172730">
        <w:rPr>
          <w:rFonts w:asciiTheme="minorHAnsi" w:hAnsiTheme="minorHAnsi" w:cs="Times New Roman"/>
          <w:lang w:val="es-ES_tradnl"/>
        </w:rPr>
        <w:t>la CND que es el prestatario que tendr</w:t>
      </w:r>
      <w:r w:rsidR="00BD1B40" w:rsidRPr="00172730">
        <w:rPr>
          <w:rFonts w:asciiTheme="minorHAnsi" w:hAnsiTheme="minorHAnsi" w:cs="Times New Roman"/>
          <w:lang w:val="es-ES_tradnl"/>
        </w:rPr>
        <w:t>ía</w:t>
      </w:r>
      <w:r w:rsidR="000E3E61" w:rsidRPr="00172730">
        <w:rPr>
          <w:rFonts w:asciiTheme="minorHAnsi" w:hAnsiTheme="minorHAnsi" w:cs="Times New Roman"/>
          <w:lang w:val="es-ES_tradnl"/>
        </w:rPr>
        <w:t xml:space="preserve"> que asumir también el papel de ejecuto</w:t>
      </w:r>
      <w:r w:rsidR="00BD1B40" w:rsidRPr="00172730">
        <w:rPr>
          <w:rFonts w:asciiTheme="minorHAnsi" w:hAnsiTheme="minorHAnsi" w:cs="Times New Roman"/>
          <w:lang w:val="es-ES_tradnl"/>
        </w:rPr>
        <w:t>r</w:t>
      </w:r>
      <w:r w:rsidR="000E3E61" w:rsidRPr="00172730">
        <w:rPr>
          <w:rFonts w:asciiTheme="minorHAnsi" w:hAnsiTheme="minorHAnsi" w:cs="Times New Roman"/>
          <w:lang w:val="es-ES_tradnl"/>
        </w:rPr>
        <w:t>.</w:t>
      </w:r>
      <w:r>
        <w:rPr>
          <w:rFonts w:asciiTheme="minorHAnsi" w:hAnsiTheme="minorHAnsi" w:cs="Times New Roman"/>
          <w:lang w:val="es-ES_tradnl"/>
        </w:rPr>
        <w:t xml:space="preserve"> </w:t>
      </w:r>
    </w:p>
    <w:p w:rsidR="0050241B" w:rsidRDefault="000E3E61" w:rsidP="00172730">
      <w:pPr>
        <w:jc w:val="both"/>
        <w:rPr>
          <w:rFonts w:asciiTheme="minorHAnsi" w:hAnsiTheme="minorHAnsi" w:cs="Times New Roman"/>
          <w:lang w:val="es-ES_tradnl"/>
        </w:rPr>
      </w:pPr>
      <w:r w:rsidRPr="00172730">
        <w:rPr>
          <w:rFonts w:asciiTheme="minorHAnsi" w:hAnsiTheme="minorHAnsi" w:cs="Times New Roman"/>
          <w:lang w:val="es-ES_tradnl"/>
        </w:rPr>
        <w:t>En este m</w:t>
      </w:r>
      <w:r w:rsidR="00BD1B40" w:rsidRPr="00172730">
        <w:rPr>
          <w:rFonts w:asciiTheme="minorHAnsi" w:hAnsiTheme="minorHAnsi" w:cs="Times New Roman"/>
          <w:lang w:val="es-ES_tradnl"/>
        </w:rPr>
        <w:t>a</w:t>
      </w:r>
      <w:r w:rsidRPr="00172730">
        <w:rPr>
          <w:rFonts w:asciiTheme="minorHAnsi" w:hAnsiTheme="minorHAnsi" w:cs="Times New Roman"/>
          <w:lang w:val="es-ES_tradnl"/>
        </w:rPr>
        <w:t>rco, es que se eval</w:t>
      </w:r>
      <w:r w:rsidR="00BD1B40" w:rsidRPr="00172730">
        <w:rPr>
          <w:rFonts w:asciiTheme="minorHAnsi" w:hAnsiTheme="minorHAnsi" w:cs="Times New Roman"/>
          <w:lang w:val="es-ES_tradnl"/>
        </w:rPr>
        <w:t>úa</w:t>
      </w:r>
      <w:r w:rsidRPr="00172730">
        <w:rPr>
          <w:rFonts w:asciiTheme="minorHAnsi" w:hAnsiTheme="minorHAnsi" w:cs="Times New Roman"/>
          <w:lang w:val="es-ES_tradnl"/>
        </w:rPr>
        <w:t xml:space="preserve"> a</w:t>
      </w:r>
      <w:r w:rsidR="00BD1B40" w:rsidRPr="00172730">
        <w:rPr>
          <w:rFonts w:asciiTheme="minorHAnsi" w:hAnsiTheme="minorHAnsi" w:cs="Times New Roman"/>
          <w:lang w:val="es-ES_tradnl"/>
        </w:rPr>
        <w:t xml:space="preserve"> </w:t>
      </w:r>
      <w:r w:rsidRPr="00172730">
        <w:rPr>
          <w:rFonts w:asciiTheme="minorHAnsi" w:hAnsiTheme="minorHAnsi" w:cs="Times New Roman"/>
          <w:lang w:val="es-ES_tradnl"/>
        </w:rPr>
        <w:t>p</w:t>
      </w:r>
      <w:r w:rsidR="00BD1B40" w:rsidRPr="00172730">
        <w:rPr>
          <w:rFonts w:asciiTheme="minorHAnsi" w:hAnsiTheme="minorHAnsi" w:cs="Times New Roman"/>
          <w:lang w:val="es-ES_tradnl"/>
        </w:rPr>
        <w:t>a</w:t>
      </w:r>
      <w:r w:rsidRPr="00172730">
        <w:rPr>
          <w:rFonts w:asciiTheme="minorHAnsi" w:hAnsiTheme="minorHAnsi" w:cs="Times New Roman"/>
          <w:lang w:val="es-ES_tradnl"/>
        </w:rPr>
        <w:t>rtir de aquí el nuevo arreglo</w:t>
      </w:r>
      <w:r w:rsidR="00643171">
        <w:rPr>
          <w:rFonts w:asciiTheme="minorHAnsi" w:hAnsiTheme="minorHAnsi" w:cs="Times New Roman"/>
          <w:lang w:val="es-ES_tradnl"/>
        </w:rPr>
        <w:t xml:space="preserve"> que se está definiendo por </w:t>
      </w:r>
      <w:r w:rsidR="004A2B88">
        <w:rPr>
          <w:rFonts w:asciiTheme="minorHAnsi" w:hAnsiTheme="minorHAnsi" w:cs="Times New Roman"/>
          <w:lang w:val="es-ES_tradnl"/>
        </w:rPr>
        <w:t>parte de l</w:t>
      </w:r>
      <w:r w:rsidR="00643171">
        <w:rPr>
          <w:rFonts w:asciiTheme="minorHAnsi" w:hAnsiTheme="minorHAnsi" w:cs="Times New Roman"/>
          <w:lang w:val="es-ES_tradnl"/>
        </w:rPr>
        <w:t>as autoridades para que sustituya a las condiciones de la actual concesión, de tal manera que pueda elevarse significativamente el monto de las obras a cargo de la concesión de la CVU en un nuevo convenio</w:t>
      </w:r>
      <w:r w:rsidR="00BD1B40" w:rsidRPr="00172730">
        <w:rPr>
          <w:rFonts w:asciiTheme="minorHAnsi" w:hAnsiTheme="minorHAnsi" w:cs="Times New Roman"/>
          <w:lang w:val="es-ES_tradnl"/>
        </w:rPr>
        <w:t>.</w:t>
      </w:r>
      <w:r w:rsidR="00643171">
        <w:rPr>
          <w:rFonts w:asciiTheme="minorHAnsi" w:hAnsiTheme="minorHAnsi" w:cs="Times New Roman"/>
          <w:lang w:val="es-ES_tradnl"/>
        </w:rPr>
        <w:t xml:space="preserve"> </w:t>
      </w:r>
      <w:r w:rsidR="001B7996" w:rsidRPr="00172730">
        <w:rPr>
          <w:rFonts w:asciiTheme="minorHAnsi" w:hAnsiTheme="minorHAnsi" w:cs="Times New Roman"/>
          <w:lang w:val="es-ES_tradnl"/>
        </w:rPr>
        <w:t xml:space="preserve">Por tanto, el préstamo </w:t>
      </w:r>
      <w:r w:rsidR="00643171">
        <w:rPr>
          <w:rFonts w:asciiTheme="minorHAnsi" w:hAnsiTheme="minorHAnsi" w:cs="Times New Roman"/>
          <w:lang w:val="es-ES_tradnl"/>
        </w:rPr>
        <w:t>del Banco será</w:t>
      </w:r>
      <w:r w:rsidR="001B7996" w:rsidRPr="00172730">
        <w:rPr>
          <w:rFonts w:asciiTheme="minorHAnsi" w:hAnsiTheme="minorHAnsi" w:cs="Times New Roman"/>
          <w:lang w:val="es-ES_tradnl"/>
        </w:rPr>
        <w:t xml:space="preserve"> encarado </w:t>
      </w:r>
      <w:r w:rsidR="00643171">
        <w:rPr>
          <w:rFonts w:asciiTheme="minorHAnsi" w:hAnsiTheme="minorHAnsi" w:cs="Times New Roman"/>
          <w:lang w:val="es-ES_tradnl"/>
        </w:rPr>
        <w:t xml:space="preserve">en </w:t>
      </w:r>
      <w:r w:rsidR="001B7996" w:rsidRPr="00172730">
        <w:rPr>
          <w:rFonts w:asciiTheme="minorHAnsi" w:hAnsiTheme="minorHAnsi" w:cs="Times New Roman"/>
          <w:lang w:val="es-ES_tradnl"/>
        </w:rPr>
        <w:t xml:space="preserve">el nuevo </w:t>
      </w:r>
      <w:r w:rsidR="00643171">
        <w:rPr>
          <w:rFonts w:asciiTheme="minorHAnsi" w:hAnsiTheme="minorHAnsi" w:cs="Times New Roman"/>
          <w:lang w:val="es-ES_tradnl"/>
        </w:rPr>
        <w:t xml:space="preserve">contrato entre MTOP, CND y CVU con una modificación significativa del </w:t>
      </w:r>
      <w:r w:rsidR="001B7996" w:rsidRPr="00172730">
        <w:rPr>
          <w:rFonts w:asciiTheme="minorHAnsi" w:hAnsiTheme="minorHAnsi" w:cs="Times New Roman"/>
          <w:lang w:val="es-ES_tradnl"/>
        </w:rPr>
        <w:t>Anexo I</w:t>
      </w:r>
      <w:r w:rsidR="00643171">
        <w:rPr>
          <w:rFonts w:asciiTheme="minorHAnsi" w:hAnsiTheme="minorHAnsi" w:cs="Times New Roman"/>
          <w:lang w:val="es-ES_tradnl"/>
        </w:rPr>
        <w:t xml:space="preserve"> y </w:t>
      </w:r>
      <w:r w:rsidR="001B7996" w:rsidRPr="00172730">
        <w:rPr>
          <w:rFonts w:asciiTheme="minorHAnsi" w:hAnsiTheme="minorHAnsi" w:cs="Times New Roman"/>
          <w:lang w:val="es-ES_tradnl"/>
        </w:rPr>
        <w:t>no en las actuales condiciones.</w:t>
      </w:r>
      <w:r w:rsidR="00643171">
        <w:rPr>
          <w:rFonts w:asciiTheme="minorHAnsi" w:hAnsiTheme="minorHAnsi" w:cs="Times New Roman"/>
          <w:lang w:val="es-ES_tradnl"/>
        </w:rPr>
        <w:t xml:space="preserve"> </w:t>
      </w:r>
    </w:p>
    <w:p w:rsidR="00463ACA" w:rsidRPr="00172730" w:rsidRDefault="00463ACA" w:rsidP="00172730">
      <w:pPr>
        <w:jc w:val="both"/>
        <w:rPr>
          <w:rFonts w:asciiTheme="minorHAnsi" w:hAnsiTheme="minorHAnsi" w:cs="Times New Roman"/>
          <w:lang w:val="es-ES_tradnl"/>
        </w:rPr>
      </w:pPr>
    </w:p>
    <w:p w:rsidR="001B7996" w:rsidRPr="00463ACA" w:rsidRDefault="00463ACA" w:rsidP="005C7397">
      <w:pPr>
        <w:pStyle w:val="Heading2"/>
      </w:pPr>
      <w:bookmarkStart w:id="10" w:name="_Toc428464180"/>
      <w:r w:rsidRPr="00463ACA">
        <w:t>Nuevo convenio para la concesión a la CVU</w:t>
      </w:r>
      <w:bookmarkEnd w:id="10"/>
    </w:p>
    <w:p w:rsidR="001B7996" w:rsidRPr="00172730" w:rsidRDefault="001B7996" w:rsidP="00172730">
      <w:pPr>
        <w:jc w:val="both"/>
        <w:rPr>
          <w:rFonts w:asciiTheme="minorHAnsi" w:hAnsiTheme="minorHAnsi" w:cs="Times New Roman"/>
          <w:lang w:val="es-ES_tradnl"/>
        </w:rPr>
      </w:pPr>
    </w:p>
    <w:p w:rsidR="00927DF1" w:rsidRDefault="004A2B88" w:rsidP="00172730">
      <w:pPr>
        <w:jc w:val="both"/>
        <w:rPr>
          <w:rFonts w:asciiTheme="minorHAnsi" w:hAnsiTheme="minorHAnsi" w:cs="Times New Roman"/>
          <w:lang w:val="es-ES_tradnl"/>
        </w:rPr>
      </w:pPr>
      <w:r>
        <w:rPr>
          <w:rFonts w:asciiTheme="minorHAnsi" w:hAnsiTheme="minorHAnsi" w:cs="Times New Roman"/>
          <w:lang w:val="es-ES_tradnl"/>
        </w:rPr>
        <w:t xml:space="preserve">Según se expresó precedentemente </w:t>
      </w:r>
      <w:r w:rsidR="00927DF1">
        <w:rPr>
          <w:rFonts w:asciiTheme="minorHAnsi" w:hAnsiTheme="minorHAnsi" w:cs="Times New Roman"/>
          <w:lang w:val="es-ES_tradnl"/>
        </w:rPr>
        <w:t>el MTOP y la CND firmaron un convenio y contrato de concesión en el año 2001 para la operación y mantenimiento de una red vial, que hoy se ubica en más de 1.600 km. Luego la CND creó la CVU para llevar adelante esta concesión.</w:t>
      </w:r>
    </w:p>
    <w:p w:rsidR="00927DF1" w:rsidRDefault="00927DF1" w:rsidP="00172730">
      <w:pPr>
        <w:jc w:val="both"/>
        <w:rPr>
          <w:rFonts w:asciiTheme="minorHAnsi" w:hAnsiTheme="minorHAnsi" w:cs="Times New Roman"/>
          <w:lang w:val="es-ES_tradnl"/>
        </w:rPr>
      </w:pPr>
      <w:r>
        <w:rPr>
          <w:rFonts w:asciiTheme="minorHAnsi" w:hAnsiTheme="minorHAnsi" w:cs="Times New Roman"/>
          <w:lang w:val="es-ES_tradnl"/>
        </w:rPr>
        <w:t>En el contrato firmado se incluyó el Anexo I donde se especificaban el marco de</w:t>
      </w:r>
      <w:r w:rsidR="004A2B88">
        <w:rPr>
          <w:rFonts w:asciiTheme="minorHAnsi" w:hAnsiTheme="minorHAnsi" w:cs="Times New Roman"/>
          <w:lang w:val="es-ES_tradnl"/>
        </w:rPr>
        <w:t xml:space="preserve"> actuación</w:t>
      </w:r>
      <w:r>
        <w:rPr>
          <w:rFonts w:asciiTheme="minorHAnsi" w:hAnsiTheme="minorHAnsi" w:cs="Times New Roman"/>
          <w:lang w:val="es-ES_tradnl"/>
        </w:rPr>
        <w:t>, la definición de las partes y la descripción de la concesión donde se detallaban las obligaciones del concesionario en los tres componentes de la misma, a saber</w:t>
      </w:r>
      <w:r w:rsidR="004A2B88">
        <w:rPr>
          <w:rFonts w:asciiTheme="minorHAnsi" w:hAnsiTheme="minorHAnsi" w:cs="Times New Roman"/>
          <w:lang w:val="es-ES_tradnl"/>
        </w:rPr>
        <w:t>:</w:t>
      </w:r>
      <w:r>
        <w:rPr>
          <w:rFonts w:asciiTheme="minorHAnsi" w:hAnsiTheme="minorHAnsi" w:cs="Times New Roman"/>
          <w:lang w:val="es-ES_tradnl"/>
        </w:rPr>
        <w:t xml:space="preserve"> 1) la gestión técnico-administrativa y construcción de carreteras más la explotación de puestos de peajes en las mismas, 2) el mantenimiento por niveles de servicio de la red definida y 3) la construcción y mantenimiento de estructuras, no incluidas en las definiciones de la red que atendían los otros componentes.</w:t>
      </w:r>
    </w:p>
    <w:p w:rsidR="00824583" w:rsidRDefault="00927DF1" w:rsidP="00172730">
      <w:pPr>
        <w:jc w:val="both"/>
        <w:rPr>
          <w:rFonts w:asciiTheme="minorHAnsi" w:hAnsiTheme="minorHAnsi" w:cs="Times New Roman"/>
          <w:lang w:val="es-ES_tradnl"/>
        </w:rPr>
      </w:pPr>
      <w:r>
        <w:rPr>
          <w:rFonts w:asciiTheme="minorHAnsi" w:hAnsiTheme="minorHAnsi" w:cs="Times New Roman"/>
          <w:lang w:val="es-ES_tradnl"/>
        </w:rPr>
        <w:t xml:space="preserve">Allí se definían el valor presente de los montos </w:t>
      </w:r>
      <w:r w:rsidR="00824583">
        <w:rPr>
          <w:rFonts w:asciiTheme="minorHAnsi" w:hAnsiTheme="minorHAnsi" w:cs="Times New Roman"/>
          <w:lang w:val="es-ES_tradnl"/>
        </w:rPr>
        <w:t>de egresos en obras que se c</w:t>
      </w:r>
      <w:r>
        <w:rPr>
          <w:rFonts w:asciiTheme="minorHAnsi" w:hAnsiTheme="minorHAnsi" w:cs="Times New Roman"/>
          <w:lang w:val="es-ES_tradnl"/>
        </w:rPr>
        <w:t>ompromet</w:t>
      </w:r>
      <w:r w:rsidR="00824583">
        <w:rPr>
          <w:rFonts w:asciiTheme="minorHAnsi" w:hAnsiTheme="minorHAnsi" w:cs="Times New Roman"/>
          <w:lang w:val="es-ES_tradnl"/>
        </w:rPr>
        <w:t>ía el concesionario</w:t>
      </w:r>
      <w:r>
        <w:rPr>
          <w:rFonts w:asciiTheme="minorHAnsi" w:hAnsiTheme="minorHAnsi" w:cs="Times New Roman"/>
          <w:lang w:val="es-ES_tradnl"/>
        </w:rPr>
        <w:t xml:space="preserve"> de gastos para atender los componentes mencionados de la concesión</w:t>
      </w:r>
      <w:r w:rsidR="00824583">
        <w:rPr>
          <w:rFonts w:asciiTheme="minorHAnsi" w:hAnsiTheme="minorHAnsi" w:cs="Times New Roman"/>
          <w:lang w:val="es-ES_tradnl"/>
        </w:rPr>
        <w:t xml:space="preserve">. Además se describía el área de la concesión. </w:t>
      </w:r>
    </w:p>
    <w:p w:rsidR="00824583" w:rsidRDefault="00824583" w:rsidP="00172730">
      <w:pPr>
        <w:jc w:val="both"/>
        <w:rPr>
          <w:rFonts w:asciiTheme="minorHAnsi" w:hAnsiTheme="minorHAnsi" w:cs="Times New Roman"/>
          <w:lang w:val="es-ES_tradnl"/>
        </w:rPr>
      </w:pPr>
      <w:r>
        <w:rPr>
          <w:rFonts w:asciiTheme="minorHAnsi" w:hAnsiTheme="minorHAnsi" w:cs="Times New Roman"/>
          <w:lang w:val="es-ES_tradnl"/>
        </w:rPr>
        <w:t>Por otra parte, definía los ingresos del concesionario en función de subsidios y compensación por excedentes de los ingresos de recaudación, que lo autorizaban a mayores obras o a reducir los compromisos asumidos. También las características del sistema de contraprestación y las características de los propios peajes a cobrar por el concesionario.</w:t>
      </w:r>
    </w:p>
    <w:p w:rsidR="00824583" w:rsidRDefault="00824583" w:rsidP="00172730">
      <w:pPr>
        <w:jc w:val="both"/>
        <w:rPr>
          <w:rFonts w:asciiTheme="minorHAnsi" w:hAnsiTheme="minorHAnsi" w:cs="Times New Roman"/>
          <w:lang w:val="es-ES_tradnl"/>
        </w:rPr>
      </w:pPr>
      <w:r>
        <w:rPr>
          <w:rFonts w:asciiTheme="minorHAnsi" w:hAnsiTheme="minorHAnsi" w:cs="Times New Roman"/>
          <w:lang w:val="es-ES_tradnl"/>
        </w:rPr>
        <w:t>Por último, cabe consignar que en el Anexo I se especificaba claramente la ubicación, tip</w:t>
      </w:r>
      <w:r w:rsidR="00B46977">
        <w:rPr>
          <w:rFonts w:asciiTheme="minorHAnsi" w:hAnsiTheme="minorHAnsi" w:cs="Times New Roman"/>
          <w:lang w:val="es-ES_tradnl"/>
        </w:rPr>
        <w:t>o</w:t>
      </w:r>
      <w:r>
        <w:rPr>
          <w:rFonts w:asciiTheme="minorHAnsi" w:hAnsiTheme="minorHAnsi" w:cs="Times New Roman"/>
          <w:lang w:val="es-ES_tradnl"/>
        </w:rPr>
        <w:t xml:space="preserve"> de obra, año a entregar y monto de las obras obligatorias de la concesión, junto con las características del mantenimiento de la red y de las estructuras y de la</w:t>
      </w:r>
      <w:r w:rsidR="004A2B88">
        <w:rPr>
          <w:rFonts w:asciiTheme="minorHAnsi" w:hAnsiTheme="minorHAnsi" w:cs="Times New Roman"/>
          <w:lang w:val="es-ES_tradnl"/>
        </w:rPr>
        <w:t>s</w:t>
      </w:r>
      <w:r>
        <w:rPr>
          <w:rFonts w:asciiTheme="minorHAnsi" w:hAnsiTheme="minorHAnsi" w:cs="Times New Roman"/>
          <w:lang w:val="es-ES_tradnl"/>
        </w:rPr>
        <w:t xml:space="preserve"> especificaciones correspondientes a los niveles de servicio.</w:t>
      </w:r>
    </w:p>
    <w:p w:rsidR="00824583" w:rsidRDefault="00824583" w:rsidP="00172730">
      <w:pPr>
        <w:jc w:val="both"/>
        <w:rPr>
          <w:rFonts w:asciiTheme="minorHAnsi" w:hAnsiTheme="minorHAnsi" w:cs="Times New Roman"/>
          <w:lang w:val="es-ES_tradnl"/>
        </w:rPr>
      </w:pPr>
      <w:r>
        <w:rPr>
          <w:rFonts w:asciiTheme="minorHAnsi" w:hAnsiTheme="minorHAnsi" w:cs="Times New Roman"/>
          <w:lang w:val="es-ES_tradnl"/>
        </w:rPr>
        <w:t xml:space="preserve">Por lo tanto, las características más específicas del convenio se describían en el Anexo I, mientras que el cuerpo del contrato de concesión definía </w:t>
      </w:r>
      <w:r w:rsidR="004A2B88">
        <w:rPr>
          <w:rFonts w:asciiTheme="minorHAnsi" w:hAnsiTheme="minorHAnsi" w:cs="Times New Roman"/>
          <w:lang w:val="es-ES_tradnl"/>
        </w:rPr>
        <w:t xml:space="preserve">sólo </w:t>
      </w:r>
      <w:r w:rsidR="008314C6">
        <w:rPr>
          <w:rFonts w:asciiTheme="minorHAnsi" w:hAnsiTheme="minorHAnsi" w:cs="Times New Roman"/>
          <w:lang w:val="es-ES_tradnl"/>
        </w:rPr>
        <w:t xml:space="preserve">los </w:t>
      </w:r>
      <w:r>
        <w:rPr>
          <w:rFonts w:asciiTheme="minorHAnsi" w:hAnsiTheme="minorHAnsi" w:cs="Times New Roman"/>
          <w:lang w:val="es-ES_tradnl"/>
        </w:rPr>
        <w:t>lineamientos más generales, dejando p</w:t>
      </w:r>
      <w:r w:rsidR="008314C6">
        <w:rPr>
          <w:rFonts w:asciiTheme="minorHAnsi" w:hAnsiTheme="minorHAnsi" w:cs="Times New Roman"/>
          <w:lang w:val="es-ES_tradnl"/>
        </w:rPr>
        <w:t>a</w:t>
      </w:r>
      <w:r>
        <w:rPr>
          <w:rFonts w:asciiTheme="minorHAnsi" w:hAnsiTheme="minorHAnsi" w:cs="Times New Roman"/>
          <w:lang w:val="es-ES_tradnl"/>
        </w:rPr>
        <w:t xml:space="preserve">ra </w:t>
      </w:r>
      <w:r w:rsidR="008314C6">
        <w:rPr>
          <w:rFonts w:asciiTheme="minorHAnsi" w:hAnsiTheme="minorHAnsi" w:cs="Times New Roman"/>
          <w:lang w:val="es-ES_tradnl"/>
        </w:rPr>
        <w:t>dicho</w:t>
      </w:r>
      <w:r>
        <w:rPr>
          <w:rFonts w:asciiTheme="minorHAnsi" w:hAnsiTheme="minorHAnsi" w:cs="Times New Roman"/>
          <w:lang w:val="es-ES_tradnl"/>
        </w:rPr>
        <w:t xml:space="preserve"> Anexo los detalles del convenio.</w:t>
      </w:r>
    </w:p>
    <w:p w:rsidR="00B46977" w:rsidRDefault="00824583" w:rsidP="00172730">
      <w:pPr>
        <w:jc w:val="both"/>
        <w:rPr>
          <w:rFonts w:asciiTheme="minorHAnsi" w:hAnsiTheme="minorHAnsi" w:cs="Times New Roman"/>
          <w:lang w:val="es-ES_tradnl"/>
        </w:rPr>
      </w:pPr>
      <w:r>
        <w:rPr>
          <w:rFonts w:asciiTheme="minorHAnsi" w:hAnsiTheme="minorHAnsi" w:cs="Times New Roman"/>
          <w:lang w:val="es-ES_tradnl"/>
        </w:rPr>
        <w:t xml:space="preserve">Ello permite que se pueda modificar la concesión en términos de </w:t>
      </w:r>
      <w:r w:rsidR="008314C6">
        <w:rPr>
          <w:rFonts w:asciiTheme="minorHAnsi" w:hAnsiTheme="minorHAnsi" w:cs="Times New Roman"/>
          <w:lang w:val="es-ES_tradnl"/>
        </w:rPr>
        <w:t xml:space="preserve">áreas, montos y definición de obras y </w:t>
      </w:r>
      <w:r w:rsidR="0077423B">
        <w:rPr>
          <w:rFonts w:asciiTheme="minorHAnsi" w:hAnsiTheme="minorHAnsi" w:cs="Times New Roman"/>
          <w:lang w:val="es-ES_tradnl"/>
        </w:rPr>
        <w:t xml:space="preserve">el </w:t>
      </w:r>
      <w:r w:rsidR="008314C6">
        <w:rPr>
          <w:rFonts w:asciiTheme="minorHAnsi" w:hAnsiTheme="minorHAnsi" w:cs="Times New Roman"/>
          <w:lang w:val="es-ES_tradnl"/>
        </w:rPr>
        <w:t xml:space="preserve">mantenimiento </w:t>
      </w:r>
      <w:r w:rsidR="0077423B">
        <w:rPr>
          <w:rFonts w:asciiTheme="minorHAnsi" w:hAnsiTheme="minorHAnsi" w:cs="Times New Roman"/>
          <w:lang w:val="es-ES_tradnl"/>
        </w:rPr>
        <w:t xml:space="preserve">de carreteras y estructuras </w:t>
      </w:r>
      <w:r w:rsidR="008314C6">
        <w:rPr>
          <w:rFonts w:asciiTheme="minorHAnsi" w:hAnsiTheme="minorHAnsi" w:cs="Times New Roman"/>
          <w:lang w:val="es-ES_tradnl"/>
        </w:rPr>
        <w:t xml:space="preserve">sin alterar el convenio marco, sólo modificando el Anexo I. </w:t>
      </w:r>
    </w:p>
    <w:p w:rsidR="00521B90" w:rsidRPr="00692780" w:rsidRDefault="008314C6" w:rsidP="00521B90">
      <w:pPr>
        <w:jc w:val="both"/>
        <w:rPr>
          <w:rFonts w:asciiTheme="minorHAnsi" w:hAnsiTheme="minorHAnsi" w:cs="Times New Roman"/>
          <w:lang w:val="es-ES_tradnl"/>
        </w:rPr>
      </w:pPr>
      <w:r>
        <w:rPr>
          <w:rFonts w:asciiTheme="minorHAnsi" w:hAnsiTheme="minorHAnsi" w:cs="Times New Roman"/>
          <w:lang w:val="es-ES_tradnl"/>
        </w:rPr>
        <w:t>El Gobierno</w:t>
      </w:r>
      <w:r w:rsidR="0077423B">
        <w:rPr>
          <w:rFonts w:asciiTheme="minorHAnsi" w:hAnsiTheme="minorHAnsi" w:cs="Times New Roman"/>
          <w:lang w:val="es-ES_tradnl"/>
        </w:rPr>
        <w:t xml:space="preserve"> tiene la intención de incrementar las inversiones que se incluyan en la Concesión por lo que ha decidido modificar este Anexo I para que se pueda ampliar la concesión, </w:t>
      </w:r>
      <w:r w:rsidR="00521B90">
        <w:rPr>
          <w:rFonts w:asciiTheme="minorHAnsi" w:hAnsiTheme="minorHAnsi" w:cs="Times New Roman"/>
          <w:lang w:val="es-ES_tradnl"/>
        </w:rPr>
        <w:t xml:space="preserve">sin realizar demasiados cambios regulatorios, </w:t>
      </w:r>
      <w:r w:rsidR="0077423B">
        <w:rPr>
          <w:rFonts w:asciiTheme="minorHAnsi" w:hAnsiTheme="minorHAnsi" w:cs="Times New Roman"/>
          <w:lang w:val="es-ES_tradnl"/>
        </w:rPr>
        <w:t>definiendo allí obras, mantenimiento de las mismas y los montos de ingresos de los concesionarios, o sea los subsidios básicamente, ya que los peajes se mantendrían.</w:t>
      </w:r>
      <w:r>
        <w:rPr>
          <w:rFonts w:asciiTheme="minorHAnsi" w:hAnsiTheme="minorHAnsi" w:cs="Times New Roman"/>
          <w:lang w:val="es-ES_tradnl"/>
        </w:rPr>
        <w:t xml:space="preserve"> </w:t>
      </w:r>
      <w:r w:rsidR="005B6B41">
        <w:rPr>
          <w:rFonts w:asciiTheme="minorHAnsi" w:hAnsiTheme="minorHAnsi" w:cs="Times New Roman"/>
          <w:lang w:val="es-ES_tradnl"/>
        </w:rPr>
        <w:t xml:space="preserve"> </w:t>
      </w:r>
      <w:r w:rsidR="00521B90">
        <w:rPr>
          <w:rFonts w:asciiTheme="minorHAnsi" w:hAnsiTheme="minorHAnsi" w:cs="Times New Roman"/>
          <w:lang w:val="es-ES_tradnl"/>
        </w:rPr>
        <w:t xml:space="preserve">El objetivo es continuar utilizando </w:t>
      </w:r>
      <w:r w:rsidR="00521B90" w:rsidRPr="00692780">
        <w:rPr>
          <w:rFonts w:asciiTheme="minorHAnsi" w:hAnsiTheme="minorHAnsi" w:cs="Times New Roman"/>
          <w:lang w:val="es-ES_tradnl"/>
        </w:rPr>
        <w:t xml:space="preserve">este instrumento con la CVU más allá de la finalización del contrato actual (octubre del 2020). </w:t>
      </w:r>
      <w:r w:rsidR="00D8757A" w:rsidRPr="00692780">
        <w:rPr>
          <w:rFonts w:asciiTheme="minorHAnsi" w:hAnsiTheme="minorHAnsi" w:cs="Times New Roman"/>
          <w:lang w:val="es-ES_tradnl"/>
        </w:rPr>
        <w:t xml:space="preserve">Con </w:t>
      </w:r>
      <w:r w:rsidR="00521B90" w:rsidRPr="00692780">
        <w:rPr>
          <w:rFonts w:asciiTheme="minorHAnsi" w:hAnsiTheme="minorHAnsi" w:cs="Times New Roman"/>
          <w:lang w:val="es-ES_tradnl"/>
        </w:rPr>
        <w:t>ello, la CVU mantendr</w:t>
      </w:r>
      <w:r w:rsidR="00D8757A" w:rsidRPr="00692780">
        <w:rPr>
          <w:rFonts w:asciiTheme="minorHAnsi" w:hAnsiTheme="minorHAnsi" w:cs="Times New Roman"/>
          <w:lang w:val="es-ES_tradnl"/>
        </w:rPr>
        <w:t>ía</w:t>
      </w:r>
      <w:r w:rsidR="00521B90" w:rsidRPr="00692780">
        <w:rPr>
          <w:rFonts w:asciiTheme="minorHAnsi" w:hAnsiTheme="minorHAnsi" w:cs="Times New Roman"/>
          <w:lang w:val="es-ES_tradnl"/>
        </w:rPr>
        <w:t xml:space="preserve"> su status actual de administrador de un fondo público vial.</w:t>
      </w:r>
    </w:p>
    <w:p w:rsidR="00D8757A" w:rsidRPr="00692780" w:rsidRDefault="005B6B41" w:rsidP="00692780">
      <w:pPr>
        <w:jc w:val="both"/>
        <w:rPr>
          <w:rFonts w:asciiTheme="minorHAnsi" w:hAnsiTheme="minorHAnsi" w:cs="Times New Roman"/>
          <w:lang w:val="es-ES_tradnl"/>
        </w:rPr>
      </w:pPr>
      <w:r w:rsidRPr="00692780">
        <w:rPr>
          <w:rFonts w:asciiTheme="minorHAnsi" w:hAnsiTheme="minorHAnsi" w:cs="Times New Roman"/>
          <w:lang w:val="es-ES_tradnl"/>
        </w:rPr>
        <w:t>En este sentido, se contrató una consultora (Consorcio de Ingeniería del Sur) para que efectuara un</w:t>
      </w:r>
      <w:r w:rsidR="00521B90" w:rsidRPr="00692780">
        <w:rPr>
          <w:rFonts w:asciiTheme="minorHAnsi" w:hAnsiTheme="minorHAnsi" w:cs="Times New Roman"/>
          <w:lang w:val="es-ES_tradnl"/>
        </w:rPr>
        <w:t xml:space="preserve">a propuesta </w:t>
      </w:r>
      <w:r w:rsidRPr="00692780">
        <w:rPr>
          <w:rFonts w:asciiTheme="minorHAnsi" w:hAnsiTheme="minorHAnsi" w:cs="Times New Roman"/>
          <w:lang w:val="es-ES_tradnl"/>
        </w:rPr>
        <w:t xml:space="preserve">de </w:t>
      </w:r>
      <w:r w:rsidR="00521B90" w:rsidRPr="00692780">
        <w:rPr>
          <w:rFonts w:asciiTheme="minorHAnsi" w:hAnsiTheme="minorHAnsi" w:cs="Times New Roman"/>
          <w:lang w:val="es-ES_tradnl"/>
        </w:rPr>
        <w:t>m</w:t>
      </w:r>
      <w:r w:rsidRPr="00692780">
        <w:rPr>
          <w:rFonts w:asciiTheme="minorHAnsi" w:hAnsiTheme="minorHAnsi" w:cs="Times New Roman"/>
          <w:lang w:val="es-ES_tradnl"/>
        </w:rPr>
        <w:t>odificación de</w:t>
      </w:r>
      <w:r w:rsidR="00521B90" w:rsidRPr="00692780">
        <w:rPr>
          <w:rFonts w:asciiTheme="minorHAnsi" w:hAnsiTheme="minorHAnsi" w:cs="Times New Roman"/>
          <w:lang w:val="es-ES_tradnl"/>
        </w:rPr>
        <w:t>l Anexo I de</w:t>
      </w:r>
      <w:r w:rsidRPr="00692780">
        <w:rPr>
          <w:rFonts w:asciiTheme="minorHAnsi" w:hAnsiTheme="minorHAnsi" w:cs="Times New Roman"/>
          <w:lang w:val="es-ES_tradnl"/>
        </w:rPr>
        <w:t xml:space="preserve"> la concesión. En el estudio</w:t>
      </w:r>
      <w:r w:rsidR="00D8757A" w:rsidRPr="00692780">
        <w:rPr>
          <w:rFonts w:asciiTheme="minorHAnsi" w:hAnsiTheme="minorHAnsi" w:cs="Times New Roman"/>
          <w:lang w:val="es-ES_tradnl"/>
        </w:rPr>
        <w:t xml:space="preserve">, </w:t>
      </w:r>
      <w:r w:rsidRPr="00692780">
        <w:rPr>
          <w:rFonts w:asciiTheme="minorHAnsi" w:hAnsiTheme="minorHAnsi" w:cs="Times New Roman"/>
          <w:lang w:val="es-ES_tradnl"/>
        </w:rPr>
        <w:t xml:space="preserve"> </w:t>
      </w:r>
      <w:r w:rsidR="00D8757A" w:rsidRPr="00692780">
        <w:rPr>
          <w:rFonts w:asciiTheme="minorHAnsi" w:hAnsiTheme="minorHAnsi" w:cs="Times New Roman"/>
          <w:lang w:val="es-ES_tradnl"/>
        </w:rPr>
        <w:t xml:space="preserve">finalizado en el año 2014, </w:t>
      </w:r>
      <w:r w:rsidR="00521B90" w:rsidRPr="00692780">
        <w:rPr>
          <w:rFonts w:asciiTheme="minorHAnsi" w:hAnsiTheme="minorHAnsi" w:cs="Times New Roman"/>
          <w:lang w:val="es-ES_tradnl"/>
        </w:rPr>
        <w:t>se elabor</w:t>
      </w:r>
      <w:r w:rsidR="00D8757A" w:rsidRPr="00692780">
        <w:rPr>
          <w:rFonts w:asciiTheme="minorHAnsi" w:hAnsiTheme="minorHAnsi" w:cs="Times New Roman"/>
          <w:lang w:val="es-ES_tradnl"/>
        </w:rPr>
        <w:t xml:space="preserve">ó </w:t>
      </w:r>
      <w:r w:rsidR="00521B90" w:rsidRPr="00692780">
        <w:rPr>
          <w:rFonts w:asciiTheme="minorHAnsi" w:hAnsiTheme="minorHAnsi" w:cs="Times New Roman"/>
          <w:lang w:val="es-ES_tradnl"/>
        </w:rPr>
        <w:t xml:space="preserve">un nuevo Anexo I donde </w:t>
      </w:r>
      <w:r w:rsidRPr="00692780">
        <w:rPr>
          <w:rFonts w:asciiTheme="minorHAnsi" w:hAnsiTheme="minorHAnsi" w:cs="Times New Roman"/>
          <w:lang w:val="es-ES_tradnl"/>
        </w:rPr>
        <w:t xml:space="preserve">se definieron específicamente </w:t>
      </w:r>
      <w:r w:rsidR="00AC1BE2" w:rsidRPr="00692780">
        <w:rPr>
          <w:rFonts w:asciiTheme="minorHAnsi" w:hAnsiTheme="minorHAnsi" w:cs="Times New Roman"/>
          <w:lang w:val="es-ES_tradnl"/>
        </w:rPr>
        <w:t xml:space="preserve">las obras que se incluirían y </w:t>
      </w:r>
      <w:r w:rsidRPr="00692780">
        <w:rPr>
          <w:rFonts w:asciiTheme="minorHAnsi" w:hAnsiTheme="minorHAnsi" w:cs="Times New Roman"/>
          <w:lang w:val="es-ES_tradnl"/>
        </w:rPr>
        <w:t>los ingresos por subsidios de la concesión</w:t>
      </w:r>
      <w:r w:rsidR="00D8757A" w:rsidRPr="00692780">
        <w:rPr>
          <w:rFonts w:asciiTheme="minorHAnsi" w:hAnsiTheme="minorHAnsi" w:cs="Times New Roman"/>
          <w:lang w:val="es-ES_tradnl"/>
        </w:rPr>
        <w:t xml:space="preserve">. El área se elevó a algo más de 2.750 km, al ampliarse la concesión abarcando el total de las rutas que hoy son sólo atendidas en ciertos tramos por la concesión vigente. </w:t>
      </w:r>
    </w:p>
    <w:p w:rsidR="00D8757A" w:rsidRPr="00D8757A" w:rsidRDefault="00D8757A" w:rsidP="00692780">
      <w:pPr>
        <w:jc w:val="both"/>
        <w:rPr>
          <w:rFonts w:asciiTheme="minorHAnsi" w:hAnsiTheme="minorHAnsi" w:cs="Times New Roman"/>
          <w:lang w:val="es-ES_tradnl"/>
        </w:rPr>
      </w:pPr>
      <w:r w:rsidRPr="00692780">
        <w:rPr>
          <w:rFonts w:asciiTheme="minorHAnsi" w:hAnsiTheme="minorHAnsi" w:cs="Times New Roman"/>
          <w:lang w:val="es-ES_tradnl"/>
        </w:rPr>
        <w:t>Para ello, se def</w:t>
      </w:r>
      <w:r w:rsidR="005B6B41">
        <w:rPr>
          <w:rFonts w:asciiTheme="minorHAnsi" w:hAnsiTheme="minorHAnsi" w:cs="Times New Roman"/>
          <w:lang w:val="es-ES_tradnl"/>
        </w:rPr>
        <w:t>inieron dos escenarios básicos, uno de máxima con gastos en obras por algo más de US$ 3.600 millones en una concesión de</w:t>
      </w:r>
      <w:r w:rsidR="004A2B88">
        <w:rPr>
          <w:rFonts w:asciiTheme="minorHAnsi" w:hAnsiTheme="minorHAnsi" w:cs="Times New Roman"/>
          <w:lang w:val="es-ES_tradnl"/>
        </w:rPr>
        <w:t xml:space="preserve"> </w:t>
      </w:r>
      <w:r w:rsidR="005B6B41">
        <w:rPr>
          <w:rFonts w:asciiTheme="minorHAnsi" w:hAnsiTheme="minorHAnsi" w:cs="Times New Roman"/>
          <w:lang w:val="es-ES_tradnl"/>
        </w:rPr>
        <w:t xml:space="preserve">20 años y otro de mínima que ubicaba el gasto en </w:t>
      </w:r>
      <w:r>
        <w:rPr>
          <w:rFonts w:asciiTheme="minorHAnsi" w:hAnsiTheme="minorHAnsi" w:cs="Times New Roman"/>
          <w:lang w:val="es-ES_tradnl"/>
        </w:rPr>
        <w:t xml:space="preserve">alrededor de </w:t>
      </w:r>
      <w:r w:rsidR="005B6B41">
        <w:rPr>
          <w:rFonts w:asciiTheme="minorHAnsi" w:hAnsiTheme="minorHAnsi" w:cs="Times New Roman"/>
          <w:lang w:val="es-ES_tradnl"/>
        </w:rPr>
        <w:t xml:space="preserve">US$ 2.800 millones. En este último caso el primer quinquenio de la concesión se elevaba a cerca de US$ 800 millones. </w:t>
      </w:r>
      <w:r w:rsidRPr="00D8757A">
        <w:rPr>
          <w:rFonts w:asciiTheme="minorHAnsi" w:hAnsiTheme="minorHAnsi" w:cs="Times New Roman"/>
          <w:lang w:val="es-ES_tradnl"/>
        </w:rPr>
        <w:t xml:space="preserve">En Anexo se incluyen estas proyecciones del gasto calculadas por </w:t>
      </w:r>
      <w:r w:rsidR="00F93692">
        <w:rPr>
          <w:rFonts w:asciiTheme="minorHAnsi" w:hAnsiTheme="minorHAnsi" w:cs="Times New Roman"/>
          <w:lang w:val="es-ES_tradnl"/>
        </w:rPr>
        <w:t>el Consorcio Ingeniería del Sur</w:t>
      </w:r>
      <w:r>
        <w:rPr>
          <w:rFonts w:asciiTheme="minorHAnsi" w:hAnsiTheme="minorHAnsi" w:cs="Times New Roman"/>
          <w:lang w:val="es-ES_tradnl"/>
        </w:rPr>
        <w:t xml:space="preserve">. </w:t>
      </w:r>
      <w:r w:rsidRPr="00692780">
        <w:rPr>
          <w:rFonts w:asciiTheme="minorHAnsi" w:hAnsiTheme="minorHAnsi" w:cs="Times New Roman"/>
          <w:lang w:val="es-ES_tradnl"/>
        </w:rPr>
        <w:t xml:space="preserve">Se tomó en cuenta un aumento del tránsito de 2,8% anual, en base a estudios econométricos, similares a los realizados por la CND hace 4 años, que trabajaron con proyecciones de aumento del PBI de 2,6% anual. </w:t>
      </w:r>
    </w:p>
    <w:p w:rsidR="00521B90" w:rsidRPr="00692780" w:rsidRDefault="00D8757A" w:rsidP="00692780">
      <w:pPr>
        <w:jc w:val="both"/>
        <w:rPr>
          <w:rFonts w:asciiTheme="minorHAnsi" w:hAnsiTheme="minorHAnsi" w:cs="Times New Roman"/>
          <w:lang w:val="es-ES_tradnl"/>
        </w:rPr>
      </w:pPr>
      <w:r>
        <w:rPr>
          <w:rFonts w:asciiTheme="minorHAnsi" w:hAnsiTheme="minorHAnsi" w:cs="Times New Roman"/>
          <w:lang w:val="es-ES_tradnl"/>
        </w:rPr>
        <w:t>Luego, s</w:t>
      </w:r>
      <w:r w:rsidR="00521B90" w:rsidRPr="00692780">
        <w:rPr>
          <w:rFonts w:asciiTheme="minorHAnsi" w:hAnsiTheme="minorHAnsi" w:cs="Times New Roman"/>
          <w:lang w:val="es-ES_tradnl"/>
        </w:rPr>
        <w:t>e realizaron diversas reuniones entre CVU, CND</w:t>
      </w:r>
      <w:r w:rsidRPr="00692780">
        <w:rPr>
          <w:rFonts w:asciiTheme="minorHAnsi" w:hAnsiTheme="minorHAnsi" w:cs="Times New Roman"/>
          <w:lang w:val="es-ES_tradnl"/>
        </w:rPr>
        <w:t xml:space="preserve">, MEF y </w:t>
      </w:r>
      <w:r w:rsidR="00521B90" w:rsidRPr="00692780">
        <w:rPr>
          <w:rFonts w:asciiTheme="minorHAnsi" w:hAnsiTheme="minorHAnsi" w:cs="Times New Roman"/>
          <w:lang w:val="es-ES_tradnl"/>
        </w:rPr>
        <w:t xml:space="preserve">DINAPLO y DNV </w:t>
      </w:r>
      <w:r w:rsidRPr="00692780">
        <w:rPr>
          <w:rFonts w:asciiTheme="minorHAnsi" w:hAnsiTheme="minorHAnsi" w:cs="Times New Roman"/>
          <w:lang w:val="es-ES_tradnl"/>
        </w:rPr>
        <w:t xml:space="preserve">del MTOP </w:t>
      </w:r>
      <w:r w:rsidR="00521B90" w:rsidRPr="00692780">
        <w:rPr>
          <w:rFonts w:asciiTheme="minorHAnsi" w:hAnsiTheme="minorHAnsi" w:cs="Times New Roman"/>
          <w:lang w:val="es-ES_tradnl"/>
        </w:rPr>
        <w:t>sobre el trabajo de la consultoría de CSI para resolver las futuras inversiones a incluir en el nuevo Anexo I a llevar adelante por la CVU. Se trabaj</w:t>
      </w:r>
      <w:r w:rsidRPr="00692780">
        <w:rPr>
          <w:rFonts w:asciiTheme="minorHAnsi" w:hAnsiTheme="minorHAnsi" w:cs="Times New Roman"/>
          <w:lang w:val="es-ES_tradnl"/>
        </w:rPr>
        <w:t>ó</w:t>
      </w:r>
      <w:r w:rsidR="00521B90" w:rsidRPr="00692780">
        <w:rPr>
          <w:rFonts w:asciiTheme="minorHAnsi" w:hAnsiTheme="minorHAnsi" w:cs="Times New Roman"/>
          <w:lang w:val="es-ES_tradnl"/>
        </w:rPr>
        <w:t xml:space="preserve"> básicamente sobre la hipótesis de mínima de dicho trabajo. </w:t>
      </w:r>
      <w:r w:rsidRPr="00692780">
        <w:rPr>
          <w:rFonts w:asciiTheme="minorHAnsi" w:hAnsiTheme="minorHAnsi" w:cs="Times New Roman"/>
          <w:lang w:val="es-ES_tradnl"/>
        </w:rPr>
        <w:t>Luego quedó en el MEF y el MTOP las decisiones sobre las características y condiciones del nuevo Anexo I.</w:t>
      </w:r>
    </w:p>
    <w:p w:rsidR="005B6B41" w:rsidRPr="00692780" w:rsidRDefault="005B6B41" w:rsidP="00692780">
      <w:pPr>
        <w:jc w:val="both"/>
        <w:rPr>
          <w:rFonts w:asciiTheme="minorHAnsi" w:hAnsiTheme="minorHAnsi" w:cs="Times New Roman"/>
          <w:lang w:val="es-ES_tradnl"/>
        </w:rPr>
      </w:pPr>
      <w:r w:rsidRPr="00692780">
        <w:rPr>
          <w:rFonts w:asciiTheme="minorHAnsi" w:hAnsiTheme="minorHAnsi" w:cs="Times New Roman"/>
          <w:lang w:val="es-ES_tradnl"/>
        </w:rPr>
        <w:t xml:space="preserve">A partir de ello, el MEF </w:t>
      </w:r>
      <w:r w:rsidR="00692780" w:rsidRPr="00692780">
        <w:rPr>
          <w:rFonts w:asciiTheme="minorHAnsi" w:hAnsiTheme="minorHAnsi" w:cs="Times New Roman"/>
          <w:lang w:val="es-ES_tradnl"/>
        </w:rPr>
        <w:t xml:space="preserve">nos ha brindado estimaciones </w:t>
      </w:r>
      <w:r w:rsidR="00692780">
        <w:rPr>
          <w:rFonts w:asciiTheme="minorHAnsi" w:hAnsiTheme="minorHAnsi" w:cs="Times New Roman"/>
          <w:lang w:val="es-ES_tradnl"/>
        </w:rPr>
        <w:t xml:space="preserve">preliminares </w:t>
      </w:r>
      <w:r w:rsidR="00692780" w:rsidRPr="00692780">
        <w:rPr>
          <w:rFonts w:asciiTheme="minorHAnsi" w:hAnsiTheme="minorHAnsi" w:cs="Times New Roman"/>
          <w:lang w:val="es-ES_tradnl"/>
        </w:rPr>
        <w:t>sobre l</w:t>
      </w:r>
      <w:r w:rsidR="00692780">
        <w:rPr>
          <w:rFonts w:asciiTheme="minorHAnsi" w:hAnsiTheme="minorHAnsi" w:cs="Times New Roman"/>
          <w:lang w:val="es-ES_tradnl"/>
        </w:rPr>
        <w:t>os ingresos posibles, l</w:t>
      </w:r>
      <w:r w:rsidR="00692780" w:rsidRPr="00692780">
        <w:rPr>
          <w:rFonts w:asciiTheme="minorHAnsi" w:hAnsiTheme="minorHAnsi" w:cs="Times New Roman"/>
          <w:lang w:val="es-ES_tradnl"/>
        </w:rPr>
        <w:t xml:space="preserve">as obras a realizar </w:t>
      </w:r>
      <w:r w:rsidR="00692780">
        <w:rPr>
          <w:rFonts w:asciiTheme="minorHAnsi" w:hAnsiTheme="minorHAnsi" w:cs="Times New Roman"/>
          <w:lang w:val="es-ES_tradnl"/>
        </w:rPr>
        <w:t xml:space="preserve">y financiamiento </w:t>
      </w:r>
      <w:r w:rsidR="00692780" w:rsidRPr="00692780">
        <w:rPr>
          <w:rFonts w:asciiTheme="minorHAnsi" w:hAnsiTheme="minorHAnsi" w:cs="Times New Roman"/>
          <w:lang w:val="es-ES_tradnl"/>
        </w:rPr>
        <w:t>en el primer quinquenio</w:t>
      </w:r>
      <w:r w:rsidR="00692780">
        <w:rPr>
          <w:rFonts w:asciiTheme="minorHAnsi" w:hAnsiTheme="minorHAnsi" w:cs="Times New Roman"/>
          <w:lang w:val="es-ES_tradnl"/>
        </w:rPr>
        <w:t xml:space="preserve">. En el caso de las obras a realizar, se han </w:t>
      </w:r>
      <w:r w:rsidR="00692780" w:rsidRPr="00692780">
        <w:rPr>
          <w:rFonts w:asciiTheme="minorHAnsi" w:hAnsiTheme="minorHAnsi" w:cs="Times New Roman"/>
          <w:lang w:val="es-ES_tradnl"/>
        </w:rPr>
        <w:t>ajusta</w:t>
      </w:r>
      <w:r w:rsidR="00692780">
        <w:rPr>
          <w:rFonts w:asciiTheme="minorHAnsi" w:hAnsiTheme="minorHAnsi" w:cs="Times New Roman"/>
          <w:lang w:val="es-ES_tradnl"/>
        </w:rPr>
        <w:t>do</w:t>
      </w:r>
      <w:r w:rsidR="00692780" w:rsidRPr="00692780">
        <w:rPr>
          <w:rFonts w:asciiTheme="minorHAnsi" w:hAnsiTheme="minorHAnsi" w:cs="Times New Roman"/>
          <w:lang w:val="es-ES_tradnl"/>
        </w:rPr>
        <w:t xml:space="preserve"> los valores que se desprendían del cálculo de la consultora, para elevarlos a US$ 962 millones</w:t>
      </w:r>
      <w:r w:rsidR="00692780">
        <w:rPr>
          <w:rFonts w:asciiTheme="minorHAnsi" w:hAnsiTheme="minorHAnsi" w:cs="Times New Roman"/>
          <w:lang w:val="es-ES_tradnl"/>
        </w:rPr>
        <w:t xml:space="preserve"> </w:t>
      </w:r>
      <w:r w:rsidR="00692780" w:rsidRPr="00692780">
        <w:rPr>
          <w:rFonts w:asciiTheme="minorHAnsi" w:hAnsiTheme="minorHAnsi" w:cs="Times New Roman"/>
          <w:lang w:val="es-ES_tradnl"/>
        </w:rPr>
        <w:t xml:space="preserve">para ese </w:t>
      </w:r>
      <w:r w:rsidR="00692780">
        <w:rPr>
          <w:rFonts w:asciiTheme="minorHAnsi" w:hAnsiTheme="minorHAnsi" w:cs="Times New Roman"/>
          <w:lang w:val="es-ES_tradnl"/>
        </w:rPr>
        <w:t xml:space="preserve">primer </w:t>
      </w:r>
      <w:r w:rsidR="00692780" w:rsidRPr="00692780">
        <w:rPr>
          <w:rFonts w:asciiTheme="minorHAnsi" w:hAnsiTheme="minorHAnsi" w:cs="Times New Roman"/>
          <w:lang w:val="es-ES_tradnl"/>
        </w:rPr>
        <w:t>quinquenio, sin tener resuelto aún el resto de las inversiones que estarán bajo la égida de la concesión otorgada a la CVU en el marco del nuevo Anexo I</w:t>
      </w:r>
      <w:r w:rsidR="00925EB9" w:rsidRPr="00692780">
        <w:rPr>
          <w:rFonts w:asciiTheme="minorHAnsi" w:hAnsiTheme="minorHAnsi" w:cs="Times New Roman"/>
          <w:lang w:val="es-ES_tradnl"/>
        </w:rPr>
        <w:t>.</w:t>
      </w:r>
      <w:r w:rsidRPr="00692780">
        <w:rPr>
          <w:rFonts w:asciiTheme="minorHAnsi" w:hAnsiTheme="minorHAnsi" w:cs="Times New Roman"/>
          <w:lang w:val="es-ES_tradnl"/>
        </w:rPr>
        <w:t xml:space="preserve"> </w:t>
      </w:r>
    </w:p>
    <w:p w:rsidR="00963871" w:rsidRDefault="00963871" w:rsidP="00172730">
      <w:pPr>
        <w:jc w:val="both"/>
        <w:rPr>
          <w:rFonts w:asciiTheme="minorHAnsi" w:hAnsiTheme="minorHAnsi" w:cs="Times New Roman"/>
          <w:lang w:val="es-ES_tradnl"/>
        </w:rPr>
      </w:pPr>
      <w:r>
        <w:rPr>
          <w:rFonts w:asciiTheme="minorHAnsi" w:hAnsiTheme="minorHAnsi" w:cs="Times New Roman"/>
          <w:lang w:val="es-ES_tradnl"/>
        </w:rPr>
        <w:t xml:space="preserve">A partir de estas </w:t>
      </w:r>
      <w:r w:rsidR="00692780">
        <w:rPr>
          <w:rFonts w:asciiTheme="minorHAnsi" w:hAnsiTheme="minorHAnsi" w:cs="Times New Roman"/>
          <w:lang w:val="es-ES_tradnl"/>
        </w:rPr>
        <w:t xml:space="preserve">estimaciones, se han adoptado aquí el resto de supuestos y consideraciones para construir </w:t>
      </w:r>
      <w:r>
        <w:rPr>
          <w:rFonts w:asciiTheme="minorHAnsi" w:hAnsiTheme="minorHAnsi" w:cs="Times New Roman"/>
          <w:lang w:val="es-ES_tradnl"/>
        </w:rPr>
        <w:t>los flujos de fondos que podrían corresponder a</w:t>
      </w:r>
      <w:r w:rsidR="00692780">
        <w:rPr>
          <w:rFonts w:asciiTheme="minorHAnsi" w:hAnsiTheme="minorHAnsi" w:cs="Times New Roman"/>
          <w:lang w:val="es-ES_tradnl"/>
        </w:rPr>
        <w:t>l total del período y no sólo a</w:t>
      </w:r>
      <w:r w:rsidR="00DE6839">
        <w:rPr>
          <w:rFonts w:asciiTheme="minorHAnsi" w:hAnsiTheme="minorHAnsi" w:cs="Times New Roman"/>
          <w:lang w:val="es-ES_tradnl"/>
        </w:rPr>
        <w:t>l</w:t>
      </w:r>
      <w:r w:rsidR="00692780">
        <w:rPr>
          <w:rFonts w:asciiTheme="minorHAnsi" w:hAnsiTheme="minorHAnsi" w:cs="Times New Roman"/>
          <w:lang w:val="es-ES_tradnl"/>
        </w:rPr>
        <w:t xml:space="preserve"> primer quinquenio.</w:t>
      </w:r>
    </w:p>
    <w:p w:rsidR="00D3067C" w:rsidRPr="00692780" w:rsidRDefault="00D3067C" w:rsidP="00692780">
      <w:pPr>
        <w:jc w:val="both"/>
        <w:rPr>
          <w:rFonts w:asciiTheme="minorHAnsi" w:hAnsiTheme="minorHAnsi" w:cs="Times New Roman"/>
          <w:lang w:val="es-ES_tradnl"/>
        </w:rPr>
      </w:pPr>
      <w:r w:rsidRPr="00692780">
        <w:rPr>
          <w:rFonts w:asciiTheme="minorHAnsi" w:hAnsiTheme="minorHAnsi" w:cs="Times New Roman"/>
          <w:lang w:val="es-ES_tradnl"/>
        </w:rPr>
        <w:t>En primer término, se estima que la concesión bajo el nuevo Anexo I podrí</w:t>
      </w:r>
      <w:r w:rsidR="005C7397" w:rsidRPr="00692780">
        <w:rPr>
          <w:rFonts w:asciiTheme="minorHAnsi" w:hAnsiTheme="minorHAnsi" w:cs="Times New Roman"/>
          <w:lang w:val="es-ES_tradnl"/>
        </w:rPr>
        <w:t>a</w:t>
      </w:r>
      <w:r w:rsidRPr="00692780">
        <w:rPr>
          <w:rFonts w:asciiTheme="minorHAnsi" w:hAnsiTheme="minorHAnsi" w:cs="Times New Roman"/>
          <w:lang w:val="es-ES_tradnl"/>
        </w:rPr>
        <w:t xml:space="preserve"> regir a partir del </w:t>
      </w:r>
      <w:r w:rsidR="005C7397" w:rsidRPr="00692780">
        <w:rPr>
          <w:rFonts w:asciiTheme="minorHAnsi" w:hAnsiTheme="minorHAnsi" w:cs="Times New Roman"/>
          <w:lang w:val="es-ES_tradnl"/>
        </w:rPr>
        <w:t>e</w:t>
      </w:r>
      <w:r w:rsidRPr="00692780">
        <w:rPr>
          <w:rFonts w:asciiTheme="minorHAnsi" w:hAnsiTheme="minorHAnsi" w:cs="Times New Roman"/>
          <w:lang w:val="es-ES_tradnl"/>
        </w:rPr>
        <w:t xml:space="preserve">jercicio 2015/2016 de la CVU, por lo que </w:t>
      </w:r>
      <w:r w:rsidR="005C7397" w:rsidRPr="00692780">
        <w:rPr>
          <w:rFonts w:asciiTheme="minorHAnsi" w:hAnsiTheme="minorHAnsi" w:cs="Times New Roman"/>
          <w:lang w:val="es-ES_tradnl"/>
        </w:rPr>
        <w:t>s</w:t>
      </w:r>
      <w:r w:rsidRPr="00692780">
        <w:rPr>
          <w:rFonts w:asciiTheme="minorHAnsi" w:hAnsiTheme="minorHAnsi" w:cs="Times New Roman"/>
          <w:lang w:val="es-ES_tradnl"/>
        </w:rPr>
        <w:t>e efectuaría un cierre al final del p</w:t>
      </w:r>
      <w:r w:rsidR="005C7397" w:rsidRPr="00692780">
        <w:rPr>
          <w:rFonts w:asciiTheme="minorHAnsi" w:hAnsiTheme="minorHAnsi" w:cs="Times New Roman"/>
          <w:lang w:val="es-ES_tradnl"/>
        </w:rPr>
        <w:t>r</w:t>
      </w:r>
      <w:r w:rsidRPr="00692780">
        <w:rPr>
          <w:rFonts w:asciiTheme="minorHAnsi" w:hAnsiTheme="minorHAnsi" w:cs="Times New Roman"/>
          <w:lang w:val="es-ES_tradnl"/>
        </w:rPr>
        <w:t>esente ejercicio y luego se iniciarí</w:t>
      </w:r>
      <w:r w:rsidR="005C7397" w:rsidRPr="00692780">
        <w:rPr>
          <w:rFonts w:asciiTheme="minorHAnsi" w:hAnsiTheme="minorHAnsi" w:cs="Times New Roman"/>
          <w:lang w:val="es-ES_tradnl"/>
        </w:rPr>
        <w:t>a</w:t>
      </w:r>
      <w:r w:rsidRPr="00692780">
        <w:rPr>
          <w:rFonts w:asciiTheme="minorHAnsi" w:hAnsiTheme="minorHAnsi" w:cs="Times New Roman"/>
          <w:lang w:val="es-ES_tradnl"/>
        </w:rPr>
        <w:t xml:space="preserve"> el contrato nuevo </w:t>
      </w:r>
      <w:r w:rsidR="005C7397" w:rsidRPr="00692780">
        <w:rPr>
          <w:rFonts w:asciiTheme="minorHAnsi" w:hAnsiTheme="minorHAnsi" w:cs="Times New Roman"/>
          <w:lang w:val="es-ES_tradnl"/>
        </w:rPr>
        <w:t>p</w:t>
      </w:r>
      <w:r w:rsidRPr="00692780">
        <w:rPr>
          <w:rFonts w:asciiTheme="minorHAnsi" w:hAnsiTheme="minorHAnsi" w:cs="Times New Roman"/>
          <w:lang w:val="es-ES_tradnl"/>
        </w:rPr>
        <w:t xml:space="preserve">or 20 años,  </w:t>
      </w:r>
      <w:r w:rsidR="005C7397" w:rsidRPr="00692780">
        <w:rPr>
          <w:rFonts w:asciiTheme="minorHAnsi" w:hAnsiTheme="minorHAnsi" w:cs="Times New Roman"/>
          <w:lang w:val="es-ES_tradnl"/>
        </w:rPr>
        <w:t>por lo que</w:t>
      </w:r>
      <w:r w:rsidRPr="00692780">
        <w:rPr>
          <w:rFonts w:asciiTheme="minorHAnsi" w:hAnsiTheme="minorHAnsi" w:cs="Times New Roman"/>
          <w:lang w:val="es-ES_tradnl"/>
        </w:rPr>
        <w:t xml:space="preserve"> los flujos de fondo</w:t>
      </w:r>
      <w:r w:rsidR="005C7397" w:rsidRPr="00692780">
        <w:rPr>
          <w:rFonts w:asciiTheme="minorHAnsi" w:hAnsiTheme="minorHAnsi" w:cs="Times New Roman"/>
          <w:lang w:val="es-ES_tradnl"/>
        </w:rPr>
        <w:t>s</w:t>
      </w:r>
      <w:r w:rsidRPr="00692780">
        <w:rPr>
          <w:rFonts w:asciiTheme="minorHAnsi" w:hAnsiTheme="minorHAnsi" w:cs="Times New Roman"/>
          <w:lang w:val="es-ES_tradnl"/>
        </w:rPr>
        <w:t xml:space="preserve"> que se han con</w:t>
      </w:r>
      <w:r w:rsidR="005C7397" w:rsidRPr="00692780">
        <w:rPr>
          <w:rFonts w:asciiTheme="minorHAnsi" w:hAnsiTheme="minorHAnsi" w:cs="Times New Roman"/>
          <w:lang w:val="es-ES_tradnl"/>
        </w:rPr>
        <w:t>s</w:t>
      </w:r>
      <w:r w:rsidRPr="00692780">
        <w:rPr>
          <w:rFonts w:asciiTheme="minorHAnsi" w:hAnsiTheme="minorHAnsi" w:cs="Times New Roman"/>
          <w:lang w:val="es-ES_tradnl"/>
        </w:rPr>
        <w:t>truido por este consultor se inician en dicho e</w:t>
      </w:r>
      <w:r w:rsidR="005C7397" w:rsidRPr="00692780">
        <w:rPr>
          <w:rFonts w:asciiTheme="minorHAnsi" w:hAnsiTheme="minorHAnsi" w:cs="Times New Roman"/>
          <w:lang w:val="es-ES_tradnl"/>
        </w:rPr>
        <w:t>jercicio y se extienden por dicho</w:t>
      </w:r>
      <w:r w:rsidRPr="00692780">
        <w:rPr>
          <w:rFonts w:asciiTheme="minorHAnsi" w:hAnsiTheme="minorHAnsi" w:cs="Times New Roman"/>
          <w:lang w:val="es-ES_tradnl"/>
        </w:rPr>
        <w:t xml:space="preserve"> periodo.</w:t>
      </w:r>
    </w:p>
    <w:p w:rsidR="00D3067C" w:rsidRPr="00692780" w:rsidRDefault="00D3067C" w:rsidP="00D3067C">
      <w:pPr>
        <w:jc w:val="both"/>
        <w:rPr>
          <w:rFonts w:asciiTheme="minorHAnsi" w:hAnsiTheme="minorHAnsi" w:cs="Times New Roman"/>
          <w:lang w:val="es-ES_tradnl"/>
        </w:rPr>
      </w:pPr>
    </w:p>
    <w:p w:rsidR="00D8757A" w:rsidRPr="00D3067C" w:rsidRDefault="00D8757A" w:rsidP="005C7397">
      <w:pPr>
        <w:pStyle w:val="Heading3"/>
        <w:rPr>
          <w:lang w:val="es-ES_tradnl"/>
        </w:rPr>
      </w:pPr>
      <w:bookmarkStart w:id="11" w:name="_Toc428464181"/>
      <w:r w:rsidRPr="00D3067C">
        <w:rPr>
          <w:lang w:val="es-ES_tradnl"/>
        </w:rPr>
        <w:t>Ingresos</w:t>
      </w:r>
      <w:bookmarkEnd w:id="11"/>
    </w:p>
    <w:p w:rsidR="005C7397" w:rsidRDefault="005C7397" w:rsidP="00172730">
      <w:pPr>
        <w:jc w:val="both"/>
        <w:rPr>
          <w:rFonts w:asciiTheme="minorHAnsi" w:hAnsiTheme="minorHAnsi" w:cs="Times New Roman"/>
          <w:lang w:val="es-ES_tradnl"/>
        </w:rPr>
      </w:pPr>
    </w:p>
    <w:p w:rsidR="00D3067C" w:rsidRDefault="00D8757A" w:rsidP="00172730">
      <w:pPr>
        <w:jc w:val="both"/>
        <w:rPr>
          <w:rFonts w:asciiTheme="minorHAnsi" w:hAnsiTheme="minorHAnsi" w:cs="Times New Roman"/>
          <w:lang w:val="es-ES_tradnl"/>
        </w:rPr>
      </w:pPr>
      <w:r>
        <w:rPr>
          <w:rFonts w:asciiTheme="minorHAnsi" w:hAnsiTheme="minorHAnsi" w:cs="Times New Roman"/>
          <w:lang w:val="es-ES_tradnl"/>
        </w:rPr>
        <w:t>Ac</w:t>
      </w:r>
      <w:r w:rsidR="00D3067C">
        <w:rPr>
          <w:rFonts w:asciiTheme="minorHAnsi" w:hAnsiTheme="minorHAnsi" w:cs="Times New Roman"/>
          <w:lang w:val="es-ES_tradnl"/>
        </w:rPr>
        <w:t>t</w:t>
      </w:r>
      <w:r>
        <w:rPr>
          <w:rFonts w:asciiTheme="minorHAnsi" w:hAnsiTheme="minorHAnsi" w:cs="Times New Roman"/>
          <w:lang w:val="es-ES_tradnl"/>
        </w:rPr>
        <w:t>ualmen</w:t>
      </w:r>
      <w:r w:rsidR="00D3067C">
        <w:rPr>
          <w:rFonts w:asciiTheme="minorHAnsi" w:hAnsiTheme="minorHAnsi" w:cs="Times New Roman"/>
          <w:lang w:val="es-ES_tradnl"/>
        </w:rPr>
        <w:t>t</w:t>
      </w:r>
      <w:r>
        <w:rPr>
          <w:rFonts w:asciiTheme="minorHAnsi" w:hAnsiTheme="minorHAnsi" w:cs="Times New Roman"/>
          <w:lang w:val="es-ES_tradnl"/>
        </w:rPr>
        <w:t xml:space="preserve">e se trabaja </w:t>
      </w:r>
      <w:r w:rsidR="00D3067C">
        <w:rPr>
          <w:rFonts w:asciiTheme="minorHAnsi" w:hAnsiTheme="minorHAnsi" w:cs="Times New Roman"/>
          <w:lang w:val="es-ES_tradnl"/>
        </w:rPr>
        <w:t xml:space="preserve">en el Gobierno </w:t>
      </w:r>
      <w:r>
        <w:rPr>
          <w:rFonts w:asciiTheme="minorHAnsi" w:hAnsiTheme="minorHAnsi" w:cs="Times New Roman"/>
          <w:lang w:val="es-ES_tradnl"/>
        </w:rPr>
        <w:t xml:space="preserve">con un subsidio adicional </w:t>
      </w:r>
      <w:r w:rsidR="00D3067C">
        <w:rPr>
          <w:rFonts w:asciiTheme="minorHAnsi" w:hAnsiTheme="minorHAnsi" w:cs="Times New Roman"/>
          <w:lang w:val="es-ES_tradnl"/>
        </w:rPr>
        <w:t>d</w:t>
      </w:r>
      <w:r>
        <w:rPr>
          <w:rFonts w:asciiTheme="minorHAnsi" w:hAnsiTheme="minorHAnsi" w:cs="Times New Roman"/>
          <w:lang w:val="es-ES_tradnl"/>
        </w:rPr>
        <w:t>e US$ 64 millones a</w:t>
      </w:r>
      <w:r w:rsidR="00D3067C">
        <w:rPr>
          <w:rFonts w:asciiTheme="minorHAnsi" w:hAnsiTheme="minorHAnsi" w:cs="Times New Roman"/>
          <w:lang w:val="es-ES_tradnl"/>
        </w:rPr>
        <w:t xml:space="preserve"> </w:t>
      </w:r>
      <w:r>
        <w:rPr>
          <w:rFonts w:asciiTheme="minorHAnsi" w:hAnsiTheme="minorHAnsi" w:cs="Times New Roman"/>
          <w:lang w:val="es-ES_tradnl"/>
        </w:rPr>
        <w:t>lo</w:t>
      </w:r>
      <w:r w:rsidR="00D3067C">
        <w:rPr>
          <w:rFonts w:asciiTheme="minorHAnsi" w:hAnsiTheme="minorHAnsi" w:cs="Times New Roman"/>
          <w:lang w:val="es-ES_tradnl"/>
        </w:rPr>
        <w:t>s</w:t>
      </w:r>
      <w:r>
        <w:rPr>
          <w:rFonts w:asciiTheme="minorHAnsi" w:hAnsiTheme="minorHAnsi" w:cs="Times New Roman"/>
          <w:lang w:val="es-ES_tradnl"/>
        </w:rPr>
        <w:t xml:space="preserve"> actuales US$ 24 millones, </w:t>
      </w:r>
      <w:r w:rsidR="008B2073">
        <w:rPr>
          <w:rFonts w:asciiTheme="minorHAnsi" w:hAnsiTheme="minorHAnsi" w:cs="Times New Roman"/>
          <w:lang w:val="es-ES_tradnl"/>
        </w:rPr>
        <w:t xml:space="preserve">lo </w:t>
      </w:r>
      <w:r>
        <w:rPr>
          <w:rFonts w:asciiTheme="minorHAnsi" w:hAnsiTheme="minorHAnsi" w:cs="Times New Roman"/>
          <w:lang w:val="es-ES_tradnl"/>
        </w:rPr>
        <w:t xml:space="preserve">que ya muestra el esfuerzo de inversiones que se </w:t>
      </w:r>
      <w:r w:rsidR="00780D48">
        <w:rPr>
          <w:rFonts w:asciiTheme="minorHAnsi" w:hAnsiTheme="minorHAnsi" w:cs="Times New Roman"/>
          <w:lang w:val="es-ES_tradnl"/>
        </w:rPr>
        <w:t xml:space="preserve">estima alcanzar </w:t>
      </w:r>
      <w:r>
        <w:rPr>
          <w:rFonts w:asciiTheme="minorHAnsi" w:hAnsiTheme="minorHAnsi" w:cs="Times New Roman"/>
          <w:lang w:val="es-ES_tradnl"/>
        </w:rPr>
        <w:t xml:space="preserve">y la </w:t>
      </w:r>
      <w:r w:rsidR="00780D48">
        <w:rPr>
          <w:rFonts w:asciiTheme="minorHAnsi" w:hAnsiTheme="minorHAnsi" w:cs="Times New Roman"/>
          <w:lang w:val="es-ES_tradnl"/>
        </w:rPr>
        <w:t xml:space="preserve">mayor </w:t>
      </w:r>
      <w:r>
        <w:rPr>
          <w:rFonts w:asciiTheme="minorHAnsi" w:hAnsiTheme="minorHAnsi" w:cs="Times New Roman"/>
          <w:lang w:val="es-ES_tradnl"/>
        </w:rPr>
        <w:t>exigencia sobre</w:t>
      </w:r>
      <w:r w:rsidR="00D3067C">
        <w:rPr>
          <w:rFonts w:asciiTheme="minorHAnsi" w:hAnsiTheme="minorHAnsi" w:cs="Times New Roman"/>
          <w:lang w:val="es-ES_tradnl"/>
        </w:rPr>
        <w:t xml:space="preserve"> </w:t>
      </w:r>
      <w:r>
        <w:rPr>
          <w:rFonts w:asciiTheme="minorHAnsi" w:hAnsiTheme="minorHAnsi" w:cs="Times New Roman"/>
          <w:lang w:val="es-ES_tradnl"/>
        </w:rPr>
        <w:t>las finanzas públicas de est</w:t>
      </w:r>
      <w:r w:rsidR="00D3067C">
        <w:rPr>
          <w:rFonts w:asciiTheme="minorHAnsi" w:hAnsiTheme="minorHAnsi" w:cs="Times New Roman"/>
          <w:lang w:val="es-ES_tradnl"/>
        </w:rPr>
        <w:t xml:space="preserve">as proyecciones. </w:t>
      </w:r>
    </w:p>
    <w:p w:rsidR="00780D48" w:rsidRDefault="00727759" w:rsidP="00727759">
      <w:pPr>
        <w:jc w:val="both"/>
        <w:rPr>
          <w:rFonts w:asciiTheme="minorHAnsi" w:hAnsiTheme="minorHAnsi" w:cs="Times New Roman"/>
          <w:lang w:val="es-ES_tradnl"/>
        </w:rPr>
      </w:pPr>
      <w:r>
        <w:rPr>
          <w:rFonts w:asciiTheme="minorHAnsi" w:hAnsiTheme="minorHAnsi" w:cs="Times New Roman"/>
          <w:lang w:val="es-ES_tradnl"/>
        </w:rPr>
        <w:t>Hemos supuesto que dicho subsidio permanece en el tiempo y sólo se reduce de tener excedentes financiero</w:t>
      </w:r>
      <w:r w:rsidR="00780D48">
        <w:rPr>
          <w:rFonts w:asciiTheme="minorHAnsi" w:hAnsiTheme="minorHAnsi" w:cs="Times New Roman"/>
          <w:lang w:val="es-ES_tradnl"/>
        </w:rPr>
        <w:t>s</w:t>
      </w:r>
      <w:r>
        <w:rPr>
          <w:rFonts w:asciiTheme="minorHAnsi" w:hAnsiTheme="minorHAnsi" w:cs="Times New Roman"/>
          <w:lang w:val="es-ES_tradnl"/>
        </w:rPr>
        <w:t xml:space="preserve"> importantes en el futuro. </w:t>
      </w:r>
      <w:r w:rsidR="00D3067C" w:rsidRPr="00780D48">
        <w:rPr>
          <w:rFonts w:asciiTheme="minorHAnsi" w:hAnsiTheme="minorHAnsi" w:cs="Times New Roman"/>
          <w:lang w:val="es-ES_tradnl"/>
        </w:rPr>
        <w:t>Por</w:t>
      </w:r>
      <w:r w:rsidR="001E3965" w:rsidRPr="00780D48">
        <w:rPr>
          <w:rFonts w:asciiTheme="minorHAnsi" w:hAnsiTheme="minorHAnsi" w:cs="Times New Roman"/>
          <w:lang w:val="es-ES_tradnl"/>
        </w:rPr>
        <w:t xml:space="preserve"> tanto, las proyecciones de ingresos en este trabajo parten de</w:t>
      </w:r>
      <w:r w:rsidRPr="00780D48">
        <w:rPr>
          <w:rFonts w:asciiTheme="minorHAnsi" w:hAnsiTheme="minorHAnsi" w:cs="Times New Roman"/>
          <w:lang w:val="es-ES_tradnl"/>
        </w:rPr>
        <w:t>l</w:t>
      </w:r>
      <w:r w:rsidR="001E3965" w:rsidRPr="00780D48">
        <w:rPr>
          <w:rFonts w:asciiTheme="minorHAnsi" w:hAnsiTheme="minorHAnsi" w:cs="Times New Roman"/>
          <w:lang w:val="es-ES_tradnl"/>
        </w:rPr>
        <w:t xml:space="preserve"> subsidio de US$ 88 millones que </w:t>
      </w:r>
      <w:r w:rsidR="008B2073">
        <w:rPr>
          <w:rFonts w:asciiTheme="minorHAnsi" w:hAnsiTheme="minorHAnsi" w:cs="Times New Roman"/>
          <w:lang w:val="es-ES_tradnl"/>
        </w:rPr>
        <w:t xml:space="preserve">sólo se logran reducir en los últimos cuatro años de la nueva concesión, </w:t>
      </w:r>
      <w:r w:rsidR="001E3965" w:rsidRPr="00780D48">
        <w:rPr>
          <w:rFonts w:asciiTheme="minorHAnsi" w:hAnsiTheme="minorHAnsi" w:cs="Times New Roman"/>
          <w:lang w:val="es-ES_tradnl"/>
        </w:rPr>
        <w:t xml:space="preserve">para cerrar la Caja final de la concesión en un valor </w:t>
      </w:r>
      <w:r w:rsidR="008B2073">
        <w:rPr>
          <w:rFonts w:asciiTheme="minorHAnsi" w:hAnsiTheme="minorHAnsi" w:cs="Times New Roman"/>
          <w:lang w:val="es-ES_tradnl"/>
        </w:rPr>
        <w:t>cercano a cero</w:t>
      </w:r>
      <w:r w:rsidR="001E3965" w:rsidRPr="00780D48">
        <w:rPr>
          <w:rFonts w:asciiTheme="minorHAnsi" w:hAnsiTheme="minorHAnsi" w:cs="Times New Roman"/>
          <w:lang w:val="es-ES_tradnl"/>
        </w:rPr>
        <w:t xml:space="preserve">. </w:t>
      </w:r>
    </w:p>
    <w:p w:rsidR="001E3965" w:rsidRPr="00780D48" w:rsidRDefault="001E3965" w:rsidP="00727759">
      <w:pPr>
        <w:jc w:val="both"/>
        <w:rPr>
          <w:rFonts w:asciiTheme="minorHAnsi" w:hAnsiTheme="minorHAnsi" w:cs="Times New Roman"/>
          <w:lang w:val="es-ES_tradnl"/>
        </w:rPr>
      </w:pPr>
      <w:r w:rsidRPr="00780D48">
        <w:rPr>
          <w:rFonts w:asciiTheme="minorHAnsi" w:hAnsiTheme="minorHAnsi" w:cs="Times New Roman"/>
          <w:lang w:val="es-ES_tradnl"/>
        </w:rPr>
        <w:t xml:space="preserve">Estas evoluciones respondieron a las </w:t>
      </w:r>
      <w:r w:rsidR="00780D48" w:rsidRPr="00780D48">
        <w:rPr>
          <w:rFonts w:asciiTheme="minorHAnsi" w:hAnsiTheme="minorHAnsi" w:cs="Times New Roman"/>
          <w:lang w:val="es-ES_tradnl"/>
        </w:rPr>
        <w:t xml:space="preserve">definiciones </w:t>
      </w:r>
      <w:r w:rsidR="00780D48">
        <w:rPr>
          <w:rFonts w:asciiTheme="minorHAnsi" w:hAnsiTheme="minorHAnsi" w:cs="Times New Roman"/>
          <w:lang w:val="es-ES_tradnl"/>
        </w:rPr>
        <w:t>preliminares</w:t>
      </w:r>
      <w:r w:rsidR="00780D48" w:rsidRPr="00780D48">
        <w:rPr>
          <w:rFonts w:asciiTheme="minorHAnsi" w:hAnsiTheme="minorHAnsi" w:cs="Times New Roman"/>
          <w:lang w:val="es-ES_tradnl"/>
        </w:rPr>
        <w:t xml:space="preserve"> del Gobierno p</w:t>
      </w:r>
      <w:r w:rsidR="00780D48">
        <w:rPr>
          <w:rFonts w:asciiTheme="minorHAnsi" w:hAnsiTheme="minorHAnsi" w:cs="Times New Roman"/>
          <w:lang w:val="es-ES_tradnl"/>
        </w:rPr>
        <w:t>a</w:t>
      </w:r>
      <w:r w:rsidR="00780D48" w:rsidRPr="00780D48">
        <w:rPr>
          <w:rFonts w:asciiTheme="minorHAnsi" w:hAnsiTheme="minorHAnsi" w:cs="Times New Roman"/>
          <w:lang w:val="es-ES_tradnl"/>
        </w:rPr>
        <w:t xml:space="preserve">ra el primer quinquenio y luego a las </w:t>
      </w:r>
      <w:r w:rsidRPr="00780D48">
        <w:rPr>
          <w:rFonts w:asciiTheme="minorHAnsi" w:hAnsiTheme="minorHAnsi" w:cs="Times New Roman"/>
          <w:lang w:val="es-ES_tradnl"/>
        </w:rPr>
        <w:t>necesidades financieras de la CVU según los valores de obras manejados en estos flujos. Bajo un criterio conservador,  s</w:t>
      </w:r>
      <w:r w:rsidR="00780D48" w:rsidRPr="00780D48">
        <w:rPr>
          <w:rFonts w:asciiTheme="minorHAnsi" w:hAnsiTheme="minorHAnsi" w:cs="Times New Roman"/>
          <w:lang w:val="es-ES_tradnl"/>
        </w:rPr>
        <w:t>e toman aquí lo</w:t>
      </w:r>
      <w:r w:rsidR="00780D48">
        <w:rPr>
          <w:rFonts w:asciiTheme="minorHAnsi" w:hAnsiTheme="minorHAnsi" w:cs="Times New Roman"/>
          <w:lang w:val="es-ES_tradnl"/>
        </w:rPr>
        <w:t>s</w:t>
      </w:r>
      <w:r w:rsidRPr="00780D48">
        <w:rPr>
          <w:rFonts w:asciiTheme="minorHAnsi" w:hAnsiTheme="minorHAnsi" w:cs="Times New Roman"/>
          <w:lang w:val="es-ES_tradnl"/>
        </w:rPr>
        <w:t xml:space="preserve"> valores mínimos </w:t>
      </w:r>
      <w:r w:rsidR="00780D48" w:rsidRPr="00780D48">
        <w:rPr>
          <w:rFonts w:asciiTheme="minorHAnsi" w:hAnsiTheme="minorHAnsi" w:cs="Times New Roman"/>
          <w:lang w:val="es-ES_tradnl"/>
        </w:rPr>
        <w:t>de obra estimados para el total de</w:t>
      </w:r>
      <w:r w:rsidR="00780D48">
        <w:rPr>
          <w:rFonts w:asciiTheme="minorHAnsi" w:hAnsiTheme="minorHAnsi" w:cs="Times New Roman"/>
          <w:lang w:val="es-ES_tradnl"/>
        </w:rPr>
        <w:t xml:space="preserve"> </w:t>
      </w:r>
      <w:r w:rsidR="00780D48" w:rsidRPr="00780D48">
        <w:rPr>
          <w:rFonts w:asciiTheme="minorHAnsi" w:hAnsiTheme="minorHAnsi" w:cs="Times New Roman"/>
          <w:lang w:val="es-ES_tradnl"/>
        </w:rPr>
        <w:t>los 20 años.</w:t>
      </w:r>
    </w:p>
    <w:p w:rsidR="00780D48" w:rsidRPr="00E31D83" w:rsidRDefault="001E3965" w:rsidP="00E31D83">
      <w:pPr>
        <w:jc w:val="both"/>
        <w:rPr>
          <w:rFonts w:asciiTheme="minorHAnsi" w:hAnsiTheme="minorHAnsi" w:cs="Times New Roman"/>
          <w:lang w:val="es-ES_tradnl"/>
        </w:rPr>
      </w:pPr>
      <w:r w:rsidRPr="00E31D83">
        <w:rPr>
          <w:rFonts w:asciiTheme="minorHAnsi" w:hAnsiTheme="minorHAnsi" w:cs="Times New Roman"/>
          <w:lang w:val="es-ES_tradnl"/>
        </w:rPr>
        <w:t xml:space="preserve">A su vez, no se supone </w:t>
      </w:r>
      <w:r w:rsidR="00727759" w:rsidRPr="00E31D83">
        <w:rPr>
          <w:rFonts w:asciiTheme="minorHAnsi" w:hAnsiTheme="minorHAnsi" w:cs="Times New Roman"/>
          <w:lang w:val="es-ES_tradnl"/>
        </w:rPr>
        <w:t xml:space="preserve">que haya ingresos por nuevos puestos de peaje. </w:t>
      </w:r>
      <w:r w:rsidRPr="00E31D83">
        <w:rPr>
          <w:rFonts w:asciiTheme="minorHAnsi" w:hAnsiTheme="minorHAnsi" w:cs="Times New Roman"/>
          <w:lang w:val="es-ES_tradnl"/>
        </w:rPr>
        <w:t xml:space="preserve"> Los niveles</w:t>
      </w:r>
      <w:r w:rsidR="00727759" w:rsidRPr="00E31D83">
        <w:rPr>
          <w:rFonts w:asciiTheme="minorHAnsi" w:hAnsiTheme="minorHAnsi" w:cs="Times New Roman"/>
          <w:lang w:val="es-ES_tradnl"/>
        </w:rPr>
        <w:t xml:space="preserve"> de peaje </w:t>
      </w:r>
      <w:r w:rsidRPr="00E31D83">
        <w:rPr>
          <w:rFonts w:asciiTheme="minorHAnsi" w:hAnsiTheme="minorHAnsi" w:cs="Times New Roman"/>
          <w:lang w:val="es-ES_tradnl"/>
        </w:rPr>
        <w:t xml:space="preserve"> </w:t>
      </w:r>
      <w:r w:rsidR="00727759" w:rsidRPr="00E31D83">
        <w:rPr>
          <w:rFonts w:asciiTheme="minorHAnsi" w:hAnsiTheme="minorHAnsi" w:cs="Times New Roman"/>
          <w:lang w:val="es-ES_tradnl"/>
        </w:rPr>
        <w:t xml:space="preserve">a recaudar por la CVU </w:t>
      </w:r>
      <w:r w:rsidRPr="00E31D83">
        <w:rPr>
          <w:rFonts w:asciiTheme="minorHAnsi" w:hAnsiTheme="minorHAnsi" w:cs="Times New Roman"/>
          <w:lang w:val="es-ES_tradnl"/>
        </w:rPr>
        <w:t xml:space="preserve">se proyectaron en base a la tasa de crecimiento del tránsito prevista en el trabajo de </w:t>
      </w:r>
      <w:r w:rsidR="00780D48" w:rsidRPr="00780D48">
        <w:rPr>
          <w:rFonts w:asciiTheme="minorHAnsi" w:hAnsiTheme="minorHAnsi" w:cs="Times New Roman"/>
          <w:lang w:val="es-ES_tradnl"/>
        </w:rPr>
        <w:t>Consorcio Ingenier</w:t>
      </w:r>
      <w:r w:rsidR="00780D48">
        <w:rPr>
          <w:rFonts w:asciiTheme="minorHAnsi" w:hAnsiTheme="minorHAnsi" w:cs="Times New Roman"/>
          <w:lang w:val="es-ES_tradnl"/>
        </w:rPr>
        <w:t>ía</w:t>
      </w:r>
      <w:r w:rsidR="00780D48" w:rsidRPr="00780D48">
        <w:rPr>
          <w:rFonts w:asciiTheme="minorHAnsi" w:hAnsiTheme="minorHAnsi" w:cs="Times New Roman"/>
          <w:lang w:val="es-ES_tradnl"/>
        </w:rPr>
        <w:t xml:space="preserve"> del Sur</w:t>
      </w:r>
      <w:r w:rsidRPr="00E31D83">
        <w:rPr>
          <w:rFonts w:asciiTheme="minorHAnsi" w:hAnsiTheme="minorHAnsi" w:cs="Times New Roman"/>
          <w:lang w:val="es-ES_tradnl"/>
        </w:rPr>
        <w:t xml:space="preserve">, o sea un crecimiento del 2,8% anual, más </w:t>
      </w:r>
      <w:r w:rsidR="00780D48" w:rsidRPr="00E31D83">
        <w:rPr>
          <w:rFonts w:asciiTheme="minorHAnsi" w:hAnsiTheme="minorHAnsi" w:cs="Times New Roman"/>
          <w:lang w:val="es-ES_tradnl"/>
        </w:rPr>
        <w:t xml:space="preserve">los supuestos que se habían manejado antes, con las proyecciones de la concesión vigente, de </w:t>
      </w:r>
      <w:r w:rsidRPr="00E31D83">
        <w:rPr>
          <w:rFonts w:asciiTheme="minorHAnsi" w:hAnsiTheme="minorHAnsi" w:cs="Times New Roman"/>
          <w:lang w:val="es-ES_tradnl"/>
        </w:rPr>
        <w:t xml:space="preserve">una caída inicial del 5% adicional </w:t>
      </w:r>
      <w:r w:rsidR="00780D48" w:rsidRPr="00E31D83">
        <w:rPr>
          <w:rFonts w:asciiTheme="minorHAnsi" w:hAnsiTheme="minorHAnsi" w:cs="Times New Roman"/>
          <w:lang w:val="es-ES_tradnl"/>
        </w:rPr>
        <w:t xml:space="preserve">en el primer ejercicio </w:t>
      </w:r>
      <w:r w:rsidRPr="00E31D83">
        <w:rPr>
          <w:rFonts w:asciiTheme="minorHAnsi" w:hAnsiTheme="minorHAnsi" w:cs="Times New Roman"/>
          <w:lang w:val="es-ES_tradnl"/>
        </w:rPr>
        <w:t>y el ajuste por el incremento actual del tipo de cambio respecto a lo previsto por la CVU</w:t>
      </w:r>
      <w:r w:rsidR="00727759" w:rsidRPr="00E31D83">
        <w:rPr>
          <w:rFonts w:asciiTheme="minorHAnsi" w:hAnsiTheme="minorHAnsi" w:cs="Times New Roman"/>
          <w:lang w:val="es-ES_tradnl"/>
        </w:rPr>
        <w:t xml:space="preserve">. </w:t>
      </w:r>
    </w:p>
    <w:p w:rsidR="00780D48" w:rsidRPr="00E31D83" w:rsidRDefault="00727759" w:rsidP="00E31D83">
      <w:pPr>
        <w:jc w:val="both"/>
        <w:rPr>
          <w:rFonts w:asciiTheme="minorHAnsi" w:hAnsiTheme="minorHAnsi" w:cs="Times New Roman"/>
          <w:lang w:val="es-ES_tradnl"/>
        </w:rPr>
      </w:pPr>
      <w:r w:rsidRPr="00E31D83">
        <w:rPr>
          <w:rFonts w:asciiTheme="minorHAnsi" w:hAnsiTheme="minorHAnsi" w:cs="Times New Roman"/>
          <w:lang w:val="es-ES_tradnl"/>
        </w:rPr>
        <w:t>En el caso de l</w:t>
      </w:r>
      <w:r w:rsidR="008B2073">
        <w:rPr>
          <w:rFonts w:asciiTheme="minorHAnsi" w:hAnsiTheme="minorHAnsi" w:cs="Times New Roman"/>
          <w:lang w:val="es-ES_tradnl"/>
        </w:rPr>
        <w:t>as</w:t>
      </w:r>
      <w:r w:rsidRPr="00E31D83">
        <w:rPr>
          <w:rFonts w:asciiTheme="minorHAnsi" w:hAnsiTheme="minorHAnsi" w:cs="Times New Roman"/>
          <w:lang w:val="es-ES_tradnl"/>
        </w:rPr>
        <w:t xml:space="preserve"> obras que </w:t>
      </w:r>
      <w:r w:rsidR="008B2073">
        <w:rPr>
          <w:rFonts w:asciiTheme="minorHAnsi" w:hAnsiTheme="minorHAnsi" w:cs="Times New Roman"/>
          <w:lang w:val="es-ES_tradnl"/>
        </w:rPr>
        <w:t xml:space="preserve">la DNV </w:t>
      </w:r>
      <w:r w:rsidRPr="00E31D83">
        <w:rPr>
          <w:rFonts w:asciiTheme="minorHAnsi" w:hAnsiTheme="minorHAnsi" w:cs="Times New Roman"/>
          <w:lang w:val="es-ES_tradnl"/>
        </w:rPr>
        <w:t xml:space="preserve">deriva a la CVU, </w:t>
      </w:r>
      <w:r w:rsidR="00780D48" w:rsidRPr="00E31D83">
        <w:rPr>
          <w:rFonts w:asciiTheme="minorHAnsi" w:hAnsiTheme="minorHAnsi" w:cs="Times New Roman"/>
          <w:lang w:val="es-ES_tradnl"/>
        </w:rPr>
        <w:t xml:space="preserve">el MEF confirma las estimaciones iniciales y ubican </w:t>
      </w:r>
      <w:r w:rsidR="00E31D83" w:rsidRPr="00E31D83">
        <w:rPr>
          <w:rFonts w:asciiTheme="minorHAnsi" w:hAnsiTheme="minorHAnsi" w:cs="Times New Roman"/>
          <w:lang w:val="es-ES_tradnl"/>
        </w:rPr>
        <w:t xml:space="preserve">estas inversiones </w:t>
      </w:r>
      <w:r w:rsidR="00780D48" w:rsidRPr="00E31D83">
        <w:rPr>
          <w:rFonts w:asciiTheme="minorHAnsi" w:hAnsiTheme="minorHAnsi" w:cs="Times New Roman"/>
          <w:lang w:val="es-ES_tradnl"/>
        </w:rPr>
        <w:t xml:space="preserve">en </w:t>
      </w:r>
      <w:r w:rsidRPr="00E31D83">
        <w:rPr>
          <w:rFonts w:asciiTheme="minorHAnsi" w:hAnsiTheme="minorHAnsi" w:cs="Times New Roman"/>
          <w:lang w:val="es-ES_tradnl"/>
        </w:rPr>
        <w:t>US$ 387 millones</w:t>
      </w:r>
      <w:r w:rsidR="00830B78" w:rsidRPr="00E31D83">
        <w:rPr>
          <w:rFonts w:asciiTheme="minorHAnsi" w:hAnsiTheme="minorHAnsi" w:cs="Times New Roman"/>
          <w:lang w:val="es-ES_tradnl"/>
        </w:rPr>
        <w:t xml:space="preserve">, que </w:t>
      </w:r>
      <w:r w:rsidR="00780D48" w:rsidRPr="00E31D83">
        <w:rPr>
          <w:rFonts w:asciiTheme="minorHAnsi" w:hAnsiTheme="minorHAnsi" w:cs="Times New Roman"/>
          <w:lang w:val="es-ES_tradnl"/>
        </w:rPr>
        <w:t xml:space="preserve">se agregarían a </w:t>
      </w:r>
      <w:r w:rsidR="00830B78" w:rsidRPr="00E31D83">
        <w:rPr>
          <w:rFonts w:asciiTheme="minorHAnsi" w:hAnsiTheme="minorHAnsi" w:cs="Times New Roman"/>
          <w:lang w:val="es-ES_tradnl"/>
        </w:rPr>
        <w:t>l</w:t>
      </w:r>
      <w:r w:rsidR="00780D48" w:rsidRPr="00E31D83">
        <w:rPr>
          <w:rFonts w:asciiTheme="minorHAnsi" w:hAnsiTheme="minorHAnsi" w:cs="Times New Roman"/>
          <w:lang w:val="es-ES_tradnl"/>
        </w:rPr>
        <w:t xml:space="preserve">as obras </w:t>
      </w:r>
      <w:r w:rsidR="008B2073">
        <w:rPr>
          <w:rFonts w:asciiTheme="minorHAnsi" w:hAnsiTheme="minorHAnsi" w:cs="Times New Roman"/>
          <w:lang w:val="es-ES_tradnl"/>
        </w:rPr>
        <w:t xml:space="preserve">en el </w:t>
      </w:r>
      <w:r w:rsidR="00830B78" w:rsidRPr="00E31D83">
        <w:rPr>
          <w:rFonts w:asciiTheme="minorHAnsi" w:hAnsiTheme="minorHAnsi" w:cs="Times New Roman"/>
          <w:lang w:val="es-ES_tradnl"/>
        </w:rPr>
        <w:t xml:space="preserve">primer </w:t>
      </w:r>
      <w:r w:rsidR="00780D48" w:rsidRPr="00E31D83">
        <w:rPr>
          <w:rFonts w:asciiTheme="minorHAnsi" w:hAnsiTheme="minorHAnsi" w:cs="Times New Roman"/>
          <w:lang w:val="es-ES_tradnl"/>
        </w:rPr>
        <w:t xml:space="preserve">quinquenio. </w:t>
      </w:r>
    </w:p>
    <w:p w:rsidR="00E31D83" w:rsidRPr="00E31D83" w:rsidRDefault="00780D48" w:rsidP="00E31D83">
      <w:pPr>
        <w:jc w:val="both"/>
        <w:rPr>
          <w:rFonts w:asciiTheme="minorHAnsi" w:hAnsiTheme="minorHAnsi" w:cs="Times New Roman"/>
          <w:lang w:val="es-ES_tradnl"/>
        </w:rPr>
      </w:pPr>
      <w:r w:rsidRPr="00E31D83">
        <w:rPr>
          <w:rFonts w:asciiTheme="minorHAnsi" w:hAnsiTheme="minorHAnsi" w:cs="Times New Roman"/>
          <w:lang w:val="es-ES_tradnl"/>
        </w:rPr>
        <w:t xml:space="preserve">A diferencia del cálculo anterior de la concesión, en este caso se financian con fondos obtenidos en el mercado financiero en distintas modalidades, que se describen más adelante, y se incluyen en el flujo de fondos de la CVU, </w:t>
      </w:r>
      <w:r w:rsidR="00830B78" w:rsidRPr="00E31D83">
        <w:rPr>
          <w:rFonts w:asciiTheme="minorHAnsi" w:hAnsiTheme="minorHAnsi" w:cs="Times New Roman"/>
          <w:lang w:val="es-ES_tradnl"/>
        </w:rPr>
        <w:t>según lo manejado actualmente a nivel del MEF.</w:t>
      </w:r>
      <w:r w:rsidR="00727759" w:rsidRPr="00E31D83">
        <w:rPr>
          <w:rFonts w:asciiTheme="minorHAnsi" w:hAnsiTheme="minorHAnsi" w:cs="Times New Roman"/>
          <w:lang w:val="es-ES_tradnl"/>
        </w:rPr>
        <w:t xml:space="preserve"> </w:t>
      </w:r>
    </w:p>
    <w:p w:rsidR="00E31D83" w:rsidRPr="00E31D83" w:rsidRDefault="00E31D83" w:rsidP="00E31D83">
      <w:pPr>
        <w:jc w:val="both"/>
        <w:rPr>
          <w:rFonts w:asciiTheme="minorHAnsi" w:hAnsiTheme="minorHAnsi" w:cs="Times New Roman"/>
          <w:lang w:val="es-ES_tradnl"/>
        </w:rPr>
      </w:pPr>
    </w:p>
    <w:p w:rsidR="00735067" w:rsidRPr="00E31D83" w:rsidRDefault="001E3965" w:rsidP="00E31D83">
      <w:pPr>
        <w:pStyle w:val="Heading3"/>
        <w:rPr>
          <w:lang w:val="es-ES_tradnl"/>
        </w:rPr>
      </w:pPr>
      <w:bookmarkStart w:id="12" w:name="_Toc428464182"/>
      <w:r w:rsidRPr="00E31D83">
        <w:rPr>
          <w:lang w:val="es-ES_tradnl"/>
        </w:rPr>
        <w:t>Egresos.</w:t>
      </w:r>
      <w:bookmarkEnd w:id="12"/>
      <w:r w:rsidRPr="00E31D83">
        <w:rPr>
          <w:lang w:val="es-ES_tradnl"/>
        </w:rPr>
        <w:t xml:space="preserve"> </w:t>
      </w:r>
    </w:p>
    <w:p w:rsidR="005C7397" w:rsidRPr="00E31D83" w:rsidRDefault="005C7397" w:rsidP="00E31D83">
      <w:pPr>
        <w:jc w:val="both"/>
        <w:rPr>
          <w:rFonts w:asciiTheme="minorHAnsi" w:hAnsiTheme="minorHAnsi" w:cs="Times New Roman"/>
          <w:lang w:val="es-ES_tradnl"/>
        </w:rPr>
      </w:pPr>
    </w:p>
    <w:p w:rsidR="00EF06A6" w:rsidRPr="00E31D83" w:rsidRDefault="00E31D83" w:rsidP="00E31D83">
      <w:pPr>
        <w:jc w:val="both"/>
        <w:rPr>
          <w:rFonts w:asciiTheme="minorHAnsi" w:hAnsiTheme="minorHAnsi" w:cs="Times New Roman"/>
          <w:lang w:val="es-ES_tradnl"/>
        </w:rPr>
      </w:pPr>
      <w:r w:rsidRPr="00E31D83">
        <w:rPr>
          <w:rFonts w:asciiTheme="minorHAnsi" w:hAnsiTheme="minorHAnsi" w:cs="Times New Roman"/>
          <w:lang w:val="es-ES_tradnl"/>
        </w:rPr>
        <w:t>En este caso, s</w:t>
      </w:r>
      <w:r w:rsidR="001E3965" w:rsidRPr="00E31D83">
        <w:rPr>
          <w:rFonts w:asciiTheme="minorHAnsi" w:hAnsiTheme="minorHAnsi" w:cs="Times New Roman"/>
          <w:lang w:val="es-ES_tradnl"/>
        </w:rPr>
        <w:t xml:space="preserve">e </w:t>
      </w:r>
      <w:r w:rsidRPr="00E31D83">
        <w:rPr>
          <w:rFonts w:asciiTheme="minorHAnsi" w:hAnsiTheme="minorHAnsi" w:cs="Times New Roman"/>
          <w:lang w:val="es-ES_tradnl"/>
        </w:rPr>
        <w:t>construyeron los flujos de egresos</w:t>
      </w:r>
      <w:r w:rsidR="00735067" w:rsidRPr="00E31D83">
        <w:rPr>
          <w:rFonts w:asciiTheme="minorHAnsi" w:hAnsiTheme="minorHAnsi" w:cs="Times New Roman"/>
          <w:lang w:val="es-ES_tradnl"/>
        </w:rPr>
        <w:t xml:space="preserve"> </w:t>
      </w:r>
      <w:r w:rsidRPr="00E31D83">
        <w:rPr>
          <w:rFonts w:asciiTheme="minorHAnsi" w:hAnsiTheme="minorHAnsi" w:cs="Times New Roman"/>
          <w:lang w:val="es-ES_tradnl"/>
        </w:rPr>
        <w:t xml:space="preserve">tomando las </w:t>
      </w:r>
      <w:r w:rsidR="001E3965" w:rsidRPr="00E31D83">
        <w:rPr>
          <w:rFonts w:asciiTheme="minorHAnsi" w:hAnsiTheme="minorHAnsi" w:cs="Times New Roman"/>
          <w:lang w:val="es-ES_tradnl"/>
        </w:rPr>
        <w:t>proyecciones de mínima de</w:t>
      </w:r>
      <w:r w:rsidR="00735067" w:rsidRPr="00E31D83">
        <w:rPr>
          <w:rFonts w:asciiTheme="minorHAnsi" w:hAnsiTheme="minorHAnsi" w:cs="Times New Roman"/>
          <w:lang w:val="es-ES_tradnl"/>
        </w:rPr>
        <w:t>l cálculo de montos para obras reali</w:t>
      </w:r>
      <w:r w:rsidR="00263795" w:rsidRPr="00E31D83">
        <w:rPr>
          <w:rFonts w:asciiTheme="minorHAnsi" w:hAnsiTheme="minorHAnsi" w:cs="Times New Roman"/>
          <w:lang w:val="es-ES_tradnl"/>
        </w:rPr>
        <w:t>z</w:t>
      </w:r>
      <w:r w:rsidR="00735067" w:rsidRPr="00E31D83">
        <w:rPr>
          <w:rFonts w:asciiTheme="minorHAnsi" w:hAnsiTheme="minorHAnsi" w:cs="Times New Roman"/>
          <w:lang w:val="es-ES_tradnl"/>
        </w:rPr>
        <w:t xml:space="preserve">ado por </w:t>
      </w:r>
      <w:r w:rsidRPr="00E31D83">
        <w:rPr>
          <w:rFonts w:asciiTheme="minorHAnsi" w:hAnsiTheme="minorHAnsi" w:cs="Times New Roman"/>
          <w:lang w:val="es-ES_tradnl"/>
        </w:rPr>
        <w:t>el Consorcio Ingeniería del Sur</w:t>
      </w:r>
      <w:r w:rsidR="00735067" w:rsidRPr="00E31D83">
        <w:rPr>
          <w:rFonts w:asciiTheme="minorHAnsi" w:hAnsiTheme="minorHAnsi" w:cs="Times New Roman"/>
          <w:lang w:val="es-ES_tradnl"/>
        </w:rPr>
        <w:t>, que se ubica</w:t>
      </w:r>
      <w:r w:rsidRPr="00E31D83">
        <w:rPr>
          <w:rFonts w:asciiTheme="minorHAnsi" w:hAnsiTheme="minorHAnsi" w:cs="Times New Roman"/>
          <w:lang w:val="es-ES_tradnl"/>
        </w:rPr>
        <w:t>ba</w:t>
      </w:r>
      <w:r w:rsidR="00735067" w:rsidRPr="00E31D83">
        <w:rPr>
          <w:rFonts w:asciiTheme="minorHAnsi" w:hAnsiTheme="minorHAnsi" w:cs="Times New Roman"/>
          <w:lang w:val="es-ES_tradnl"/>
        </w:rPr>
        <w:t xml:space="preserve"> en </w:t>
      </w:r>
      <w:r w:rsidR="001E3965" w:rsidRPr="00E31D83">
        <w:rPr>
          <w:rFonts w:asciiTheme="minorHAnsi" w:hAnsiTheme="minorHAnsi" w:cs="Times New Roman"/>
          <w:lang w:val="es-ES_tradnl"/>
        </w:rPr>
        <w:t>US$ 2.800 millones en 20 años</w:t>
      </w:r>
      <w:r w:rsidR="00735067" w:rsidRPr="00E31D83">
        <w:rPr>
          <w:rFonts w:asciiTheme="minorHAnsi" w:hAnsiTheme="minorHAnsi" w:cs="Times New Roman"/>
          <w:lang w:val="es-ES_tradnl"/>
        </w:rPr>
        <w:t>. Pera el primer quinquen</w:t>
      </w:r>
      <w:r w:rsidR="00263795" w:rsidRPr="00E31D83">
        <w:rPr>
          <w:rFonts w:asciiTheme="minorHAnsi" w:hAnsiTheme="minorHAnsi" w:cs="Times New Roman"/>
          <w:lang w:val="es-ES_tradnl"/>
        </w:rPr>
        <w:t>i</w:t>
      </w:r>
      <w:r w:rsidR="00735067" w:rsidRPr="00E31D83">
        <w:rPr>
          <w:rFonts w:asciiTheme="minorHAnsi" w:hAnsiTheme="minorHAnsi" w:cs="Times New Roman"/>
          <w:lang w:val="es-ES_tradnl"/>
        </w:rPr>
        <w:t>o no se utiliza el c</w:t>
      </w:r>
      <w:r w:rsidR="00263795" w:rsidRPr="00E31D83">
        <w:rPr>
          <w:rFonts w:asciiTheme="minorHAnsi" w:hAnsiTheme="minorHAnsi" w:cs="Times New Roman"/>
          <w:lang w:val="es-ES_tradnl"/>
        </w:rPr>
        <w:t>á</w:t>
      </w:r>
      <w:r w:rsidR="00735067" w:rsidRPr="00E31D83">
        <w:rPr>
          <w:rFonts w:asciiTheme="minorHAnsi" w:hAnsiTheme="minorHAnsi" w:cs="Times New Roman"/>
          <w:lang w:val="es-ES_tradnl"/>
        </w:rPr>
        <w:t>l</w:t>
      </w:r>
      <w:r w:rsidR="00263795" w:rsidRPr="00E31D83">
        <w:rPr>
          <w:rFonts w:asciiTheme="minorHAnsi" w:hAnsiTheme="minorHAnsi" w:cs="Times New Roman"/>
          <w:lang w:val="es-ES_tradnl"/>
        </w:rPr>
        <w:t>c</w:t>
      </w:r>
      <w:r w:rsidR="00735067" w:rsidRPr="00E31D83">
        <w:rPr>
          <w:rFonts w:asciiTheme="minorHAnsi" w:hAnsiTheme="minorHAnsi" w:cs="Times New Roman"/>
          <w:lang w:val="es-ES_tradnl"/>
        </w:rPr>
        <w:t xml:space="preserve">ulo de la consultora sino un monto por US$ </w:t>
      </w:r>
      <w:r w:rsidR="00263795" w:rsidRPr="00E31D83">
        <w:rPr>
          <w:rFonts w:asciiTheme="minorHAnsi" w:hAnsiTheme="minorHAnsi" w:cs="Times New Roman"/>
          <w:lang w:val="es-ES_tradnl"/>
        </w:rPr>
        <w:t>962 millones, que es la cifra que actualmente maneja el Gobierno.</w:t>
      </w:r>
      <w:r w:rsidR="001E3965" w:rsidRPr="00E31D83">
        <w:rPr>
          <w:rFonts w:asciiTheme="minorHAnsi" w:hAnsiTheme="minorHAnsi" w:cs="Times New Roman"/>
          <w:lang w:val="es-ES_tradnl"/>
        </w:rPr>
        <w:t xml:space="preserve"> </w:t>
      </w:r>
      <w:r w:rsidR="00263795" w:rsidRPr="00E31D83">
        <w:rPr>
          <w:rFonts w:asciiTheme="minorHAnsi" w:hAnsiTheme="minorHAnsi" w:cs="Times New Roman"/>
          <w:lang w:val="es-ES_tradnl"/>
        </w:rPr>
        <w:t>Para el resto de los quinquenios se ajustaron los valores proyectados para incluir la diferencia del primer quinquenio, manteniendo la cifra total de la consultora.</w:t>
      </w:r>
    </w:p>
    <w:p w:rsidR="00EF06A6" w:rsidRPr="00E31D83" w:rsidRDefault="00E31D83" w:rsidP="00E31D83">
      <w:pPr>
        <w:jc w:val="both"/>
        <w:rPr>
          <w:rFonts w:asciiTheme="minorHAnsi" w:hAnsiTheme="minorHAnsi" w:cs="Times New Roman"/>
          <w:lang w:val="es-ES_tradnl"/>
        </w:rPr>
      </w:pPr>
      <w:r w:rsidRPr="00E31D83">
        <w:rPr>
          <w:rFonts w:asciiTheme="minorHAnsi" w:hAnsiTheme="minorHAnsi" w:cs="Times New Roman"/>
          <w:lang w:val="es-ES_tradnl"/>
        </w:rPr>
        <w:t xml:space="preserve">Los </w:t>
      </w:r>
      <w:r w:rsidR="001E3965" w:rsidRPr="00E31D83">
        <w:rPr>
          <w:rFonts w:asciiTheme="minorHAnsi" w:hAnsiTheme="minorHAnsi" w:cs="Times New Roman"/>
          <w:lang w:val="es-ES_tradnl"/>
        </w:rPr>
        <w:t>valores</w:t>
      </w:r>
      <w:r w:rsidR="00263795" w:rsidRPr="00E31D83">
        <w:rPr>
          <w:rFonts w:asciiTheme="minorHAnsi" w:hAnsiTheme="minorHAnsi" w:cs="Times New Roman"/>
          <w:lang w:val="es-ES_tradnl"/>
        </w:rPr>
        <w:t xml:space="preserve"> totales</w:t>
      </w:r>
      <w:r w:rsidRPr="00E31D83">
        <w:rPr>
          <w:rFonts w:asciiTheme="minorHAnsi" w:hAnsiTheme="minorHAnsi" w:cs="Times New Roman"/>
          <w:lang w:val="es-ES_tradnl"/>
        </w:rPr>
        <w:t xml:space="preserve"> de obras</w:t>
      </w:r>
      <w:r w:rsidR="00263795" w:rsidRPr="00E31D83">
        <w:rPr>
          <w:rFonts w:asciiTheme="minorHAnsi" w:hAnsiTheme="minorHAnsi" w:cs="Times New Roman"/>
          <w:lang w:val="es-ES_tradnl"/>
        </w:rPr>
        <w:t xml:space="preserve">, a su vez, </w:t>
      </w:r>
      <w:r w:rsidR="001E3965" w:rsidRPr="00E31D83">
        <w:rPr>
          <w:rFonts w:asciiTheme="minorHAnsi" w:hAnsiTheme="minorHAnsi" w:cs="Times New Roman"/>
          <w:lang w:val="es-ES_tradnl"/>
        </w:rPr>
        <w:t xml:space="preserve"> se ajustaron por las difer</w:t>
      </w:r>
      <w:r w:rsidR="00263795" w:rsidRPr="00E31D83">
        <w:rPr>
          <w:rFonts w:asciiTheme="minorHAnsi" w:hAnsiTheme="minorHAnsi" w:cs="Times New Roman"/>
          <w:lang w:val="es-ES_tradnl"/>
        </w:rPr>
        <w:t>e</w:t>
      </w:r>
      <w:r w:rsidR="001E3965" w:rsidRPr="00E31D83">
        <w:rPr>
          <w:rFonts w:asciiTheme="minorHAnsi" w:hAnsiTheme="minorHAnsi" w:cs="Times New Roman"/>
          <w:lang w:val="es-ES_tradnl"/>
        </w:rPr>
        <w:t>ncias en el tipo de cambi</w:t>
      </w:r>
      <w:r w:rsidR="00263795" w:rsidRPr="00E31D83">
        <w:rPr>
          <w:rFonts w:asciiTheme="minorHAnsi" w:hAnsiTheme="minorHAnsi" w:cs="Times New Roman"/>
          <w:lang w:val="es-ES_tradnl"/>
        </w:rPr>
        <w:t>o</w:t>
      </w:r>
      <w:r w:rsidR="001E3965" w:rsidRPr="00E31D83">
        <w:rPr>
          <w:rFonts w:asciiTheme="minorHAnsi" w:hAnsiTheme="minorHAnsi" w:cs="Times New Roman"/>
          <w:lang w:val="es-ES_tradnl"/>
        </w:rPr>
        <w:t xml:space="preserve"> e inflación al </w:t>
      </w:r>
      <w:r w:rsidR="00263795" w:rsidRPr="00E31D83">
        <w:rPr>
          <w:rFonts w:asciiTheme="minorHAnsi" w:hAnsiTheme="minorHAnsi" w:cs="Times New Roman"/>
          <w:lang w:val="es-ES_tradnl"/>
        </w:rPr>
        <w:t xml:space="preserve">año </w:t>
      </w:r>
      <w:r w:rsidR="001E3965" w:rsidRPr="00E31D83">
        <w:rPr>
          <w:rFonts w:asciiTheme="minorHAnsi" w:hAnsiTheme="minorHAnsi" w:cs="Times New Roman"/>
          <w:lang w:val="es-ES_tradnl"/>
        </w:rPr>
        <w:t xml:space="preserve">2016 derivados de que </w:t>
      </w:r>
      <w:r w:rsidR="00263795" w:rsidRPr="00E31D83">
        <w:rPr>
          <w:rFonts w:asciiTheme="minorHAnsi" w:hAnsiTheme="minorHAnsi" w:cs="Times New Roman"/>
          <w:lang w:val="es-ES_tradnl"/>
        </w:rPr>
        <w:t xml:space="preserve">la consultora </w:t>
      </w:r>
      <w:r w:rsidR="001E3965" w:rsidRPr="00E31D83">
        <w:rPr>
          <w:rFonts w:asciiTheme="minorHAnsi" w:hAnsiTheme="minorHAnsi" w:cs="Times New Roman"/>
          <w:lang w:val="es-ES_tradnl"/>
        </w:rPr>
        <w:t xml:space="preserve">CSI </w:t>
      </w:r>
      <w:r w:rsidR="00263795" w:rsidRPr="00E31D83">
        <w:rPr>
          <w:rFonts w:asciiTheme="minorHAnsi" w:hAnsiTheme="minorHAnsi" w:cs="Times New Roman"/>
          <w:lang w:val="es-ES_tradnl"/>
        </w:rPr>
        <w:t>manejó</w:t>
      </w:r>
      <w:r w:rsidR="001E3965" w:rsidRPr="00E31D83">
        <w:rPr>
          <w:rFonts w:asciiTheme="minorHAnsi" w:hAnsiTheme="minorHAnsi" w:cs="Times New Roman"/>
          <w:lang w:val="es-ES_tradnl"/>
        </w:rPr>
        <w:t xml:space="preserve"> precios de</w:t>
      </w:r>
      <w:r w:rsidR="00263795" w:rsidRPr="00E31D83">
        <w:rPr>
          <w:rFonts w:asciiTheme="minorHAnsi" w:hAnsiTheme="minorHAnsi" w:cs="Times New Roman"/>
          <w:lang w:val="es-ES_tradnl"/>
        </w:rPr>
        <w:t xml:space="preserve">l año </w:t>
      </w:r>
      <w:r w:rsidR="001E3965" w:rsidRPr="00E31D83">
        <w:rPr>
          <w:rFonts w:asciiTheme="minorHAnsi" w:hAnsiTheme="minorHAnsi" w:cs="Times New Roman"/>
          <w:lang w:val="es-ES_tradnl"/>
        </w:rPr>
        <w:t>2014. A ell</w:t>
      </w:r>
      <w:r w:rsidR="00263795" w:rsidRPr="00E31D83">
        <w:rPr>
          <w:rFonts w:asciiTheme="minorHAnsi" w:hAnsiTheme="minorHAnsi" w:cs="Times New Roman"/>
          <w:lang w:val="es-ES_tradnl"/>
        </w:rPr>
        <w:t>o</w:t>
      </w:r>
      <w:r w:rsidR="001E3965" w:rsidRPr="00E31D83">
        <w:rPr>
          <w:rFonts w:asciiTheme="minorHAnsi" w:hAnsiTheme="minorHAnsi" w:cs="Times New Roman"/>
          <w:lang w:val="es-ES_tradnl"/>
        </w:rPr>
        <w:t xml:space="preserve"> se agregaron los US$ 387 millones </w:t>
      </w:r>
      <w:r w:rsidR="00263795" w:rsidRPr="00E31D83">
        <w:rPr>
          <w:rFonts w:asciiTheme="minorHAnsi" w:hAnsiTheme="minorHAnsi" w:cs="Times New Roman"/>
          <w:lang w:val="es-ES_tradnl"/>
        </w:rPr>
        <w:t>de obras extraordinarias en el primer quinquenio, que estima el Gobierno derivar de DNV a CVU además del contrato de concesión.</w:t>
      </w:r>
      <w:r w:rsidR="001E3965" w:rsidRPr="00E31D83">
        <w:rPr>
          <w:rFonts w:asciiTheme="minorHAnsi" w:hAnsiTheme="minorHAnsi" w:cs="Times New Roman"/>
          <w:lang w:val="es-ES_tradnl"/>
        </w:rPr>
        <w:t xml:space="preserve"> </w:t>
      </w:r>
    </w:p>
    <w:p w:rsidR="00EF06A6" w:rsidRPr="00E31D83" w:rsidRDefault="00EF06A6" w:rsidP="00E31D83">
      <w:pPr>
        <w:jc w:val="both"/>
        <w:rPr>
          <w:rFonts w:asciiTheme="minorHAnsi" w:hAnsiTheme="minorHAnsi" w:cs="Times New Roman"/>
          <w:lang w:val="es-ES_tradnl"/>
        </w:rPr>
      </w:pPr>
      <w:r w:rsidRPr="00E31D83">
        <w:rPr>
          <w:rFonts w:asciiTheme="minorHAnsi" w:hAnsiTheme="minorHAnsi" w:cs="Times New Roman"/>
          <w:lang w:val="es-ES_tradnl"/>
        </w:rPr>
        <w:t>Estos montos incluyen las inversiones que ya estaban en el flujo de fondos de la concesión vigente.</w:t>
      </w:r>
    </w:p>
    <w:p w:rsidR="005C7397" w:rsidRPr="00E31D83" w:rsidRDefault="005C7397" w:rsidP="00E31D83">
      <w:pPr>
        <w:jc w:val="both"/>
        <w:rPr>
          <w:rFonts w:asciiTheme="minorHAnsi" w:hAnsiTheme="minorHAnsi" w:cs="Times New Roman"/>
          <w:lang w:val="es-ES_tradnl"/>
        </w:rPr>
      </w:pPr>
    </w:p>
    <w:p w:rsidR="00263795" w:rsidRPr="00263795" w:rsidRDefault="00263795" w:rsidP="005C7397">
      <w:pPr>
        <w:pStyle w:val="Heading3"/>
      </w:pPr>
      <w:bookmarkStart w:id="13" w:name="_Toc428464183"/>
      <w:r w:rsidRPr="00263795">
        <w:t>Financiamiento</w:t>
      </w:r>
      <w:bookmarkEnd w:id="13"/>
    </w:p>
    <w:p w:rsidR="005C7397" w:rsidRPr="00E31D83" w:rsidRDefault="005C7397" w:rsidP="00E31D83">
      <w:pPr>
        <w:jc w:val="both"/>
        <w:rPr>
          <w:rFonts w:asciiTheme="minorHAnsi" w:hAnsiTheme="minorHAnsi" w:cs="Times New Roman"/>
          <w:lang w:val="es-ES_tradnl"/>
        </w:rPr>
      </w:pPr>
    </w:p>
    <w:p w:rsidR="00EF06A6" w:rsidRPr="00E31D83" w:rsidRDefault="00EF06A6" w:rsidP="00E31D83">
      <w:pPr>
        <w:jc w:val="both"/>
        <w:rPr>
          <w:rFonts w:asciiTheme="minorHAnsi" w:hAnsiTheme="minorHAnsi" w:cs="Times New Roman"/>
          <w:lang w:val="es-ES_tradnl"/>
        </w:rPr>
      </w:pPr>
      <w:r w:rsidRPr="00E31D83">
        <w:rPr>
          <w:rFonts w:asciiTheme="minorHAnsi" w:hAnsiTheme="minorHAnsi" w:cs="Times New Roman"/>
          <w:lang w:val="es-ES_tradnl"/>
        </w:rPr>
        <w:t>E</w:t>
      </w:r>
      <w:r w:rsidR="001E3965" w:rsidRPr="00E31D83">
        <w:rPr>
          <w:rFonts w:asciiTheme="minorHAnsi" w:hAnsiTheme="minorHAnsi" w:cs="Times New Roman"/>
          <w:lang w:val="es-ES_tradnl"/>
        </w:rPr>
        <w:t xml:space="preserve">l financiamiento previsto </w:t>
      </w:r>
      <w:r w:rsidRPr="00E31D83">
        <w:rPr>
          <w:rFonts w:asciiTheme="minorHAnsi" w:hAnsiTheme="minorHAnsi" w:cs="Times New Roman"/>
          <w:lang w:val="es-ES_tradnl"/>
        </w:rPr>
        <w:t xml:space="preserve">parte de un préstamo nuevo por </w:t>
      </w:r>
      <w:r w:rsidR="001E3965" w:rsidRPr="00E31D83">
        <w:rPr>
          <w:rFonts w:asciiTheme="minorHAnsi" w:hAnsiTheme="minorHAnsi" w:cs="Times New Roman"/>
          <w:lang w:val="es-ES_tradnl"/>
        </w:rPr>
        <w:t xml:space="preserve">US$ 100 millones </w:t>
      </w:r>
      <w:r w:rsidRPr="00E31D83">
        <w:rPr>
          <w:rFonts w:asciiTheme="minorHAnsi" w:hAnsiTheme="minorHAnsi" w:cs="Times New Roman"/>
          <w:lang w:val="es-ES_tradnl"/>
        </w:rPr>
        <w:t xml:space="preserve">a otorgar por </w:t>
      </w:r>
      <w:r w:rsidR="001E3965" w:rsidRPr="00E31D83">
        <w:rPr>
          <w:rFonts w:asciiTheme="minorHAnsi" w:hAnsiTheme="minorHAnsi" w:cs="Times New Roman"/>
          <w:lang w:val="es-ES_tradnl"/>
        </w:rPr>
        <w:t>el BID</w:t>
      </w:r>
      <w:r w:rsidRPr="00E31D83">
        <w:rPr>
          <w:rFonts w:asciiTheme="minorHAnsi" w:hAnsiTheme="minorHAnsi" w:cs="Times New Roman"/>
          <w:lang w:val="es-ES_tradnl"/>
        </w:rPr>
        <w:t xml:space="preserve"> para </w:t>
      </w:r>
      <w:r w:rsidR="0091002F">
        <w:rPr>
          <w:rFonts w:asciiTheme="minorHAnsi" w:hAnsiTheme="minorHAnsi" w:cs="Times New Roman"/>
          <w:lang w:val="es-ES_tradnl"/>
        </w:rPr>
        <w:t xml:space="preserve">atender los subsidios extraordinarios que la DNV </w:t>
      </w:r>
      <w:r w:rsidR="00E31D83">
        <w:rPr>
          <w:rFonts w:asciiTheme="minorHAnsi" w:hAnsiTheme="minorHAnsi" w:cs="Times New Roman"/>
          <w:lang w:val="es-ES_tradnl"/>
        </w:rPr>
        <w:t>tras</w:t>
      </w:r>
      <w:r w:rsidRPr="00E31D83">
        <w:rPr>
          <w:rFonts w:asciiTheme="minorHAnsi" w:hAnsiTheme="minorHAnsi" w:cs="Times New Roman"/>
          <w:lang w:val="es-ES_tradnl"/>
        </w:rPr>
        <w:t xml:space="preserve">pasa a la CVU. En este caso, </w:t>
      </w:r>
      <w:r w:rsidR="00E31D83">
        <w:rPr>
          <w:rFonts w:asciiTheme="minorHAnsi" w:hAnsiTheme="minorHAnsi" w:cs="Times New Roman"/>
          <w:lang w:val="es-ES_tradnl"/>
        </w:rPr>
        <w:t xml:space="preserve">el aporte local de </w:t>
      </w:r>
      <w:r w:rsidR="001E3965" w:rsidRPr="00E31D83">
        <w:rPr>
          <w:rFonts w:asciiTheme="minorHAnsi" w:hAnsiTheme="minorHAnsi" w:cs="Times New Roman"/>
          <w:lang w:val="es-ES_tradnl"/>
        </w:rPr>
        <w:t xml:space="preserve">US$ 24 millones </w:t>
      </w:r>
      <w:r w:rsidRPr="00E31D83">
        <w:rPr>
          <w:rFonts w:asciiTheme="minorHAnsi" w:hAnsiTheme="minorHAnsi" w:cs="Times New Roman"/>
          <w:lang w:val="es-ES_tradnl"/>
        </w:rPr>
        <w:t xml:space="preserve">corresponde a </w:t>
      </w:r>
      <w:r w:rsidR="001E3965" w:rsidRPr="00E31D83">
        <w:rPr>
          <w:rFonts w:asciiTheme="minorHAnsi" w:hAnsiTheme="minorHAnsi" w:cs="Times New Roman"/>
          <w:lang w:val="es-ES_tradnl"/>
        </w:rPr>
        <w:t>crédito</w:t>
      </w:r>
      <w:r w:rsidRPr="00E31D83">
        <w:rPr>
          <w:rFonts w:asciiTheme="minorHAnsi" w:hAnsiTheme="minorHAnsi" w:cs="Times New Roman"/>
          <w:lang w:val="es-ES_tradnl"/>
        </w:rPr>
        <w:t>s</w:t>
      </w:r>
      <w:r w:rsidR="001E3965" w:rsidRPr="00E31D83">
        <w:rPr>
          <w:rFonts w:asciiTheme="minorHAnsi" w:hAnsiTheme="minorHAnsi" w:cs="Times New Roman"/>
          <w:lang w:val="es-ES_tradnl"/>
        </w:rPr>
        <w:t xml:space="preserve"> </w:t>
      </w:r>
      <w:r w:rsidRPr="00E31D83">
        <w:rPr>
          <w:rFonts w:asciiTheme="minorHAnsi" w:hAnsiTheme="minorHAnsi" w:cs="Times New Roman"/>
          <w:lang w:val="es-ES_tradnl"/>
        </w:rPr>
        <w:t xml:space="preserve">por </w:t>
      </w:r>
      <w:r w:rsidR="001E3965" w:rsidRPr="00E31D83">
        <w:rPr>
          <w:rFonts w:asciiTheme="minorHAnsi" w:hAnsiTheme="minorHAnsi" w:cs="Times New Roman"/>
          <w:lang w:val="es-ES_tradnl"/>
        </w:rPr>
        <w:t xml:space="preserve">IVA </w:t>
      </w:r>
      <w:r w:rsidRPr="00E31D83">
        <w:rPr>
          <w:rFonts w:asciiTheme="minorHAnsi" w:hAnsiTheme="minorHAnsi" w:cs="Times New Roman"/>
          <w:lang w:val="es-ES_tradnl"/>
        </w:rPr>
        <w:t xml:space="preserve">de las obras </w:t>
      </w:r>
      <w:r w:rsidR="001E3965" w:rsidRPr="00E31D83">
        <w:rPr>
          <w:rFonts w:asciiTheme="minorHAnsi" w:hAnsiTheme="minorHAnsi" w:cs="Times New Roman"/>
          <w:lang w:val="es-ES_tradnl"/>
        </w:rPr>
        <w:t xml:space="preserve">y el resto (US$ 76 millones) es </w:t>
      </w:r>
      <w:r w:rsidR="00E31D83">
        <w:rPr>
          <w:rFonts w:asciiTheme="minorHAnsi" w:hAnsiTheme="minorHAnsi" w:cs="Times New Roman"/>
          <w:lang w:val="es-ES_tradnl"/>
        </w:rPr>
        <w:t xml:space="preserve">el </w:t>
      </w:r>
      <w:r w:rsidR="001E3965" w:rsidRPr="00E31D83">
        <w:rPr>
          <w:rFonts w:asciiTheme="minorHAnsi" w:hAnsiTheme="minorHAnsi" w:cs="Times New Roman"/>
          <w:lang w:val="es-ES_tradnl"/>
        </w:rPr>
        <w:t>financiamiento</w:t>
      </w:r>
      <w:r w:rsidRPr="00E31D83">
        <w:rPr>
          <w:rFonts w:asciiTheme="minorHAnsi" w:hAnsiTheme="minorHAnsi" w:cs="Times New Roman"/>
          <w:lang w:val="es-ES_tradnl"/>
        </w:rPr>
        <w:t xml:space="preserve"> externo</w:t>
      </w:r>
      <w:r w:rsidR="001E3965" w:rsidRPr="00E31D83">
        <w:rPr>
          <w:rFonts w:asciiTheme="minorHAnsi" w:hAnsiTheme="minorHAnsi" w:cs="Times New Roman"/>
          <w:lang w:val="es-ES_tradnl"/>
        </w:rPr>
        <w:t xml:space="preserve">, cuyas condiciones </w:t>
      </w:r>
      <w:r w:rsidR="00E31D83">
        <w:rPr>
          <w:rFonts w:asciiTheme="minorHAnsi" w:hAnsiTheme="minorHAnsi" w:cs="Times New Roman"/>
          <w:lang w:val="es-ES_tradnl"/>
        </w:rPr>
        <w:t>estimadas para este cálculo son un costo de</w:t>
      </w:r>
      <w:r w:rsidR="001E3965" w:rsidRPr="00E31D83">
        <w:rPr>
          <w:rFonts w:asciiTheme="minorHAnsi" w:hAnsiTheme="minorHAnsi" w:cs="Times New Roman"/>
          <w:lang w:val="es-ES_tradnl"/>
        </w:rPr>
        <w:t xml:space="preserve"> LIBOR </w:t>
      </w:r>
      <w:r w:rsidR="00E31D83">
        <w:rPr>
          <w:rFonts w:asciiTheme="minorHAnsi" w:hAnsiTheme="minorHAnsi" w:cs="Times New Roman"/>
          <w:lang w:val="es-ES_tradnl"/>
        </w:rPr>
        <w:t xml:space="preserve">a 6 meses + 0,25% y un plazo de </w:t>
      </w:r>
      <w:r w:rsidR="001E3965" w:rsidRPr="00E31D83">
        <w:rPr>
          <w:rFonts w:asciiTheme="minorHAnsi" w:hAnsiTheme="minorHAnsi" w:cs="Times New Roman"/>
          <w:lang w:val="es-ES_tradnl"/>
        </w:rPr>
        <w:t>2</w:t>
      </w:r>
      <w:r w:rsidRPr="00E31D83">
        <w:rPr>
          <w:rFonts w:asciiTheme="minorHAnsi" w:hAnsiTheme="minorHAnsi" w:cs="Times New Roman"/>
          <w:lang w:val="es-ES_tradnl"/>
        </w:rPr>
        <w:t>0</w:t>
      </w:r>
      <w:r w:rsidR="001E3965" w:rsidRPr="00E31D83">
        <w:rPr>
          <w:rFonts w:asciiTheme="minorHAnsi" w:hAnsiTheme="minorHAnsi" w:cs="Times New Roman"/>
          <w:lang w:val="es-ES_tradnl"/>
        </w:rPr>
        <w:t xml:space="preserve"> años con 5 de gracia</w:t>
      </w:r>
      <w:r w:rsidR="005E00C4">
        <w:rPr>
          <w:rFonts w:asciiTheme="minorHAnsi" w:hAnsiTheme="minorHAnsi" w:cs="Times New Roman"/>
          <w:lang w:val="es-ES_tradnl"/>
        </w:rPr>
        <w:t>, con pagos semestrales</w:t>
      </w:r>
      <w:r w:rsidR="001E3965" w:rsidRPr="00E31D83">
        <w:rPr>
          <w:rFonts w:asciiTheme="minorHAnsi" w:hAnsiTheme="minorHAnsi" w:cs="Times New Roman"/>
          <w:lang w:val="es-ES_tradnl"/>
        </w:rPr>
        <w:t xml:space="preserve">. </w:t>
      </w:r>
    </w:p>
    <w:p w:rsidR="00EF06A6" w:rsidRDefault="0062468C" w:rsidP="00E31D83">
      <w:pPr>
        <w:jc w:val="both"/>
        <w:rPr>
          <w:rFonts w:asciiTheme="minorHAnsi" w:hAnsiTheme="minorHAnsi" w:cs="Times New Roman"/>
          <w:lang w:val="es-ES_tradnl"/>
        </w:rPr>
      </w:pPr>
      <w:r>
        <w:rPr>
          <w:rFonts w:asciiTheme="minorHAnsi" w:hAnsiTheme="minorHAnsi" w:cs="Times New Roman"/>
          <w:lang w:val="es-ES_tradnl"/>
        </w:rPr>
        <w:t xml:space="preserve">Se estima, a su vez, que </w:t>
      </w:r>
      <w:r w:rsidR="001E3965" w:rsidRPr="00E31D83">
        <w:rPr>
          <w:rFonts w:asciiTheme="minorHAnsi" w:hAnsiTheme="minorHAnsi" w:cs="Times New Roman"/>
          <w:lang w:val="es-ES_tradnl"/>
        </w:rPr>
        <w:t>se agrega</w:t>
      </w:r>
      <w:r>
        <w:rPr>
          <w:rFonts w:asciiTheme="minorHAnsi" w:hAnsiTheme="minorHAnsi" w:cs="Times New Roman"/>
          <w:lang w:val="es-ES_tradnl"/>
        </w:rPr>
        <w:t xml:space="preserve">rían </w:t>
      </w:r>
      <w:r w:rsidR="001E3965" w:rsidRPr="00E31D83">
        <w:rPr>
          <w:rFonts w:asciiTheme="minorHAnsi" w:hAnsiTheme="minorHAnsi" w:cs="Times New Roman"/>
          <w:lang w:val="es-ES_tradnl"/>
        </w:rPr>
        <w:t xml:space="preserve">US$ </w:t>
      </w:r>
      <w:r>
        <w:rPr>
          <w:rFonts w:asciiTheme="minorHAnsi" w:hAnsiTheme="minorHAnsi" w:cs="Times New Roman"/>
          <w:lang w:val="es-ES_tradnl"/>
        </w:rPr>
        <w:t>1</w:t>
      </w:r>
      <w:r w:rsidR="00EF06A6" w:rsidRPr="00E31D83">
        <w:rPr>
          <w:rFonts w:asciiTheme="minorHAnsi" w:hAnsiTheme="minorHAnsi" w:cs="Times New Roman"/>
          <w:lang w:val="es-ES_tradnl"/>
        </w:rPr>
        <w:t>30</w:t>
      </w:r>
      <w:r w:rsidR="001E3965" w:rsidRPr="00E31D83">
        <w:rPr>
          <w:rFonts w:asciiTheme="minorHAnsi" w:hAnsiTheme="minorHAnsi" w:cs="Times New Roman"/>
          <w:lang w:val="es-ES_tradnl"/>
        </w:rPr>
        <w:t xml:space="preserve"> millones </w:t>
      </w:r>
      <w:r w:rsidR="00EF06A6" w:rsidRPr="00E31D83">
        <w:rPr>
          <w:rFonts w:asciiTheme="minorHAnsi" w:hAnsiTheme="minorHAnsi" w:cs="Times New Roman"/>
          <w:lang w:val="es-ES_tradnl"/>
        </w:rPr>
        <w:t xml:space="preserve">de </w:t>
      </w:r>
      <w:r>
        <w:rPr>
          <w:rFonts w:asciiTheme="minorHAnsi" w:hAnsiTheme="minorHAnsi" w:cs="Times New Roman"/>
          <w:lang w:val="es-ES_tradnl"/>
        </w:rPr>
        <w:t xml:space="preserve">préstamos de </w:t>
      </w:r>
      <w:r w:rsidR="00EF06A6" w:rsidRPr="00E31D83">
        <w:rPr>
          <w:rFonts w:asciiTheme="minorHAnsi" w:hAnsiTheme="minorHAnsi" w:cs="Times New Roman"/>
          <w:lang w:val="es-ES_tradnl"/>
        </w:rPr>
        <w:t xml:space="preserve">organismos multilaterales, provenientes en principio </w:t>
      </w:r>
      <w:r>
        <w:rPr>
          <w:rFonts w:asciiTheme="minorHAnsi" w:hAnsiTheme="minorHAnsi" w:cs="Times New Roman"/>
          <w:lang w:val="es-ES_tradnl"/>
        </w:rPr>
        <w:t xml:space="preserve">de </w:t>
      </w:r>
      <w:r w:rsidR="00EF06A6" w:rsidRPr="00E31D83">
        <w:rPr>
          <w:rFonts w:asciiTheme="minorHAnsi" w:hAnsiTheme="minorHAnsi" w:cs="Times New Roman"/>
          <w:lang w:val="es-ES_tradnl"/>
        </w:rPr>
        <w:t xml:space="preserve">FONPLATA y CAF. Las condiciones de estos préstamos, en términos operativos para estas proyecciones, se suponen iguales a las consideradas para el préstamo BID. </w:t>
      </w:r>
    </w:p>
    <w:p w:rsidR="0062468C" w:rsidRDefault="0062468C" w:rsidP="00E31D83">
      <w:pPr>
        <w:jc w:val="both"/>
        <w:rPr>
          <w:rFonts w:asciiTheme="minorHAnsi" w:hAnsiTheme="minorHAnsi" w:cs="Times New Roman"/>
          <w:lang w:val="es-ES_tradnl"/>
        </w:rPr>
      </w:pPr>
      <w:r>
        <w:rPr>
          <w:rFonts w:asciiTheme="minorHAnsi" w:hAnsiTheme="minorHAnsi" w:cs="Times New Roman"/>
          <w:lang w:val="es-ES_tradnl"/>
        </w:rPr>
        <w:t xml:space="preserve">Por otra parte, dadas las elevadas necesidades financieras, se plantea una </w:t>
      </w:r>
      <w:proofErr w:type="spellStart"/>
      <w:r>
        <w:rPr>
          <w:rFonts w:asciiTheme="minorHAnsi" w:hAnsiTheme="minorHAnsi" w:cs="Times New Roman"/>
          <w:lang w:val="es-ES_tradnl"/>
        </w:rPr>
        <w:t>securitización</w:t>
      </w:r>
      <w:proofErr w:type="spellEnd"/>
      <w:r>
        <w:rPr>
          <w:rFonts w:asciiTheme="minorHAnsi" w:hAnsiTheme="minorHAnsi" w:cs="Times New Roman"/>
          <w:lang w:val="es-ES_tradnl"/>
        </w:rPr>
        <w:t xml:space="preserve"> </w:t>
      </w:r>
      <w:r w:rsidRPr="00E31D83">
        <w:rPr>
          <w:rFonts w:asciiTheme="minorHAnsi" w:hAnsiTheme="minorHAnsi" w:cs="Times New Roman"/>
          <w:lang w:val="es-ES_tradnl"/>
        </w:rPr>
        <w:t>de los peajes de un quinquenio</w:t>
      </w:r>
      <w:r>
        <w:rPr>
          <w:rFonts w:asciiTheme="minorHAnsi" w:hAnsiTheme="minorHAnsi" w:cs="Times New Roman"/>
          <w:lang w:val="es-ES_tradnl"/>
        </w:rPr>
        <w:t xml:space="preserve"> por US$ 310 millones. Esta operación se estima que se coloque a 15 años de plazo con dos de grac</w:t>
      </w:r>
      <w:r w:rsidR="00162311">
        <w:rPr>
          <w:rFonts w:asciiTheme="minorHAnsi" w:hAnsiTheme="minorHAnsi" w:cs="Times New Roman"/>
          <w:lang w:val="es-ES_tradnl"/>
        </w:rPr>
        <w:t>ia, con una tasa del orden del 3</w:t>
      </w:r>
      <w:r>
        <w:rPr>
          <w:rFonts w:asciiTheme="minorHAnsi" w:hAnsiTheme="minorHAnsi" w:cs="Times New Roman"/>
          <w:lang w:val="es-ES_tradnl"/>
        </w:rPr>
        <w:t xml:space="preserve">% anual, en base a operaciones similares que se han registrado en plaza, aunque para montos menores.   </w:t>
      </w:r>
    </w:p>
    <w:p w:rsidR="00131839" w:rsidRDefault="00131839" w:rsidP="00131839">
      <w:pPr>
        <w:jc w:val="center"/>
        <w:rPr>
          <w:rFonts w:asciiTheme="minorHAnsi" w:hAnsiTheme="minorHAnsi" w:cs="Times New Roman"/>
          <w:lang w:val="es-ES_tradnl"/>
        </w:rPr>
      </w:pPr>
      <w:r w:rsidRPr="00131839">
        <w:rPr>
          <w:noProof/>
          <w:lang w:val="en-US"/>
        </w:rPr>
        <w:drawing>
          <wp:inline distT="0" distB="0" distL="0" distR="0">
            <wp:extent cx="4556125" cy="2075180"/>
            <wp:effectExtent l="19050" t="0" r="0" b="0"/>
            <wp:docPr id="21"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4"/>
                    <a:srcRect/>
                    <a:stretch>
                      <a:fillRect/>
                    </a:stretch>
                  </pic:blipFill>
                  <pic:spPr bwMode="auto">
                    <a:xfrm>
                      <a:off x="0" y="0"/>
                      <a:ext cx="4556125" cy="2075180"/>
                    </a:xfrm>
                    <a:prstGeom prst="rect">
                      <a:avLst/>
                    </a:prstGeom>
                    <a:noFill/>
                    <a:ln w="9525">
                      <a:noFill/>
                      <a:miter lim="800000"/>
                      <a:headEnd/>
                      <a:tailEnd/>
                    </a:ln>
                  </pic:spPr>
                </pic:pic>
              </a:graphicData>
            </a:graphic>
          </wp:inline>
        </w:drawing>
      </w:r>
    </w:p>
    <w:p w:rsidR="00131839" w:rsidRPr="00131839" w:rsidRDefault="00131839" w:rsidP="00131839">
      <w:pPr>
        <w:jc w:val="center"/>
        <w:rPr>
          <w:rFonts w:asciiTheme="minorHAnsi" w:hAnsiTheme="minorHAnsi" w:cs="Times New Roman"/>
          <w:sz w:val="18"/>
          <w:szCs w:val="18"/>
          <w:lang w:val="es-ES_tradnl"/>
        </w:rPr>
      </w:pPr>
      <w:r w:rsidRPr="00131839">
        <w:rPr>
          <w:rFonts w:asciiTheme="minorHAnsi" w:hAnsiTheme="minorHAnsi" w:cs="Times New Roman"/>
          <w:sz w:val="18"/>
          <w:szCs w:val="18"/>
          <w:lang w:val="es-ES_tradnl"/>
        </w:rPr>
        <w:t>Fuente: Estimaciones propias en base a datos del BID, MEF</w:t>
      </w:r>
      <w:r>
        <w:rPr>
          <w:rFonts w:asciiTheme="minorHAnsi" w:hAnsiTheme="minorHAnsi" w:cs="Times New Roman"/>
          <w:sz w:val="18"/>
          <w:szCs w:val="18"/>
          <w:lang w:val="es-ES_tradnl"/>
        </w:rPr>
        <w:t xml:space="preserve"> </w:t>
      </w:r>
      <w:r w:rsidRPr="00131839">
        <w:rPr>
          <w:rFonts w:asciiTheme="minorHAnsi" w:hAnsiTheme="minorHAnsi" w:cs="Times New Roman"/>
          <w:sz w:val="18"/>
          <w:szCs w:val="18"/>
          <w:lang w:val="es-ES_tradnl"/>
        </w:rPr>
        <w:t>y CVU</w:t>
      </w:r>
    </w:p>
    <w:p w:rsidR="00065F78" w:rsidRDefault="00065F78" w:rsidP="00065F78">
      <w:pPr>
        <w:jc w:val="both"/>
        <w:rPr>
          <w:rFonts w:asciiTheme="minorHAnsi" w:hAnsiTheme="minorHAnsi" w:cs="Times New Roman"/>
          <w:lang w:val="es-ES_tradnl"/>
        </w:rPr>
      </w:pPr>
      <w:r>
        <w:rPr>
          <w:rFonts w:asciiTheme="minorHAnsi" w:hAnsiTheme="minorHAnsi" w:cs="Times New Roman"/>
          <w:lang w:val="es-ES_tradnl"/>
        </w:rPr>
        <w:t xml:space="preserve">Además, cabe acotar que este financiamiento no es suficiente en el primer quinquenio, por lo que se supone aquí que la DNV entrega subsidios extraordinarios por US$ 200 millones sobre el final del quinquenio, para enfrentar los niveles de obra supuestos en los actuales cálculos </w:t>
      </w:r>
      <w:r w:rsidR="00131839">
        <w:rPr>
          <w:rFonts w:asciiTheme="minorHAnsi" w:hAnsiTheme="minorHAnsi" w:cs="Times New Roman"/>
          <w:lang w:val="es-ES_tradnl"/>
        </w:rPr>
        <w:t>d</w:t>
      </w:r>
      <w:r>
        <w:rPr>
          <w:rFonts w:asciiTheme="minorHAnsi" w:hAnsiTheme="minorHAnsi" w:cs="Times New Roman"/>
          <w:lang w:val="es-ES_tradnl"/>
        </w:rPr>
        <w:t xml:space="preserve">el Gobierno. </w:t>
      </w:r>
    </w:p>
    <w:p w:rsidR="006445BB" w:rsidRDefault="00EF06A6" w:rsidP="00162311">
      <w:pPr>
        <w:jc w:val="both"/>
        <w:rPr>
          <w:rFonts w:asciiTheme="minorHAnsi" w:hAnsiTheme="minorHAnsi" w:cs="Times New Roman"/>
          <w:lang w:val="es-ES_tradnl"/>
        </w:rPr>
      </w:pPr>
      <w:r w:rsidRPr="00E31D83">
        <w:rPr>
          <w:rFonts w:asciiTheme="minorHAnsi" w:hAnsiTheme="minorHAnsi" w:cs="Times New Roman"/>
          <w:lang w:val="es-ES_tradnl"/>
        </w:rPr>
        <w:t>Luego</w:t>
      </w:r>
      <w:r w:rsidR="00065F78">
        <w:rPr>
          <w:rFonts w:asciiTheme="minorHAnsi" w:hAnsiTheme="minorHAnsi" w:cs="Times New Roman"/>
          <w:lang w:val="es-ES_tradnl"/>
        </w:rPr>
        <w:t>,</w:t>
      </w:r>
      <w:r w:rsidRPr="00E31D83">
        <w:rPr>
          <w:rFonts w:asciiTheme="minorHAnsi" w:hAnsiTheme="minorHAnsi" w:cs="Times New Roman"/>
          <w:lang w:val="es-ES_tradnl"/>
        </w:rPr>
        <w:t xml:space="preserve"> por </w:t>
      </w:r>
      <w:r w:rsidR="001E3965" w:rsidRPr="00E31D83">
        <w:rPr>
          <w:rFonts w:asciiTheme="minorHAnsi" w:hAnsiTheme="minorHAnsi" w:cs="Times New Roman"/>
          <w:lang w:val="es-ES_tradnl"/>
        </w:rPr>
        <w:t>necesidades d</w:t>
      </w:r>
      <w:r w:rsidRPr="00E31D83">
        <w:rPr>
          <w:rFonts w:asciiTheme="minorHAnsi" w:hAnsiTheme="minorHAnsi" w:cs="Times New Roman"/>
          <w:lang w:val="es-ES_tradnl"/>
        </w:rPr>
        <w:t>e</w:t>
      </w:r>
      <w:r w:rsidR="001E3965" w:rsidRPr="00E31D83">
        <w:rPr>
          <w:rFonts w:asciiTheme="minorHAnsi" w:hAnsiTheme="minorHAnsi" w:cs="Times New Roman"/>
          <w:lang w:val="es-ES_tradnl"/>
        </w:rPr>
        <w:t xml:space="preserve"> Caja se agrega</w:t>
      </w:r>
      <w:r w:rsidRPr="00E31D83">
        <w:rPr>
          <w:rFonts w:asciiTheme="minorHAnsi" w:hAnsiTheme="minorHAnsi" w:cs="Times New Roman"/>
          <w:lang w:val="es-ES_tradnl"/>
        </w:rPr>
        <w:t xml:space="preserve">n préstamos de mediano plazo por US$ </w:t>
      </w:r>
      <w:r w:rsidR="00162311">
        <w:rPr>
          <w:rFonts w:asciiTheme="minorHAnsi" w:hAnsiTheme="minorHAnsi" w:cs="Times New Roman"/>
          <w:lang w:val="es-ES_tradnl"/>
        </w:rPr>
        <w:t xml:space="preserve">20 millones en el segundo quinquenio, US$ 30 millones en el tercer quinquenio y sólo US$ 10 millones en el último quinquenio, todos ellos a </w:t>
      </w:r>
      <w:r w:rsidR="00A12EDA" w:rsidRPr="00E31D83">
        <w:rPr>
          <w:rFonts w:asciiTheme="minorHAnsi" w:hAnsiTheme="minorHAnsi" w:cs="Times New Roman"/>
          <w:lang w:val="es-ES_tradnl"/>
        </w:rPr>
        <w:t xml:space="preserve">un costo del </w:t>
      </w:r>
      <w:r w:rsidR="001E3965" w:rsidRPr="00E31D83">
        <w:rPr>
          <w:rFonts w:asciiTheme="minorHAnsi" w:hAnsiTheme="minorHAnsi" w:cs="Times New Roman"/>
          <w:lang w:val="es-ES_tradnl"/>
        </w:rPr>
        <w:t>7,5% anual</w:t>
      </w:r>
      <w:r w:rsidR="00A12EDA" w:rsidRPr="00E31D83">
        <w:rPr>
          <w:rFonts w:asciiTheme="minorHAnsi" w:hAnsiTheme="minorHAnsi" w:cs="Times New Roman"/>
          <w:lang w:val="es-ES_tradnl"/>
        </w:rPr>
        <w:t xml:space="preserve">, </w:t>
      </w:r>
      <w:r w:rsidR="00162311">
        <w:rPr>
          <w:rFonts w:asciiTheme="minorHAnsi" w:hAnsiTheme="minorHAnsi" w:cs="Times New Roman"/>
          <w:lang w:val="es-ES_tradnl"/>
        </w:rPr>
        <w:t xml:space="preserve">amortizándolos </w:t>
      </w:r>
      <w:r w:rsidR="00065F78">
        <w:rPr>
          <w:rFonts w:asciiTheme="minorHAnsi" w:hAnsiTheme="minorHAnsi" w:cs="Times New Roman"/>
          <w:lang w:val="es-ES_tradnl"/>
        </w:rPr>
        <w:t>desde un</w:t>
      </w:r>
      <w:r w:rsidR="00162311">
        <w:rPr>
          <w:rFonts w:asciiTheme="minorHAnsi" w:hAnsiTheme="minorHAnsi" w:cs="Times New Roman"/>
          <w:lang w:val="es-ES_tradnl"/>
        </w:rPr>
        <w:t xml:space="preserve"> año a tres años</w:t>
      </w:r>
      <w:r w:rsidR="00065F78">
        <w:rPr>
          <w:rFonts w:asciiTheme="minorHAnsi" w:hAnsiTheme="minorHAnsi" w:cs="Times New Roman"/>
          <w:lang w:val="es-ES_tradnl"/>
        </w:rPr>
        <w:t>,</w:t>
      </w:r>
      <w:r w:rsidR="00162311">
        <w:rPr>
          <w:rFonts w:asciiTheme="minorHAnsi" w:hAnsiTheme="minorHAnsi" w:cs="Times New Roman"/>
          <w:lang w:val="es-ES_tradnl"/>
        </w:rPr>
        <w:t xml:space="preserve"> según las necesidades financieras del flujo de fondos.</w:t>
      </w:r>
    </w:p>
    <w:p w:rsidR="00065F78" w:rsidRDefault="00065F78" w:rsidP="00172730">
      <w:pPr>
        <w:jc w:val="both"/>
        <w:rPr>
          <w:rFonts w:asciiTheme="minorHAnsi" w:hAnsiTheme="minorHAnsi" w:cs="Times New Roman"/>
          <w:lang w:val="es-ES_tradnl"/>
        </w:rPr>
      </w:pPr>
    </w:p>
    <w:p w:rsidR="008770C1" w:rsidRDefault="008770C1" w:rsidP="005C7397">
      <w:pPr>
        <w:pStyle w:val="Heading3"/>
        <w:rPr>
          <w:lang w:val="es-ES_tradnl"/>
        </w:rPr>
      </w:pPr>
      <w:bookmarkStart w:id="14" w:name="_Toc428464184"/>
      <w:r w:rsidRPr="008770C1">
        <w:rPr>
          <w:lang w:val="es-ES_tradnl"/>
        </w:rPr>
        <w:t>Resultados</w:t>
      </w:r>
      <w:bookmarkEnd w:id="14"/>
    </w:p>
    <w:p w:rsidR="0062468C" w:rsidRDefault="0062468C" w:rsidP="00172730">
      <w:pPr>
        <w:jc w:val="both"/>
        <w:rPr>
          <w:rFonts w:asciiTheme="minorHAnsi" w:hAnsiTheme="minorHAnsi" w:cs="Times New Roman"/>
          <w:lang w:val="es-ES_tradnl"/>
        </w:rPr>
      </w:pPr>
    </w:p>
    <w:p w:rsidR="008770C1" w:rsidRDefault="008770C1" w:rsidP="00172730">
      <w:pPr>
        <w:jc w:val="both"/>
        <w:rPr>
          <w:rFonts w:asciiTheme="minorHAnsi" w:hAnsiTheme="minorHAnsi" w:cs="Times New Roman"/>
          <w:lang w:val="es-ES_tradnl"/>
        </w:rPr>
      </w:pPr>
      <w:r>
        <w:rPr>
          <w:rFonts w:asciiTheme="minorHAnsi" w:hAnsiTheme="minorHAnsi" w:cs="Times New Roman"/>
          <w:lang w:val="es-ES_tradnl"/>
        </w:rPr>
        <w:t>A continuación se presenta una síntesis de los flujos de</w:t>
      </w:r>
      <w:r w:rsidR="005E00C4">
        <w:rPr>
          <w:rFonts w:asciiTheme="minorHAnsi" w:hAnsiTheme="minorHAnsi" w:cs="Times New Roman"/>
          <w:lang w:val="es-ES_tradnl"/>
        </w:rPr>
        <w:t xml:space="preserve"> fondos construidos en base a l</w:t>
      </w:r>
      <w:r>
        <w:rPr>
          <w:rFonts w:asciiTheme="minorHAnsi" w:hAnsiTheme="minorHAnsi" w:cs="Times New Roman"/>
          <w:lang w:val="es-ES_tradnl"/>
        </w:rPr>
        <w:t>o</w:t>
      </w:r>
      <w:r w:rsidR="005E00C4">
        <w:rPr>
          <w:rFonts w:asciiTheme="minorHAnsi" w:hAnsiTheme="minorHAnsi" w:cs="Times New Roman"/>
          <w:lang w:val="es-ES_tradnl"/>
        </w:rPr>
        <w:t>s</w:t>
      </w:r>
      <w:r>
        <w:rPr>
          <w:rFonts w:asciiTheme="minorHAnsi" w:hAnsiTheme="minorHAnsi" w:cs="Times New Roman"/>
          <w:lang w:val="es-ES_tradnl"/>
        </w:rPr>
        <w:t xml:space="preserve"> supuestos previos para el período del nuevo acuerdo de la concesión.</w:t>
      </w:r>
    </w:p>
    <w:p w:rsidR="00065F78" w:rsidRDefault="00065F78" w:rsidP="00570296">
      <w:pPr>
        <w:jc w:val="both"/>
        <w:rPr>
          <w:rFonts w:asciiTheme="minorHAnsi" w:hAnsiTheme="minorHAnsi" w:cs="Times New Roman"/>
          <w:lang w:val="es-ES_tradnl"/>
        </w:rPr>
      </w:pPr>
      <w:r w:rsidRPr="00065F78">
        <w:rPr>
          <w:rFonts w:asciiTheme="minorHAnsi" w:hAnsiTheme="minorHAnsi" w:cs="Times New Roman"/>
          <w:noProof/>
          <w:lang w:val="en-US"/>
        </w:rPr>
        <w:drawing>
          <wp:inline distT="0" distB="0" distL="0" distR="0">
            <wp:extent cx="5400040" cy="2442342"/>
            <wp:effectExtent l="19050" t="0" r="0" b="0"/>
            <wp:docPr id="19"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5"/>
                    <a:srcRect/>
                    <a:stretch>
                      <a:fillRect/>
                    </a:stretch>
                  </pic:blipFill>
                  <pic:spPr bwMode="auto">
                    <a:xfrm>
                      <a:off x="0" y="0"/>
                      <a:ext cx="5400040" cy="2442342"/>
                    </a:xfrm>
                    <a:prstGeom prst="rect">
                      <a:avLst/>
                    </a:prstGeom>
                    <a:noFill/>
                    <a:ln w="9525">
                      <a:noFill/>
                      <a:miter lim="800000"/>
                      <a:headEnd/>
                      <a:tailEnd/>
                    </a:ln>
                  </pic:spPr>
                </pic:pic>
              </a:graphicData>
            </a:graphic>
          </wp:inline>
        </w:drawing>
      </w:r>
    </w:p>
    <w:p w:rsidR="00065F78" w:rsidRPr="00065F78" w:rsidRDefault="00065F78" w:rsidP="00065F78">
      <w:pPr>
        <w:jc w:val="center"/>
        <w:rPr>
          <w:rFonts w:asciiTheme="minorHAnsi" w:hAnsiTheme="minorHAnsi" w:cs="Times New Roman"/>
          <w:sz w:val="18"/>
          <w:szCs w:val="18"/>
          <w:lang w:val="es-ES_tradnl"/>
        </w:rPr>
      </w:pPr>
      <w:r w:rsidRPr="00065F78">
        <w:rPr>
          <w:rFonts w:asciiTheme="minorHAnsi" w:hAnsiTheme="minorHAnsi" w:cs="Times New Roman"/>
          <w:sz w:val="18"/>
          <w:szCs w:val="18"/>
          <w:lang w:val="es-ES_tradnl"/>
        </w:rPr>
        <w:t>Fuente: Estimaciones propias en base a información de CVU y MEF</w:t>
      </w:r>
    </w:p>
    <w:p w:rsidR="007A39DF" w:rsidRDefault="007E5B98" w:rsidP="00570296">
      <w:pPr>
        <w:jc w:val="both"/>
        <w:rPr>
          <w:rFonts w:asciiTheme="minorHAnsi" w:hAnsiTheme="minorHAnsi" w:cs="Times New Roman"/>
          <w:lang w:val="es-ES_tradnl"/>
        </w:rPr>
      </w:pPr>
      <w:r w:rsidRPr="00570296">
        <w:rPr>
          <w:rFonts w:asciiTheme="minorHAnsi" w:hAnsiTheme="minorHAnsi" w:cs="Times New Roman"/>
          <w:lang w:val="es-ES_tradnl"/>
        </w:rPr>
        <w:t>Estos resultados mue</w:t>
      </w:r>
      <w:r w:rsidR="00570296">
        <w:rPr>
          <w:rFonts w:asciiTheme="minorHAnsi" w:hAnsiTheme="minorHAnsi" w:cs="Times New Roman"/>
          <w:lang w:val="es-ES_tradnl"/>
        </w:rPr>
        <w:t>stran que si se fija el subsidio</w:t>
      </w:r>
      <w:r w:rsidRPr="00570296">
        <w:rPr>
          <w:rFonts w:asciiTheme="minorHAnsi" w:hAnsiTheme="minorHAnsi" w:cs="Times New Roman"/>
          <w:lang w:val="es-ES_tradnl"/>
        </w:rPr>
        <w:t xml:space="preserve"> en US$ 88 millones</w:t>
      </w:r>
      <w:r w:rsidR="00570296">
        <w:rPr>
          <w:rFonts w:asciiTheme="minorHAnsi" w:hAnsiTheme="minorHAnsi" w:cs="Times New Roman"/>
          <w:lang w:val="es-ES_tradnl"/>
        </w:rPr>
        <w:t>,</w:t>
      </w:r>
      <w:r w:rsidRPr="00570296">
        <w:rPr>
          <w:rFonts w:asciiTheme="minorHAnsi" w:hAnsiTheme="minorHAnsi" w:cs="Times New Roman"/>
          <w:lang w:val="es-ES_tradnl"/>
        </w:rPr>
        <w:t xml:space="preserve"> </w:t>
      </w:r>
      <w:r w:rsidR="00570296">
        <w:rPr>
          <w:rFonts w:asciiTheme="minorHAnsi" w:hAnsiTheme="minorHAnsi" w:cs="Times New Roman"/>
          <w:lang w:val="es-ES_tradnl"/>
        </w:rPr>
        <w:t>junto al éxito del financiamiento previsto</w:t>
      </w:r>
      <w:r w:rsidR="007A39DF">
        <w:rPr>
          <w:rFonts w:asciiTheme="minorHAnsi" w:hAnsiTheme="minorHAnsi" w:cs="Times New Roman"/>
          <w:lang w:val="es-ES_tradnl"/>
        </w:rPr>
        <w:t xml:space="preserve"> y</w:t>
      </w:r>
      <w:r w:rsidR="00570296">
        <w:rPr>
          <w:rFonts w:asciiTheme="minorHAnsi" w:hAnsiTheme="minorHAnsi" w:cs="Times New Roman"/>
          <w:lang w:val="es-ES_tradnl"/>
        </w:rPr>
        <w:t xml:space="preserve"> </w:t>
      </w:r>
      <w:r w:rsidR="007A39DF">
        <w:rPr>
          <w:rFonts w:asciiTheme="minorHAnsi" w:hAnsiTheme="minorHAnsi" w:cs="Times New Roman"/>
          <w:lang w:val="es-ES_tradnl"/>
        </w:rPr>
        <w:t xml:space="preserve">teniendo en cuenta un ingreso por US$ 200 millones a subsidiar adicionalmente por DNV, </w:t>
      </w:r>
      <w:r w:rsidRPr="00570296">
        <w:rPr>
          <w:rFonts w:asciiTheme="minorHAnsi" w:hAnsiTheme="minorHAnsi" w:cs="Times New Roman"/>
          <w:lang w:val="es-ES_tradnl"/>
        </w:rPr>
        <w:t>la situación de la CVU admit</w:t>
      </w:r>
      <w:r w:rsidR="00570296">
        <w:rPr>
          <w:rFonts w:asciiTheme="minorHAnsi" w:hAnsiTheme="minorHAnsi" w:cs="Times New Roman"/>
          <w:lang w:val="es-ES_tradnl"/>
        </w:rPr>
        <w:t>iría</w:t>
      </w:r>
      <w:r w:rsidRPr="00570296">
        <w:rPr>
          <w:rFonts w:asciiTheme="minorHAnsi" w:hAnsiTheme="minorHAnsi" w:cs="Times New Roman"/>
          <w:lang w:val="es-ES_tradnl"/>
        </w:rPr>
        <w:t xml:space="preserve"> ese nivel de </w:t>
      </w:r>
      <w:r w:rsidR="00570296">
        <w:rPr>
          <w:rFonts w:asciiTheme="minorHAnsi" w:hAnsiTheme="minorHAnsi" w:cs="Times New Roman"/>
          <w:lang w:val="es-ES_tradnl"/>
        </w:rPr>
        <w:t>g</w:t>
      </w:r>
      <w:r w:rsidRPr="00570296">
        <w:rPr>
          <w:rFonts w:asciiTheme="minorHAnsi" w:hAnsiTheme="minorHAnsi" w:cs="Times New Roman"/>
          <w:lang w:val="es-ES_tradnl"/>
        </w:rPr>
        <w:t>asto y de endeudamiento</w:t>
      </w:r>
      <w:r w:rsidR="00570296">
        <w:rPr>
          <w:rFonts w:asciiTheme="minorHAnsi" w:hAnsiTheme="minorHAnsi" w:cs="Times New Roman"/>
          <w:lang w:val="es-ES_tradnl"/>
        </w:rPr>
        <w:t xml:space="preserve"> en términos financieros en el primer quinquenio</w:t>
      </w:r>
      <w:r w:rsidR="007A39DF">
        <w:rPr>
          <w:rFonts w:asciiTheme="minorHAnsi" w:hAnsiTheme="minorHAnsi" w:cs="Times New Roman"/>
          <w:lang w:val="es-ES_tradnl"/>
        </w:rPr>
        <w:t>.</w:t>
      </w:r>
    </w:p>
    <w:p w:rsidR="00570296" w:rsidRDefault="007A39DF" w:rsidP="00570296">
      <w:pPr>
        <w:jc w:val="both"/>
        <w:rPr>
          <w:rFonts w:asciiTheme="minorHAnsi" w:hAnsiTheme="minorHAnsi" w:cs="Times New Roman"/>
          <w:lang w:val="es-ES_tradnl"/>
        </w:rPr>
      </w:pPr>
      <w:r>
        <w:rPr>
          <w:rFonts w:asciiTheme="minorHAnsi" w:hAnsiTheme="minorHAnsi" w:cs="Times New Roman"/>
          <w:lang w:val="es-ES_tradnl"/>
        </w:rPr>
        <w:t xml:space="preserve">Luego, </w:t>
      </w:r>
      <w:r w:rsidR="00570296">
        <w:rPr>
          <w:rFonts w:asciiTheme="minorHAnsi" w:hAnsiTheme="minorHAnsi" w:cs="Times New Roman"/>
          <w:lang w:val="es-ES_tradnl"/>
        </w:rPr>
        <w:t>los requerimientos financie</w:t>
      </w:r>
      <w:r w:rsidR="008B2073">
        <w:rPr>
          <w:rFonts w:asciiTheme="minorHAnsi" w:hAnsiTheme="minorHAnsi" w:cs="Times New Roman"/>
          <w:lang w:val="es-ES_tradnl"/>
        </w:rPr>
        <w:t>ros, amortizaciones e intereses</w:t>
      </w:r>
      <w:r w:rsidR="00570296">
        <w:rPr>
          <w:rFonts w:asciiTheme="minorHAnsi" w:hAnsiTheme="minorHAnsi" w:cs="Times New Roman"/>
          <w:lang w:val="es-ES_tradnl"/>
        </w:rPr>
        <w:t xml:space="preserve"> para enfrentar las operaciones de</w:t>
      </w:r>
      <w:r>
        <w:rPr>
          <w:rFonts w:asciiTheme="minorHAnsi" w:hAnsiTheme="minorHAnsi" w:cs="Times New Roman"/>
          <w:lang w:val="es-ES_tradnl"/>
        </w:rPr>
        <w:t xml:space="preserve">l primer </w:t>
      </w:r>
      <w:r w:rsidR="00570296">
        <w:rPr>
          <w:rFonts w:asciiTheme="minorHAnsi" w:hAnsiTheme="minorHAnsi" w:cs="Times New Roman"/>
          <w:lang w:val="es-ES_tradnl"/>
        </w:rPr>
        <w:t xml:space="preserve">quinquenio generarían </w:t>
      </w:r>
      <w:r>
        <w:rPr>
          <w:rFonts w:asciiTheme="minorHAnsi" w:hAnsiTheme="minorHAnsi" w:cs="Times New Roman"/>
          <w:lang w:val="es-ES_tradnl"/>
        </w:rPr>
        <w:t xml:space="preserve">algunos </w:t>
      </w:r>
      <w:r w:rsidR="00570296">
        <w:rPr>
          <w:rFonts w:asciiTheme="minorHAnsi" w:hAnsiTheme="minorHAnsi" w:cs="Times New Roman"/>
          <w:lang w:val="es-ES_tradnl"/>
        </w:rPr>
        <w:t>problemas</w:t>
      </w:r>
      <w:r>
        <w:rPr>
          <w:rFonts w:asciiTheme="minorHAnsi" w:hAnsiTheme="minorHAnsi" w:cs="Times New Roman"/>
          <w:lang w:val="es-ES_tradnl"/>
        </w:rPr>
        <w:t xml:space="preserve"> futuros, que impediría reducir el subsidio hasta el último quinquenio y obligaría a tomar préstamos coyunturales de corto plazo a lo largo de la concesión.</w:t>
      </w:r>
      <w:r w:rsidR="007E5B98" w:rsidRPr="00570296">
        <w:rPr>
          <w:rFonts w:asciiTheme="minorHAnsi" w:hAnsiTheme="minorHAnsi" w:cs="Times New Roman"/>
          <w:lang w:val="es-ES_tradnl"/>
        </w:rPr>
        <w:t xml:space="preserve"> </w:t>
      </w:r>
    </w:p>
    <w:p w:rsidR="005C7397" w:rsidRDefault="007A39DF" w:rsidP="00570296">
      <w:pPr>
        <w:jc w:val="both"/>
        <w:rPr>
          <w:rFonts w:asciiTheme="minorHAnsi" w:hAnsiTheme="minorHAnsi" w:cs="Times New Roman"/>
          <w:lang w:val="es-ES_tradnl"/>
        </w:rPr>
      </w:pPr>
      <w:r>
        <w:rPr>
          <w:rFonts w:asciiTheme="minorHAnsi" w:hAnsiTheme="minorHAnsi" w:cs="Times New Roman"/>
          <w:lang w:val="es-ES_tradnl"/>
        </w:rPr>
        <w:t>La falta de algunos de estos financiamientos y/o del aporte de DNV</w:t>
      </w:r>
      <w:r w:rsidR="00570296">
        <w:rPr>
          <w:rFonts w:asciiTheme="minorHAnsi" w:hAnsiTheme="minorHAnsi" w:cs="Times New Roman"/>
          <w:lang w:val="es-ES_tradnl"/>
        </w:rPr>
        <w:t xml:space="preserve"> implica</w:t>
      </w:r>
      <w:r>
        <w:rPr>
          <w:rFonts w:asciiTheme="minorHAnsi" w:hAnsiTheme="minorHAnsi" w:cs="Times New Roman"/>
          <w:lang w:val="es-ES_tradnl"/>
        </w:rPr>
        <w:t xml:space="preserve">ría recurrir a otros endeudamientos, que </w:t>
      </w:r>
      <w:r w:rsidR="00CC4873">
        <w:rPr>
          <w:rFonts w:asciiTheme="minorHAnsi" w:hAnsiTheme="minorHAnsi" w:cs="Times New Roman"/>
          <w:lang w:val="es-ES_tradnl"/>
        </w:rPr>
        <w:t xml:space="preserve">serían muy dificultosos de obtener en este marco, por lo que probablemente llevaría a </w:t>
      </w:r>
      <w:r w:rsidR="007E5B98" w:rsidRPr="00570296">
        <w:rPr>
          <w:rFonts w:asciiTheme="minorHAnsi" w:hAnsiTheme="minorHAnsi" w:cs="Times New Roman"/>
          <w:lang w:val="es-ES_tradnl"/>
        </w:rPr>
        <w:t>ajustar obras y subsidi</w:t>
      </w:r>
      <w:r w:rsidR="00570296">
        <w:rPr>
          <w:rFonts w:asciiTheme="minorHAnsi" w:hAnsiTheme="minorHAnsi" w:cs="Times New Roman"/>
          <w:lang w:val="es-ES_tradnl"/>
        </w:rPr>
        <w:t>o</w:t>
      </w:r>
      <w:r w:rsidR="007E5B98" w:rsidRPr="00570296">
        <w:rPr>
          <w:rFonts w:asciiTheme="minorHAnsi" w:hAnsiTheme="minorHAnsi" w:cs="Times New Roman"/>
          <w:lang w:val="es-ES_tradnl"/>
        </w:rPr>
        <w:t xml:space="preserve">s. </w:t>
      </w:r>
    </w:p>
    <w:p w:rsidR="00162311" w:rsidRPr="00570296" w:rsidRDefault="00162311" w:rsidP="00570296">
      <w:pPr>
        <w:jc w:val="both"/>
        <w:rPr>
          <w:rFonts w:asciiTheme="minorHAnsi" w:hAnsiTheme="minorHAnsi" w:cs="Times New Roman"/>
          <w:lang w:val="es-ES_tradnl"/>
        </w:rPr>
      </w:pPr>
    </w:p>
    <w:p w:rsidR="008770C1" w:rsidRPr="0095050A" w:rsidRDefault="007E5B98" w:rsidP="005C7397">
      <w:pPr>
        <w:pStyle w:val="Heading3"/>
        <w:rPr>
          <w:lang w:val="es-ES_tradnl"/>
        </w:rPr>
      </w:pPr>
      <w:bookmarkStart w:id="15" w:name="_Toc428464185"/>
      <w:r w:rsidRPr="0095050A">
        <w:rPr>
          <w:lang w:val="es-ES_tradnl"/>
        </w:rPr>
        <w:t>Alternativas</w:t>
      </w:r>
      <w:bookmarkEnd w:id="15"/>
    </w:p>
    <w:p w:rsidR="005C7397" w:rsidRDefault="005C7397" w:rsidP="0095050A">
      <w:pPr>
        <w:jc w:val="both"/>
        <w:rPr>
          <w:rFonts w:asciiTheme="minorHAnsi" w:hAnsiTheme="minorHAnsi" w:cs="Times New Roman"/>
          <w:lang w:val="es-ES_tradnl"/>
        </w:rPr>
      </w:pPr>
    </w:p>
    <w:p w:rsidR="007E5B98" w:rsidRPr="0095050A" w:rsidRDefault="007E5B98" w:rsidP="0095050A">
      <w:pPr>
        <w:jc w:val="both"/>
        <w:rPr>
          <w:rFonts w:asciiTheme="minorHAnsi" w:hAnsiTheme="minorHAnsi" w:cs="Times New Roman"/>
          <w:lang w:val="es-ES_tradnl"/>
        </w:rPr>
      </w:pPr>
      <w:r w:rsidRPr="0095050A">
        <w:rPr>
          <w:rFonts w:asciiTheme="minorHAnsi" w:hAnsiTheme="minorHAnsi" w:cs="Times New Roman"/>
          <w:lang w:val="es-ES_tradnl"/>
        </w:rPr>
        <w:t xml:space="preserve">Por otra parte, se calcularon diversas </w:t>
      </w:r>
      <w:r w:rsidR="00570296" w:rsidRPr="0095050A">
        <w:rPr>
          <w:rFonts w:asciiTheme="minorHAnsi" w:hAnsiTheme="minorHAnsi" w:cs="Times New Roman"/>
          <w:lang w:val="es-ES_tradnl"/>
        </w:rPr>
        <w:t>a</w:t>
      </w:r>
      <w:r w:rsidRPr="0095050A">
        <w:rPr>
          <w:rFonts w:asciiTheme="minorHAnsi" w:hAnsiTheme="minorHAnsi" w:cs="Times New Roman"/>
          <w:lang w:val="es-ES_tradnl"/>
        </w:rPr>
        <w:t xml:space="preserve">lternativas adicionales para visualizar los </w:t>
      </w:r>
      <w:r w:rsidR="00570296" w:rsidRPr="0095050A">
        <w:rPr>
          <w:rFonts w:asciiTheme="minorHAnsi" w:hAnsiTheme="minorHAnsi" w:cs="Times New Roman"/>
          <w:lang w:val="es-ES_tradnl"/>
        </w:rPr>
        <w:t>e</w:t>
      </w:r>
      <w:r w:rsidRPr="0095050A">
        <w:rPr>
          <w:rFonts w:asciiTheme="minorHAnsi" w:hAnsiTheme="minorHAnsi" w:cs="Times New Roman"/>
          <w:lang w:val="es-ES_tradnl"/>
        </w:rPr>
        <w:t xml:space="preserve">fectos sobre los montos de </w:t>
      </w:r>
      <w:r w:rsidR="00570296" w:rsidRPr="0095050A">
        <w:rPr>
          <w:rFonts w:asciiTheme="minorHAnsi" w:hAnsiTheme="minorHAnsi" w:cs="Times New Roman"/>
          <w:lang w:val="es-ES_tradnl"/>
        </w:rPr>
        <w:t xml:space="preserve">ingresos, costo de </w:t>
      </w:r>
      <w:r w:rsidRPr="0095050A">
        <w:rPr>
          <w:rFonts w:asciiTheme="minorHAnsi" w:hAnsiTheme="minorHAnsi" w:cs="Times New Roman"/>
          <w:lang w:val="es-ES_tradnl"/>
        </w:rPr>
        <w:t xml:space="preserve">obras </w:t>
      </w:r>
      <w:r w:rsidR="00570296" w:rsidRPr="0095050A">
        <w:rPr>
          <w:rFonts w:asciiTheme="minorHAnsi" w:hAnsiTheme="minorHAnsi" w:cs="Times New Roman"/>
          <w:lang w:val="es-ES_tradnl"/>
        </w:rPr>
        <w:t xml:space="preserve">y financiamientos </w:t>
      </w:r>
      <w:r w:rsidRPr="0095050A">
        <w:rPr>
          <w:rFonts w:asciiTheme="minorHAnsi" w:hAnsiTheme="minorHAnsi" w:cs="Times New Roman"/>
          <w:lang w:val="es-ES_tradnl"/>
        </w:rPr>
        <w:t>que podría</w:t>
      </w:r>
      <w:r w:rsidR="00570296" w:rsidRPr="0095050A">
        <w:rPr>
          <w:rFonts w:asciiTheme="minorHAnsi" w:hAnsiTheme="minorHAnsi" w:cs="Times New Roman"/>
          <w:lang w:val="es-ES_tradnl"/>
        </w:rPr>
        <w:t>n</w:t>
      </w:r>
      <w:r w:rsidRPr="0095050A">
        <w:rPr>
          <w:rFonts w:asciiTheme="minorHAnsi" w:hAnsiTheme="minorHAnsi" w:cs="Times New Roman"/>
          <w:lang w:val="es-ES_tradnl"/>
        </w:rPr>
        <w:t xml:space="preserve"> llegar a realizarse frente a cambio</w:t>
      </w:r>
      <w:r w:rsidR="00570296" w:rsidRPr="0095050A">
        <w:rPr>
          <w:rFonts w:asciiTheme="minorHAnsi" w:hAnsiTheme="minorHAnsi" w:cs="Times New Roman"/>
          <w:lang w:val="es-ES_tradnl"/>
        </w:rPr>
        <w:t>s</w:t>
      </w:r>
      <w:r w:rsidRPr="0095050A">
        <w:rPr>
          <w:rFonts w:asciiTheme="minorHAnsi" w:hAnsiTheme="minorHAnsi" w:cs="Times New Roman"/>
          <w:lang w:val="es-ES_tradnl"/>
        </w:rPr>
        <w:t xml:space="preserve"> en los subsidios</w:t>
      </w:r>
      <w:r w:rsidR="00570296" w:rsidRPr="0095050A">
        <w:rPr>
          <w:rFonts w:asciiTheme="minorHAnsi" w:hAnsiTheme="minorHAnsi" w:cs="Times New Roman"/>
          <w:lang w:val="es-ES_tradnl"/>
        </w:rPr>
        <w:t xml:space="preserve">, los créditos </w:t>
      </w:r>
      <w:r w:rsidRPr="0095050A">
        <w:rPr>
          <w:rFonts w:asciiTheme="minorHAnsi" w:hAnsiTheme="minorHAnsi" w:cs="Times New Roman"/>
          <w:lang w:val="es-ES_tradnl"/>
        </w:rPr>
        <w:t>y</w:t>
      </w:r>
      <w:r w:rsidR="00570296" w:rsidRPr="0095050A">
        <w:rPr>
          <w:rFonts w:asciiTheme="minorHAnsi" w:hAnsiTheme="minorHAnsi" w:cs="Times New Roman"/>
          <w:lang w:val="es-ES_tradnl"/>
        </w:rPr>
        <w:t xml:space="preserve"> otras distintas formas </w:t>
      </w:r>
      <w:r w:rsidRPr="0095050A">
        <w:rPr>
          <w:rFonts w:asciiTheme="minorHAnsi" w:hAnsiTheme="minorHAnsi" w:cs="Times New Roman"/>
          <w:lang w:val="es-ES_tradnl"/>
        </w:rPr>
        <w:t>de financiación.</w:t>
      </w:r>
    </w:p>
    <w:p w:rsidR="00964C5A" w:rsidRDefault="0095050A" w:rsidP="0095050A">
      <w:pPr>
        <w:jc w:val="both"/>
        <w:rPr>
          <w:rFonts w:asciiTheme="minorHAnsi" w:hAnsiTheme="minorHAnsi" w:cs="Times New Roman"/>
          <w:lang w:val="es-ES_tradnl"/>
        </w:rPr>
      </w:pPr>
      <w:r>
        <w:rPr>
          <w:rFonts w:asciiTheme="minorHAnsi" w:hAnsiTheme="minorHAnsi" w:cs="Times New Roman"/>
          <w:lang w:val="es-ES_tradnl"/>
        </w:rPr>
        <w:t xml:space="preserve">En </w:t>
      </w:r>
      <w:r w:rsidR="00964C5A">
        <w:rPr>
          <w:rFonts w:asciiTheme="minorHAnsi" w:hAnsiTheme="minorHAnsi" w:cs="Times New Roman"/>
          <w:lang w:val="es-ES_tradnl"/>
        </w:rPr>
        <w:t>primer término, se partió del flujo de fondos comentado previamente y solamente se redujo la tasa de crecimiento de los peajes a una tasa mínima de 1,5% anual, lo que obligaría a tomar deudas o reducir obras por montos cercanos a los US$ 200 millones</w:t>
      </w:r>
      <w:r w:rsidR="008B2073">
        <w:rPr>
          <w:rFonts w:asciiTheme="minorHAnsi" w:hAnsiTheme="minorHAnsi" w:cs="Times New Roman"/>
          <w:lang w:val="es-ES_tradnl"/>
        </w:rPr>
        <w:t>,</w:t>
      </w:r>
      <w:r w:rsidR="00964C5A">
        <w:rPr>
          <w:rFonts w:asciiTheme="minorHAnsi" w:hAnsiTheme="minorHAnsi" w:cs="Times New Roman"/>
          <w:lang w:val="es-ES_tradnl"/>
        </w:rPr>
        <w:t xml:space="preserve"> o sea reducir en más de un 10% las inversiones restantes para la nueva concesión.</w:t>
      </w:r>
    </w:p>
    <w:p w:rsidR="00964C5A" w:rsidRDefault="00964C5A" w:rsidP="0095050A">
      <w:pPr>
        <w:jc w:val="both"/>
        <w:rPr>
          <w:rFonts w:asciiTheme="minorHAnsi" w:hAnsiTheme="minorHAnsi" w:cs="Times New Roman"/>
          <w:lang w:val="es-ES_tradnl"/>
        </w:rPr>
      </w:pPr>
      <w:r>
        <w:rPr>
          <w:rFonts w:asciiTheme="minorHAnsi" w:hAnsiTheme="minorHAnsi" w:cs="Times New Roman"/>
          <w:lang w:val="es-ES_tradnl"/>
        </w:rPr>
        <w:t>Si suponemos que a partir del segundo quinquenio se reduce el subsidio a US$ 60 millones, una cifra manejada en su momento, las obras deberían reducirse en alrededor de US$ 500 millones, o sea en el orden del 20% del total previsto. Ello se eleva si consideramos un endeudamiento adicional de este nivel o algo superior, a lo que se agrega que difícilmente pueda tomarse una deuda de ese porte, luego del alto endeudamiento inicial de la concesión.</w:t>
      </w:r>
    </w:p>
    <w:p w:rsidR="00964C5A" w:rsidRDefault="007E5B98" w:rsidP="00964C5A">
      <w:pPr>
        <w:jc w:val="both"/>
        <w:rPr>
          <w:rFonts w:asciiTheme="minorHAnsi" w:hAnsiTheme="minorHAnsi" w:cs="Times New Roman"/>
          <w:lang w:val="es-ES_tradnl"/>
        </w:rPr>
      </w:pPr>
      <w:r w:rsidRPr="0095050A">
        <w:rPr>
          <w:rFonts w:asciiTheme="minorHAnsi" w:hAnsiTheme="minorHAnsi" w:cs="Times New Roman"/>
          <w:lang w:val="es-ES_tradnl"/>
        </w:rPr>
        <w:t>En sínt</w:t>
      </w:r>
      <w:r w:rsidR="005C7397">
        <w:rPr>
          <w:rFonts w:asciiTheme="minorHAnsi" w:hAnsiTheme="minorHAnsi" w:cs="Times New Roman"/>
          <w:lang w:val="es-ES_tradnl"/>
        </w:rPr>
        <w:t>esis, puede concluirse que</w:t>
      </w:r>
      <w:r w:rsidR="00964C5A">
        <w:rPr>
          <w:rFonts w:asciiTheme="minorHAnsi" w:hAnsiTheme="minorHAnsi" w:cs="Times New Roman"/>
          <w:lang w:val="es-ES_tradnl"/>
        </w:rPr>
        <w:t xml:space="preserve"> las previsiones de obras con las cuales se trabaja hoy implicarían un esfuerzo muy importante, ya que se eleva la deuda de la CVU y el subsidio que recibe, no pudiendo ajustar estos montos hasta muy avanzada la concesión, ya que la exposición es alta y las necesidades financieras de las obra previstas no permiten reducir el subsidio, por lo que lo más probable es el ajusta a la baja de las obras, ante las alternativas manejadas respecto al flujo de fondos inicialmente considerado. </w:t>
      </w:r>
      <w:r w:rsidR="005C7397">
        <w:rPr>
          <w:rFonts w:asciiTheme="minorHAnsi" w:hAnsiTheme="minorHAnsi" w:cs="Times New Roman"/>
          <w:lang w:val="es-ES_tradnl"/>
        </w:rPr>
        <w:t xml:space="preserve"> </w:t>
      </w:r>
    </w:p>
    <w:p w:rsidR="00964C5A" w:rsidRDefault="00964C5A" w:rsidP="00964C5A">
      <w:pPr>
        <w:jc w:val="both"/>
        <w:rPr>
          <w:rFonts w:asciiTheme="minorHAnsi" w:hAnsiTheme="minorHAnsi" w:cs="Times New Roman"/>
          <w:lang w:val="es-ES_tradnl"/>
        </w:rPr>
      </w:pPr>
    </w:p>
    <w:p w:rsidR="005C7397" w:rsidRDefault="005C7397" w:rsidP="00964C5A">
      <w:pPr>
        <w:pStyle w:val="Heading3"/>
        <w:rPr>
          <w:lang w:val="es-ES_tradnl"/>
        </w:rPr>
      </w:pPr>
      <w:bookmarkStart w:id="16" w:name="_Toc428464186"/>
      <w:r w:rsidRPr="005C7397">
        <w:rPr>
          <w:lang w:val="es-ES_tradnl"/>
        </w:rPr>
        <w:t>Endeudamiento de la CVU</w:t>
      </w:r>
      <w:bookmarkEnd w:id="16"/>
    </w:p>
    <w:p w:rsidR="005C7397" w:rsidRDefault="005C7397" w:rsidP="0095050A">
      <w:pPr>
        <w:jc w:val="both"/>
        <w:rPr>
          <w:rFonts w:asciiTheme="minorHAnsi" w:hAnsiTheme="minorHAnsi" w:cs="Times New Roman"/>
          <w:lang w:val="es-ES_tradnl"/>
        </w:rPr>
      </w:pPr>
    </w:p>
    <w:p w:rsidR="005C7397" w:rsidRDefault="005C7397" w:rsidP="0095050A">
      <w:pPr>
        <w:jc w:val="both"/>
        <w:rPr>
          <w:rFonts w:asciiTheme="minorHAnsi" w:hAnsiTheme="minorHAnsi" w:cs="Times New Roman"/>
          <w:lang w:val="es-ES_tradnl"/>
        </w:rPr>
      </w:pPr>
      <w:r>
        <w:rPr>
          <w:rFonts w:asciiTheme="minorHAnsi" w:hAnsiTheme="minorHAnsi" w:cs="Times New Roman"/>
          <w:lang w:val="es-ES_tradnl"/>
        </w:rPr>
        <w:t>A parir de los análisis de las alternativas de flujos de fondos calculadas previamente, es importante considerar los nivele</w:t>
      </w:r>
      <w:r w:rsidR="00681222">
        <w:rPr>
          <w:rFonts w:asciiTheme="minorHAnsi" w:hAnsiTheme="minorHAnsi" w:cs="Times New Roman"/>
          <w:lang w:val="es-ES_tradnl"/>
        </w:rPr>
        <w:t>s</w:t>
      </w:r>
      <w:r>
        <w:rPr>
          <w:rFonts w:asciiTheme="minorHAnsi" w:hAnsiTheme="minorHAnsi" w:cs="Times New Roman"/>
          <w:lang w:val="es-ES_tradnl"/>
        </w:rPr>
        <w:t xml:space="preserve"> de deuda </w:t>
      </w:r>
      <w:r w:rsidR="00681222">
        <w:rPr>
          <w:rFonts w:asciiTheme="minorHAnsi" w:hAnsiTheme="minorHAnsi" w:cs="Times New Roman"/>
          <w:lang w:val="es-ES_tradnl"/>
        </w:rPr>
        <w:t>que</w:t>
      </w:r>
      <w:r>
        <w:rPr>
          <w:rFonts w:asciiTheme="minorHAnsi" w:hAnsiTheme="minorHAnsi" w:cs="Times New Roman"/>
          <w:lang w:val="es-ES_tradnl"/>
        </w:rPr>
        <w:t xml:space="preserve"> debe enfrentar la CVU, luego del esfuerzo de obras del primer quinquenio</w:t>
      </w:r>
      <w:r w:rsidR="00681222">
        <w:rPr>
          <w:rFonts w:asciiTheme="minorHAnsi" w:hAnsiTheme="minorHAnsi" w:cs="Times New Roman"/>
          <w:lang w:val="es-ES_tradnl"/>
        </w:rPr>
        <w:t xml:space="preserve">, </w:t>
      </w:r>
      <w:r w:rsidR="00BF3FA5">
        <w:rPr>
          <w:rFonts w:asciiTheme="minorHAnsi" w:hAnsiTheme="minorHAnsi" w:cs="Times New Roman"/>
          <w:lang w:val="es-ES_tradnl"/>
        </w:rPr>
        <w:t>d</w:t>
      </w:r>
      <w:r w:rsidR="00681222">
        <w:rPr>
          <w:rFonts w:asciiTheme="minorHAnsi" w:hAnsiTheme="minorHAnsi" w:cs="Times New Roman"/>
          <w:lang w:val="es-ES_tradnl"/>
        </w:rPr>
        <w:t>e cumplirse las proyecciones previas</w:t>
      </w:r>
      <w:r>
        <w:rPr>
          <w:rFonts w:asciiTheme="minorHAnsi" w:hAnsiTheme="minorHAnsi" w:cs="Times New Roman"/>
          <w:lang w:val="es-ES_tradnl"/>
        </w:rPr>
        <w:t>.</w:t>
      </w:r>
    </w:p>
    <w:p w:rsidR="00681222" w:rsidRDefault="00AC0178" w:rsidP="0095050A">
      <w:pPr>
        <w:jc w:val="both"/>
        <w:rPr>
          <w:rFonts w:asciiTheme="minorHAnsi" w:hAnsiTheme="minorHAnsi" w:cs="Times New Roman"/>
          <w:lang w:val="es-ES_tradnl"/>
        </w:rPr>
      </w:pPr>
      <w:r>
        <w:rPr>
          <w:rFonts w:asciiTheme="minorHAnsi" w:hAnsiTheme="minorHAnsi" w:cs="Times New Roman"/>
          <w:lang w:val="es-ES_tradnl"/>
        </w:rPr>
        <w:t xml:space="preserve">Debe tenerse en cuenta que la CVU recibe un préstamo BID de US$ </w:t>
      </w:r>
      <w:r w:rsidR="002B26EF">
        <w:rPr>
          <w:rFonts w:asciiTheme="minorHAnsi" w:hAnsiTheme="minorHAnsi" w:cs="Times New Roman"/>
          <w:lang w:val="es-ES_tradnl"/>
        </w:rPr>
        <w:t>100</w:t>
      </w:r>
      <w:r>
        <w:rPr>
          <w:rFonts w:asciiTheme="minorHAnsi" w:hAnsiTheme="minorHAnsi" w:cs="Times New Roman"/>
          <w:lang w:val="es-ES_tradnl"/>
        </w:rPr>
        <w:t xml:space="preserve"> millones (</w:t>
      </w:r>
      <w:r w:rsidR="002B26EF">
        <w:rPr>
          <w:rFonts w:asciiTheme="minorHAnsi" w:hAnsiTheme="minorHAnsi" w:cs="Times New Roman"/>
          <w:lang w:val="es-ES_tradnl"/>
        </w:rPr>
        <w:t>i</w:t>
      </w:r>
      <w:r>
        <w:rPr>
          <w:rFonts w:asciiTheme="minorHAnsi" w:hAnsiTheme="minorHAnsi" w:cs="Times New Roman"/>
          <w:lang w:val="es-ES_tradnl"/>
        </w:rPr>
        <w:t>nclu</w:t>
      </w:r>
      <w:r w:rsidR="002B26EF">
        <w:rPr>
          <w:rFonts w:asciiTheme="minorHAnsi" w:hAnsiTheme="minorHAnsi" w:cs="Times New Roman"/>
          <w:lang w:val="es-ES_tradnl"/>
        </w:rPr>
        <w:t>yendo</w:t>
      </w:r>
      <w:r>
        <w:rPr>
          <w:rFonts w:asciiTheme="minorHAnsi" w:hAnsiTheme="minorHAnsi" w:cs="Times New Roman"/>
          <w:lang w:val="es-ES_tradnl"/>
        </w:rPr>
        <w:t xml:space="preserve"> el aporte local) y otros similares por un total de US$ 130 millones adicionales, a la vez que se agrega la </w:t>
      </w:r>
      <w:proofErr w:type="spellStart"/>
      <w:r>
        <w:rPr>
          <w:rFonts w:asciiTheme="minorHAnsi" w:hAnsiTheme="minorHAnsi" w:cs="Times New Roman"/>
          <w:lang w:val="es-ES_tradnl"/>
        </w:rPr>
        <w:t>securitización</w:t>
      </w:r>
      <w:proofErr w:type="spellEnd"/>
      <w:r>
        <w:rPr>
          <w:rFonts w:asciiTheme="minorHAnsi" w:hAnsiTheme="minorHAnsi" w:cs="Times New Roman"/>
          <w:lang w:val="es-ES_tradnl"/>
        </w:rPr>
        <w:t xml:space="preserve"> de US$ 310 millones, con lo cual en primera instancia se parte de un endeudamiento previsto de US$ 540 millones.</w:t>
      </w:r>
    </w:p>
    <w:p w:rsidR="002B26EF" w:rsidRDefault="00681222" w:rsidP="0095050A">
      <w:pPr>
        <w:jc w:val="both"/>
        <w:rPr>
          <w:rFonts w:asciiTheme="minorHAnsi" w:hAnsiTheme="minorHAnsi" w:cs="Times New Roman"/>
          <w:lang w:val="es-ES_tradnl"/>
        </w:rPr>
      </w:pPr>
      <w:r>
        <w:rPr>
          <w:rFonts w:asciiTheme="minorHAnsi" w:hAnsiTheme="minorHAnsi" w:cs="Times New Roman"/>
          <w:lang w:val="es-ES_tradnl"/>
        </w:rPr>
        <w:t>Si la DNV no aporta un total de US$ 200 millones como subsidio extraordinario</w:t>
      </w:r>
      <w:r w:rsidR="00055980">
        <w:rPr>
          <w:rFonts w:asciiTheme="minorHAnsi" w:hAnsiTheme="minorHAnsi" w:cs="Times New Roman"/>
          <w:lang w:val="es-ES_tradnl"/>
        </w:rPr>
        <w:t xml:space="preserve"> adicional</w:t>
      </w:r>
      <w:r>
        <w:rPr>
          <w:rFonts w:asciiTheme="minorHAnsi" w:hAnsiTheme="minorHAnsi" w:cs="Times New Roman"/>
          <w:lang w:val="es-ES_tradnl"/>
        </w:rPr>
        <w:t xml:space="preserve">, puede llegarse a un endeudamiento que supere los US$ 740 millones en el primer quinquenio. </w:t>
      </w:r>
    </w:p>
    <w:p w:rsidR="00AC0178" w:rsidRDefault="002B26EF" w:rsidP="0095050A">
      <w:pPr>
        <w:jc w:val="both"/>
        <w:rPr>
          <w:rFonts w:asciiTheme="minorHAnsi" w:hAnsiTheme="minorHAnsi" w:cs="Times New Roman"/>
          <w:lang w:val="es-ES_tradnl"/>
        </w:rPr>
      </w:pPr>
      <w:r>
        <w:rPr>
          <w:rFonts w:asciiTheme="minorHAnsi" w:hAnsiTheme="minorHAnsi" w:cs="Times New Roman"/>
          <w:lang w:val="es-ES_tradnl"/>
        </w:rPr>
        <w:t xml:space="preserve">Por último, cabe considerar </w:t>
      </w:r>
      <w:r w:rsidR="00681222">
        <w:rPr>
          <w:rFonts w:asciiTheme="minorHAnsi" w:hAnsiTheme="minorHAnsi" w:cs="Times New Roman"/>
          <w:lang w:val="es-ES_tradnl"/>
        </w:rPr>
        <w:t>aquí la deuda previa</w:t>
      </w:r>
      <w:r>
        <w:rPr>
          <w:rFonts w:asciiTheme="minorHAnsi" w:hAnsiTheme="minorHAnsi" w:cs="Times New Roman"/>
          <w:lang w:val="es-ES_tradnl"/>
        </w:rPr>
        <w:t xml:space="preserve">, </w:t>
      </w:r>
      <w:r w:rsidR="00681222">
        <w:rPr>
          <w:rFonts w:asciiTheme="minorHAnsi" w:hAnsiTheme="minorHAnsi" w:cs="Times New Roman"/>
          <w:lang w:val="es-ES_tradnl"/>
        </w:rPr>
        <w:t xml:space="preserve">ya que se prevé su amortización en el quinquenio, </w:t>
      </w:r>
      <w:r>
        <w:rPr>
          <w:rFonts w:asciiTheme="minorHAnsi" w:hAnsiTheme="minorHAnsi" w:cs="Times New Roman"/>
          <w:lang w:val="es-ES_tradnl"/>
        </w:rPr>
        <w:t xml:space="preserve">por lo que </w:t>
      </w:r>
      <w:r w:rsidR="00681222">
        <w:rPr>
          <w:rFonts w:asciiTheme="minorHAnsi" w:hAnsiTheme="minorHAnsi" w:cs="Times New Roman"/>
          <w:lang w:val="es-ES_tradnl"/>
        </w:rPr>
        <w:t xml:space="preserve">se deben agregar US$ 114 millones de </w:t>
      </w:r>
      <w:r>
        <w:rPr>
          <w:rFonts w:asciiTheme="minorHAnsi" w:hAnsiTheme="minorHAnsi" w:cs="Times New Roman"/>
          <w:lang w:val="es-ES_tradnl"/>
        </w:rPr>
        <w:t>endeudamiento</w:t>
      </w:r>
      <w:r w:rsidR="00681222">
        <w:rPr>
          <w:rFonts w:asciiTheme="minorHAnsi" w:hAnsiTheme="minorHAnsi" w:cs="Times New Roman"/>
          <w:lang w:val="es-ES_tradnl"/>
        </w:rPr>
        <w:t xml:space="preserve"> inicial.</w:t>
      </w:r>
      <w:r w:rsidR="00AC0178">
        <w:rPr>
          <w:rFonts w:asciiTheme="minorHAnsi" w:hAnsiTheme="minorHAnsi" w:cs="Times New Roman"/>
          <w:lang w:val="es-ES_tradnl"/>
        </w:rPr>
        <w:t xml:space="preserve"> </w:t>
      </w:r>
    </w:p>
    <w:p w:rsidR="00681222" w:rsidRDefault="00681222" w:rsidP="00681222">
      <w:pPr>
        <w:jc w:val="center"/>
        <w:rPr>
          <w:rFonts w:asciiTheme="minorHAnsi" w:hAnsiTheme="minorHAnsi" w:cs="Times New Roman"/>
          <w:lang w:val="es-ES_tradnl"/>
        </w:rPr>
      </w:pPr>
      <w:r w:rsidRPr="00681222">
        <w:rPr>
          <w:noProof/>
          <w:lang w:val="en-US"/>
        </w:rPr>
        <w:drawing>
          <wp:inline distT="0" distB="0" distL="0" distR="0">
            <wp:extent cx="3021330" cy="1487170"/>
            <wp:effectExtent l="19050" t="0" r="7620" b="0"/>
            <wp:docPr id="22"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6"/>
                    <a:srcRect/>
                    <a:stretch>
                      <a:fillRect/>
                    </a:stretch>
                  </pic:blipFill>
                  <pic:spPr bwMode="auto">
                    <a:xfrm>
                      <a:off x="0" y="0"/>
                      <a:ext cx="3021330" cy="1487170"/>
                    </a:xfrm>
                    <a:prstGeom prst="rect">
                      <a:avLst/>
                    </a:prstGeom>
                    <a:noFill/>
                    <a:ln w="9525">
                      <a:noFill/>
                      <a:miter lim="800000"/>
                      <a:headEnd/>
                      <a:tailEnd/>
                    </a:ln>
                  </pic:spPr>
                </pic:pic>
              </a:graphicData>
            </a:graphic>
          </wp:inline>
        </w:drawing>
      </w:r>
    </w:p>
    <w:p w:rsidR="00681222" w:rsidRPr="00065F78" w:rsidRDefault="00681222" w:rsidP="00681222">
      <w:pPr>
        <w:jc w:val="center"/>
        <w:rPr>
          <w:rFonts w:asciiTheme="minorHAnsi" w:hAnsiTheme="minorHAnsi" w:cs="Times New Roman"/>
          <w:sz w:val="18"/>
          <w:szCs w:val="18"/>
          <w:lang w:val="es-ES_tradnl"/>
        </w:rPr>
      </w:pPr>
      <w:r w:rsidRPr="00065F78">
        <w:rPr>
          <w:rFonts w:asciiTheme="minorHAnsi" w:hAnsiTheme="minorHAnsi" w:cs="Times New Roman"/>
          <w:sz w:val="18"/>
          <w:szCs w:val="18"/>
          <w:lang w:val="es-ES_tradnl"/>
        </w:rPr>
        <w:t>Fuente: Estimaciones propias en base a información de CVU y MEF</w:t>
      </w:r>
    </w:p>
    <w:p w:rsidR="00AC0178" w:rsidRDefault="00AC0178" w:rsidP="0095050A">
      <w:pPr>
        <w:jc w:val="both"/>
        <w:rPr>
          <w:rFonts w:asciiTheme="minorHAnsi" w:hAnsiTheme="minorHAnsi" w:cs="Times New Roman"/>
          <w:lang w:val="es-ES_tradnl"/>
        </w:rPr>
      </w:pPr>
      <w:r>
        <w:rPr>
          <w:rFonts w:asciiTheme="minorHAnsi" w:hAnsiTheme="minorHAnsi" w:cs="Times New Roman"/>
          <w:lang w:val="es-ES_tradnl"/>
        </w:rPr>
        <w:t xml:space="preserve">Estos montos son elevados para la actividad de la propia CVU ya que representan alrededor de </w:t>
      </w:r>
      <w:r w:rsidR="002B26EF">
        <w:rPr>
          <w:rFonts w:asciiTheme="minorHAnsi" w:hAnsiTheme="minorHAnsi" w:cs="Times New Roman"/>
          <w:lang w:val="es-ES_tradnl"/>
        </w:rPr>
        <w:t>12</w:t>
      </w:r>
      <w:r>
        <w:rPr>
          <w:rFonts w:asciiTheme="minorHAnsi" w:hAnsiTheme="minorHAnsi" w:cs="Times New Roman"/>
          <w:lang w:val="es-ES_tradnl"/>
        </w:rPr>
        <w:t xml:space="preserve"> años de peajes, suponiendo una dinámica razonable de los mismos, como se supuso en los trabajos anteriores. Por otra parte, si se lo compara con el </w:t>
      </w:r>
      <w:r w:rsidR="002B26EF">
        <w:rPr>
          <w:rFonts w:asciiTheme="minorHAnsi" w:hAnsiTheme="minorHAnsi" w:cs="Times New Roman"/>
          <w:lang w:val="es-ES_tradnl"/>
        </w:rPr>
        <w:t xml:space="preserve">nuevo </w:t>
      </w:r>
      <w:r>
        <w:rPr>
          <w:rFonts w:asciiTheme="minorHAnsi" w:hAnsiTheme="minorHAnsi" w:cs="Times New Roman"/>
          <w:lang w:val="es-ES_tradnl"/>
        </w:rPr>
        <w:t>subsi</w:t>
      </w:r>
      <w:r w:rsidR="00C8416F">
        <w:rPr>
          <w:rFonts w:asciiTheme="minorHAnsi" w:hAnsiTheme="minorHAnsi" w:cs="Times New Roman"/>
          <w:lang w:val="es-ES_tradnl"/>
        </w:rPr>
        <w:t>d</w:t>
      </w:r>
      <w:r>
        <w:rPr>
          <w:rFonts w:asciiTheme="minorHAnsi" w:hAnsiTheme="minorHAnsi" w:cs="Times New Roman"/>
          <w:lang w:val="es-ES_tradnl"/>
        </w:rPr>
        <w:t xml:space="preserve">io, se llega a que representa </w:t>
      </w:r>
      <w:r w:rsidR="002B26EF">
        <w:rPr>
          <w:rFonts w:asciiTheme="minorHAnsi" w:hAnsiTheme="minorHAnsi" w:cs="Times New Roman"/>
          <w:lang w:val="es-ES_tradnl"/>
        </w:rPr>
        <w:t xml:space="preserve">casi 10 </w:t>
      </w:r>
      <w:r>
        <w:rPr>
          <w:rFonts w:asciiTheme="minorHAnsi" w:hAnsiTheme="minorHAnsi" w:cs="Times New Roman"/>
          <w:lang w:val="es-ES_tradnl"/>
        </w:rPr>
        <w:t xml:space="preserve"> años de </w:t>
      </w:r>
      <w:r w:rsidR="00C8416F">
        <w:rPr>
          <w:rFonts w:asciiTheme="minorHAnsi" w:hAnsiTheme="minorHAnsi" w:cs="Times New Roman"/>
          <w:lang w:val="es-ES_tradnl"/>
        </w:rPr>
        <w:t>ingresos por este concepto</w:t>
      </w:r>
      <w:r>
        <w:rPr>
          <w:rFonts w:asciiTheme="minorHAnsi" w:hAnsiTheme="minorHAnsi" w:cs="Times New Roman"/>
          <w:lang w:val="es-ES_tradnl"/>
        </w:rPr>
        <w:t xml:space="preserve">. </w:t>
      </w:r>
      <w:r w:rsidR="00C8416F">
        <w:rPr>
          <w:rFonts w:asciiTheme="minorHAnsi" w:hAnsiTheme="minorHAnsi" w:cs="Times New Roman"/>
          <w:lang w:val="es-ES_tradnl"/>
        </w:rPr>
        <w:t xml:space="preserve">Además, se debe tener en cuenta que no se han considerado </w:t>
      </w:r>
      <w:r>
        <w:rPr>
          <w:rFonts w:asciiTheme="minorHAnsi" w:hAnsiTheme="minorHAnsi" w:cs="Times New Roman"/>
          <w:lang w:val="es-ES_tradnl"/>
        </w:rPr>
        <w:t>lo</w:t>
      </w:r>
      <w:r w:rsidR="00C8416F">
        <w:rPr>
          <w:rFonts w:asciiTheme="minorHAnsi" w:hAnsiTheme="minorHAnsi" w:cs="Times New Roman"/>
          <w:lang w:val="es-ES_tradnl"/>
        </w:rPr>
        <w:t>s</w:t>
      </w:r>
      <w:r>
        <w:rPr>
          <w:rFonts w:asciiTheme="minorHAnsi" w:hAnsiTheme="minorHAnsi" w:cs="Times New Roman"/>
          <w:lang w:val="es-ES_tradnl"/>
        </w:rPr>
        <w:t xml:space="preserve"> intereses que se generan en cad</w:t>
      </w:r>
      <w:r w:rsidR="00C8416F">
        <w:rPr>
          <w:rFonts w:asciiTheme="minorHAnsi" w:hAnsiTheme="minorHAnsi" w:cs="Times New Roman"/>
          <w:lang w:val="es-ES_tradnl"/>
        </w:rPr>
        <w:t>a</w:t>
      </w:r>
      <w:r>
        <w:rPr>
          <w:rFonts w:asciiTheme="minorHAnsi" w:hAnsiTheme="minorHAnsi" w:cs="Times New Roman"/>
          <w:lang w:val="es-ES_tradnl"/>
        </w:rPr>
        <w:t xml:space="preserve"> </w:t>
      </w:r>
      <w:r w:rsidR="00BF3FA5">
        <w:rPr>
          <w:rFonts w:asciiTheme="minorHAnsi" w:hAnsiTheme="minorHAnsi" w:cs="Times New Roman"/>
          <w:lang w:val="es-ES_tradnl"/>
        </w:rPr>
        <w:t>financiación</w:t>
      </w:r>
      <w:r>
        <w:rPr>
          <w:rFonts w:asciiTheme="minorHAnsi" w:hAnsiTheme="minorHAnsi" w:cs="Times New Roman"/>
          <w:lang w:val="es-ES_tradnl"/>
        </w:rPr>
        <w:t>.</w:t>
      </w:r>
    </w:p>
    <w:p w:rsidR="00AC0178" w:rsidRDefault="00AC0178" w:rsidP="0095050A">
      <w:pPr>
        <w:jc w:val="both"/>
        <w:rPr>
          <w:rFonts w:asciiTheme="minorHAnsi" w:hAnsiTheme="minorHAnsi" w:cs="Times New Roman"/>
          <w:lang w:val="es-ES_tradnl"/>
        </w:rPr>
      </w:pPr>
      <w:r>
        <w:rPr>
          <w:rFonts w:asciiTheme="minorHAnsi" w:hAnsiTheme="minorHAnsi" w:cs="Times New Roman"/>
          <w:lang w:val="es-ES_tradnl"/>
        </w:rPr>
        <w:t>Entonces</w:t>
      </w:r>
      <w:r w:rsidR="00C8416F">
        <w:rPr>
          <w:rFonts w:asciiTheme="minorHAnsi" w:hAnsiTheme="minorHAnsi" w:cs="Times New Roman"/>
          <w:lang w:val="es-ES_tradnl"/>
        </w:rPr>
        <w:t xml:space="preserve">, si se lo compara </w:t>
      </w:r>
      <w:r>
        <w:rPr>
          <w:rFonts w:asciiTheme="minorHAnsi" w:hAnsiTheme="minorHAnsi" w:cs="Times New Roman"/>
          <w:lang w:val="es-ES_tradnl"/>
        </w:rPr>
        <w:t xml:space="preserve"> </w:t>
      </w:r>
      <w:r w:rsidR="00C8416F">
        <w:rPr>
          <w:rFonts w:asciiTheme="minorHAnsi" w:hAnsiTheme="minorHAnsi" w:cs="Times New Roman"/>
          <w:lang w:val="es-ES_tradnl"/>
        </w:rPr>
        <w:t>con</w:t>
      </w:r>
      <w:r>
        <w:rPr>
          <w:rFonts w:asciiTheme="minorHAnsi" w:hAnsiTheme="minorHAnsi" w:cs="Times New Roman"/>
          <w:lang w:val="es-ES_tradnl"/>
        </w:rPr>
        <w:t xml:space="preserve"> el total de ingresos, peajes más subsidios, la deuda alcanza a </w:t>
      </w:r>
      <w:r w:rsidR="002B26EF">
        <w:rPr>
          <w:rFonts w:asciiTheme="minorHAnsi" w:hAnsiTheme="minorHAnsi" w:cs="Times New Roman"/>
          <w:lang w:val="es-ES_tradnl"/>
        </w:rPr>
        <w:t xml:space="preserve">algo más de </w:t>
      </w:r>
      <w:r>
        <w:rPr>
          <w:rFonts w:asciiTheme="minorHAnsi" w:hAnsiTheme="minorHAnsi" w:cs="Times New Roman"/>
          <w:lang w:val="es-ES_tradnl"/>
        </w:rPr>
        <w:t>c</w:t>
      </w:r>
      <w:r w:rsidR="002B26EF">
        <w:rPr>
          <w:rFonts w:asciiTheme="minorHAnsi" w:hAnsiTheme="minorHAnsi" w:cs="Times New Roman"/>
          <w:lang w:val="es-ES_tradnl"/>
        </w:rPr>
        <w:t>inco</w:t>
      </w:r>
      <w:r>
        <w:rPr>
          <w:rFonts w:asciiTheme="minorHAnsi" w:hAnsiTheme="minorHAnsi" w:cs="Times New Roman"/>
          <w:lang w:val="es-ES_tradnl"/>
        </w:rPr>
        <w:t xml:space="preserve"> años de ingresos, lo cual es un nivel de deuda altamente significativo, al referirse a una empresa sin activos de bienes relevantes y que sólo posee un activo intangible dado por las obligaciones de MTOP y CND según la concesión.</w:t>
      </w:r>
    </w:p>
    <w:p w:rsidR="002B26EF" w:rsidRDefault="00AC0178" w:rsidP="00681222">
      <w:pPr>
        <w:jc w:val="both"/>
        <w:rPr>
          <w:rFonts w:asciiTheme="minorHAnsi" w:hAnsiTheme="minorHAnsi" w:cs="Times New Roman"/>
          <w:lang w:val="es-ES_tradnl"/>
        </w:rPr>
      </w:pPr>
      <w:r>
        <w:rPr>
          <w:rFonts w:asciiTheme="minorHAnsi" w:hAnsiTheme="minorHAnsi" w:cs="Times New Roman"/>
          <w:lang w:val="es-ES_tradnl"/>
        </w:rPr>
        <w:t xml:space="preserve">En este esquema, la garantía de deudas de la CND y en última instancia </w:t>
      </w:r>
      <w:r w:rsidR="00681222">
        <w:rPr>
          <w:rFonts w:asciiTheme="minorHAnsi" w:hAnsiTheme="minorHAnsi" w:cs="Times New Roman"/>
          <w:lang w:val="es-ES_tradnl"/>
        </w:rPr>
        <w:t>d</w:t>
      </w:r>
      <w:r>
        <w:rPr>
          <w:rFonts w:asciiTheme="minorHAnsi" w:hAnsiTheme="minorHAnsi" w:cs="Times New Roman"/>
          <w:lang w:val="es-ES_tradnl"/>
        </w:rPr>
        <w:t xml:space="preserve">el propio Gobierno </w:t>
      </w:r>
      <w:r w:rsidR="002B26EF">
        <w:rPr>
          <w:rFonts w:asciiTheme="minorHAnsi" w:hAnsiTheme="minorHAnsi" w:cs="Times New Roman"/>
          <w:lang w:val="es-ES_tradnl"/>
        </w:rPr>
        <w:t>e</w:t>
      </w:r>
      <w:r>
        <w:rPr>
          <w:rFonts w:asciiTheme="minorHAnsi" w:hAnsiTheme="minorHAnsi" w:cs="Times New Roman"/>
          <w:lang w:val="es-ES_tradnl"/>
        </w:rPr>
        <w:t>s e</w:t>
      </w:r>
      <w:r w:rsidR="00C8416F">
        <w:rPr>
          <w:rFonts w:asciiTheme="minorHAnsi" w:hAnsiTheme="minorHAnsi" w:cs="Times New Roman"/>
          <w:lang w:val="es-ES_tradnl"/>
        </w:rPr>
        <w:t>l</w:t>
      </w:r>
      <w:r>
        <w:rPr>
          <w:rFonts w:asciiTheme="minorHAnsi" w:hAnsiTheme="minorHAnsi" w:cs="Times New Roman"/>
          <w:lang w:val="es-ES_tradnl"/>
        </w:rPr>
        <w:t xml:space="preserve"> sostén de este elevado nivel de deuda, que la empres</w:t>
      </w:r>
      <w:r w:rsidR="00C8416F">
        <w:rPr>
          <w:rFonts w:asciiTheme="minorHAnsi" w:hAnsiTheme="minorHAnsi" w:cs="Times New Roman"/>
          <w:lang w:val="es-ES_tradnl"/>
        </w:rPr>
        <w:t>a</w:t>
      </w:r>
      <w:r>
        <w:rPr>
          <w:rFonts w:asciiTheme="minorHAnsi" w:hAnsiTheme="minorHAnsi" w:cs="Times New Roman"/>
          <w:lang w:val="es-ES_tradnl"/>
        </w:rPr>
        <w:t xml:space="preserve"> en sí difícilmente pudiera acordar en</w:t>
      </w:r>
      <w:r w:rsidR="00C8416F">
        <w:rPr>
          <w:rFonts w:asciiTheme="minorHAnsi" w:hAnsiTheme="minorHAnsi" w:cs="Times New Roman"/>
          <w:lang w:val="es-ES_tradnl"/>
        </w:rPr>
        <w:t xml:space="preserve"> </w:t>
      </w:r>
      <w:r>
        <w:rPr>
          <w:rFonts w:asciiTheme="minorHAnsi" w:hAnsiTheme="minorHAnsi" w:cs="Times New Roman"/>
          <w:lang w:val="es-ES_tradnl"/>
        </w:rPr>
        <w:t xml:space="preserve">el mercado financiero por sí misma.  </w:t>
      </w:r>
      <w:r w:rsidR="00C8416F">
        <w:rPr>
          <w:rFonts w:asciiTheme="minorHAnsi" w:hAnsiTheme="minorHAnsi" w:cs="Times New Roman"/>
          <w:lang w:val="es-ES_tradnl"/>
        </w:rPr>
        <w:t>Ello se refleja en las dificultades para enfrentar el repago y las necesidades de recurrir a nuevos endeudamientos para poder sobrellevar las limitaciones financieras en el futuro. Ello también exigiría el sostén del Gobierno para que la empresa funcione adecuadamente o sino reducir drásticamente los montos de obras comprometidas.</w:t>
      </w:r>
      <w:r w:rsidR="002B26EF">
        <w:rPr>
          <w:rFonts w:asciiTheme="minorHAnsi" w:hAnsiTheme="minorHAnsi" w:cs="Times New Roman"/>
          <w:lang w:val="es-ES_tradnl"/>
        </w:rPr>
        <w:t xml:space="preserve"> </w:t>
      </w:r>
    </w:p>
    <w:p w:rsidR="00746DB5" w:rsidRDefault="00C8416F" w:rsidP="002B26EF">
      <w:pPr>
        <w:jc w:val="both"/>
        <w:rPr>
          <w:rFonts w:asciiTheme="minorHAnsi" w:hAnsiTheme="minorHAnsi" w:cs="Times New Roman"/>
          <w:lang w:val="es-ES_tradnl"/>
        </w:rPr>
      </w:pPr>
      <w:r>
        <w:rPr>
          <w:rFonts w:asciiTheme="minorHAnsi" w:hAnsiTheme="minorHAnsi" w:cs="Times New Roman"/>
          <w:lang w:val="es-ES_tradnl"/>
        </w:rPr>
        <w:t xml:space="preserve">Por tanto, sería aconsejable pensar mecanismos que capten </w:t>
      </w:r>
      <w:r w:rsidR="002B26EF">
        <w:rPr>
          <w:rFonts w:asciiTheme="minorHAnsi" w:hAnsiTheme="minorHAnsi" w:cs="Times New Roman"/>
          <w:lang w:val="es-ES_tradnl"/>
        </w:rPr>
        <w:t xml:space="preserve">estas </w:t>
      </w:r>
      <w:r>
        <w:rPr>
          <w:rFonts w:asciiTheme="minorHAnsi" w:hAnsiTheme="minorHAnsi" w:cs="Times New Roman"/>
          <w:lang w:val="es-ES_tradnl"/>
        </w:rPr>
        <w:t xml:space="preserve">dificultades </w:t>
      </w:r>
      <w:r w:rsidR="002B26EF">
        <w:rPr>
          <w:rFonts w:asciiTheme="minorHAnsi" w:hAnsiTheme="minorHAnsi" w:cs="Times New Roman"/>
          <w:lang w:val="es-ES_tradnl"/>
        </w:rPr>
        <w:t xml:space="preserve">en </w:t>
      </w:r>
      <w:r>
        <w:rPr>
          <w:rFonts w:asciiTheme="minorHAnsi" w:hAnsiTheme="minorHAnsi" w:cs="Times New Roman"/>
          <w:lang w:val="es-ES_tradnl"/>
        </w:rPr>
        <w:t xml:space="preserve">empresas de carácter privado, </w:t>
      </w:r>
      <w:r w:rsidR="002B26EF">
        <w:rPr>
          <w:rFonts w:asciiTheme="minorHAnsi" w:hAnsiTheme="minorHAnsi" w:cs="Times New Roman"/>
          <w:lang w:val="es-ES_tradnl"/>
        </w:rPr>
        <w:t>que estrictamente son del ámbito privado, pero con vinculaciones estrechas con la capacidad de endeudarse del Estado</w:t>
      </w:r>
      <w:r>
        <w:rPr>
          <w:rFonts w:asciiTheme="minorHAnsi" w:hAnsiTheme="minorHAnsi" w:cs="Times New Roman"/>
          <w:lang w:val="es-ES_tradnl"/>
        </w:rPr>
        <w:t xml:space="preserve">, </w:t>
      </w:r>
      <w:r w:rsidR="002B26EF">
        <w:rPr>
          <w:rFonts w:asciiTheme="minorHAnsi" w:hAnsiTheme="minorHAnsi" w:cs="Times New Roman"/>
          <w:lang w:val="es-ES_tradnl"/>
        </w:rPr>
        <w:t xml:space="preserve">en términos de </w:t>
      </w:r>
      <w:r>
        <w:rPr>
          <w:rFonts w:asciiTheme="minorHAnsi" w:hAnsiTheme="minorHAnsi" w:cs="Times New Roman"/>
          <w:lang w:val="es-ES_tradnl"/>
        </w:rPr>
        <w:t xml:space="preserve">registro </w:t>
      </w:r>
      <w:r w:rsidR="002B26EF">
        <w:rPr>
          <w:rFonts w:asciiTheme="minorHAnsi" w:hAnsiTheme="minorHAnsi" w:cs="Times New Roman"/>
          <w:lang w:val="es-ES_tradnl"/>
        </w:rPr>
        <w:t xml:space="preserve">del </w:t>
      </w:r>
      <w:r>
        <w:rPr>
          <w:rFonts w:asciiTheme="minorHAnsi" w:hAnsiTheme="minorHAnsi" w:cs="Times New Roman"/>
          <w:lang w:val="es-ES_tradnl"/>
        </w:rPr>
        <w:t>riesgo fi</w:t>
      </w:r>
      <w:r w:rsidR="002B26EF">
        <w:rPr>
          <w:rFonts w:asciiTheme="minorHAnsi" w:hAnsiTheme="minorHAnsi" w:cs="Times New Roman"/>
          <w:lang w:val="es-ES_tradnl"/>
        </w:rPr>
        <w:t>scal a este tipo de operaciones.</w:t>
      </w:r>
    </w:p>
    <w:p w:rsidR="00575228" w:rsidRDefault="00575228" w:rsidP="002B26EF">
      <w:pPr>
        <w:jc w:val="both"/>
        <w:rPr>
          <w:rFonts w:asciiTheme="minorHAnsi" w:hAnsiTheme="minorHAnsi" w:cs="Times New Roman"/>
          <w:lang w:val="es-ES_tradnl"/>
        </w:rPr>
      </w:pPr>
    </w:p>
    <w:p w:rsidR="00746DB5" w:rsidRDefault="00746DB5" w:rsidP="00746DB5">
      <w:pPr>
        <w:pStyle w:val="Heading1"/>
      </w:pPr>
      <w:bookmarkStart w:id="17" w:name="_Toc428464187"/>
      <w:r>
        <w:t>Riesgo fiscal</w:t>
      </w:r>
      <w:bookmarkEnd w:id="17"/>
    </w:p>
    <w:p w:rsidR="00746DB5" w:rsidRDefault="00746DB5" w:rsidP="00746DB5">
      <w:pPr>
        <w:spacing w:after="180" w:line="264" w:lineRule="auto"/>
        <w:jc w:val="both"/>
      </w:pPr>
    </w:p>
    <w:p w:rsidR="00047EAB" w:rsidRDefault="00047EAB" w:rsidP="00C8104F">
      <w:pPr>
        <w:pStyle w:val="Heading2"/>
      </w:pPr>
      <w:bookmarkStart w:id="18" w:name="_Toc428464188"/>
      <w:r>
        <w:t>Introducción</w:t>
      </w:r>
      <w:bookmarkEnd w:id="18"/>
    </w:p>
    <w:p w:rsidR="00047EAB" w:rsidRPr="001C16E1" w:rsidRDefault="00047EAB" w:rsidP="001C16E1">
      <w:pPr>
        <w:jc w:val="both"/>
        <w:rPr>
          <w:rFonts w:asciiTheme="minorHAnsi" w:hAnsiTheme="minorHAnsi" w:cs="Times New Roman"/>
          <w:lang w:val="es-ES_tradnl"/>
        </w:rPr>
      </w:pPr>
    </w:p>
    <w:p w:rsidR="000572AD" w:rsidRPr="001C16E1" w:rsidRDefault="000572AD" w:rsidP="001C16E1">
      <w:pPr>
        <w:jc w:val="both"/>
        <w:rPr>
          <w:rFonts w:asciiTheme="minorHAnsi" w:hAnsiTheme="minorHAnsi" w:cs="Times New Roman"/>
          <w:lang w:val="es-ES_tradnl"/>
        </w:rPr>
      </w:pPr>
      <w:r w:rsidRPr="001C16E1">
        <w:rPr>
          <w:rFonts w:asciiTheme="minorHAnsi" w:hAnsiTheme="minorHAnsi" w:cs="Times New Roman"/>
          <w:lang w:val="es-ES_tradnl"/>
        </w:rPr>
        <w:t>En este capítulo se analiza el riesgo fiscal que el país enfrentaría al llevar adelante las inversiones viales previstas por el Gobierno para el próximo quinquenio</w:t>
      </w:r>
      <w:r w:rsidR="00575228">
        <w:rPr>
          <w:rFonts w:asciiTheme="minorHAnsi" w:hAnsiTheme="minorHAnsi" w:cs="Times New Roman"/>
          <w:lang w:val="es-ES_tradnl"/>
        </w:rPr>
        <w:t xml:space="preserve">, especialmente, </w:t>
      </w:r>
      <w:r w:rsidRPr="001C16E1">
        <w:rPr>
          <w:rFonts w:asciiTheme="minorHAnsi" w:hAnsiTheme="minorHAnsi" w:cs="Times New Roman"/>
          <w:lang w:val="es-ES_tradnl"/>
        </w:rPr>
        <w:t>y también para el resto del período en el cual se deben enfrentar los compromisos que estas decisiones conllevan en términos de amortización e intereses de los mecanismos de financiamiento y pagos futuros de los contratos.</w:t>
      </w:r>
    </w:p>
    <w:p w:rsidR="00146A8A" w:rsidRDefault="000572AD" w:rsidP="001C16E1">
      <w:pPr>
        <w:jc w:val="both"/>
        <w:rPr>
          <w:rFonts w:asciiTheme="minorHAnsi" w:hAnsiTheme="minorHAnsi" w:cs="Times New Roman"/>
          <w:lang w:val="es-ES_tradnl"/>
        </w:rPr>
      </w:pPr>
      <w:r w:rsidRPr="001C16E1">
        <w:rPr>
          <w:rFonts w:asciiTheme="minorHAnsi" w:hAnsiTheme="minorHAnsi" w:cs="Times New Roman"/>
          <w:lang w:val="es-ES_tradnl"/>
        </w:rPr>
        <w:t>En primer lugar se revisa</w:t>
      </w:r>
      <w:r w:rsidR="0078198A">
        <w:rPr>
          <w:rFonts w:asciiTheme="minorHAnsi" w:hAnsiTheme="minorHAnsi" w:cs="Times New Roman"/>
          <w:lang w:val="es-ES_tradnl"/>
        </w:rPr>
        <w:t>ro</w:t>
      </w:r>
      <w:r w:rsidRPr="001C16E1">
        <w:rPr>
          <w:rFonts w:asciiTheme="minorHAnsi" w:hAnsiTheme="minorHAnsi" w:cs="Times New Roman"/>
          <w:lang w:val="es-ES_tradnl"/>
        </w:rPr>
        <w:t>n algunos criterios internacionales de registración y reconocimiento de deudas por parte del sector público</w:t>
      </w:r>
      <w:r w:rsidR="006A29B8" w:rsidRPr="001C16E1">
        <w:rPr>
          <w:rFonts w:asciiTheme="minorHAnsi" w:hAnsiTheme="minorHAnsi" w:cs="Times New Roman"/>
          <w:lang w:val="es-ES_tradnl"/>
        </w:rPr>
        <w:t>, en especial referidos a los proyectos de Participación Público Privada</w:t>
      </w:r>
      <w:r w:rsidR="009B0E7F" w:rsidRPr="001C16E1">
        <w:rPr>
          <w:rFonts w:asciiTheme="minorHAnsi" w:hAnsiTheme="minorHAnsi" w:cs="Times New Roman"/>
          <w:lang w:val="es-ES_tradnl"/>
        </w:rPr>
        <w:t xml:space="preserve"> (PPP)</w:t>
      </w:r>
      <w:r w:rsidR="00575228">
        <w:rPr>
          <w:rFonts w:asciiTheme="minorHAnsi" w:hAnsiTheme="minorHAnsi" w:cs="Times New Roman"/>
          <w:lang w:val="es-ES_tradnl"/>
        </w:rPr>
        <w:t xml:space="preserve"> y también las concesiones</w:t>
      </w:r>
      <w:r w:rsidR="006A29B8" w:rsidRPr="001C16E1">
        <w:rPr>
          <w:rFonts w:asciiTheme="minorHAnsi" w:hAnsiTheme="minorHAnsi" w:cs="Times New Roman"/>
          <w:lang w:val="es-ES_tradnl"/>
        </w:rPr>
        <w:t xml:space="preserve">, dada la importancia que el Gobierno les asigna </w:t>
      </w:r>
      <w:r w:rsidR="00575228">
        <w:rPr>
          <w:rFonts w:asciiTheme="minorHAnsi" w:hAnsiTheme="minorHAnsi" w:cs="Times New Roman"/>
          <w:lang w:val="es-ES_tradnl"/>
        </w:rPr>
        <w:t xml:space="preserve">a estos instrumentos </w:t>
      </w:r>
      <w:r w:rsidR="006A29B8" w:rsidRPr="001C16E1">
        <w:rPr>
          <w:rFonts w:asciiTheme="minorHAnsi" w:hAnsiTheme="minorHAnsi" w:cs="Times New Roman"/>
          <w:lang w:val="es-ES_tradnl"/>
        </w:rPr>
        <w:t xml:space="preserve">en las nuevas proyecciones de las inversiones viales en Uruguay. </w:t>
      </w:r>
    </w:p>
    <w:p w:rsidR="009B0E7F" w:rsidRPr="001C16E1" w:rsidRDefault="009B0E7F" w:rsidP="001C16E1">
      <w:pPr>
        <w:jc w:val="both"/>
        <w:rPr>
          <w:rFonts w:asciiTheme="minorHAnsi" w:hAnsiTheme="minorHAnsi" w:cs="Times New Roman"/>
          <w:lang w:val="es-ES_tradnl"/>
        </w:rPr>
      </w:pPr>
      <w:r w:rsidRPr="001C16E1">
        <w:rPr>
          <w:rFonts w:asciiTheme="minorHAnsi" w:hAnsiTheme="minorHAnsi" w:cs="Times New Roman"/>
          <w:lang w:val="es-ES_tradnl"/>
        </w:rPr>
        <w:t xml:space="preserve">Luego, se describen sucintamente los proyectos </w:t>
      </w:r>
      <w:proofErr w:type="spellStart"/>
      <w:r w:rsidR="0078198A">
        <w:rPr>
          <w:rFonts w:asciiTheme="minorHAnsi" w:hAnsiTheme="minorHAnsi" w:cs="Times New Roman"/>
          <w:lang w:val="es-ES_tradnl"/>
        </w:rPr>
        <w:t>PPPs</w:t>
      </w:r>
      <w:proofErr w:type="spellEnd"/>
      <w:r w:rsidR="0078198A">
        <w:rPr>
          <w:rFonts w:asciiTheme="minorHAnsi" w:hAnsiTheme="minorHAnsi" w:cs="Times New Roman"/>
          <w:lang w:val="es-ES_tradnl"/>
        </w:rPr>
        <w:t xml:space="preserve"> </w:t>
      </w:r>
      <w:r w:rsidRPr="001C16E1">
        <w:rPr>
          <w:rFonts w:asciiTheme="minorHAnsi" w:hAnsiTheme="minorHAnsi" w:cs="Times New Roman"/>
          <w:lang w:val="es-ES_tradnl"/>
        </w:rPr>
        <w:t xml:space="preserve">iniciados y las </w:t>
      </w:r>
      <w:r w:rsidR="0078198A">
        <w:rPr>
          <w:rFonts w:asciiTheme="minorHAnsi" w:hAnsiTheme="minorHAnsi" w:cs="Times New Roman"/>
          <w:lang w:val="es-ES_tradnl"/>
        </w:rPr>
        <w:t>iniciativas</w:t>
      </w:r>
      <w:r w:rsidRPr="001C16E1">
        <w:rPr>
          <w:rFonts w:asciiTheme="minorHAnsi" w:hAnsiTheme="minorHAnsi" w:cs="Times New Roman"/>
          <w:lang w:val="es-ES_tradnl"/>
        </w:rPr>
        <w:t xml:space="preserve"> que se manejan sobre l</w:t>
      </w:r>
      <w:r w:rsidR="00146A8A">
        <w:rPr>
          <w:rFonts w:asciiTheme="minorHAnsi" w:hAnsiTheme="minorHAnsi" w:cs="Times New Roman"/>
          <w:lang w:val="es-ES_tradnl"/>
        </w:rPr>
        <w:t>as</w:t>
      </w:r>
      <w:r w:rsidRPr="001C16E1">
        <w:rPr>
          <w:rFonts w:asciiTheme="minorHAnsi" w:hAnsiTheme="minorHAnsi" w:cs="Times New Roman"/>
          <w:lang w:val="es-ES_tradnl"/>
        </w:rPr>
        <w:t xml:space="preserve"> futur</w:t>
      </w:r>
      <w:r w:rsidR="00146A8A">
        <w:rPr>
          <w:rFonts w:asciiTheme="minorHAnsi" w:hAnsiTheme="minorHAnsi" w:cs="Times New Roman"/>
          <w:lang w:val="es-ES_tradnl"/>
        </w:rPr>
        <w:t>a</w:t>
      </w:r>
      <w:r w:rsidRPr="001C16E1">
        <w:rPr>
          <w:rFonts w:asciiTheme="minorHAnsi" w:hAnsiTheme="minorHAnsi" w:cs="Times New Roman"/>
          <w:lang w:val="es-ES_tradnl"/>
        </w:rPr>
        <w:t>s</w:t>
      </w:r>
      <w:r w:rsidR="00146A8A">
        <w:rPr>
          <w:rFonts w:asciiTheme="minorHAnsi" w:hAnsiTheme="minorHAnsi" w:cs="Times New Roman"/>
          <w:lang w:val="es-ES_tradnl"/>
        </w:rPr>
        <w:t xml:space="preserve"> </w:t>
      </w:r>
      <w:proofErr w:type="spellStart"/>
      <w:r w:rsidRPr="001C16E1">
        <w:rPr>
          <w:rFonts w:asciiTheme="minorHAnsi" w:hAnsiTheme="minorHAnsi" w:cs="Times New Roman"/>
          <w:lang w:val="es-ES_tradnl"/>
        </w:rPr>
        <w:t>PPP</w:t>
      </w:r>
      <w:r w:rsidR="00146A8A">
        <w:rPr>
          <w:rFonts w:asciiTheme="minorHAnsi" w:hAnsiTheme="minorHAnsi" w:cs="Times New Roman"/>
          <w:lang w:val="es-ES_tradnl"/>
        </w:rPr>
        <w:t>s</w:t>
      </w:r>
      <w:proofErr w:type="spellEnd"/>
      <w:r w:rsidRPr="001C16E1">
        <w:rPr>
          <w:rFonts w:asciiTheme="minorHAnsi" w:hAnsiTheme="minorHAnsi" w:cs="Times New Roman"/>
          <w:lang w:val="es-ES_tradnl"/>
        </w:rPr>
        <w:t xml:space="preserve"> que el Gobierno llevará adelante, no sólo en inversiones viales, sino en otros campos  de interés para el Estado.</w:t>
      </w:r>
    </w:p>
    <w:p w:rsidR="00B83D5E" w:rsidRPr="001C16E1" w:rsidRDefault="00B83D5E" w:rsidP="001C16E1">
      <w:pPr>
        <w:jc w:val="both"/>
        <w:rPr>
          <w:rFonts w:asciiTheme="minorHAnsi" w:hAnsiTheme="minorHAnsi" w:cs="Times New Roman"/>
          <w:lang w:val="es-ES_tradnl"/>
        </w:rPr>
      </w:pPr>
      <w:r w:rsidRPr="001C16E1">
        <w:rPr>
          <w:rFonts w:asciiTheme="minorHAnsi" w:hAnsiTheme="minorHAnsi" w:cs="Times New Roman"/>
          <w:lang w:val="es-ES_tradnl"/>
        </w:rPr>
        <w:t xml:space="preserve">A partir de ello, se analizan los criterios que se utilizan en el país para atender al riesgo fiscal que las PPP podrían traer para el país y la situación de los proyectos iniciados o previstos en la actualidad. </w:t>
      </w:r>
    </w:p>
    <w:p w:rsidR="00185C00" w:rsidRPr="001C16E1" w:rsidRDefault="00B83D5E" w:rsidP="001C16E1">
      <w:pPr>
        <w:jc w:val="both"/>
        <w:rPr>
          <w:rFonts w:asciiTheme="minorHAnsi" w:hAnsiTheme="minorHAnsi" w:cs="Times New Roman"/>
          <w:lang w:val="es-ES_tradnl"/>
        </w:rPr>
      </w:pPr>
      <w:r w:rsidRPr="001C16E1">
        <w:rPr>
          <w:rFonts w:asciiTheme="minorHAnsi" w:hAnsiTheme="minorHAnsi" w:cs="Times New Roman"/>
          <w:lang w:val="es-ES_tradnl"/>
        </w:rPr>
        <w:t>En particular, a</w:t>
      </w:r>
      <w:r w:rsidR="00185C00" w:rsidRPr="001C16E1">
        <w:rPr>
          <w:rFonts w:asciiTheme="minorHAnsi" w:hAnsiTheme="minorHAnsi" w:cs="Times New Roman"/>
          <w:lang w:val="es-ES_tradnl"/>
        </w:rPr>
        <w:t>llí se verá el estado de situación de</w:t>
      </w:r>
      <w:r w:rsidR="00146A8A">
        <w:rPr>
          <w:rFonts w:asciiTheme="minorHAnsi" w:hAnsiTheme="minorHAnsi" w:cs="Times New Roman"/>
          <w:lang w:val="es-ES_tradnl"/>
        </w:rPr>
        <w:t xml:space="preserve">l conjunto de </w:t>
      </w:r>
      <w:proofErr w:type="spellStart"/>
      <w:r w:rsidR="00185C00" w:rsidRPr="001C16E1">
        <w:rPr>
          <w:rFonts w:asciiTheme="minorHAnsi" w:hAnsiTheme="minorHAnsi" w:cs="Times New Roman"/>
          <w:lang w:val="es-ES_tradnl"/>
        </w:rPr>
        <w:t>PPP</w:t>
      </w:r>
      <w:r w:rsidR="00146A8A">
        <w:rPr>
          <w:rFonts w:asciiTheme="minorHAnsi" w:hAnsiTheme="minorHAnsi" w:cs="Times New Roman"/>
          <w:lang w:val="es-ES_tradnl"/>
        </w:rPr>
        <w:t>s</w:t>
      </w:r>
      <w:proofErr w:type="spellEnd"/>
      <w:r w:rsidR="00185C00" w:rsidRPr="001C16E1">
        <w:rPr>
          <w:rFonts w:asciiTheme="minorHAnsi" w:hAnsiTheme="minorHAnsi" w:cs="Times New Roman"/>
          <w:lang w:val="es-ES_tradnl"/>
        </w:rPr>
        <w:t xml:space="preserve"> respecto a los límites legales que el país ha establecido en su legislación para evitar el uso indiscriminado de esta herramienta que podría provocar problemas de deuda pública ante el aumento del riesgo de transformar esta contingencia en una deuda explícita a corto plazo.</w:t>
      </w:r>
    </w:p>
    <w:p w:rsidR="000572AD" w:rsidRPr="001C16E1" w:rsidRDefault="000572AD" w:rsidP="001C16E1">
      <w:pPr>
        <w:jc w:val="both"/>
        <w:rPr>
          <w:rFonts w:asciiTheme="minorHAnsi" w:hAnsiTheme="minorHAnsi" w:cs="Times New Roman"/>
          <w:lang w:val="es-ES_tradnl"/>
        </w:rPr>
      </w:pPr>
      <w:r w:rsidRPr="001C16E1">
        <w:rPr>
          <w:rFonts w:asciiTheme="minorHAnsi" w:hAnsiTheme="minorHAnsi" w:cs="Times New Roman"/>
          <w:lang w:val="es-ES_tradnl"/>
        </w:rPr>
        <w:t xml:space="preserve"> </w:t>
      </w:r>
      <w:r w:rsidR="00B83D5E" w:rsidRPr="001C16E1">
        <w:rPr>
          <w:rFonts w:asciiTheme="minorHAnsi" w:hAnsiTheme="minorHAnsi" w:cs="Times New Roman"/>
          <w:lang w:val="es-ES_tradnl"/>
        </w:rPr>
        <w:t>Por</w:t>
      </w:r>
      <w:r w:rsidR="00F71C17" w:rsidRPr="001C16E1">
        <w:rPr>
          <w:rFonts w:asciiTheme="minorHAnsi" w:hAnsiTheme="minorHAnsi" w:cs="Times New Roman"/>
          <w:lang w:val="es-ES_tradnl"/>
        </w:rPr>
        <w:t xml:space="preserve"> </w:t>
      </w:r>
      <w:r w:rsidR="00B83D5E" w:rsidRPr="001C16E1">
        <w:rPr>
          <w:rFonts w:asciiTheme="minorHAnsi" w:hAnsiTheme="minorHAnsi" w:cs="Times New Roman"/>
          <w:lang w:val="es-ES_tradnl"/>
        </w:rPr>
        <w:t xml:space="preserve">último, se </w:t>
      </w:r>
      <w:r w:rsidR="00F71C17" w:rsidRPr="001C16E1">
        <w:rPr>
          <w:rFonts w:asciiTheme="minorHAnsi" w:hAnsiTheme="minorHAnsi" w:cs="Times New Roman"/>
          <w:lang w:val="es-ES_tradnl"/>
        </w:rPr>
        <w:t xml:space="preserve">analiza </w:t>
      </w:r>
      <w:r w:rsidR="00B83D5E" w:rsidRPr="001C16E1">
        <w:rPr>
          <w:rFonts w:asciiTheme="minorHAnsi" w:hAnsiTheme="minorHAnsi" w:cs="Times New Roman"/>
          <w:lang w:val="es-ES_tradnl"/>
        </w:rPr>
        <w:t xml:space="preserve">el nivel de inversiones viales que el </w:t>
      </w:r>
      <w:r w:rsidR="00F71C17" w:rsidRPr="001C16E1">
        <w:rPr>
          <w:rFonts w:asciiTheme="minorHAnsi" w:hAnsiTheme="minorHAnsi" w:cs="Times New Roman"/>
          <w:lang w:val="es-ES_tradnl"/>
        </w:rPr>
        <w:t>Gobierno prevé realizar en el próximo quinquenio y ha anunciado recientemente, y las necesidades financieras que ello conlleva, junto a la capacidad de repago de los compromisos financieros por parte de la CVU y CND, para finalmente compara</w:t>
      </w:r>
      <w:r w:rsidR="0078198A">
        <w:rPr>
          <w:rFonts w:asciiTheme="minorHAnsi" w:hAnsiTheme="minorHAnsi" w:cs="Times New Roman"/>
          <w:lang w:val="es-ES_tradnl"/>
        </w:rPr>
        <w:t>r</w:t>
      </w:r>
      <w:r w:rsidR="00FA5B68">
        <w:rPr>
          <w:rFonts w:asciiTheme="minorHAnsi" w:hAnsiTheme="minorHAnsi" w:cs="Times New Roman"/>
          <w:lang w:val="es-ES_tradnl"/>
        </w:rPr>
        <w:t xml:space="preserve">las con los actuales </w:t>
      </w:r>
      <w:r w:rsidR="00F71C17" w:rsidRPr="001C16E1">
        <w:rPr>
          <w:rFonts w:asciiTheme="minorHAnsi" w:hAnsiTheme="minorHAnsi" w:cs="Times New Roman"/>
          <w:lang w:val="es-ES_tradnl"/>
        </w:rPr>
        <w:t>niveles de deuda pública</w:t>
      </w:r>
      <w:r w:rsidR="00FA5B68">
        <w:rPr>
          <w:rFonts w:asciiTheme="minorHAnsi" w:hAnsiTheme="minorHAnsi" w:cs="Times New Roman"/>
          <w:lang w:val="es-ES_tradnl"/>
        </w:rPr>
        <w:t xml:space="preserve"> del país.</w:t>
      </w:r>
      <w:r w:rsidR="00F71C17" w:rsidRPr="001C16E1">
        <w:rPr>
          <w:rFonts w:asciiTheme="minorHAnsi" w:hAnsiTheme="minorHAnsi" w:cs="Times New Roman"/>
          <w:lang w:val="es-ES_tradnl"/>
        </w:rPr>
        <w:t xml:space="preserve"> </w:t>
      </w:r>
    </w:p>
    <w:p w:rsidR="00C8104F" w:rsidRPr="001C16E1" w:rsidRDefault="00C8104F" w:rsidP="001C16E1">
      <w:pPr>
        <w:jc w:val="both"/>
        <w:rPr>
          <w:rFonts w:asciiTheme="minorHAnsi" w:hAnsiTheme="minorHAnsi" w:cs="Times New Roman"/>
          <w:lang w:val="es-ES_tradnl"/>
        </w:rPr>
      </w:pPr>
    </w:p>
    <w:p w:rsidR="00047EAB" w:rsidRDefault="00047EAB" w:rsidP="00C8104F">
      <w:pPr>
        <w:pStyle w:val="Heading2"/>
      </w:pPr>
      <w:bookmarkStart w:id="19" w:name="_Toc428464189"/>
      <w:r>
        <w:t>Antecedentes internacionales</w:t>
      </w:r>
      <w:bookmarkEnd w:id="19"/>
    </w:p>
    <w:p w:rsidR="00C8104F" w:rsidRPr="001C16E1" w:rsidRDefault="00C8104F" w:rsidP="001C16E1">
      <w:pPr>
        <w:jc w:val="both"/>
        <w:rPr>
          <w:rFonts w:asciiTheme="minorHAnsi" w:hAnsiTheme="minorHAnsi" w:cs="Times New Roman"/>
          <w:lang w:val="es-ES_tradnl"/>
        </w:rPr>
      </w:pPr>
    </w:p>
    <w:p w:rsidR="00DF218B" w:rsidRPr="001C16E1" w:rsidRDefault="00DF218B" w:rsidP="001C16E1">
      <w:pPr>
        <w:jc w:val="both"/>
        <w:rPr>
          <w:rFonts w:asciiTheme="minorHAnsi" w:hAnsiTheme="minorHAnsi" w:cs="Times New Roman"/>
          <w:lang w:val="es-ES_tradnl"/>
        </w:rPr>
      </w:pPr>
      <w:r w:rsidRPr="001C16E1">
        <w:rPr>
          <w:rFonts w:asciiTheme="minorHAnsi" w:hAnsiTheme="minorHAnsi" w:cs="Times New Roman"/>
          <w:lang w:val="es-ES_tradnl"/>
        </w:rPr>
        <w:t xml:space="preserve">Internacionalmente se observa una preocupación importante para que los diferentes países registren </w:t>
      </w:r>
      <w:r w:rsidR="008C5290">
        <w:rPr>
          <w:rFonts w:asciiTheme="minorHAnsi" w:hAnsiTheme="minorHAnsi" w:cs="Times New Roman"/>
          <w:lang w:val="es-ES_tradnl"/>
        </w:rPr>
        <w:t>d</w:t>
      </w:r>
      <w:r w:rsidRPr="001C16E1">
        <w:rPr>
          <w:rFonts w:asciiTheme="minorHAnsi" w:hAnsiTheme="minorHAnsi" w:cs="Times New Roman"/>
          <w:lang w:val="es-ES_tradnl"/>
        </w:rPr>
        <w:t xml:space="preserve">e alguna manera los posibles riesgos fiscales atribuibles al desarrollo de las </w:t>
      </w:r>
      <w:proofErr w:type="spellStart"/>
      <w:r w:rsidRPr="001C16E1">
        <w:rPr>
          <w:rFonts w:asciiTheme="minorHAnsi" w:hAnsiTheme="minorHAnsi" w:cs="Times New Roman"/>
          <w:lang w:val="es-ES_tradnl"/>
        </w:rPr>
        <w:t>PPPs</w:t>
      </w:r>
      <w:proofErr w:type="spellEnd"/>
      <w:r w:rsidRPr="001C16E1">
        <w:rPr>
          <w:rFonts w:asciiTheme="minorHAnsi" w:hAnsiTheme="minorHAnsi" w:cs="Times New Roman"/>
          <w:lang w:val="es-ES_tradnl"/>
        </w:rPr>
        <w:t xml:space="preserve">. </w:t>
      </w:r>
      <w:proofErr w:type="spellStart"/>
      <w:r w:rsidRPr="001C16E1">
        <w:rPr>
          <w:rFonts w:asciiTheme="minorHAnsi" w:hAnsiTheme="minorHAnsi" w:cs="Times New Roman"/>
          <w:lang w:val="es-ES_tradnl"/>
        </w:rPr>
        <w:t>Aún</w:t>
      </w:r>
      <w:proofErr w:type="spellEnd"/>
      <w:r w:rsidRPr="001C16E1">
        <w:rPr>
          <w:rFonts w:asciiTheme="minorHAnsi" w:hAnsiTheme="minorHAnsi" w:cs="Times New Roman"/>
          <w:lang w:val="es-ES_tradnl"/>
        </w:rPr>
        <w:t xml:space="preserve"> cuando las PPP se conocen desde los ’</w:t>
      </w:r>
      <w:r w:rsidR="008C5290">
        <w:rPr>
          <w:rFonts w:asciiTheme="minorHAnsi" w:hAnsiTheme="minorHAnsi" w:cs="Times New Roman"/>
          <w:lang w:val="es-ES_tradnl"/>
        </w:rPr>
        <w:t>8</w:t>
      </w:r>
      <w:r w:rsidRPr="001C16E1">
        <w:rPr>
          <w:rFonts w:asciiTheme="minorHAnsi" w:hAnsiTheme="minorHAnsi" w:cs="Times New Roman"/>
          <w:lang w:val="es-ES_tradnl"/>
        </w:rPr>
        <w:t>0, cuando fueron desarrolladas en el Reino Unido, su uso se incrementó significativamente a partir de los ’90.</w:t>
      </w:r>
    </w:p>
    <w:p w:rsidR="006C625F" w:rsidRPr="001C16E1" w:rsidRDefault="00DF218B" w:rsidP="001C16E1">
      <w:pPr>
        <w:jc w:val="both"/>
        <w:rPr>
          <w:rFonts w:asciiTheme="minorHAnsi" w:hAnsiTheme="minorHAnsi" w:cs="Times New Roman"/>
          <w:lang w:val="es-ES_tradnl"/>
        </w:rPr>
      </w:pPr>
      <w:r w:rsidRPr="001C16E1">
        <w:rPr>
          <w:rFonts w:asciiTheme="minorHAnsi" w:hAnsiTheme="minorHAnsi" w:cs="Times New Roman"/>
          <w:lang w:val="es-ES_tradnl"/>
        </w:rPr>
        <w:t xml:space="preserve">Este desarrollo </w:t>
      </w:r>
      <w:r w:rsidR="006C625F" w:rsidRPr="001C16E1">
        <w:rPr>
          <w:rFonts w:asciiTheme="minorHAnsi" w:hAnsiTheme="minorHAnsi" w:cs="Times New Roman"/>
          <w:lang w:val="es-ES_tradnl"/>
        </w:rPr>
        <w:t xml:space="preserve">respondió básicamente a la mejora </w:t>
      </w:r>
      <w:r w:rsidR="008C5290">
        <w:rPr>
          <w:rFonts w:asciiTheme="minorHAnsi" w:hAnsiTheme="minorHAnsi" w:cs="Times New Roman"/>
          <w:lang w:val="es-ES_tradnl"/>
        </w:rPr>
        <w:t xml:space="preserve">que permiten tener </w:t>
      </w:r>
      <w:r w:rsidR="006C625F" w:rsidRPr="001C16E1">
        <w:rPr>
          <w:rFonts w:asciiTheme="minorHAnsi" w:hAnsiTheme="minorHAnsi" w:cs="Times New Roman"/>
          <w:lang w:val="es-ES_tradnl"/>
        </w:rPr>
        <w:t>en la eficiencia de las inversiones con la participación privada</w:t>
      </w:r>
      <w:r w:rsidR="002B7FF0" w:rsidRPr="001C16E1">
        <w:rPr>
          <w:rFonts w:asciiTheme="minorHAnsi" w:hAnsiTheme="minorHAnsi" w:cs="Times New Roman"/>
          <w:lang w:val="es-ES_tradnl"/>
        </w:rPr>
        <w:t xml:space="preserve">, </w:t>
      </w:r>
      <w:r w:rsidR="008C5290">
        <w:rPr>
          <w:rFonts w:asciiTheme="minorHAnsi" w:hAnsiTheme="minorHAnsi" w:cs="Times New Roman"/>
          <w:lang w:val="es-ES_tradnl"/>
        </w:rPr>
        <w:t xml:space="preserve">logrando </w:t>
      </w:r>
      <w:r w:rsidR="002B7FF0" w:rsidRPr="001C16E1">
        <w:rPr>
          <w:rFonts w:asciiTheme="minorHAnsi" w:hAnsiTheme="minorHAnsi" w:cs="Times New Roman"/>
          <w:lang w:val="es-ES_tradnl"/>
        </w:rPr>
        <w:t xml:space="preserve">un menor costo </w:t>
      </w:r>
      <w:r w:rsidR="008C5290">
        <w:rPr>
          <w:rFonts w:asciiTheme="minorHAnsi" w:hAnsiTheme="minorHAnsi" w:cs="Times New Roman"/>
          <w:lang w:val="es-ES_tradnl"/>
        </w:rPr>
        <w:t>respecto a las inversiones públicas tradicionales</w:t>
      </w:r>
      <w:r w:rsidR="002B7FF0" w:rsidRPr="001C16E1">
        <w:rPr>
          <w:rFonts w:asciiTheme="minorHAnsi" w:hAnsiTheme="minorHAnsi" w:cs="Times New Roman"/>
          <w:lang w:val="es-ES_tradnl"/>
        </w:rPr>
        <w:t xml:space="preserve"> </w:t>
      </w:r>
      <w:r w:rsidR="006C625F" w:rsidRPr="001C16E1">
        <w:rPr>
          <w:rFonts w:asciiTheme="minorHAnsi" w:hAnsiTheme="minorHAnsi" w:cs="Times New Roman"/>
          <w:lang w:val="es-ES_tradnl"/>
        </w:rPr>
        <w:t xml:space="preserve">y además </w:t>
      </w:r>
      <w:r w:rsidR="008C5290">
        <w:rPr>
          <w:rFonts w:asciiTheme="minorHAnsi" w:hAnsiTheme="minorHAnsi" w:cs="Times New Roman"/>
          <w:lang w:val="es-ES_tradnl"/>
        </w:rPr>
        <w:t xml:space="preserve">presentan </w:t>
      </w:r>
      <w:r w:rsidR="006C625F" w:rsidRPr="001C16E1">
        <w:rPr>
          <w:rFonts w:asciiTheme="minorHAnsi" w:hAnsiTheme="minorHAnsi" w:cs="Times New Roman"/>
          <w:lang w:val="es-ES_tradnl"/>
        </w:rPr>
        <w:t xml:space="preserve">la ventaja de no tener un incremento de la deuda pública o del déficit fiscal </w:t>
      </w:r>
      <w:r w:rsidR="008C5290">
        <w:rPr>
          <w:rFonts w:asciiTheme="minorHAnsi" w:hAnsiTheme="minorHAnsi" w:cs="Times New Roman"/>
          <w:lang w:val="es-ES_tradnl"/>
        </w:rPr>
        <w:t xml:space="preserve">provocado por la inversión </w:t>
      </w:r>
      <w:r w:rsidR="006C625F" w:rsidRPr="001C16E1">
        <w:rPr>
          <w:rFonts w:asciiTheme="minorHAnsi" w:hAnsiTheme="minorHAnsi" w:cs="Times New Roman"/>
          <w:lang w:val="es-ES_tradnl"/>
        </w:rPr>
        <w:t>inicial.</w:t>
      </w:r>
    </w:p>
    <w:p w:rsidR="006C625F" w:rsidRPr="001C16E1" w:rsidRDefault="006C625F" w:rsidP="001C16E1">
      <w:pPr>
        <w:jc w:val="both"/>
        <w:rPr>
          <w:rFonts w:asciiTheme="minorHAnsi" w:hAnsiTheme="minorHAnsi" w:cs="Times New Roman"/>
          <w:lang w:val="es-ES_tradnl"/>
        </w:rPr>
      </w:pPr>
      <w:r w:rsidRPr="001C16E1">
        <w:rPr>
          <w:rFonts w:asciiTheme="minorHAnsi" w:hAnsiTheme="minorHAnsi" w:cs="Times New Roman"/>
          <w:lang w:val="es-ES_tradnl"/>
        </w:rPr>
        <w:t xml:space="preserve">Este último factor en principio era muy atractivo </w:t>
      </w:r>
      <w:r w:rsidR="002B7FF0" w:rsidRPr="001C16E1">
        <w:rPr>
          <w:rFonts w:asciiTheme="minorHAnsi" w:hAnsiTheme="minorHAnsi" w:cs="Times New Roman"/>
          <w:lang w:val="es-ES_tradnl"/>
        </w:rPr>
        <w:t>para lo</w:t>
      </w:r>
      <w:r w:rsidR="00146A8A">
        <w:rPr>
          <w:rFonts w:asciiTheme="minorHAnsi" w:hAnsiTheme="minorHAnsi" w:cs="Times New Roman"/>
          <w:lang w:val="es-ES_tradnl"/>
        </w:rPr>
        <w:t>s</w:t>
      </w:r>
      <w:r w:rsidR="002B7FF0" w:rsidRPr="001C16E1">
        <w:rPr>
          <w:rFonts w:asciiTheme="minorHAnsi" w:hAnsiTheme="minorHAnsi" w:cs="Times New Roman"/>
          <w:lang w:val="es-ES_tradnl"/>
        </w:rPr>
        <w:t xml:space="preserve"> Gobiernos </w:t>
      </w:r>
      <w:r w:rsidRPr="001C16E1">
        <w:rPr>
          <w:rFonts w:asciiTheme="minorHAnsi" w:hAnsiTheme="minorHAnsi" w:cs="Times New Roman"/>
          <w:lang w:val="es-ES_tradnl"/>
        </w:rPr>
        <w:t>pero constitu</w:t>
      </w:r>
      <w:r w:rsidR="008C5290">
        <w:rPr>
          <w:rFonts w:asciiTheme="minorHAnsi" w:hAnsiTheme="minorHAnsi" w:cs="Times New Roman"/>
          <w:lang w:val="es-ES_tradnl"/>
        </w:rPr>
        <w:t>ye</w:t>
      </w:r>
      <w:r w:rsidRPr="001C16E1">
        <w:rPr>
          <w:rFonts w:asciiTheme="minorHAnsi" w:hAnsiTheme="minorHAnsi" w:cs="Times New Roman"/>
          <w:lang w:val="es-ES_tradnl"/>
        </w:rPr>
        <w:t xml:space="preserve"> prácticamente una ilusión de no tener deudas por esas inversiones, ya que a mediano plazo el Estado paga la participación de los sectores privados aunque en un p</w:t>
      </w:r>
      <w:r w:rsidR="008C5290">
        <w:rPr>
          <w:rFonts w:asciiTheme="minorHAnsi" w:hAnsiTheme="minorHAnsi" w:cs="Times New Roman"/>
          <w:lang w:val="es-ES_tradnl"/>
        </w:rPr>
        <w:t>eríodo</w:t>
      </w:r>
      <w:r w:rsidRPr="001C16E1">
        <w:rPr>
          <w:rFonts w:asciiTheme="minorHAnsi" w:hAnsiTheme="minorHAnsi" w:cs="Times New Roman"/>
          <w:lang w:val="es-ES_tradnl"/>
        </w:rPr>
        <w:t xml:space="preserve"> relativamente largo, por lo que representa solamente una postergación en el tiempo de los compromisos a asumir para llevar</w:t>
      </w:r>
      <w:r w:rsidR="008C5290">
        <w:rPr>
          <w:rFonts w:asciiTheme="minorHAnsi" w:hAnsiTheme="minorHAnsi" w:cs="Times New Roman"/>
          <w:lang w:val="es-ES_tradnl"/>
        </w:rPr>
        <w:t xml:space="preserve"> </w:t>
      </w:r>
      <w:r w:rsidRPr="001C16E1">
        <w:rPr>
          <w:rFonts w:asciiTheme="minorHAnsi" w:hAnsiTheme="minorHAnsi" w:cs="Times New Roman"/>
          <w:lang w:val="es-ES_tradnl"/>
        </w:rPr>
        <w:t>adelante las inversiones, más allá de las ventajas en las eficiencias y menores tiempos de las inversiones</w:t>
      </w:r>
      <w:r w:rsidR="008C5290">
        <w:rPr>
          <w:rFonts w:asciiTheme="minorHAnsi" w:hAnsiTheme="minorHAnsi" w:cs="Times New Roman"/>
          <w:lang w:val="es-ES_tradnl"/>
        </w:rPr>
        <w:t xml:space="preserve"> por </w:t>
      </w:r>
      <w:r w:rsidRPr="001C16E1">
        <w:rPr>
          <w:rFonts w:asciiTheme="minorHAnsi" w:hAnsiTheme="minorHAnsi" w:cs="Times New Roman"/>
          <w:lang w:val="es-ES_tradnl"/>
        </w:rPr>
        <w:t>la participación privada.</w:t>
      </w:r>
    </w:p>
    <w:p w:rsidR="006C625F" w:rsidRPr="001C16E1" w:rsidRDefault="006C625F" w:rsidP="001C16E1">
      <w:pPr>
        <w:jc w:val="both"/>
        <w:rPr>
          <w:rFonts w:asciiTheme="minorHAnsi" w:hAnsiTheme="minorHAnsi" w:cs="Times New Roman"/>
          <w:lang w:val="es-ES_tradnl"/>
        </w:rPr>
      </w:pPr>
      <w:r w:rsidRPr="001C16E1">
        <w:rPr>
          <w:rFonts w:asciiTheme="minorHAnsi" w:hAnsiTheme="minorHAnsi" w:cs="Times New Roman"/>
          <w:lang w:val="es-ES_tradnl"/>
        </w:rPr>
        <w:t>Por tanto, estos compromisos deb</w:t>
      </w:r>
      <w:r w:rsidR="002B7FF0" w:rsidRPr="001C16E1">
        <w:rPr>
          <w:rFonts w:asciiTheme="minorHAnsi" w:hAnsiTheme="minorHAnsi" w:cs="Times New Roman"/>
          <w:lang w:val="es-ES_tradnl"/>
        </w:rPr>
        <w:t>er</w:t>
      </w:r>
      <w:r w:rsidRPr="001C16E1">
        <w:rPr>
          <w:rFonts w:asciiTheme="minorHAnsi" w:hAnsiTheme="minorHAnsi" w:cs="Times New Roman"/>
          <w:lang w:val="es-ES_tradnl"/>
        </w:rPr>
        <w:t xml:space="preserve">ían ser informados y medidos para que se tuviera conciencia de los compromisos asumidos y del riesgo fiscal que ello implica en el futuro para enfrentar los pagos de las inversiones, ya que la contabilidad pública tradicional no registra esta deuda en el corto plazo, solamente el movimiento de caja del pago en cada año respectivo, al ser una contabilidad de lo efectivamente ocurrido, sin considerar </w:t>
      </w:r>
      <w:proofErr w:type="spellStart"/>
      <w:r w:rsidRPr="001C16E1">
        <w:rPr>
          <w:rFonts w:asciiTheme="minorHAnsi" w:hAnsiTheme="minorHAnsi" w:cs="Times New Roman"/>
          <w:lang w:val="es-ES_tradnl"/>
        </w:rPr>
        <w:t>devengamientos</w:t>
      </w:r>
      <w:proofErr w:type="spellEnd"/>
      <w:r w:rsidRPr="001C16E1">
        <w:rPr>
          <w:rFonts w:asciiTheme="minorHAnsi" w:hAnsiTheme="minorHAnsi" w:cs="Times New Roman"/>
          <w:lang w:val="es-ES_tradnl"/>
        </w:rPr>
        <w:t xml:space="preserve"> ni contingencias futuras, como es e</w:t>
      </w:r>
      <w:r w:rsidR="008C5290">
        <w:rPr>
          <w:rFonts w:asciiTheme="minorHAnsi" w:hAnsiTheme="minorHAnsi" w:cs="Times New Roman"/>
          <w:lang w:val="es-ES_tradnl"/>
        </w:rPr>
        <w:t>l</w:t>
      </w:r>
      <w:r w:rsidRPr="001C16E1">
        <w:rPr>
          <w:rFonts w:asciiTheme="minorHAnsi" w:hAnsiTheme="minorHAnsi" w:cs="Times New Roman"/>
          <w:lang w:val="es-ES_tradnl"/>
        </w:rPr>
        <w:t xml:space="preserve"> caso de l</w:t>
      </w:r>
      <w:r w:rsidR="00575228">
        <w:rPr>
          <w:rFonts w:asciiTheme="minorHAnsi" w:hAnsiTheme="minorHAnsi" w:cs="Times New Roman"/>
          <w:lang w:val="es-ES_tradnl"/>
        </w:rPr>
        <w:t>os pagos futuros del Gobierno  en l</w:t>
      </w:r>
      <w:r w:rsidRPr="001C16E1">
        <w:rPr>
          <w:rFonts w:asciiTheme="minorHAnsi" w:hAnsiTheme="minorHAnsi" w:cs="Times New Roman"/>
          <w:lang w:val="es-ES_tradnl"/>
        </w:rPr>
        <w:t>as PPP.</w:t>
      </w:r>
    </w:p>
    <w:p w:rsidR="002B7FF0" w:rsidRPr="001C16E1" w:rsidRDefault="00BD72D2" w:rsidP="001C16E1">
      <w:pPr>
        <w:jc w:val="both"/>
        <w:rPr>
          <w:rFonts w:asciiTheme="minorHAnsi" w:hAnsiTheme="minorHAnsi" w:cs="Times New Roman"/>
          <w:lang w:val="es-ES_tradnl"/>
        </w:rPr>
      </w:pPr>
      <w:r w:rsidRPr="001C16E1">
        <w:rPr>
          <w:rFonts w:asciiTheme="minorHAnsi" w:hAnsiTheme="minorHAnsi" w:cs="Times New Roman"/>
          <w:lang w:val="es-ES_tradnl"/>
        </w:rPr>
        <w:t xml:space="preserve">Por otra parte, las concesiones de obra pública al sector privado son pagadas por el Estado en relación a lo efectivamente disponible del bien o servicio y para ello utiliza susidios o autoriza la recolección de tasas, peajes, </w:t>
      </w:r>
      <w:proofErr w:type="spellStart"/>
      <w:r w:rsidRPr="001C16E1">
        <w:rPr>
          <w:rFonts w:asciiTheme="minorHAnsi" w:hAnsiTheme="minorHAnsi" w:cs="Times New Roman"/>
          <w:lang w:val="es-ES_tradnl"/>
        </w:rPr>
        <w:t>etc</w:t>
      </w:r>
      <w:proofErr w:type="spellEnd"/>
      <w:r w:rsidRPr="001C16E1">
        <w:rPr>
          <w:rFonts w:asciiTheme="minorHAnsi" w:hAnsiTheme="minorHAnsi" w:cs="Times New Roman"/>
          <w:lang w:val="es-ES_tradnl"/>
        </w:rPr>
        <w:t>, tal como ocurre en el caso de la CVU</w:t>
      </w:r>
      <w:r w:rsidR="00F92309">
        <w:rPr>
          <w:rFonts w:asciiTheme="minorHAnsi" w:hAnsiTheme="minorHAnsi" w:cs="Times New Roman"/>
          <w:lang w:val="es-ES_tradnl"/>
        </w:rPr>
        <w:t xml:space="preserve"> en Uruguay</w:t>
      </w:r>
      <w:r w:rsidR="008C5290">
        <w:rPr>
          <w:rFonts w:asciiTheme="minorHAnsi" w:hAnsiTheme="minorHAnsi" w:cs="Times New Roman"/>
          <w:lang w:val="es-ES_tradnl"/>
        </w:rPr>
        <w:t xml:space="preserve">. </w:t>
      </w:r>
      <w:r w:rsidRPr="001C16E1">
        <w:rPr>
          <w:rFonts w:asciiTheme="minorHAnsi" w:hAnsiTheme="minorHAnsi" w:cs="Times New Roman"/>
          <w:lang w:val="es-ES_tradnl"/>
        </w:rPr>
        <w:t xml:space="preserve">En este caso, </w:t>
      </w:r>
      <w:r w:rsidR="008C5290">
        <w:rPr>
          <w:rFonts w:asciiTheme="minorHAnsi" w:hAnsiTheme="minorHAnsi" w:cs="Times New Roman"/>
          <w:lang w:val="es-ES_tradnl"/>
        </w:rPr>
        <w:t xml:space="preserve">la </w:t>
      </w:r>
      <w:r w:rsidRPr="001C16E1">
        <w:rPr>
          <w:rFonts w:asciiTheme="minorHAnsi" w:hAnsiTheme="minorHAnsi" w:cs="Times New Roman"/>
          <w:lang w:val="es-ES_tradnl"/>
        </w:rPr>
        <w:t>deuda del Estado</w:t>
      </w:r>
      <w:r w:rsidR="008C5290">
        <w:rPr>
          <w:rFonts w:asciiTheme="minorHAnsi" w:hAnsiTheme="minorHAnsi" w:cs="Times New Roman"/>
          <w:lang w:val="es-ES_tradnl"/>
        </w:rPr>
        <w:t xml:space="preserve"> se registra en lo que se refiere al subsidio, pero no al resto del financiamiento, que proviene en parte del Estado por la autorización de los peajes y por las deudas donde CND es el prestatario</w:t>
      </w:r>
      <w:r w:rsidRPr="001C16E1">
        <w:rPr>
          <w:rFonts w:asciiTheme="minorHAnsi" w:hAnsiTheme="minorHAnsi" w:cs="Times New Roman"/>
          <w:lang w:val="es-ES_tradnl"/>
        </w:rPr>
        <w:t xml:space="preserve">, </w:t>
      </w:r>
      <w:r w:rsidR="00855EA3">
        <w:rPr>
          <w:rFonts w:asciiTheme="minorHAnsi" w:hAnsiTheme="minorHAnsi" w:cs="Times New Roman"/>
          <w:lang w:val="es-ES_tradnl"/>
        </w:rPr>
        <w:t>por lo que las vinculaciones con el Estado y la deuda pública son muy estrechas y podrían ameritar su registro en esta última. Más adelante se profundizan estos aspectos.</w:t>
      </w:r>
      <w:r w:rsidR="00A14618" w:rsidRPr="001C16E1">
        <w:rPr>
          <w:rFonts w:asciiTheme="minorHAnsi" w:hAnsiTheme="minorHAnsi" w:cs="Times New Roman"/>
          <w:lang w:val="es-ES_tradnl"/>
        </w:rPr>
        <w:t xml:space="preserve"> </w:t>
      </w:r>
    </w:p>
    <w:p w:rsidR="00CF7A3D" w:rsidRPr="001C16E1" w:rsidRDefault="002B7FF0" w:rsidP="001C16E1">
      <w:pPr>
        <w:jc w:val="both"/>
        <w:rPr>
          <w:rFonts w:asciiTheme="minorHAnsi" w:hAnsiTheme="minorHAnsi" w:cs="Times New Roman"/>
          <w:lang w:val="es-ES_tradnl"/>
        </w:rPr>
      </w:pPr>
      <w:r w:rsidRPr="001C16E1">
        <w:rPr>
          <w:rFonts w:asciiTheme="minorHAnsi" w:hAnsiTheme="minorHAnsi" w:cs="Times New Roman"/>
          <w:lang w:val="es-ES_tradnl"/>
        </w:rPr>
        <w:t xml:space="preserve">Ante estos requerimientos, </w:t>
      </w:r>
      <w:r w:rsidR="00CF7A3D" w:rsidRPr="001C16E1">
        <w:rPr>
          <w:rFonts w:asciiTheme="minorHAnsi" w:hAnsiTheme="minorHAnsi" w:cs="Times New Roman"/>
          <w:lang w:val="es-ES_tradnl"/>
        </w:rPr>
        <w:t xml:space="preserve">varios países implementaron </w:t>
      </w:r>
      <w:proofErr w:type="spellStart"/>
      <w:r w:rsidR="00CF7A3D" w:rsidRPr="001C16E1">
        <w:rPr>
          <w:rFonts w:asciiTheme="minorHAnsi" w:hAnsiTheme="minorHAnsi" w:cs="Times New Roman"/>
          <w:lang w:val="es-ES_tradnl"/>
        </w:rPr>
        <w:t>standards</w:t>
      </w:r>
      <w:proofErr w:type="spellEnd"/>
      <w:r w:rsidR="00CF7A3D" w:rsidRPr="001C16E1">
        <w:rPr>
          <w:rFonts w:asciiTheme="minorHAnsi" w:hAnsiTheme="minorHAnsi" w:cs="Times New Roman"/>
          <w:lang w:val="es-ES_tradnl"/>
        </w:rPr>
        <w:t xml:space="preserve"> o siguieron algunos </w:t>
      </w:r>
      <w:proofErr w:type="spellStart"/>
      <w:r w:rsidR="00CF7A3D" w:rsidRPr="001C16E1">
        <w:rPr>
          <w:rFonts w:asciiTheme="minorHAnsi" w:hAnsiTheme="minorHAnsi" w:cs="Times New Roman"/>
          <w:lang w:val="es-ES_tradnl"/>
        </w:rPr>
        <w:t>standards</w:t>
      </w:r>
      <w:proofErr w:type="spellEnd"/>
      <w:r w:rsidR="00CF7A3D" w:rsidRPr="001C16E1">
        <w:rPr>
          <w:rFonts w:asciiTheme="minorHAnsi" w:hAnsiTheme="minorHAnsi" w:cs="Times New Roman"/>
          <w:lang w:val="es-ES_tradnl"/>
        </w:rPr>
        <w:t xml:space="preserve"> internacionales para luego analizar si se reconocían las </w:t>
      </w:r>
      <w:r w:rsidR="00855EA3">
        <w:rPr>
          <w:rFonts w:asciiTheme="minorHAnsi" w:hAnsiTheme="minorHAnsi" w:cs="Times New Roman"/>
          <w:lang w:val="es-ES_tradnl"/>
        </w:rPr>
        <w:t xml:space="preserve">deudas que generaban las </w:t>
      </w:r>
      <w:r w:rsidR="00CF7A3D" w:rsidRPr="001C16E1">
        <w:rPr>
          <w:rFonts w:asciiTheme="minorHAnsi" w:hAnsiTheme="minorHAnsi" w:cs="Times New Roman"/>
          <w:lang w:val="es-ES_tradnl"/>
        </w:rPr>
        <w:t xml:space="preserve">PPP </w:t>
      </w:r>
      <w:r w:rsidR="00855EA3">
        <w:rPr>
          <w:rFonts w:asciiTheme="minorHAnsi" w:hAnsiTheme="minorHAnsi" w:cs="Times New Roman"/>
          <w:lang w:val="es-ES_tradnl"/>
        </w:rPr>
        <w:t xml:space="preserve">con los compromisos de sus pagos a largo plazo </w:t>
      </w:r>
      <w:r w:rsidR="00CF7A3D" w:rsidRPr="001C16E1">
        <w:rPr>
          <w:rFonts w:asciiTheme="minorHAnsi" w:hAnsiTheme="minorHAnsi" w:cs="Times New Roman"/>
          <w:lang w:val="es-ES_tradnl"/>
        </w:rPr>
        <w:t>en los balances públicos. De esta manera, se reconoc</w:t>
      </w:r>
      <w:r w:rsidR="00855EA3">
        <w:rPr>
          <w:rFonts w:asciiTheme="minorHAnsi" w:hAnsiTheme="minorHAnsi" w:cs="Times New Roman"/>
          <w:lang w:val="es-ES_tradnl"/>
        </w:rPr>
        <w:t>er</w:t>
      </w:r>
      <w:r w:rsidR="00CF7A3D" w:rsidRPr="001C16E1">
        <w:rPr>
          <w:rFonts w:asciiTheme="minorHAnsi" w:hAnsiTheme="minorHAnsi" w:cs="Times New Roman"/>
          <w:lang w:val="es-ES_tradnl"/>
        </w:rPr>
        <w:t>ían los bienes o servicios físicos en los balances y su contrapartida monetaria de deuda</w:t>
      </w:r>
      <w:r w:rsidR="00855EA3">
        <w:rPr>
          <w:rFonts w:asciiTheme="minorHAnsi" w:hAnsiTheme="minorHAnsi" w:cs="Times New Roman"/>
          <w:lang w:val="es-ES_tradnl"/>
        </w:rPr>
        <w:t xml:space="preserve"> pública</w:t>
      </w:r>
      <w:r w:rsidR="00CF7A3D" w:rsidRPr="001C16E1">
        <w:rPr>
          <w:rFonts w:asciiTheme="minorHAnsi" w:hAnsiTheme="minorHAnsi" w:cs="Times New Roman"/>
          <w:lang w:val="es-ES_tradnl"/>
        </w:rPr>
        <w:t>.</w:t>
      </w:r>
    </w:p>
    <w:p w:rsidR="00BD72D2" w:rsidRPr="001C16E1" w:rsidRDefault="00CF7A3D" w:rsidP="001C16E1">
      <w:pPr>
        <w:jc w:val="both"/>
        <w:rPr>
          <w:rFonts w:asciiTheme="minorHAnsi" w:hAnsiTheme="minorHAnsi" w:cs="Times New Roman"/>
          <w:lang w:val="es-ES_tradnl"/>
        </w:rPr>
      </w:pPr>
      <w:r w:rsidRPr="001C16E1">
        <w:rPr>
          <w:rFonts w:asciiTheme="minorHAnsi" w:hAnsiTheme="minorHAnsi" w:cs="Times New Roman"/>
          <w:lang w:val="es-ES_tradnl"/>
        </w:rPr>
        <w:t xml:space="preserve">A partir de ello, el International </w:t>
      </w:r>
      <w:proofErr w:type="spellStart"/>
      <w:r w:rsidRPr="001C16E1">
        <w:rPr>
          <w:rFonts w:asciiTheme="minorHAnsi" w:hAnsiTheme="minorHAnsi" w:cs="Times New Roman"/>
          <w:lang w:val="es-ES_tradnl"/>
        </w:rPr>
        <w:t>Public</w:t>
      </w:r>
      <w:proofErr w:type="spellEnd"/>
      <w:r w:rsidRPr="001C16E1">
        <w:rPr>
          <w:rFonts w:asciiTheme="minorHAnsi" w:hAnsiTheme="minorHAnsi" w:cs="Times New Roman"/>
          <w:lang w:val="es-ES_tradnl"/>
        </w:rPr>
        <w:t xml:space="preserve"> Sector </w:t>
      </w:r>
      <w:proofErr w:type="spellStart"/>
      <w:r w:rsidRPr="001C16E1">
        <w:rPr>
          <w:rFonts w:asciiTheme="minorHAnsi" w:hAnsiTheme="minorHAnsi" w:cs="Times New Roman"/>
          <w:lang w:val="es-ES_tradnl"/>
        </w:rPr>
        <w:t>Accounting</w:t>
      </w:r>
      <w:proofErr w:type="spellEnd"/>
      <w:r w:rsidRPr="001C16E1">
        <w:rPr>
          <w:rFonts w:asciiTheme="minorHAnsi" w:hAnsiTheme="minorHAnsi" w:cs="Times New Roman"/>
          <w:lang w:val="es-ES_tradnl"/>
        </w:rPr>
        <w:t xml:space="preserve"> </w:t>
      </w:r>
      <w:proofErr w:type="spellStart"/>
      <w:r w:rsidRPr="001C16E1">
        <w:rPr>
          <w:rFonts w:asciiTheme="minorHAnsi" w:hAnsiTheme="minorHAnsi" w:cs="Times New Roman"/>
          <w:lang w:val="es-ES_tradnl"/>
        </w:rPr>
        <w:t>Standards</w:t>
      </w:r>
      <w:proofErr w:type="spellEnd"/>
      <w:r w:rsidRPr="001C16E1">
        <w:rPr>
          <w:rFonts w:asciiTheme="minorHAnsi" w:hAnsiTheme="minorHAnsi" w:cs="Times New Roman"/>
          <w:lang w:val="es-ES_tradnl"/>
        </w:rPr>
        <w:t xml:space="preserve"> (IPSAS) en su versión I</w:t>
      </w:r>
      <w:r w:rsidR="00575228">
        <w:rPr>
          <w:rFonts w:asciiTheme="minorHAnsi" w:hAnsiTheme="minorHAnsi" w:cs="Times New Roman"/>
          <w:lang w:val="es-ES_tradnl"/>
        </w:rPr>
        <w:t>P</w:t>
      </w:r>
      <w:r w:rsidRPr="001C16E1">
        <w:rPr>
          <w:rFonts w:asciiTheme="minorHAnsi" w:hAnsiTheme="minorHAnsi" w:cs="Times New Roman"/>
          <w:lang w:val="es-ES_tradnl"/>
        </w:rPr>
        <w:t xml:space="preserve">SAS 32, </w:t>
      </w:r>
      <w:proofErr w:type="spellStart"/>
      <w:r w:rsidRPr="001C16E1">
        <w:rPr>
          <w:rFonts w:asciiTheme="minorHAnsi" w:hAnsiTheme="minorHAnsi" w:cs="Times New Roman"/>
          <w:lang w:val="es-ES_tradnl"/>
        </w:rPr>
        <w:t>Service</w:t>
      </w:r>
      <w:proofErr w:type="spellEnd"/>
      <w:r w:rsidRPr="001C16E1">
        <w:rPr>
          <w:rFonts w:asciiTheme="minorHAnsi" w:hAnsiTheme="minorHAnsi" w:cs="Times New Roman"/>
          <w:lang w:val="es-ES_tradnl"/>
        </w:rPr>
        <w:t xml:space="preserve"> </w:t>
      </w:r>
      <w:proofErr w:type="spellStart"/>
      <w:r w:rsidRPr="001C16E1">
        <w:rPr>
          <w:rFonts w:asciiTheme="minorHAnsi" w:hAnsiTheme="minorHAnsi" w:cs="Times New Roman"/>
          <w:lang w:val="es-ES_tradnl"/>
        </w:rPr>
        <w:t>Concession</w:t>
      </w:r>
      <w:proofErr w:type="spellEnd"/>
      <w:r w:rsidRPr="001C16E1">
        <w:rPr>
          <w:rFonts w:asciiTheme="minorHAnsi" w:hAnsiTheme="minorHAnsi" w:cs="Times New Roman"/>
          <w:lang w:val="es-ES_tradnl"/>
        </w:rPr>
        <w:t xml:space="preserve"> </w:t>
      </w:r>
      <w:proofErr w:type="spellStart"/>
      <w:r w:rsidRPr="001C16E1">
        <w:rPr>
          <w:rFonts w:asciiTheme="minorHAnsi" w:hAnsiTheme="minorHAnsi" w:cs="Times New Roman"/>
          <w:lang w:val="es-ES_tradnl"/>
        </w:rPr>
        <w:t>Arrangements</w:t>
      </w:r>
      <w:proofErr w:type="spellEnd"/>
      <w:r w:rsidRPr="001C16E1">
        <w:rPr>
          <w:rFonts w:asciiTheme="minorHAnsi" w:hAnsiTheme="minorHAnsi" w:cs="Times New Roman"/>
          <w:lang w:val="es-ES_tradnl"/>
        </w:rPr>
        <w:t xml:space="preserve">: </w:t>
      </w:r>
      <w:proofErr w:type="spellStart"/>
      <w:r w:rsidRPr="001C16E1">
        <w:rPr>
          <w:rFonts w:asciiTheme="minorHAnsi" w:hAnsiTheme="minorHAnsi" w:cs="Times New Roman"/>
          <w:lang w:val="es-ES_tradnl"/>
        </w:rPr>
        <w:t>Grantor</w:t>
      </w:r>
      <w:proofErr w:type="spellEnd"/>
      <w:r w:rsidRPr="001C16E1">
        <w:rPr>
          <w:rFonts w:asciiTheme="minorHAnsi" w:hAnsiTheme="minorHAnsi" w:cs="Times New Roman"/>
          <w:lang w:val="es-ES_tradnl"/>
        </w:rPr>
        <w:t>, establece el m</w:t>
      </w:r>
      <w:r w:rsidR="006821F8" w:rsidRPr="001C16E1">
        <w:rPr>
          <w:rFonts w:asciiTheme="minorHAnsi" w:hAnsiTheme="minorHAnsi" w:cs="Times New Roman"/>
          <w:lang w:val="es-ES_tradnl"/>
        </w:rPr>
        <w:t>a</w:t>
      </w:r>
      <w:r w:rsidRPr="001C16E1">
        <w:rPr>
          <w:rFonts w:asciiTheme="minorHAnsi" w:hAnsiTheme="minorHAnsi" w:cs="Times New Roman"/>
          <w:lang w:val="es-ES_tradnl"/>
        </w:rPr>
        <w:t xml:space="preserve">rco </w:t>
      </w:r>
      <w:r w:rsidR="006821F8" w:rsidRPr="001C16E1">
        <w:rPr>
          <w:rFonts w:asciiTheme="minorHAnsi" w:hAnsiTheme="minorHAnsi" w:cs="Times New Roman"/>
          <w:lang w:val="es-ES_tradnl"/>
        </w:rPr>
        <w:t xml:space="preserve">para informar y registrar las PPP en las cuentas públicas. En este caso, las inversiones de una PPP constituyen un activo y los compromisos un pasivo público cuando el Gobierno controla o regula </w:t>
      </w:r>
      <w:r w:rsidR="00855EA3">
        <w:rPr>
          <w:rFonts w:asciiTheme="minorHAnsi" w:hAnsiTheme="minorHAnsi" w:cs="Times New Roman"/>
          <w:lang w:val="es-ES_tradnl"/>
        </w:rPr>
        <w:t>qué</w:t>
      </w:r>
      <w:r w:rsidR="006821F8" w:rsidRPr="001C16E1">
        <w:rPr>
          <w:rFonts w:asciiTheme="minorHAnsi" w:hAnsiTheme="minorHAnsi" w:cs="Times New Roman"/>
          <w:lang w:val="es-ES_tradnl"/>
        </w:rPr>
        <w:t xml:space="preserve"> servicios el operador debe brindar, a quién y a qué precio y además controla cualquier interés residual en el activo al final del término del contrato. La experiencia indica que la mayoría de las PPP cumplen este requisito. En estos casos s</w:t>
      </w:r>
      <w:r w:rsidR="00575228">
        <w:rPr>
          <w:rFonts w:asciiTheme="minorHAnsi" w:hAnsiTheme="minorHAnsi" w:cs="Times New Roman"/>
          <w:lang w:val="es-ES_tradnl"/>
        </w:rPr>
        <w:t>erán</w:t>
      </w:r>
      <w:r w:rsidR="006821F8" w:rsidRPr="001C16E1">
        <w:rPr>
          <w:rFonts w:asciiTheme="minorHAnsi" w:hAnsiTheme="minorHAnsi" w:cs="Times New Roman"/>
          <w:lang w:val="es-ES_tradnl"/>
        </w:rPr>
        <w:t xml:space="preserve"> consideradas como cualquier proyecto financiado públicamente</w:t>
      </w:r>
      <w:r w:rsidR="00575228">
        <w:rPr>
          <w:rFonts w:asciiTheme="minorHAnsi" w:hAnsiTheme="minorHAnsi" w:cs="Times New Roman"/>
          <w:lang w:val="es-ES_tradnl"/>
        </w:rPr>
        <w:t xml:space="preserve"> bajo los criterios de la IPSAS 32</w:t>
      </w:r>
      <w:r w:rsidR="006821F8" w:rsidRPr="001C16E1">
        <w:rPr>
          <w:rFonts w:asciiTheme="minorHAnsi" w:hAnsiTheme="minorHAnsi" w:cs="Times New Roman"/>
          <w:lang w:val="es-ES_tradnl"/>
        </w:rPr>
        <w:t xml:space="preserve">. La deuda se incrementa por el valor presente neto de los pagos a realizar, mientras que el valor del patrimonio estatal no cambia al </w:t>
      </w:r>
      <w:proofErr w:type="spellStart"/>
      <w:r w:rsidR="006821F8" w:rsidRPr="001C16E1">
        <w:rPr>
          <w:rFonts w:asciiTheme="minorHAnsi" w:hAnsiTheme="minorHAnsi" w:cs="Times New Roman"/>
          <w:lang w:val="es-ES_tradnl"/>
        </w:rPr>
        <w:t>netearse</w:t>
      </w:r>
      <w:proofErr w:type="spellEnd"/>
      <w:r w:rsidR="006821F8" w:rsidRPr="001C16E1">
        <w:rPr>
          <w:rFonts w:asciiTheme="minorHAnsi" w:hAnsiTheme="minorHAnsi" w:cs="Times New Roman"/>
          <w:lang w:val="es-ES_tradnl"/>
        </w:rPr>
        <w:t xml:space="preserve"> el valor del activo con el valor presente neto de la deuda asumida en el contrato de las PPP. </w:t>
      </w:r>
    </w:p>
    <w:p w:rsidR="005F76F7" w:rsidRDefault="00976560" w:rsidP="001C16E1">
      <w:pPr>
        <w:jc w:val="both"/>
        <w:rPr>
          <w:rFonts w:asciiTheme="minorHAnsi" w:hAnsiTheme="minorHAnsi" w:cs="Times New Roman"/>
          <w:lang w:val="es-ES_tradnl"/>
        </w:rPr>
      </w:pPr>
      <w:r w:rsidRPr="001C16E1">
        <w:rPr>
          <w:rFonts w:asciiTheme="minorHAnsi" w:hAnsiTheme="minorHAnsi" w:cs="Times New Roman"/>
          <w:lang w:val="es-ES_tradnl"/>
        </w:rPr>
        <w:t xml:space="preserve">Por su parte, el FMI en los documentos </w:t>
      </w:r>
      <w:proofErr w:type="spellStart"/>
      <w:r w:rsidRPr="001C16E1">
        <w:rPr>
          <w:rFonts w:asciiTheme="minorHAnsi" w:hAnsiTheme="minorHAnsi" w:cs="Times New Roman"/>
          <w:lang w:val="es-ES_tradnl"/>
        </w:rPr>
        <w:t>Updated</w:t>
      </w:r>
      <w:proofErr w:type="spellEnd"/>
      <w:r w:rsidRPr="001C16E1">
        <w:rPr>
          <w:rFonts w:asciiTheme="minorHAnsi" w:hAnsiTheme="minorHAnsi" w:cs="Times New Roman"/>
          <w:lang w:val="es-ES_tradnl"/>
        </w:rPr>
        <w:t xml:space="preserve"> </w:t>
      </w:r>
      <w:proofErr w:type="spellStart"/>
      <w:r w:rsidRPr="001C16E1">
        <w:rPr>
          <w:rFonts w:asciiTheme="minorHAnsi" w:hAnsiTheme="minorHAnsi" w:cs="Times New Roman"/>
          <w:lang w:val="es-ES_tradnl"/>
        </w:rPr>
        <w:t>Government</w:t>
      </w:r>
      <w:proofErr w:type="spellEnd"/>
      <w:r w:rsidRPr="001C16E1">
        <w:rPr>
          <w:rFonts w:asciiTheme="minorHAnsi" w:hAnsiTheme="minorHAnsi" w:cs="Times New Roman"/>
          <w:lang w:val="es-ES_tradnl"/>
        </w:rPr>
        <w:t xml:space="preserve"> </w:t>
      </w:r>
      <w:proofErr w:type="spellStart"/>
      <w:r w:rsidRPr="001C16E1">
        <w:rPr>
          <w:rFonts w:asciiTheme="minorHAnsi" w:hAnsiTheme="minorHAnsi" w:cs="Times New Roman"/>
          <w:lang w:val="es-ES_tradnl"/>
        </w:rPr>
        <w:t>Finance</w:t>
      </w:r>
      <w:proofErr w:type="spellEnd"/>
      <w:r w:rsidRPr="001C16E1">
        <w:rPr>
          <w:rFonts w:asciiTheme="minorHAnsi" w:hAnsiTheme="minorHAnsi" w:cs="Times New Roman"/>
          <w:lang w:val="es-ES_tradnl"/>
        </w:rPr>
        <w:t xml:space="preserve"> </w:t>
      </w:r>
      <w:proofErr w:type="spellStart"/>
      <w:r w:rsidRPr="001C16E1">
        <w:rPr>
          <w:rFonts w:asciiTheme="minorHAnsi" w:hAnsiTheme="minorHAnsi" w:cs="Times New Roman"/>
          <w:lang w:val="es-ES_tradnl"/>
        </w:rPr>
        <w:t>Statistics</w:t>
      </w:r>
      <w:proofErr w:type="spellEnd"/>
      <w:r w:rsidRPr="001C16E1">
        <w:rPr>
          <w:rFonts w:asciiTheme="minorHAnsi" w:hAnsiTheme="minorHAnsi" w:cs="Times New Roman"/>
          <w:lang w:val="es-ES_tradnl"/>
        </w:rPr>
        <w:t xml:space="preserve"> Manual 2001 (GFSM 2001) y el 2011 </w:t>
      </w:r>
      <w:proofErr w:type="spellStart"/>
      <w:r w:rsidRPr="001C16E1">
        <w:rPr>
          <w:rFonts w:asciiTheme="minorHAnsi" w:hAnsiTheme="minorHAnsi" w:cs="Times New Roman"/>
          <w:lang w:val="es-ES_tradnl"/>
        </w:rPr>
        <w:t>Guide</w:t>
      </w:r>
      <w:proofErr w:type="spellEnd"/>
      <w:r w:rsidRPr="001C16E1">
        <w:rPr>
          <w:rFonts w:asciiTheme="minorHAnsi" w:hAnsiTheme="minorHAnsi" w:cs="Times New Roman"/>
          <w:lang w:val="es-ES_tradnl"/>
        </w:rPr>
        <w:t xml:space="preserve"> </w:t>
      </w:r>
      <w:proofErr w:type="spellStart"/>
      <w:r w:rsidRPr="001C16E1">
        <w:rPr>
          <w:rFonts w:asciiTheme="minorHAnsi" w:hAnsiTheme="minorHAnsi" w:cs="Times New Roman"/>
          <w:lang w:val="es-ES_tradnl"/>
        </w:rPr>
        <w:t>on</w:t>
      </w:r>
      <w:proofErr w:type="spellEnd"/>
      <w:r w:rsidRPr="001C16E1">
        <w:rPr>
          <w:rFonts w:asciiTheme="minorHAnsi" w:hAnsiTheme="minorHAnsi" w:cs="Times New Roman"/>
          <w:lang w:val="es-ES_tradnl"/>
        </w:rPr>
        <w:t xml:space="preserve"> </w:t>
      </w:r>
      <w:proofErr w:type="spellStart"/>
      <w:r w:rsidRPr="001C16E1">
        <w:rPr>
          <w:rFonts w:asciiTheme="minorHAnsi" w:hAnsiTheme="minorHAnsi" w:cs="Times New Roman"/>
          <w:lang w:val="es-ES_tradnl"/>
        </w:rPr>
        <w:t>Public</w:t>
      </w:r>
      <w:proofErr w:type="spellEnd"/>
      <w:r w:rsidRPr="001C16E1">
        <w:rPr>
          <w:rFonts w:asciiTheme="minorHAnsi" w:hAnsiTheme="minorHAnsi" w:cs="Times New Roman"/>
          <w:lang w:val="es-ES_tradnl"/>
        </w:rPr>
        <w:t xml:space="preserve"> Sector </w:t>
      </w:r>
      <w:proofErr w:type="spellStart"/>
      <w:r w:rsidRPr="001C16E1">
        <w:rPr>
          <w:rFonts w:asciiTheme="minorHAnsi" w:hAnsiTheme="minorHAnsi" w:cs="Times New Roman"/>
          <w:lang w:val="es-ES_tradnl"/>
        </w:rPr>
        <w:t>Debt</w:t>
      </w:r>
      <w:proofErr w:type="spellEnd"/>
      <w:r w:rsidRPr="001C16E1">
        <w:rPr>
          <w:rFonts w:asciiTheme="minorHAnsi" w:hAnsiTheme="minorHAnsi" w:cs="Times New Roman"/>
          <w:lang w:val="es-ES_tradnl"/>
        </w:rPr>
        <w:t xml:space="preserve"> </w:t>
      </w:r>
      <w:proofErr w:type="spellStart"/>
      <w:r w:rsidRPr="001C16E1">
        <w:rPr>
          <w:rFonts w:asciiTheme="minorHAnsi" w:hAnsiTheme="minorHAnsi" w:cs="Times New Roman"/>
          <w:lang w:val="es-ES_tradnl"/>
        </w:rPr>
        <w:t>Statistics</w:t>
      </w:r>
      <w:proofErr w:type="spellEnd"/>
      <w:r w:rsidRPr="001C16E1">
        <w:rPr>
          <w:rFonts w:asciiTheme="minorHAnsi" w:hAnsiTheme="minorHAnsi" w:cs="Times New Roman"/>
          <w:lang w:val="es-ES_tradnl"/>
        </w:rPr>
        <w:t xml:space="preserve"> (PSDS 2011) determina una metodología para clasificar los activos y pasivos </w:t>
      </w:r>
      <w:r w:rsidR="00E205A4">
        <w:rPr>
          <w:rFonts w:asciiTheme="minorHAnsi" w:hAnsiTheme="minorHAnsi" w:cs="Times New Roman"/>
          <w:lang w:val="es-ES_tradnl"/>
        </w:rPr>
        <w:t xml:space="preserve">de las cuentas públicas, incluidos los </w:t>
      </w:r>
      <w:r w:rsidRPr="001C16E1">
        <w:rPr>
          <w:rFonts w:asciiTheme="minorHAnsi" w:hAnsiTheme="minorHAnsi" w:cs="Times New Roman"/>
          <w:lang w:val="es-ES_tradnl"/>
        </w:rPr>
        <w:t>generados por las PPP a</w:t>
      </w:r>
      <w:r w:rsidR="005F76F7" w:rsidRPr="001C16E1">
        <w:rPr>
          <w:rFonts w:asciiTheme="minorHAnsi" w:hAnsiTheme="minorHAnsi" w:cs="Times New Roman"/>
          <w:lang w:val="es-ES_tradnl"/>
        </w:rPr>
        <w:t xml:space="preserve"> </w:t>
      </w:r>
      <w:r w:rsidRPr="001C16E1">
        <w:rPr>
          <w:rFonts w:asciiTheme="minorHAnsi" w:hAnsiTheme="minorHAnsi" w:cs="Times New Roman"/>
          <w:lang w:val="es-ES_tradnl"/>
        </w:rPr>
        <w:t xml:space="preserve">los efectos de </w:t>
      </w:r>
      <w:r w:rsidR="005F76F7" w:rsidRPr="001C16E1">
        <w:rPr>
          <w:rFonts w:asciiTheme="minorHAnsi" w:hAnsiTheme="minorHAnsi" w:cs="Times New Roman"/>
          <w:lang w:val="es-ES_tradnl"/>
        </w:rPr>
        <w:t xml:space="preserve">determinar </w:t>
      </w:r>
      <w:r w:rsidRPr="001C16E1">
        <w:rPr>
          <w:rFonts w:asciiTheme="minorHAnsi" w:hAnsiTheme="minorHAnsi" w:cs="Times New Roman"/>
          <w:lang w:val="es-ES_tradnl"/>
        </w:rPr>
        <w:t>si con</w:t>
      </w:r>
      <w:r w:rsidR="005F76F7" w:rsidRPr="001C16E1">
        <w:rPr>
          <w:rFonts w:asciiTheme="minorHAnsi" w:hAnsiTheme="minorHAnsi" w:cs="Times New Roman"/>
          <w:lang w:val="es-ES_tradnl"/>
        </w:rPr>
        <w:t>s</w:t>
      </w:r>
      <w:r w:rsidRPr="001C16E1">
        <w:rPr>
          <w:rFonts w:asciiTheme="minorHAnsi" w:hAnsiTheme="minorHAnsi" w:cs="Times New Roman"/>
          <w:lang w:val="es-ES_tradnl"/>
        </w:rPr>
        <w:t xml:space="preserve">tituyen </w:t>
      </w:r>
      <w:r w:rsidR="005F76F7" w:rsidRPr="001C16E1">
        <w:rPr>
          <w:rFonts w:asciiTheme="minorHAnsi" w:hAnsiTheme="minorHAnsi" w:cs="Times New Roman"/>
          <w:lang w:val="es-ES_tradnl"/>
        </w:rPr>
        <w:t>un activo público, en caso afirmativo afectan a la deuda y al déficit en forma similar a un proyecto públicamente financiado.</w:t>
      </w:r>
      <w:r w:rsidR="00C334B2">
        <w:rPr>
          <w:rStyle w:val="FootnoteReference"/>
          <w:rFonts w:asciiTheme="minorHAnsi" w:hAnsiTheme="minorHAnsi" w:cs="Times New Roman"/>
          <w:lang w:val="es-ES_tradnl"/>
        </w:rPr>
        <w:footnoteReference w:id="2"/>
      </w:r>
    </w:p>
    <w:p w:rsidR="008C37D9" w:rsidRDefault="008C37D9" w:rsidP="008C37D9">
      <w:pPr>
        <w:jc w:val="both"/>
        <w:rPr>
          <w:rFonts w:asciiTheme="minorHAnsi" w:hAnsiTheme="minorHAnsi" w:cs="Times New Roman"/>
          <w:lang w:val="es-ES_tradnl"/>
        </w:rPr>
      </w:pPr>
      <w:r>
        <w:rPr>
          <w:rFonts w:asciiTheme="minorHAnsi" w:hAnsiTheme="minorHAnsi" w:cs="Times New Roman"/>
          <w:lang w:val="es-ES_tradnl"/>
        </w:rPr>
        <w:t xml:space="preserve">Como </w:t>
      </w:r>
      <w:r w:rsidRPr="001C16E1">
        <w:rPr>
          <w:rFonts w:asciiTheme="minorHAnsi" w:hAnsiTheme="minorHAnsi" w:cs="Times New Roman"/>
          <w:lang w:val="es-ES_tradnl"/>
        </w:rPr>
        <w:t xml:space="preserve">en gran parte de los países se </w:t>
      </w:r>
      <w:r>
        <w:rPr>
          <w:rFonts w:asciiTheme="minorHAnsi" w:hAnsiTheme="minorHAnsi" w:cs="Times New Roman"/>
          <w:lang w:val="es-ES_tradnl"/>
        </w:rPr>
        <w:t xml:space="preserve">utilizan </w:t>
      </w:r>
      <w:r w:rsidRPr="001C16E1">
        <w:rPr>
          <w:rFonts w:asciiTheme="minorHAnsi" w:hAnsiTheme="minorHAnsi" w:cs="Times New Roman"/>
          <w:lang w:val="es-ES_tradnl"/>
        </w:rPr>
        <w:t xml:space="preserve">las PPP sin considerarlas en la </w:t>
      </w:r>
      <w:proofErr w:type="spellStart"/>
      <w:r w:rsidRPr="001C16E1">
        <w:rPr>
          <w:rFonts w:asciiTheme="minorHAnsi" w:hAnsiTheme="minorHAnsi" w:cs="Times New Roman"/>
          <w:lang w:val="es-ES_tradnl"/>
        </w:rPr>
        <w:t>presupuestación</w:t>
      </w:r>
      <w:proofErr w:type="spellEnd"/>
      <w:r w:rsidRPr="001C16E1">
        <w:rPr>
          <w:rFonts w:asciiTheme="minorHAnsi" w:hAnsiTheme="minorHAnsi" w:cs="Times New Roman"/>
          <w:lang w:val="es-ES_tradnl"/>
        </w:rPr>
        <w:t xml:space="preserve"> pública, </w:t>
      </w:r>
      <w:r>
        <w:rPr>
          <w:rFonts w:asciiTheme="minorHAnsi" w:hAnsiTheme="minorHAnsi" w:cs="Times New Roman"/>
          <w:lang w:val="es-ES_tradnl"/>
        </w:rPr>
        <w:t xml:space="preserve">en este </w:t>
      </w:r>
      <w:r w:rsidR="00575228">
        <w:rPr>
          <w:rFonts w:asciiTheme="minorHAnsi" w:hAnsiTheme="minorHAnsi" w:cs="Times New Roman"/>
          <w:lang w:val="es-ES_tradnl"/>
        </w:rPr>
        <w:t xml:space="preserve">sentido y bajo estos criterios </w:t>
      </w:r>
      <w:r w:rsidRPr="001C16E1">
        <w:rPr>
          <w:rFonts w:asciiTheme="minorHAnsi" w:hAnsiTheme="minorHAnsi" w:cs="Times New Roman"/>
          <w:lang w:val="es-ES_tradnl"/>
        </w:rPr>
        <w:t xml:space="preserve">se aconseja que: </w:t>
      </w:r>
    </w:p>
    <w:p w:rsidR="008C37D9" w:rsidRPr="001C16E1" w:rsidRDefault="008C37D9" w:rsidP="008C37D9">
      <w:pPr>
        <w:pStyle w:val="ListParagraph"/>
        <w:numPr>
          <w:ilvl w:val="0"/>
          <w:numId w:val="25"/>
        </w:numPr>
        <w:jc w:val="both"/>
        <w:rPr>
          <w:rFonts w:cs="Times New Roman"/>
          <w:lang w:val="es-ES_tradnl"/>
        </w:rPr>
      </w:pPr>
      <w:r w:rsidRPr="001C16E1">
        <w:rPr>
          <w:rFonts w:cs="Times New Roman"/>
          <w:lang w:val="es-ES_tradnl"/>
        </w:rPr>
        <w:t xml:space="preserve">se trate a las </w:t>
      </w:r>
      <w:proofErr w:type="spellStart"/>
      <w:r w:rsidRPr="001C16E1">
        <w:rPr>
          <w:rFonts w:cs="Times New Roman"/>
          <w:lang w:val="es-ES_tradnl"/>
        </w:rPr>
        <w:t>PPP</w:t>
      </w:r>
      <w:r>
        <w:rPr>
          <w:rFonts w:cs="Times New Roman"/>
          <w:lang w:val="es-ES_tradnl"/>
        </w:rPr>
        <w:t>s</w:t>
      </w:r>
      <w:proofErr w:type="spellEnd"/>
      <w:r w:rsidRPr="001C16E1">
        <w:rPr>
          <w:rFonts w:cs="Times New Roman"/>
          <w:lang w:val="es-ES_tradnl"/>
        </w:rPr>
        <w:t xml:space="preserve"> en el Presupuesto de mediano plazo como si fuese un proyecto de financiamiento público, en primer lugar,  </w:t>
      </w:r>
    </w:p>
    <w:p w:rsidR="008C37D9" w:rsidRPr="001C16E1" w:rsidRDefault="008C37D9" w:rsidP="008C37D9">
      <w:pPr>
        <w:pStyle w:val="ListParagraph"/>
        <w:numPr>
          <w:ilvl w:val="0"/>
          <w:numId w:val="25"/>
        </w:numPr>
        <w:jc w:val="both"/>
        <w:rPr>
          <w:rFonts w:cs="Times New Roman"/>
          <w:lang w:val="es-ES_tradnl"/>
        </w:rPr>
      </w:pPr>
      <w:r w:rsidRPr="001C16E1">
        <w:rPr>
          <w:rFonts w:cs="Times New Roman"/>
          <w:lang w:val="es-ES_tradnl"/>
        </w:rPr>
        <w:t xml:space="preserve">el Poder Legislativo apruebe los compromisos del gasto público de largo plazo en las </w:t>
      </w:r>
      <w:proofErr w:type="spellStart"/>
      <w:r w:rsidRPr="001C16E1">
        <w:rPr>
          <w:rFonts w:cs="Times New Roman"/>
          <w:lang w:val="es-ES_tradnl"/>
        </w:rPr>
        <w:t>PPPs</w:t>
      </w:r>
      <w:proofErr w:type="spellEnd"/>
      <w:r w:rsidRPr="001C16E1">
        <w:rPr>
          <w:rFonts w:cs="Times New Roman"/>
          <w:lang w:val="es-ES_tradnl"/>
        </w:rPr>
        <w:t xml:space="preserve"> igual que en el caso del Presupuesto nacional</w:t>
      </w:r>
    </w:p>
    <w:p w:rsidR="008C37D9" w:rsidRPr="001C16E1" w:rsidRDefault="008C37D9" w:rsidP="008C37D9">
      <w:pPr>
        <w:pStyle w:val="ListParagraph"/>
        <w:numPr>
          <w:ilvl w:val="0"/>
          <w:numId w:val="25"/>
        </w:numPr>
        <w:jc w:val="both"/>
        <w:rPr>
          <w:rFonts w:cs="Times New Roman"/>
          <w:lang w:val="es-ES_tradnl"/>
        </w:rPr>
      </w:pPr>
      <w:r>
        <w:rPr>
          <w:rFonts w:cs="Times New Roman"/>
          <w:lang w:val="es-ES_tradnl"/>
        </w:rPr>
        <w:t xml:space="preserve">o </w:t>
      </w:r>
      <w:r w:rsidRPr="001C16E1">
        <w:rPr>
          <w:rFonts w:cs="Times New Roman"/>
          <w:lang w:val="es-ES_tradnl"/>
        </w:rPr>
        <w:t xml:space="preserve">sino en dos etapas, </w:t>
      </w:r>
      <w:r>
        <w:rPr>
          <w:rFonts w:cs="Times New Roman"/>
          <w:lang w:val="es-ES_tradnl"/>
        </w:rPr>
        <w:t xml:space="preserve">donde </w:t>
      </w:r>
      <w:r w:rsidRPr="001C16E1">
        <w:rPr>
          <w:rFonts w:cs="Times New Roman"/>
          <w:lang w:val="es-ES_tradnl"/>
        </w:rPr>
        <w:t xml:space="preserve">primero se aprueban </w:t>
      </w:r>
      <w:r>
        <w:rPr>
          <w:rFonts w:cs="Times New Roman"/>
          <w:lang w:val="es-ES_tradnl"/>
        </w:rPr>
        <w:t xml:space="preserve">los proyectos </w:t>
      </w:r>
      <w:r w:rsidRPr="001C16E1">
        <w:rPr>
          <w:rFonts w:cs="Times New Roman"/>
          <w:lang w:val="es-ES_tradnl"/>
        </w:rPr>
        <w:t xml:space="preserve">en la planificación presupuestaria y luego se  define el método de financiamiento o sea si es </w:t>
      </w:r>
      <w:r>
        <w:rPr>
          <w:rFonts w:cs="Times New Roman"/>
          <w:lang w:val="es-ES_tradnl"/>
        </w:rPr>
        <w:t xml:space="preserve">una </w:t>
      </w:r>
      <w:r w:rsidRPr="001C16E1">
        <w:rPr>
          <w:rFonts w:cs="Times New Roman"/>
          <w:lang w:val="es-ES_tradnl"/>
        </w:rPr>
        <w:t xml:space="preserve">PPP o </w:t>
      </w:r>
      <w:r>
        <w:rPr>
          <w:rFonts w:cs="Times New Roman"/>
          <w:lang w:val="es-ES_tradnl"/>
        </w:rPr>
        <w:t xml:space="preserve">un </w:t>
      </w:r>
      <w:r w:rsidRPr="001C16E1">
        <w:rPr>
          <w:rFonts w:cs="Times New Roman"/>
          <w:lang w:val="es-ES_tradnl"/>
        </w:rPr>
        <w:t>proyecto de financiamiento público.</w:t>
      </w:r>
    </w:p>
    <w:p w:rsidR="005F76F7" w:rsidRPr="001C16E1" w:rsidRDefault="005F76F7" w:rsidP="001C16E1">
      <w:pPr>
        <w:jc w:val="both"/>
        <w:rPr>
          <w:rFonts w:asciiTheme="minorHAnsi" w:hAnsiTheme="minorHAnsi" w:cs="Times New Roman"/>
          <w:lang w:val="es-ES_tradnl"/>
        </w:rPr>
      </w:pPr>
      <w:r w:rsidRPr="001C16E1">
        <w:rPr>
          <w:rFonts w:asciiTheme="minorHAnsi" w:hAnsiTheme="minorHAnsi" w:cs="Times New Roman"/>
          <w:lang w:val="es-ES_tradnl"/>
        </w:rPr>
        <w:t xml:space="preserve">Por </w:t>
      </w:r>
      <w:r w:rsidR="008C37D9">
        <w:rPr>
          <w:rFonts w:asciiTheme="minorHAnsi" w:hAnsiTheme="minorHAnsi" w:cs="Times New Roman"/>
          <w:lang w:val="es-ES_tradnl"/>
        </w:rPr>
        <w:t>otra</w:t>
      </w:r>
      <w:r w:rsidRPr="001C16E1">
        <w:rPr>
          <w:rFonts w:asciiTheme="minorHAnsi" w:hAnsiTheme="minorHAnsi" w:cs="Times New Roman"/>
          <w:lang w:val="es-ES_tradnl"/>
        </w:rPr>
        <w:t xml:space="preserve"> parte, el </w:t>
      </w:r>
      <w:proofErr w:type="spellStart"/>
      <w:r w:rsidRPr="001C16E1">
        <w:rPr>
          <w:rFonts w:asciiTheme="minorHAnsi" w:hAnsiTheme="minorHAnsi" w:cs="Times New Roman"/>
          <w:lang w:val="es-ES_tradnl"/>
        </w:rPr>
        <w:t>Eurostat</w:t>
      </w:r>
      <w:proofErr w:type="spellEnd"/>
      <w:r w:rsidRPr="001C16E1">
        <w:rPr>
          <w:rFonts w:asciiTheme="minorHAnsi" w:hAnsiTheme="minorHAnsi" w:cs="Times New Roman"/>
          <w:lang w:val="es-ES_tradnl"/>
        </w:rPr>
        <w:t xml:space="preserve"> tiene criterios disímiles </w:t>
      </w:r>
      <w:r w:rsidR="00855EA3">
        <w:rPr>
          <w:rFonts w:asciiTheme="minorHAnsi" w:hAnsiTheme="minorHAnsi" w:cs="Times New Roman"/>
          <w:lang w:val="es-ES_tradnl"/>
        </w:rPr>
        <w:t>de</w:t>
      </w:r>
      <w:r w:rsidRPr="001C16E1">
        <w:rPr>
          <w:rFonts w:asciiTheme="minorHAnsi" w:hAnsiTheme="minorHAnsi" w:cs="Times New Roman"/>
          <w:lang w:val="es-ES_tradnl"/>
        </w:rPr>
        <w:t xml:space="preserve"> los anteriores, ya que si el operador asume el riesgo de la construcción y de la demanda y no se implementan mecanismos que sustituyan a aquellos riesgos, tales como garantías o financiamiento del Gobierno, el proyecto PPP es considerado privado y no se registran sus activos y pasivos en las cuentas públicas al inicio del proyecto, sólo en los momentos correspondientes a los pagos a efectuar por el Gobierno en el futuro (contabilidad de caja).</w:t>
      </w:r>
    </w:p>
    <w:p w:rsidR="00805031" w:rsidRPr="001C16E1" w:rsidRDefault="005F76F7" w:rsidP="001C16E1">
      <w:pPr>
        <w:jc w:val="both"/>
        <w:rPr>
          <w:rFonts w:asciiTheme="minorHAnsi" w:hAnsiTheme="minorHAnsi" w:cs="Times New Roman"/>
          <w:lang w:val="es-ES_tradnl"/>
        </w:rPr>
      </w:pPr>
      <w:r w:rsidRPr="001C16E1">
        <w:rPr>
          <w:rFonts w:asciiTheme="minorHAnsi" w:hAnsiTheme="minorHAnsi" w:cs="Times New Roman"/>
          <w:lang w:val="es-ES_tradnl"/>
        </w:rPr>
        <w:t xml:space="preserve">La aplicación de estos criterios de </w:t>
      </w:r>
      <w:proofErr w:type="spellStart"/>
      <w:r w:rsidRPr="001C16E1">
        <w:rPr>
          <w:rFonts w:asciiTheme="minorHAnsi" w:hAnsiTheme="minorHAnsi" w:cs="Times New Roman"/>
          <w:lang w:val="es-ES_tradnl"/>
        </w:rPr>
        <w:t>Eurostat</w:t>
      </w:r>
      <w:proofErr w:type="spellEnd"/>
      <w:r w:rsidRPr="001C16E1">
        <w:rPr>
          <w:rFonts w:asciiTheme="minorHAnsi" w:hAnsiTheme="minorHAnsi" w:cs="Times New Roman"/>
          <w:lang w:val="es-ES_tradnl"/>
        </w:rPr>
        <w:t xml:space="preserve"> en muchos países muestran que la mayoría de los pasivos de las PPP quedan fuera de los registros de la deuda y </w:t>
      </w:r>
      <w:r w:rsidR="00855EA3">
        <w:rPr>
          <w:rFonts w:asciiTheme="minorHAnsi" w:hAnsiTheme="minorHAnsi" w:cs="Times New Roman"/>
          <w:lang w:val="es-ES_tradnl"/>
        </w:rPr>
        <w:t>d</w:t>
      </w:r>
      <w:r w:rsidRPr="001C16E1">
        <w:rPr>
          <w:rFonts w:asciiTheme="minorHAnsi" w:hAnsiTheme="minorHAnsi" w:cs="Times New Roman"/>
          <w:lang w:val="es-ES_tradnl"/>
        </w:rPr>
        <w:t xml:space="preserve">el déficit públicos, excepto en los casos que los Gobiernos financian la mayoría o gran parte de las inversiones de las PPP o garantizan </w:t>
      </w:r>
      <w:r w:rsidR="00805031" w:rsidRPr="001C16E1">
        <w:rPr>
          <w:rFonts w:asciiTheme="minorHAnsi" w:hAnsiTheme="minorHAnsi" w:cs="Times New Roman"/>
          <w:lang w:val="es-ES_tradnl"/>
        </w:rPr>
        <w:t>un</w:t>
      </w:r>
      <w:r w:rsidRPr="001C16E1">
        <w:rPr>
          <w:rFonts w:asciiTheme="minorHAnsi" w:hAnsiTheme="minorHAnsi" w:cs="Times New Roman"/>
          <w:lang w:val="es-ES_tradnl"/>
        </w:rPr>
        <w:t xml:space="preserve"> mínimo de ingreso</w:t>
      </w:r>
      <w:r w:rsidR="00805031" w:rsidRPr="001C16E1">
        <w:rPr>
          <w:rFonts w:asciiTheme="minorHAnsi" w:hAnsiTheme="minorHAnsi" w:cs="Times New Roman"/>
          <w:lang w:val="es-ES_tradnl"/>
        </w:rPr>
        <w:t>s</w:t>
      </w:r>
      <w:r w:rsidRPr="001C16E1">
        <w:rPr>
          <w:rFonts w:asciiTheme="minorHAnsi" w:hAnsiTheme="minorHAnsi" w:cs="Times New Roman"/>
          <w:lang w:val="es-ES_tradnl"/>
        </w:rPr>
        <w:t xml:space="preserve"> al operador (</w:t>
      </w:r>
      <w:proofErr w:type="spellStart"/>
      <w:r w:rsidRPr="001C16E1">
        <w:rPr>
          <w:rFonts w:asciiTheme="minorHAnsi" w:hAnsiTheme="minorHAnsi" w:cs="Times New Roman"/>
          <w:lang w:val="es-ES_tradnl"/>
        </w:rPr>
        <w:t>Eurostat</w:t>
      </w:r>
      <w:proofErr w:type="spellEnd"/>
      <w:r w:rsidRPr="001C16E1">
        <w:rPr>
          <w:rFonts w:asciiTheme="minorHAnsi" w:hAnsiTheme="minorHAnsi" w:cs="Times New Roman"/>
          <w:lang w:val="es-ES_tradnl"/>
        </w:rPr>
        <w:t xml:space="preserve"> 2012)</w:t>
      </w:r>
      <w:r w:rsidR="00805031" w:rsidRPr="001C16E1">
        <w:rPr>
          <w:rFonts w:asciiTheme="minorHAnsi" w:hAnsiTheme="minorHAnsi" w:cs="Times New Roman"/>
          <w:lang w:val="es-ES_tradnl"/>
        </w:rPr>
        <w:t>.</w:t>
      </w:r>
    </w:p>
    <w:p w:rsidR="00C847A7" w:rsidRDefault="00805031" w:rsidP="001C16E1">
      <w:pPr>
        <w:jc w:val="both"/>
        <w:rPr>
          <w:rFonts w:asciiTheme="minorHAnsi" w:hAnsiTheme="minorHAnsi" w:cs="Times New Roman"/>
          <w:lang w:val="es-ES_tradnl"/>
        </w:rPr>
      </w:pPr>
      <w:r w:rsidRPr="001C16E1">
        <w:rPr>
          <w:rFonts w:asciiTheme="minorHAnsi" w:hAnsiTheme="minorHAnsi" w:cs="Times New Roman"/>
          <w:lang w:val="es-ES_tradnl"/>
        </w:rPr>
        <w:t xml:space="preserve">Más allá de estas consideraciones, es importante generar información sobre las PPP y en especial sobre </w:t>
      </w:r>
      <w:r w:rsidR="00C51F2E" w:rsidRPr="001C16E1">
        <w:rPr>
          <w:rFonts w:asciiTheme="minorHAnsi" w:hAnsiTheme="minorHAnsi" w:cs="Times New Roman"/>
          <w:lang w:val="es-ES_tradnl"/>
        </w:rPr>
        <w:t xml:space="preserve">los contratos, </w:t>
      </w:r>
      <w:r w:rsidR="00C847A7">
        <w:rPr>
          <w:rFonts w:asciiTheme="minorHAnsi" w:hAnsiTheme="minorHAnsi" w:cs="Times New Roman"/>
          <w:lang w:val="es-ES_tradnl"/>
        </w:rPr>
        <w:t>sus</w:t>
      </w:r>
      <w:r w:rsidRPr="001C16E1">
        <w:rPr>
          <w:rFonts w:asciiTheme="minorHAnsi" w:hAnsiTheme="minorHAnsi" w:cs="Times New Roman"/>
          <w:lang w:val="es-ES_tradnl"/>
        </w:rPr>
        <w:t xml:space="preserve"> proyecciones de gastos e ingresos</w:t>
      </w:r>
      <w:r w:rsidR="00C51F2E" w:rsidRPr="001C16E1">
        <w:rPr>
          <w:rFonts w:asciiTheme="minorHAnsi" w:hAnsiTheme="minorHAnsi" w:cs="Times New Roman"/>
          <w:lang w:val="es-ES_tradnl"/>
        </w:rPr>
        <w:t xml:space="preserve">, costos y riesgos fiscales, entre otros. </w:t>
      </w:r>
    </w:p>
    <w:p w:rsidR="00972C77" w:rsidRDefault="00C51F2E" w:rsidP="00972C77">
      <w:pPr>
        <w:jc w:val="both"/>
        <w:rPr>
          <w:rFonts w:asciiTheme="minorHAnsi" w:hAnsiTheme="minorHAnsi" w:cs="Times New Roman"/>
          <w:lang w:val="es-ES_tradnl"/>
        </w:rPr>
      </w:pPr>
      <w:r w:rsidRPr="001C16E1">
        <w:rPr>
          <w:rFonts w:asciiTheme="minorHAnsi" w:hAnsiTheme="minorHAnsi" w:cs="Times New Roman"/>
          <w:lang w:val="es-ES_tradnl"/>
        </w:rPr>
        <w:t xml:space="preserve">Esta información de las PPP también puede generar indicadores que no se incluyen </w:t>
      </w:r>
      <w:r w:rsidR="00972C77">
        <w:rPr>
          <w:rFonts w:asciiTheme="minorHAnsi" w:hAnsiTheme="minorHAnsi" w:cs="Times New Roman"/>
          <w:lang w:val="es-ES_tradnl"/>
        </w:rPr>
        <w:t xml:space="preserve">habitualmente </w:t>
      </w:r>
      <w:r w:rsidRPr="001C16E1">
        <w:rPr>
          <w:rFonts w:asciiTheme="minorHAnsi" w:hAnsiTheme="minorHAnsi" w:cs="Times New Roman"/>
          <w:lang w:val="es-ES_tradnl"/>
        </w:rPr>
        <w:t>en los presupuestos tradicionales, pero</w:t>
      </w:r>
      <w:r w:rsidR="00C847A7">
        <w:rPr>
          <w:rFonts w:asciiTheme="minorHAnsi" w:hAnsiTheme="minorHAnsi" w:cs="Times New Roman"/>
          <w:lang w:val="es-ES_tradnl"/>
        </w:rPr>
        <w:t xml:space="preserve"> permiten </w:t>
      </w:r>
      <w:r w:rsidRPr="001C16E1">
        <w:rPr>
          <w:rFonts w:asciiTheme="minorHAnsi" w:hAnsiTheme="minorHAnsi" w:cs="Times New Roman"/>
          <w:lang w:val="es-ES_tradnl"/>
        </w:rPr>
        <w:t>agrega</w:t>
      </w:r>
      <w:r w:rsidR="00C847A7">
        <w:rPr>
          <w:rFonts w:asciiTheme="minorHAnsi" w:hAnsiTheme="minorHAnsi" w:cs="Times New Roman"/>
          <w:lang w:val="es-ES_tradnl"/>
        </w:rPr>
        <w:t>r</w:t>
      </w:r>
      <w:r w:rsidRPr="001C16E1">
        <w:rPr>
          <w:rFonts w:asciiTheme="minorHAnsi" w:hAnsiTheme="minorHAnsi" w:cs="Times New Roman"/>
          <w:lang w:val="es-ES_tradnl"/>
        </w:rPr>
        <w:t xml:space="preserve"> el gasto </w:t>
      </w:r>
      <w:r w:rsidR="00C847A7">
        <w:rPr>
          <w:rFonts w:asciiTheme="minorHAnsi" w:hAnsiTheme="minorHAnsi" w:cs="Times New Roman"/>
          <w:lang w:val="es-ES_tradnl"/>
        </w:rPr>
        <w:t>futuro derivado de los proyectos PPP en</w:t>
      </w:r>
      <w:r w:rsidRPr="001C16E1">
        <w:rPr>
          <w:rFonts w:asciiTheme="minorHAnsi" w:hAnsiTheme="minorHAnsi" w:cs="Times New Roman"/>
          <w:lang w:val="es-ES_tradnl"/>
        </w:rPr>
        <w:t xml:space="preserve"> la información del Presupuesto. También </w:t>
      </w:r>
      <w:r w:rsidR="00C847A7">
        <w:rPr>
          <w:rFonts w:asciiTheme="minorHAnsi" w:hAnsiTheme="minorHAnsi" w:cs="Times New Roman"/>
          <w:lang w:val="es-ES_tradnl"/>
        </w:rPr>
        <w:t xml:space="preserve">es importante para el planeamiento presupuestario del </w:t>
      </w:r>
      <w:r w:rsidR="00972C77">
        <w:rPr>
          <w:rFonts w:asciiTheme="minorHAnsi" w:hAnsiTheme="minorHAnsi" w:cs="Times New Roman"/>
          <w:lang w:val="es-ES_tradnl"/>
        </w:rPr>
        <w:t xml:space="preserve">Sector Público </w:t>
      </w:r>
      <w:r w:rsidR="00C847A7">
        <w:rPr>
          <w:rFonts w:asciiTheme="minorHAnsi" w:hAnsiTheme="minorHAnsi" w:cs="Times New Roman"/>
          <w:lang w:val="es-ES_tradnl"/>
        </w:rPr>
        <w:t xml:space="preserve">que se publique la información de las PPP y en especial </w:t>
      </w:r>
      <w:r w:rsidRPr="001C16E1">
        <w:rPr>
          <w:rFonts w:asciiTheme="minorHAnsi" w:hAnsiTheme="minorHAnsi" w:cs="Times New Roman"/>
          <w:lang w:val="es-ES_tradnl"/>
        </w:rPr>
        <w:t>los flujos de caja proyectados, con sus relaciones con las cuentas del sector público</w:t>
      </w:r>
      <w:r w:rsidR="00972C77">
        <w:rPr>
          <w:rFonts w:asciiTheme="minorHAnsi" w:hAnsiTheme="minorHAnsi" w:cs="Times New Roman"/>
          <w:lang w:val="es-ES_tradnl"/>
        </w:rPr>
        <w:t>, dada la relevancia de este tipo de inversiones y compromisos futuros.</w:t>
      </w:r>
    </w:p>
    <w:p w:rsidR="00972C77" w:rsidRDefault="00972C77" w:rsidP="001C16E1">
      <w:pPr>
        <w:jc w:val="both"/>
        <w:rPr>
          <w:rFonts w:asciiTheme="minorHAnsi" w:hAnsiTheme="minorHAnsi" w:cs="Times New Roman"/>
          <w:lang w:val="es-ES_tradnl"/>
        </w:rPr>
      </w:pPr>
      <w:r>
        <w:rPr>
          <w:rFonts w:asciiTheme="minorHAnsi" w:hAnsiTheme="minorHAnsi" w:cs="Times New Roman"/>
          <w:lang w:val="es-ES_tradnl"/>
        </w:rPr>
        <w:t>Por tanto, l</w:t>
      </w:r>
      <w:r w:rsidR="00C51F2E" w:rsidRPr="001C16E1">
        <w:rPr>
          <w:rFonts w:asciiTheme="minorHAnsi" w:hAnsiTheme="minorHAnsi" w:cs="Times New Roman"/>
          <w:lang w:val="es-ES_tradnl"/>
        </w:rPr>
        <w:t xml:space="preserve">a información de estos pasivos </w:t>
      </w:r>
      <w:r>
        <w:rPr>
          <w:rFonts w:asciiTheme="minorHAnsi" w:hAnsiTheme="minorHAnsi" w:cs="Times New Roman"/>
          <w:lang w:val="es-ES_tradnl"/>
        </w:rPr>
        <w:t xml:space="preserve">generados por </w:t>
      </w:r>
      <w:r w:rsidR="00C51F2E" w:rsidRPr="001C16E1">
        <w:rPr>
          <w:rFonts w:asciiTheme="minorHAnsi" w:hAnsiTheme="minorHAnsi" w:cs="Times New Roman"/>
          <w:lang w:val="es-ES_tradnl"/>
        </w:rPr>
        <w:t xml:space="preserve">las PPP </w:t>
      </w:r>
      <w:r w:rsidR="007E40D4" w:rsidRPr="001C16E1">
        <w:rPr>
          <w:rFonts w:asciiTheme="minorHAnsi" w:hAnsiTheme="minorHAnsi" w:cs="Times New Roman"/>
          <w:lang w:val="es-ES_tradnl"/>
        </w:rPr>
        <w:t xml:space="preserve">es importante tenerla en cuenta </w:t>
      </w:r>
      <w:r w:rsidR="00C51F2E" w:rsidRPr="001C16E1">
        <w:rPr>
          <w:rFonts w:asciiTheme="minorHAnsi" w:hAnsiTheme="minorHAnsi" w:cs="Times New Roman"/>
          <w:lang w:val="es-ES_tradnl"/>
        </w:rPr>
        <w:t xml:space="preserve">en </w:t>
      </w:r>
      <w:r>
        <w:rPr>
          <w:rFonts w:asciiTheme="minorHAnsi" w:hAnsiTheme="minorHAnsi" w:cs="Times New Roman"/>
          <w:lang w:val="es-ES_tradnl"/>
        </w:rPr>
        <w:t xml:space="preserve">el </w:t>
      </w:r>
      <w:r w:rsidR="00C51F2E" w:rsidRPr="001C16E1">
        <w:rPr>
          <w:rFonts w:asciiTheme="minorHAnsi" w:hAnsiTheme="minorHAnsi" w:cs="Times New Roman"/>
          <w:lang w:val="es-ES_tradnl"/>
        </w:rPr>
        <w:t xml:space="preserve">análisis de los requerimientos fiscales de mediano plazo, </w:t>
      </w:r>
      <w:r w:rsidR="007E40D4" w:rsidRPr="001C16E1">
        <w:rPr>
          <w:rFonts w:asciiTheme="minorHAnsi" w:hAnsiTheme="minorHAnsi" w:cs="Times New Roman"/>
          <w:lang w:val="es-ES_tradnl"/>
        </w:rPr>
        <w:t>incluyendo los pagos en dicho plazo como déficit a cubrir.</w:t>
      </w:r>
      <w:r w:rsidRPr="00972C77">
        <w:rPr>
          <w:rFonts w:asciiTheme="minorHAnsi" w:hAnsiTheme="minorHAnsi" w:cs="Times New Roman"/>
          <w:lang w:val="es-ES_tradnl"/>
        </w:rPr>
        <w:t xml:space="preserve"> </w:t>
      </w:r>
    </w:p>
    <w:p w:rsidR="009D145F" w:rsidRPr="001C16E1" w:rsidRDefault="007B1891" w:rsidP="001C16E1">
      <w:pPr>
        <w:jc w:val="both"/>
        <w:rPr>
          <w:rFonts w:asciiTheme="minorHAnsi" w:hAnsiTheme="minorHAnsi" w:cs="Times New Roman"/>
          <w:lang w:val="es-ES_tradnl"/>
        </w:rPr>
      </w:pPr>
      <w:r w:rsidRPr="001C16E1">
        <w:rPr>
          <w:rFonts w:asciiTheme="minorHAnsi" w:hAnsiTheme="minorHAnsi" w:cs="Times New Roman"/>
          <w:lang w:val="es-ES_tradnl"/>
        </w:rPr>
        <w:t>Por último, diverso</w:t>
      </w:r>
      <w:r w:rsidR="00F92309">
        <w:rPr>
          <w:rFonts w:asciiTheme="minorHAnsi" w:hAnsiTheme="minorHAnsi" w:cs="Times New Roman"/>
          <w:lang w:val="es-ES_tradnl"/>
        </w:rPr>
        <w:t>s países, entre ellos Uruguay</w:t>
      </w:r>
      <w:r w:rsidRPr="001C16E1">
        <w:rPr>
          <w:rFonts w:asciiTheme="minorHAnsi" w:hAnsiTheme="minorHAnsi" w:cs="Times New Roman"/>
          <w:lang w:val="es-ES_tradnl"/>
        </w:rPr>
        <w:t>, han elegid</w:t>
      </w:r>
      <w:r w:rsidR="008C37D9">
        <w:rPr>
          <w:rFonts w:asciiTheme="minorHAnsi" w:hAnsiTheme="minorHAnsi" w:cs="Times New Roman"/>
          <w:lang w:val="es-ES_tradnl"/>
        </w:rPr>
        <w:t>o la constitución de “techos” a</w:t>
      </w:r>
      <w:r w:rsidRPr="001C16E1">
        <w:rPr>
          <w:rFonts w:asciiTheme="minorHAnsi" w:hAnsiTheme="minorHAnsi" w:cs="Times New Roman"/>
          <w:lang w:val="es-ES_tradnl"/>
        </w:rPr>
        <w:t>l</w:t>
      </w:r>
      <w:r w:rsidR="008C37D9">
        <w:rPr>
          <w:rFonts w:asciiTheme="minorHAnsi" w:hAnsiTheme="minorHAnsi" w:cs="Times New Roman"/>
          <w:lang w:val="es-ES_tradnl"/>
        </w:rPr>
        <w:t xml:space="preserve"> uso de </w:t>
      </w:r>
      <w:proofErr w:type="spellStart"/>
      <w:r w:rsidRPr="001C16E1">
        <w:rPr>
          <w:rFonts w:asciiTheme="minorHAnsi" w:hAnsiTheme="minorHAnsi" w:cs="Times New Roman"/>
          <w:lang w:val="es-ES_tradnl"/>
        </w:rPr>
        <w:t>PPPs</w:t>
      </w:r>
      <w:proofErr w:type="spellEnd"/>
      <w:r w:rsidRPr="001C16E1">
        <w:rPr>
          <w:rFonts w:asciiTheme="minorHAnsi" w:hAnsiTheme="minorHAnsi" w:cs="Times New Roman"/>
          <w:lang w:val="es-ES_tradnl"/>
        </w:rPr>
        <w:t>, que se refier</w:t>
      </w:r>
      <w:r w:rsidR="008C37D9">
        <w:rPr>
          <w:rFonts w:asciiTheme="minorHAnsi" w:hAnsiTheme="minorHAnsi" w:cs="Times New Roman"/>
          <w:lang w:val="es-ES_tradnl"/>
        </w:rPr>
        <w:t>e</w:t>
      </w:r>
      <w:r w:rsidRPr="001C16E1">
        <w:rPr>
          <w:rFonts w:asciiTheme="minorHAnsi" w:hAnsiTheme="minorHAnsi" w:cs="Times New Roman"/>
          <w:lang w:val="es-ES_tradnl"/>
        </w:rPr>
        <w:t xml:space="preserve">n tanto a la inversión inicial, como </w:t>
      </w:r>
      <w:r w:rsidR="008C37D9">
        <w:rPr>
          <w:rFonts w:asciiTheme="minorHAnsi" w:hAnsiTheme="minorHAnsi" w:cs="Times New Roman"/>
          <w:lang w:val="es-ES_tradnl"/>
        </w:rPr>
        <w:t>a</w:t>
      </w:r>
      <w:r w:rsidRPr="001C16E1">
        <w:rPr>
          <w:rFonts w:asciiTheme="minorHAnsi" w:hAnsiTheme="minorHAnsi" w:cs="Times New Roman"/>
          <w:lang w:val="es-ES_tradnl"/>
        </w:rPr>
        <w:t xml:space="preserve">l flujo anual que el Gobierno estaría obligado a pagar al operador. Un techo al flujo anual de pagos permite asegurar que estos se ubiquen en valores controlables para la situación fiscal del país. Por otro lado, un techo al tamaño de los proyectos PPP en su conjunto permite al Gobierno establecer un límite a la exposición a riesgos fiscales y de esta manera también controla los futuros flujo de pagos anuales para hacerlos accesibles.  </w:t>
      </w:r>
    </w:p>
    <w:p w:rsidR="003B4323" w:rsidRPr="001C16E1" w:rsidRDefault="003B4323" w:rsidP="001C16E1">
      <w:pPr>
        <w:jc w:val="both"/>
        <w:rPr>
          <w:rFonts w:asciiTheme="minorHAnsi" w:hAnsiTheme="minorHAnsi" w:cs="Times New Roman"/>
          <w:lang w:val="es-ES_tradnl"/>
        </w:rPr>
      </w:pPr>
      <w:r w:rsidRPr="001C16E1">
        <w:rPr>
          <w:rFonts w:asciiTheme="minorHAnsi" w:hAnsiTheme="minorHAnsi" w:cs="Times New Roman"/>
          <w:lang w:val="es-ES_tradnl"/>
        </w:rPr>
        <w:t xml:space="preserve"> </w:t>
      </w:r>
    </w:p>
    <w:p w:rsidR="00047EAB" w:rsidRDefault="00047EAB" w:rsidP="003B4323">
      <w:pPr>
        <w:pStyle w:val="Heading2"/>
      </w:pPr>
      <w:bookmarkStart w:id="20" w:name="_Toc428464190"/>
      <w:r>
        <w:t>Las PPP en Uruguay</w:t>
      </w:r>
      <w:bookmarkEnd w:id="20"/>
    </w:p>
    <w:p w:rsidR="003B4323" w:rsidRDefault="003B4323" w:rsidP="00746DB5">
      <w:pPr>
        <w:spacing w:after="180" w:line="264" w:lineRule="auto"/>
        <w:jc w:val="both"/>
      </w:pPr>
    </w:p>
    <w:p w:rsidR="00A61E3A" w:rsidRDefault="00047EAB" w:rsidP="00A61E3A">
      <w:pPr>
        <w:spacing w:after="180" w:line="264" w:lineRule="auto"/>
        <w:jc w:val="both"/>
        <w:rPr>
          <w:rFonts w:asciiTheme="minorHAnsi" w:hAnsiTheme="minorHAnsi" w:cs="Times New Roman"/>
          <w:lang w:val="es-ES_tradnl"/>
        </w:rPr>
      </w:pPr>
      <w:r w:rsidRPr="001C16E1">
        <w:rPr>
          <w:rFonts w:asciiTheme="minorHAnsi" w:hAnsiTheme="minorHAnsi" w:cs="Times New Roman"/>
          <w:lang w:val="es-ES_tradnl"/>
        </w:rPr>
        <w:t>En lo</w:t>
      </w:r>
      <w:r w:rsidR="001C16E1" w:rsidRPr="001C16E1">
        <w:rPr>
          <w:rFonts w:asciiTheme="minorHAnsi" w:hAnsiTheme="minorHAnsi" w:cs="Times New Roman"/>
          <w:lang w:val="es-ES_tradnl"/>
        </w:rPr>
        <w:t>s</w:t>
      </w:r>
      <w:r w:rsidRPr="001C16E1">
        <w:rPr>
          <w:rFonts w:asciiTheme="minorHAnsi" w:hAnsiTheme="minorHAnsi" w:cs="Times New Roman"/>
          <w:lang w:val="es-ES_tradnl"/>
        </w:rPr>
        <w:t xml:space="preserve"> capítulo</w:t>
      </w:r>
      <w:r w:rsidR="001C16E1" w:rsidRPr="001C16E1">
        <w:rPr>
          <w:rFonts w:asciiTheme="minorHAnsi" w:hAnsiTheme="minorHAnsi" w:cs="Times New Roman"/>
          <w:lang w:val="es-ES_tradnl"/>
        </w:rPr>
        <w:t>s</w:t>
      </w:r>
      <w:r w:rsidRPr="001C16E1">
        <w:rPr>
          <w:rFonts w:asciiTheme="minorHAnsi" w:hAnsiTheme="minorHAnsi" w:cs="Times New Roman"/>
          <w:lang w:val="es-ES_tradnl"/>
        </w:rPr>
        <w:t xml:space="preserve"> anterio</w:t>
      </w:r>
      <w:r w:rsidR="001C16E1" w:rsidRPr="001C16E1">
        <w:rPr>
          <w:rFonts w:asciiTheme="minorHAnsi" w:hAnsiTheme="minorHAnsi" w:cs="Times New Roman"/>
          <w:lang w:val="es-ES_tradnl"/>
        </w:rPr>
        <w:t>r</w:t>
      </w:r>
      <w:r w:rsidRPr="001C16E1">
        <w:rPr>
          <w:rFonts w:asciiTheme="minorHAnsi" w:hAnsiTheme="minorHAnsi" w:cs="Times New Roman"/>
          <w:lang w:val="es-ES_tradnl"/>
        </w:rPr>
        <w:t>es</w:t>
      </w:r>
      <w:r w:rsidR="00146A8A">
        <w:rPr>
          <w:rFonts w:asciiTheme="minorHAnsi" w:hAnsiTheme="minorHAnsi" w:cs="Times New Roman"/>
          <w:lang w:val="es-ES_tradnl"/>
        </w:rPr>
        <w:t xml:space="preserve">, </w:t>
      </w:r>
      <w:r w:rsidRPr="001C16E1">
        <w:rPr>
          <w:rFonts w:asciiTheme="minorHAnsi" w:hAnsiTheme="minorHAnsi" w:cs="Times New Roman"/>
          <w:lang w:val="es-ES_tradnl"/>
        </w:rPr>
        <w:t>se h</w:t>
      </w:r>
      <w:r w:rsidR="00146A8A">
        <w:rPr>
          <w:rFonts w:asciiTheme="minorHAnsi" w:hAnsiTheme="minorHAnsi" w:cs="Times New Roman"/>
          <w:lang w:val="es-ES_tradnl"/>
        </w:rPr>
        <w:t>a</w:t>
      </w:r>
      <w:r w:rsidRPr="001C16E1">
        <w:rPr>
          <w:rFonts w:asciiTheme="minorHAnsi" w:hAnsiTheme="minorHAnsi" w:cs="Times New Roman"/>
          <w:lang w:val="es-ES_tradnl"/>
        </w:rPr>
        <w:t xml:space="preserve"> analizado la situación económico financiera actual y futura de</w:t>
      </w:r>
      <w:r w:rsidR="00146A8A">
        <w:rPr>
          <w:rFonts w:asciiTheme="minorHAnsi" w:hAnsiTheme="minorHAnsi" w:cs="Times New Roman"/>
          <w:lang w:val="es-ES_tradnl"/>
        </w:rPr>
        <w:t xml:space="preserve"> </w:t>
      </w:r>
      <w:r w:rsidRPr="001C16E1">
        <w:rPr>
          <w:rFonts w:asciiTheme="minorHAnsi" w:hAnsiTheme="minorHAnsi" w:cs="Times New Roman"/>
          <w:lang w:val="es-ES_tradnl"/>
        </w:rPr>
        <w:t>la</w:t>
      </w:r>
      <w:r w:rsidR="00146A8A">
        <w:rPr>
          <w:rFonts w:asciiTheme="minorHAnsi" w:hAnsiTheme="minorHAnsi" w:cs="Times New Roman"/>
          <w:lang w:val="es-ES_tradnl"/>
        </w:rPr>
        <w:t xml:space="preserve"> </w:t>
      </w:r>
      <w:r w:rsidRPr="001C16E1">
        <w:rPr>
          <w:rFonts w:asciiTheme="minorHAnsi" w:hAnsiTheme="minorHAnsi" w:cs="Times New Roman"/>
          <w:lang w:val="es-ES_tradnl"/>
        </w:rPr>
        <w:t>CVU por lo que aquí cen</w:t>
      </w:r>
      <w:r w:rsidR="00146A8A">
        <w:rPr>
          <w:rFonts w:asciiTheme="minorHAnsi" w:hAnsiTheme="minorHAnsi" w:cs="Times New Roman"/>
          <w:lang w:val="es-ES_tradnl"/>
        </w:rPr>
        <w:t>t</w:t>
      </w:r>
      <w:r w:rsidRPr="001C16E1">
        <w:rPr>
          <w:rFonts w:asciiTheme="minorHAnsi" w:hAnsiTheme="minorHAnsi" w:cs="Times New Roman"/>
          <w:lang w:val="es-ES_tradnl"/>
        </w:rPr>
        <w:t>raremos el análisis en</w:t>
      </w:r>
      <w:r w:rsidR="00146A8A">
        <w:rPr>
          <w:rFonts w:asciiTheme="minorHAnsi" w:hAnsiTheme="minorHAnsi" w:cs="Times New Roman"/>
          <w:lang w:val="es-ES_tradnl"/>
        </w:rPr>
        <w:t xml:space="preserve"> </w:t>
      </w:r>
      <w:r w:rsidRPr="001C16E1">
        <w:rPr>
          <w:rFonts w:asciiTheme="minorHAnsi" w:hAnsiTheme="minorHAnsi" w:cs="Times New Roman"/>
          <w:lang w:val="es-ES_tradnl"/>
        </w:rPr>
        <w:t xml:space="preserve">las </w:t>
      </w:r>
      <w:proofErr w:type="spellStart"/>
      <w:r w:rsidR="00146A8A">
        <w:rPr>
          <w:rFonts w:asciiTheme="minorHAnsi" w:hAnsiTheme="minorHAnsi" w:cs="Times New Roman"/>
          <w:lang w:val="es-ES_tradnl"/>
        </w:rPr>
        <w:t>P</w:t>
      </w:r>
      <w:r w:rsidRPr="001C16E1">
        <w:rPr>
          <w:rFonts w:asciiTheme="minorHAnsi" w:hAnsiTheme="minorHAnsi" w:cs="Times New Roman"/>
          <w:lang w:val="es-ES_tradnl"/>
        </w:rPr>
        <w:t>PP</w:t>
      </w:r>
      <w:r w:rsidR="00146A8A">
        <w:rPr>
          <w:rFonts w:asciiTheme="minorHAnsi" w:hAnsiTheme="minorHAnsi" w:cs="Times New Roman"/>
          <w:lang w:val="es-ES_tradnl"/>
        </w:rPr>
        <w:t>s</w:t>
      </w:r>
      <w:proofErr w:type="spellEnd"/>
      <w:r w:rsidRPr="001C16E1">
        <w:rPr>
          <w:rFonts w:asciiTheme="minorHAnsi" w:hAnsiTheme="minorHAnsi" w:cs="Times New Roman"/>
          <w:lang w:val="es-ES_tradnl"/>
        </w:rPr>
        <w:t xml:space="preserve"> que el Gobierno está planificando</w:t>
      </w:r>
      <w:r w:rsidR="00146A8A">
        <w:rPr>
          <w:rFonts w:asciiTheme="minorHAnsi" w:hAnsiTheme="minorHAnsi" w:cs="Times New Roman"/>
          <w:lang w:val="es-ES_tradnl"/>
        </w:rPr>
        <w:t xml:space="preserve"> impulsar</w:t>
      </w:r>
      <w:r w:rsidRPr="001C16E1">
        <w:rPr>
          <w:rFonts w:asciiTheme="minorHAnsi" w:hAnsiTheme="minorHAnsi" w:cs="Times New Roman"/>
          <w:lang w:val="es-ES_tradnl"/>
        </w:rPr>
        <w:t>, dentro de las cuales ya algunas han cumplido un camino importante y se encu</w:t>
      </w:r>
      <w:r w:rsidR="00146A8A">
        <w:rPr>
          <w:rFonts w:asciiTheme="minorHAnsi" w:hAnsiTheme="minorHAnsi" w:cs="Times New Roman"/>
          <w:lang w:val="es-ES_tradnl"/>
        </w:rPr>
        <w:t>e</w:t>
      </w:r>
      <w:r w:rsidRPr="001C16E1">
        <w:rPr>
          <w:rFonts w:asciiTheme="minorHAnsi" w:hAnsiTheme="minorHAnsi" w:cs="Times New Roman"/>
          <w:lang w:val="es-ES_tradnl"/>
        </w:rPr>
        <w:t>ntran</w:t>
      </w:r>
      <w:r w:rsidR="00146A8A">
        <w:rPr>
          <w:rFonts w:asciiTheme="minorHAnsi" w:hAnsiTheme="minorHAnsi" w:cs="Times New Roman"/>
          <w:lang w:val="es-ES_tradnl"/>
        </w:rPr>
        <w:t xml:space="preserve"> </w:t>
      </w:r>
      <w:r w:rsidRPr="001C16E1">
        <w:rPr>
          <w:rFonts w:asciiTheme="minorHAnsi" w:hAnsiTheme="minorHAnsi" w:cs="Times New Roman"/>
          <w:lang w:val="es-ES_tradnl"/>
        </w:rPr>
        <w:t>muy cerca de concretarse</w:t>
      </w:r>
      <w:r w:rsidR="00146A8A">
        <w:rPr>
          <w:rFonts w:asciiTheme="minorHAnsi" w:hAnsiTheme="minorHAnsi" w:cs="Times New Roman"/>
          <w:lang w:val="es-ES_tradnl"/>
        </w:rPr>
        <w:t>.</w:t>
      </w:r>
    </w:p>
    <w:p w:rsidR="00A61E3A" w:rsidRDefault="00A61E3A" w:rsidP="00A61E3A">
      <w:pPr>
        <w:spacing w:after="180" w:line="264" w:lineRule="auto"/>
        <w:jc w:val="both"/>
        <w:rPr>
          <w:rFonts w:asciiTheme="minorHAnsi" w:hAnsiTheme="minorHAnsi" w:cs="Times New Roman"/>
          <w:lang w:val="es-ES_tradnl"/>
        </w:rPr>
      </w:pPr>
      <w:r>
        <w:rPr>
          <w:rFonts w:asciiTheme="minorHAnsi" w:hAnsiTheme="minorHAnsi" w:cs="Times New Roman"/>
          <w:lang w:val="es-ES_tradnl"/>
        </w:rPr>
        <w:t xml:space="preserve">En el caso de Uruguay, </w:t>
      </w:r>
      <w:r w:rsidR="00172AA7">
        <w:rPr>
          <w:rFonts w:asciiTheme="minorHAnsi" w:hAnsiTheme="minorHAnsi" w:cs="Times New Roman"/>
          <w:lang w:val="es-ES_tradnl"/>
        </w:rPr>
        <w:t>la</w:t>
      </w:r>
      <w:r w:rsidR="0061022D">
        <w:rPr>
          <w:rFonts w:asciiTheme="minorHAnsi" w:hAnsiTheme="minorHAnsi" w:cs="Times New Roman"/>
          <w:lang w:val="es-ES_tradnl"/>
        </w:rPr>
        <w:t xml:space="preserve"> realización </w:t>
      </w:r>
      <w:r w:rsidR="0014687D">
        <w:rPr>
          <w:rFonts w:asciiTheme="minorHAnsi" w:hAnsiTheme="minorHAnsi" w:cs="Times New Roman"/>
          <w:lang w:val="es-ES_tradnl"/>
        </w:rPr>
        <w:t>y manejo d</w:t>
      </w:r>
      <w:r w:rsidR="0061022D">
        <w:rPr>
          <w:rFonts w:asciiTheme="minorHAnsi" w:hAnsiTheme="minorHAnsi" w:cs="Times New Roman"/>
          <w:lang w:val="es-ES_tradnl"/>
        </w:rPr>
        <w:t>e</w:t>
      </w:r>
      <w:r w:rsidR="0014687D">
        <w:rPr>
          <w:rFonts w:asciiTheme="minorHAnsi" w:hAnsiTheme="minorHAnsi" w:cs="Times New Roman"/>
          <w:lang w:val="es-ES_tradnl"/>
        </w:rPr>
        <w:t xml:space="preserve"> </w:t>
      </w:r>
      <w:r w:rsidR="0061022D">
        <w:rPr>
          <w:rFonts w:asciiTheme="minorHAnsi" w:hAnsiTheme="minorHAnsi" w:cs="Times New Roman"/>
          <w:lang w:val="es-ES_tradnl"/>
        </w:rPr>
        <w:t>l</w:t>
      </w:r>
      <w:r w:rsidR="0014687D">
        <w:rPr>
          <w:rFonts w:asciiTheme="minorHAnsi" w:hAnsiTheme="minorHAnsi" w:cs="Times New Roman"/>
          <w:lang w:val="es-ES_tradnl"/>
        </w:rPr>
        <w:t xml:space="preserve">os contratos de las </w:t>
      </w:r>
      <w:proofErr w:type="spellStart"/>
      <w:r w:rsidR="0061022D">
        <w:rPr>
          <w:rFonts w:asciiTheme="minorHAnsi" w:hAnsiTheme="minorHAnsi" w:cs="Times New Roman"/>
          <w:lang w:val="es-ES_tradnl"/>
        </w:rPr>
        <w:t>PPP</w:t>
      </w:r>
      <w:r w:rsidR="0014687D">
        <w:rPr>
          <w:rFonts w:asciiTheme="minorHAnsi" w:hAnsiTheme="minorHAnsi" w:cs="Times New Roman"/>
          <w:lang w:val="es-ES_tradnl"/>
        </w:rPr>
        <w:t>s</w:t>
      </w:r>
      <w:proofErr w:type="spellEnd"/>
      <w:r w:rsidR="0061022D">
        <w:rPr>
          <w:rFonts w:asciiTheme="minorHAnsi" w:hAnsiTheme="minorHAnsi" w:cs="Times New Roman"/>
          <w:lang w:val="es-ES_tradnl"/>
        </w:rPr>
        <w:t xml:space="preserve"> está </w:t>
      </w:r>
      <w:r w:rsidR="00172AA7">
        <w:rPr>
          <w:rFonts w:asciiTheme="minorHAnsi" w:hAnsiTheme="minorHAnsi" w:cs="Times New Roman"/>
          <w:lang w:val="es-ES_tradnl"/>
        </w:rPr>
        <w:t>siendo llevado adelante por u</w:t>
      </w:r>
      <w:r w:rsidR="0061022D">
        <w:rPr>
          <w:rFonts w:asciiTheme="minorHAnsi" w:hAnsiTheme="minorHAnsi" w:cs="Times New Roman"/>
          <w:lang w:val="es-ES_tradnl"/>
        </w:rPr>
        <w:t xml:space="preserve">n equipo </w:t>
      </w:r>
      <w:r w:rsidR="00972C77">
        <w:rPr>
          <w:rFonts w:asciiTheme="minorHAnsi" w:hAnsiTheme="minorHAnsi" w:cs="Times New Roman"/>
          <w:lang w:val="es-ES_tradnl"/>
        </w:rPr>
        <w:t>formado por técnico</w:t>
      </w:r>
      <w:r w:rsidR="0061022D">
        <w:rPr>
          <w:rFonts w:asciiTheme="minorHAnsi" w:hAnsiTheme="minorHAnsi" w:cs="Times New Roman"/>
          <w:lang w:val="es-ES_tradnl"/>
        </w:rPr>
        <w:t xml:space="preserve"> </w:t>
      </w:r>
      <w:r w:rsidR="0014687D">
        <w:rPr>
          <w:rFonts w:asciiTheme="minorHAnsi" w:hAnsiTheme="minorHAnsi" w:cs="Times New Roman"/>
          <w:lang w:val="es-ES_tradnl"/>
        </w:rPr>
        <w:t>de</w:t>
      </w:r>
      <w:r w:rsidR="00972C77">
        <w:rPr>
          <w:rFonts w:asciiTheme="minorHAnsi" w:hAnsiTheme="minorHAnsi" w:cs="Times New Roman"/>
          <w:lang w:val="es-ES_tradnl"/>
        </w:rPr>
        <w:t xml:space="preserve"> distintos organismos del</w:t>
      </w:r>
      <w:r w:rsidR="0014687D">
        <w:rPr>
          <w:rFonts w:asciiTheme="minorHAnsi" w:hAnsiTheme="minorHAnsi" w:cs="Times New Roman"/>
          <w:lang w:val="es-ES_tradnl"/>
        </w:rPr>
        <w:t xml:space="preserve"> sector público</w:t>
      </w:r>
      <w:r w:rsidR="00972C77">
        <w:rPr>
          <w:rFonts w:asciiTheme="minorHAnsi" w:hAnsiTheme="minorHAnsi" w:cs="Times New Roman"/>
          <w:lang w:val="es-ES_tradnl"/>
        </w:rPr>
        <w:t>,</w:t>
      </w:r>
      <w:r w:rsidR="0014687D">
        <w:rPr>
          <w:rFonts w:asciiTheme="minorHAnsi" w:hAnsiTheme="minorHAnsi" w:cs="Times New Roman"/>
          <w:lang w:val="es-ES_tradnl"/>
        </w:rPr>
        <w:t xml:space="preserve"> </w:t>
      </w:r>
      <w:r w:rsidR="0061022D">
        <w:rPr>
          <w:rFonts w:asciiTheme="minorHAnsi" w:hAnsiTheme="minorHAnsi" w:cs="Times New Roman"/>
          <w:lang w:val="es-ES_tradnl"/>
        </w:rPr>
        <w:t>que</w:t>
      </w:r>
      <w:r w:rsidR="0014687D">
        <w:rPr>
          <w:rFonts w:asciiTheme="minorHAnsi" w:hAnsiTheme="minorHAnsi" w:cs="Times New Roman"/>
          <w:lang w:val="es-ES_tradnl"/>
        </w:rPr>
        <w:t xml:space="preserve"> se compone de:</w:t>
      </w:r>
      <w:r w:rsidR="0061022D">
        <w:rPr>
          <w:rFonts w:asciiTheme="minorHAnsi" w:hAnsiTheme="minorHAnsi" w:cs="Times New Roman"/>
          <w:lang w:val="es-ES_tradnl"/>
        </w:rPr>
        <w:t xml:space="preserve"> </w:t>
      </w:r>
    </w:p>
    <w:p w:rsidR="00C8104F" w:rsidRPr="001C3FFC" w:rsidRDefault="002D56BD" w:rsidP="001C3FFC">
      <w:pPr>
        <w:pStyle w:val="ListParagraph"/>
        <w:numPr>
          <w:ilvl w:val="0"/>
          <w:numId w:val="26"/>
        </w:numPr>
        <w:spacing w:after="180" w:line="264" w:lineRule="auto"/>
        <w:jc w:val="both"/>
        <w:rPr>
          <w:rFonts w:cs="Times New Roman"/>
          <w:lang w:val="es-ES_tradnl"/>
        </w:rPr>
      </w:pPr>
      <w:r w:rsidRPr="001C3FFC">
        <w:rPr>
          <w:rFonts w:cs="Times New Roman"/>
          <w:lang w:val="es-ES_tradnl"/>
        </w:rPr>
        <w:t xml:space="preserve">Unidad PPP del Ministerio de Economía y Finanzas, que atiende los aspectos presupuestarios, la asignación de riesgos, la </w:t>
      </w:r>
      <w:proofErr w:type="spellStart"/>
      <w:r w:rsidRPr="001C3FFC">
        <w:rPr>
          <w:rFonts w:cs="Times New Roman"/>
          <w:lang w:val="es-ES_tradnl"/>
        </w:rPr>
        <w:t>ba</w:t>
      </w:r>
      <w:r w:rsidR="001C3FFC" w:rsidRPr="001C3FFC">
        <w:rPr>
          <w:rFonts w:cs="Times New Roman"/>
          <w:lang w:val="es-ES_tradnl"/>
        </w:rPr>
        <w:t>n</w:t>
      </w:r>
      <w:r w:rsidRPr="001C3FFC">
        <w:rPr>
          <w:rFonts w:cs="Times New Roman"/>
          <w:lang w:val="es-ES_tradnl"/>
        </w:rPr>
        <w:t>cabilidad</w:t>
      </w:r>
      <w:proofErr w:type="spellEnd"/>
      <w:r w:rsidRPr="001C3FFC">
        <w:rPr>
          <w:rFonts w:cs="Times New Roman"/>
          <w:lang w:val="es-ES_tradnl"/>
        </w:rPr>
        <w:t xml:space="preserve">, </w:t>
      </w:r>
      <w:r w:rsidR="001C3FFC" w:rsidRPr="001C3FFC">
        <w:rPr>
          <w:rFonts w:cs="Times New Roman"/>
          <w:lang w:val="es-ES_tradnl"/>
        </w:rPr>
        <w:t xml:space="preserve">la </w:t>
      </w:r>
      <w:r w:rsidRPr="001C3FFC">
        <w:rPr>
          <w:rFonts w:cs="Times New Roman"/>
          <w:lang w:val="es-ES_tradnl"/>
        </w:rPr>
        <w:t xml:space="preserve">aprobación de los </w:t>
      </w:r>
      <w:r w:rsidR="001C3FFC" w:rsidRPr="001C3FFC">
        <w:rPr>
          <w:rFonts w:cs="Times New Roman"/>
          <w:lang w:val="es-ES_tradnl"/>
        </w:rPr>
        <w:t>e</w:t>
      </w:r>
      <w:r w:rsidRPr="001C3FFC">
        <w:rPr>
          <w:rFonts w:cs="Times New Roman"/>
          <w:lang w:val="es-ES_tradnl"/>
        </w:rPr>
        <w:t xml:space="preserve">studios preliminares y </w:t>
      </w:r>
      <w:r w:rsidR="001C3FFC" w:rsidRPr="001C3FFC">
        <w:rPr>
          <w:rFonts w:cs="Times New Roman"/>
          <w:lang w:val="es-ES_tradnl"/>
        </w:rPr>
        <w:t xml:space="preserve">de </w:t>
      </w:r>
      <w:r w:rsidRPr="001C3FFC">
        <w:rPr>
          <w:rFonts w:cs="Times New Roman"/>
          <w:lang w:val="es-ES_tradnl"/>
        </w:rPr>
        <w:t>los términos contractuales y los aspectos económicos del contrato</w:t>
      </w:r>
      <w:r w:rsidR="001C3FFC" w:rsidRPr="001C3FFC">
        <w:rPr>
          <w:rFonts w:cs="Times New Roman"/>
          <w:lang w:val="es-ES_tradnl"/>
        </w:rPr>
        <w:t>;</w:t>
      </w:r>
    </w:p>
    <w:p w:rsidR="001C3FFC" w:rsidRPr="001C3FFC" w:rsidRDefault="00C8104F" w:rsidP="001C3FFC">
      <w:pPr>
        <w:pStyle w:val="ListParagraph"/>
        <w:numPr>
          <w:ilvl w:val="0"/>
          <w:numId w:val="26"/>
        </w:numPr>
        <w:spacing w:after="180" w:line="264" w:lineRule="auto"/>
        <w:jc w:val="both"/>
        <w:rPr>
          <w:rFonts w:cs="Times New Roman"/>
          <w:lang w:val="es-ES_tradnl"/>
        </w:rPr>
      </w:pPr>
      <w:r w:rsidRPr="001C3FFC">
        <w:rPr>
          <w:rFonts w:cs="Times New Roman"/>
          <w:lang w:val="es-ES_tradnl"/>
        </w:rPr>
        <w:t>Corpora</w:t>
      </w:r>
      <w:r w:rsidR="001C3FFC" w:rsidRPr="001C3FFC">
        <w:rPr>
          <w:rFonts w:cs="Times New Roman"/>
          <w:lang w:val="es-ES_tradnl"/>
        </w:rPr>
        <w:t>ción Nacional para el Desarrollo (CND) que promociona los proyectos PPP, asesora en la identificación, diseño, estudio, selección y contratos y</w:t>
      </w:r>
    </w:p>
    <w:p w:rsidR="00C8104F" w:rsidRPr="001C3FFC" w:rsidRDefault="001C3FFC" w:rsidP="001C3FFC">
      <w:pPr>
        <w:pStyle w:val="ListParagraph"/>
        <w:numPr>
          <w:ilvl w:val="0"/>
          <w:numId w:val="26"/>
        </w:numPr>
        <w:spacing w:after="180" w:line="264" w:lineRule="auto"/>
        <w:jc w:val="both"/>
        <w:rPr>
          <w:rFonts w:cs="Times New Roman"/>
          <w:lang w:val="es-ES_tradnl"/>
        </w:rPr>
      </w:pPr>
      <w:r w:rsidRPr="001C3FFC">
        <w:rPr>
          <w:rFonts w:cs="Times New Roman"/>
          <w:lang w:val="es-ES_tradnl"/>
        </w:rPr>
        <w:t>Oficina de Planificación y Presupuesto (OPP) que aprueba lo</w:t>
      </w:r>
      <w:r>
        <w:rPr>
          <w:rFonts w:cs="Times New Roman"/>
          <w:lang w:val="es-ES_tradnl"/>
        </w:rPr>
        <w:t>s</w:t>
      </w:r>
      <w:r w:rsidRPr="001C3FFC">
        <w:rPr>
          <w:rFonts w:cs="Times New Roman"/>
          <w:lang w:val="es-ES_tradnl"/>
        </w:rPr>
        <w:t xml:space="preserve"> estudio</w:t>
      </w:r>
      <w:r>
        <w:rPr>
          <w:rFonts w:cs="Times New Roman"/>
          <w:lang w:val="es-ES_tradnl"/>
        </w:rPr>
        <w:t>s</w:t>
      </w:r>
      <w:r w:rsidRPr="001C3FFC">
        <w:rPr>
          <w:rFonts w:cs="Times New Roman"/>
          <w:lang w:val="es-ES_tradnl"/>
        </w:rPr>
        <w:t xml:space="preserve"> preliminares y términos contractuales, específicamente </w:t>
      </w:r>
      <w:r>
        <w:rPr>
          <w:rFonts w:cs="Times New Roman"/>
          <w:lang w:val="es-ES_tradnl"/>
        </w:rPr>
        <w:t>r</w:t>
      </w:r>
      <w:r w:rsidRPr="001C3FFC">
        <w:rPr>
          <w:rFonts w:cs="Times New Roman"/>
          <w:lang w:val="es-ES_tradnl"/>
        </w:rPr>
        <w:t>eferidos a los cálculos de impactos socioeconómicos</w:t>
      </w:r>
      <w:r>
        <w:rPr>
          <w:rFonts w:cs="Times New Roman"/>
          <w:lang w:val="es-ES_tradnl"/>
        </w:rPr>
        <w:t>.</w:t>
      </w:r>
    </w:p>
    <w:p w:rsidR="006E0F38" w:rsidRDefault="006E0F38" w:rsidP="006E0F38">
      <w:pPr>
        <w:spacing w:after="180" w:line="264" w:lineRule="auto"/>
        <w:jc w:val="both"/>
        <w:rPr>
          <w:rFonts w:asciiTheme="minorHAnsi" w:hAnsiTheme="minorHAnsi" w:cs="Times New Roman"/>
          <w:lang w:val="es-ES_tradnl"/>
        </w:rPr>
      </w:pPr>
      <w:r>
        <w:rPr>
          <w:rFonts w:asciiTheme="minorHAnsi" w:hAnsiTheme="minorHAnsi" w:cs="Times New Roman"/>
          <w:lang w:val="es-ES_tradnl"/>
        </w:rPr>
        <w:t xml:space="preserve">El proceso de las </w:t>
      </w:r>
      <w:proofErr w:type="spellStart"/>
      <w:r>
        <w:rPr>
          <w:rFonts w:asciiTheme="minorHAnsi" w:hAnsiTheme="minorHAnsi" w:cs="Times New Roman"/>
          <w:lang w:val="es-ES_tradnl"/>
        </w:rPr>
        <w:t>PPPs</w:t>
      </w:r>
      <w:proofErr w:type="spellEnd"/>
      <w:r>
        <w:rPr>
          <w:rFonts w:asciiTheme="minorHAnsi" w:hAnsiTheme="minorHAnsi" w:cs="Times New Roman"/>
          <w:lang w:val="es-ES_tradnl"/>
        </w:rPr>
        <w:t xml:space="preserve"> tiene </w:t>
      </w:r>
      <w:r w:rsidR="007E5B98" w:rsidRPr="006E0F38">
        <w:rPr>
          <w:rFonts w:asciiTheme="minorHAnsi" w:hAnsiTheme="minorHAnsi" w:cs="Times New Roman"/>
          <w:lang w:val="es-ES_tradnl"/>
        </w:rPr>
        <w:t>plazo</w:t>
      </w:r>
      <w:r>
        <w:rPr>
          <w:rFonts w:asciiTheme="minorHAnsi" w:hAnsiTheme="minorHAnsi" w:cs="Times New Roman"/>
          <w:lang w:val="es-ES_tradnl"/>
        </w:rPr>
        <w:t>s</w:t>
      </w:r>
      <w:r w:rsidR="007E5B98" w:rsidRPr="006E0F38">
        <w:rPr>
          <w:rFonts w:asciiTheme="minorHAnsi" w:hAnsiTheme="minorHAnsi" w:cs="Times New Roman"/>
          <w:lang w:val="es-ES_tradnl"/>
        </w:rPr>
        <w:t xml:space="preserve"> </w:t>
      </w:r>
      <w:r>
        <w:rPr>
          <w:rFonts w:asciiTheme="minorHAnsi" w:hAnsiTheme="minorHAnsi" w:cs="Times New Roman"/>
          <w:lang w:val="es-ES_tradnl"/>
        </w:rPr>
        <w:t>relativamente largos</w:t>
      </w:r>
      <w:r w:rsidR="00055980">
        <w:rPr>
          <w:rFonts w:asciiTheme="minorHAnsi" w:hAnsiTheme="minorHAnsi" w:cs="Times New Roman"/>
          <w:lang w:val="es-ES_tradnl"/>
        </w:rPr>
        <w:t>, lo cual obede</w:t>
      </w:r>
      <w:r>
        <w:rPr>
          <w:rFonts w:asciiTheme="minorHAnsi" w:hAnsiTheme="minorHAnsi" w:cs="Times New Roman"/>
          <w:lang w:val="es-ES_tradnl"/>
        </w:rPr>
        <w:t xml:space="preserve">ce a que deban cumplirse los siguientes pasos para asegurar la bondad del proyecto y </w:t>
      </w:r>
      <w:r w:rsidR="00172AA7">
        <w:rPr>
          <w:rFonts w:asciiTheme="minorHAnsi" w:hAnsiTheme="minorHAnsi" w:cs="Times New Roman"/>
          <w:lang w:val="es-ES_tradnl"/>
        </w:rPr>
        <w:t>de</w:t>
      </w:r>
      <w:r>
        <w:rPr>
          <w:rFonts w:asciiTheme="minorHAnsi" w:hAnsiTheme="minorHAnsi" w:cs="Times New Roman"/>
          <w:lang w:val="es-ES_tradnl"/>
        </w:rPr>
        <w:t xml:space="preserve"> los objetivos para los cuales se elabora. </w:t>
      </w:r>
    </w:p>
    <w:p w:rsidR="006E0F38" w:rsidRDefault="006E0F38" w:rsidP="006E0F38">
      <w:pPr>
        <w:spacing w:after="180" w:line="264" w:lineRule="auto"/>
        <w:jc w:val="both"/>
        <w:rPr>
          <w:rFonts w:asciiTheme="minorHAnsi" w:hAnsiTheme="minorHAnsi" w:cs="Times New Roman"/>
          <w:lang w:val="es-ES_tradnl"/>
        </w:rPr>
      </w:pPr>
      <w:r>
        <w:rPr>
          <w:rFonts w:asciiTheme="minorHAnsi" w:hAnsiTheme="minorHAnsi" w:cs="Times New Roman"/>
          <w:lang w:val="es-ES_tradnl"/>
        </w:rPr>
        <w:t>Estos plazo</w:t>
      </w:r>
      <w:r w:rsidR="00886832">
        <w:rPr>
          <w:rFonts w:asciiTheme="minorHAnsi" w:hAnsiTheme="minorHAnsi" w:cs="Times New Roman"/>
          <w:lang w:val="es-ES_tradnl"/>
        </w:rPr>
        <w:t>s</w:t>
      </w:r>
      <w:r>
        <w:rPr>
          <w:rFonts w:asciiTheme="minorHAnsi" w:hAnsiTheme="minorHAnsi" w:cs="Times New Roman"/>
          <w:lang w:val="es-ES_tradnl"/>
        </w:rPr>
        <w:t xml:space="preserve"> corresponden</w:t>
      </w:r>
      <w:r w:rsidR="00886832">
        <w:rPr>
          <w:rFonts w:asciiTheme="minorHAnsi" w:hAnsiTheme="minorHAnsi" w:cs="Times New Roman"/>
          <w:lang w:val="es-ES_tradnl"/>
        </w:rPr>
        <w:t xml:space="preserve"> a los siguientes pasos</w:t>
      </w:r>
      <w:r>
        <w:rPr>
          <w:rFonts w:asciiTheme="minorHAnsi" w:hAnsiTheme="minorHAnsi" w:cs="Times New Roman"/>
          <w:lang w:val="es-ES_tradnl"/>
        </w:rPr>
        <w:t>:</w:t>
      </w:r>
      <w:r w:rsidRPr="006E0F38">
        <w:rPr>
          <w:rFonts w:asciiTheme="minorHAnsi" w:hAnsiTheme="minorHAnsi" w:cs="Times New Roman"/>
          <w:lang w:val="es-ES_tradnl"/>
        </w:rPr>
        <w:t xml:space="preserve"> </w:t>
      </w:r>
    </w:p>
    <w:p w:rsidR="006E0F38" w:rsidRPr="00886832" w:rsidRDefault="006E0F38" w:rsidP="00886832">
      <w:pPr>
        <w:pStyle w:val="ListParagraph"/>
        <w:numPr>
          <w:ilvl w:val="0"/>
          <w:numId w:val="30"/>
        </w:numPr>
        <w:spacing w:after="180" w:line="264" w:lineRule="auto"/>
        <w:jc w:val="both"/>
        <w:rPr>
          <w:rFonts w:cs="Times New Roman"/>
          <w:lang w:val="es-ES_tradnl"/>
        </w:rPr>
      </w:pPr>
      <w:r w:rsidRPr="00886832">
        <w:rPr>
          <w:rFonts w:cs="Times New Roman"/>
          <w:lang w:val="es-ES_tradnl"/>
        </w:rPr>
        <w:t>iniciativa pública o privada,</w:t>
      </w:r>
    </w:p>
    <w:p w:rsidR="006E0F38" w:rsidRPr="00886832" w:rsidRDefault="006E0F38" w:rsidP="00886832">
      <w:pPr>
        <w:pStyle w:val="ListParagraph"/>
        <w:numPr>
          <w:ilvl w:val="0"/>
          <w:numId w:val="30"/>
        </w:numPr>
        <w:spacing w:after="180" w:line="264" w:lineRule="auto"/>
        <w:jc w:val="both"/>
        <w:rPr>
          <w:rFonts w:cs="Times New Roman"/>
          <w:lang w:val="es-ES_tradnl"/>
        </w:rPr>
      </w:pPr>
      <w:r w:rsidRPr="00886832">
        <w:rPr>
          <w:rFonts w:cs="Times New Roman"/>
          <w:lang w:val="es-ES_tradnl"/>
        </w:rPr>
        <w:t xml:space="preserve">evaluación preliminar, </w:t>
      </w:r>
    </w:p>
    <w:p w:rsidR="006E0F38" w:rsidRPr="00886832" w:rsidRDefault="006E0F38" w:rsidP="00886832">
      <w:pPr>
        <w:pStyle w:val="ListParagraph"/>
        <w:numPr>
          <w:ilvl w:val="0"/>
          <w:numId w:val="30"/>
        </w:numPr>
        <w:spacing w:after="180" w:line="264" w:lineRule="auto"/>
        <w:jc w:val="both"/>
        <w:rPr>
          <w:rFonts w:cs="Times New Roman"/>
          <w:lang w:val="es-ES_tradnl"/>
        </w:rPr>
      </w:pPr>
      <w:r w:rsidRPr="00886832">
        <w:rPr>
          <w:rFonts w:cs="Times New Roman"/>
          <w:lang w:val="es-ES_tradnl"/>
        </w:rPr>
        <w:t>presentación de estudios de estudios preliminares de valoración y términos contractuales,</w:t>
      </w:r>
    </w:p>
    <w:p w:rsidR="006E0F38" w:rsidRPr="00886832" w:rsidRDefault="006E0F38" w:rsidP="00886832">
      <w:pPr>
        <w:pStyle w:val="ListParagraph"/>
        <w:numPr>
          <w:ilvl w:val="0"/>
          <w:numId w:val="30"/>
        </w:numPr>
        <w:spacing w:after="180" w:line="264" w:lineRule="auto"/>
        <w:jc w:val="both"/>
        <w:rPr>
          <w:rFonts w:cs="Times New Roman"/>
          <w:lang w:val="es-ES_tradnl"/>
        </w:rPr>
      </w:pPr>
      <w:r w:rsidRPr="00886832">
        <w:rPr>
          <w:rFonts w:cs="Times New Roman"/>
          <w:lang w:val="es-ES_tradnl"/>
        </w:rPr>
        <w:t xml:space="preserve">aprobación de términos contractuales, </w:t>
      </w:r>
    </w:p>
    <w:p w:rsidR="006E0F38" w:rsidRPr="00886832" w:rsidRDefault="006E0F38" w:rsidP="00886832">
      <w:pPr>
        <w:pStyle w:val="ListParagraph"/>
        <w:numPr>
          <w:ilvl w:val="0"/>
          <w:numId w:val="30"/>
        </w:numPr>
        <w:spacing w:after="180" w:line="264" w:lineRule="auto"/>
        <w:jc w:val="both"/>
        <w:rPr>
          <w:rFonts w:cs="Times New Roman"/>
          <w:lang w:val="es-ES_tradnl"/>
        </w:rPr>
      </w:pPr>
      <w:r w:rsidRPr="00886832">
        <w:rPr>
          <w:rFonts w:cs="Times New Roman"/>
          <w:lang w:val="es-ES_tradnl"/>
        </w:rPr>
        <w:t>convocatoria pública de la licitación,</w:t>
      </w:r>
    </w:p>
    <w:p w:rsidR="006E0F38" w:rsidRPr="00886832" w:rsidRDefault="006E0F38" w:rsidP="00886832">
      <w:pPr>
        <w:pStyle w:val="ListParagraph"/>
        <w:numPr>
          <w:ilvl w:val="0"/>
          <w:numId w:val="30"/>
        </w:numPr>
        <w:spacing w:after="180" w:line="264" w:lineRule="auto"/>
        <w:jc w:val="both"/>
        <w:rPr>
          <w:rFonts w:cs="Times New Roman"/>
          <w:lang w:val="es-ES_tradnl"/>
        </w:rPr>
      </w:pPr>
      <w:r w:rsidRPr="00886832">
        <w:rPr>
          <w:rFonts w:cs="Times New Roman"/>
          <w:lang w:val="es-ES_tradnl"/>
        </w:rPr>
        <w:t>presentación de la licitación,</w:t>
      </w:r>
    </w:p>
    <w:p w:rsidR="006E0F38" w:rsidRPr="00886832" w:rsidRDefault="006E0F38" w:rsidP="00886832">
      <w:pPr>
        <w:pStyle w:val="ListParagraph"/>
        <w:numPr>
          <w:ilvl w:val="0"/>
          <w:numId w:val="30"/>
        </w:numPr>
        <w:spacing w:after="180" w:line="264" w:lineRule="auto"/>
        <w:jc w:val="both"/>
        <w:rPr>
          <w:rFonts w:cs="Times New Roman"/>
          <w:lang w:val="es-ES_tradnl"/>
        </w:rPr>
      </w:pPr>
      <w:r w:rsidRPr="00886832">
        <w:rPr>
          <w:rFonts w:cs="Times New Roman"/>
          <w:lang w:val="es-ES_tradnl"/>
        </w:rPr>
        <w:t xml:space="preserve">valoración de la licitación, </w:t>
      </w:r>
    </w:p>
    <w:p w:rsidR="006E0F38" w:rsidRPr="00886832" w:rsidRDefault="006E0F38" w:rsidP="00886832">
      <w:pPr>
        <w:pStyle w:val="ListParagraph"/>
        <w:numPr>
          <w:ilvl w:val="0"/>
          <w:numId w:val="30"/>
        </w:numPr>
        <w:spacing w:after="180" w:line="264" w:lineRule="auto"/>
        <w:jc w:val="both"/>
        <w:rPr>
          <w:rFonts w:cs="Times New Roman"/>
          <w:lang w:val="es-ES_tradnl"/>
        </w:rPr>
      </w:pPr>
      <w:r w:rsidRPr="00886832">
        <w:rPr>
          <w:rFonts w:cs="Times New Roman"/>
          <w:lang w:val="es-ES_tradnl"/>
        </w:rPr>
        <w:t xml:space="preserve">adjudicación provisional y </w:t>
      </w:r>
    </w:p>
    <w:p w:rsidR="006E0F38" w:rsidRPr="00886832" w:rsidRDefault="006E0F38" w:rsidP="00886832">
      <w:pPr>
        <w:pStyle w:val="ListParagraph"/>
        <w:numPr>
          <w:ilvl w:val="0"/>
          <w:numId w:val="30"/>
        </w:numPr>
        <w:spacing w:after="180" w:line="264" w:lineRule="auto"/>
        <w:jc w:val="both"/>
        <w:rPr>
          <w:rFonts w:cs="Times New Roman"/>
          <w:lang w:val="es-ES_tradnl"/>
        </w:rPr>
      </w:pPr>
      <w:r w:rsidRPr="00886832">
        <w:rPr>
          <w:rFonts w:cs="Times New Roman"/>
          <w:lang w:val="es-ES_tradnl"/>
        </w:rPr>
        <w:t xml:space="preserve">adjudicación definitiva. </w:t>
      </w:r>
    </w:p>
    <w:p w:rsidR="00055980" w:rsidRDefault="006E0F38" w:rsidP="006E0F38">
      <w:pPr>
        <w:spacing w:after="180" w:line="264" w:lineRule="auto"/>
        <w:jc w:val="both"/>
        <w:rPr>
          <w:rFonts w:asciiTheme="minorHAnsi" w:hAnsiTheme="minorHAnsi" w:cs="Times New Roman"/>
          <w:lang w:val="es-ES_tradnl"/>
        </w:rPr>
      </w:pPr>
      <w:r>
        <w:rPr>
          <w:rFonts w:asciiTheme="minorHAnsi" w:hAnsiTheme="minorHAnsi" w:cs="Times New Roman"/>
          <w:lang w:val="es-ES_tradnl"/>
        </w:rPr>
        <w:t>Debe tenerse en cuenta que lo</w:t>
      </w:r>
      <w:r w:rsidR="00FC359B">
        <w:rPr>
          <w:rFonts w:asciiTheme="minorHAnsi" w:hAnsiTheme="minorHAnsi" w:cs="Times New Roman"/>
          <w:lang w:val="es-ES_tradnl"/>
        </w:rPr>
        <w:t>s</w:t>
      </w:r>
      <w:r>
        <w:rPr>
          <w:rFonts w:asciiTheme="minorHAnsi" w:hAnsiTheme="minorHAnsi" w:cs="Times New Roman"/>
          <w:lang w:val="es-ES_tradnl"/>
        </w:rPr>
        <w:t xml:space="preserve"> pl</w:t>
      </w:r>
      <w:r w:rsidR="00FC359B">
        <w:rPr>
          <w:rFonts w:asciiTheme="minorHAnsi" w:hAnsiTheme="minorHAnsi" w:cs="Times New Roman"/>
          <w:lang w:val="es-ES_tradnl"/>
        </w:rPr>
        <w:t>a</w:t>
      </w:r>
      <w:r>
        <w:rPr>
          <w:rFonts w:asciiTheme="minorHAnsi" w:hAnsiTheme="minorHAnsi" w:cs="Times New Roman"/>
          <w:lang w:val="es-ES_tradnl"/>
        </w:rPr>
        <w:t>zos de</w:t>
      </w:r>
      <w:r w:rsidR="00FC359B">
        <w:rPr>
          <w:rFonts w:asciiTheme="minorHAnsi" w:hAnsiTheme="minorHAnsi" w:cs="Times New Roman"/>
          <w:lang w:val="es-ES_tradnl"/>
        </w:rPr>
        <w:t xml:space="preserve"> </w:t>
      </w:r>
      <w:r>
        <w:rPr>
          <w:rFonts w:asciiTheme="minorHAnsi" w:hAnsiTheme="minorHAnsi" w:cs="Times New Roman"/>
          <w:lang w:val="es-ES_tradnl"/>
        </w:rPr>
        <w:t>la licitación</w:t>
      </w:r>
      <w:r w:rsidR="00FC359B">
        <w:rPr>
          <w:rFonts w:asciiTheme="minorHAnsi" w:hAnsiTheme="minorHAnsi" w:cs="Times New Roman"/>
          <w:lang w:val="es-ES_tradnl"/>
        </w:rPr>
        <w:t>, la adjudicación provisoria</w:t>
      </w:r>
      <w:r w:rsidR="00F864FC">
        <w:rPr>
          <w:rFonts w:asciiTheme="minorHAnsi" w:hAnsiTheme="minorHAnsi" w:cs="Times New Roman"/>
          <w:lang w:val="es-ES_tradnl"/>
        </w:rPr>
        <w:t>,</w:t>
      </w:r>
      <w:r w:rsidR="00FC359B">
        <w:rPr>
          <w:rFonts w:asciiTheme="minorHAnsi" w:hAnsiTheme="minorHAnsi" w:cs="Times New Roman"/>
          <w:lang w:val="es-ES_tradnl"/>
        </w:rPr>
        <w:t xml:space="preserve"> para que se elabore el arreglo financiero</w:t>
      </w:r>
      <w:r w:rsidR="00F864FC">
        <w:rPr>
          <w:rFonts w:asciiTheme="minorHAnsi" w:hAnsiTheme="minorHAnsi" w:cs="Times New Roman"/>
          <w:lang w:val="es-ES_tradnl"/>
        </w:rPr>
        <w:t>,</w:t>
      </w:r>
      <w:r w:rsidR="00FC359B">
        <w:rPr>
          <w:rFonts w:asciiTheme="minorHAnsi" w:hAnsiTheme="minorHAnsi" w:cs="Times New Roman"/>
          <w:lang w:val="es-ES_tradnl"/>
        </w:rPr>
        <w:t xml:space="preserve"> y la definitiva </w:t>
      </w:r>
      <w:r w:rsidR="00F864FC">
        <w:rPr>
          <w:rFonts w:asciiTheme="minorHAnsi" w:hAnsiTheme="minorHAnsi" w:cs="Times New Roman"/>
          <w:lang w:val="es-ES_tradnl"/>
        </w:rPr>
        <w:t xml:space="preserve">insumen no </w:t>
      </w:r>
      <w:r w:rsidR="00FC359B">
        <w:rPr>
          <w:rFonts w:asciiTheme="minorHAnsi" w:hAnsiTheme="minorHAnsi" w:cs="Times New Roman"/>
          <w:lang w:val="es-ES_tradnl"/>
        </w:rPr>
        <w:t xml:space="preserve">menos de seis meses cada uno, </w:t>
      </w:r>
      <w:r w:rsidRPr="006E0F38">
        <w:rPr>
          <w:rFonts w:asciiTheme="minorHAnsi" w:hAnsiTheme="minorHAnsi" w:cs="Times New Roman"/>
          <w:lang w:val="es-ES_tradnl"/>
        </w:rPr>
        <w:t xml:space="preserve">para luego </w:t>
      </w:r>
      <w:r w:rsidR="00FC359B">
        <w:rPr>
          <w:rFonts w:asciiTheme="minorHAnsi" w:hAnsiTheme="minorHAnsi" w:cs="Times New Roman"/>
          <w:lang w:val="es-ES_tradnl"/>
        </w:rPr>
        <w:t xml:space="preserve">iniciar </w:t>
      </w:r>
      <w:r w:rsidRPr="006E0F38">
        <w:rPr>
          <w:rFonts w:asciiTheme="minorHAnsi" w:hAnsiTheme="minorHAnsi" w:cs="Times New Roman"/>
          <w:lang w:val="es-ES_tradnl"/>
        </w:rPr>
        <w:t>la construcción cuyo plazo corresponde a cada proyecto</w:t>
      </w:r>
      <w:r w:rsidR="00FC359B">
        <w:rPr>
          <w:rFonts w:asciiTheme="minorHAnsi" w:hAnsiTheme="minorHAnsi" w:cs="Times New Roman"/>
          <w:lang w:val="es-ES_tradnl"/>
        </w:rPr>
        <w:t xml:space="preserve">, aunque en obras viales podría </w:t>
      </w:r>
      <w:r w:rsidR="00972C77">
        <w:rPr>
          <w:rFonts w:asciiTheme="minorHAnsi" w:hAnsiTheme="minorHAnsi" w:cs="Times New Roman"/>
          <w:lang w:val="es-ES_tradnl"/>
        </w:rPr>
        <w:t xml:space="preserve">estimarse en el orden de los </w:t>
      </w:r>
      <w:r w:rsidR="00FC359B">
        <w:rPr>
          <w:rFonts w:asciiTheme="minorHAnsi" w:hAnsiTheme="minorHAnsi" w:cs="Times New Roman"/>
          <w:lang w:val="es-ES_tradnl"/>
        </w:rPr>
        <w:t>dos años.</w:t>
      </w:r>
      <w:r w:rsidRPr="006E0F38">
        <w:rPr>
          <w:rFonts w:asciiTheme="minorHAnsi" w:hAnsiTheme="minorHAnsi" w:cs="Times New Roman"/>
          <w:lang w:val="es-ES_tradnl"/>
        </w:rPr>
        <w:t xml:space="preserve"> Se está </w:t>
      </w:r>
      <w:r w:rsidR="00FC359B">
        <w:rPr>
          <w:rFonts w:asciiTheme="minorHAnsi" w:hAnsiTheme="minorHAnsi" w:cs="Times New Roman"/>
          <w:lang w:val="es-ES_tradnl"/>
        </w:rPr>
        <w:t>elaborando</w:t>
      </w:r>
      <w:r w:rsidRPr="006E0F38">
        <w:rPr>
          <w:rFonts w:asciiTheme="minorHAnsi" w:hAnsiTheme="minorHAnsi" w:cs="Times New Roman"/>
          <w:lang w:val="es-ES_tradnl"/>
        </w:rPr>
        <w:t xml:space="preserve"> un decreto para hacer el proceso </w:t>
      </w:r>
      <w:r w:rsidR="00FC359B">
        <w:rPr>
          <w:rFonts w:asciiTheme="minorHAnsi" w:hAnsiTheme="minorHAnsi" w:cs="Times New Roman"/>
          <w:lang w:val="es-ES_tradnl"/>
        </w:rPr>
        <w:t>más</w:t>
      </w:r>
      <w:r w:rsidRPr="006E0F38">
        <w:rPr>
          <w:rFonts w:asciiTheme="minorHAnsi" w:hAnsiTheme="minorHAnsi" w:cs="Times New Roman"/>
          <w:lang w:val="es-ES_tradnl"/>
        </w:rPr>
        <w:t xml:space="preserve"> eficiente y  </w:t>
      </w:r>
      <w:r w:rsidR="00FC359B">
        <w:rPr>
          <w:rFonts w:asciiTheme="minorHAnsi" w:hAnsiTheme="minorHAnsi" w:cs="Times New Roman"/>
          <w:lang w:val="es-ES_tradnl"/>
        </w:rPr>
        <w:t xml:space="preserve">reducirlo </w:t>
      </w:r>
      <w:r w:rsidRPr="006E0F38">
        <w:rPr>
          <w:rFonts w:asciiTheme="minorHAnsi" w:hAnsiTheme="minorHAnsi" w:cs="Times New Roman"/>
          <w:lang w:val="es-ES_tradnl"/>
        </w:rPr>
        <w:t xml:space="preserve">a 3 años, </w:t>
      </w:r>
      <w:r w:rsidR="00FC359B">
        <w:rPr>
          <w:rFonts w:asciiTheme="minorHAnsi" w:hAnsiTheme="minorHAnsi" w:cs="Times New Roman"/>
          <w:lang w:val="es-ES_tradnl"/>
        </w:rPr>
        <w:t xml:space="preserve">estableciendo </w:t>
      </w:r>
      <w:r w:rsidRPr="006E0F38">
        <w:rPr>
          <w:rFonts w:asciiTheme="minorHAnsi" w:hAnsiTheme="minorHAnsi" w:cs="Times New Roman"/>
          <w:lang w:val="es-ES_tradnl"/>
        </w:rPr>
        <w:t>plazos máximos.</w:t>
      </w:r>
      <w:r w:rsidR="00FC359B">
        <w:rPr>
          <w:rFonts w:asciiTheme="minorHAnsi" w:hAnsiTheme="minorHAnsi" w:cs="Times New Roman"/>
          <w:lang w:val="es-ES_tradnl"/>
        </w:rPr>
        <w:t xml:space="preserve"> </w:t>
      </w:r>
    </w:p>
    <w:p w:rsidR="007E5B98" w:rsidRPr="006E0F38" w:rsidRDefault="006E0F38" w:rsidP="006E0F38">
      <w:pPr>
        <w:spacing w:after="180" w:line="264" w:lineRule="auto"/>
        <w:jc w:val="both"/>
        <w:rPr>
          <w:rFonts w:asciiTheme="minorHAnsi" w:hAnsiTheme="minorHAnsi" w:cs="Times New Roman"/>
          <w:lang w:val="es-ES_tradnl"/>
        </w:rPr>
      </w:pPr>
      <w:r>
        <w:rPr>
          <w:rFonts w:asciiTheme="minorHAnsi" w:hAnsiTheme="minorHAnsi" w:cs="Times New Roman"/>
          <w:lang w:val="es-ES_tradnl"/>
        </w:rPr>
        <w:t>El primer proyecto PP</w:t>
      </w:r>
      <w:r w:rsidR="00FC359B">
        <w:rPr>
          <w:rFonts w:asciiTheme="minorHAnsi" w:hAnsiTheme="minorHAnsi" w:cs="Times New Roman"/>
          <w:lang w:val="es-ES_tradnl"/>
        </w:rPr>
        <w:t xml:space="preserve">P correspondió </w:t>
      </w:r>
      <w:r w:rsidR="00F864FC">
        <w:rPr>
          <w:rFonts w:asciiTheme="minorHAnsi" w:hAnsiTheme="minorHAnsi" w:cs="Times New Roman"/>
          <w:lang w:val="es-ES_tradnl"/>
        </w:rPr>
        <w:t>a</w:t>
      </w:r>
      <w:r w:rsidR="00972C77">
        <w:rPr>
          <w:rFonts w:asciiTheme="minorHAnsi" w:hAnsiTheme="minorHAnsi" w:cs="Times New Roman"/>
          <w:lang w:val="es-ES_tradnl"/>
        </w:rPr>
        <w:t>l de</w:t>
      </w:r>
      <w:r w:rsidR="00F864FC">
        <w:rPr>
          <w:rFonts w:asciiTheme="minorHAnsi" w:hAnsiTheme="minorHAnsi" w:cs="Times New Roman"/>
          <w:lang w:val="es-ES_tradnl"/>
        </w:rPr>
        <w:t xml:space="preserve"> </w:t>
      </w:r>
      <w:r w:rsidR="00FC359B">
        <w:rPr>
          <w:rFonts w:asciiTheme="minorHAnsi" w:hAnsiTheme="minorHAnsi" w:cs="Times New Roman"/>
          <w:lang w:val="es-ES_tradnl"/>
        </w:rPr>
        <w:t xml:space="preserve">la cárcel de Punta de Rieles, donde </w:t>
      </w:r>
      <w:r w:rsidR="007E5B98" w:rsidRPr="006E0F38">
        <w:rPr>
          <w:rFonts w:asciiTheme="minorHAnsi" w:hAnsiTheme="minorHAnsi" w:cs="Times New Roman"/>
          <w:lang w:val="es-ES_tradnl"/>
        </w:rPr>
        <w:t>el proceso desde la i</w:t>
      </w:r>
      <w:r w:rsidR="00F864FC">
        <w:rPr>
          <w:rFonts w:asciiTheme="minorHAnsi" w:hAnsiTheme="minorHAnsi" w:cs="Times New Roman"/>
          <w:lang w:val="es-ES_tradnl"/>
        </w:rPr>
        <w:t xml:space="preserve">niciativa </w:t>
      </w:r>
      <w:r w:rsidR="007E5B98" w:rsidRPr="006E0F38">
        <w:rPr>
          <w:rFonts w:asciiTheme="minorHAnsi" w:hAnsiTheme="minorHAnsi" w:cs="Times New Roman"/>
          <w:lang w:val="es-ES_tradnl"/>
        </w:rPr>
        <w:t>hasta la adjudicació</w:t>
      </w:r>
      <w:r w:rsidR="00FC359B">
        <w:rPr>
          <w:rFonts w:asciiTheme="minorHAnsi" w:hAnsiTheme="minorHAnsi" w:cs="Times New Roman"/>
          <w:lang w:val="es-ES_tradnl"/>
        </w:rPr>
        <w:t>n</w:t>
      </w:r>
      <w:r w:rsidR="007E5B98" w:rsidRPr="006E0F38">
        <w:rPr>
          <w:rFonts w:asciiTheme="minorHAnsi" w:hAnsiTheme="minorHAnsi" w:cs="Times New Roman"/>
          <w:lang w:val="es-ES_tradnl"/>
        </w:rPr>
        <w:t xml:space="preserve"> fue de 4 años y medi</w:t>
      </w:r>
      <w:r w:rsidR="00FC359B">
        <w:rPr>
          <w:rFonts w:asciiTheme="minorHAnsi" w:hAnsiTheme="minorHAnsi" w:cs="Times New Roman"/>
          <w:lang w:val="es-ES_tradnl"/>
        </w:rPr>
        <w:t>o</w:t>
      </w:r>
      <w:r w:rsidR="007E5B98" w:rsidRPr="006E0F38">
        <w:rPr>
          <w:rFonts w:asciiTheme="minorHAnsi" w:hAnsiTheme="minorHAnsi" w:cs="Times New Roman"/>
          <w:lang w:val="es-ES_tradnl"/>
        </w:rPr>
        <w:t xml:space="preserve">. Estos plazos </w:t>
      </w:r>
      <w:r w:rsidR="00FC359B">
        <w:rPr>
          <w:rFonts w:asciiTheme="minorHAnsi" w:hAnsiTheme="minorHAnsi" w:cs="Times New Roman"/>
          <w:lang w:val="es-ES_tradnl"/>
        </w:rPr>
        <w:t>n</w:t>
      </w:r>
      <w:r w:rsidR="007E5B98" w:rsidRPr="006E0F38">
        <w:rPr>
          <w:rFonts w:asciiTheme="minorHAnsi" w:hAnsiTheme="minorHAnsi" w:cs="Times New Roman"/>
          <w:lang w:val="es-ES_tradnl"/>
        </w:rPr>
        <w:t xml:space="preserve">o son </w:t>
      </w:r>
      <w:r w:rsidR="00FC359B">
        <w:rPr>
          <w:rFonts w:asciiTheme="minorHAnsi" w:hAnsiTheme="minorHAnsi" w:cs="Times New Roman"/>
          <w:lang w:val="es-ES_tradnl"/>
        </w:rPr>
        <w:t xml:space="preserve">muy </w:t>
      </w:r>
      <w:r w:rsidR="007E5B98" w:rsidRPr="006E0F38">
        <w:rPr>
          <w:rFonts w:asciiTheme="minorHAnsi" w:hAnsiTheme="minorHAnsi" w:cs="Times New Roman"/>
          <w:lang w:val="es-ES_tradnl"/>
        </w:rPr>
        <w:t>diferentes de las experienci</w:t>
      </w:r>
      <w:r w:rsidR="00FC359B">
        <w:rPr>
          <w:rFonts w:asciiTheme="minorHAnsi" w:hAnsiTheme="minorHAnsi" w:cs="Times New Roman"/>
          <w:lang w:val="es-ES_tradnl"/>
        </w:rPr>
        <w:t>a</w:t>
      </w:r>
      <w:r w:rsidR="007E5B98" w:rsidRPr="006E0F38">
        <w:rPr>
          <w:rFonts w:asciiTheme="minorHAnsi" w:hAnsiTheme="minorHAnsi" w:cs="Times New Roman"/>
          <w:lang w:val="es-ES_tradnl"/>
        </w:rPr>
        <w:t>s internacionales y regionales en estos campo</w:t>
      </w:r>
      <w:r w:rsidR="00FC359B">
        <w:rPr>
          <w:rFonts w:asciiTheme="minorHAnsi" w:hAnsiTheme="minorHAnsi" w:cs="Times New Roman"/>
          <w:lang w:val="es-ES_tradnl"/>
        </w:rPr>
        <w:t>s</w:t>
      </w:r>
      <w:r w:rsidR="007E5B98" w:rsidRPr="006E0F38">
        <w:rPr>
          <w:rFonts w:asciiTheme="minorHAnsi" w:hAnsiTheme="minorHAnsi" w:cs="Times New Roman"/>
          <w:lang w:val="es-ES_tradnl"/>
        </w:rPr>
        <w:t>.</w:t>
      </w:r>
    </w:p>
    <w:p w:rsidR="007E5B98" w:rsidRPr="006E0F38" w:rsidRDefault="007E5B98" w:rsidP="006E0F38">
      <w:pPr>
        <w:spacing w:after="180" w:line="264" w:lineRule="auto"/>
        <w:jc w:val="both"/>
        <w:rPr>
          <w:rFonts w:asciiTheme="minorHAnsi" w:hAnsiTheme="minorHAnsi" w:cs="Times New Roman"/>
          <w:lang w:val="es-ES_tradnl"/>
        </w:rPr>
      </w:pPr>
      <w:r w:rsidRPr="006E0F38">
        <w:rPr>
          <w:rFonts w:asciiTheme="minorHAnsi" w:hAnsiTheme="minorHAnsi" w:cs="Times New Roman"/>
          <w:lang w:val="es-ES_tradnl"/>
        </w:rPr>
        <w:t>La Unidad PPP del MEF ha trabaj</w:t>
      </w:r>
      <w:r w:rsidR="00FC359B">
        <w:rPr>
          <w:rFonts w:asciiTheme="minorHAnsi" w:hAnsiTheme="minorHAnsi" w:cs="Times New Roman"/>
          <w:lang w:val="es-ES_tradnl"/>
        </w:rPr>
        <w:t>a</w:t>
      </w:r>
      <w:r w:rsidRPr="006E0F38">
        <w:rPr>
          <w:rFonts w:asciiTheme="minorHAnsi" w:hAnsiTheme="minorHAnsi" w:cs="Times New Roman"/>
          <w:lang w:val="es-ES_tradnl"/>
        </w:rPr>
        <w:t xml:space="preserve">do en conjunto con OPP </w:t>
      </w:r>
      <w:r w:rsidR="00FC359B">
        <w:rPr>
          <w:rFonts w:asciiTheme="minorHAnsi" w:hAnsiTheme="minorHAnsi" w:cs="Times New Roman"/>
          <w:lang w:val="es-ES_tradnl"/>
        </w:rPr>
        <w:t xml:space="preserve">y la Dirección Nacional de </w:t>
      </w:r>
      <w:r w:rsidRPr="006E0F38">
        <w:rPr>
          <w:rFonts w:asciiTheme="minorHAnsi" w:hAnsiTheme="minorHAnsi" w:cs="Times New Roman"/>
          <w:lang w:val="es-ES_tradnl"/>
        </w:rPr>
        <w:t>Vialidad</w:t>
      </w:r>
      <w:r w:rsidR="00FC359B">
        <w:rPr>
          <w:rFonts w:asciiTheme="minorHAnsi" w:hAnsiTheme="minorHAnsi" w:cs="Times New Roman"/>
          <w:lang w:val="es-ES_tradnl"/>
        </w:rPr>
        <w:t xml:space="preserve"> del MTOP </w:t>
      </w:r>
      <w:r w:rsidRPr="006E0F38">
        <w:rPr>
          <w:rFonts w:asciiTheme="minorHAnsi" w:hAnsiTheme="minorHAnsi" w:cs="Times New Roman"/>
          <w:lang w:val="es-ES_tradnl"/>
        </w:rPr>
        <w:t xml:space="preserve"> para simplificar procesos y realizar </w:t>
      </w:r>
      <w:r w:rsidR="00FC359B">
        <w:rPr>
          <w:rFonts w:asciiTheme="minorHAnsi" w:hAnsiTheme="minorHAnsi" w:cs="Times New Roman"/>
          <w:lang w:val="es-ES_tradnl"/>
        </w:rPr>
        <w:t xml:space="preserve">los </w:t>
      </w:r>
      <w:r w:rsidRPr="006E0F38">
        <w:rPr>
          <w:rFonts w:asciiTheme="minorHAnsi" w:hAnsiTheme="minorHAnsi" w:cs="Times New Roman"/>
          <w:lang w:val="es-ES_tradnl"/>
        </w:rPr>
        <w:t>estudi</w:t>
      </w:r>
      <w:r w:rsidR="00FC359B">
        <w:rPr>
          <w:rFonts w:asciiTheme="minorHAnsi" w:hAnsiTheme="minorHAnsi" w:cs="Times New Roman"/>
          <w:lang w:val="es-ES_tradnl"/>
        </w:rPr>
        <w:t>o</w:t>
      </w:r>
      <w:r w:rsidRPr="006E0F38">
        <w:rPr>
          <w:rFonts w:asciiTheme="minorHAnsi" w:hAnsiTheme="minorHAnsi" w:cs="Times New Roman"/>
          <w:lang w:val="es-ES_tradnl"/>
        </w:rPr>
        <w:t>s</w:t>
      </w:r>
      <w:r w:rsidR="00FC359B">
        <w:rPr>
          <w:rFonts w:asciiTheme="minorHAnsi" w:hAnsiTheme="minorHAnsi" w:cs="Times New Roman"/>
          <w:lang w:val="es-ES_tradnl"/>
        </w:rPr>
        <w:t xml:space="preserve"> requeridos para la elaboración de</w:t>
      </w:r>
      <w:r w:rsidR="00F864FC">
        <w:rPr>
          <w:rFonts w:asciiTheme="minorHAnsi" w:hAnsiTheme="minorHAnsi" w:cs="Times New Roman"/>
          <w:lang w:val="es-ES_tradnl"/>
        </w:rPr>
        <w:t xml:space="preserve"> </w:t>
      </w:r>
      <w:r w:rsidR="00FC359B">
        <w:rPr>
          <w:rFonts w:asciiTheme="minorHAnsi" w:hAnsiTheme="minorHAnsi" w:cs="Times New Roman"/>
          <w:lang w:val="es-ES_tradnl"/>
        </w:rPr>
        <w:t>lo</w:t>
      </w:r>
      <w:r w:rsidR="00F864FC">
        <w:rPr>
          <w:rFonts w:asciiTheme="minorHAnsi" w:hAnsiTheme="minorHAnsi" w:cs="Times New Roman"/>
          <w:lang w:val="es-ES_tradnl"/>
        </w:rPr>
        <w:t>s</w:t>
      </w:r>
      <w:r w:rsidR="00FC359B">
        <w:rPr>
          <w:rFonts w:asciiTheme="minorHAnsi" w:hAnsiTheme="minorHAnsi" w:cs="Times New Roman"/>
          <w:lang w:val="es-ES_tradnl"/>
        </w:rPr>
        <w:t xml:space="preserve"> contratos PPP</w:t>
      </w:r>
      <w:r w:rsidRPr="006E0F38">
        <w:rPr>
          <w:rFonts w:asciiTheme="minorHAnsi" w:hAnsiTheme="minorHAnsi" w:cs="Times New Roman"/>
          <w:lang w:val="es-ES_tradnl"/>
        </w:rPr>
        <w:t>.</w:t>
      </w:r>
    </w:p>
    <w:p w:rsidR="007E5B98" w:rsidRPr="006E0F38" w:rsidRDefault="007E5B98" w:rsidP="006E0F38">
      <w:pPr>
        <w:spacing w:after="180" w:line="264" w:lineRule="auto"/>
        <w:jc w:val="both"/>
        <w:rPr>
          <w:rFonts w:asciiTheme="minorHAnsi" w:hAnsiTheme="minorHAnsi" w:cs="Times New Roman"/>
          <w:lang w:val="es-ES_tradnl"/>
        </w:rPr>
      </w:pPr>
      <w:r w:rsidRPr="006E0F38">
        <w:rPr>
          <w:rFonts w:asciiTheme="minorHAnsi" w:hAnsiTheme="minorHAnsi" w:cs="Times New Roman"/>
          <w:lang w:val="es-ES_tradnl"/>
        </w:rPr>
        <w:t>En l</w:t>
      </w:r>
      <w:r w:rsidR="00FC359B">
        <w:rPr>
          <w:rFonts w:asciiTheme="minorHAnsi" w:hAnsiTheme="minorHAnsi" w:cs="Times New Roman"/>
          <w:lang w:val="es-ES_tradnl"/>
        </w:rPr>
        <w:t>a actualidad, según información del MEF, se maneja primariamente un conjunto de proyectos PPP, con diferente grado de avance en los mismos, siendo la mayoría sólo iniciativas con algunos valores tentativos de inversiones, pagos anuales y plazos.</w:t>
      </w:r>
    </w:p>
    <w:p w:rsidR="007E5B98" w:rsidRPr="006E0F38" w:rsidRDefault="007314AF" w:rsidP="006E0F38">
      <w:pPr>
        <w:spacing w:after="180" w:line="264" w:lineRule="auto"/>
        <w:jc w:val="both"/>
        <w:rPr>
          <w:rFonts w:asciiTheme="minorHAnsi" w:hAnsiTheme="minorHAnsi" w:cs="Times New Roman"/>
          <w:lang w:val="es-ES_tradnl"/>
        </w:rPr>
      </w:pPr>
      <w:r>
        <w:rPr>
          <w:rFonts w:asciiTheme="minorHAnsi" w:hAnsiTheme="minorHAnsi" w:cs="Times New Roman"/>
          <w:lang w:val="es-ES_tradnl"/>
        </w:rPr>
        <w:t xml:space="preserve">Como no se poseen los valores de los pagos anuales y los plazos de la mayoría de </w:t>
      </w:r>
      <w:r w:rsidR="007E5B98" w:rsidRPr="006E0F38">
        <w:rPr>
          <w:rFonts w:asciiTheme="minorHAnsi" w:hAnsiTheme="minorHAnsi" w:cs="Times New Roman"/>
          <w:lang w:val="es-ES_tradnl"/>
        </w:rPr>
        <w:t>los proyecto</w:t>
      </w:r>
      <w:r w:rsidR="00FC359B">
        <w:rPr>
          <w:rFonts w:asciiTheme="minorHAnsi" w:hAnsiTheme="minorHAnsi" w:cs="Times New Roman"/>
          <w:lang w:val="es-ES_tradnl"/>
        </w:rPr>
        <w:t>s</w:t>
      </w:r>
      <w:r w:rsidR="007E5B98" w:rsidRPr="006E0F38">
        <w:rPr>
          <w:rFonts w:asciiTheme="minorHAnsi" w:hAnsiTheme="minorHAnsi" w:cs="Times New Roman"/>
          <w:lang w:val="es-ES_tradnl"/>
        </w:rPr>
        <w:t xml:space="preserve"> actuales de </w:t>
      </w:r>
      <w:proofErr w:type="spellStart"/>
      <w:r w:rsidR="007E5B98" w:rsidRPr="006E0F38">
        <w:rPr>
          <w:rFonts w:asciiTheme="minorHAnsi" w:hAnsiTheme="minorHAnsi" w:cs="Times New Roman"/>
          <w:lang w:val="es-ES_tradnl"/>
        </w:rPr>
        <w:t>PPP</w:t>
      </w:r>
      <w:r>
        <w:rPr>
          <w:rFonts w:asciiTheme="minorHAnsi" w:hAnsiTheme="minorHAnsi" w:cs="Times New Roman"/>
          <w:lang w:val="es-ES_tradnl"/>
        </w:rPr>
        <w:t>s</w:t>
      </w:r>
      <w:proofErr w:type="spellEnd"/>
      <w:r>
        <w:rPr>
          <w:rFonts w:asciiTheme="minorHAnsi" w:hAnsiTheme="minorHAnsi" w:cs="Times New Roman"/>
          <w:lang w:val="es-ES_tradnl"/>
        </w:rPr>
        <w:t xml:space="preserve">, se hace </w:t>
      </w:r>
      <w:r w:rsidR="007E5B98" w:rsidRPr="006E0F38">
        <w:rPr>
          <w:rFonts w:asciiTheme="minorHAnsi" w:hAnsiTheme="minorHAnsi" w:cs="Times New Roman"/>
          <w:lang w:val="es-ES_tradnl"/>
        </w:rPr>
        <w:t>difícil estimar</w:t>
      </w:r>
      <w:r>
        <w:rPr>
          <w:rFonts w:asciiTheme="minorHAnsi" w:hAnsiTheme="minorHAnsi" w:cs="Times New Roman"/>
          <w:lang w:val="es-ES_tradnl"/>
        </w:rPr>
        <w:t>los</w:t>
      </w:r>
      <w:r w:rsidR="007E5B98" w:rsidRPr="006E0F38">
        <w:rPr>
          <w:rFonts w:asciiTheme="minorHAnsi" w:hAnsiTheme="minorHAnsi" w:cs="Times New Roman"/>
          <w:lang w:val="es-ES_tradnl"/>
        </w:rPr>
        <w:t xml:space="preserve"> debido a que aún falt</w:t>
      </w:r>
      <w:r w:rsidR="00FC359B">
        <w:rPr>
          <w:rFonts w:asciiTheme="minorHAnsi" w:hAnsiTheme="minorHAnsi" w:cs="Times New Roman"/>
          <w:lang w:val="es-ES_tradnl"/>
        </w:rPr>
        <w:t>a</w:t>
      </w:r>
      <w:r w:rsidR="007E5B98" w:rsidRPr="006E0F38">
        <w:rPr>
          <w:rFonts w:asciiTheme="minorHAnsi" w:hAnsiTheme="minorHAnsi" w:cs="Times New Roman"/>
          <w:lang w:val="es-ES_tradnl"/>
        </w:rPr>
        <w:t xml:space="preserve"> realizar los estudios de factibilida</w:t>
      </w:r>
      <w:r w:rsidR="00FC359B">
        <w:rPr>
          <w:rFonts w:asciiTheme="minorHAnsi" w:hAnsiTheme="minorHAnsi" w:cs="Times New Roman"/>
          <w:lang w:val="es-ES_tradnl"/>
        </w:rPr>
        <w:t>d</w:t>
      </w:r>
      <w:r w:rsidR="007E5B98" w:rsidRPr="006E0F38">
        <w:rPr>
          <w:rFonts w:asciiTheme="minorHAnsi" w:hAnsiTheme="minorHAnsi" w:cs="Times New Roman"/>
          <w:lang w:val="es-ES_tradnl"/>
        </w:rPr>
        <w:t xml:space="preserve"> en la gran mayoría de esto</w:t>
      </w:r>
      <w:r w:rsidR="00FC359B">
        <w:rPr>
          <w:rFonts w:asciiTheme="minorHAnsi" w:hAnsiTheme="minorHAnsi" w:cs="Times New Roman"/>
          <w:lang w:val="es-ES_tradnl"/>
        </w:rPr>
        <w:t>s</w:t>
      </w:r>
      <w:r w:rsidR="007E5B98" w:rsidRPr="006E0F38">
        <w:rPr>
          <w:rFonts w:asciiTheme="minorHAnsi" w:hAnsiTheme="minorHAnsi" w:cs="Times New Roman"/>
          <w:lang w:val="es-ES_tradnl"/>
        </w:rPr>
        <w:t xml:space="preserve"> proyectos.</w:t>
      </w:r>
    </w:p>
    <w:p w:rsidR="007E5B98" w:rsidRPr="006E0F38" w:rsidRDefault="007E5B98" w:rsidP="006E0F38">
      <w:pPr>
        <w:spacing w:after="180" w:line="264" w:lineRule="auto"/>
        <w:jc w:val="both"/>
        <w:rPr>
          <w:rFonts w:asciiTheme="minorHAnsi" w:hAnsiTheme="minorHAnsi" w:cs="Times New Roman"/>
          <w:lang w:val="es-ES_tradnl"/>
        </w:rPr>
      </w:pPr>
      <w:r w:rsidRPr="006E0F38">
        <w:rPr>
          <w:rFonts w:asciiTheme="minorHAnsi" w:hAnsiTheme="minorHAnsi" w:cs="Times New Roman"/>
          <w:lang w:val="es-ES_tradnl"/>
        </w:rPr>
        <w:t>De tod</w:t>
      </w:r>
      <w:r w:rsidR="00FC359B">
        <w:rPr>
          <w:rFonts w:asciiTheme="minorHAnsi" w:hAnsiTheme="minorHAnsi" w:cs="Times New Roman"/>
          <w:lang w:val="es-ES_tradnl"/>
        </w:rPr>
        <w:t>a</w:t>
      </w:r>
      <w:r w:rsidRPr="006E0F38">
        <w:rPr>
          <w:rFonts w:asciiTheme="minorHAnsi" w:hAnsiTheme="minorHAnsi" w:cs="Times New Roman"/>
          <w:lang w:val="es-ES_tradnl"/>
        </w:rPr>
        <w:t>s formas, suponiendo parámetros similar</w:t>
      </w:r>
      <w:r w:rsidR="00FC359B">
        <w:rPr>
          <w:rFonts w:asciiTheme="minorHAnsi" w:hAnsiTheme="minorHAnsi" w:cs="Times New Roman"/>
          <w:lang w:val="es-ES_tradnl"/>
        </w:rPr>
        <w:t>e</w:t>
      </w:r>
      <w:r w:rsidRPr="006E0F38">
        <w:rPr>
          <w:rFonts w:asciiTheme="minorHAnsi" w:hAnsiTheme="minorHAnsi" w:cs="Times New Roman"/>
          <w:lang w:val="es-ES_tradnl"/>
        </w:rPr>
        <w:t xml:space="preserve">s al de los proyectos </w:t>
      </w:r>
      <w:r w:rsidR="00FC359B">
        <w:rPr>
          <w:rFonts w:asciiTheme="minorHAnsi" w:hAnsiTheme="minorHAnsi" w:cs="Times New Roman"/>
          <w:lang w:val="es-ES_tradnl"/>
        </w:rPr>
        <w:t xml:space="preserve">en los cuales se cuenta con </w:t>
      </w:r>
      <w:r w:rsidR="007314AF">
        <w:rPr>
          <w:rFonts w:asciiTheme="minorHAnsi" w:hAnsiTheme="minorHAnsi" w:cs="Times New Roman"/>
          <w:lang w:val="es-ES_tradnl"/>
        </w:rPr>
        <w:t xml:space="preserve">dicha </w:t>
      </w:r>
      <w:r w:rsidR="00FC359B">
        <w:rPr>
          <w:rFonts w:asciiTheme="minorHAnsi" w:hAnsiTheme="minorHAnsi" w:cs="Times New Roman"/>
          <w:lang w:val="es-ES_tradnl"/>
        </w:rPr>
        <w:t xml:space="preserve">información, </w:t>
      </w:r>
      <w:r w:rsidRPr="006E0F38">
        <w:rPr>
          <w:rFonts w:asciiTheme="minorHAnsi" w:hAnsiTheme="minorHAnsi" w:cs="Times New Roman"/>
          <w:lang w:val="es-ES_tradnl"/>
        </w:rPr>
        <w:t xml:space="preserve">aunque aún son </w:t>
      </w:r>
      <w:r w:rsidR="00FC359B">
        <w:rPr>
          <w:rFonts w:asciiTheme="minorHAnsi" w:hAnsiTheme="minorHAnsi" w:cs="Times New Roman"/>
          <w:lang w:val="es-ES_tradnl"/>
        </w:rPr>
        <w:t xml:space="preserve">tentativos, </w:t>
      </w:r>
      <w:r w:rsidRPr="006E0F38">
        <w:rPr>
          <w:rFonts w:asciiTheme="minorHAnsi" w:hAnsiTheme="minorHAnsi" w:cs="Times New Roman"/>
          <w:lang w:val="es-ES_tradnl"/>
        </w:rPr>
        <w:t xml:space="preserve">se puede </w:t>
      </w:r>
      <w:r w:rsidR="00FC359B">
        <w:rPr>
          <w:rFonts w:asciiTheme="minorHAnsi" w:hAnsiTheme="minorHAnsi" w:cs="Times New Roman"/>
          <w:lang w:val="es-ES_tradnl"/>
        </w:rPr>
        <w:t>estimar</w:t>
      </w:r>
      <w:r w:rsidRPr="006E0F38">
        <w:rPr>
          <w:rFonts w:asciiTheme="minorHAnsi" w:hAnsiTheme="minorHAnsi" w:cs="Times New Roman"/>
          <w:lang w:val="es-ES_tradnl"/>
        </w:rPr>
        <w:t xml:space="preserve"> el pago </w:t>
      </w:r>
      <w:r w:rsidR="00FC359B">
        <w:rPr>
          <w:rFonts w:asciiTheme="minorHAnsi" w:hAnsiTheme="minorHAnsi" w:cs="Times New Roman"/>
          <w:lang w:val="es-ES_tradnl"/>
        </w:rPr>
        <w:t xml:space="preserve">anual a realizar por el Gobierno </w:t>
      </w:r>
      <w:r w:rsidRPr="006E0F38">
        <w:rPr>
          <w:rFonts w:asciiTheme="minorHAnsi" w:hAnsiTheme="minorHAnsi" w:cs="Times New Roman"/>
          <w:lang w:val="es-ES_tradnl"/>
        </w:rPr>
        <w:t xml:space="preserve">si se </w:t>
      </w:r>
      <w:r w:rsidR="00FC359B">
        <w:rPr>
          <w:rFonts w:asciiTheme="minorHAnsi" w:hAnsiTheme="minorHAnsi" w:cs="Times New Roman"/>
          <w:lang w:val="es-ES_tradnl"/>
        </w:rPr>
        <w:t>tiene un</w:t>
      </w:r>
      <w:r w:rsidRPr="006E0F38">
        <w:rPr>
          <w:rFonts w:asciiTheme="minorHAnsi" w:hAnsiTheme="minorHAnsi" w:cs="Times New Roman"/>
          <w:lang w:val="es-ES_tradnl"/>
        </w:rPr>
        <w:t xml:space="preserve"> monto de inversión inicial, suponiendo que </w:t>
      </w:r>
      <w:r w:rsidR="007314AF">
        <w:rPr>
          <w:rFonts w:asciiTheme="minorHAnsi" w:hAnsiTheme="minorHAnsi" w:cs="Times New Roman"/>
          <w:lang w:val="es-ES_tradnl"/>
        </w:rPr>
        <w:t xml:space="preserve">la relación inversión inicial - pago anual </w:t>
      </w:r>
      <w:r w:rsidRPr="006E0F38">
        <w:rPr>
          <w:rFonts w:asciiTheme="minorHAnsi" w:hAnsiTheme="minorHAnsi" w:cs="Times New Roman"/>
          <w:lang w:val="es-ES_tradnl"/>
        </w:rPr>
        <w:t>sea similar en diferentes proyecto</w:t>
      </w:r>
      <w:r w:rsidR="007314AF">
        <w:rPr>
          <w:rFonts w:asciiTheme="minorHAnsi" w:hAnsiTheme="minorHAnsi" w:cs="Times New Roman"/>
          <w:lang w:val="es-ES_tradnl"/>
        </w:rPr>
        <w:t>s</w:t>
      </w:r>
      <w:r w:rsidRPr="006E0F38">
        <w:rPr>
          <w:rFonts w:asciiTheme="minorHAnsi" w:hAnsiTheme="minorHAnsi" w:cs="Times New Roman"/>
          <w:lang w:val="es-ES_tradnl"/>
        </w:rPr>
        <w:t>, lo cual es un supuest</w:t>
      </w:r>
      <w:r w:rsidR="007314AF">
        <w:rPr>
          <w:rFonts w:asciiTheme="minorHAnsi" w:hAnsiTheme="minorHAnsi" w:cs="Times New Roman"/>
          <w:lang w:val="es-ES_tradnl"/>
        </w:rPr>
        <w:t>o relativamente fuerte, pero bastante conservador a estos fines.</w:t>
      </w:r>
    </w:p>
    <w:p w:rsidR="007E5B98" w:rsidRPr="006E0F38" w:rsidRDefault="007E5B98" w:rsidP="006E0F38">
      <w:pPr>
        <w:spacing w:after="180" w:line="264" w:lineRule="auto"/>
        <w:jc w:val="both"/>
        <w:rPr>
          <w:rFonts w:asciiTheme="minorHAnsi" w:hAnsiTheme="minorHAnsi" w:cs="Times New Roman"/>
          <w:lang w:val="es-ES_tradnl"/>
        </w:rPr>
      </w:pPr>
      <w:r w:rsidRPr="006E0F38">
        <w:rPr>
          <w:rFonts w:asciiTheme="minorHAnsi" w:hAnsiTheme="minorHAnsi" w:cs="Times New Roman"/>
          <w:lang w:val="es-ES_tradnl"/>
        </w:rPr>
        <w:t>A partir de e</w:t>
      </w:r>
      <w:r w:rsidR="007314AF">
        <w:rPr>
          <w:rFonts w:asciiTheme="minorHAnsi" w:hAnsiTheme="minorHAnsi" w:cs="Times New Roman"/>
          <w:lang w:val="es-ES_tradnl"/>
        </w:rPr>
        <w:t>ste supuesto y de los avances en la información de cada proyecto PPP que se prevé implementar,  se comenta a continuación el estado de situación de cada uno de ellos</w:t>
      </w:r>
      <w:r w:rsidRPr="006E0F38">
        <w:rPr>
          <w:rFonts w:asciiTheme="minorHAnsi" w:hAnsiTheme="minorHAnsi" w:cs="Times New Roman"/>
          <w:lang w:val="es-ES_tradnl"/>
        </w:rPr>
        <w:t>.</w:t>
      </w:r>
    </w:p>
    <w:p w:rsidR="007E5B98" w:rsidRPr="007314AF" w:rsidRDefault="007E5B98" w:rsidP="007314AF">
      <w:pPr>
        <w:pStyle w:val="ListParagraph"/>
        <w:numPr>
          <w:ilvl w:val="0"/>
          <w:numId w:val="27"/>
        </w:numPr>
        <w:spacing w:after="180" w:line="264" w:lineRule="auto"/>
        <w:jc w:val="both"/>
        <w:rPr>
          <w:rFonts w:cs="Times New Roman"/>
          <w:lang w:val="es-ES_tradnl"/>
        </w:rPr>
      </w:pPr>
      <w:r w:rsidRPr="007314AF">
        <w:rPr>
          <w:rFonts w:cs="Times New Roman"/>
          <w:lang w:val="es-ES_tradnl"/>
        </w:rPr>
        <w:t>En el ca</w:t>
      </w:r>
      <w:r w:rsidR="007314AF" w:rsidRPr="007314AF">
        <w:rPr>
          <w:rFonts w:cs="Times New Roman"/>
          <w:lang w:val="es-ES_tradnl"/>
        </w:rPr>
        <w:t xml:space="preserve">so </w:t>
      </w:r>
      <w:r w:rsidRPr="007314AF">
        <w:rPr>
          <w:rFonts w:cs="Times New Roman"/>
          <w:lang w:val="es-ES_tradnl"/>
        </w:rPr>
        <w:t>de la PPP de</w:t>
      </w:r>
      <w:r w:rsidR="006A4938">
        <w:rPr>
          <w:rFonts w:cs="Times New Roman"/>
          <w:lang w:val="es-ES_tradnl"/>
        </w:rPr>
        <w:t xml:space="preserve">l </w:t>
      </w:r>
      <w:r w:rsidR="006A4938" w:rsidRPr="006A4938">
        <w:rPr>
          <w:rFonts w:cs="Times New Roman"/>
          <w:b/>
          <w:lang w:val="es-ES_tradnl"/>
        </w:rPr>
        <w:t xml:space="preserve">recinto penitenciario de </w:t>
      </w:r>
      <w:r w:rsidRPr="006A4938">
        <w:rPr>
          <w:rFonts w:cs="Times New Roman"/>
          <w:b/>
          <w:lang w:val="es-ES_tradnl"/>
        </w:rPr>
        <w:t xml:space="preserve"> Punta de Riele</w:t>
      </w:r>
      <w:r w:rsidR="007314AF" w:rsidRPr="006A4938">
        <w:rPr>
          <w:rFonts w:cs="Times New Roman"/>
          <w:b/>
          <w:lang w:val="es-ES_tradnl"/>
        </w:rPr>
        <w:t>s</w:t>
      </w:r>
      <w:r w:rsidR="00F864FC">
        <w:rPr>
          <w:rFonts w:cs="Times New Roman"/>
          <w:b/>
          <w:lang w:val="es-ES_tradnl"/>
        </w:rPr>
        <w:t xml:space="preserve">, </w:t>
      </w:r>
      <w:r w:rsidRPr="007314AF">
        <w:rPr>
          <w:rFonts w:cs="Times New Roman"/>
          <w:lang w:val="es-ES_tradnl"/>
        </w:rPr>
        <w:t xml:space="preserve"> se acaba de firma</w:t>
      </w:r>
      <w:r w:rsidR="007314AF" w:rsidRPr="007314AF">
        <w:rPr>
          <w:rFonts w:cs="Times New Roman"/>
          <w:lang w:val="es-ES_tradnl"/>
        </w:rPr>
        <w:t>r</w:t>
      </w:r>
      <w:r w:rsidRPr="007314AF">
        <w:rPr>
          <w:rFonts w:cs="Times New Roman"/>
          <w:lang w:val="es-ES_tradnl"/>
        </w:rPr>
        <w:t xml:space="preserve"> el contrato</w:t>
      </w:r>
      <w:r w:rsidR="007314AF" w:rsidRPr="007314AF">
        <w:rPr>
          <w:rFonts w:cs="Times New Roman"/>
          <w:lang w:val="es-ES_tradnl"/>
        </w:rPr>
        <w:t>. S</w:t>
      </w:r>
      <w:r w:rsidRPr="007314AF">
        <w:rPr>
          <w:rFonts w:cs="Times New Roman"/>
          <w:lang w:val="es-ES_tradnl"/>
        </w:rPr>
        <w:t>e estima que la inversión inicia</w:t>
      </w:r>
      <w:r w:rsidR="007314AF" w:rsidRPr="007314AF">
        <w:rPr>
          <w:rFonts w:cs="Times New Roman"/>
          <w:lang w:val="es-ES_tradnl"/>
        </w:rPr>
        <w:t>l</w:t>
      </w:r>
      <w:r w:rsidRPr="007314AF">
        <w:rPr>
          <w:rFonts w:cs="Times New Roman"/>
          <w:lang w:val="es-ES_tradnl"/>
        </w:rPr>
        <w:t xml:space="preserve"> se ubicaría en el orde</w:t>
      </w:r>
      <w:r w:rsidR="007314AF" w:rsidRPr="007314AF">
        <w:rPr>
          <w:rFonts w:cs="Times New Roman"/>
          <w:lang w:val="es-ES_tradnl"/>
        </w:rPr>
        <w:t>n</w:t>
      </w:r>
      <w:r w:rsidRPr="007314AF">
        <w:rPr>
          <w:rFonts w:cs="Times New Roman"/>
          <w:lang w:val="es-ES_tradnl"/>
        </w:rPr>
        <w:t xml:space="preserve"> de los US$ 120 millon</w:t>
      </w:r>
      <w:r w:rsidR="007314AF" w:rsidRPr="007314AF">
        <w:rPr>
          <w:rFonts w:cs="Times New Roman"/>
          <w:lang w:val="es-ES_tradnl"/>
        </w:rPr>
        <w:t>e</w:t>
      </w:r>
      <w:r w:rsidRPr="007314AF">
        <w:rPr>
          <w:rFonts w:cs="Times New Roman"/>
          <w:lang w:val="es-ES_tradnl"/>
        </w:rPr>
        <w:t>s, con un pago anual p</w:t>
      </w:r>
      <w:r w:rsidR="007314AF" w:rsidRPr="007314AF">
        <w:rPr>
          <w:rFonts w:cs="Times New Roman"/>
          <w:lang w:val="es-ES_tradnl"/>
        </w:rPr>
        <w:t>o</w:t>
      </w:r>
      <w:r w:rsidRPr="007314AF">
        <w:rPr>
          <w:rFonts w:cs="Times New Roman"/>
          <w:lang w:val="es-ES_tradnl"/>
        </w:rPr>
        <w:t>r parte del Estado estimad</w:t>
      </w:r>
      <w:r w:rsidR="007314AF" w:rsidRPr="007314AF">
        <w:rPr>
          <w:rFonts w:cs="Times New Roman"/>
          <w:lang w:val="es-ES_tradnl"/>
        </w:rPr>
        <w:t>o</w:t>
      </w:r>
      <w:r w:rsidRPr="007314AF">
        <w:rPr>
          <w:rFonts w:cs="Times New Roman"/>
          <w:lang w:val="es-ES_tradnl"/>
        </w:rPr>
        <w:t xml:space="preserve"> en US$ 18 millon</w:t>
      </w:r>
      <w:r w:rsidR="007314AF" w:rsidRPr="007314AF">
        <w:rPr>
          <w:rFonts w:cs="Times New Roman"/>
          <w:lang w:val="es-ES_tradnl"/>
        </w:rPr>
        <w:t>e</w:t>
      </w:r>
      <w:r w:rsidRPr="007314AF">
        <w:rPr>
          <w:rFonts w:cs="Times New Roman"/>
          <w:lang w:val="es-ES_tradnl"/>
        </w:rPr>
        <w:t xml:space="preserve">s, que se iniciaría en </w:t>
      </w:r>
      <w:r w:rsidR="00EA2897">
        <w:rPr>
          <w:rFonts w:cs="Times New Roman"/>
          <w:lang w:val="es-ES_tradnl"/>
        </w:rPr>
        <w:t xml:space="preserve">el año </w:t>
      </w:r>
      <w:r w:rsidRPr="007314AF">
        <w:rPr>
          <w:rFonts w:cs="Times New Roman"/>
          <w:lang w:val="es-ES_tradnl"/>
        </w:rPr>
        <w:t>2018</w:t>
      </w:r>
      <w:r w:rsidR="00EA2897">
        <w:rPr>
          <w:rFonts w:cs="Times New Roman"/>
          <w:lang w:val="es-ES_tradnl"/>
        </w:rPr>
        <w:t xml:space="preserve">, </w:t>
      </w:r>
      <w:r w:rsidRPr="007314AF">
        <w:rPr>
          <w:rFonts w:cs="Times New Roman"/>
          <w:lang w:val="es-ES_tradnl"/>
        </w:rPr>
        <w:t>hast</w:t>
      </w:r>
      <w:r w:rsidR="007314AF" w:rsidRPr="007314AF">
        <w:rPr>
          <w:rFonts w:cs="Times New Roman"/>
          <w:lang w:val="es-ES_tradnl"/>
        </w:rPr>
        <w:t>a</w:t>
      </w:r>
      <w:r w:rsidRPr="007314AF">
        <w:rPr>
          <w:rFonts w:cs="Times New Roman"/>
          <w:lang w:val="es-ES_tradnl"/>
        </w:rPr>
        <w:t xml:space="preserve"> </w:t>
      </w:r>
      <w:r w:rsidR="00EA2897">
        <w:rPr>
          <w:rFonts w:cs="Times New Roman"/>
          <w:lang w:val="es-ES_tradnl"/>
        </w:rPr>
        <w:t xml:space="preserve">el año </w:t>
      </w:r>
      <w:r w:rsidRPr="007314AF">
        <w:rPr>
          <w:rFonts w:cs="Times New Roman"/>
          <w:lang w:val="es-ES_tradnl"/>
        </w:rPr>
        <w:t>2045. Los p</w:t>
      </w:r>
      <w:r w:rsidR="007314AF" w:rsidRPr="007314AF">
        <w:rPr>
          <w:rFonts w:cs="Times New Roman"/>
          <w:lang w:val="es-ES_tradnl"/>
        </w:rPr>
        <w:t>a</w:t>
      </w:r>
      <w:r w:rsidRPr="007314AF">
        <w:rPr>
          <w:rFonts w:cs="Times New Roman"/>
          <w:lang w:val="es-ES_tradnl"/>
        </w:rPr>
        <w:t>gos se inician una vez terminad</w:t>
      </w:r>
      <w:r w:rsidR="007314AF" w:rsidRPr="007314AF">
        <w:rPr>
          <w:rFonts w:cs="Times New Roman"/>
          <w:lang w:val="es-ES_tradnl"/>
        </w:rPr>
        <w:t>a</w:t>
      </w:r>
      <w:r w:rsidRPr="007314AF">
        <w:rPr>
          <w:rFonts w:cs="Times New Roman"/>
          <w:lang w:val="es-ES_tradnl"/>
        </w:rPr>
        <w:t xml:space="preserve"> la obra </w:t>
      </w:r>
      <w:r w:rsidR="00EA2897">
        <w:rPr>
          <w:rFonts w:cs="Times New Roman"/>
          <w:lang w:val="es-ES_tradnl"/>
        </w:rPr>
        <w:t xml:space="preserve">e iniciadas las actividades </w:t>
      </w:r>
      <w:r w:rsidRPr="007314AF">
        <w:rPr>
          <w:rFonts w:cs="Times New Roman"/>
          <w:lang w:val="es-ES_tradnl"/>
        </w:rPr>
        <w:t>ya que son por disponibilida</w:t>
      </w:r>
      <w:r w:rsidR="007314AF" w:rsidRPr="007314AF">
        <w:rPr>
          <w:rFonts w:cs="Times New Roman"/>
          <w:lang w:val="es-ES_tradnl"/>
        </w:rPr>
        <w:t>d</w:t>
      </w:r>
      <w:r w:rsidRPr="007314AF">
        <w:rPr>
          <w:rFonts w:cs="Times New Roman"/>
          <w:lang w:val="es-ES_tradnl"/>
        </w:rPr>
        <w:t>.</w:t>
      </w:r>
    </w:p>
    <w:p w:rsidR="007E5B98" w:rsidRPr="001C4746" w:rsidRDefault="007E5B98" w:rsidP="001C4746">
      <w:pPr>
        <w:pStyle w:val="ListParagraph"/>
        <w:numPr>
          <w:ilvl w:val="0"/>
          <w:numId w:val="27"/>
        </w:numPr>
        <w:spacing w:after="180" w:line="264" w:lineRule="auto"/>
        <w:jc w:val="both"/>
        <w:rPr>
          <w:rFonts w:cs="Times New Roman"/>
          <w:lang w:val="es-ES_tradnl"/>
        </w:rPr>
      </w:pPr>
      <w:r w:rsidRPr="001C4746">
        <w:rPr>
          <w:rFonts w:cs="Times New Roman"/>
          <w:lang w:val="es-ES_tradnl"/>
        </w:rPr>
        <w:t>A ell</w:t>
      </w:r>
      <w:r w:rsidR="007314AF" w:rsidRPr="001C4746">
        <w:rPr>
          <w:rFonts w:cs="Times New Roman"/>
          <w:lang w:val="es-ES_tradnl"/>
        </w:rPr>
        <w:t>o</w:t>
      </w:r>
      <w:r w:rsidRPr="001C4746">
        <w:rPr>
          <w:rFonts w:cs="Times New Roman"/>
          <w:lang w:val="es-ES_tradnl"/>
        </w:rPr>
        <w:t xml:space="preserve"> se agrega el </w:t>
      </w:r>
      <w:r w:rsidRPr="006A4938">
        <w:rPr>
          <w:rFonts w:cs="Times New Roman"/>
          <w:b/>
          <w:lang w:val="es-ES_tradnl"/>
        </w:rPr>
        <w:t>corredo</w:t>
      </w:r>
      <w:r w:rsidR="007314AF" w:rsidRPr="006A4938">
        <w:rPr>
          <w:rFonts w:cs="Times New Roman"/>
          <w:b/>
          <w:lang w:val="es-ES_tradnl"/>
        </w:rPr>
        <w:t>r</w:t>
      </w:r>
      <w:r w:rsidRPr="006A4938">
        <w:rPr>
          <w:rFonts w:cs="Times New Roman"/>
          <w:b/>
          <w:lang w:val="es-ES_tradnl"/>
        </w:rPr>
        <w:t xml:space="preserve"> de las R21 y R24</w:t>
      </w:r>
      <w:r w:rsidRPr="001C4746">
        <w:rPr>
          <w:rFonts w:cs="Times New Roman"/>
          <w:lang w:val="es-ES_tradnl"/>
        </w:rPr>
        <w:t>, con un bypa</w:t>
      </w:r>
      <w:r w:rsidR="007314AF" w:rsidRPr="001C4746">
        <w:rPr>
          <w:rFonts w:cs="Times New Roman"/>
          <w:lang w:val="es-ES_tradnl"/>
        </w:rPr>
        <w:t>ss</w:t>
      </w:r>
      <w:r w:rsidRPr="001C4746">
        <w:rPr>
          <w:rFonts w:cs="Times New Roman"/>
          <w:lang w:val="es-ES_tradnl"/>
        </w:rPr>
        <w:t xml:space="preserve"> en Nueva Palmira, </w:t>
      </w:r>
      <w:r w:rsidR="007314AF" w:rsidRPr="001C4746">
        <w:rPr>
          <w:rFonts w:cs="Times New Roman"/>
          <w:lang w:val="es-ES_tradnl"/>
        </w:rPr>
        <w:t xml:space="preserve">con </w:t>
      </w:r>
      <w:r w:rsidRPr="001C4746">
        <w:rPr>
          <w:rFonts w:cs="Times New Roman"/>
          <w:lang w:val="es-ES_tradnl"/>
        </w:rPr>
        <w:t>una inversión inicial hoy estimada en US$ 85 millone</w:t>
      </w:r>
      <w:r w:rsidR="007314AF" w:rsidRPr="001C4746">
        <w:rPr>
          <w:rFonts w:cs="Times New Roman"/>
          <w:lang w:val="es-ES_tradnl"/>
        </w:rPr>
        <w:t>s. S</w:t>
      </w:r>
      <w:r w:rsidRPr="001C4746">
        <w:rPr>
          <w:rFonts w:cs="Times New Roman"/>
          <w:lang w:val="es-ES_tradnl"/>
        </w:rPr>
        <w:t>e está</w:t>
      </w:r>
      <w:r w:rsidR="00EA2897">
        <w:rPr>
          <w:rFonts w:cs="Times New Roman"/>
          <w:lang w:val="es-ES_tradnl"/>
        </w:rPr>
        <w:t>n</w:t>
      </w:r>
      <w:r w:rsidRPr="001C4746">
        <w:rPr>
          <w:rFonts w:cs="Times New Roman"/>
          <w:lang w:val="es-ES_tradnl"/>
        </w:rPr>
        <w:t xml:space="preserve"> elabora</w:t>
      </w:r>
      <w:r w:rsidR="00EA2897">
        <w:rPr>
          <w:rFonts w:cs="Times New Roman"/>
          <w:lang w:val="es-ES_tradnl"/>
        </w:rPr>
        <w:t>ndo</w:t>
      </w:r>
      <w:r w:rsidRPr="001C4746">
        <w:rPr>
          <w:rFonts w:cs="Times New Roman"/>
          <w:lang w:val="es-ES_tradnl"/>
        </w:rPr>
        <w:t xml:space="preserve"> los pliegos de la licitació</w:t>
      </w:r>
      <w:r w:rsidR="007314AF" w:rsidRPr="001C4746">
        <w:rPr>
          <w:rFonts w:cs="Times New Roman"/>
          <w:lang w:val="es-ES_tradnl"/>
        </w:rPr>
        <w:t>n</w:t>
      </w:r>
      <w:r w:rsidRPr="001C4746">
        <w:rPr>
          <w:rFonts w:cs="Times New Roman"/>
          <w:lang w:val="es-ES_tradnl"/>
        </w:rPr>
        <w:t xml:space="preserve">, o sea que faltarían </w:t>
      </w:r>
      <w:r w:rsidR="007314AF" w:rsidRPr="001C4746">
        <w:rPr>
          <w:rFonts w:cs="Times New Roman"/>
          <w:lang w:val="es-ES_tradnl"/>
        </w:rPr>
        <w:t xml:space="preserve">alrededor de </w:t>
      </w:r>
      <w:r w:rsidRPr="001C4746">
        <w:rPr>
          <w:rFonts w:cs="Times New Roman"/>
          <w:lang w:val="es-ES_tradnl"/>
        </w:rPr>
        <w:t>3 años</w:t>
      </w:r>
      <w:r w:rsidR="00F864FC">
        <w:rPr>
          <w:rFonts w:cs="Times New Roman"/>
          <w:lang w:val="es-ES_tradnl"/>
        </w:rPr>
        <w:t xml:space="preserve"> para tener disponible el proyecto e </w:t>
      </w:r>
      <w:r w:rsidRPr="001C4746">
        <w:rPr>
          <w:rFonts w:cs="Times New Roman"/>
          <w:lang w:val="es-ES_tradnl"/>
        </w:rPr>
        <w:t>iniciar los pago</w:t>
      </w:r>
      <w:r w:rsidR="007314AF" w:rsidRPr="001C4746">
        <w:rPr>
          <w:rFonts w:cs="Times New Roman"/>
          <w:lang w:val="es-ES_tradnl"/>
        </w:rPr>
        <w:t>s</w:t>
      </w:r>
      <w:r w:rsidRPr="001C4746">
        <w:rPr>
          <w:rFonts w:cs="Times New Roman"/>
          <w:lang w:val="es-ES_tradnl"/>
        </w:rPr>
        <w:t xml:space="preserve"> en el año  2019 hast</w:t>
      </w:r>
      <w:r w:rsidR="007314AF" w:rsidRPr="001C4746">
        <w:rPr>
          <w:rFonts w:cs="Times New Roman"/>
          <w:lang w:val="es-ES_tradnl"/>
        </w:rPr>
        <w:t>a</w:t>
      </w:r>
      <w:r w:rsidRPr="001C4746">
        <w:rPr>
          <w:rFonts w:cs="Times New Roman"/>
          <w:lang w:val="es-ES_tradnl"/>
        </w:rPr>
        <w:t xml:space="preserve"> </w:t>
      </w:r>
      <w:r w:rsidR="007314AF" w:rsidRPr="001C4746">
        <w:rPr>
          <w:rFonts w:cs="Times New Roman"/>
          <w:lang w:val="es-ES_tradnl"/>
        </w:rPr>
        <w:t xml:space="preserve">el año </w:t>
      </w:r>
      <w:r w:rsidRPr="001C4746">
        <w:rPr>
          <w:rFonts w:cs="Times New Roman"/>
          <w:lang w:val="es-ES_tradnl"/>
        </w:rPr>
        <w:t>2040</w:t>
      </w:r>
      <w:r w:rsidR="00F864FC">
        <w:rPr>
          <w:rFonts w:cs="Times New Roman"/>
          <w:lang w:val="es-ES_tradnl"/>
        </w:rPr>
        <w:t>, suponiendo que no haya demoras extraordinarias</w:t>
      </w:r>
      <w:r w:rsidRPr="001C4746">
        <w:rPr>
          <w:rFonts w:cs="Times New Roman"/>
          <w:lang w:val="es-ES_tradnl"/>
        </w:rPr>
        <w:t>.</w:t>
      </w:r>
    </w:p>
    <w:p w:rsidR="007E5B98" w:rsidRPr="001C4746" w:rsidRDefault="007E5B98" w:rsidP="001C4746">
      <w:pPr>
        <w:pStyle w:val="ListParagraph"/>
        <w:numPr>
          <w:ilvl w:val="0"/>
          <w:numId w:val="27"/>
        </w:numPr>
        <w:spacing w:after="180" w:line="264" w:lineRule="auto"/>
        <w:jc w:val="both"/>
        <w:rPr>
          <w:rFonts w:cs="Times New Roman"/>
          <w:lang w:val="es-ES_tradnl"/>
        </w:rPr>
      </w:pPr>
      <w:r w:rsidRPr="001C4746">
        <w:rPr>
          <w:rFonts w:cs="Times New Roman"/>
          <w:lang w:val="es-ES_tradnl"/>
        </w:rPr>
        <w:t>Otr</w:t>
      </w:r>
      <w:r w:rsidR="001C4746">
        <w:rPr>
          <w:rFonts w:cs="Times New Roman"/>
          <w:lang w:val="es-ES_tradnl"/>
        </w:rPr>
        <w:t>a</w:t>
      </w:r>
      <w:r w:rsidRPr="001C4746">
        <w:rPr>
          <w:rFonts w:cs="Times New Roman"/>
          <w:lang w:val="es-ES_tradnl"/>
        </w:rPr>
        <w:t xml:space="preserve"> iniciativa de PPP e</w:t>
      </w:r>
      <w:r w:rsidR="001C4746">
        <w:rPr>
          <w:rFonts w:cs="Times New Roman"/>
          <w:lang w:val="es-ES_tradnl"/>
        </w:rPr>
        <w:t>s</w:t>
      </w:r>
      <w:r w:rsidRPr="001C4746">
        <w:rPr>
          <w:rFonts w:cs="Times New Roman"/>
          <w:lang w:val="es-ES_tradnl"/>
        </w:rPr>
        <w:t xml:space="preserve"> el </w:t>
      </w:r>
      <w:r w:rsidRPr="006A4938">
        <w:rPr>
          <w:rFonts w:cs="Times New Roman"/>
          <w:b/>
          <w:lang w:val="es-ES_tradnl"/>
        </w:rPr>
        <w:t>ramal ferroviario</w:t>
      </w:r>
      <w:r w:rsidRPr="001C4746">
        <w:rPr>
          <w:rFonts w:cs="Times New Roman"/>
          <w:lang w:val="es-ES_tradnl"/>
        </w:rPr>
        <w:t xml:space="preserve"> desde </w:t>
      </w:r>
      <w:proofErr w:type="spellStart"/>
      <w:r w:rsidRPr="001C4746">
        <w:rPr>
          <w:rFonts w:cs="Times New Roman"/>
          <w:lang w:val="es-ES_tradnl"/>
        </w:rPr>
        <w:t>Algort</w:t>
      </w:r>
      <w:r w:rsidR="001C4746">
        <w:rPr>
          <w:rFonts w:cs="Times New Roman"/>
          <w:lang w:val="es-ES_tradnl"/>
        </w:rPr>
        <w:t>a</w:t>
      </w:r>
      <w:proofErr w:type="spellEnd"/>
      <w:r w:rsidR="001C4746">
        <w:rPr>
          <w:rFonts w:cs="Times New Roman"/>
          <w:lang w:val="es-ES_tradnl"/>
        </w:rPr>
        <w:t xml:space="preserve"> (Departamento de </w:t>
      </w:r>
      <w:r w:rsidRPr="001C4746">
        <w:rPr>
          <w:rFonts w:cs="Times New Roman"/>
          <w:lang w:val="es-ES_tradnl"/>
        </w:rPr>
        <w:t>Paysandú</w:t>
      </w:r>
      <w:r w:rsidR="001C4746">
        <w:rPr>
          <w:rFonts w:cs="Times New Roman"/>
          <w:lang w:val="es-ES_tradnl"/>
        </w:rPr>
        <w:t>)</w:t>
      </w:r>
      <w:r w:rsidRPr="001C4746">
        <w:rPr>
          <w:rFonts w:cs="Times New Roman"/>
          <w:lang w:val="es-ES_tradnl"/>
        </w:rPr>
        <w:t xml:space="preserve"> a  Fray Bentos</w:t>
      </w:r>
      <w:r w:rsidR="001C4746">
        <w:rPr>
          <w:rFonts w:cs="Times New Roman"/>
          <w:lang w:val="es-ES_tradnl"/>
        </w:rPr>
        <w:t xml:space="preserve"> (Departamento de Río Negro), </w:t>
      </w:r>
      <w:r w:rsidRPr="001C4746">
        <w:rPr>
          <w:rFonts w:cs="Times New Roman"/>
          <w:lang w:val="es-ES_tradnl"/>
        </w:rPr>
        <w:t xml:space="preserve">con 141 km, </w:t>
      </w:r>
      <w:r w:rsidR="001C4746">
        <w:rPr>
          <w:rFonts w:cs="Times New Roman"/>
          <w:lang w:val="es-ES_tradnl"/>
        </w:rPr>
        <w:t>donde se pl</w:t>
      </w:r>
      <w:r w:rsidR="00F864FC">
        <w:rPr>
          <w:rFonts w:cs="Times New Roman"/>
          <w:lang w:val="es-ES_tradnl"/>
        </w:rPr>
        <w:t>a</w:t>
      </w:r>
      <w:r w:rsidR="001C4746">
        <w:rPr>
          <w:rFonts w:cs="Times New Roman"/>
          <w:lang w:val="es-ES_tradnl"/>
        </w:rPr>
        <w:t xml:space="preserve">ntea una inversión de </w:t>
      </w:r>
      <w:r w:rsidRPr="001C4746">
        <w:rPr>
          <w:rFonts w:cs="Times New Roman"/>
          <w:lang w:val="es-ES_tradnl"/>
        </w:rPr>
        <w:t>US$ 90 millones y un pag</w:t>
      </w:r>
      <w:r w:rsidR="001C4746">
        <w:rPr>
          <w:rFonts w:cs="Times New Roman"/>
          <w:lang w:val="es-ES_tradnl"/>
        </w:rPr>
        <w:t>o</w:t>
      </w:r>
      <w:r w:rsidRPr="001C4746">
        <w:rPr>
          <w:rFonts w:cs="Times New Roman"/>
          <w:lang w:val="es-ES_tradnl"/>
        </w:rPr>
        <w:t xml:space="preserve"> </w:t>
      </w:r>
      <w:r w:rsidR="00F864FC">
        <w:rPr>
          <w:rFonts w:cs="Times New Roman"/>
          <w:lang w:val="es-ES_tradnl"/>
        </w:rPr>
        <w:t xml:space="preserve">anual </w:t>
      </w:r>
      <w:r w:rsidR="001C4746">
        <w:rPr>
          <w:rFonts w:cs="Times New Roman"/>
          <w:lang w:val="es-ES_tradnl"/>
        </w:rPr>
        <w:t xml:space="preserve">estimado en </w:t>
      </w:r>
      <w:r w:rsidRPr="001C4746">
        <w:rPr>
          <w:rFonts w:cs="Times New Roman"/>
          <w:lang w:val="es-ES_tradnl"/>
        </w:rPr>
        <w:t>US$ 18 mill</w:t>
      </w:r>
      <w:r w:rsidR="001C4746">
        <w:rPr>
          <w:rFonts w:cs="Times New Roman"/>
          <w:lang w:val="es-ES_tradnl"/>
        </w:rPr>
        <w:t>o</w:t>
      </w:r>
      <w:r w:rsidRPr="001C4746">
        <w:rPr>
          <w:rFonts w:cs="Times New Roman"/>
          <w:lang w:val="es-ES_tradnl"/>
        </w:rPr>
        <w:t>nes, con el primer pag</w:t>
      </w:r>
      <w:r w:rsidR="001C4746">
        <w:rPr>
          <w:rFonts w:cs="Times New Roman"/>
          <w:lang w:val="es-ES_tradnl"/>
        </w:rPr>
        <w:t>o</w:t>
      </w:r>
      <w:r w:rsidRPr="001C4746">
        <w:rPr>
          <w:rFonts w:cs="Times New Roman"/>
          <w:lang w:val="es-ES_tradnl"/>
        </w:rPr>
        <w:t xml:space="preserve"> en el </w:t>
      </w:r>
      <w:r w:rsidR="001C4746">
        <w:rPr>
          <w:rFonts w:cs="Times New Roman"/>
          <w:lang w:val="es-ES_tradnl"/>
        </w:rPr>
        <w:t xml:space="preserve">año </w:t>
      </w:r>
      <w:r w:rsidRPr="001C4746">
        <w:rPr>
          <w:rFonts w:cs="Times New Roman"/>
          <w:lang w:val="es-ES_tradnl"/>
        </w:rPr>
        <w:t>2020.</w:t>
      </w:r>
    </w:p>
    <w:p w:rsidR="007E5B98" w:rsidRPr="00500A4E" w:rsidRDefault="001C4746" w:rsidP="00500A4E">
      <w:pPr>
        <w:pStyle w:val="ListParagraph"/>
        <w:numPr>
          <w:ilvl w:val="0"/>
          <w:numId w:val="27"/>
        </w:numPr>
        <w:spacing w:after="180" w:line="264" w:lineRule="auto"/>
        <w:jc w:val="both"/>
        <w:rPr>
          <w:rFonts w:cs="Times New Roman"/>
          <w:lang w:val="es-ES_tradnl"/>
        </w:rPr>
      </w:pPr>
      <w:r w:rsidRPr="00500A4E">
        <w:rPr>
          <w:rFonts w:cs="Times New Roman"/>
          <w:lang w:val="es-ES_tradnl"/>
        </w:rPr>
        <w:t>A ello se agrega</w:t>
      </w:r>
      <w:r w:rsidR="007E5B98" w:rsidRPr="00500A4E">
        <w:rPr>
          <w:rFonts w:cs="Times New Roman"/>
          <w:lang w:val="es-ES_tradnl"/>
        </w:rPr>
        <w:t xml:space="preserve"> el proyecto de </w:t>
      </w:r>
      <w:r w:rsidR="007E5B98" w:rsidRPr="006A4938">
        <w:rPr>
          <w:rFonts w:cs="Times New Roman"/>
          <w:b/>
          <w:lang w:val="es-ES_tradnl"/>
        </w:rPr>
        <w:t>transmisió</w:t>
      </w:r>
      <w:r w:rsidRPr="006A4938">
        <w:rPr>
          <w:rFonts w:cs="Times New Roman"/>
          <w:b/>
          <w:lang w:val="es-ES_tradnl"/>
        </w:rPr>
        <w:t>n</w:t>
      </w:r>
      <w:r w:rsidR="007E5B98" w:rsidRPr="006A4938">
        <w:rPr>
          <w:rFonts w:cs="Times New Roman"/>
          <w:b/>
          <w:lang w:val="es-ES_tradnl"/>
        </w:rPr>
        <w:t xml:space="preserve"> de energía eléctrica</w:t>
      </w:r>
      <w:r w:rsidR="00761825">
        <w:rPr>
          <w:rStyle w:val="FootnoteReference"/>
          <w:rFonts w:cs="Times New Roman"/>
          <w:b/>
          <w:lang w:val="es-ES_tradnl"/>
        </w:rPr>
        <w:footnoteReference w:id="3"/>
      </w:r>
      <w:r w:rsidR="00761825">
        <w:rPr>
          <w:rFonts w:cs="Times New Roman"/>
          <w:lang w:val="es-ES_tradnl"/>
        </w:rPr>
        <w:t xml:space="preserve">, que se </w:t>
      </w:r>
      <w:proofErr w:type="spellStart"/>
      <w:r w:rsidR="00761825">
        <w:rPr>
          <w:rFonts w:cs="Times New Roman"/>
          <w:lang w:val="es-ES_tradnl"/>
        </w:rPr>
        <w:t>palicarçái</w:t>
      </w:r>
      <w:proofErr w:type="spellEnd"/>
      <w:r w:rsidR="00761825">
        <w:rPr>
          <w:rFonts w:cs="Times New Roman"/>
          <w:lang w:val="es-ES_tradnl"/>
        </w:rPr>
        <w:t xml:space="preserve"> para </w:t>
      </w:r>
      <w:r w:rsidR="007E5B98" w:rsidRPr="00500A4E">
        <w:rPr>
          <w:rFonts w:cs="Times New Roman"/>
          <w:lang w:val="es-ES_tradnl"/>
        </w:rPr>
        <w:t>por un mont</w:t>
      </w:r>
      <w:r w:rsidRPr="00500A4E">
        <w:rPr>
          <w:rFonts w:cs="Times New Roman"/>
          <w:lang w:val="es-ES_tradnl"/>
        </w:rPr>
        <w:t>o</w:t>
      </w:r>
      <w:r w:rsidR="007E5B98" w:rsidRPr="00500A4E">
        <w:rPr>
          <w:rFonts w:cs="Times New Roman"/>
          <w:lang w:val="es-ES_tradnl"/>
        </w:rPr>
        <w:t xml:space="preserve"> de US$ 460 millone</w:t>
      </w:r>
      <w:r w:rsidRPr="00500A4E">
        <w:rPr>
          <w:rFonts w:cs="Times New Roman"/>
          <w:lang w:val="es-ES_tradnl"/>
        </w:rPr>
        <w:t>s</w:t>
      </w:r>
      <w:r w:rsidR="007E5B98" w:rsidRPr="00500A4E">
        <w:rPr>
          <w:rFonts w:cs="Times New Roman"/>
          <w:lang w:val="es-ES_tradnl"/>
        </w:rPr>
        <w:t xml:space="preserve"> y un pago </w:t>
      </w:r>
      <w:r w:rsidRPr="00500A4E">
        <w:rPr>
          <w:rFonts w:cs="Times New Roman"/>
          <w:lang w:val="es-ES_tradnl"/>
        </w:rPr>
        <w:t xml:space="preserve">anual </w:t>
      </w:r>
      <w:r w:rsidR="007E5B98" w:rsidRPr="00500A4E">
        <w:rPr>
          <w:rFonts w:cs="Times New Roman"/>
          <w:lang w:val="es-ES_tradnl"/>
        </w:rPr>
        <w:t>estimad</w:t>
      </w:r>
      <w:r w:rsidRPr="00500A4E">
        <w:rPr>
          <w:rFonts w:cs="Times New Roman"/>
          <w:lang w:val="es-ES_tradnl"/>
        </w:rPr>
        <w:t>o</w:t>
      </w:r>
      <w:r w:rsidR="007E5B98" w:rsidRPr="00500A4E">
        <w:rPr>
          <w:rFonts w:cs="Times New Roman"/>
          <w:lang w:val="es-ES_tradnl"/>
        </w:rPr>
        <w:t xml:space="preserve"> en US$ 87 millone</w:t>
      </w:r>
      <w:r w:rsidRPr="00500A4E">
        <w:rPr>
          <w:rFonts w:cs="Times New Roman"/>
          <w:lang w:val="es-ES_tradnl"/>
        </w:rPr>
        <w:t>s</w:t>
      </w:r>
      <w:r w:rsidR="007E5B98" w:rsidRPr="00500A4E">
        <w:rPr>
          <w:rFonts w:cs="Times New Roman"/>
          <w:lang w:val="es-ES_tradnl"/>
        </w:rPr>
        <w:t xml:space="preserve"> desde </w:t>
      </w:r>
      <w:r w:rsidRPr="00500A4E">
        <w:rPr>
          <w:rFonts w:cs="Times New Roman"/>
          <w:lang w:val="es-ES_tradnl"/>
        </w:rPr>
        <w:t xml:space="preserve">el año </w:t>
      </w:r>
      <w:r w:rsidR="007E5B98" w:rsidRPr="00500A4E">
        <w:rPr>
          <w:rFonts w:cs="Times New Roman"/>
          <w:lang w:val="es-ES_tradnl"/>
        </w:rPr>
        <w:t>2021 a</w:t>
      </w:r>
      <w:r w:rsidRPr="00500A4E">
        <w:rPr>
          <w:rFonts w:cs="Times New Roman"/>
          <w:lang w:val="es-ES_tradnl"/>
        </w:rPr>
        <w:t>l</w:t>
      </w:r>
      <w:r w:rsidR="007E5B98" w:rsidRPr="00500A4E">
        <w:rPr>
          <w:rFonts w:cs="Times New Roman"/>
          <w:lang w:val="es-ES_tradnl"/>
        </w:rPr>
        <w:t xml:space="preserve"> 2046.</w:t>
      </w:r>
    </w:p>
    <w:p w:rsidR="007E5B98" w:rsidRPr="00500A4E" w:rsidRDefault="00500A4E" w:rsidP="00500A4E">
      <w:pPr>
        <w:pStyle w:val="ListParagraph"/>
        <w:numPr>
          <w:ilvl w:val="0"/>
          <w:numId w:val="27"/>
        </w:numPr>
        <w:spacing w:after="180" w:line="264" w:lineRule="auto"/>
        <w:jc w:val="both"/>
        <w:rPr>
          <w:rFonts w:cs="Times New Roman"/>
          <w:lang w:val="es-ES_tradnl"/>
        </w:rPr>
      </w:pPr>
      <w:r w:rsidRPr="00500A4E">
        <w:rPr>
          <w:rFonts w:cs="Times New Roman"/>
          <w:lang w:val="es-ES_tradnl"/>
        </w:rPr>
        <w:t xml:space="preserve">El MTOP impulsa una PPP para atender la situación de </w:t>
      </w:r>
      <w:r w:rsidRPr="006A4938">
        <w:rPr>
          <w:rFonts w:cs="Times New Roman"/>
          <w:b/>
          <w:lang w:val="es-ES_tradnl"/>
        </w:rPr>
        <w:t>7 corredores</w:t>
      </w:r>
      <w:r w:rsidR="007E5B98" w:rsidRPr="006A4938">
        <w:rPr>
          <w:rFonts w:cs="Times New Roman"/>
          <w:b/>
          <w:lang w:val="es-ES_tradnl"/>
        </w:rPr>
        <w:t xml:space="preserve"> viales</w:t>
      </w:r>
      <w:r w:rsidR="007E5B98" w:rsidRPr="00500A4E">
        <w:rPr>
          <w:rFonts w:cs="Times New Roman"/>
          <w:lang w:val="es-ES_tradnl"/>
        </w:rPr>
        <w:t xml:space="preserve"> con una inversió</w:t>
      </w:r>
      <w:r w:rsidRPr="00500A4E">
        <w:rPr>
          <w:rFonts w:cs="Times New Roman"/>
          <w:lang w:val="es-ES_tradnl"/>
        </w:rPr>
        <w:t>n</w:t>
      </w:r>
      <w:r w:rsidR="007E5B98" w:rsidRPr="00500A4E">
        <w:rPr>
          <w:rFonts w:cs="Times New Roman"/>
          <w:lang w:val="es-ES_tradnl"/>
        </w:rPr>
        <w:t xml:space="preserve"> </w:t>
      </w:r>
      <w:r w:rsidR="00EA2897">
        <w:rPr>
          <w:rFonts w:cs="Times New Roman"/>
          <w:lang w:val="es-ES_tradnl"/>
        </w:rPr>
        <w:t xml:space="preserve">que hoy se estima en </w:t>
      </w:r>
      <w:r w:rsidR="007E5B98" w:rsidRPr="00500A4E">
        <w:rPr>
          <w:rFonts w:cs="Times New Roman"/>
          <w:lang w:val="es-ES_tradnl"/>
        </w:rPr>
        <w:t>US$ 663 millone</w:t>
      </w:r>
      <w:r w:rsidRPr="00500A4E">
        <w:rPr>
          <w:rFonts w:cs="Times New Roman"/>
          <w:lang w:val="es-ES_tradnl"/>
        </w:rPr>
        <w:t xml:space="preserve">s, en </w:t>
      </w:r>
      <w:r w:rsidR="007E5B98" w:rsidRPr="00500A4E">
        <w:rPr>
          <w:rFonts w:cs="Times New Roman"/>
          <w:lang w:val="es-ES_tradnl"/>
        </w:rPr>
        <w:t>1300 km de rutas</w:t>
      </w:r>
      <w:r w:rsidRPr="00500A4E">
        <w:rPr>
          <w:rFonts w:cs="Times New Roman"/>
          <w:lang w:val="es-ES_tradnl"/>
        </w:rPr>
        <w:t>, que se desagregan en:</w:t>
      </w:r>
      <w:r w:rsidR="007E5B98" w:rsidRPr="00500A4E">
        <w:rPr>
          <w:rFonts w:cs="Times New Roman"/>
          <w:lang w:val="es-ES_tradnl"/>
        </w:rPr>
        <w:t xml:space="preserve"> 1) R54, </w:t>
      </w:r>
      <w:r w:rsidR="00F864FC">
        <w:rPr>
          <w:rFonts w:cs="Times New Roman"/>
          <w:lang w:val="es-ES_tradnl"/>
        </w:rPr>
        <w:t>R</w:t>
      </w:r>
      <w:r w:rsidR="007E5B98" w:rsidRPr="00500A4E">
        <w:rPr>
          <w:rFonts w:cs="Times New Roman"/>
          <w:lang w:val="es-ES_tradnl"/>
        </w:rPr>
        <w:t xml:space="preserve">55, </w:t>
      </w:r>
      <w:r w:rsidR="00F864FC">
        <w:rPr>
          <w:rFonts w:cs="Times New Roman"/>
          <w:lang w:val="es-ES_tradnl"/>
        </w:rPr>
        <w:t>R</w:t>
      </w:r>
      <w:r w:rsidR="007E5B98" w:rsidRPr="00500A4E">
        <w:rPr>
          <w:rFonts w:cs="Times New Roman"/>
          <w:lang w:val="es-ES_tradnl"/>
        </w:rPr>
        <w:t>57 y tram</w:t>
      </w:r>
      <w:r w:rsidRPr="00500A4E">
        <w:rPr>
          <w:rFonts w:cs="Times New Roman"/>
          <w:lang w:val="es-ES_tradnl"/>
        </w:rPr>
        <w:t>o</w:t>
      </w:r>
      <w:r w:rsidR="007E5B98" w:rsidRPr="00500A4E">
        <w:rPr>
          <w:rFonts w:cs="Times New Roman"/>
          <w:lang w:val="es-ES_tradnl"/>
        </w:rPr>
        <w:t xml:space="preserve"> de la </w:t>
      </w:r>
      <w:r w:rsidR="00F864FC">
        <w:rPr>
          <w:rFonts w:cs="Times New Roman"/>
          <w:lang w:val="es-ES_tradnl"/>
        </w:rPr>
        <w:t>R</w:t>
      </w:r>
      <w:r w:rsidR="007E5B98" w:rsidRPr="00500A4E">
        <w:rPr>
          <w:rFonts w:cs="Times New Roman"/>
          <w:lang w:val="es-ES_tradnl"/>
        </w:rPr>
        <w:t xml:space="preserve">12 más </w:t>
      </w:r>
      <w:r w:rsidR="00F864FC">
        <w:rPr>
          <w:rFonts w:cs="Times New Roman"/>
          <w:lang w:val="es-ES_tradnl"/>
        </w:rPr>
        <w:t xml:space="preserve">un </w:t>
      </w:r>
      <w:r w:rsidR="007E5B98" w:rsidRPr="00500A4E">
        <w:rPr>
          <w:rFonts w:cs="Times New Roman"/>
          <w:lang w:val="es-ES_tradnl"/>
        </w:rPr>
        <w:t xml:space="preserve">bypass </w:t>
      </w:r>
      <w:r w:rsidR="00F864FC">
        <w:rPr>
          <w:rFonts w:cs="Times New Roman"/>
          <w:lang w:val="es-ES_tradnl"/>
        </w:rPr>
        <w:t xml:space="preserve">en </w:t>
      </w:r>
      <w:r w:rsidR="007E5B98" w:rsidRPr="00500A4E">
        <w:rPr>
          <w:rFonts w:cs="Times New Roman"/>
          <w:lang w:val="es-ES_tradnl"/>
        </w:rPr>
        <w:t xml:space="preserve">Carmelo, </w:t>
      </w:r>
      <w:r w:rsidRPr="00500A4E">
        <w:rPr>
          <w:rFonts w:cs="Times New Roman"/>
          <w:lang w:val="es-ES_tradnl"/>
        </w:rPr>
        <w:t xml:space="preserve">con </w:t>
      </w:r>
      <w:r w:rsidR="007E5B98" w:rsidRPr="00500A4E">
        <w:rPr>
          <w:rFonts w:cs="Times New Roman"/>
          <w:lang w:val="es-ES_tradnl"/>
        </w:rPr>
        <w:t xml:space="preserve">254 km </w:t>
      </w:r>
      <w:r w:rsidR="00F864FC">
        <w:rPr>
          <w:rFonts w:cs="Times New Roman"/>
          <w:lang w:val="es-ES_tradnl"/>
        </w:rPr>
        <w:t xml:space="preserve">de ruta </w:t>
      </w:r>
      <w:r w:rsidRPr="00500A4E">
        <w:rPr>
          <w:rFonts w:cs="Times New Roman"/>
          <w:lang w:val="es-ES_tradnl"/>
        </w:rPr>
        <w:t xml:space="preserve">y una inversión </w:t>
      </w:r>
      <w:r w:rsidR="00EA2897">
        <w:rPr>
          <w:rFonts w:cs="Times New Roman"/>
          <w:lang w:val="es-ES_tradnl"/>
        </w:rPr>
        <w:t>estimada en</w:t>
      </w:r>
      <w:r w:rsidRPr="00500A4E">
        <w:rPr>
          <w:rFonts w:cs="Times New Roman"/>
          <w:lang w:val="es-ES_tradnl"/>
        </w:rPr>
        <w:t xml:space="preserve"> </w:t>
      </w:r>
      <w:r w:rsidR="007E5B98" w:rsidRPr="00500A4E">
        <w:rPr>
          <w:rFonts w:cs="Times New Roman"/>
          <w:lang w:val="es-ES_tradnl"/>
        </w:rPr>
        <w:t xml:space="preserve">US$ 200 millones, 2) R6 y </w:t>
      </w:r>
      <w:r w:rsidR="00F864FC">
        <w:rPr>
          <w:rFonts w:cs="Times New Roman"/>
          <w:lang w:val="es-ES_tradnl"/>
        </w:rPr>
        <w:t>R</w:t>
      </w:r>
      <w:r w:rsidR="007E5B98" w:rsidRPr="00500A4E">
        <w:rPr>
          <w:rFonts w:cs="Times New Roman"/>
          <w:lang w:val="es-ES_tradnl"/>
        </w:rPr>
        <w:t>7 hast</w:t>
      </w:r>
      <w:r w:rsidRPr="00500A4E">
        <w:rPr>
          <w:rFonts w:cs="Times New Roman"/>
          <w:lang w:val="es-ES_tradnl"/>
        </w:rPr>
        <w:t>a</w:t>
      </w:r>
      <w:r w:rsidR="007E5B98" w:rsidRPr="00500A4E">
        <w:rPr>
          <w:rFonts w:cs="Times New Roman"/>
          <w:lang w:val="es-ES_tradnl"/>
        </w:rPr>
        <w:t xml:space="preserve"> la R11 más reh</w:t>
      </w:r>
      <w:r w:rsidRPr="00500A4E">
        <w:rPr>
          <w:rFonts w:cs="Times New Roman"/>
          <w:lang w:val="es-ES_tradnl"/>
        </w:rPr>
        <w:t>a</w:t>
      </w:r>
      <w:r w:rsidR="007E5B98" w:rsidRPr="00500A4E">
        <w:rPr>
          <w:rFonts w:cs="Times New Roman"/>
          <w:lang w:val="es-ES_tradnl"/>
        </w:rPr>
        <w:t xml:space="preserve">bilitación de </w:t>
      </w:r>
      <w:r w:rsidR="00F864FC">
        <w:rPr>
          <w:rFonts w:cs="Times New Roman"/>
          <w:lang w:val="es-ES_tradnl"/>
        </w:rPr>
        <w:t xml:space="preserve">la </w:t>
      </w:r>
      <w:r w:rsidR="007E5B98" w:rsidRPr="00500A4E">
        <w:rPr>
          <w:rFonts w:cs="Times New Roman"/>
          <w:lang w:val="es-ES_tradnl"/>
        </w:rPr>
        <w:t>Avda</w:t>
      </w:r>
      <w:r w:rsidRPr="00500A4E">
        <w:rPr>
          <w:rFonts w:cs="Times New Roman"/>
          <w:lang w:val="es-ES_tradnl"/>
        </w:rPr>
        <w:t xml:space="preserve">. de las </w:t>
      </w:r>
      <w:r w:rsidR="007E5B98" w:rsidRPr="00500A4E">
        <w:rPr>
          <w:rFonts w:cs="Times New Roman"/>
          <w:lang w:val="es-ES_tradnl"/>
        </w:rPr>
        <w:t>Instrucciones desde Propios al límite d</w:t>
      </w:r>
      <w:r w:rsidRPr="00500A4E">
        <w:rPr>
          <w:rFonts w:cs="Times New Roman"/>
          <w:lang w:val="es-ES_tradnl"/>
        </w:rPr>
        <w:t>epartamental</w:t>
      </w:r>
      <w:r w:rsidR="007E5B98" w:rsidRPr="00500A4E">
        <w:rPr>
          <w:rFonts w:cs="Times New Roman"/>
          <w:lang w:val="es-ES_tradnl"/>
        </w:rPr>
        <w:t xml:space="preserve">, </w:t>
      </w:r>
      <w:r w:rsidRPr="00500A4E">
        <w:rPr>
          <w:rFonts w:cs="Times New Roman"/>
          <w:lang w:val="es-ES_tradnl"/>
        </w:rPr>
        <w:t xml:space="preserve">con </w:t>
      </w:r>
      <w:r w:rsidR="007E5B98" w:rsidRPr="00500A4E">
        <w:rPr>
          <w:rFonts w:cs="Times New Roman"/>
          <w:lang w:val="es-ES_tradnl"/>
        </w:rPr>
        <w:t xml:space="preserve">230 km </w:t>
      </w:r>
      <w:r w:rsidR="00F864FC">
        <w:rPr>
          <w:rFonts w:cs="Times New Roman"/>
          <w:lang w:val="es-ES_tradnl"/>
        </w:rPr>
        <w:t xml:space="preserve">de obras </w:t>
      </w:r>
      <w:r w:rsidR="007E5B98" w:rsidRPr="00500A4E">
        <w:rPr>
          <w:rFonts w:cs="Times New Roman"/>
          <w:lang w:val="es-ES_tradnl"/>
        </w:rPr>
        <w:t>y US$ 240 mil</w:t>
      </w:r>
      <w:r w:rsidRPr="00500A4E">
        <w:rPr>
          <w:rFonts w:cs="Times New Roman"/>
          <w:lang w:val="es-ES_tradnl"/>
        </w:rPr>
        <w:t>lones de inversión</w:t>
      </w:r>
      <w:r w:rsidR="007E5B98" w:rsidRPr="00500A4E">
        <w:rPr>
          <w:rFonts w:cs="Times New Roman"/>
          <w:lang w:val="es-ES_tradnl"/>
        </w:rPr>
        <w:t xml:space="preserve">, 3) R14 de Mercedes a Sarandí del </w:t>
      </w:r>
      <w:proofErr w:type="spellStart"/>
      <w:r w:rsidR="007E5B98" w:rsidRPr="00500A4E">
        <w:rPr>
          <w:rFonts w:cs="Times New Roman"/>
          <w:lang w:val="es-ES_tradnl"/>
        </w:rPr>
        <w:t>Yi</w:t>
      </w:r>
      <w:proofErr w:type="spellEnd"/>
      <w:r w:rsidR="007E5B98" w:rsidRPr="00500A4E">
        <w:rPr>
          <w:rFonts w:cs="Times New Roman"/>
          <w:lang w:val="es-ES_tradnl"/>
        </w:rPr>
        <w:t xml:space="preserve"> más bypass de la R6 con </w:t>
      </w:r>
      <w:r w:rsidR="00F864FC">
        <w:rPr>
          <w:rFonts w:cs="Times New Roman"/>
          <w:lang w:val="es-ES_tradnl"/>
        </w:rPr>
        <w:t xml:space="preserve">un </w:t>
      </w:r>
      <w:r w:rsidR="007E5B98" w:rsidRPr="00500A4E">
        <w:rPr>
          <w:rFonts w:cs="Times New Roman"/>
          <w:lang w:val="es-ES_tradnl"/>
        </w:rPr>
        <w:t>puente nuev</w:t>
      </w:r>
      <w:r w:rsidRPr="00500A4E">
        <w:rPr>
          <w:rFonts w:cs="Times New Roman"/>
          <w:lang w:val="es-ES_tradnl"/>
        </w:rPr>
        <w:t>o</w:t>
      </w:r>
      <w:r w:rsidR="007E5B98" w:rsidRPr="00500A4E">
        <w:rPr>
          <w:rFonts w:cs="Times New Roman"/>
          <w:lang w:val="es-ES_tradnl"/>
        </w:rPr>
        <w:t xml:space="preserve"> sobre el Río </w:t>
      </w:r>
      <w:proofErr w:type="spellStart"/>
      <w:r w:rsidR="007E5B98" w:rsidRPr="00500A4E">
        <w:rPr>
          <w:rFonts w:cs="Times New Roman"/>
          <w:lang w:val="es-ES_tradnl"/>
        </w:rPr>
        <w:t>Yi</w:t>
      </w:r>
      <w:proofErr w:type="spellEnd"/>
      <w:r w:rsidR="007E5B98" w:rsidRPr="00500A4E">
        <w:rPr>
          <w:rFonts w:cs="Times New Roman"/>
          <w:lang w:val="es-ES_tradnl"/>
        </w:rPr>
        <w:t xml:space="preserve">, 4) R9 de Pan de Azúcar al Chuy, 240 km, 5) R14 y </w:t>
      </w:r>
      <w:r w:rsidR="00F864FC">
        <w:rPr>
          <w:rFonts w:cs="Times New Roman"/>
          <w:lang w:val="es-ES_tradnl"/>
        </w:rPr>
        <w:t>R</w:t>
      </w:r>
      <w:r w:rsidR="007E5B98" w:rsidRPr="00500A4E">
        <w:rPr>
          <w:rFonts w:cs="Times New Roman"/>
          <w:lang w:val="es-ES_tradnl"/>
        </w:rPr>
        <w:t>15 hast</w:t>
      </w:r>
      <w:r w:rsidRPr="00500A4E">
        <w:rPr>
          <w:rFonts w:cs="Times New Roman"/>
          <w:lang w:val="es-ES_tradnl"/>
        </w:rPr>
        <w:t>a</w:t>
      </w:r>
      <w:r w:rsidR="007E5B98" w:rsidRPr="00500A4E">
        <w:rPr>
          <w:rFonts w:cs="Times New Roman"/>
          <w:lang w:val="es-ES_tradnl"/>
        </w:rPr>
        <w:t xml:space="preserve"> Rocha, 6) mantenimiento </w:t>
      </w:r>
      <w:r w:rsidRPr="00500A4E">
        <w:rPr>
          <w:rFonts w:cs="Times New Roman"/>
          <w:lang w:val="es-ES_tradnl"/>
        </w:rPr>
        <w:t>de las R</w:t>
      </w:r>
      <w:r w:rsidR="007E5B98" w:rsidRPr="00500A4E">
        <w:rPr>
          <w:rFonts w:cs="Times New Roman"/>
          <w:lang w:val="es-ES_tradnl"/>
        </w:rPr>
        <w:t xml:space="preserve">26 y </w:t>
      </w:r>
      <w:r w:rsidRPr="00500A4E">
        <w:rPr>
          <w:rFonts w:cs="Times New Roman"/>
          <w:lang w:val="es-ES_tradnl"/>
        </w:rPr>
        <w:t>R</w:t>
      </w:r>
      <w:r w:rsidR="007E5B98" w:rsidRPr="00500A4E">
        <w:rPr>
          <w:rFonts w:cs="Times New Roman"/>
          <w:lang w:val="es-ES_tradnl"/>
        </w:rPr>
        <w:t xml:space="preserve">27 </w:t>
      </w:r>
      <w:r w:rsidR="00F864FC">
        <w:rPr>
          <w:rFonts w:cs="Times New Roman"/>
          <w:lang w:val="es-ES_tradnl"/>
        </w:rPr>
        <w:t xml:space="preserve"> y</w:t>
      </w:r>
      <w:r w:rsidR="007E5B98" w:rsidRPr="00500A4E">
        <w:rPr>
          <w:rFonts w:cs="Times New Roman"/>
          <w:lang w:val="es-ES_tradnl"/>
        </w:rPr>
        <w:t xml:space="preserve"> 7) mejoramient</w:t>
      </w:r>
      <w:r w:rsidRPr="00500A4E">
        <w:rPr>
          <w:rFonts w:cs="Times New Roman"/>
          <w:lang w:val="es-ES_tradnl"/>
        </w:rPr>
        <w:t xml:space="preserve">o de la </w:t>
      </w:r>
      <w:r w:rsidR="007E5B98" w:rsidRPr="00500A4E">
        <w:rPr>
          <w:rFonts w:cs="Times New Roman"/>
          <w:lang w:val="es-ES_tradnl"/>
        </w:rPr>
        <w:t xml:space="preserve">R30. </w:t>
      </w:r>
    </w:p>
    <w:p w:rsidR="007D4ACC" w:rsidRDefault="007E5B98" w:rsidP="007D4ACC">
      <w:pPr>
        <w:pStyle w:val="ListParagraph"/>
        <w:spacing w:after="180" w:line="264" w:lineRule="auto"/>
        <w:jc w:val="both"/>
        <w:rPr>
          <w:rFonts w:cs="Times New Roman"/>
          <w:lang w:val="es-ES_tradnl"/>
        </w:rPr>
      </w:pPr>
      <w:r w:rsidRPr="00500A4E">
        <w:rPr>
          <w:rFonts w:cs="Times New Roman"/>
          <w:lang w:val="es-ES_tradnl"/>
        </w:rPr>
        <w:t xml:space="preserve">Esta PPP tendría una primera </w:t>
      </w:r>
      <w:r w:rsidR="00500A4E">
        <w:rPr>
          <w:rFonts w:cs="Times New Roman"/>
          <w:lang w:val="es-ES_tradnl"/>
        </w:rPr>
        <w:t xml:space="preserve">etapa </w:t>
      </w:r>
      <w:r w:rsidRPr="00500A4E">
        <w:rPr>
          <w:rFonts w:cs="Times New Roman"/>
          <w:lang w:val="es-ES_tradnl"/>
        </w:rPr>
        <w:t xml:space="preserve">por US$ 380 millones </w:t>
      </w:r>
      <w:r w:rsidR="00500A4E">
        <w:rPr>
          <w:rFonts w:cs="Times New Roman"/>
          <w:lang w:val="es-ES_tradnl"/>
        </w:rPr>
        <w:t xml:space="preserve">de inversión </w:t>
      </w:r>
      <w:r w:rsidRPr="00500A4E">
        <w:rPr>
          <w:rFonts w:cs="Times New Roman"/>
          <w:lang w:val="es-ES_tradnl"/>
        </w:rPr>
        <w:t>y un pago</w:t>
      </w:r>
      <w:r w:rsidR="00500A4E">
        <w:rPr>
          <w:rFonts w:cs="Times New Roman"/>
          <w:lang w:val="es-ES_tradnl"/>
        </w:rPr>
        <w:t xml:space="preserve"> estimado en </w:t>
      </w:r>
      <w:r w:rsidRPr="00500A4E">
        <w:rPr>
          <w:rFonts w:cs="Times New Roman"/>
          <w:lang w:val="es-ES_tradnl"/>
        </w:rPr>
        <w:t xml:space="preserve">US$ 72 millones </w:t>
      </w:r>
      <w:r w:rsidR="00500A4E">
        <w:rPr>
          <w:rFonts w:cs="Times New Roman"/>
          <w:lang w:val="es-ES_tradnl"/>
        </w:rPr>
        <w:t xml:space="preserve">anuales </w:t>
      </w:r>
      <w:r w:rsidRPr="00500A4E">
        <w:rPr>
          <w:rFonts w:cs="Times New Roman"/>
          <w:lang w:val="es-ES_tradnl"/>
        </w:rPr>
        <w:t xml:space="preserve">desde 2020 a 2045 y una segunda </w:t>
      </w:r>
      <w:r w:rsidR="00500A4E">
        <w:rPr>
          <w:rFonts w:cs="Times New Roman"/>
          <w:lang w:val="es-ES_tradnl"/>
        </w:rPr>
        <w:t xml:space="preserve">etapa </w:t>
      </w:r>
      <w:r w:rsidRPr="00500A4E">
        <w:rPr>
          <w:rFonts w:cs="Times New Roman"/>
          <w:lang w:val="es-ES_tradnl"/>
        </w:rPr>
        <w:t xml:space="preserve">de US$ 283 millones </w:t>
      </w:r>
      <w:r w:rsidR="00500A4E">
        <w:rPr>
          <w:rFonts w:cs="Times New Roman"/>
          <w:lang w:val="es-ES_tradnl"/>
        </w:rPr>
        <w:t xml:space="preserve">de inversión </w:t>
      </w:r>
      <w:r w:rsidRPr="00500A4E">
        <w:rPr>
          <w:rFonts w:cs="Times New Roman"/>
          <w:lang w:val="es-ES_tradnl"/>
        </w:rPr>
        <w:t xml:space="preserve">con un pago de US$ 54 millones </w:t>
      </w:r>
      <w:r w:rsidR="00500A4E">
        <w:rPr>
          <w:rFonts w:cs="Times New Roman"/>
          <w:lang w:val="es-ES_tradnl"/>
        </w:rPr>
        <w:t xml:space="preserve">por año </w:t>
      </w:r>
      <w:r w:rsidRPr="00500A4E">
        <w:rPr>
          <w:rFonts w:cs="Times New Roman"/>
          <w:lang w:val="es-ES_tradnl"/>
        </w:rPr>
        <w:t>de</w:t>
      </w:r>
      <w:r w:rsidR="00500A4E">
        <w:rPr>
          <w:rFonts w:cs="Times New Roman"/>
          <w:lang w:val="es-ES_tradnl"/>
        </w:rPr>
        <w:t>sde</w:t>
      </w:r>
      <w:r w:rsidRPr="00500A4E">
        <w:rPr>
          <w:rFonts w:cs="Times New Roman"/>
          <w:lang w:val="es-ES_tradnl"/>
        </w:rPr>
        <w:t xml:space="preserve"> 2021 </w:t>
      </w:r>
      <w:r w:rsidR="00500A4E">
        <w:rPr>
          <w:rFonts w:cs="Times New Roman"/>
          <w:lang w:val="es-ES_tradnl"/>
        </w:rPr>
        <w:t xml:space="preserve">hasta </w:t>
      </w:r>
      <w:r w:rsidRPr="00500A4E">
        <w:rPr>
          <w:rFonts w:cs="Times New Roman"/>
          <w:lang w:val="es-ES_tradnl"/>
        </w:rPr>
        <w:t xml:space="preserve">2046. </w:t>
      </w:r>
    </w:p>
    <w:p w:rsidR="007E5B98" w:rsidRPr="007314AF" w:rsidRDefault="007E5B98" w:rsidP="007D4ACC">
      <w:pPr>
        <w:pStyle w:val="ListParagraph"/>
        <w:spacing w:after="180" w:line="264" w:lineRule="auto"/>
        <w:jc w:val="both"/>
        <w:rPr>
          <w:rFonts w:cs="Times New Roman"/>
          <w:lang w:val="es-ES_tradnl"/>
        </w:rPr>
      </w:pPr>
      <w:r w:rsidRPr="007314AF">
        <w:rPr>
          <w:rFonts w:cs="Times New Roman"/>
          <w:lang w:val="es-ES_tradnl"/>
        </w:rPr>
        <w:t>Se estima qu</w:t>
      </w:r>
      <w:r w:rsidR="00500A4E">
        <w:rPr>
          <w:rFonts w:cs="Times New Roman"/>
          <w:lang w:val="es-ES_tradnl"/>
        </w:rPr>
        <w:t>e</w:t>
      </w:r>
      <w:r w:rsidRPr="007314AF">
        <w:rPr>
          <w:rFonts w:cs="Times New Roman"/>
          <w:lang w:val="es-ES_tradnl"/>
        </w:rPr>
        <w:t xml:space="preserve"> los plazos futuros de la</w:t>
      </w:r>
      <w:r w:rsidR="00500A4E">
        <w:rPr>
          <w:rFonts w:cs="Times New Roman"/>
          <w:lang w:val="es-ES_tradnl"/>
        </w:rPr>
        <w:t>s</w:t>
      </w:r>
      <w:r w:rsidRPr="007314AF">
        <w:rPr>
          <w:rFonts w:cs="Times New Roman"/>
          <w:lang w:val="es-ES_tradnl"/>
        </w:rPr>
        <w:t xml:space="preserve"> PPP viales serán menore</w:t>
      </w:r>
      <w:r w:rsidR="00500A4E">
        <w:rPr>
          <w:rFonts w:cs="Times New Roman"/>
          <w:lang w:val="es-ES_tradnl"/>
        </w:rPr>
        <w:t>s</w:t>
      </w:r>
      <w:r w:rsidRPr="007314AF">
        <w:rPr>
          <w:rFonts w:cs="Times New Roman"/>
          <w:lang w:val="es-ES_tradnl"/>
        </w:rPr>
        <w:t xml:space="preserve"> ya que con la</w:t>
      </w:r>
      <w:r w:rsidR="00500A4E">
        <w:rPr>
          <w:rFonts w:cs="Times New Roman"/>
          <w:lang w:val="es-ES_tradnl"/>
        </w:rPr>
        <w:t xml:space="preserve"> PPP del corredor de</w:t>
      </w:r>
      <w:r w:rsidR="006A4938">
        <w:rPr>
          <w:rFonts w:cs="Times New Roman"/>
          <w:lang w:val="es-ES_tradnl"/>
        </w:rPr>
        <w:t xml:space="preserve"> </w:t>
      </w:r>
      <w:r w:rsidR="00500A4E">
        <w:rPr>
          <w:rFonts w:cs="Times New Roman"/>
          <w:lang w:val="es-ES_tradnl"/>
        </w:rPr>
        <w:t xml:space="preserve">las Rutas </w:t>
      </w:r>
      <w:r w:rsidRPr="007314AF">
        <w:rPr>
          <w:rFonts w:cs="Times New Roman"/>
          <w:lang w:val="es-ES_tradnl"/>
        </w:rPr>
        <w:t>21</w:t>
      </w:r>
      <w:r w:rsidR="00500A4E">
        <w:rPr>
          <w:rFonts w:cs="Times New Roman"/>
          <w:lang w:val="es-ES_tradnl"/>
        </w:rPr>
        <w:t xml:space="preserve"> y</w:t>
      </w:r>
      <w:r w:rsidRPr="007314AF">
        <w:rPr>
          <w:rFonts w:cs="Times New Roman"/>
          <w:lang w:val="es-ES_tradnl"/>
        </w:rPr>
        <w:t xml:space="preserve"> 24</w:t>
      </w:r>
      <w:r w:rsidR="00500A4E">
        <w:rPr>
          <w:rFonts w:cs="Times New Roman"/>
          <w:lang w:val="es-ES_tradnl"/>
        </w:rPr>
        <w:t xml:space="preserve">, que se está implementando, </w:t>
      </w:r>
      <w:r w:rsidRPr="007314AF">
        <w:rPr>
          <w:rFonts w:cs="Times New Roman"/>
          <w:lang w:val="es-ES_tradnl"/>
        </w:rPr>
        <w:t>se tendrá</w:t>
      </w:r>
      <w:r w:rsidR="00500A4E">
        <w:rPr>
          <w:rFonts w:cs="Times New Roman"/>
          <w:lang w:val="es-ES_tradnl"/>
        </w:rPr>
        <w:t>n</w:t>
      </w:r>
      <w:r w:rsidRPr="007314AF">
        <w:rPr>
          <w:rFonts w:cs="Times New Roman"/>
          <w:lang w:val="es-ES_tradnl"/>
        </w:rPr>
        <w:t xml:space="preserve"> avances en las forma</w:t>
      </w:r>
      <w:r w:rsidR="00500A4E">
        <w:rPr>
          <w:rFonts w:cs="Times New Roman"/>
          <w:lang w:val="es-ES_tradnl"/>
        </w:rPr>
        <w:t>s</w:t>
      </w:r>
      <w:r w:rsidRPr="007314AF">
        <w:rPr>
          <w:rFonts w:cs="Times New Roman"/>
          <w:lang w:val="es-ES_tradnl"/>
        </w:rPr>
        <w:t xml:space="preserve"> de contratos, tipos de estudio</w:t>
      </w:r>
      <w:r w:rsidR="00500A4E">
        <w:rPr>
          <w:rFonts w:cs="Times New Roman"/>
          <w:lang w:val="es-ES_tradnl"/>
        </w:rPr>
        <w:t>s</w:t>
      </w:r>
      <w:r w:rsidRPr="007314AF">
        <w:rPr>
          <w:rFonts w:cs="Times New Roman"/>
          <w:lang w:val="es-ES_tradnl"/>
        </w:rPr>
        <w:t xml:space="preserve">, informaciones claves, </w:t>
      </w:r>
      <w:r w:rsidR="00F864FC">
        <w:rPr>
          <w:rFonts w:cs="Times New Roman"/>
          <w:lang w:val="es-ES_tradnl"/>
        </w:rPr>
        <w:t>entre otros temas, q</w:t>
      </w:r>
      <w:r w:rsidRPr="007314AF">
        <w:rPr>
          <w:rFonts w:cs="Times New Roman"/>
          <w:lang w:val="es-ES_tradnl"/>
        </w:rPr>
        <w:t xml:space="preserve">ue </w:t>
      </w:r>
      <w:r w:rsidR="00500A4E">
        <w:rPr>
          <w:rFonts w:cs="Times New Roman"/>
          <w:lang w:val="es-ES_tradnl"/>
        </w:rPr>
        <w:t xml:space="preserve">por su similitud podrán aplicarse a los otros contratos de </w:t>
      </w:r>
      <w:proofErr w:type="spellStart"/>
      <w:r w:rsidR="00500A4E">
        <w:rPr>
          <w:rFonts w:cs="Times New Roman"/>
          <w:lang w:val="es-ES_tradnl"/>
        </w:rPr>
        <w:t>PPPs</w:t>
      </w:r>
      <w:proofErr w:type="spellEnd"/>
      <w:r w:rsidR="00500A4E">
        <w:rPr>
          <w:rFonts w:cs="Times New Roman"/>
          <w:lang w:val="es-ES_tradnl"/>
        </w:rPr>
        <w:t xml:space="preserve"> viales</w:t>
      </w:r>
      <w:r w:rsidR="00F864FC">
        <w:rPr>
          <w:rFonts w:cs="Times New Roman"/>
          <w:lang w:val="es-ES_tradnl"/>
        </w:rPr>
        <w:t xml:space="preserve">. No se podrían reducir </w:t>
      </w:r>
      <w:r w:rsidRPr="007314AF">
        <w:rPr>
          <w:rFonts w:cs="Times New Roman"/>
          <w:lang w:val="es-ES_tradnl"/>
        </w:rPr>
        <w:t>el estudi</w:t>
      </w:r>
      <w:r w:rsidR="007D4ACC">
        <w:rPr>
          <w:rFonts w:cs="Times New Roman"/>
          <w:lang w:val="es-ES_tradnl"/>
        </w:rPr>
        <w:t>o</w:t>
      </w:r>
      <w:r w:rsidRPr="007314AF">
        <w:rPr>
          <w:rFonts w:cs="Times New Roman"/>
          <w:lang w:val="es-ES_tradnl"/>
        </w:rPr>
        <w:t xml:space="preserve"> del proyecto por el gest</w:t>
      </w:r>
      <w:r w:rsidR="007D4ACC">
        <w:rPr>
          <w:rFonts w:cs="Times New Roman"/>
          <w:lang w:val="es-ES_tradnl"/>
        </w:rPr>
        <w:t>o</w:t>
      </w:r>
      <w:r w:rsidRPr="007314AF">
        <w:rPr>
          <w:rFonts w:cs="Times New Roman"/>
          <w:lang w:val="es-ES_tradnl"/>
        </w:rPr>
        <w:t xml:space="preserve">r y armado de la PPP </w:t>
      </w:r>
      <w:r w:rsidR="007D4ACC">
        <w:rPr>
          <w:rFonts w:cs="Times New Roman"/>
          <w:lang w:val="es-ES_tradnl"/>
        </w:rPr>
        <w:t xml:space="preserve">más </w:t>
      </w:r>
      <w:r w:rsidRPr="007314AF">
        <w:rPr>
          <w:rFonts w:cs="Times New Roman"/>
          <w:lang w:val="es-ES_tradnl"/>
        </w:rPr>
        <w:t xml:space="preserve">el plazo para </w:t>
      </w:r>
      <w:r w:rsidR="007D4ACC">
        <w:rPr>
          <w:rFonts w:cs="Times New Roman"/>
          <w:lang w:val="es-ES_tradnl"/>
        </w:rPr>
        <w:t xml:space="preserve">cerrar </w:t>
      </w:r>
      <w:r w:rsidRPr="007314AF">
        <w:rPr>
          <w:rFonts w:cs="Times New Roman"/>
          <w:lang w:val="es-ES_tradnl"/>
        </w:rPr>
        <w:t>el financiamiento, ambos períodos claves par</w:t>
      </w:r>
      <w:r w:rsidR="007D4ACC">
        <w:rPr>
          <w:rFonts w:cs="Times New Roman"/>
          <w:lang w:val="es-ES_tradnl"/>
        </w:rPr>
        <w:t>a</w:t>
      </w:r>
      <w:r w:rsidRPr="007314AF">
        <w:rPr>
          <w:rFonts w:cs="Times New Roman"/>
          <w:lang w:val="es-ES_tradnl"/>
        </w:rPr>
        <w:t xml:space="preserve"> el éxito del proyect</w:t>
      </w:r>
      <w:r w:rsidR="007D4ACC">
        <w:rPr>
          <w:rFonts w:cs="Times New Roman"/>
          <w:lang w:val="es-ES_tradnl"/>
        </w:rPr>
        <w:t>o</w:t>
      </w:r>
      <w:r w:rsidRPr="007314AF">
        <w:rPr>
          <w:rFonts w:cs="Times New Roman"/>
          <w:lang w:val="es-ES_tradnl"/>
        </w:rPr>
        <w:t xml:space="preserve">. </w:t>
      </w:r>
    </w:p>
    <w:p w:rsidR="007E5B98" w:rsidRPr="00B443D5" w:rsidRDefault="007E5B98" w:rsidP="007D4ACC">
      <w:pPr>
        <w:pStyle w:val="ListParagraph"/>
        <w:numPr>
          <w:ilvl w:val="0"/>
          <w:numId w:val="28"/>
        </w:numPr>
        <w:spacing w:after="180" w:line="264" w:lineRule="auto"/>
        <w:jc w:val="both"/>
        <w:rPr>
          <w:lang w:val="es-ES_tradnl"/>
        </w:rPr>
      </w:pPr>
      <w:r w:rsidRPr="007D4ACC">
        <w:rPr>
          <w:rFonts w:cs="Times New Roman"/>
          <w:lang w:val="es-ES_tradnl"/>
        </w:rPr>
        <w:t>Por último</w:t>
      </w:r>
      <w:r w:rsidR="007D4ACC">
        <w:rPr>
          <w:rFonts w:cs="Times New Roman"/>
          <w:lang w:val="es-ES_tradnl"/>
        </w:rPr>
        <w:t xml:space="preserve">, </w:t>
      </w:r>
      <w:r w:rsidRPr="007D4ACC">
        <w:rPr>
          <w:rFonts w:cs="Times New Roman"/>
          <w:lang w:val="es-ES_tradnl"/>
        </w:rPr>
        <w:t>se prevé una PPP de US$ 500 millone</w:t>
      </w:r>
      <w:r w:rsidR="007D4ACC">
        <w:rPr>
          <w:rFonts w:cs="Times New Roman"/>
          <w:lang w:val="es-ES_tradnl"/>
        </w:rPr>
        <w:t>s</w:t>
      </w:r>
      <w:r w:rsidRPr="007D4ACC">
        <w:rPr>
          <w:rFonts w:cs="Times New Roman"/>
          <w:lang w:val="es-ES_tradnl"/>
        </w:rPr>
        <w:t xml:space="preserve"> de inversión inicial correspondient</w:t>
      </w:r>
      <w:r w:rsidR="007D4ACC">
        <w:rPr>
          <w:rFonts w:cs="Times New Roman"/>
          <w:lang w:val="es-ES_tradnl"/>
        </w:rPr>
        <w:t>e</w:t>
      </w:r>
      <w:r w:rsidRPr="007D4ACC">
        <w:rPr>
          <w:rFonts w:cs="Times New Roman"/>
          <w:lang w:val="es-ES_tradnl"/>
        </w:rPr>
        <w:t xml:space="preserve"> a </w:t>
      </w:r>
      <w:r w:rsidRPr="006A4938">
        <w:rPr>
          <w:rFonts w:cs="Times New Roman"/>
          <w:b/>
          <w:lang w:val="es-ES_tradnl"/>
        </w:rPr>
        <w:t>infraestructura social</w:t>
      </w:r>
      <w:r w:rsidRPr="007D4ACC">
        <w:rPr>
          <w:rFonts w:cs="Times New Roman"/>
          <w:lang w:val="es-ES_tradnl"/>
        </w:rPr>
        <w:t>, principalmente educativ</w:t>
      </w:r>
      <w:r w:rsidR="007D4ACC">
        <w:rPr>
          <w:rFonts w:cs="Times New Roman"/>
          <w:lang w:val="es-ES_tradnl"/>
        </w:rPr>
        <w:t>a</w:t>
      </w:r>
      <w:r w:rsidRPr="007D4ACC">
        <w:rPr>
          <w:rFonts w:cs="Times New Roman"/>
          <w:lang w:val="es-ES_tradnl"/>
        </w:rPr>
        <w:t xml:space="preserve"> y en menor medid</w:t>
      </w:r>
      <w:r w:rsidR="007D4ACC">
        <w:rPr>
          <w:rFonts w:cs="Times New Roman"/>
          <w:lang w:val="es-ES_tradnl"/>
        </w:rPr>
        <w:t>a</w:t>
      </w:r>
      <w:r w:rsidRPr="007D4ACC">
        <w:rPr>
          <w:rFonts w:cs="Times New Roman"/>
          <w:lang w:val="es-ES_tradnl"/>
        </w:rPr>
        <w:t xml:space="preserve"> hospitalaria, con un pago anual e</w:t>
      </w:r>
      <w:r w:rsidR="007D4ACC">
        <w:rPr>
          <w:rFonts w:cs="Times New Roman"/>
          <w:lang w:val="es-ES_tradnl"/>
        </w:rPr>
        <w:t>s</w:t>
      </w:r>
      <w:r w:rsidRPr="007D4ACC">
        <w:rPr>
          <w:rFonts w:cs="Times New Roman"/>
          <w:lang w:val="es-ES_tradnl"/>
        </w:rPr>
        <w:t xml:space="preserve">timado en US$ 95 </w:t>
      </w:r>
      <w:r w:rsidR="007D4ACC">
        <w:rPr>
          <w:rFonts w:cs="Times New Roman"/>
          <w:lang w:val="es-ES_tradnl"/>
        </w:rPr>
        <w:t xml:space="preserve">millones </w:t>
      </w:r>
      <w:r w:rsidRPr="007D4ACC">
        <w:rPr>
          <w:rFonts w:cs="Times New Roman"/>
          <w:lang w:val="es-ES_tradnl"/>
        </w:rPr>
        <w:t>desde el 2021 al 2046.</w:t>
      </w:r>
    </w:p>
    <w:p w:rsidR="007E5B98" w:rsidRDefault="007E5B98" w:rsidP="007D4ACC">
      <w:pPr>
        <w:spacing w:after="180" w:line="264" w:lineRule="auto"/>
        <w:jc w:val="both"/>
        <w:rPr>
          <w:rFonts w:asciiTheme="minorHAnsi" w:hAnsiTheme="minorHAnsi" w:cs="Times New Roman"/>
          <w:lang w:val="es-ES_tradnl"/>
        </w:rPr>
      </w:pPr>
      <w:r w:rsidRPr="007D4ACC">
        <w:rPr>
          <w:rFonts w:asciiTheme="minorHAnsi" w:hAnsiTheme="minorHAnsi" w:cs="Times New Roman"/>
          <w:lang w:val="es-ES_tradnl"/>
        </w:rPr>
        <w:t>En el cuadro siguient</w:t>
      </w:r>
      <w:r w:rsidR="007D4ACC" w:rsidRPr="007D4ACC">
        <w:rPr>
          <w:rFonts w:asciiTheme="minorHAnsi" w:hAnsiTheme="minorHAnsi" w:cs="Times New Roman"/>
          <w:lang w:val="es-ES_tradnl"/>
        </w:rPr>
        <w:t>e</w:t>
      </w:r>
      <w:r w:rsidRPr="007D4ACC">
        <w:rPr>
          <w:rFonts w:asciiTheme="minorHAnsi" w:hAnsiTheme="minorHAnsi" w:cs="Times New Roman"/>
          <w:lang w:val="es-ES_tradnl"/>
        </w:rPr>
        <w:t xml:space="preserve"> se resumen los </w:t>
      </w:r>
      <w:r w:rsidR="007D4ACC">
        <w:rPr>
          <w:rFonts w:asciiTheme="minorHAnsi" w:hAnsiTheme="minorHAnsi" w:cs="Times New Roman"/>
          <w:lang w:val="es-ES_tradnl"/>
        </w:rPr>
        <w:t xml:space="preserve">valores comentados </w:t>
      </w:r>
      <w:r w:rsidRPr="007D4ACC">
        <w:rPr>
          <w:rFonts w:asciiTheme="minorHAnsi" w:hAnsiTheme="minorHAnsi" w:cs="Times New Roman"/>
          <w:lang w:val="es-ES_tradnl"/>
        </w:rPr>
        <w:t>previ</w:t>
      </w:r>
      <w:r w:rsidR="007D4ACC">
        <w:rPr>
          <w:rFonts w:asciiTheme="minorHAnsi" w:hAnsiTheme="minorHAnsi" w:cs="Times New Roman"/>
          <w:lang w:val="es-ES_tradnl"/>
        </w:rPr>
        <w:t>amente</w:t>
      </w:r>
      <w:r w:rsidRPr="007D4ACC">
        <w:rPr>
          <w:rFonts w:asciiTheme="minorHAnsi" w:hAnsiTheme="minorHAnsi" w:cs="Times New Roman"/>
          <w:lang w:val="es-ES_tradnl"/>
        </w:rPr>
        <w:t xml:space="preserve">. </w:t>
      </w:r>
    </w:p>
    <w:p w:rsidR="00CA0099" w:rsidRDefault="005B57AB" w:rsidP="00CA0099">
      <w:pPr>
        <w:spacing w:after="180" w:line="264" w:lineRule="auto"/>
        <w:jc w:val="center"/>
        <w:rPr>
          <w:rFonts w:asciiTheme="minorHAnsi" w:hAnsiTheme="minorHAnsi" w:cs="Times New Roman"/>
          <w:lang w:val="es-ES_tradnl"/>
        </w:rPr>
      </w:pPr>
      <w:r w:rsidRPr="005B57AB">
        <w:rPr>
          <w:noProof/>
          <w:lang w:val="en-US"/>
        </w:rPr>
        <w:drawing>
          <wp:inline distT="0" distB="0" distL="0" distR="0">
            <wp:extent cx="5327650" cy="2067560"/>
            <wp:effectExtent l="19050" t="0" r="6350" b="0"/>
            <wp:docPr id="25"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7"/>
                    <a:srcRect/>
                    <a:stretch>
                      <a:fillRect/>
                    </a:stretch>
                  </pic:blipFill>
                  <pic:spPr bwMode="auto">
                    <a:xfrm>
                      <a:off x="0" y="0"/>
                      <a:ext cx="5327650" cy="2067560"/>
                    </a:xfrm>
                    <a:prstGeom prst="rect">
                      <a:avLst/>
                    </a:prstGeom>
                    <a:noFill/>
                    <a:ln w="9525">
                      <a:noFill/>
                      <a:miter lim="800000"/>
                      <a:headEnd/>
                      <a:tailEnd/>
                    </a:ln>
                  </pic:spPr>
                </pic:pic>
              </a:graphicData>
            </a:graphic>
          </wp:inline>
        </w:drawing>
      </w:r>
    </w:p>
    <w:p w:rsidR="00CA0099" w:rsidRPr="00CA0099" w:rsidRDefault="00CA0099" w:rsidP="00CA0099">
      <w:pPr>
        <w:spacing w:after="180" w:line="264" w:lineRule="auto"/>
        <w:jc w:val="center"/>
        <w:rPr>
          <w:rFonts w:asciiTheme="minorHAnsi" w:hAnsiTheme="minorHAnsi" w:cs="Times New Roman"/>
          <w:sz w:val="18"/>
          <w:szCs w:val="18"/>
          <w:lang w:val="es-ES_tradnl"/>
        </w:rPr>
      </w:pPr>
      <w:r w:rsidRPr="00CA0099">
        <w:rPr>
          <w:rFonts w:asciiTheme="minorHAnsi" w:hAnsiTheme="minorHAnsi" w:cs="Times New Roman"/>
          <w:sz w:val="18"/>
          <w:szCs w:val="18"/>
          <w:lang w:val="es-ES_tradnl"/>
        </w:rPr>
        <w:t>Fuente: Cálculos propios en base a información del MEF</w:t>
      </w:r>
    </w:p>
    <w:p w:rsidR="00CA0099" w:rsidRDefault="00CA0099" w:rsidP="00CA0099">
      <w:pPr>
        <w:spacing w:after="180" w:line="264" w:lineRule="auto"/>
        <w:jc w:val="both"/>
        <w:rPr>
          <w:rFonts w:asciiTheme="minorHAnsi" w:hAnsiTheme="minorHAnsi" w:cs="Times New Roman"/>
          <w:lang w:val="es-ES_tradnl"/>
        </w:rPr>
      </w:pPr>
      <w:r>
        <w:rPr>
          <w:rFonts w:asciiTheme="minorHAnsi" w:hAnsiTheme="minorHAnsi" w:cs="Times New Roman"/>
          <w:lang w:val="es-ES_tradnl"/>
        </w:rPr>
        <w:t>Se debe tener en cuenta que l</w:t>
      </w:r>
      <w:r w:rsidRPr="007D4ACC">
        <w:rPr>
          <w:rFonts w:asciiTheme="minorHAnsi" w:hAnsiTheme="minorHAnsi" w:cs="Times New Roman"/>
          <w:lang w:val="es-ES_tradnl"/>
        </w:rPr>
        <w:t xml:space="preserve">os proyectos </w:t>
      </w:r>
      <w:r>
        <w:rPr>
          <w:rFonts w:asciiTheme="minorHAnsi" w:hAnsiTheme="minorHAnsi" w:cs="Times New Roman"/>
          <w:lang w:val="es-ES_tradnl"/>
        </w:rPr>
        <w:t xml:space="preserve">marcados </w:t>
      </w:r>
      <w:r w:rsidRPr="007D4ACC">
        <w:rPr>
          <w:rFonts w:asciiTheme="minorHAnsi" w:hAnsiTheme="minorHAnsi" w:cs="Times New Roman"/>
          <w:lang w:val="es-ES_tradnl"/>
        </w:rPr>
        <w:t>con (*) tienen dos supuesto</w:t>
      </w:r>
      <w:r>
        <w:rPr>
          <w:rFonts w:asciiTheme="minorHAnsi" w:hAnsiTheme="minorHAnsi" w:cs="Times New Roman"/>
          <w:lang w:val="es-ES_tradnl"/>
        </w:rPr>
        <w:t xml:space="preserve">s operativos: </w:t>
      </w:r>
      <w:r w:rsidRPr="007D4ACC">
        <w:rPr>
          <w:rFonts w:asciiTheme="minorHAnsi" w:hAnsiTheme="minorHAnsi" w:cs="Times New Roman"/>
          <w:lang w:val="es-ES_tradnl"/>
        </w:rPr>
        <w:t xml:space="preserve">la relación </w:t>
      </w:r>
      <w:r>
        <w:rPr>
          <w:rFonts w:asciiTheme="minorHAnsi" w:hAnsiTheme="minorHAnsi" w:cs="Times New Roman"/>
          <w:lang w:val="es-ES_tradnl"/>
        </w:rPr>
        <w:t>cuota anual</w:t>
      </w:r>
      <w:r w:rsidRPr="007D4ACC">
        <w:rPr>
          <w:rFonts w:asciiTheme="minorHAnsi" w:hAnsiTheme="minorHAnsi" w:cs="Times New Roman"/>
          <w:lang w:val="es-ES_tradnl"/>
        </w:rPr>
        <w:t>/Inversión=0</w:t>
      </w:r>
      <w:r>
        <w:rPr>
          <w:rFonts w:asciiTheme="minorHAnsi" w:hAnsiTheme="minorHAnsi" w:cs="Times New Roman"/>
          <w:lang w:val="es-ES_tradnl"/>
        </w:rPr>
        <w:t>,</w:t>
      </w:r>
      <w:r w:rsidRPr="007D4ACC">
        <w:rPr>
          <w:rFonts w:asciiTheme="minorHAnsi" w:hAnsiTheme="minorHAnsi" w:cs="Times New Roman"/>
          <w:lang w:val="es-ES_tradnl"/>
        </w:rPr>
        <w:t>19</w:t>
      </w:r>
      <w:r>
        <w:rPr>
          <w:rFonts w:asciiTheme="minorHAnsi" w:hAnsiTheme="minorHAnsi" w:cs="Times New Roman"/>
          <w:lang w:val="es-ES_tradnl"/>
        </w:rPr>
        <w:t xml:space="preserve"> </w:t>
      </w:r>
      <w:r w:rsidRPr="007D4ACC">
        <w:rPr>
          <w:rFonts w:asciiTheme="minorHAnsi" w:hAnsiTheme="minorHAnsi" w:cs="Times New Roman"/>
          <w:lang w:val="es-ES_tradnl"/>
        </w:rPr>
        <w:t xml:space="preserve">y </w:t>
      </w:r>
      <w:r>
        <w:rPr>
          <w:rFonts w:asciiTheme="minorHAnsi" w:hAnsiTheme="minorHAnsi" w:cs="Times New Roman"/>
          <w:lang w:val="es-ES_tradnl"/>
        </w:rPr>
        <w:t xml:space="preserve">el plazo de </w:t>
      </w:r>
      <w:r w:rsidRPr="007D4ACC">
        <w:rPr>
          <w:rFonts w:asciiTheme="minorHAnsi" w:hAnsiTheme="minorHAnsi" w:cs="Times New Roman"/>
          <w:lang w:val="es-ES_tradnl"/>
        </w:rPr>
        <w:t>25 años</w:t>
      </w:r>
      <w:r>
        <w:rPr>
          <w:rFonts w:asciiTheme="minorHAnsi" w:hAnsiTheme="minorHAnsi" w:cs="Times New Roman"/>
          <w:lang w:val="es-ES_tradnl"/>
        </w:rPr>
        <w:t xml:space="preserve"> de las PPP, en base a la información del resto de los proyectos.</w:t>
      </w:r>
    </w:p>
    <w:p w:rsidR="007E5B98" w:rsidRPr="00D862CA" w:rsidRDefault="007E5B98" w:rsidP="00D862CA">
      <w:pPr>
        <w:spacing w:after="180" w:line="264" w:lineRule="auto"/>
        <w:jc w:val="both"/>
        <w:rPr>
          <w:rFonts w:asciiTheme="minorHAnsi" w:hAnsiTheme="minorHAnsi" w:cs="Times New Roman"/>
          <w:lang w:val="es-ES_tradnl"/>
        </w:rPr>
      </w:pPr>
      <w:r w:rsidRPr="00D862CA">
        <w:rPr>
          <w:rFonts w:asciiTheme="minorHAnsi" w:hAnsiTheme="minorHAnsi" w:cs="Times New Roman"/>
          <w:lang w:val="es-ES_tradnl"/>
        </w:rPr>
        <w:t xml:space="preserve">Los montos </w:t>
      </w:r>
      <w:r w:rsidR="00D862CA">
        <w:rPr>
          <w:rFonts w:asciiTheme="minorHAnsi" w:hAnsiTheme="minorHAnsi" w:cs="Times New Roman"/>
          <w:lang w:val="es-ES_tradnl"/>
        </w:rPr>
        <w:t xml:space="preserve">de los </w:t>
      </w:r>
      <w:r w:rsidRPr="00D862CA">
        <w:rPr>
          <w:rFonts w:asciiTheme="minorHAnsi" w:hAnsiTheme="minorHAnsi" w:cs="Times New Roman"/>
          <w:lang w:val="es-ES_tradnl"/>
        </w:rPr>
        <w:t xml:space="preserve">pagos </w:t>
      </w:r>
      <w:r w:rsidR="00D862CA">
        <w:rPr>
          <w:rFonts w:asciiTheme="minorHAnsi" w:hAnsiTheme="minorHAnsi" w:cs="Times New Roman"/>
          <w:lang w:val="es-ES_tradnl"/>
        </w:rPr>
        <w:t>anuales</w:t>
      </w:r>
      <w:r w:rsidRPr="00D862CA">
        <w:rPr>
          <w:rFonts w:asciiTheme="minorHAnsi" w:hAnsiTheme="minorHAnsi" w:cs="Times New Roman"/>
          <w:lang w:val="es-ES_tradnl"/>
        </w:rPr>
        <w:t xml:space="preserve"> corresponden a disponibilidades máximas y pasivos firmes y no incluyen los pasivos contingentes, lo cual está a estudio en el caso de la </w:t>
      </w:r>
      <w:r w:rsidR="00A61E3A" w:rsidRPr="00D862CA">
        <w:rPr>
          <w:rFonts w:asciiTheme="minorHAnsi" w:hAnsiTheme="minorHAnsi" w:cs="Times New Roman"/>
          <w:lang w:val="es-ES_tradnl"/>
        </w:rPr>
        <w:t xml:space="preserve">PPP </w:t>
      </w:r>
      <w:r w:rsidR="00EA2897">
        <w:rPr>
          <w:rFonts w:asciiTheme="minorHAnsi" w:hAnsiTheme="minorHAnsi" w:cs="Times New Roman"/>
          <w:lang w:val="es-ES_tradnl"/>
        </w:rPr>
        <w:t xml:space="preserve">correspondiente al corredor de las </w:t>
      </w:r>
      <w:r w:rsidR="00A61E3A" w:rsidRPr="00D862CA">
        <w:rPr>
          <w:rFonts w:asciiTheme="minorHAnsi" w:hAnsiTheme="minorHAnsi" w:cs="Times New Roman"/>
          <w:lang w:val="es-ES_tradnl"/>
        </w:rPr>
        <w:t>R</w:t>
      </w:r>
      <w:r w:rsidRPr="00D862CA">
        <w:rPr>
          <w:rFonts w:asciiTheme="minorHAnsi" w:hAnsiTheme="minorHAnsi" w:cs="Times New Roman"/>
          <w:lang w:val="es-ES_tradnl"/>
        </w:rPr>
        <w:t>21</w:t>
      </w:r>
      <w:r w:rsidR="00A61E3A" w:rsidRPr="00D862CA">
        <w:rPr>
          <w:rFonts w:asciiTheme="minorHAnsi" w:hAnsiTheme="minorHAnsi" w:cs="Times New Roman"/>
          <w:lang w:val="es-ES_tradnl"/>
        </w:rPr>
        <w:t xml:space="preserve"> y </w:t>
      </w:r>
      <w:r w:rsidR="00EA2897">
        <w:rPr>
          <w:rFonts w:asciiTheme="minorHAnsi" w:hAnsiTheme="minorHAnsi" w:cs="Times New Roman"/>
          <w:lang w:val="es-ES_tradnl"/>
        </w:rPr>
        <w:t>R</w:t>
      </w:r>
      <w:r w:rsidRPr="00D862CA">
        <w:rPr>
          <w:rFonts w:asciiTheme="minorHAnsi" w:hAnsiTheme="minorHAnsi" w:cs="Times New Roman"/>
          <w:lang w:val="es-ES_tradnl"/>
        </w:rPr>
        <w:t xml:space="preserve">24. </w:t>
      </w:r>
    </w:p>
    <w:p w:rsidR="007E5B98" w:rsidRPr="00D862CA" w:rsidRDefault="007E5B98" w:rsidP="00D862CA">
      <w:pPr>
        <w:spacing w:after="180" w:line="264" w:lineRule="auto"/>
        <w:jc w:val="both"/>
        <w:rPr>
          <w:rFonts w:asciiTheme="minorHAnsi" w:hAnsiTheme="minorHAnsi" w:cs="Times New Roman"/>
          <w:lang w:val="es-ES_tradnl"/>
        </w:rPr>
      </w:pPr>
    </w:p>
    <w:p w:rsidR="00786174" w:rsidRDefault="00886832" w:rsidP="00886832">
      <w:pPr>
        <w:pStyle w:val="Heading2"/>
        <w:rPr>
          <w:sz w:val="22"/>
          <w:szCs w:val="22"/>
        </w:rPr>
      </w:pPr>
      <w:bookmarkStart w:id="21" w:name="_Toc428464191"/>
      <w:r>
        <w:t xml:space="preserve">Criterios aplicados </w:t>
      </w:r>
      <w:r w:rsidR="00C02FCC">
        <w:t xml:space="preserve">en Uruguay </w:t>
      </w:r>
      <w:r>
        <w:t xml:space="preserve">por </w:t>
      </w:r>
      <w:r w:rsidR="00C02FCC">
        <w:t xml:space="preserve">el </w:t>
      </w:r>
      <w:r>
        <w:t>riesgo fiscal</w:t>
      </w:r>
      <w:bookmarkEnd w:id="21"/>
    </w:p>
    <w:p w:rsidR="00886832" w:rsidRPr="00886832" w:rsidRDefault="00886832" w:rsidP="0000180E">
      <w:pPr>
        <w:spacing w:after="180" w:line="264" w:lineRule="auto"/>
        <w:jc w:val="both"/>
        <w:rPr>
          <w:rFonts w:asciiTheme="minorHAnsi" w:hAnsiTheme="minorHAnsi" w:cs="Times New Roman"/>
          <w:lang w:val="es-ES_tradnl"/>
        </w:rPr>
      </w:pPr>
    </w:p>
    <w:p w:rsidR="00FB239B" w:rsidRDefault="00786174" w:rsidP="0000180E">
      <w:pPr>
        <w:spacing w:after="180" w:line="264" w:lineRule="auto"/>
        <w:jc w:val="both"/>
        <w:rPr>
          <w:rFonts w:asciiTheme="minorHAnsi" w:hAnsiTheme="minorHAnsi" w:cs="Times New Roman"/>
          <w:lang w:val="es-ES_tradnl"/>
        </w:rPr>
      </w:pPr>
      <w:r w:rsidRPr="00886832">
        <w:rPr>
          <w:rFonts w:asciiTheme="minorHAnsi" w:hAnsiTheme="minorHAnsi" w:cs="Times New Roman"/>
          <w:lang w:val="es-ES_tradnl"/>
        </w:rPr>
        <w:t xml:space="preserve">En Uruguay no se aplican los criterios de riesgo </w:t>
      </w:r>
      <w:r w:rsidR="00B83D5E" w:rsidRPr="00886832">
        <w:rPr>
          <w:rFonts w:asciiTheme="minorHAnsi" w:hAnsiTheme="minorHAnsi" w:cs="Times New Roman"/>
          <w:lang w:val="es-ES_tradnl"/>
        </w:rPr>
        <w:t>fiscal</w:t>
      </w:r>
      <w:r w:rsidRPr="00886832">
        <w:rPr>
          <w:rFonts w:asciiTheme="minorHAnsi" w:hAnsiTheme="minorHAnsi" w:cs="Times New Roman"/>
          <w:lang w:val="es-ES_tradnl"/>
        </w:rPr>
        <w:t xml:space="preserve"> de registrar el total de la contingencia de los pagos futuros como deuda pública, tal como </w:t>
      </w:r>
      <w:r w:rsidR="00886832">
        <w:rPr>
          <w:rFonts w:asciiTheme="minorHAnsi" w:hAnsiTheme="minorHAnsi" w:cs="Times New Roman"/>
          <w:lang w:val="es-ES_tradnl"/>
        </w:rPr>
        <w:t xml:space="preserve">podría desprenderse de la aplicación de </w:t>
      </w:r>
      <w:r w:rsidRPr="00886832">
        <w:rPr>
          <w:rFonts w:asciiTheme="minorHAnsi" w:hAnsiTheme="minorHAnsi" w:cs="Times New Roman"/>
          <w:lang w:val="es-ES_tradnl"/>
        </w:rPr>
        <w:t xml:space="preserve">los </w:t>
      </w:r>
      <w:r w:rsidR="00886832">
        <w:rPr>
          <w:rFonts w:asciiTheme="minorHAnsi" w:hAnsiTheme="minorHAnsi" w:cs="Times New Roman"/>
          <w:lang w:val="es-ES_tradnl"/>
        </w:rPr>
        <w:t xml:space="preserve">criterios definidos en  </w:t>
      </w:r>
      <w:r w:rsidRPr="00886832">
        <w:rPr>
          <w:rFonts w:asciiTheme="minorHAnsi" w:hAnsiTheme="minorHAnsi" w:cs="Times New Roman"/>
          <w:lang w:val="es-ES_tradnl"/>
        </w:rPr>
        <w:t>IPSAS</w:t>
      </w:r>
      <w:r w:rsidR="00146A8A" w:rsidRPr="00886832">
        <w:rPr>
          <w:rFonts w:asciiTheme="minorHAnsi" w:hAnsiTheme="minorHAnsi" w:cs="Times New Roman"/>
          <w:lang w:val="es-ES_tradnl"/>
        </w:rPr>
        <w:t xml:space="preserve"> </w:t>
      </w:r>
      <w:r w:rsidR="00886832">
        <w:rPr>
          <w:rFonts w:asciiTheme="minorHAnsi" w:hAnsiTheme="minorHAnsi" w:cs="Times New Roman"/>
          <w:lang w:val="es-ES_tradnl"/>
        </w:rPr>
        <w:t>32 y/o</w:t>
      </w:r>
      <w:r w:rsidRPr="00886832">
        <w:rPr>
          <w:rFonts w:asciiTheme="minorHAnsi" w:hAnsiTheme="minorHAnsi" w:cs="Times New Roman"/>
          <w:lang w:val="es-ES_tradnl"/>
        </w:rPr>
        <w:t xml:space="preserve"> GFSM</w:t>
      </w:r>
      <w:r w:rsidR="00146A8A" w:rsidRPr="00886832">
        <w:rPr>
          <w:rFonts w:asciiTheme="minorHAnsi" w:hAnsiTheme="minorHAnsi" w:cs="Times New Roman"/>
          <w:lang w:val="es-ES_tradnl"/>
        </w:rPr>
        <w:t xml:space="preserve"> </w:t>
      </w:r>
      <w:r w:rsidRPr="00886832">
        <w:rPr>
          <w:rFonts w:asciiTheme="minorHAnsi" w:hAnsiTheme="minorHAnsi" w:cs="Times New Roman"/>
          <w:lang w:val="es-ES_tradnl"/>
        </w:rPr>
        <w:t>2001</w:t>
      </w:r>
      <w:r w:rsidR="00FB239B">
        <w:rPr>
          <w:rFonts w:asciiTheme="minorHAnsi" w:hAnsiTheme="minorHAnsi" w:cs="Times New Roman"/>
          <w:lang w:val="es-ES_tradnl"/>
        </w:rPr>
        <w:t>.</w:t>
      </w:r>
    </w:p>
    <w:p w:rsidR="000830C5" w:rsidRDefault="00FB239B" w:rsidP="00EA0759">
      <w:pPr>
        <w:spacing w:after="180" w:line="264" w:lineRule="auto"/>
        <w:jc w:val="both"/>
        <w:rPr>
          <w:rFonts w:asciiTheme="minorHAnsi" w:hAnsiTheme="minorHAnsi" w:cs="Times New Roman"/>
          <w:lang w:val="es-ES_tradnl"/>
        </w:rPr>
      </w:pPr>
      <w:r>
        <w:rPr>
          <w:rFonts w:asciiTheme="minorHAnsi" w:hAnsiTheme="minorHAnsi" w:cs="Times New Roman"/>
          <w:lang w:val="es-ES_tradnl"/>
        </w:rPr>
        <w:t>Aquí debe tenerse en cuenta que Uruguay aún utiliza los criterios del GFSM 1986, no habiendo realizado su actualización al GFSM 2001, aunque está vigente un proyecto para realizarla</w:t>
      </w:r>
      <w:r w:rsidR="00EA0759">
        <w:rPr>
          <w:rFonts w:asciiTheme="minorHAnsi" w:hAnsiTheme="minorHAnsi" w:cs="Times New Roman"/>
          <w:lang w:val="es-ES_tradnl"/>
        </w:rPr>
        <w:t xml:space="preserve"> y que cuenta con financiamiento</w:t>
      </w:r>
      <w:r>
        <w:rPr>
          <w:rFonts w:asciiTheme="minorHAnsi" w:hAnsiTheme="minorHAnsi" w:cs="Times New Roman"/>
          <w:lang w:val="es-ES_tradnl"/>
        </w:rPr>
        <w:t>, sin verificarse un avance significativo según los operadores. El GFSM 1986 se basa fundamentalmente en el criterio de caja de la contabilidad pública por lo que no incluye contingencias, además que tampoco incluye como deuda pública a las correspondientes a las corporaciones financieras públicas o pertenecientes al sector público, que son los casos de la CND y CVU. Por tanto, al pasar al GFSM 2001 se incorporaría el criterio de lo devengado y l</w:t>
      </w:r>
      <w:r w:rsidR="00EA0759">
        <w:rPr>
          <w:rFonts w:asciiTheme="minorHAnsi" w:hAnsiTheme="minorHAnsi" w:cs="Times New Roman"/>
          <w:lang w:val="es-ES_tradnl"/>
        </w:rPr>
        <w:t>a</w:t>
      </w:r>
      <w:r>
        <w:rPr>
          <w:rFonts w:asciiTheme="minorHAnsi" w:hAnsiTheme="minorHAnsi" w:cs="Times New Roman"/>
          <w:lang w:val="es-ES_tradnl"/>
        </w:rPr>
        <w:t xml:space="preserve"> consideración de contingencias y de los pasivos que generan las PPP </w:t>
      </w:r>
      <w:r w:rsidR="00EA0759">
        <w:rPr>
          <w:rFonts w:asciiTheme="minorHAnsi" w:hAnsiTheme="minorHAnsi" w:cs="Times New Roman"/>
          <w:lang w:val="es-ES_tradnl"/>
        </w:rPr>
        <w:t xml:space="preserve">y las corporaciones financieras </w:t>
      </w:r>
      <w:r>
        <w:rPr>
          <w:rFonts w:asciiTheme="minorHAnsi" w:hAnsiTheme="minorHAnsi" w:cs="Times New Roman"/>
          <w:lang w:val="es-ES_tradnl"/>
        </w:rPr>
        <w:t>como deuda pública</w:t>
      </w:r>
      <w:r w:rsidR="00EA0759">
        <w:rPr>
          <w:rStyle w:val="FootnoteReference"/>
          <w:rFonts w:asciiTheme="minorHAnsi" w:hAnsiTheme="minorHAnsi" w:cs="Times New Roman"/>
          <w:lang w:val="es-ES_tradnl"/>
        </w:rPr>
        <w:footnoteReference w:id="4"/>
      </w:r>
      <w:r>
        <w:rPr>
          <w:rFonts w:asciiTheme="minorHAnsi" w:hAnsiTheme="minorHAnsi" w:cs="Times New Roman"/>
          <w:lang w:val="es-ES_tradnl"/>
        </w:rPr>
        <w:t xml:space="preserve">. A ello se agregaría una mayor transparencia en la información. </w:t>
      </w:r>
    </w:p>
    <w:p w:rsidR="000830C5" w:rsidRPr="00886832" w:rsidRDefault="00EA0759" w:rsidP="0000180E">
      <w:pPr>
        <w:spacing w:after="180" w:line="264" w:lineRule="auto"/>
        <w:jc w:val="both"/>
        <w:rPr>
          <w:rFonts w:asciiTheme="minorHAnsi" w:hAnsiTheme="minorHAnsi" w:cs="Times New Roman"/>
          <w:lang w:val="es-ES_tradnl"/>
        </w:rPr>
      </w:pPr>
      <w:r>
        <w:rPr>
          <w:rFonts w:asciiTheme="minorHAnsi" w:hAnsiTheme="minorHAnsi" w:cs="Times New Roman"/>
          <w:lang w:val="es-ES_tradnl"/>
        </w:rPr>
        <w:t>Por tanto, en Uruguay lo</w:t>
      </w:r>
      <w:r w:rsidR="000830C5">
        <w:rPr>
          <w:rFonts w:asciiTheme="minorHAnsi" w:hAnsiTheme="minorHAnsi" w:cs="Times New Roman"/>
          <w:lang w:val="es-ES_tradnl"/>
        </w:rPr>
        <w:t xml:space="preserve">s criterios </w:t>
      </w:r>
      <w:r>
        <w:rPr>
          <w:rFonts w:asciiTheme="minorHAnsi" w:hAnsiTheme="minorHAnsi" w:cs="Times New Roman"/>
          <w:lang w:val="es-ES_tradnl"/>
        </w:rPr>
        <w:t xml:space="preserve">de considerar el riesgo fiscal </w:t>
      </w:r>
      <w:r w:rsidR="000830C5">
        <w:rPr>
          <w:rFonts w:asciiTheme="minorHAnsi" w:hAnsiTheme="minorHAnsi" w:cs="Times New Roman"/>
          <w:lang w:val="es-ES_tradnl"/>
        </w:rPr>
        <w:t>se centran en</w:t>
      </w:r>
      <w:r w:rsidR="00DB0859">
        <w:rPr>
          <w:rFonts w:asciiTheme="minorHAnsi" w:hAnsiTheme="minorHAnsi" w:cs="Times New Roman"/>
          <w:lang w:val="es-ES_tradnl"/>
        </w:rPr>
        <w:t xml:space="preserve"> la</w:t>
      </w:r>
      <w:r w:rsidR="00786174" w:rsidRPr="00886832">
        <w:rPr>
          <w:rFonts w:asciiTheme="minorHAnsi" w:hAnsiTheme="minorHAnsi" w:cs="Times New Roman"/>
          <w:lang w:val="es-ES_tradnl"/>
        </w:rPr>
        <w:t xml:space="preserve"> </w:t>
      </w:r>
      <w:r w:rsidR="000830C5" w:rsidRPr="00886832">
        <w:rPr>
          <w:rFonts w:asciiTheme="minorHAnsi" w:hAnsiTheme="minorHAnsi" w:cs="Times New Roman"/>
          <w:lang w:val="es-ES_tradnl"/>
        </w:rPr>
        <w:t>distribución de riesgos de las PPP</w:t>
      </w:r>
      <w:r w:rsidR="00661108">
        <w:rPr>
          <w:rFonts w:asciiTheme="minorHAnsi" w:hAnsiTheme="minorHAnsi" w:cs="Times New Roman"/>
          <w:lang w:val="es-ES_tradnl"/>
        </w:rPr>
        <w:t xml:space="preserve"> y </w:t>
      </w:r>
      <w:r>
        <w:rPr>
          <w:rFonts w:asciiTheme="minorHAnsi" w:hAnsiTheme="minorHAnsi" w:cs="Times New Roman"/>
          <w:lang w:val="es-ES_tradnl"/>
        </w:rPr>
        <w:t xml:space="preserve">la </w:t>
      </w:r>
      <w:r w:rsidR="00661108">
        <w:rPr>
          <w:rFonts w:asciiTheme="minorHAnsi" w:hAnsiTheme="minorHAnsi" w:cs="Times New Roman"/>
          <w:lang w:val="es-ES_tradnl"/>
        </w:rPr>
        <w:t>clasificación del proyecto se</w:t>
      </w:r>
      <w:r w:rsidR="000830C5">
        <w:rPr>
          <w:rFonts w:asciiTheme="minorHAnsi" w:hAnsiTheme="minorHAnsi" w:cs="Times New Roman"/>
          <w:lang w:val="es-ES_tradnl"/>
        </w:rPr>
        <w:t xml:space="preserve">gún </w:t>
      </w:r>
      <w:r>
        <w:rPr>
          <w:rFonts w:asciiTheme="minorHAnsi" w:hAnsiTheme="minorHAnsi" w:cs="Times New Roman"/>
          <w:lang w:val="es-ES_tradnl"/>
        </w:rPr>
        <w:t xml:space="preserve">los </w:t>
      </w:r>
      <w:r w:rsidR="00661108">
        <w:rPr>
          <w:rFonts w:asciiTheme="minorHAnsi" w:hAnsiTheme="minorHAnsi" w:cs="Times New Roman"/>
          <w:lang w:val="es-ES_tradnl"/>
        </w:rPr>
        <w:t xml:space="preserve">criterios de la </w:t>
      </w:r>
      <w:proofErr w:type="spellStart"/>
      <w:r w:rsidR="00661108">
        <w:rPr>
          <w:rFonts w:asciiTheme="minorHAnsi" w:hAnsiTheme="minorHAnsi" w:cs="Times New Roman"/>
          <w:lang w:val="es-ES_tradnl"/>
        </w:rPr>
        <w:t>Eurostat</w:t>
      </w:r>
      <w:proofErr w:type="spellEnd"/>
      <w:r w:rsidR="00661108">
        <w:rPr>
          <w:rFonts w:asciiTheme="minorHAnsi" w:hAnsiTheme="minorHAnsi" w:cs="Times New Roman"/>
          <w:lang w:val="es-ES_tradnl"/>
        </w:rPr>
        <w:t>, do</w:t>
      </w:r>
      <w:r w:rsidR="00661108" w:rsidRPr="00886832">
        <w:rPr>
          <w:rFonts w:asciiTheme="minorHAnsi" w:hAnsiTheme="minorHAnsi" w:cs="Times New Roman"/>
          <w:lang w:val="es-ES_tradnl"/>
        </w:rPr>
        <w:t xml:space="preserve">nde el riesgo asumido </w:t>
      </w:r>
      <w:r w:rsidR="00661108">
        <w:rPr>
          <w:rFonts w:asciiTheme="minorHAnsi" w:hAnsiTheme="minorHAnsi" w:cs="Times New Roman"/>
          <w:lang w:val="es-ES_tradnl"/>
        </w:rPr>
        <w:t xml:space="preserve">por el Estado </w:t>
      </w:r>
      <w:r w:rsidR="00661108" w:rsidRPr="00886832">
        <w:rPr>
          <w:rFonts w:asciiTheme="minorHAnsi" w:hAnsiTheme="minorHAnsi" w:cs="Times New Roman"/>
          <w:lang w:val="es-ES_tradnl"/>
        </w:rPr>
        <w:t>indica si es</w:t>
      </w:r>
      <w:r w:rsidR="00661108">
        <w:rPr>
          <w:rFonts w:asciiTheme="minorHAnsi" w:hAnsiTheme="minorHAnsi" w:cs="Times New Roman"/>
          <w:lang w:val="es-ES_tradnl"/>
        </w:rPr>
        <w:t xml:space="preserve"> </w:t>
      </w:r>
      <w:r w:rsidR="00661108" w:rsidRPr="00886832">
        <w:rPr>
          <w:rFonts w:asciiTheme="minorHAnsi" w:hAnsiTheme="minorHAnsi" w:cs="Times New Roman"/>
          <w:lang w:val="es-ES_tradnl"/>
        </w:rPr>
        <w:t>registrado o no como deuda</w:t>
      </w:r>
      <w:r>
        <w:rPr>
          <w:rFonts w:asciiTheme="minorHAnsi" w:hAnsiTheme="minorHAnsi" w:cs="Times New Roman"/>
          <w:lang w:val="es-ES_tradnl"/>
        </w:rPr>
        <w:t xml:space="preserve"> pública</w:t>
      </w:r>
      <w:r w:rsidR="002B7D5C">
        <w:rPr>
          <w:rFonts w:asciiTheme="minorHAnsi" w:hAnsiTheme="minorHAnsi" w:cs="Times New Roman"/>
          <w:lang w:val="es-ES_tradnl"/>
        </w:rPr>
        <w:t>. Además</w:t>
      </w:r>
      <w:r w:rsidR="00661108" w:rsidRPr="00886832">
        <w:rPr>
          <w:rFonts w:asciiTheme="minorHAnsi" w:hAnsiTheme="minorHAnsi" w:cs="Times New Roman"/>
          <w:lang w:val="es-ES_tradnl"/>
        </w:rPr>
        <w:t>,</w:t>
      </w:r>
      <w:r w:rsidR="00661108">
        <w:rPr>
          <w:rFonts w:asciiTheme="minorHAnsi" w:hAnsiTheme="minorHAnsi" w:cs="Times New Roman"/>
          <w:lang w:val="es-ES_tradnl"/>
        </w:rPr>
        <w:t xml:space="preserve"> </w:t>
      </w:r>
      <w:r w:rsidR="002B7D5C">
        <w:rPr>
          <w:rFonts w:asciiTheme="minorHAnsi" w:hAnsiTheme="minorHAnsi" w:cs="Times New Roman"/>
          <w:lang w:val="es-ES_tradnl"/>
        </w:rPr>
        <w:t xml:space="preserve">se publica </w:t>
      </w:r>
      <w:r w:rsidR="00886832">
        <w:rPr>
          <w:rFonts w:asciiTheme="minorHAnsi" w:hAnsiTheme="minorHAnsi" w:cs="Times New Roman"/>
          <w:lang w:val="es-ES_tradnl"/>
        </w:rPr>
        <w:t xml:space="preserve">la información </w:t>
      </w:r>
      <w:r w:rsidR="00661108">
        <w:rPr>
          <w:rFonts w:asciiTheme="minorHAnsi" w:hAnsiTheme="minorHAnsi" w:cs="Times New Roman"/>
          <w:lang w:val="es-ES_tradnl"/>
        </w:rPr>
        <w:t xml:space="preserve">sobre </w:t>
      </w:r>
      <w:r w:rsidR="00886832">
        <w:rPr>
          <w:rFonts w:asciiTheme="minorHAnsi" w:hAnsiTheme="minorHAnsi" w:cs="Times New Roman"/>
          <w:lang w:val="es-ES_tradnl"/>
        </w:rPr>
        <w:t>las PPP</w:t>
      </w:r>
      <w:r w:rsidR="00661108">
        <w:rPr>
          <w:rFonts w:asciiTheme="minorHAnsi" w:hAnsiTheme="minorHAnsi" w:cs="Times New Roman"/>
          <w:lang w:val="es-ES_tradnl"/>
        </w:rPr>
        <w:t xml:space="preserve"> en</w:t>
      </w:r>
      <w:r w:rsidR="002B7D5C">
        <w:rPr>
          <w:rFonts w:asciiTheme="minorHAnsi" w:hAnsiTheme="minorHAnsi" w:cs="Times New Roman"/>
          <w:lang w:val="es-ES_tradnl"/>
        </w:rPr>
        <w:t xml:space="preserve"> </w:t>
      </w:r>
      <w:r w:rsidR="00661108">
        <w:rPr>
          <w:rFonts w:asciiTheme="minorHAnsi" w:hAnsiTheme="minorHAnsi" w:cs="Times New Roman"/>
          <w:lang w:val="es-ES_tradnl"/>
        </w:rPr>
        <w:t xml:space="preserve">las instancias presupuestales sobre </w:t>
      </w:r>
      <w:r w:rsidR="00661108" w:rsidRPr="00886832">
        <w:rPr>
          <w:rFonts w:asciiTheme="minorHAnsi" w:hAnsiTheme="minorHAnsi" w:cs="Times New Roman"/>
          <w:lang w:val="es-ES_tradnl"/>
        </w:rPr>
        <w:t>costos y riesgos asumidos</w:t>
      </w:r>
      <w:r w:rsidR="002B7D5C">
        <w:rPr>
          <w:rFonts w:asciiTheme="minorHAnsi" w:hAnsiTheme="minorHAnsi" w:cs="Times New Roman"/>
          <w:lang w:val="es-ES_tradnl"/>
        </w:rPr>
        <w:t>, junto a</w:t>
      </w:r>
      <w:r w:rsidR="00C02FCC">
        <w:rPr>
          <w:rFonts w:asciiTheme="minorHAnsi" w:hAnsiTheme="minorHAnsi" w:cs="Times New Roman"/>
          <w:lang w:val="es-ES_tradnl"/>
        </w:rPr>
        <w:t xml:space="preserve"> </w:t>
      </w:r>
      <w:r w:rsidR="002B7D5C">
        <w:rPr>
          <w:rFonts w:asciiTheme="minorHAnsi" w:hAnsiTheme="minorHAnsi" w:cs="Times New Roman"/>
          <w:lang w:val="es-ES_tradnl"/>
        </w:rPr>
        <w:t>l</w:t>
      </w:r>
      <w:r w:rsidR="00C02FCC">
        <w:rPr>
          <w:rFonts w:asciiTheme="minorHAnsi" w:hAnsiTheme="minorHAnsi" w:cs="Times New Roman"/>
          <w:lang w:val="es-ES_tradnl"/>
        </w:rPr>
        <w:t>a</w:t>
      </w:r>
      <w:r w:rsidR="002B7D5C">
        <w:rPr>
          <w:rFonts w:asciiTheme="minorHAnsi" w:hAnsiTheme="minorHAnsi" w:cs="Times New Roman"/>
          <w:lang w:val="es-ES_tradnl"/>
        </w:rPr>
        <w:t xml:space="preserve"> fijación legal de </w:t>
      </w:r>
      <w:r w:rsidR="00786174" w:rsidRPr="00886832">
        <w:rPr>
          <w:rFonts w:asciiTheme="minorHAnsi" w:hAnsiTheme="minorHAnsi" w:cs="Times New Roman"/>
          <w:lang w:val="es-ES_tradnl"/>
        </w:rPr>
        <w:t xml:space="preserve">topes fiscales </w:t>
      </w:r>
      <w:r w:rsidR="00886832">
        <w:rPr>
          <w:rFonts w:asciiTheme="minorHAnsi" w:hAnsiTheme="minorHAnsi" w:cs="Times New Roman"/>
          <w:lang w:val="es-ES_tradnl"/>
        </w:rPr>
        <w:t>a inversiones y flujos anuales</w:t>
      </w:r>
      <w:r w:rsidR="00661108">
        <w:rPr>
          <w:rFonts w:asciiTheme="minorHAnsi" w:hAnsiTheme="minorHAnsi" w:cs="Times New Roman"/>
          <w:lang w:val="es-ES_tradnl"/>
        </w:rPr>
        <w:t xml:space="preserve"> de los pagos comprometidos </w:t>
      </w:r>
      <w:r w:rsidR="002B7D5C">
        <w:rPr>
          <w:rFonts w:asciiTheme="minorHAnsi" w:hAnsiTheme="minorHAnsi" w:cs="Times New Roman"/>
          <w:lang w:val="es-ES_tradnl"/>
        </w:rPr>
        <w:t>en</w:t>
      </w:r>
      <w:r w:rsidR="00661108">
        <w:rPr>
          <w:rFonts w:asciiTheme="minorHAnsi" w:hAnsiTheme="minorHAnsi" w:cs="Times New Roman"/>
          <w:lang w:val="es-ES_tradnl"/>
        </w:rPr>
        <w:t xml:space="preserve"> las </w:t>
      </w:r>
      <w:proofErr w:type="spellStart"/>
      <w:r w:rsidR="00661108">
        <w:rPr>
          <w:rFonts w:asciiTheme="minorHAnsi" w:hAnsiTheme="minorHAnsi" w:cs="Times New Roman"/>
          <w:lang w:val="es-ES_tradnl"/>
        </w:rPr>
        <w:t>PPPs</w:t>
      </w:r>
      <w:proofErr w:type="spellEnd"/>
      <w:r w:rsidR="00661108">
        <w:rPr>
          <w:rFonts w:asciiTheme="minorHAnsi" w:hAnsiTheme="minorHAnsi" w:cs="Times New Roman"/>
          <w:lang w:val="es-ES_tradnl"/>
        </w:rPr>
        <w:t>.</w:t>
      </w:r>
    </w:p>
    <w:p w:rsidR="00886832" w:rsidRPr="00562A6F" w:rsidRDefault="00661108" w:rsidP="0000180E">
      <w:pPr>
        <w:jc w:val="both"/>
        <w:rPr>
          <w:rFonts w:asciiTheme="minorHAnsi" w:hAnsiTheme="minorHAnsi" w:cs="Times New Roman"/>
          <w:lang w:val="es-ES_tradnl"/>
        </w:rPr>
      </w:pPr>
      <w:r>
        <w:rPr>
          <w:rFonts w:asciiTheme="minorHAnsi" w:hAnsiTheme="minorHAnsi" w:cs="Times New Roman"/>
          <w:lang w:val="es-ES_tradnl"/>
        </w:rPr>
        <w:t xml:space="preserve">El </w:t>
      </w:r>
      <w:r w:rsidR="00562A6F">
        <w:rPr>
          <w:rFonts w:asciiTheme="minorHAnsi" w:hAnsiTheme="minorHAnsi" w:cs="Times New Roman"/>
          <w:lang w:val="es-ES_tradnl"/>
        </w:rPr>
        <w:t>r</w:t>
      </w:r>
      <w:r w:rsidR="00562A6F" w:rsidRPr="00562A6F">
        <w:rPr>
          <w:rFonts w:asciiTheme="minorHAnsi" w:hAnsiTheme="minorHAnsi" w:cs="Times New Roman"/>
          <w:lang w:val="es-ES_tradnl"/>
        </w:rPr>
        <w:t xml:space="preserve">iesgo </w:t>
      </w:r>
      <w:r>
        <w:rPr>
          <w:rFonts w:asciiTheme="minorHAnsi" w:hAnsiTheme="minorHAnsi" w:cs="Times New Roman"/>
          <w:lang w:val="es-ES_tradnl"/>
        </w:rPr>
        <w:t xml:space="preserve">de cambios en los actores de las PPP </w:t>
      </w:r>
      <w:r w:rsidR="00761825">
        <w:rPr>
          <w:rFonts w:asciiTheme="minorHAnsi" w:hAnsiTheme="minorHAnsi" w:cs="Times New Roman"/>
          <w:lang w:val="es-ES_tradnl"/>
        </w:rPr>
        <w:t xml:space="preserve">se supera en Uruguay </w:t>
      </w:r>
      <w:r>
        <w:rPr>
          <w:rFonts w:asciiTheme="minorHAnsi" w:hAnsiTheme="minorHAnsi" w:cs="Times New Roman"/>
          <w:lang w:val="es-ES_tradnl"/>
        </w:rPr>
        <w:t xml:space="preserve">al </w:t>
      </w:r>
      <w:r w:rsidR="00562A6F" w:rsidRPr="00562A6F">
        <w:rPr>
          <w:rFonts w:asciiTheme="minorHAnsi" w:hAnsiTheme="minorHAnsi" w:cs="Times New Roman"/>
          <w:lang w:val="es-ES_tradnl"/>
        </w:rPr>
        <w:t>consider</w:t>
      </w:r>
      <w:r w:rsidR="00562A6F">
        <w:rPr>
          <w:rFonts w:asciiTheme="minorHAnsi" w:hAnsiTheme="minorHAnsi" w:cs="Times New Roman"/>
          <w:lang w:val="es-ES_tradnl"/>
        </w:rPr>
        <w:t>a</w:t>
      </w:r>
      <w:r>
        <w:rPr>
          <w:rFonts w:asciiTheme="minorHAnsi" w:hAnsiTheme="minorHAnsi" w:cs="Times New Roman"/>
          <w:lang w:val="es-ES_tradnl"/>
        </w:rPr>
        <w:t>r</w:t>
      </w:r>
      <w:r w:rsidR="00562A6F" w:rsidRPr="00562A6F">
        <w:rPr>
          <w:rFonts w:asciiTheme="minorHAnsi" w:hAnsiTheme="minorHAnsi" w:cs="Times New Roman"/>
          <w:lang w:val="es-ES_tradnl"/>
        </w:rPr>
        <w:t xml:space="preserve"> al contrato como una entidad, “viva” a decir </w:t>
      </w:r>
      <w:r w:rsidR="002B7D5C">
        <w:rPr>
          <w:rFonts w:asciiTheme="minorHAnsi" w:hAnsiTheme="minorHAnsi" w:cs="Times New Roman"/>
          <w:lang w:val="es-ES_tradnl"/>
        </w:rPr>
        <w:t>de</w:t>
      </w:r>
      <w:r w:rsidR="00562A6F" w:rsidRPr="00562A6F">
        <w:rPr>
          <w:rFonts w:asciiTheme="minorHAnsi" w:hAnsiTheme="minorHAnsi" w:cs="Times New Roman"/>
          <w:lang w:val="es-ES_tradnl"/>
        </w:rPr>
        <w:t xml:space="preserve"> los operadore</w:t>
      </w:r>
      <w:r w:rsidR="00562A6F">
        <w:rPr>
          <w:rFonts w:asciiTheme="minorHAnsi" w:hAnsiTheme="minorHAnsi" w:cs="Times New Roman"/>
          <w:lang w:val="es-ES_tradnl"/>
        </w:rPr>
        <w:t>s</w:t>
      </w:r>
      <w:r w:rsidR="00562A6F" w:rsidRPr="00562A6F">
        <w:rPr>
          <w:rFonts w:asciiTheme="minorHAnsi" w:hAnsiTheme="minorHAnsi" w:cs="Times New Roman"/>
          <w:lang w:val="es-ES_tradnl"/>
        </w:rPr>
        <w:t>, ya que si el gesto</w:t>
      </w:r>
      <w:r w:rsidR="00562A6F">
        <w:rPr>
          <w:rFonts w:asciiTheme="minorHAnsi" w:hAnsiTheme="minorHAnsi" w:cs="Times New Roman"/>
          <w:lang w:val="es-ES_tradnl"/>
        </w:rPr>
        <w:t>r</w:t>
      </w:r>
      <w:r w:rsidR="00562A6F" w:rsidRPr="00562A6F">
        <w:rPr>
          <w:rFonts w:asciiTheme="minorHAnsi" w:hAnsiTheme="minorHAnsi" w:cs="Times New Roman"/>
          <w:lang w:val="es-ES_tradnl"/>
        </w:rPr>
        <w:t xml:space="preserve"> tiene inconvenientes y/o finalmente quiebra, co</w:t>
      </w:r>
      <w:r w:rsidR="00562A6F">
        <w:rPr>
          <w:rFonts w:asciiTheme="minorHAnsi" w:hAnsiTheme="minorHAnsi" w:cs="Times New Roman"/>
          <w:lang w:val="es-ES_tradnl"/>
        </w:rPr>
        <w:t>mo</w:t>
      </w:r>
      <w:r w:rsidR="00562A6F" w:rsidRPr="00562A6F">
        <w:rPr>
          <w:rFonts w:asciiTheme="minorHAnsi" w:hAnsiTheme="minorHAnsi" w:cs="Times New Roman"/>
          <w:lang w:val="es-ES_tradnl"/>
        </w:rPr>
        <w:t xml:space="preserve"> el p</w:t>
      </w:r>
      <w:r w:rsidR="00562A6F">
        <w:rPr>
          <w:rFonts w:asciiTheme="minorHAnsi" w:hAnsiTheme="minorHAnsi" w:cs="Times New Roman"/>
          <w:lang w:val="es-ES_tradnl"/>
        </w:rPr>
        <w:t>a</w:t>
      </w:r>
      <w:r w:rsidR="00562A6F" w:rsidRPr="00562A6F">
        <w:rPr>
          <w:rFonts w:asciiTheme="minorHAnsi" w:hAnsiTheme="minorHAnsi" w:cs="Times New Roman"/>
          <w:lang w:val="es-ES_tradnl"/>
        </w:rPr>
        <w:t>go es a disponibilidad, el financiado</w:t>
      </w:r>
      <w:r w:rsidR="00562A6F">
        <w:rPr>
          <w:rFonts w:asciiTheme="minorHAnsi" w:hAnsiTheme="minorHAnsi" w:cs="Times New Roman"/>
          <w:lang w:val="es-ES_tradnl"/>
        </w:rPr>
        <w:t>r</w:t>
      </w:r>
      <w:r w:rsidR="00562A6F" w:rsidRPr="00562A6F">
        <w:rPr>
          <w:rFonts w:asciiTheme="minorHAnsi" w:hAnsiTheme="minorHAnsi" w:cs="Times New Roman"/>
          <w:lang w:val="es-ES_tradnl"/>
        </w:rPr>
        <w:t xml:space="preserve"> puede c</w:t>
      </w:r>
      <w:r w:rsidR="00886832" w:rsidRPr="00562A6F">
        <w:rPr>
          <w:rFonts w:asciiTheme="minorHAnsi" w:hAnsiTheme="minorHAnsi" w:cs="Times New Roman"/>
          <w:lang w:val="es-ES_tradnl"/>
        </w:rPr>
        <w:t>ambia</w:t>
      </w:r>
      <w:r w:rsidR="00562A6F" w:rsidRPr="00562A6F">
        <w:rPr>
          <w:rFonts w:asciiTheme="minorHAnsi" w:hAnsiTheme="minorHAnsi" w:cs="Times New Roman"/>
          <w:lang w:val="es-ES_tradnl"/>
        </w:rPr>
        <w:t>r</w:t>
      </w:r>
      <w:r w:rsidR="00886832" w:rsidRPr="00562A6F">
        <w:rPr>
          <w:rFonts w:asciiTheme="minorHAnsi" w:hAnsiTheme="minorHAnsi" w:cs="Times New Roman"/>
          <w:lang w:val="es-ES_tradnl"/>
        </w:rPr>
        <w:t xml:space="preserve"> al gestor para cumplir y recibir el pago, </w:t>
      </w:r>
      <w:r w:rsidR="00562A6F" w:rsidRPr="00562A6F">
        <w:rPr>
          <w:rFonts w:asciiTheme="minorHAnsi" w:hAnsiTheme="minorHAnsi" w:cs="Times New Roman"/>
          <w:lang w:val="es-ES_tradnl"/>
        </w:rPr>
        <w:t>ya que</w:t>
      </w:r>
      <w:r w:rsidR="00562A6F">
        <w:rPr>
          <w:rFonts w:asciiTheme="minorHAnsi" w:hAnsiTheme="minorHAnsi" w:cs="Times New Roman"/>
          <w:lang w:val="es-ES_tradnl"/>
        </w:rPr>
        <w:t xml:space="preserve"> e</w:t>
      </w:r>
      <w:r w:rsidR="00562A6F" w:rsidRPr="00562A6F">
        <w:rPr>
          <w:rFonts w:asciiTheme="minorHAnsi" w:hAnsiTheme="minorHAnsi" w:cs="Times New Roman"/>
          <w:lang w:val="es-ES_tradnl"/>
        </w:rPr>
        <w:t xml:space="preserve">l contrato </w:t>
      </w:r>
      <w:r w:rsidR="00886832" w:rsidRPr="00562A6F">
        <w:rPr>
          <w:rFonts w:asciiTheme="minorHAnsi" w:hAnsiTheme="minorHAnsi" w:cs="Times New Roman"/>
          <w:lang w:val="es-ES_tradnl"/>
        </w:rPr>
        <w:t>es la garantía de ejecución del proyecto</w:t>
      </w:r>
      <w:r w:rsidR="00761825">
        <w:rPr>
          <w:rFonts w:asciiTheme="minorHAnsi" w:hAnsiTheme="minorHAnsi" w:cs="Times New Roman"/>
          <w:lang w:val="es-ES_tradnl"/>
        </w:rPr>
        <w:t xml:space="preserve"> (art. 50 de la Ley 18.188)</w:t>
      </w:r>
      <w:r w:rsidR="00886832" w:rsidRPr="00562A6F">
        <w:rPr>
          <w:rFonts w:asciiTheme="minorHAnsi" w:hAnsiTheme="minorHAnsi" w:cs="Times New Roman"/>
          <w:lang w:val="es-ES_tradnl"/>
        </w:rPr>
        <w:t xml:space="preserve">. Si cae el financiador, el gestor </w:t>
      </w:r>
      <w:r w:rsidR="00562A6F" w:rsidRPr="00562A6F">
        <w:rPr>
          <w:rFonts w:asciiTheme="minorHAnsi" w:hAnsiTheme="minorHAnsi" w:cs="Times New Roman"/>
          <w:lang w:val="es-ES_tradnl"/>
        </w:rPr>
        <w:t xml:space="preserve">puede </w:t>
      </w:r>
      <w:r w:rsidR="00886832" w:rsidRPr="00562A6F">
        <w:rPr>
          <w:rFonts w:asciiTheme="minorHAnsi" w:hAnsiTheme="minorHAnsi" w:cs="Times New Roman"/>
          <w:lang w:val="es-ES_tradnl"/>
        </w:rPr>
        <w:t>recurr</w:t>
      </w:r>
      <w:r w:rsidR="00562A6F" w:rsidRPr="00562A6F">
        <w:rPr>
          <w:rFonts w:asciiTheme="minorHAnsi" w:hAnsiTheme="minorHAnsi" w:cs="Times New Roman"/>
          <w:lang w:val="es-ES_tradnl"/>
        </w:rPr>
        <w:t>ir</w:t>
      </w:r>
      <w:r w:rsidR="00886832" w:rsidRPr="00562A6F">
        <w:rPr>
          <w:rFonts w:asciiTheme="minorHAnsi" w:hAnsiTheme="minorHAnsi" w:cs="Times New Roman"/>
          <w:lang w:val="es-ES_tradnl"/>
        </w:rPr>
        <w:t xml:space="preserve"> a otro financiador</w:t>
      </w:r>
      <w:r w:rsidR="00562A6F" w:rsidRPr="00562A6F">
        <w:rPr>
          <w:rFonts w:asciiTheme="minorHAnsi" w:hAnsiTheme="minorHAnsi" w:cs="Times New Roman"/>
          <w:lang w:val="es-ES_tradnl"/>
        </w:rPr>
        <w:t>, en</w:t>
      </w:r>
      <w:r w:rsidR="00562A6F">
        <w:rPr>
          <w:rFonts w:asciiTheme="minorHAnsi" w:hAnsiTheme="minorHAnsi" w:cs="Times New Roman"/>
          <w:lang w:val="es-ES_tradnl"/>
        </w:rPr>
        <w:t xml:space="preserve"> </w:t>
      </w:r>
      <w:r w:rsidR="00562A6F" w:rsidRPr="00562A6F">
        <w:rPr>
          <w:rFonts w:asciiTheme="minorHAnsi" w:hAnsiTheme="minorHAnsi" w:cs="Times New Roman"/>
          <w:lang w:val="es-ES_tradnl"/>
        </w:rPr>
        <w:t xml:space="preserve">la misma lógica que el contrato </w:t>
      </w:r>
      <w:r w:rsidR="00562A6F">
        <w:rPr>
          <w:rFonts w:asciiTheme="minorHAnsi" w:hAnsiTheme="minorHAnsi" w:cs="Times New Roman"/>
          <w:lang w:val="es-ES_tradnl"/>
        </w:rPr>
        <w:t xml:space="preserve">permanece aunque cambien </w:t>
      </w:r>
      <w:r w:rsidR="00562A6F" w:rsidRPr="00562A6F">
        <w:rPr>
          <w:rFonts w:asciiTheme="minorHAnsi" w:hAnsiTheme="minorHAnsi" w:cs="Times New Roman"/>
          <w:lang w:val="es-ES_tradnl"/>
        </w:rPr>
        <w:t>los participantes</w:t>
      </w:r>
      <w:r w:rsidR="00DB0859">
        <w:rPr>
          <w:rFonts w:asciiTheme="minorHAnsi" w:hAnsiTheme="minorHAnsi" w:cs="Times New Roman"/>
          <w:lang w:val="es-ES_tradnl"/>
        </w:rPr>
        <w:t>, lo cual es un problema más usual</w:t>
      </w:r>
      <w:r w:rsidR="00886832" w:rsidRPr="00562A6F">
        <w:rPr>
          <w:rFonts w:asciiTheme="minorHAnsi" w:hAnsiTheme="minorHAnsi" w:cs="Times New Roman"/>
          <w:lang w:val="es-ES_tradnl"/>
        </w:rPr>
        <w:t>.</w:t>
      </w:r>
    </w:p>
    <w:p w:rsidR="00786174" w:rsidRPr="00886832" w:rsidRDefault="006B00FF" w:rsidP="0000180E">
      <w:pPr>
        <w:spacing w:after="180" w:line="264" w:lineRule="auto"/>
        <w:jc w:val="both"/>
        <w:rPr>
          <w:rFonts w:asciiTheme="minorHAnsi" w:hAnsiTheme="minorHAnsi" w:cs="Times New Roman"/>
          <w:lang w:val="es-ES_tradnl"/>
        </w:rPr>
      </w:pPr>
      <w:r>
        <w:rPr>
          <w:rFonts w:asciiTheme="minorHAnsi" w:hAnsiTheme="minorHAnsi" w:cs="Times New Roman"/>
          <w:lang w:val="es-ES_tradnl"/>
        </w:rPr>
        <w:t>Además</w:t>
      </w:r>
      <w:r w:rsidR="00786174" w:rsidRPr="00886832">
        <w:rPr>
          <w:rFonts w:asciiTheme="minorHAnsi" w:hAnsiTheme="minorHAnsi" w:cs="Times New Roman"/>
          <w:lang w:val="es-ES_tradnl"/>
        </w:rPr>
        <w:t xml:space="preserve">, se utilizan los </w:t>
      </w:r>
      <w:r w:rsidR="00786174" w:rsidRPr="00131A7A">
        <w:rPr>
          <w:rFonts w:asciiTheme="minorHAnsi" w:hAnsiTheme="minorHAnsi" w:cs="Times New Roman"/>
          <w:b/>
          <w:lang w:val="es-ES_tradnl"/>
        </w:rPr>
        <w:t xml:space="preserve">criterios definidos por </w:t>
      </w:r>
      <w:proofErr w:type="spellStart"/>
      <w:r w:rsidR="00786174" w:rsidRPr="00131A7A">
        <w:rPr>
          <w:rFonts w:asciiTheme="minorHAnsi" w:hAnsiTheme="minorHAnsi" w:cs="Times New Roman"/>
          <w:b/>
          <w:lang w:val="es-ES_tradnl"/>
        </w:rPr>
        <w:t>Eurostat</w:t>
      </w:r>
      <w:proofErr w:type="spellEnd"/>
      <w:r w:rsidR="00C334B2">
        <w:rPr>
          <w:rStyle w:val="FootnoteReference"/>
          <w:rFonts w:asciiTheme="minorHAnsi" w:hAnsiTheme="minorHAnsi" w:cs="Times New Roman"/>
          <w:b/>
          <w:lang w:val="es-ES_tradnl"/>
        </w:rPr>
        <w:footnoteReference w:id="5"/>
      </w:r>
      <w:r w:rsidR="00786174" w:rsidRPr="00886832">
        <w:rPr>
          <w:rFonts w:asciiTheme="minorHAnsi" w:hAnsiTheme="minorHAnsi" w:cs="Times New Roman"/>
          <w:lang w:val="es-ES_tradnl"/>
        </w:rPr>
        <w:t xml:space="preserve">. En ese sentido, la variable clave para contabilizar un proyecto como </w:t>
      </w:r>
      <w:r w:rsidR="00C02FCC">
        <w:rPr>
          <w:rFonts w:asciiTheme="minorHAnsi" w:hAnsiTheme="minorHAnsi" w:cs="Times New Roman"/>
          <w:lang w:val="es-ES_tradnl"/>
        </w:rPr>
        <w:t>d</w:t>
      </w:r>
      <w:r w:rsidR="00786174" w:rsidRPr="00886832">
        <w:rPr>
          <w:rFonts w:asciiTheme="minorHAnsi" w:hAnsiTheme="minorHAnsi" w:cs="Times New Roman"/>
          <w:lang w:val="es-ES_tradnl"/>
        </w:rPr>
        <w:t xml:space="preserve">euda </w:t>
      </w:r>
      <w:r w:rsidR="00C02FCC">
        <w:rPr>
          <w:rFonts w:asciiTheme="minorHAnsi" w:hAnsiTheme="minorHAnsi" w:cs="Times New Roman"/>
          <w:lang w:val="es-ES_tradnl"/>
        </w:rPr>
        <w:t>p</w:t>
      </w:r>
      <w:r w:rsidR="00786174" w:rsidRPr="00886832">
        <w:rPr>
          <w:rFonts w:asciiTheme="minorHAnsi" w:hAnsiTheme="minorHAnsi" w:cs="Times New Roman"/>
          <w:lang w:val="es-ES_tradnl"/>
        </w:rPr>
        <w:t xml:space="preserve">ública o </w:t>
      </w:r>
      <w:r w:rsidR="00C02FCC">
        <w:rPr>
          <w:rFonts w:asciiTheme="minorHAnsi" w:hAnsiTheme="minorHAnsi" w:cs="Times New Roman"/>
          <w:lang w:val="es-ES_tradnl"/>
        </w:rPr>
        <w:t>n</w:t>
      </w:r>
      <w:r w:rsidR="00786174" w:rsidRPr="00886832">
        <w:rPr>
          <w:rFonts w:asciiTheme="minorHAnsi" w:hAnsiTheme="minorHAnsi" w:cs="Times New Roman"/>
          <w:lang w:val="es-ES_tradnl"/>
        </w:rPr>
        <w:t xml:space="preserve">o </w:t>
      </w:r>
      <w:r w:rsidR="00C02FCC">
        <w:rPr>
          <w:rFonts w:asciiTheme="minorHAnsi" w:hAnsiTheme="minorHAnsi" w:cs="Times New Roman"/>
          <w:lang w:val="es-ES_tradnl"/>
        </w:rPr>
        <w:t>d</w:t>
      </w:r>
      <w:r w:rsidR="00786174" w:rsidRPr="00886832">
        <w:rPr>
          <w:rFonts w:asciiTheme="minorHAnsi" w:hAnsiTheme="minorHAnsi" w:cs="Times New Roman"/>
          <w:lang w:val="es-ES_tradnl"/>
        </w:rPr>
        <w:t xml:space="preserve">euda es cuál de las partes asume mayor riesgo, si es la Administración entonces debe contabilizare como </w:t>
      </w:r>
      <w:r w:rsidR="00C02FCC">
        <w:rPr>
          <w:rFonts w:asciiTheme="minorHAnsi" w:hAnsiTheme="minorHAnsi" w:cs="Times New Roman"/>
          <w:lang w:val="es-ES_tradnl"/>
        </w:rPr>
        <w:t>d</w:t>
      </w:r>
      <w:r w:rsidR="00786174" w:rsidRPr="00886832">
        <w:rPr>
          <w:rFonts w:asciiTheme="minorHAnsi" w:hAnsiTheme="minorHAnsi" w:cs="Times New Roman"/>
          <w:lang w:val="es-ES_tradnl"/>
        </w:rPr>
        <w:t>euda</w:t>
      </w:r>
      <w:r w:rsidR="00C02FCC">
        <w:rPr>
          <w:rFonts w:asciiTheme="minorHAnsi" w:hAnsiTheme="minorHAnsi" w:cs="Times New Roman"/>
          <w:lang w:val="es-ES_tradnl"/>
        </w:rPr>
        <w:t xml:space="preserve"> pública</w:t>
      </w:r>
      <w:r w:rsidR="00786174" w:rsidRPr="00886832">
        <w:rPr>
          <w:rFonts w:asciiTheme="minorHAnsi" w:hAnsiTheme="minorHAnsi" w:cs="Times New Roman"/>
          <w:lang w:val="es-ES_tradnl"/>
        </w:rPr>
        <w:t>. Es decir que un</w:t>
      </w:r>
      <w:r w:rsidR="00661108">
        <w:rPr>
          <w:rFonts w:asciiTheme="minorHAnsi" w:hAnsiTheme="minorHAnsi" w:cs="Times New Roman"/>
          <w:lang w:val="es-ES_tradnl"/>
        </w:rPr>
        <w:t>a</w:t>
      </w:r>
      <w:r w:rsidR="00786174" w:rsidRPr="00886832">
        <w:rPr>
          <w:rFonts w:asciiTheme="minorHAnsi" w:hAnsiTheme="minorHAnsi" w:cs="Times New Roman"/>
          <w:lang w:val="es-ES_tradnl"/>
        </w:rPr>
        <w:t xml:space="preserve"> PPP puede o no puede ser contabilizad</w:t>
      </w:r>
      <w:r w:rsidR="00661108">
        <w:rPr>
          <w:rFonts w:asciiTheme="minorHAnsi" w:hAnsiTheme="minorHAnsi" w:cs="Times New Roman"/>
          <w:lang w:val="es-ES_tradnl"/>
        </w:rPr>
        <w:t>a</w:t>
      </w:r>
      <w:r w:rsidR="00786174" w:rsidRPr="00886832">
        <w:rPr>
          <w:rFonts w:asciiTheme="minorHAnsi" w:hAnsiTheme="minorHAnsi" w:cs="Times New Roman"/>
          <w:lang w:val="es-ES_tradnl"/>
        </w:rPr>
        <w:t xml:space="preserve"> como </w:t>
      </w:r>
      <w:r w:rsidR="00C02FCC">
        <w:rPr>
          <w:rFonts w:asciiTheme="minorHAnsi" w:hAnsiTheme="minorHAnsi" w:cs="Times New Roman"/>
          <w:lang w:val="es-ES_tradnl"/>
        </w:rPr>
        <w:t>d</w:t>
      </w:r>
      <w:r w:rsidR="00786174" w:rsidRPr="00886832">
        <w:rPr>
          <w:rFonts w:asciiTheme="minorHAnsi" w:hAnsiTheme="minorHAnsi" w:cs="Times New Roman"/>
          <w:lang w:val="es-ES_tradnl"/>
        </w:rPr>
        <w:t>euda, dependiendo de cada caso</w:t>
      </w:r>
      <w:r w:rsidR="00C02FCC">
        <w:rPr>
          <w:rFonts w:asciiTheme="minorHAnsi" w:hAnsiTheme="minorHAnsi" w:cs="Times New Roman"/>
          <w:lang w:val="es-ES_tradnl"/>
        </w:rPr>
        <w:t>, por lo que c</w:t>
      </w:r>
      <w:r w:rsidR="00786174" w:rsidRPr="00886832">
        <w:rPr>
          <w:rFonts w:asciiTheme="minorHAnsi" w:hAnsiTheme="minorHAnsi" w:cs="Times New Roman"/>
          <w:lang w:val="es-ES_tradnl"/>
        </w:rPr>
        <w:t>ada proyecto debe analizarse por separado.</w:t>
      </w:r>
    </w:p>
    <w:p w:rsidR="006B00FF" w:rsidRPr="00B443D5" w:rsidRDefault="00661108" w:rsidP="0000180E">
      <w:pPr>
        <w:jc w:val="both"/>
        <w:rPr>
          <w:rFonts w:asciiTheme="minorHAnsi" w:eastAsiaTheme="minorHAnsi" w:hAnsiTheme="minorHAnsi" w:cstheme="minorBidi"/>
          <w:highlight w:val="cyan"/>
          <w:lang w:val="es-ES_tradnl"/>
        </w:rPr>
      </w:pPr>
      <w:r>
        <w:rPr>
          <w:rFonts w:asciiTheme="minorHAnsi" w:hAnsiTheme="minorHAnsi" w:cs="Times New Roman"/>
          <w:lang w:val="es-ES_tradnl"/>
        </w:rPr>
        <w:t>Para ello s</w:t>
      </w:r>
      <w:r w:rsidR="00786174" w:rsidRPr="00886832">
        <w:rPr>
          <w:rFonts w:asciiTheme="minorHAnsi" w:hAnsiTheme="minorHAnsi" w:cs="Times New Roman"/>
          <w:lang w:val="es-ES_tradnl"/>
        </w:rPr>
        <w:t xml:space="preserve">e hace un estudio muy pormenorizado y profundo de los riesgos de cada contrato, y se define qué riesgos pasan al gestor, con el objetivo de que asuma la mayoría de ellos. </w:t>
      </w:r>
      <w:r w:rsidR="006B00FF">
        <w:rPr>
          <w:rFonts w:asciiTheme="minorHAnsi" w:hAnsiTheme="minorHAnsi" w:cs="Times New Roman"/>
          <w:lang w:val="es-ES_tradnl"/>
        </w:rPr>
        <w:t>L</w:t>
      </w:r>
      <w:r w:rsidR="00786174" w:rsidRPr="00886832">
        <w:rPr>
          <w:rFonts w:asciiTheme="minorHAnsi" w:hAnsiTheme="minorHAnsi" w:cs="Times New Roman"/>
          <w:lang w:val="es-ES_tradnl"/>
        </w:rPr>
        <w:t xml:space="preserve">a distribución del riesgo para fijar </w:t>
      </w:r>
      <w:r w:rsidR="006B00FF">
        <w:rPr>
          <w:rFonts w:asciiTheme="minorHAnsi" w:hAnsiTheme="minorHAnsi" w:cs="Times New Roman"/>
          <w:lang w:val="es-ES_tradnl"/>
        </w:rPr>
        <w:t>su</w:t>
      </w:r>
      <w:r w:rsidR="00786174" w:rsidRPr="00886832">
        <w:rPr>
          <w:rFonts w:asciiTheme="minorHAnsi" w:hAnsiTheme="minorHAnsi" w:cs="Times New Roman"/>
          <w:lang w:val="es-ES_tradnl"/>
        </w:rPr>
        <w:t xml:space="preserve"> </w:t>
      </w:r>
      <w:r w:rsidR="006B00FF">
        <w:rPr>
          <w:rFonts w:asciiTheme="minorHAnsi" w:hAnsiTheme="minorHAnsi" w:cs="Times New Roman"/>
          <w:lang w:val="es-ES_tradnl"/>
        </w:rPr>
        <w:t xml:space="preserve">transferencia de realiza </w:t>
      </w:r>
      <w:r w:rsidR="00786174" w:rsidRPr="00886832">
        <w:rPr>
          <w:rFonts w:asciiTheme="minorHAnsi" w:hAnsiTheme="minorHAnsi" w:cs="Times New Roman"/>
          <w:lang w:val="es-ES_tradnl"/>
        </w:rPr>
        <w:t xml:space="preserve">caso a caso, dada la infinidad de situaciones a prever en los distintos proyectos, que luego deben estar expresados en los pliegos de la licitación y en los contratos, para </w:t>
      </w:r>
      <w:r>
        <w:rPr>
          <w:rFonts w:asciiTheme="minorHAnsi" w:hAnsiTheme="minorHAnsi" w:cs="Times New Roman"/>
          <w:lang w:val="es-ES_tradnl"/>
        </w:rPr>
        <w:t xml:space="preserve">definir el riesgo </w:t>
      </w:r>
      <w:r w:rsidR="00786174" w:rsidRPr="00886832">
        <w:rPr>
          <w:rFonts w:asciiTheme="minorHAnsi" w:hAnsiTheme="minorHAnsi" w:cs="Times New Roman"/>
          <w:lang w:val="es-ES_tradnl"/>
        </w:rPr>
        <w:t>asum</w:t>
      </w:r>
      <w:r>
        <w:rPr>
          <w:rFonts w:asciiTheme="minorHAnsi" w:hAnsiTheme="minorHAnsi" w:cs="Times New Roman"/>
          <w:lang w:val="es-ES_tradnl"/>
        </w:rPr>
        <w:t xml:space="preserve">ido por </w:t>
      </w:r>
      <w:r w:rsidR="00786174" w:rsidRPr="00886832">
        <w:rPr>
          <w:rFonts w:asciiTheme="minorHAnsi" w:hAnsiTheme="minorHAnsi" w:cs="Times New Roman"/>
          <w:lang w:val="es-ES_tradnl"/>
        </w:rPr>
        <w:t xml:space="preserve">cada parte. </w:t>
      </w:r>
      <w:r w:rsidR="006B00FF">
        <w:rPr>
          <w:rFonts w:asciiTheme="minorHAnsi" w:hAnsiTheme="minorHAnsi" w:cs="Times New Roman"/>
          <w:lang w:val="es-ES_tradnl"/>
        </w:rPr>
        <w:t xml:space="preserve">Ello se refleja en </w:t>
      </w:r>
      <w:r w:rsidR="006B00FF" w:rsidRPr="00886832">
        <w:rPr>
          <w:rFonts w:asciiTheme="minorHAnsi" w:hAnsiTheme="minorHAnsi" w:cs="Times New Roman"/>
          <w:lang w:val="es-ES_tradnl"/>
        </w:rPr>
        <w:t>un equilibri</w:t>
      </w:r>
      <w:r w:rsidR="006B00FF">
        <w:rPr>
          <w:rFonts w:asciiTheme="minorHAnsi" w:hAnsiTheme="minorHAnsi" w:cs="Times New Roman"/>
          <w:lang w:val="es-ES_tradnl"/>
        </w:rPr>
        <w:t>o</w:t>
      </w:r>
      <w:r w:rsidR="006B00FF" w:rsidRPr="00886832">
        <w:rPr>
          <w:rFonts w:asciiTheme="minorHAnsi" w:hAnsiTheme="minorHAnsi" w:cs="Times New Roman"/>
          <w:lang w:val="es-ES_tradnl"/>
        </w:rPr>
        <w:t xml:space="preserve"> entre costo y riesgo del propio proyect</w:t>
      </w:r>
      <w:r w:rsidR="006B00FF">
        <w:rPr>
          <w:rFonts w:asciiTheme="minorHAnsi" w:hAnsiTheme="minorHAnsi" w:cs="Times New Roman"/>
          <w:lang w:val="es-ES_tradnl"/>
        </w:rPr>
        <w:t>o, donde a menor riesgo asignado al sector público, el monto a pagar se acrecienta y viceversa.</w:t>
      </w:r>
    </w:p>
    <w:p w:rsidR="00786174" w:rsidRPr="00886832" w:rsidRDefault="006B00FF" w:rsidP="0000180E">
      <w:pPr>
        <w:spacing w:after="180" w:line="264" w:lineRule="auto"/>
        <w:jc w:val="both"/>
        <w:rPr>
          <w:rFonts w:asciiTheme="minorHAnsi" w:hAnsiTheme="minorHAnsi" w:cs="Times New Roman"/>
          <w:lang w:val="es-ES_tradnl"/>
        </w:rPr>
      </w:pPr>
      <w:r>
        <w:rPr>
          <w:rFonts w:asciiTheme="minorHAnsi" w:hAnsiTheme="minorHAnsi" w:cs="Times New Roman"/>
          <w:lang w:val="es-ES_tradnl"/>
        </w:rPr>
        <w:t>Como s</w:t>
      </w:r>
      <w:r w:rsidR="00786174" w:rsidRPr="00886832">
        <w:rPr>
          <w:rFonts w:asciiTheme="minorHAnsi" w:hAnsiTheme="minorHAnsi" w:cs="Times New Roman"/>
          <w:lang w:val="es-ES_tradnl"/>
        </w:rPr>
        <w:t>e asume el costo que implica que los r</w:t>
      </w:r>
      <w:r w:rsidR="00B32A37">
        <w:rPr>
          <w:rFonts w:asciiTheme="minorHAnsi" w:hAnsiTheme="minorHAnsi" w:cs="Times New Roman"/>
          <w:lang w:val="es-ES_tradnl"/>
        </w:rPr>
        <w:t>iesgos a asumir por el Estado sea</w:t>
      </w:r>
      <w:r w:rsidR="00786174" w:rsidRPr="00886832">
        <w:rPr>
          <w:rFonts w:asciiTheme="minorHAnsi" w:hAnsiTheme="minorHAnsi" w:cs="Times New Roman"/>
          <w:lang w:val="es-ES_tradnl"/>
        </w:rPr>
        <w:t>n menores</w:t>
      </w:r>
      <w:r>
        <w:rPr>
          <w:rFonts w:asciiTheme="minorHAnsi" w:hAnsiTheme="minorHAnsi" w:cs="Times New Roman"/>
          <w:lang w:val="es-ES_tradnl"/>
        </w:rPr>
        <w:t>, n</w:t>
      </w:r>
      <w:r w:rsidR="00786174" w:rsidRPr="00886832">
        <w:rPr>
          <w:rFonts w:asciiTheme="minorHAnsi" w:hAnsiTheme="minorHAnsi" w:cs="Times New Roman"/>
          <w:lang w:val="es-ES_tradnl"/>
        </w:rPr>
        <w:t xml:space="preserve">o se registra la deuda pública de los flujos futuros, esta situación se </w:t>
      </w:r>
      <w:r w:rsidR="00131A7A">
        <w:rPr>
          <w:rFonts w:asciiTheme="minorHAnsi" w:hAnsiTheme="minorHAnsi" w:cs="Times New Roman"/>
          <w:lang w:val="es-ES_tradnl"/>
        </w:rPr>
        <w:t>verifica en el proyecto del recinto penitenciario</w:t>
      </w:r>
      <w:r w:rsidR="00786174" w:rsidRPr="00886832">
        <w:rPr>
          <w:rFonts w:asciiTheme="minorHAnsi" w:hAnsiTheme="minorHAnsi" w:cs="Times New Roman"/>
          <w:lang w:val="es-ES_tradnl"/>
        </w:rPr>
        <w:t xml:space="preserve"> y se </w:t>
      </w:r>
      <w:r w:rsidR="00131A7A">
        <w:rPr>
          <w:rFonts w:asciiTheme="minorHAnsi" w:hAnsiTheme="minorHAnsi" w:cs="Times New Roman"/>
          <w:lang w:val="es-ES_tradnl"/>
        </w:rPr>
        <w:t xml:space="preserve">estima que </w:t>
      </w:r>
      <w:r>
        <w:rPr>
          <w:rFonts w:asciiTheme="minorHAnsi" w:hAnsiTheme="minorHAnsi" w:cs="Times New Roman"/>
          <w:lang w:val="es-ES_tradnl"/>
        </w:rPr>
        <w:t xml:space="preserve">se </w:t>
      </w:r>
      <w:r w:rsidR="00786174" w:rsidRPr="00886832">
        <w:rPr>
          <w:rFonts w:asciiTheme="minorHAnsi" w:hAnsiTheme="minorHAnsi" w:cs="Times New Roman"/>
          <w:lang w:val="es-ES_tradnl"/>
        </w:rPr>
        <w:t>repetiría en el caso de</w:t>
      </w:r>
      <w:r w:rsidR="00131A7A">
        <w:rPr>
          <w:rFonts w:asciiTheme="minorHAnsi" w:hAnsiTheme="minorHAnsi" w:cs="Times New Roman"/>
          <w:lang w:val="es-ES_tradnl"/>
        </w:rPr>
        <w:t xml:space="preserve">l corredor de </w:t>
      </w:r>
      <w:r w:rsidR="00786174" w:rsidRPr="00886832">
        <w:rPr>
          <w:rFonts w:asciiTheme="minorHAnsi" w:hAnsiTheme="minorHAnsi" w:cs="Times New Roman"/>
          <w:lang w:val="es-ES_tradnl"/>
        </w:rPr>
        <w:t>la</w:t>
      </w:r>
      <w:r w:rsidR="00131A7A">
        <w:rPr>
          <w:rFonts w:asciiTheme="minorHAnsi" w:hAnsiTheme="minorHAnsi" w:cs="Times New Roman"/>
          <w:lang w:val="es-ES_tradnl"/>
        </w:rPr>
        <w:t>s R</w:t>
      </w:r>
      <w:r w:rsidR="00786174" w:rsidRPr="00886832">
        <w:rPr>
          <w:rFonts w:asciiTheme="minorHAnsi" w:hAnsiTheme="minorHAnsi" w:cs="Times New Roman"/>
          <w:lang w:val="es-ES_tradnl"/>
        </w:rPr>
        <w:t>21</w:t>
      </w:r>
      <w:r w:rsidR="00131A7A">
        <w:rPr>
          <w:rFonts w:asciiTheme="minorHAnsi" w:hAnsiTheme="minorHAnsi" w:cs="Times New Roman"/>
          <w:lang w:val="es-ES_tradnl"/>
        </w:rPr>
        <w:t>y R</w:t>
      </w:r>
      <w:r w:rsidR="00786174" w:rsidRPr="00886832">
        <w:rPr>
          <w:rFonts w:asciiTheme="minorHAnsi" w:hAnsiTheme="minorHAnsi" w:cs="Times New Roman"/>
          <w:lang w:val="es-ES_tradnl"/>
        </w:rPr>
        <w:t>24</w:t>
      </w:r>
      <w:r w:rsidR="00131A7A">
        <w:rPr>
          <w:rFonts w:asciiTheme="minorHAnsi" w:hAnsiTheme="minorHAnsi" w:cs="Times New Roman"/>
          <w:lang w:val="es-ES_tradnl"/>
        </w:rPr>
        <w:t xml:space="preserve">, que </w:t>
      </w:r>
      <w:r w:rsidR="00786174" w:rsidRPr="00886832">
        <w:rPr>
          <w:rFonts w:asciiTheme="minorHAnsi" w:hAnsiTheme="minorHAnsi" w:cs="Times New Roman"/>
          <w:lang w:val="es-ES_tradnl"/>
        </w:rPr>
        <w:t>se encuentra a estudio</w:t>
      </w:r>
      <w:r w:rsidR="00131A7A">
        <w:rPr>
          <w:rFonts w:asciiTheme="minorHAnsi" w:hAnsiTheme="minorHAnsi" w:cs="Times New Roman"/>
          <w:lang w:val="es-ES_tradnl"/>
        </w:rPr>
        <w:t xml:space="preserve">, </w:t>
      </w:r>
      <w:r w:rsidR="00786174" w:rsidRPr="00886832">
        <w:rPr>
          <w:rFonts w:asciiTheme="minorHAnsi" w:hAnsiTheme="minorHAnsi" w:cs="Times New Roman"/>
          <w:lang w:val="es-ES_tradnl"/>
        </w:rPr>
        <w:t xml:space="preserve">ya que </w:t>
      </w:r>
      <w:r w:rsidR="00131A7A">
        <w:rPr>
          <w:rFonts w:asciiTheme="minorHAnsi" w:hAnsiTheme="minorHAnsi" w:cs="Times New Roman"/>
          <w:lang w:val="es-ES_tradnl"/>
        </w:rPr>
        <w:t xml:space="preserve">los </w:t>
      </w:r>
      <w:r w:rsidR="00786174" w:rsidRPr="00886832">
        <w:rPr>
          <w:rFonts w:asciiTheme="minorHAnsi" w:hAnsiTheme="minorHAnsi" w:cs="Times New Roman"/>
          <w:lang w:val="es-ES_tradnl"/>
        </w:rPr>
        <w:t>riesgo</w:t>
      </w:r>
      <w:r w:rsidR="00131A7A">
        <w:rPr>
          <w:rFonts w:asciiTheme="minorHAnsi" w:hAnsiTheme="minorHAnsi" w:cs="Times New Roman"/>
          <w:lang w:val="es-ES_tradnl"/>
        </w:rPr>
        <w:t>s</w:t>
      </w:r>
      <w:r w:rsidR="00786174" w:rsidRPr="00886832">
        <w:rPr>
          <w:rFonts w:asciiTheme="minorHAnsi" w:hAnsiTheme="minorHAnsi" w:cs="Times New Roman"/>
          <w:lang w:val="es-ES_tradnl"/>
        </w:rPr>
        <w:t xml:space="preserve"> de </w:t>
      </w:r>
      <w:r w:rsidR="00DB0859">
        <w:rPr>
          <w:rFonts w:asciiTheme="minorHAnsi" w:hAnsiTheme="minorHAnsi" w:cs="Times New Roman"/>
          <w:lang w:val="es-ES_tradnl"/>
        </w:rPr>
        <w:t>construcción  y de ingresos</w:t>
      </w:r>
      <w:r w:rsidR="00786174" w:rsidRPr="00886832">
        <w:rPr>
          <w:rFonts w:asciiTheme="minorHAnsi" w:hAnsiTheme="minorHAnsi" w:cs="Times New Roman"/>
          <w:lang w:val="es-ES_tradnl"/>
        </w:rPr>
        <w:t>, los más importantes, se pasa</w:t>
      </w:r>
      <w:r w:rsidR="00131A7A">
        <w:rPr>
          <w:rFonts w:asciiTheme="minorHAnsi" w:hAnsiTheme="minorHAnsi" w:cs="Times New Roman"/>
          <w:lang w:val="es-ES_tradnl"/>
        </w:rPr>
        <w:t xml:space="preserve">rían </w:t>
      </w:r>
      <w:r w:rsidR="00786174" w:rsidRPr="00886832">
        <w:rPr>
          <w:rFonts w:asciiTheme="minorHAnsi" w:hAnsiTheme="minorHAnsi" w:cs="Times New Roman"/>
          <w:lang w:val="es-ES_tradnl"/>
        </w:rPr>
        <w:t xml:space="preserve">al gestor. </w:t>
      </w:r>
    </w:p>
    <w:p w:rsidR="00786174" w:rsidRPr="00886832" w:rsidRDefault="00786174" w:rsidP="0000180E">
      <w:pPr>
        <w:spacing w:after="180" w:line="264" w:lineRule="auto"/>
        <w:jc w:val="both"/>
        <w:rPr>
          <w:rFonts w:asciiTheme="minorHAnsi" w:hAnsiTheme="minorHAnsi" w:cs="Times New Roman"/>
          <w:lang w:val="es-ES_tradnl"/>
        </w:rPr>
      </w:pPr>
      <w:r w:rsidRPr="00886832">
        <w:rPr>
          <w:rFonts w:asciiTheme="minorHAnsi" w:hAnsiTheme="minorHAnsi" w:cs="Times New Roman"/>
          <w:lang w:val="es-ES_tradnl"/>
        </w:rPr>
        <w:t>Por tanto, es importante remarcar que</w:t>
      </w:r>
      <w:r w:rsidR="00131A7A">
        <w:rPr>
          <w:rFonts w:asciiTheme="minorHAnsi" w:hAnsiTheme="minorHAnsi" w:cs="Times New Roman"/>
          <w:lang w:val="es-ES_tradnl"/>
        </w:rPr>
        <w:t xml:space="preserve">, con esta política de pasar los mayores riesgos a los </w:t>
      </w:r>
      <w:r w:rsidR="00B32A37">
        <w:rPr>
          <w:rFonts w:asciiTheme="minorHAnsi" w:hAnsiTheme="minorHAnsi" w:cs="Times New Roman"/>
          <w:lang w:val="es-ES_tradnl"/>
        </w:rPr>
        <w:t>operadores</w:t>
      </w:r>
      <w:r w:rsidR="00131A7A">
        <w:rPr>
          <w:rFonts w:asciiTheme="minorHAnsi" w:hAnsiTheme="minorHAnsi" w:cs="Times New Roman"/>
          <w:lang w:val="es-ES_tradnl"/>
        </w:rPr>
        <w:t xml:space="preserve">, </w:t>
      </w:r>
      <w:r w:rsidRPr="00886832">
        <w:rPr>
          <w:rFonts w:asciiTheme="minorHAnsi" w:hAnsiTheme="minorHAnsi" w:cs="Times New Roman"/>
          <w:lang w:val="es-ES_tradnl"/>
        </w:rPr>
        <w:t>los proyectos PPP cumpl</w:t>
      </w:r>
      <w:r w:rsidR="00131A7A">
        <w:rPr>
          <w:rFonts w:asciiTheme="minorHAnsi" w:hAnsiTheme="minorHAnsi" w:cs="Times New Roman"/>
          <w:lang w:val="es-ES_tradnl"/>
        </w:rPr>
        <w:t xml:space="preserve">irían con </w:t>
      </w:r>
      <w:r w:rsidRPr="00886832">
        <w:rPr>
          <w:rFonts w:asciiTheme="minorHAnsi" w:hAnsiTheme="minorHAnsi" w:cs="Times New Roman"/>
          <w:lang w:val="es-ES_tradnl"/>
        </w:rPr>
        <w:t xml:space="preserve">los requisitos </w:t>
      </w:r>
      <w:r w:rsidR="00131A7A">
        <w:rPr>
          <w:rFonts w:asciiTheme="minorHAnsi" w:hAnsiTheme="minorHAnsi" w:cs="Times New Roman"/>
          <w:lang w:val="es-ES_tradnl"/>
        </w:rPr>
        <w:t xml:space="preserve">de </w:t>
      </w:r>
      <w:proofErr w:type="spellStart"/>
      <w:r w:rsidR="00131A7A">
        <w:rPr>
          <w:rFonts w:asciiTheme="minorHAnsi" w:hAnsiTheme="minorHAnsi" w:cs="Times New Roman"/>
          <w:lang w:val="es-ES_tradnl"/>
        </w:rPr>
        <w:t>Eurostat</w:t>
      </w:r>
      <w:proofErr w:type="spellEnd"/>
      <w:r w:rsidR="00131A7A">
        <w:rPr>
          <w:rFonts w:asciiTheme="minorHAnsi" w:hAnsiTheme="minorHAnsi" w:cs="Times New Roman"/>
          <w:lang w:val="es-ES_tradnl"/>
        </w:rPr>
        <w:t xml:space="preserve"> de no </w:t>
      </w:r>
      <w:r w:rsidRPr="00886832">
        <w:rPr>
          <w:rFonts w:asciiTheme="minorHAnsi" w:hAnsiTheme="minorHAnsi" w:cs="Times New Roman"/>
          <w:lang w:val="es-ES_tradnl"/>
        </w:rPr>
        <w:t>registra</w:t>
      </w:r>
      <w:r w:rsidR="00131A7A">
        <w:rPr>
          <w:rFonts w:asciiTheme="minorHAnsi" w:hAnsiTheme="minorHAnsi" w:cs="Times New Roman"/>
          <w:lang w:val="es-ES_tradnl"/>
        </w:rPr>
        <w:t xml:space="preserve">r los futuros flujos como deuda pública, no teniendo </w:t>
      </w:r>
      <w:r w:rsidRPr="00886832">
        <w:rPr>
          <w:rFonts w:asciiTheme="minorHAnsi" w:hAnsiTheme="minorHAnsi" w:cs="Times New Roman"/>
          <w:lang w:val="es-ES_tradnl"/>
        </w:rPr>
        <w:t xml:space="preserve">impacto sobre esta variable. </w:t>
      </w:r>
      <w:r w:rsidR="00131A7A">
        <w:rPr>
          <w:rFonts w:asciiTheme="minorHAnsi" w:hAnsiTheme="minorHAnsi" w:cs="Times New Roman"/>
          <w:lang w:val="es-ES_tradnl"/>
        </w:rPr>
        <w:t>Sin embargo cabe acotar que un cambio en dichos criterios, según se vio precedentemente, ubicaría a estas PPP como deuda pública.</w:t>
      </w:r>
    </w:p>
    <w:p w:rsidR="00131A7A" w:rsidRPr="00886832" w:rsidRDefault="00131A7A" w:rsidP="0000180E">
      <w:pPr>
        <w:spacing w:after="180" w:line="264" w:lineRule="auto"/>
        <w:jc w:val="both"/>
        <w:rPr>
          <w:rFonts w:asciiTheme="minorHAnsi" w:hAnsiTheme="minorHAnsi" w:cs="Times New Roman"/>
          <w:lang w:val="es-ES_tradnl"/>
        </w:rPr>
      </w:pPr>
      <w:r w:rsidRPr="00886832">
        <w:rPr>
          <w:rFonts w:asciiTheme="minorHAnsi" w:hAnsiTheme="minorHAnsi" w:cs="Times New Roman"/>
          <w:lang w:val="es-ES_tradnl"/>
        </w:rPr>
        <w:t xml:space="preserve">Asimismo es importante remarcar que la propia ley </w:t>
      </w:r>
      <w:r>
        <w:rPr>
          <w:rFonts w:asciiTheme="minorHAnsi" w:hAnsiTheme="minorHAnsi" w:cs="Times New Roman"/>
          <w:lang w:val="es-ES_tradnl"/>
        </w:rPr>
        <w:t xml:space="preserve">de las </w:t>
      </w:r>
      <w:r w:rsidRPr="00886832">
        <w:rPr>
          <w:rFonts w:asciiTheme="minorHAnsi" w:hAnsiTheme="minorHAnsi" w:cs="Times New Roman"/>
          <w:lang w:val="es-ES_tradnl"/>
        </w:rPr>
        <w:t xml:space="preserve">PPP obliga a </w:t>
      </w:r>
      <w:r w:rsidR="00383148">
        <w:rPr>
          <w:rFonts w:asciiTheme="minorHAnsi" w:hAnsiTheme="minorHAnsi" w:cs="Times New Roman"/>
          <w:lang w:val="es-ES_tradnl"/>
        </w:rPr>
        <w:t xml:space="preserve">presentar </w:t>
      </w:r>
      <w:r w:rsidRPr="00383148">
        <w:rPr>
          <w:rFonts w:asciiTheme="minorHAnsi" w:hAnsiTheme="minorHAnsi" w:cs="Times New Roman"/>
          <w:b/>
          <w:lang w:val="es-ES_tradnl"/>
        </w:rPr>
        <w:t>informa</w:t>
      </w:r>
      <w:r w:rsidR="00383148" w:rsidRPr="00383148">
        <w:rPr>
          <w:rFonts w:asciiTheme="minorHAnsi" w:hAnsiTheme="minorHAnsi" w:cs="Times New Roman"/>
          <w:b/>
          <w:lang w:val="es-ES_tradnl"/>
        </w:rPr>
        <w:t>ción</w:t>
      </w:r>
      <w:r w:rsidRPr="00383148">
        <w:rPr>
          <w:rFonts w:asciiTheme="minorHAnsi" w:hAnsiTheme="minorHAnsi" w:cs="Times New Roman"/>
          <w:b/>
          <w:lang w:val="es-ES_tradnl"/>
        </w:rPr>
        <w:t xml:space="preserve"> sobre los pasivos firmes y contingentes contraídos</w:t>
      </w:r>
      <w:r w:rsidR="003529A0">
        <w:rPr>
          <w:rFonts w:asciiTheme="minorHAnsi" w:hAnsiTheme="minorHAnsi" w:cs="Times New Roman"/>
          <w:lang w:val="es-ES_tradnl"/>
        </w:rPr>
        <w:t>.</w:t>
      </w:r>
    </w:p>
    <w:p w:rsidR="00786174" w:rsidRPr="00886832" w:rsidRDefault="00383148" w:rsidP="0000180E">
      <w:pPr>
        <w:spacing w:after="180" w:line="264" w:lineRule="auto"/>
        <w:jc w:val="both"/>
        <w:rPr>
          <w:rFonts w:asciiTheme="minorHAnsi" w:hAnsiTheme="minorHAnsi" w:cs="Times New Roman"/>
          <w:lang w:val="es-ES_tradnl"/>
        </w:rPr>
      </w:pPr>
      <w:r>
        <w:rPr>
          <w:rFonts w:asciiTheme="minorHAnsi" w:hAnsiTheme="minorHAnsi" w:cs="Times New Roman"/>
          <w:lang w:val="es-ES_tradnl"/>
        </w:rPr>
        <w:t>En función de ello, s</w:t>
      </w:r>
      <w:r w:rsidR="00786174" w:rsidRPr="00886832">
        <w:rPr>
          <w:rFonts w:asciiTheme="minorHAnsi" w:hAnsiTheme="minorHAnsi" w:cs="Times New Roman"/>
          <w:lang w:val="es-ES_tradnl"/>
        </w:rPr>
        <w:t xml:space="preserve">e informa del estado de situación y montos comprometidos de cada PPP en el Presupuesto quinquenal y en la Rendición de Cuentas anual en </w:t>
      </w:r>
      <w:r>
        <w:rPr>
          <w:rFonts w:asciiTheme="minorHAnsi" w:hAnsiTheme="minorHAnsi" w:cs="Times New Roman"/>
          <w:lang w:val="es-ES_tradnl"/>
        </w:rPr>
        <w:t>n</w:t>
      </w:r>
      <w:r w:rsidR="00786174" w:rsidRPr="00886832">
        <w:rPr>
          <w:rFonts w:asciiTheme="minorHAnsi" w:hAnsiTheme="minorHAnsi" w:cs="Times New Roman"/>
          <w:lang w:val="es-ES_tradnl"/>
        </w:rPr>
        <w:t>ota</w:t>
      </w:r>
      <w:r>
        <w:rPr>
          <w:rFonts w:asciiTheme="minorHAnsi" w:hAnsiTheme="minorHAnsi" w:cs="Times New Roman"/>
          <w:lang w:val="es-ES_tradnl"/>
        </w:rPr>
        <w:t>s</w:t>
      </w:r>
      <w:r w:rsidR="00786174" w:rsidRPr="00886832">
        <w:rPr>
          <w:rFonts w:asciiTheme="minorHAnsi" w:hAnsiTheme="minorHAnsi" w:cs="Times New Roman"/>
          <w:lang w:val="es-ES_tradnl"/>
        </w:rPr>
        <w:t xml:space="preserve"> </w:t>
      </w:r>
      <w:r w:rsidR="006B00FF">
        <w:rPr>
          <w:rFonts w:asciiTheme="minorHAnsi" w:hAnsiTheme="minorHAnsi" w:cs="Times New Roman"/>
          <w:lang w:val="es-ES_tradnl"/>
        </w:rPr>
        <w:t xml:space="preserve">dentro de </w:t>
      </w:r>
      <w:r w:rsidR="00786174" w:rsidRPr="00886832">
        <w:rPr>
          <w:rFonts w:asciiTheme="minorHAnsi" w:hAnsiTheme="minorHAnsi" w:cs="Times New Roman"/>
          <w:lang w:val="es-ES_tradnl"/>
        </w:rPr>
        <w:t>dichos documentos, aunque no se registr</w:t>
      </w:r>
      <w:r w:rsidR="003529A0">
        <w:rPr>
          <w:rFonts w:asciiTheme="minorHAnsi" w:hAnsiTheme="minorHAnsi" w:cs="Times New Roman"/>
          <w:lang w:val="es-ES_tradnl"/>
        </w:rPr>
        <w:t>e</w:t>
      </w:r>
      <w:r w:rsidR="00786174" w:rsidRPr="00886832">
        <w:rPr>
          <w:rFonts w:asciiTheme="minorHAnsi" w:hAnsiTheme="minorHAnsi" w:cs="Times New Roman"/>
          <w:lang w:val="es-ES_tradnl"/>
        </w:rPr>
        <w:t xml:space="preserve"> como deuda pública del país. </w:t>
      </w:r>
      <w:r w:rsidR="003529A0">
        <w:rPr>
          <w:rFonts w:asciiTheme="minorHAnsi" w:hAnsiTheme="minorHAnsi" w:cs="Times New Roman"/>
          <w:lang w:val="es-ES_tradnl"/>
        </w:rPr>
        <w:t>Debe tenerse en cuenta también que e</w:t>
      </w:r>
      <w:r w:rsidR="00786174" w:rsidRPr="00886832">
        <w:rPr>
          <w:rFonts w:asciiTheme="minorHAnsi" w:hAnsiTheme="minorHAnsi" w:cs="Times New Roman"/>
          <w:lang w:val="es-ES_tradnl"/>
        </w:rPr>
        <w:t xml:space="preserve">n la </w:t>
      </w:r>
      <w:r w:rsidR="003529A0">
        <w:rPr>
          <w:rFonts w:asciiTheme="minorHAnsi" w:hAnsiTheme="minorHAnsi" w:cs="Times New Roman"/>
          <w:lang w:val="es-ES_tradnl"/>
        </w:rPr>
        <w:t>c</w:t>
      </w:r>
      <w:r w:rsidR="00786174" w:rsidRPr="00886832">
        <w:rPr>
          <w:rFonts w:asciiTheme="minorHAnsi" w:hAnsiTheme="minorHAnsi" w:cs="Times New Roman"/>
          <w:lang w:val="es-ES_tradnl"/>
        </w:rPr>
        <w:t xml:space="preserve">ontabilidad pública </w:t>
      </w:r>
      <w:r>
        <w:rPr>
          <w:rFonts w:asciiTheme="minorHAnsi" w:hAnsiTheme="minorHAnsi" w:cs="Times New Roman"/>
          <w:lang w:val="es-ES_tradnl"/>
        </w:rPr>
        <w:t xml:space="preserve">de </w:t>
      </w:r>
      <w:r w:rsidR="00F92309">
        <w:rPr>
          <w:rFonts w:asciiTheme="minorHAnsi" w:hAnsiTheme="minorHAnsi" w:cs="Times New Roman"/>
          <w:lang w:val="es-ES_tradnl"/>
        </w:rPr>
        <w:t>Uruguay</w:t>
      </w:r>
      <w:r>
        <w:rPr>
          <w:rFonts w:asciiTheme="minorHAnsi" w:hAnsiTheme="minorHAnsi" w:cs="Times New Roman"/>
          <w:lang w:val="es-ES_tradnl"/>
        </w:rPr>
        <w:t xml:space="preserve"> </w:t>
      </w:r>
      <w:r w:rsidR="00786174" w:rsidRPr="00886832">
        <w:rPr>
          <w:rFonts w:asciiTheme="minorHAnsi" w:hAnsiTheme="minorHAnsi" w:cs="Times New Roman"/>
          <w:lang w:val="es-ES_tradnl"/>
        </w:rPr>
        <w:t>no hay registro de contingencias, o sea cuentas de orden</w:t>
      </w:r>
      <w:r w:rsidR="003529A0">
        <w:rPr>
          <w:rFonts w:asciiTheme="minorHAnsi" w:hAnsiTheme="minorHAnsi" w:cs="Times New Roman"/>
          <w:lang w:val="es-ES_tradnl"/>
        </w:rPr>
        <w:t>,</w:t>
      </w:r>
      <w:r>
        <w:rPr>
          <w:rFonts w:asciiTheme="minorHAnsi" w:hAnsiTheme="minorHAnsi" w:cs="Times New Roman"/>
          <w:lang w:val="es-ES_tradnl"/>
        </w:rPr>
        <w:t xml:space="preserve"> por el criterio de caja que se aplica, </w:t>
      </w:r>
      <w:r w:rsidR="003529A0">
        <w:rPr>
          <w:rFonts w:asciiTheme="minorHAnsi" w:hAnsiTheme="minorHAnsi" w:cs="Times New Roman"/>
          <w:lang w:val="es-ES_tradnl"/>
        </w:rPr>
        <w:t xml:space="preserve"> por lo que debería cambiarse este tipo de contabilidad para permitir esta registració</w:t>
      </w:r>
      <w:r>
        <w:rPr>
          <w:rFonts w:asciiTheme="minorHAnsi" w:hAnsiTheme="minorHAnsi" w:cs="Times New Roman"/>
          <w:lang w:val="es-ES_tradnl"/>
        </w:rPr>
        <w:t>n</w:t>
      </w:r>
      <w:r w:rsidR="003529A0">
        <w:rPr>
          <w:rFonts w:asciiTheme="minorHAnsi" w:hAnsiTheme="minorHAnsi" w:cs="Times New Roman"/>
          <w:lang w:val="es-ES_tradnl"/>
        </w:rPr>
        <w:t>.</w:t>
      </w:r>
    </w:p>
    <w:p w:rsidR="00783CCC" w:rsidRPr="00783CCC" w:rsidRDefault="00383148" w:rsidP="0000180E">
      <w:pPr>
        <w:spacing w:after="180" w:line="264" w:lineRule="auto"/>
        <w:jc w:val="both"/>
        <w:rPr>
          <w:rFonts w:asciiTheme="minorHAnsi" w:hAnsiTheme="minorHAnsi" w:cs="Times New Roman"/>
          <w:lang w:val="es-ES_tradnl"/>
        </w:rPr>
      </w:pPr>
      <w:r>
        <w:rPr>
          <w:rFonts w:asciiTheme="minorHAnsi" w:hAnsiTheme="minorHAnsi" w:cs="Times New Roman"/>
          <w:lang w:val="es-ES_tradnl"/>
        </w:rPr>
        <w:t>Por último, dicha l</w:t>
      </w:r>
      <w:r w:rsidRPr="00886832">
        <w:rPr>
          <w:rFonts w:asciiTheme="minorHAnsi" w:hAnsiTheme="minorHAnsi" w:cs="Times New Roman"/>
          <w:lang w:val="es-ES_tradnl"/>
        </w:rPr>
        <w:t xml:space="preserve">ey fija </w:t>
      </w:r>
      <w:r w:rsidRPr="00383148">
        <w:rPr>
          <w:rFonts w:asciiTheme="minorHAnsi" w:hAnsiTheme="minorHAnsi" w:cs="Times New Roman"/>
          <w:b/>
          <w:lang w:val="es-ES_tradnl"/>
        </w:rPr>
        <w:t>topes a</w:t>
      </w:r>
      <w:r>
        <w:rPr>
          <w:rFonts w:asciiTheme="minorHAnsi" w:hAnsiTheme="minorHAnsi" w:cs="Times New Roman"/>
          <w:b/>
          <w:lang w:val="es-ES_tradnl"/>
        </w:rPr>
        <w:t xml:space="preserve">l </w:t>
      </w:r>
      <w:r w:rsidRPr="00383148">
        <w:rPr>
          <w:rFonts w:asciiTheme="minorHAnsi" w:hAnsiTheme="minorHAnsi" w:cs="Times New Roman"/>
          <w:b/>
          <w:lang w:val="es-ES_tradnl"/>
        </w:rPr>
        <w:t>monto total</w:t>
      </w:r>
      <w:r>
        <w:rPr>
          <w:rFonts w:asciiTheme="minorHAnsi" w:hAnsiTheme="minorHAnsi" w:cs="Times New Roman"/>
          <w:b/>
          <w:lang w:val="es-ES_tradnl"/>
        </w:rPr>
        <w:t xml:space="preserve"> </w:t>
      </w:r>
      <w:r w:rsidRPr="00383148">
        <w:rPr>
          <w:rFonts w:asciiTheme="minorHAnsi" w:hAnsiTheme="minorHAnsi" w:cs="Times New Roman"/>
          <w:b/>
          <w:lang w:val="es-ES_tradnl"/>
        </w:rPr>
        <w:t xml:space="preserve">y al flujo anual de </w:t>
      </w:r>
      <w:r w:rsidR="006B00FF">
        <w:rPr>
          <w:rFonts w:asciiTheme="minorHAnsi" w:hAnsiTheme="minorHAnsi" w:cs="Times New Roman"/>
          <w:b/>
          <w:lang w:val="es-ES_tradnl"/>
        </w:rPr>
        <w:t xml:space="preserve">los </w:t>
      </w:r>
      <w:r w:rsidRPr="00383148">
        <w:rPr>
          <w:rFonts w:asciiTheme="minorHAnsi" w:hAnsiTheme="minorHAnsi" w:cs="Times New Roman"/>
          <w:b/>
          <w:lang w:val="es-ES_tradnl"/>
        </w:rPr>
        <w:t>pagos futuros comprometidos</w:t>
      </w:r>
      <w:r w:rsidRPr="00886832">
        <w:rPr>
          <w:rFonts w:asciiTheme="minorHAnsi" w:hAnsiTheme="minorHAnsi" w:cs="Times New Roman"/>
          <w:lang w:val="es-ES_tradnl"/>
        </w:rPr>
        <w:t xml:space="preserve">. </w:t>
      </w:r>
      <w:r w:rsidR="00B32A37">
        <w:rPr>
          <w:rFonts w:asciiTheme="minorHAnsi" w:hAnsiTheme="minorHAnsi" w:cs="Times New Roman"/>
          <w:lang w:val="es-ES_tradnl"/>
        </w:rPr>
        <w:t>E</w:t>
      </w:r>
      <w:r w:rsidRPr="00783CCC">
        <w:rPr>
          <w:rFonts w:asciiTheme="minorHAnsi" w:hAnsiTheme="minorHAnsi" w:cs="Times New Roman"/>
          <w:lang w:val="es-ES_tradnl"/>
        </w:rPr>
        <w:t>st</w:t>
      </w:r>
      <w:r w:rsidR="00B32A37">
        <w:rPr>
          <w:rFonts w:asciiTheme="minorHAnsi" w:hAnsiTheme="minorHAnsi" w:cs="Times New Roman"/>
          <w:lang w:val="es-ES_tradnl"/>
        </w:rPr>
        <w:t>os son los</w:t>
      </w:r>
      <w:r w:rsidRPr="00783CCC">
        <w:rPr>
          <w:rFonts w:asciiTheme="minorHAnsi" w:hAnsiTheme="minorHAnsi" w:cs="Times New Roman"/>
          <w:lang w:val="es-ES_tradnl"/>
        </w:rPr>
        <w:t xml:space="preserve"> </w:t>
      </w:r>
      <w:r w:rsidR="007E5B98" w:rsidRPr="00783CCC">
        <w:rPr>
          <w:rFonts w:asciiTheme="minorHAnsi" w:hAnsiTheme="minorHAnsi" w:cs="Times New Roman"/>
          <w:lang w:val="es-ES_tradnl"/>
        </w:rPr>
        <w:t>criterio</w:t>
      </w:r>
      <w:r w:rsidR="00B32A37">
        <w:rPr>
          <w:rFonts w:asciiTheme="minorHAnsi" w:hAnsiTheme="minorHAnsi" w:cs="Times New Roman"/>
          <w:lang w:val="es-ES_tradnl"/>
        </w:rPr>
        <w:t>s</w:t>
      </w:r>
      <w:r w:rsidR="007E5B98" w:rsidRPr="00783CCC">
        <w:rPr>
          <w:rFonts w:asciiTheme="minorHAnsi" w:hAnsiTheme="minorHAnsi" w:cs="Times New Roman"/>
          <w:lang w:val="es-ES_tradnl"/>
        </w:rPr>
        <w:t xml:space="preserve"> principal</w:t>
      </w:r>
      <w:r w:rsidR="00B32A37">
        <w:rPr>
          <w:rFonts w:asciiTheme="minorHAnsi" w:hAnsiTheme="minorHAnsi" w:cs="Times New Roman"/>
          <w:lang w:val="es-ES_tradnl"/>
        </w:rPr>
        <w:t>es</w:t>
      </w:r>
      <w:r w:rsidR="007E5B98" w:rsidRPr="00783CCC">
        <w:rPr>
          <w:rFonts w:asciiTheme="minorHAnsi" w:hAnsiTheme="minorHAnsi" w:cs="Times New Roman"/>
          <w:lang w:val="es-ES_tradnl"/>
        </w:rPr>
        <w:t xml:space="preserve"> de control del riesgo </w:t>
      </w:r>
      <w:r w:rsidRPr="00783CCC">
        <w:rPr>
          <w:rFonts w:asciiTheme="minorHAnsi" w:hAnsiTheme="minorHAnsi" w:cs="Times New Roman"/>
          <w:lang w:val="es-ES_tradnl"/>
        </w:rPr>
        <w:t xml:space="preserve">fiscal en </w:t>
      </w:r>
      <w:r w:rsidR="00B32A37">
        <w:rPr>
          <w:rFonts w:asciiTheme="minorHAnsi" w:hAnsiTheme="minorHAnsi" w:cs="Times New Roman"/>
          <w:lang w:val="es-ES_tradnl"/>
        </w:rPr>
        <w:t>el caso uruguayo</w:t>
      </w:r>
      <w:r w:rsidR="007E5B98" w:rsidRPr="00783CCC">
        <w:rPr>
          <w:rFonts w:asciiTheme="minorHAnsi" w:hAnsiTheme="minorHAnsi" w:cs="Times New Roman"/>
          <w:lang w:val="es-ES_tradnl"/>
        </w:rPr>
        <w:t xml:space="preserve"> </w:t>
      </w:r>
      <w:r w:rsidRPr="00783CCC">
        <w:rPr>
          <w:rFonts w:asciiTheme="minorHAnsi" w:hAnsiTheme="minorHAnsi" w:cs="Times New Roman"/>
          <w:lang w:val="es-ES_tradnl"/>
        </w:rPr>
        <w:t xml:space="preserve">y </w:t>
      </w:r>
      <w:r w:rsidR="007E5B98" w:rsidRPr="00783CCC">
        <w:rPr>
          <w:rFonts w:asciiTheme="minorHAnsi" w:hAnsiTheme="minorHAnsi" w:cs="Times New Roman"/>
          <w:lang w:val="es-ES_tradnl"/>
        </w:rPr>
        <w:t>expresa</w:t>
      </w:r>
      <w:r w:rsidR="00B32A37">
        <w:rPr>
          <w:rFonts w:asciiTheme="minorHAnsi" w:hAnsiTheme="minorHAnsi" w:cs="Times New Roman"/>
          <w:lang w:val="es-ES_tradnl"/>
        </w:rPr>
        <w:t xml:space="preserve">n, por un lado, </w:t>
      </w:r>
      <w:r w:rsidR="007E5B98" w:rsidRPr="00783CCC">
        <w:rPr>
          <w:rFonts w:asciiTheme="minorHAnsi" w:hAnsiTheme="minorHAnsi" w:cs="Times New Roman"/>
          <w:lang w:val="es-ES_tradnl"/>
        </w:rPr>
        <w:t xml:space="preserve">que el valor presente neto del total de los montos previstos a pagar por el Estado por las </w:t>
      </w:r>
      <w:proofErr w:type="spellStart"/>
      <w:r w:rsidR="007E5B98" w:rsidRPr="00783CCC">
        <w:rPr>
          <w:rFonts w:asciiTheme="minorHAnsi" w:hAnsiTheme="minorHAnsi" w:cs="Times New Roman"/>
          <w:lang w:val="es-ES_tradnl"/>
        </w:rPr>
        <w:t>PPP</w:t>
      </w:r>
      <w:r w:rsidRPr="00783CCC">
        <w:rPr>
          <w:rFonts w:asciiTheme="minorHAnsi" w:hAnsiTheme="minorHAnsi" w:cs="Times New Roman"/>
          <w:lang w:val="es-ES_tradnl"/>
        </w:rPr>
        <w:t>s</w:t>
      </w:r>
      <w:proofErr w:type="spellEnd"/>
      <w:r w:rsidR="007E5B98" w:rsidRPr="00783CCC">
        <w:rPr>
          <w:rFonts w:asciiTheme="minorHAnsi" w:hAnsiTheme="minorHAnsi" w:cs="Times New Roman"/>
          <w:lang w:val="es-ES_tradnl"/>
        </w:rPr>
        <w:t xml:space="preserve"> no podría exceder del 7% del PBI del año anterior (</w:t>
      </w:r>
      <w:r w:rsidR="00B32A37">
        <w:rPr>
          <w:rFonts w:asciiTheme="minorHAnsi" w:hAnsiTheme="minorHAnsi" w:cs="Times New Roman"/>
          <w:lang w:val="es-ES_tradnl"/>
        </w:rPr>
        <w:t xml:space="preserve">el techo sería de </w:t>
      </w:r>
      <w:r w:rsidR="007E5B98" w:rsidRPr="00783CCC">
        <w:rPr>
          <w:rFonts w:asciiTheme="minorHAnsi" w:hAnsiTheme="minorHAnsi" w:cs="Times New Roman"/>
          <w:lang w:val="es-ES_tradnl"/>
        </w:rPr>
        <w:t xml:space="preserve">US$ 3.500 millones </w:t>
      </w:r>
      <w:r w:rsidRPr="00783CCC">
        <w:rPr>
          <w:rFonts w:asciiTheme="minorHAnsi" w:hAnsiTheme="minorHAnsi" w:cs="Times New Roman"/>
          <w:lang w:val="es-ES_tradnl"/>
        </w:rPr>
        <w:t>aproximadamente</w:t>
      </w:r>
      <w:r w:rsidR="007E5B98" w:rsidRPr="00783CCC">
        <w:rPr>
          <w:rFonts w:asciiTheme="minorHAnsi" w:hAnsiTheme="minorHAnsi" w:cs="Times New Roman"/>
          <w:lang w:val="es-ES_tradnl"/>
        </w:rPr>
        <w:t xml:space="preserve"> en la actualidad), a la vez que</w:t>
      </w:r>
      <w:r w:rsidR="00B32A37">
        <w:rPr>
          <w:rFonts w:asciiTheme="minorHAnsi" w:hAnsiTheme="minorHAnsi" w:cs="Times New Roman"/>
          <w:lang w:val="es-ES_tradnl"/>
        </w:rPr>
        <w:t xml:space="preserve">, por otro lado, </w:t>
      </w:r>
      <w:r w:rsidR="007E5B98" w:rsidRPr="00783CCC">
        <w:rPr>
          <w:rFonts w:asciiTheme="minorHAnsi" w:hAnsiTheme="minorHAnsi" w:cs="Times New Roman"/>
          <w:lang w:val="es-ES_tradnl"/>
        </w:rPr>
        <w:t>los flujos an</w:t>
      </w:r>
      <w:r w:rsidR="00783CCC" w:rsidRPr="00783CCC">
        <w:rPr>
          <w:rFonts w:asciiTheme="minorHAnsi" w:hAnsiTheme="minorHAnsi" w:cs="Times New Roman"/>
          <w:lang w:val="es-ES_tradnl"/>
        </w:rPr>
        <w:t>uales no podrían exceder del 0,</w:t>
      </w:r>
      <w:r w:rsidR="007E5B98" w:rsidRPr="00783CCC">
        <w:rPr>
          <w:rFonts w:asciiTheme="minorHAnsi" w:hAnsiTheme="minorHAnsi" w:cs="Times New Roman"/>
          <w:lang w:val="es-ES_tradnl"/>
        </w:rPr>
        <w:t>5% del PBI del año anterior</w:t>
      </w:r>
      <w:r w:rsidRPr="00783CCC">
        <w:rPr>
          <w:rFonts w:asciiTheme="minorHAnsi" w:hAnsiTheme="minorHAnsi" w:cs="Times New Roman"/>
          <w:lang w:val="es-ES_tradnl"/>
        </w:rPr>
        <w:t xml:space="preserve"> (</w:t>
      </w:r>
      <w:r w:rsidR="00B32A37">
        <w:rPr>
          <w:rFonts w:asciiTheme="minorHAnsi" w:hAnsiTheme="minorHAnsi" w:cs="Times New Roman"/>
          <w:lang w:val="es-ES_tradnl"/>
        </w:rPr>
        <w:t xml:space="preserve">el techo anual sería de </w:t>
      </w:r>
      <w:r w:rsidRPr="00783CCC">
        <w:rPr>
          <w:rFonts w:asciiTheme="minorHAnsi" w:hAnsiTheme="minorHAnsi" w:cs="Times New Roman"/>
          <w:lang w:val="es-ES_tradnl"/>
        </w:rPr>
        <w:t>US$ 250 millones año aproximadamente)</w:t>
      </w:r>
      <w:r w:rsidR="007E5B98" w:rsidRPr="00783CCC">
        <w:rPr>
          <w:rFonts w:asciiTheme="minorHAnsi" w:hAnsiTheme="minorHAnsi" w:cs="Times New Roman"/>
          <w:lang w:val="es-ES_tradnl"/>
        </w:rPr>
        <w:t>.</w:t>
      </w:r>
    </w:p>
    <w:p w:rsidR="007E5B98" w:rsidRPr="00783CCC" w:rsidRDefault="00783CCC" w:rsidP="0000180E">
      <w:pPr>
        <w:spacing w:after="180" w:line="264" w:lineRule="auto"/>
        <w:jc w:val="both"/>
        <w:rPr>
          <w:rFonts w:asciiTheme="minorHAnsi" w:hAnsiTheme="minorHAnsi" w:cs="Times New Roman"/>
          <w:lang w:val="es-ES_tradnl"/>
        </w:rPr>
      </w:pPr>
      <w:r w:rsidRPr="00783CCC">
        <w:rPr>
          <w:rFonts w:asciiTheme="minorHAnsi" w:hAnsiTheme="minorHAnsi" w:cs="Times New Roman"/>
          <w:lang w:val="es-ES_tradnl"/>
        </w:rPr>
        <w:t>En estos montos se incluyen los pasivos explícito</w:t>
      </w:r>
      <w:r>
        <w:rPr>
          <w:rFonts w:asciiTheme="minorHAnsi" w:hAnsiTheme="minorHAnsi" w:cs="Times New Roman"/>
          <w:lang w:val="es-ES_tradnl"/>
        </w:rPr>
        <w:t xml:space="preserve">s </w:t>
      </w:r>
      <w:r w:rsidRPr="00783CCC">
        <w:rPr>
          <w:rFonts w:asciiTheme="minorHAnsi" w:hAnsiTheme="minorHAnsi" w:cs="Times New Roman"/>
          <w:lang w:val="es-ES_tradnl"/>
        </w:rPr>
        <w:t>y contingentes originados en los proyecto</w:t>
      </w:r>
      <w:r>
        <w:rPr>
          <w:rFonts w:asciiTheme="minorHAnsi" w:hAnsiTheme="minorHAnsi" w:cs="Times New Roman"/>
          <w:lang w:val="es-ES_tradnl"/>
        </w:rPr>
        <w:t>s</w:t>
      </w:r>
      <w:r w:rsidRPr="00783CCC">
        <w:rPr>
          <w:rFonts w:asciiTheme="minorHAnsi" w:hAnsiTheme="minorHAnsi" w:cs="Times New Roman"/>
          <w:lang w:val="es-ES_tradnl"/>
        </w:rPr>
        <w:t xml:space="preserve"> </w:t>
      </w:r>
      <w:proofErr w:type="spellStart"/>
      <w:r w:rsidRPr="00783CCC">
        <w:rPr>
          <w:rFonts w:asciiTheme="minorHAnsi" w:hAnsiTheme="minorHAnsi" w:cs="Times New Roman"/>
          <w:lang w:val="es-ES_tradnl"/>
        </w:rPr>
        <w:t>PPPs</w:t>
      </w:r>
      <w:proofErr w:type="spellEnd"/>
      <w:r w:rsidRPr="00783CCC">
        <w:rPr>
          <w:rFonts w:asciiTheme="minorHAnsi" w:hAnsiTheme="minorHAnsi" w:cs="Times New Roman"/>
          <w:lang w:val="es-ES_tradnl"/>
        </w:rPr>
        <w:t xml:space="preserve"> y que se informan anu</w:t>
      </w:r>
      <w:r>
        <w:rPr>
          <w:rFonts w:asciiTheme="minorHAnsi" w:hAnsiTheme="minorHAnsi" w:cs="Times New Roman"/>
          <w:lang w:val="es-ES_tradnl"/>
        </w:rPr>
        <w:t>a</w:t>
      </w:r>
      <w:r w:rsidRPr="00783CCC">
        <w:rPr>
          <w:rFonts w:asciiTheme="minorHAnsi" w:hAnsiTheme="minorHAnsi" w:cs="Times New Roman"/>
          <w:lang w:val="es-ES_tradnl"/>
        </w:rPr>
        <w:t>lmente al Parlamento en la Rendición de</w:t>
      </w:r>
      <w:r>
        <w:rPr>
          <w:rFonts w:asciiTheme="minorHAnsi" w:hAnsiTheme="minorHAnsi" w:cs="Times New Roman"/>
          <w:lang w:val="es-ES_tradnl"/>
        </w:rPr>
        <w:t xml:space="preserve"> </w:t>
      </w:r>
      <w:r w:rsidRPr="00783CCC">
        <w:rPr>
          <w:rFonts w:asciiTheme="minorHAnsi" w:hAnsiTheme="minorHAnsi" w:cs="Times New Roman"/>
          <w:lang w:val="es-ES_tradnl"/>
        </w:rPr>
        <w:t>Cu</w:t>
      </w:r>
      <w:r>
        <w:rPr>
          <w:rFonts w:asciiTheme="minorHAnsi" w:hAnsiTheme="minorHAnsi" w:cs="Times New Roman"/>
          <w:lang w:val="es-ES_tradnl"/>
        </w:rPr>
        <w:t>e</w:t>
      </w:r>
      <w:r w:rsidRPr="00783CCC">
        <w:rPr>
          <w:rFonts w:asciiTheme="minorHAnsi" w:hAnsiTheme="minorHAnsi" w:cs="Times New Roman"/>
          <w:lang w:val="es-ES_tradnl"/>
        </w:rPr>
        <w:t>ntas o en el</w:t>
      </w:r>
      <w:r>
        <w:rPr>
          <w:rFonts w:asciiTheme="minorHAnsi" w:hAnsiTheme="minorHAnsi" w:cs="Times New Roman"/>
          <w:lang w:val="es-ES_tradnl"/>
        </w:rPr>
        <w:t xml:space="preserve"> </w:t>
      </w:r>
      <w:r w:rsidRPr="00783CCC">
        <w:rPr>
          <w:rFonts w:asciiTheme="minorHAnsi" w:hAnsiTheme="minorHAnsi" w:cs="Times New Roman"/>
          <w:lang w:val="es-ES_tradnl"/>
        </w:rPr>
        <w:t>Presupuesto quinquenal.</w:t>
      </w:r>
    </w:p>
    <w:p w:rsidR="007875A8" w:rsidRPr="00783CCC" w:rsidRDefault="007875A8" w:rsidP="0000180E">
      <w:pPr>
        <w:spacing w:after="180" w:line="264" w:lineRule="auto"/>
        <w:jc w:val="both"/>
        <w:rPr>
          <w:rFonts w:asciiTheme="minorHAnsi" w:hAnsiTheme="minorHAnsi" w:cs="Times New Roman"/>
          <w:lang w:val="es-ES_tradnl"/>
        </w:rPr>
      </w:pPr>
      <w:r w:rsidRPr="00783CCC">
        <w:rPr>
          <w:rFonts w:asciiTheme="minorHAnsi" w:hAnsiTheme="minorHAnsi" w:cs="Times New Roman"/>
          <w:lang w:val="es-ES_tradnl"/>
        </w:rPr>
        <w:t xml:space="preserve">Estos </w:t>
      </w:r>
      <w:r w:rsidR="006B00FF">
        <w:rPr>
          <w:rFonts w:asciiTheme="minorHAnsi" w:hAnsiTheme="minorHAnsi" w:cs="Times New Roman"/>
          <w:lang w:val="es-ES_tradnl"/>
        </w:rPr>
        <w:t>techos</w:t>
      </w:r>
      <w:r w:rsidRPr="00783CCC">
        <w:rPr>
          <w:rFonts w:asciiTheme="minorHAnsi" w:hAnsiTheme="minorHAnsi" w:cs="Times New Roman"/>
          <w:lang w:val="es-ES_tradnl"/>
        </w:rPr>
        <w:t xml:space="preserve"> fueron fijados como un tope fiscal, según se vio en el capítulo de Antecedentes</w:t>
      </w:r>
      <w:r w:rsidR="006B00FF">
        <w:rPr>
          <w:rFonts w:asciiTheme="minorHAnsi" w:hAnsiTheme="minorHAnsi" w:cs="Times New Roman"/>
          <w:lang w:val="es-ES_tradnl"/>
        </w:rPr>
        <w:t xml:space="preserve">, y se determinaron </w:t>
      </w:r>
      <w:r w:rsidRPr="00783CCC">
        <w:rPr>
          <w:rFonts w:asciiTheme="minorHAnsi" w:hAnsiTheme="minorHAnsi" w:cs="Times New Roman"/>
          <w:lang w:val="es-ES_tradnl"/>
        </w:rPr>
        <w:t xml:space="preserve">considerando las experiencias internacionales, la cartera potencial de proyectos que se preveía y el PIB proyectado en su momento. </w:t>
      </w:r>
    </w:p>
    <w:p w:rsidR="007E5B98" w:rsidRPr="00783CCC" w:rsidRDefault="007E5B98" w:rsidP="0000180E">
      <w:pPr>
        <w:spacing w:after="180" w:line="264" w:lineRule="auto"/>
        <w:jc w:val="both"/>
        <w:rPr>
          <w:rFonts w:asciiTheme="minorHAnsi" w:hAnsiTheme="minorHAnsi" w:cs="Times New Roman"/>
          <w:lang w:val="es-ES_tradnl"/>
        </w:rPr>
      </w:pPr>
      <w:r w:rsidRPr="00783CCC">
        <w:rPr>
          <w:rFonts w:asciiTheme="minorHAnsi" w:hAnsiTheme="minorHAnsi" w:cs="Times New Roman"/>
          <w:lang w:val="es-ES_tradnl"/>
        </w:rPr>
        <w:t xml:space="preserve">La tasa a aplicar para actualizar los montos está a estudio, las alternativas son: </w:t>
      </w:r>
      <w:r w:rsidR="00B32A37">
        <w:rPr>
          <w:rFonts w:asciiTheme="minorHAnsi" w:hAnsiTheme="minorHAnsi" w:cs="Times New Roman"/>
          <w:lang w:val="es-ES_tradnl"/>
        </w:rPr>
        <w:t xml:space="preserve">a) </w:t>
      </w:r>
      <w:r w:rsidRPr="00783CCC">
        <w:rPr>
          <w:rFonts w:asciiTheme="minorHAnsi" w:hAnsiTheme="minorHAnsi" w:cs="Times New Roman"/>
          <w:lang w:val="es-ES_tradnl"/>
        </w:rPr>
        <w:t xml:space="preserve">la tasa social de descuento </w:t>
      </w:r>
      <w:r w:rsidR="008C45F2" w:rsidRPr="00783CCC">
        <w:rPr>
          <w:rFonts w:asciiTheme="minorHAnsi" w:hAnsiTheme="minorHAnsi" w:cs="Times New Roman"/>
          <w:lang w:val="es-ES_tradnl"/>
        </w:rPr>
        <w:t xml:space="preserve">para proyectos </w:t>
      </w:r>
      <w:r w:rsidRPr="00783CCC">
        <w:rPr>
          <w:rFonts w:asciiTheme="minorHAnsi" w:hAnsiTheme="minorHAnsi" w:cs="Times New Roman"/>
          <w:lang w:val="es-ES_tradnl"/>
        </w:rPr>
        <w:t xml:space="preserve">hoy </w:t>
      </w:r>
      <w:r w:rsidR="008C45F2" w:rsidRPr="00783CCC">
        <w:rPr>
          <w:rFonts w:asciiTheme="minorHAnsi" w:hAnsiTheme="minorHAnsi" w:cs="Times New Roman"/>
          <w:lang w:val="es-ES_tradnl"/>
        </w:rPr>
        <w:t xml:space="preserve">incluida en el </w:t>
      </w:r>
      <w:r w:rsidRPr="00783CCC">
        <w:rPr>
          <w:rFonts w:asciiTheme="minorHAnsi" w:hAnsiTheme="minorHAnsi" w:cs="Times New Roman"/>
          <w:lang w:val="es-ES_tradnl"/>
        </w:rPr>
        <w:t>S</w:t>
      </w:r>
      <w:r w:rsidR="006B00FF">
        <w:rPr>
          <w:rFonts w:asciiTheme="minorHAnsi" w:hAnsiTheme="minorHAnsi" w:cs="Times New Roman"/>
          <w:lang w:val="es-ES_tradnl"/>
        </w:rPr>
        <w:t>istema Nacional de Inversión Pública (S</w:t>
      </w:r>
      <w:r w:rsidRPr="00783CCC">
        <w:rPr>
          <w:rFonts w:asciiTheme="minorHAnsi" w:hAnsiTheme="minorHAnsi" w:cs="Times New Roman"/>
          <w:lang w:val="es-ES_tradnl"/>
        </w:rPr>
        <w:t>NIP</w:t>
      </w:r>
      <w:r w:rsidR="006B00FF">
        <w:rPr>
          <w:rFonts w:asciiTheme="minorHAnsi" w:hAnsiTheme="minorHAnsi" w:cs="Times New Roman"/>
          <w:lang w:val="es-ES_tradnl"/>
        </w:rPr>
        <w:t>)</w:t>
      </w:r>
      <w:r w:rsidRPr="00783CCC">
        <w:rPr>
          <w:rFonts w:asciiTheme="minorHAnsi" w:hAnsiTheme="minorHAnsi" w:cs="Times New Roman"/>
          <w:lang w:val="es-ES_tradnl"/>
        </w:rPr>
        <w:t xml:space="preserve"> por OPP </w:t>
      </w:r>
      <w:r w:rsidR="00383148" w:rsidRPr="00783CCC">
        <w:rPr>
          <w:rFonts w:asciiTheme="minorHAnsi" w:hAnsiTheme="minorHAnsi" w:cs="Times New Roman"/>
          <w:lang w:val="es-ES_tradnl"/>
        </w:rPr>
        <w:t xml:space="preserve">que se ubica </w:t>
      </w:r>
      <w:r w:rsidRPr="00783CCC">
        <w:rPr>
          <w:rFonts w:asciiTheme="minorHAnsi" w:hAnsiTheme="minorHAnsi" w:cs="Times New Roman"/>
          <w:lang w:val="es-ES_tradnl"/>
        </w:rPr>
        <w:t xml:space="preserve">en 7,5% anual real o </w:t>
      </w:r>
      <w:r w:rsidR="00B32A37">
        <w:rPr>
          <w:rFonts w:asciiTheme="minorHAnsi" w:hAnsiTheme="minorHAnsi" w:cs="Times New Roman"/>
          <w:lang w:val="es-ES_tradnl"/>
        </w:rPr>
        <w:t xml:space="preserve">b) </w:t>
      </w:r>
      <w:r w:rsidR="007875A8" w:rsidRPr="00783CCC">
        <w:rPr>
          <w:rFonts w:asciiTheme="minorHAnsi" w:hAnsiTheme="minorHAnsi" w:cs="Times New Roman"/>
          <w:lang w:val="es-ES_tradnl"/>
        </w:rPr>
        <w:t xml:space="preserve">una </w:t>
      </w:r>
      <w:r w:rsidRPr="00783CCC">
        <w:rPr>
          <w:rFonts w:asciiTheme="minorHAnsi" w:hAnsiTheme="minorHAnsi" w:cs="Times New Roman"/>
          <w:lang w:val="es-ES_tradnl"/>
        </w:rPr>
        <w:t xml:space="preserve">tasa </w:t>
      </w:r>
      <w:r w:rsidR="007875A8" w:rsidRPr="00783CCC">
        <w:rPr>
          <w:rFonts w:asciiTheme="minorHAnsi" w:hAnsiTheme="minorHAnsi" w:cs="Times New Roman"/>
          <w:lang w:val="es-ES_tradnl"/>
        </w:rPr>
        <w:t xml:space="preserve">que represente a la </w:t>
      </w:r>
      <w:r w:rsidRPr="00783CCC">
        <w:rPr>
          <w:rFonts w:asciiTheme="minorHAnsi" w:hAnsiTheme="minorHAnsi" w:cs="Times New Roman"/>
          <w:lang w:val="es-ES_tradnl"/>
        </w:rPr>
        <w:t>c</w:t>
      </w:r>
      <w:r w:rsidR="00E205A4">
        <w:rPr>
          <w:rFonts w:asciiTheme="minorHAnsi" w:hAnsiTheme="minorHAnsi" w:cs="Times New Roman"/>
          <w:lang w:val="es-ES_tradnl"/>
        </w:rPr>
        <w:t>orrespondiente a</w:t>
      </w:r>
      <w:r w:rsidRPr="00783CCC">
        <w:rPr>
          <w:rFonts w:asciiTheme="minorHAnsi" w:hAnsiTheme="minorHAnsi" w:cs="Times New Roman"/>
          <w:lang w:val="es-ES_tradnl"/>
        </w:rPr>
        <w:t xml:space="preserve"> la deuda soberana</w:t>
      </w:r>
      <w:r w:rsidR="008C45F2" w:rsidRPr="00783CCC">
        <w:rPr>
          <w:rFonts w:asciiTheme="minorHAnsi" w:hAnsiTheme="minorHAnsi" w:cs="Times New Roman"/>
          <w:lang w:val="es-ES_tradnl"/>
        </w:rPr>
        <w:t xml:space="preserve">, </w:t>
      </w:r>
      <w:r w:rsidR="007875A8" w:rsidRPr="00783CCC">
        <w:rPr>
          <w:rFonts w:asciiTheme="minorHAnsi" w:hAnsiTheme="minorHAnsi" w:cs="Times New Roman"/>
          <w:lang w:val="es-ES_tradnl"/>
        </w:rPr>
        <w:t xml:space="preserve">según se desprende de la </w:t>
      </w:r>
      <w:r w:rsidR="008C45F2" w:rsidRPr="00783CCC">
        <w:rPr>
          <w:rFonts w:asciiTheme="minorHAnsi" w:hAnsiTheme="minorHAnsi" w:cs="Times New Roman"/>
          <w:lang w:val="es-ES_tradnl"/>
        </w:rPr>
        <w:t xml:space="preserve">Curva de Rendimientos de Títulos Soberanos Uruguayos Emitidos en </w:t>
      </w:r>
      <w:r w:rsidR="006B00FF">
        <w:rPr>
          <w:rFonts w:asciiTheme="minorHAnsi" w:hAnsiTheme="minorHAnsi" w:cs="Times New Roman"/>
          <w:lang w:val="es-ES_tradnl"/>
        </w:rPr>
        <w:t>Dólares</w:t>
      </w:r>
      <w:r w:rsidR="008C45F2" w:rsidRPr="00783CCC">
        <w:rPr>
          <w:rFonts w:asciiTheme="minorHAnsi" w:hAnsiTheme="minorHAnsi" w:cs="Times New Roman"/>
          <w:lang w:val="es-ES_tradnl"/>
        </w:rPr>
        <w:t xml:space="preserve"> (</w:t>
      </w:r>
      <w:proofErr w:type="spellStart"/>
      <w:r w:rsidR="007875A8" w:rsidRPr="00783CCC">
        <w:rPr>
          <w:rFonts w:asciiTheme="minorHAnsi" w:hAnsiTheme="minorHAnsi" w:cs="Times New Roman"/>
          <w:lang w:val="es-ES_tradnl"/>
        </w:rPr>
        <w:t>Indice</w:t>
      </w:r>
      <w:proofErr w:type="spellEnd"/>
      <w:r w:rsidR="007875A8" w:rsidRPr="00783CCC">
        <w:rPr>
          <w:rFonts w:asciiTheme="minorHAnsi" w:hAnsiTheme="minorHAnsi" w:cs="Times New Roman"/>
          <w:lang w:val="es-ES_tradnl"/>
        </w:rPr>
        <w:t xml:space="preserve"> Curva Uruguay en Dólares - </w:t>
      </w:r>
      <w:r w:rsidR="008C45F2" w:rsidRPr="00783CCC">
        <w:rPr>
          <w:rFonts w:asciiTheme="minorHAnsi" w:hAnsiTheme="minorHAnsi" w:cs="Times New Roman"/>
          <w:lang w:val="es-ES_tradnl"/>
        </w:rPr>
        <w:t xml:space="preserve">CUD BEVSA), </w:t>
      </w:r>
      <w:r w:rsidR="007875A8" w:rsidRPr="00783CCC">
        <w:rPr>
          <w:rFonts w:asciiTheme="minorHAnsi" w:hAnsiTheme="minorHAnsi" w:cs="Times New Roman"/>
          <w:lang w:val="es-ES_tradnl"/>
        </w:rPr>
        <w:t xml:space="preserve">elaborada por la Bolsa de </w:t>
      </w:r>
      <w:r w:rsidR="006B00FF">
        <w:rPr>
          <w:rFonts w:asciiTheme="minorHAnsi" w:hAnsiTheme="minorHAnsi" w:cs="Times New Roman"/>
          <w:lang w:val="es-ES_tradnl"/>
        </w:rPr>
        <w:t>V</w:t>
      </w:r>
      <w:r w:rsidR="007875A8" w:rsidRPr="00783CCC">
        <w:rPr>
          <w:rFonts w:asciiTheme="minorHAnsi" w:hAnsiTheme="minorHAnsi" w:cs="Times New Roman"/>
          <w:lang w:val="es-ES_tradnl"/>
        </w:rPr>
        <w:t xml:space="preserve">alores, </w:t>
      </w:r>
      <w:r w:rsidR="008C45F2" w:rsidRPr="00783CCC">
        <w:rPr>
          <w:rFonts w:asciiTheme="minorHAnsi" w:hAnsiTheme="minorHAnsi" w:cs="Times New Roman"/>
          <w:lang w:val="es-ES_tradnl"/>
        </w:rPr>
        <w:t>con</w:t>
      </w:r>
      <w:r w:rsidR="007875A8" w:rsidRPr="00783CCC">
        <w:rPr>
          <w:rFonts w:asciiTheme="minorHAnsi" w:hAnsiTheme="minorHAnsi" w:cs="Times New Roman"/>
          <w:lang w:val="es-ES_tradnl"/>
        </w:rPr>
        <w:t xml:space="preserve"> </w:t>
      </w:r>
      <w:r w:rsidR="008C45F2" w:rsidRPr="00783CCC">
        <w:rPr>
          <w:rFonts w:asciiTheme="minorHAnsi" w:hAnsiTheme="minorHAnsi" w:cs="Times New Roman"/>
          <w:lang w:val="es-ES_tradnl"/>
        </w:rPr>
        <w:t>la relación entre rendimiento</w:t>
      </w:r>
      <w:r w:rsidR="00680E77">
        <w:rPr>
          <w:rFonts w:asciiTheme="minorHAnsi" w:hAnsiTheme="minorHAnsi" w:cs="Times New Roman"/>
          <w:lang w:val="es-ES_tradnl"/>
        </w:rPr>
        <w:t>s</w:t>
      </w:r>
      <w:r w:rsidR="008C45F2" w:rsidRPr="00783CCC">
        <w:rPr>
          <w:rFonts w:asciiTheme="minorHAnsi" w:hAnsiTheme="minorHAnsi" w:cs="Times New Roman"/>
          <w:lang w:val="es-ES_tradnl"/>
        </w:rPr>
        <w:t xml:space="preserve"> de los títulos y plazos de los mismos. De esta curva se desprende que</w:t>
      </w:r>
      <w:r w:rsidR="007875A8" w:rsidRPr="00783CCC">
        <w:rPr>
          <w:rFonts w:asciiTheme="minorHAnsi" w:hAnsiTheme="minorHAnsi" w:cs="Times New Roman"/>
          <w:lang w:val="es-ES_tradnl"/>
        </w:rPr>
        <w:t>,</w:t>
      </w:r>
      <w:r w:rsidR="008C45F2" w:rsidRPr="00783CCC">
        <w:rPr>
          <w:rFonts w:asciiTheme="minorHAnsi" w:hAnsiTheme="minorHAnsi" w:cs="Times New Roman"/>
          <w:lang w:val="es-ES_tradnl"/>
        </w:rPr>
        <w:t xml:space="preserve"> para pl</w:t>
      </w:r>
      <w:r w:rsidR="009D145F" w:rsidRPr="00783CCC">
        <w:rPr>
          <w:rFonts w:asciiTheme="minorHAnsi" w:hAnsiTheme="minorHAnsi" w:cs="Times New Roman"/>
          <w:lang w:val="es-ES_tradnl"/>
        </w:rPr>
        <w:t>a</w:t>
      </w:r>
      <w:r w:rsidR="008C45F2" w:rsidRPr="00783CCC">
        <w:rPr>
          <w:rFonts w:asciiTheme="minorHAnsi" w:hAnsiTheme="minorHAnsi" w:cs="Times New Roman"/>
          <w:lang w:val="es-ES_tradnl"/>
        </w:rPr>
        <w:t>zo</w:t>
      </w:r>
      <w:r w:rsidR="007875A8" w:rsidRPr="00783CCC">
        <w:rPr>
          <w:rFonts w:asciiTheme="minorHAnsi" w:hAnsiTheme="minorHAnsi" w:cs="Times New Roman"/>
          <w:lang w:val="es-ES_tradnl"/>
        </w:rPr>
        <w:t xml:space="preserve">s similares a los </w:t>
      </w:r>
      <w:r w:rsidR="008C45F2" w:rsidRPr="00783CCC">
        <w:rPr>
          <w:rFonts w:asciiTheme="minorHAnsi" w:hAnsiTheme="minorHAnsi" w:cs="Times New Roman"/>
          <w:lang w:val="es-ES_tradnl"/>
        </w:rPr>
        <w:t>de las PPP</w:t>
      </w:r>
      <w:r w:rsidR="007875A8" w:rsidRPr="00783CCC">
        <w:rPr>
          <w:rFonts w:asciiTheme="minorHAnsi" w:hAnsiTheme="minorHAnsi" w:cs="Times New Roman"/>
          <w:lang w:val="es-ES_tradnl"/>
        </w:rPr>
        <w:t>,</w:t>
      </w:r>
      <w:r w:rsidR="008C45F2" w:rsidRPr="00783CCC">
        <w:rPr>
          <w:rFonts w:asciiTheme="minorHAnsi" w:hAnsiTheme="minorHAnsi" w:cs="Times New Roman"/>
          <w:lang w:val="es-ES_tradnl"/>
        </w:rPr>
        <w:t xml:space="preserve"> </w:t>
      </w:r>
      <w:r w:rsidR="00680E77">
        <w:rPr>
          <w:rFonts w:asciiTheme="minorHAnsi" w:hAnsiTheme="minorHAnsi" w:cs="Times New Roman"/>
          <w:lang w:val="es-ES_tradnl"/>
        </w:rPr>
        <w:t xml:space="preserve">la tasa de descuento </w:t>
      </w:r>
      <w:r w:rsidR="007875A8" w:rsidRPr="00783CCC">
        <w:rPr>
          <w:rFonts w:asciiTheme="minorHAnsi" w:hAnsiTheme="minorHAnsi" w:cs="Times New Roman"/>
          <w:lang w:val="es-ES_tradnl"/>
        </w:rPr>
        <w:t>se ubicaría en un entorno del 5</w:t>
      </w:r>
      <w:r w:rsidR="008C45F2" w:rsidRPr="00783CCC">
        <w:rPr>
          <w:rFonts w:asciiTheme="minorHAnsi" w:hAnsiTheme="minorHAnsi" w:cs="Times New Roman"/>
          <w:lang w:val="es-ES_tradnl"/>
        </w:rPr>
        <w:t>,5% anal en</w:t>
      </w:r>
      <w:r w:rsidR="007875A8" w:rsidRPr="00783CCC">
        <w:rPr>
          <w:rFonts w:asciiTheme="minorHAnsi" w:hAnsiTheme="minorHAnsi" w:cs="Times New Roman"/>
          <w:lang w:val="es-ES_tradnl"/>
        </w:rPr>
        <w:t xml:space="preserve"> </w:t>
      </w:r>
      <w:r w:rsidR="008C45F2" w:rsidRPr="00783CCC">
        <w:rPr>
          <w:rFonts w:asciiTheme="minorHAnsi" w:hAnsiTheme="minorHAnsi" w:cs="Times New Roman"/>
          <w:lang w:val="es-ES_tradnl"/>
        </w:rPr>
        <w:t>la actualida</w:t>
      </w:r>
      <w:r w:rsidR="007875A8" w:rsidRPr="00783CCC">
        <w:rPr>
          <w:rFonts w:asciiTheme="minorHAnsi" w:hAnsiTheme="minorHAnsi" w:cs="Times New Roman"/>
          <w:lang w:val="es-ES_tradnl"/>
        </w:rPr>
        <w:t>d</w:t>
      </w:r>
      <w:r w:rsidR="008C45F2" w:rsidRPr="00783CCC">
        <w:rPr>
          <w:rFonts w:asciiTheme="minorHAnsi" w:hAnsiTheme="minorHAnsi" w:cs="Times New Roman"/>
          <w:lang w:val="es-ES_tradnl"/>
        </w:rPr>
        <w:t>, por lo</w:t>
      </w:r>
      <w:r w:rsidR="007875A8" w:rsidRPr="00783CCC">
        <w:rPr>
          <w:rFonts w:asciiTheme="minorHAnsi" w:hAnsiTheme="minorHAnsi" w:cs="Times New Roman"/>
          <w:lang w:val="es-ES_tradnl"/>
        </w:rPr>
        <w:t xml:space="preserve"> </w:t>
      </w:r>
      <w:r w:rsidR="008C45F2" w:rsidRPr="00783CCC">
        <w:rPr>
          <w:rFonts w:asciiTheme="minorHAnsi" w:hAnsiTheme="minorHAnsi" w:cs="Times New Roman"/>
          <w:lang w:val="es-ES_tradnl"/>
        </w:rPr>
        <w:t>que aquí se usará esa tasa p</w:t>
      </w:r>
      <w:r w:rsidR="007875A8" w:rsidRPr="00783CCC">
        <w:rPr>
          <w:rFonts w:asciiTheme="minorHAnsi" w:hAnsiTheme="minorHAnsi" w:cs="Times New Roman"/>
          <w:lang w:val="es-ES_tradnl"/>
        </w:rPr>
        <w:t>a</w:t>
      </w:r>
      <w:r w:rsidR="008C45F2" w:rsidRPr="00783CCC">
        <w:rPr>
          <w:rFonts w:asciiTheme="minorHAnsi" w:hAnsiTheme="minorHAnsi" w:cs="Times New Roman"/>
          <w:lang w:val="es-ES_tradnl"/>
        </w:rPr>
        <w:t>ra obt</w:t>
      </w:r>
      <w:r w:rsidR="007875A8" w:rsidRPr="00783CCC">
        <w:rPr>
          <w:rFonts w:asciiTheme="minorHAnsi" w:hAnsiTheme="minorHAnsi" w:cs="Times New Roman"/>
          <w:lang w:val="es-ES_tradnl"/>
        </w:rPr>
        <w:t>e</w:t>
      </w:r>
      <w:r w:rsidR="008C45F2" w:rsidRPr="00783CCC">
        <w:rPr>
          <w:rFonts w:asciiTheme="minorHAnsi" w:hAnsiTheme="minorHAnsi" w:cs="Times New Roman"/>
          <w:lang w:val="es-ES_tradnl"/>
        </w:rPr>
        <w:t>ner lo</w:t>
      </w:r>
      <w:r w:rsidR="007875A8" w:rsidRPr="00783CCC">
        <w:rPr>
          <w:rFonts w:asciiTheme="minorHAnsi" w:hAnsiTheme="minorHAnsi" w:cs="Times New Roman"/>
          <w:lang w:val="es-ES_tradnl"/>
        </w:rPr>
        <w:t>s</w:t>
      </w:r>
      <w:r w:rsidR="008C45F2" w:rsidRPr="00783CCC">
        <w:rPr>
          <w:rFonts w:asciiTheme="minorHAnsi" w:hAnsiTheme="minorHAnsi" w:cs="Times New Roman"/>
          <w:lang w:val="es-ES_tradnl"/>
        </w:rPr>
        <w:t xml:space="preserve"> valores p</w:t>
      </w:r>
      <w:r w:rsidR="007875A8" w:rsidRPr="00783CCC">
        <w:rPr>
          <w:rFonts w:asciiTheme="minorHAnsi" w:hAnsiTheme="minorHAnsi" w:cs="Times New Roman"/>
          <w:lang w:val="es-ES_tradnl"/>
        </w:rPr>
        <w:t>r</w:t>
      </w:r>
      <w:r w:rsidR="008C45F2" w:rsidRPr="00783CCC">
        <w:rPr>
          <w:rFonts w:asciiTheme="minorHAnsi" w:hAnsiTheme="minorHAnsi" w:cs="Times New Roman"/>
          <w:lang w:val="es-ES_tradnl"/>
        </w:rPr>
        <w:t>esentes de</w:t>
      </w:r>
      <w:r w:rsidR="007875A8" w:rsidRPr="00783CCC">
        <w:rPr>
          <w:rFonts w:asciiTheme="minorHAnsi" w:hAnsiTheme="minorHAnsi" w:cs="Times New Roman"/>
          <w:lang w:val="es-ES_tradnl"/>
        </w:rPr>
        <w:t xml:space="preserve"> </w:t>
      </w:r>
      <w:r w:rsidR="008C45F2" w:rsidRPr="00783CCC">
        <w:rPr>
          <w:rFonts w:asciiTheme="minorHAnsi" w:hAnsiTheme="minorHAnsi" w:cs="Times New Roman"/>
          <w:lang w:val="es-ES_tradnl"/>
        </w:rPr>
        <w:t>lo</w:t>
      </w:r>
      <w:r w:rsidR="007875A8" w:rsidRPr="00783CCC">
        <w:rPr>
          <w:rFonts w:asciiTheme="minorHAnsi" w:hAnsiTheme="minorHAnsi" w:cs="Times New Roman"/>
          <w:lang w:val="es-ES_tradnl"/>
        </w:rPr>
        <w:t>s</w:t>
      </w:r>
      <w:r w:rsidR="008C45F2" w:rsidRPr="00783CCC">
        <w:rPr>
          <w:rFonts w:asciiTheme="minorHAnsi" w:hAnsiTheme="minorHAnsi" w:cs="Times New Roman"/>
          <w:lang w:val="es-ES_tradnl"/>
        </w:rPr>
        <w:t xml:space="preserve"> flujos de pagos por las PPP.  </w:t>
      </w:r>
    </w:p>
    <w:p w:rsidR="007875A8" w:rsidRDefault="007875A8" w:rsidP="0000180E">
      <w:pPr>
        <w:spacing w:after="180" w:line="264" w:lineRule="auto"/>
        <w:jc w:val="both"/>
        <w:rPr>
          <w:rFonts w:asciiTheme="minorHAnsi" w:hAnsiTheme="minorHAnsi" w:cs="Times New Roman"/>
          <w:lang w:val="es-ES_tradnl"/>
        </w:rPr>
      </w:pPr>
      <w:r w:rsidRPr="00783CCC">
        <w:rPr>
          <w:rFonts w:asciiTheme="minorHAnsi" w:hAnsiTheme="minorHAnsi" w:cs="Times New Roman"/>
          <w:lang w:val="es-ES_tradnl"/>
        </w:rPr>
        <w:t>A continuación se presenta</w:t>
      </w:r>
      <w:r w:rsidR="00155480">
        <w:rPr>
          <w:rFonts w:asciiTheme="minorHAnsi" w:hAnsiTheme="minorHAnsi" w:cs="Times New Roman"/>
          <w:lang w:val="es-ES_tradnl"/>
        </w:rPr>
        <w:t>n la inversión, plazos y total de pagos a realizar por las PPP</w:t>
      </w:r>
      <w:r w:rsidRPr="00783CCC">
        <w:rPr>
          <w:rFonts w:asciiTheme="minorHAnsi" w:hAnsiTheme="minorHAnsi" w:cs="Times New Roman"/>
          <w:lang w:val="es-ES_tradnl"/>
        </w:rPr>
        <w:t xml:space="preserve"> que se prevén en la actualidad y comentados en el ítem anterior, junto a los valores presentes netos de cada flujo anual</w:t>
      </w:r>
      <w:r w:rsidR="00F4203E" w:rsidRPr="00783CCC">
        <w:rPr>
          <w:rFonts w:asciiTheme="minorHAnsi" w:hAnsiTheme="minorHAnsi" w:cs="Times New Roman"/>
          <w:lang w:val="es-ES_tradnl"/>
        </w:rPr>
        <w:t>, con ambas tasas comentadas,</w:t>
      </w:r>
      <w:r w:rsidRPr="00783CCC">
        <w:rPr>
          <w:rFonts w:asciiTheme="minorHAnsi" w:hAnsiTheme="minorHAnsi" w:cs="Times New Roman"/>
          <w:lang w:val="es-ES_tradnl"/>
        </w:rPr>
        <w:t xml:space="preserve"> y su comparación con </w:t>
      </w:r>
      <w:r w:rsidR="006B7772">
        <w:rPr>
          <w:rFonts w:asciiTheme="minorHAnsi" w:hAnsiTheme="minorHAnsi" w:cs="Times New Roman"/>
          <w:lang w:val="es-ES_tradnl"/>
        </w:rPr>
        <w:t xml:space="preserve">el </w:t>
      </w:r>
      <w:r w:rsidRPr="00783CCC">
        <w:rPr>
          <w:rFonts w:asciiTheme="minorHAnsi" w:hAnsiTheme="minorHAnsi" w:cs="Times New Roman"/>
          <w:lang w:val="es-ES_tradnl"/>
        </w:rPr>
        <w:t>tope fijado p</w:t>
      </w:r>
      <w:r w:rsidR="00F4203E" w:rsidRPr="00783CCC">
        <w:rPr>
          <w:rFonts w:asciiTheme="minorHAnsi" w:hAnsiTheme="minorHAnsi" w:cs="Times New Roman"/>
          <w:lang w:val="es-ES_tradnl"/>
        </w:rPr>
        <w:t>a</w:t>
      </w:r>
      <w:r w:rsidRPr="00783CCC">
        <w:rPr>
          <w:rFonts w:asciiTheme="minorHAnsi" w:hAnsiTheme="minorHAnsi" w:cs="Times New Roman"/>
          <w:lang w:val="es-ES_tradnl"/>
        </w:rPr>
        <w:t xml:space="preserve">ra </w:t>
      </w:r>
      <w:r w:rsidR="00EE28D7">
        <w:rPr>
          <w:rFonts w:asciiTheme="minorHAnsi" w:hAnsiTheme="minorHAnsi" w:cs="Times New Roman"/>
          <w:lang w:val="es-ES_tradnl"/>
        </w:rPr>
        <w:t>el flujo anual</w:t>
      </w:r>
      <w:r w:rsidRPr="00783CCC">
        <w:rPr>
          <w:rFonts w:asciiTheme="minorHAnsi" w:hAnsiTheme="minorHAnsi" w:cs="Times New Roman"/>
          <w:lang w:val="es-ES_tradnl"/>
        </w:rPr>
        <w:t>.</w:t>
      </w:r>
      <w:r w:rsidR="006B7772">
        <w:rPr>
          <w:rFonts w:asciiTheme="minorHAnsi" w:hAnsiTheme="minorHAnsi" w:cs="Times New Roman"/>
          <w:lang w:val="es-ES_tradnl"/>
        </w:rPr>
        <w:t xml:space="preserve"> </w:t>
      </w:r>
    </w:p>
    <w:p w:rsidR="005B57AB" w:rsidRDefault="00EE28D7" w:rsidP="005B57AB">
      <w:pPr>
        <w:spacing w:after="180" w:line="264" w:lineRule="auto"/>
        <w:jc w:val="center"/>
        <w:rPr>
          <w:rFonts w:asciiTheme="minorHAnsi" w:hAnsiTheme="minorHAnsi" w:cs="Times New Roman"/>
          <w:lang w:val="es-ES_tradnl"/>
        </w:rPr>
      </w:pPr>
      <w:r w:rsidRPr="00EE28D7">
        <w:rPr>
          <w:noProof/>
          <w:lang w:val="en-US"/>
        </w:rPr>
        <w:drawing>
          <wp:inline distT="0" distB="0" distL="0" distR="0">
            <wp:extent cx="5400040" cy="2140577"/>
            <wp:effectExtent l="19050" t="0" r="0" b="0"/>
            <wp:docPr id="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srcRect/>
                    <a:stretch>
                      <a:fillRect/>
                    </a:stretch>
                  </pic:blipFill>
                  <pic:spPr bwMode="auto">
                    <a:xfrm>
                      <a:off x="0" y="0"/>
                      <a:ext cx="5400040" cy="2140577"/>
                    </a:xfrm>
                    <a:prstGeom prst="rect">
                      <a:avLst/>
                    </a:prstGeom>
                    <a:noFill/>
                    <a:ln w="9525">
                      <a:noFill/>
                      <a:miter lim="800000"/>
                      <a:headEnd/>
                      <a:tailEnd/>
                    </a:ln>
                  </pic:spPr>
                </pic:pic>
              </a:graphicData>
            </a:graphic>
          </wp:inline>
        </w:drawing>
      </w:r>
    </w:p>
    <w:p w:rsidR="005B57AB" w:rsidRDefault="005B57AB" w:rsidP="005B57AB">
      <w:pPr>
        <w:spacing w:after="180" w:line="264" w:lineRule="auto"/>
        <w:jc w:val="center"/>
        <w:rPr>
          <w:rFonts w:asciiTheme="minorHAnsi" w:hAnsiTheme="minorHAnsi" w:cs="Times New Roman"/>
          <w:sz w:val="18"/>
          <w:szCs w:val="18"/>
          <w:lang w:val="es-ES_tradnl"/>
        </w:rPr>
      </w:pPr>
      <w:r w:rsidRPr="00CA0099">
        <w:rPr>
          <w:rFonts w:asciiTheme="minorHAnsi" w:hAnsiTheme="minorHAnsi" w:cs="Times New Roman"/>
          <w:sz w:val="18"/>
          <w:szCs w:val="18"/>
          <w:lang w:val="es-ES_tradnl"/>
        </w:rPr>
        <w:t>Fuente: Cálculos propios en base a información del MEF</w:t>
      </w:r>
    </w:p>
    <w:p w:rsidR="00D72560" w:rsidRPr="00D72560" w:rsidRDefault="00D72560" w:rsidP="005B57AB">
      <w:pPr>
        <w:spacing w:after="180" w:line="264" w:lineRule="auto"/>
        <w:jc w:val="center"/>
        <w:rPr>
          <w:rFonts w:asciiTheme="minorHAnsi" w:hAnsiTheme="minorHAnsi" w:cs="Times New Roman"/>
          <w:lang w:val="es-ES_tradnl"/>
        </w:rPr>
      </w:pPr>
    </w:p>
    <w:p w:rsidR="00D72560" w:rsidRPr="00D72560" w:rsidRDefault="00155480" w:rsidP="005B57AB">
      <w:pPr>
        <w:spacing w:after="180" w:line="264" w:lineRule="auto"/>
        <w:jc w:val="center"/>
        <w:rPr>
          <w:rFonts w:asciiTheme="minorHAnsi" w:hAnsiTheme="minorHAnsi" w:cs="Times New Roman"/>
          <w:lang w:val="es-ES_tradnl"/>
        </w:rPr>
      </w:pPr>
      <w:r w:rsidRPr="00155480">
        <w:rPr>
          <w:noProof/>
          <w:lang w:val="en-US"/>
        </w:rPr>
        <w:drawing>
          <wp:inline distT="0" distB="0" distL="0" distR="0">
            <wp:extent cx="5400040" cy="2486906"/>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srcRect/>
                    <a:stretch>
                      <a:fillRect/>
                    </a:stretch>
                  </pic:blipFill>
                  <pic:spPr bwMode="auto">
                    <a:xfrm>
                      <a:off x="0" y="0"/>
                      <a:ext cx="5400040" cy="2486906"/>
                    </a:xfrm>
                    <a:prstGeom prst="rect">
                      <a:avLst/>
                    </a:prstGeom>
                    <a:noFill/>
                    <a:ln w="9525">
                      <a:noFill/>
                      <a:miter lim="800000"/>
                      <a:headEnd/>
                      <a:tailEnd/>
                    </a:ln>
                  </pic:spPr>
                </pic:pic>
              </a:graphicData>
            </a:graphic>
          </wp:inline>
        </w:drawing>
      </w:r>
    </w:p>
    <w:p w:rsidR="00D72560" w:rsidRDefault="00D72560" w:rsidP="00D72560">
      <w:pPr>
        <w:spacing w:after="180" w:line="264" w:lineRule="auto"/>
        <w:jc w:val="center"/>
        <w:rPr>
          <w:rFonts w:asciiTheme="minorHAnsi" w:hAnsiTheme="minorHAnsi" w:cs="Times New Roman"/>
          <w:sz w:val="18"/>
          <w:szCs w:val="18"/>
          <w:lang w:val="es-ES_tradnl"/>
        </w:rPr>
      </w:pPr>
      <w:r w:rsidRPr="00CA0099">
        <w:rPr>
          <w:rFonts w:asciiTheme="minorHAnsi" w:hAnsiTheme="minorHAnsi" w:cs="Times New Roman"/>
          <w:sz w:val="18"/>
          <w:szCs w:val="18"/>
          <w:lang w:val="es-ES_tradnl"/>
        </w:rPr>
        <w:t>Fuente: Cálculos propios en base a información del MEF</w:t>
      </w:r>
    </w:p>
    <w:p w:rsidR="00F4203E" w:rsidRPr="00783CCC" w:rsidRDefault="007875A8" w:rsidP="00783CCC">
      <w:pPr>
        <w:spacing w:after="180" w:line="264" w:lineRule="auto"/>
        <w:jc w:val="both"/>
        <w:rPr>
          <w:rFonts w:asciiTheme="minorHAnsi" w:hAnsiTheme="minorHAnsi" w:cs="Times New Roman"/>
          <w:lang w:val="es-ES_tradnl"/>
        </w:rPr>
      </w:pPr>
      <w:r w:rsidRPr="00783CCC">
        <w:rPr>
          <w:rFonts w:asciiTheme="minorHAnsi" w:hAnsiTheme="minorHAnsi" w:cs="Times New Roman"/>
          <w:lang w:val="es-ES_tradnl"/>
        </w:rPr>
        <w:t>De</w:t>
      </w:r>
      <w:r w:rsidR="00D72560">
        <w:rPr>
          <w:rFonts w:asciiTheme="minorHAnsi" w:hAnsiTheme="minorHAnsi" w:cs="Times New Roman"/>
          <w:lang w:val="es-ES_tradnl"/>
        </w:rPr>
        <w:t>l cuadro anterior</w:t>
      </w:r>
      <w:r w:rsidRPr="00783CCC">
        <w:rPr>
          <w:rFonts w:asciiTheme="minorHAnsi" w:hAnsiTheme="minorHAnsi" w:cs="Times New Roman"/>
          <w:lang w:val="es-ES_tradnl"/>
        </w:rPr>
        <w:t xml:space="preserve"> se des</w:t>
      </w:r>
      <w:r w:rsidR="00F4203E" w:rsidRPr="00783CCC">
        <w:rPr>
          <w:rFonts w:asciiTheme="minorHAnsi" w:hAnsiTheme="minorHAnsi" w:cs="Times New Roman"/>
          <w:lang w:val="es-ES_tradnl"/>
        </w:rPr>
        <w:t>p</w:t>
      </w:r>
      <w:r w:rsidRPr="00783CCC">
        <w:rPr>
          <w:rFonts w:asciiTheme="minorHAnsi" w:hAnsiTheme="minorHAnsi" w:cs="Times New Roman"/>
          <w:lang w:val="es-ES_tradnl"/>
        </w:rPr>
        <w:t>rende que en</w:t>
      </w:r>
      <w:r w:rsidR="00F4203E" w:rsidRPr="00783CCC">
        <w:rPr>
          <w:rFonts w:asciiTheme="minorHAnsi" w:hAnsiTheme="minorHAnsi" w:cs="Times New Roman"/>
          <w:lang w:val="es-ES_tradnl"/>
        </w:rPr>
        <w:t xml:space="preserve"> </w:t>
      </w:r>
      <w:r w:rsidR="00680E77">
        <w:rPr>
          <w:rFonts w:asciiTheme="minorHAnsi" w:hAnsiTheme="minorHAnsi" w:cs="Times New Roman"/>
          <w:lang w:val="es-ES_tradnl"/>
        </w:rPr>
        <w:t xml:space="preserve">los </w:t>
      </w:r>
      <w:r w:rsidRPr="00783CCC">
        <w:rPr>
          <w:rFonts w:asciiTheme="minorHAnsi" w:hAnsiTheme="minorHAnsi" w:cs="Times New Roman"/>
          <w:lang w:val="es-ES_tradnl"/>
        </w:rPr>
        <w:t>año</w:t>
      </w:r>
      <w:r w:rsidR="00680E77">
        <w:rPr>
          <w:rFonts w:asciiTheme="minorHAnsi" w:hAnsiTheme="minorHAnsi" w:cs="Times New Roman"/>
          <w:lang w:val="es-ES_tradnl"/>
        </w:rPr>
        <w:t>s 2021 a 2023 se estaría muy cerca del to</w:t>
      </w:r>
      <w:r w:rsidRPr="00783CCC">
        <w:rPr>
          <w:rFonts w:asciiTheme="minorHAnsi" w:hAnsiTheme="minorHAnsi" w:cs="Times New Roman"/>
          <w:lang w:val="es-ES_tradnl"/>
        </w:rPr>
        <w:t xml:space="preserve">pe legal, </w:t>
      </w:r>
      <w:r w:rsidR="00F4203E" w:rsidRPr="00783CCC">
        <w:rPr>
          <w:rFonts w:asciiTheme="minorHAnsi" w:hAnsiTheme="minorHAnsi" w:cs="Times New Roman"/>
          <w:lang w:val="es-ES_tradnl"/>
        </w:rPr>
        <w:t xml:space="preserve">de utilizarse la tasa de la deuda soberana para este tipo de plazos, mientras que </w:t>
      </w:r>
      <w:r w:rsidR="00274FB9">
        <w:rPr>
          <w:rFonts w:asciiTheme="minorHAnsi" w:hAnsiTheme="minorHAnsi" w:cs="Times New Roman"/>
          <w:lang w:val="es-ES_tradnl"/>
        </w:rPr>
        <w:t>s</w:t>
      </w:r>
      <w:r w:rsidR="00274FB9" w:rsidRPr="00783CCC">
        <w:rPr>
          <w:rFonts w:asciiTheme="minorHAnsi" w:hAnsiTheme="minorHAnsi" w:cs="Times New Roman"/>
          <w:lang w:val="es-ES_tradnl"/>
        </w:rPr>
        <w:t xml:space="preserve">i se utilizara la otra tasa </w:t>
      </w:r>
      <w:r w:rsidR="00F4203E" w:rsidRPr="00783CCC">
        <w:rPr>
          <w:rFonts w:asciiTheme="minorHAnsi" w:hAnsiTheme="minorHAnsi" w:cs="Times New Roman"/>
          <w:lang w:val="es-ES_tradnl"/>
        </w:rPr>
        <w:t xml:space="preserve">se ubicaría </w:t>
      </w:r>
      <w:r w:rsidR="00274FB9">
        <w:rPr>
          <w:rFonts w:asciiTheme="minorHAnsi" w:hAnsiTheme="minorHAnsi" w:cs="Times New Roman"/>
          <w:lang w:val="es-ES_tradnl"/>
        </w:rPr>
        <w:t xml:space="preserve">sólo en alrededor del 20% por debajo del límite en </w:t>
      </w:r>
      <w:r w:rsidR="00680E77">
        <w:rPr>
          <w:rFonts w:asciiTheme="minorHAnsi" w:hAnsiTheme="minorHAnsi" w:cs="Times New Roman"/>
          <w:lang w:val="es-ES_tradnl"/>
        </w:rPr>
        <w:t>el año 2021</w:t>
      </w:r>
      <w:r w:rsidR="00F4203E" w:rsidRPr="00783CCC">
        <w:rPr>
          <w:rFonts w:asciiTheme="minorHAnsi" w:hAnsiTheme="minorHAnsi" w:cs="Times New Roman"/>
          <w:lang w:val="es-ES_tradnl"/>
        </w:rPr>
        <w:t xml:space="preserve">. Ello está indicando que debería revisarse estos proyectos PPP para no traspasar el tope fiscal o estar demasiado cerca del mismo. A su vez, ello indicaría también que, de ejecutarse los proyectos aquí considerados, no habría </w:t>
      </w:r>
      <w:r w:rsidR="00680E77">
        <w:rPr>
          <w:rFonts w:asciiTheme="minorHAnsi" w:hAnsiTheme="minorHAnsi" w:cs="Times New Roman"/>
          <w:lang w:val="es-ES_tradnl"/>
        </w:rPr>
        <w:t xml:space="preserve">mayores </w:t>
      </w:r>
      <w:r w:rsidR="00F4203E" w:rsidRPr="00783CCC">
        <w:rPr>
          <w:rFonts w:asciiTheme="minorHAnsi" w:hAnsiTheme="minorHAnsi" w:cs="Times New Roman"/>
          <w:lang w:val="es-ES_tradnl"/>
        </w:rPr>
        <w:t>posibilidad</w:t>
      </w:r>
      <w:r w:rsidR="00680E77">
        <w:rPr>
          <w:rFonts w:asciiTheme="minorHAnsi" w:hAnsiTheme="minorHAnsi" w:cs="Times New Roman"/>
          <w:lang w:val="es-ES_tradnl"/>
        </w:rPr>
        <w:t>es</w:t>
      </w:r>
      <w:r w:rsidR="00F4203E" w:rsidRPr="00783CCC">
        <w:rPr>
          <w:rFonts w:asciiTheme="minorHAnsi" w:hAnsiTheme="minorHAnsi" w:cs="Times New Roman"/>
          <w:lang w:val="es-ES_tradnl"/>
        </w:rPr>
        <w:t xml:space="preserve"> de implementar nuevos proyectos PPP por</w:t>
      </w:r>
      <w:r w:rsidR="00B15C99">
        <w:rPr>
          <w:rFonts w:asciiTheme="minorHAnsi" w:hAnsiTheme="minorHAnsi" w:cs="Times New Roman"/>
          <w:lang w:val="es-ES_tradnl"/>
        </w:rPr>
        <w:t xml:space="preserve"> encontrarse demasiado cerca de los</w:t>
      </w:r>
      <w:r w:rsidR="00F4203E" w:rsidRPr="00783CCC">
        <w:rPr>
          <w:rFonts w:asciiTheme="minorHAnsi" w:hAnsiTheme="minorHAnsi" w:cs="Times New Roman"/>
          <w:lang w:val="es-ES_tradnl"/>
        </w:rPr>
        <w:t xml:space="preserve"> límites legales.</w:t>
      </w:r>
    </w:p>
    <w:p w:rsidR="007875A8" w:rsidRPr="00783CCC" w:rsidRDefault="00F4203E" w:rsidP="00783CCC">
      <w:pPr>
        <w:spacing w:after="180" w:line="264" w:lineRule="auto"/>
        <w:jc w:val="both"/>
        <w:rPr>
          <w:rFonts w:asciiTheme="minorHAnsi" w:hAnsiTheme="minorHAnsi" w:cs="Times New Roman"/>
          <w:lang w:val="es-ES_tradnl"/>
        </w:rPr>
      </w:pPr>
      <w:r w:rsidRPr="00783CCC">
        <w:rPr>
          <w:rFonts w:asciiTheme="minorHAnsi" w:hAnsiTheme="minorHAnsi" w:cs="Times New Roman"/>
          <w:lang w:val="es-ES_tradnl"/>
        </w:rPr>
        <w:t>En el cuadro siguiente puede</w:t>
      </w:r>
      <w:r w:rsidR="006B7772">
        <w:rPr>
          <w:rFonts w:asciiTheme="minorHAnsi" w:hAnsiTheme="minorHAnsi" w:cs="Times New Roman"/>
          <w:lang w:val="es-ES_tradnl"/>
        </w:rPr>
        <w:t>n</w:t>
      </w:r>
      <w:r w:rsidRPr="00783CCC">
        <w:rPr>
          <w:rFonts w:asciiTheme="minorHAnsi" w:hAnsiTheme="minorHAnsi" w:cs="Times New Roman"/>
          <w:lang w:val="es-ES_tradnl"/>
        </w:rPr>
        <w:t xml:space="preserve"> verse los </w:t>
      </w:r>
      <w:r w:rsidR="006B7772">
        <w:rPr>
          <w:rFonts w:asciiTheme="minorHAnsi" w:hAnsiTheme="minorHAnsi" w:cs="Times New Roman"/>
          <w:lang w:val="es-ES_tradnl"/>
        </w:rPr>
        <w:t xml:space="preserve">valores presentes de los </w:t>
      </w:r>
      <w:r w:rsidRPr="00783CCC">
        <w:rPr>
          <w:rFonts w:asciiTheme="minorHAnsi" w:hAnsiTheme="minorHAnsi" w:cs="Times New Roman"/>
          <w:lang w:val="es-ES_tradnl"/>
        </w:rPr>
        <w:t xml:space="preserve">montos totales de pagos comprometidos por las PPP, calculados con ambas tasas consideradas, </w:t>
      </w:r>
      <w:r w:rsidR="006B7772">
        <w:rPr>
          <w:rFonts w:asciiTheme="minorHAnsi" w:hAnsiTheme="minorHAnsi" w:cs="Times New Roman"/>
          <w:lang w:val="es-ES_tradnl"/>
        </w:rPr>
        <w:t>y su relación con el PBI el año anterior</w:t>
      </w:r>
      <w:proofErr w:type="gramStart"/>
      <w:r w:rsidR="006B7772">
        <w:rPr>
          <w:rFonts w:asciiTheme="minorHAnsi" w:hAnsiTheme="minorHAnsi" w:cs="Times New Roman"/>
          <w:lang w:val="es-ES_tradnl"/>
        </w:rPr>
        <w:t>.</w:t>
      </w:r>
      <w:r w:rsidRPr="00783CCC">
        <w:rPr>
          <w:rFonts w:asciiTheme="minorHAnsi" w:hAnsiTheme="minorHAnsi" w:cs="Times New Roman"/>
          <w:lang w:val="es-ES_tradnl"/>
        </w:rPr>
        <w:t>.</w:t>
      </w:r>
      <w:proofErr w:type="gramEnd"/>
      <w:r w:rsidR="007875A8" w:rsidRPr="00783CCC">
        <w:rPr>
          <w:rFonts w:asciiTheme="minorHAnsi" w:hAnsiTheme="minorHAnsi" w:cs="Times New Roman"/>
          <w:lang w:val="es-ES_tradnl"/>
        </w:rPr>
        <w:t xml:space="preserve"> </w:t>
      </w:r>
    </w:p>
    <w:p w:rsidR="00D72560" w:rsidRDefault="00155480" w:rsidP="00D72560">
      <w:pPr>
        <w:spacing w:after="180" w:line="264" w:lineRule="auto"/>
        <w:jc w:val="center"/>
        <w:rPr>
          <w:rFonts w:asciiTheme="minorHAnsi" w:hAnsiTheme="minorHAnsi" w:cs="Times New Roman"/>
          <w:lang w:val="es-ES_tradnl"/>
        </w:rPr>
      </w:pPr>
      <w:r w:rsidRPr="00155480">
        <w:rPr>
          <w:noProof/>
          <w:lang w:val="en-US"/>
        </w:rPr>
        <w:drawing>
          <wp:inline distT="0" distB="0" distL="0" distR="0">
            <wp:extent cx="3172460" cy="1900555"/>
            <wp:effectExtent l="19050" t="0" r="889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a:srcRect/>
                    <a:stretch>
                      <a:fillRect/>
                    </a:stretch>
                  </pic:blipFill>
                  <pic:spPr bwMode="auto">
                    <a:xfrm>
                      <a:off x="0" y="0"/>
                      <a:ext cx="3172460" cy="1900555"/>
                    </a:xfrm>
                    <a:prstGeom prst="rect">
                      <a:avLst/>
                    </a:prstGeom>
                    <a:noFill/>
                    <a:ln w="9525">
                      <a:noFill/>
                      <a:miter lim="800000"/>
                      <a:headEnd/>
                      <a:tailEnd/>
                    </a:ln>
                  </pic:spPr>
                </pic:pic>
              </a:graphicData>
            </a:graphic>
          </wp:inline>
        </w:drawing>
      </w:r>
    </w:p>
    <w:p w:rsidR="00D72560" w:rsidRDefault="00D72560" w:rsidP="00D72560">
      <w:pPr>
        <w:spacing w:after="180" w:line="264" w:lineRule="auto"/>
        <w:jc w:val="center"/>
        <w:rPr>
          <w:rFonts w:asciiTheme="minorHAnsi" w:hAnsiTheme="minorHAnsi" w:cs="Times New Roman"/>
          <w:sz w:val="18"/>
          <w:szCs w:val="18"/>
          <w:lang w:val="es-ES_tradnl"/>
        </w:rPr>
      </w:pPr>
      <w:r w:rsidRPr="00CA0099">
        <w:rPr>
          <w:rFonts w:asciiTheme="minorHAnsi" w:hAnsiTheme="minorHAnsi" w:cs="Times New Roman"/>
          <w:sz w:val="18"/>
          <w:szCs w:val="18"/>
          <w:lang w:val="es-ES_tradnl"/>
        </w:rPr>
        <w:t>Fuente: Cálculos propios en base a información del MEF</w:t>
      </w:r>
      <w:r w:rsidR="000079F7">
        <w:rPr>
          <w:rFonts w:asciiTheme="minorHAnsi" w:hAnsiTheme="minorHAnsi" w:cs="Times New Roman"/>
          <w:sz w:val="18"/>
          <w:szCs w:val="18"/>
          <w:lang w:val="es-ES_tradnl"/>
        </w:rPr>
        <w:t xml:space="preserve"> y BEVSA</w:t>
      </w:r>
    </w:p>
    <w:p w:rsidR="00274FB9" w:rsidRDefault="00F4203E" w:rsidP="00783CCC">
      <w:pPr>
        <w:spacing w:after="180" w:line="264" w:lineRule="auto"/>
        <w:jc w:val="both"/>
        <w:rPr>
          <w:rFonts w:asciiTheme="minorHAnsi" w:hAnsiTheme="minorHAnsi" w:cs="Times New Roman"/>
          <w:lang w:val="es-ES_tradnl"/>
        </w:rPr>
      </w:pPr>
      <w:r w:rsidRPr="00783CCC">
        <w:rPr>
          <w:rFonts w:asciiTheme="minorHAnsi" w:hAnsiTheme="minorHAnsi" w:cs="Times New Roman"/>
          <w:lang w:val="es-ES_tradnl"/>
        </w:rPr>
        <w:t>En el cuadro anterior, se observa</w:t>
      </w:r>
      <w:r w:rsidR="00F21F3A">
        <w:rPr>
          <w:rFonts w:asciiTheme="minorHAnsi" w:hAnsiTheme="minorHAnsi" w:cs="Times New Roman"/>
          <w:lang w:val="es-ES_tradnl"/>
        </w:rPr>
        <w:t xml:space="preserve"> también</w:t>
      </w:r>
      <w:r w:rsidRPr="00783CCC">
        <w:rPr>
          <w:rFonts w:asciiTheme="minorHAnsi" w:hAnsiTheme="minorHAnsi" w:cs="Times New Roman"/>
          <w:lang w:val="es-ES_tradnl"/>
        </w:rPr>
        <w:t xml:space="preserve"> </w:t>
      </w:r>
      <w:r w:rsidR="00F21F3A">
        <w:rPr>
          <w:rFonts w:asciiTheme="minorHAnsi" w:hAnsiTheme="minorHAnsi" w:cs="Times New Roman"/>
          <w:lang w:val="es-ES_tradnl"/>
        </w:rPr>
        <w:t xml:space="preserve">que, </w:t>
      </w:r>
      <w:r w:rsidR="007038D9" w:rsidRPr="00783CCC">
        <w:rPr>
          <w:rFonts w:asciiTheme="minorHAnsi" w:hAnsiTheme="minorHAnsi" w:cs="Times New Roman"/>
          <w:lang w:val="es-ES_tradnl"/>
        </w:rPr>
        <w:t>si se utiliza la tasa de descuento a partir del rendimiento de la deuda soberana para esos plazos</w:t>
      </w:r>
      <w:r w:rsidR="00F21F3A">
        <w:rPr>
          <w:rFonts w:asciiTheme="minorHAnsi" w:hAnsiTheme="minorHAnsi" w:cs="Times New Roman"/>
          <w:lang w:val="es-ES_tradnl"/>
        </w:rPr>
        <w:t xml:space="preserve">, </w:t>
      </w:r>
      <w:r w:rsidR="007E5B98" w:rsidRPr="00783CCC">
        <w:rPr>
          <w:rFonts w:asciiTheme="minorHAnsi" w:hAnsiTheme="minorHAnsi" w:cs="Times New Roman"/>
          <w:lang w:val="es-ES_tradnl"/>
        </w:rPr>
        <w:t>se estaría</w:t>
      </w:r>
      <w:r w:rsidR="00B15C99">
        <w:rPr>
          <w:rFonts w:asciiTheme="minorHAnsi" w:hAnsiTheme="minorHAnsi" w:cs="Times New Roman"/>
          <w:lang w:val="es-ES_tradnl"/>
        </w:rPr>
        <w:t xml:space="preserve"> muy cerca de alcanzar el </w:t>
      </w:r>
      <w:r w:rsidR="007E5B98" w:rsidRPr="00783CCC">
        <w:rPr>
          <w:rFonts w:asciiTheme="minorHAnsi" w:hAnsiTheme="minorHAnsi" w:cs="Times New Roman"/>
          <w:lang w:val="es-ES_tradnl"/>
        </w:rPr>
        <w:t xml:space="preserve">límite </w:t>
      </w:r>
      <w:r w:rsidRPr="00783CCC">
        <w:rPr>
          <w:rFonts w:asciiTheme="minorHAnsi" w:hAnsiTheme="minorHAnsi" w:cs="Times New Roman"/>
          <w:lang w:val="es-ES_tradnl"/>
        </w:rPr>
        <w:t>legal</w:t>
      </w:r>
      <w:r w:rsidR="00F21F3A">
        <w:rPr>
          <w:rFonts w:asciiTheme="minorHAnsi" w:hAnsiTheme="minorHAnsi" w:cs="Times New Roman"/>
          <w:lang w:val="es-ES_tradnl"/>
        </w:rPr>
        <w:t xml:space="preserve"> para </w:t>
      </w:r>
      <w:r w:rsidRPr="00783CCC">
        <w:rPr>
          <w:rFonts w:asciiTheme="minorHAnsi" w:hAnsiTheme="minorHAnsi" w:cs="Times New Roman"/>
          <w:lang w:val="es-ES_tradnl"/>
        </w:rPr>
        <w:t xml:space="preserve">el </w:t>
      </w:r>
      <w:r w:rsidR="007E5B98" w:rsidRPr="00783CCC">
        <w:rPr>
          <w:rFonts w:asciiTheme="minorHAnsi" w:hAnsiTheme="minorHAnsi" w:cs="Times New Roman"/>
          <w:lang w:val="es-ES_tradnl"/>
        </w:rPr>
        <w:t>monto actualizado de pagos</w:t>
      </w:r>
      <w:r w:rsidR="00274FB9">
        <w:rPr>
          <w:rFonts w:asciiTheme="minorHAnsi" w:hAnsiTheme="minorHAnsi" w:cs="Times New Roman"/>
          <w:lang w:val="es-ES_tradnl"/>
        </w:rPr>
        <w:t>.</w:t>
      </w:r>
      <w:r w:rsidR="007E5B98" w:rsidRPr="00783CCC">
        <w:rPr>
          <w:rFonts w:asciiTheme="minorHAnsi" w:hAnsiTheme="minorHAnsi" w:cs="Times New Roman"/>
          <w:lang w:val="es-ES_tradnl"/>
        </w:rPr>
        <w:t xml:space="preserve"> </w:t>
      </w:r>
      <w:r w:rsidR="00274FB9">
        <w:rPr>
          <w:rFonts w:asciiTheme="minorHAnsi" w:hAnsiTheme="minorHAnsi" w:cs="Times New Roman"/>
          <w:lang w:val="es-ES_tradnl"/>
        </w:rPr>
        <w:t>Recuérdese que el tope fiscal fijado para el valor presente de estos montos es del 7% del PBI del año anterior, o sea alrededor de US$ 3.500 millones</w:t>
      </w:r>
      <w:r w:rsidRPr="00783CCC">
        <w:rPr>
          <w:rFonts w:asciiTheme="minorHAnsi" w:hAnsiTheme="minorHAnsi" w:cs="Times New Roman"/>
          <w:lang w:val="es-ES_tradnl"/>
        </w:rPr>
        <w:t xml:space="preserve">. </w:t>
      </w:r>
    </w:p>
    <w:p w:rsidR="00783CCC" w:rsidRDefault="00F4203E" w:rsidP="00783CCC">
      <w:pPr>
        <w:spacing w:after="180" w:line="264" w:lineRule="auto"/>
        <w:jc w:val="both"/>
        <w:rPr>
          <w:rFonts w:asciiTheme="minorHAnsi" w:hAnsiTheme="minorHAnsi" w:cs="Times New Roman"/>
          <w:lang w:val="es-ES_tradnl"/>
        </w:rPr>
      </w:pPr>
      <w:r w:rsidRPr="00783CCC">
        <w:rPr>
          <w:rFonts w:asciiTheme="minorHAnsi" w:hAnsiTheme="minorHAnsi" w:cs="Times New Roman"/>
          <w:lang w:val="es-ES_tradnl"/>
        </w:rPr>
        <w:t xml:space="preserve">En el caso de utilizar la otra tasa, nos ubicaríamos por debajo del techo pero </w:t>
      </w:r>
      <w:r w:rsidR="00B15C99">
        <w:rPr>
          <w:rFonts w:asciiTheme="minorHAnsi" w:hAnsiTheme="minorHAnsi" w:cs="Times New Roman"/>
          <w:lang w:val="es-ES_tradnl"/>
        </w:rPr>
        <w:t xml:space="preserve">también relativamente </w:t>
      </w:r>
      <w:r w:rsidRPr="00783CCC">
        <w:rPr>
          <w:rFonts w:asciiTheme="minorHAnsi" w:hAnsiTheme="minorHAnsi" w:cs="Times New Roman"/>
          <w:lang w:val="es-ES_tradnl"/>
        </w:rPr>
        <w:t xml:space="preserve">cerca, lo cual </w:t>
      </w:r>
      <w:r w:rsidR="00B15C99">
        <w:rPr>
          <w:rFonts w:asciiTheme="minorHAnsi" w:hAnsiTheme="minorHAnsi" w:cs="Times New Roman"/>
          <w:lang w:val="es-ES_tradnl"/>
        </w:rPr>
        <w:t xml:space="preserve">indicaría que </w:t>
      </w:r>
      <w:r w:rsidR="002532C5">
        <w:rPr>
          <w:rFonts w:asciiTheme="minorHAnsi" w:hAnsiTheme="minorHAnsi" w:cs="Times New Roman"/>
          <w:lang w:val="es-ES_tradnl"/>
        </w:rPr>
        <w:t xml:space="preserve">razonablemente </w:t>
      </w:r>
      <w:r w:rsidR="00B15C99">
        <w:rPr>
          <w:rFonts w:asciiTheme="minorHAnsi" w:hAnsiTheme="minorHAnsi" w:cs="Times New Roman"/>
          <w:lang w:val="es-ES_tradnl"/>
        </w:rPr>
        <w:t xml:space="preserve">sería difícil </w:t>
      </w:r>
      <w:r w:rsidRPr="00783CCC">
        <w:rPr>
          <w:rFonts w:asciiTheme="minorHAnsi" w:hAnsiTheme="minorHAnsi" w:cs="Times New Roman"/>
          <w:lang w:val="es-ES_tradnl"/>
        </w:rPr>
        <w:t xml:space="preserve">utilizar este instrumento </w:t>
      </w:r>
      <w:r w:rsidR="00F21F3A">
        <w:rPr>
          <w:rFonts w:asciiTheme="minorHAnsi" w:hAnsiTheme="minorHAnsi" w:cs="Times New Roman"/>
          <w:lang w:val="es-ES_tradnl"/>
        </w:rPr>
        <w:t xml:space="preserve">a corto plazo </w:t>
      </w:r>
      <w:r w:rsidRPr="00783CCC">
        <w:rPr>
          <w:rFonts w:asciiTheme="minorHAnsi" w:hAnsiTheme="minorHAnsi" w:cs="Times New Roman"/>
          <w:lang w:val="es-ES_tradnl"/>
        </w:rPr>
        <w:t>con nuevos proyectos</w:t>
      </w:r>
      <w:r w:rsidR="00274FB9">
        <w:rPr>
          <w:rFonts w:asciiTheme="minorHAnsi" w:hAnsiTheme="minorHAnsi" w:cs="Times New Roman"/>
          <w:lang w:val="es-ES_tradnl"/>
        </w:rPr>
        <w:t>,</w:t>
      </w:r>
      <w:r w:rsidRPr="00783CCC">
        <w:rPr>
          <w:rFonts w:asciiTheme="minorHAnsi" w:hAnsiTheme="minorHAnsi" w:cs="Times New Roman"/>
          <w:lang w:val="es-ES_tradnl"/>
        </w:rPr>
        <w:t xml:space="preserve"> de ejecutarse </w:t>
      </w:r>
      <w:r w:rsidR="00B15C99">
        <w:rPr>
          <w:rFonts w:asciiTheme="minorHAnsi" w:hAnsiTheme="minorHAnsi" w:cs="Times New Roman"/>
          <w:lang w:val="es-ES_tradnl"/>
        </w:rPr>
        <w:t xml:space="preserve">exitosamente </w:t>
      </w:r>
      <w:r w:rsidRPr="00783CCC">
        <w:rPr>
          <w:rFonts w:asciiTheme="minorHAnsi" w:hAnsiTheme="minorHAnsi" w:cs="Times New Roman"/>
          <w:lang w:val="es-ES_tradnl"/>
        </w:rPr>
        <w:t>los aquí considerados.</w:t>
      </w:r>
    </w:p>
    <w:p w:rsidR="000079F7" w:rsidRDefault="000079F7" w:rsidP="00783CCC">
      <w:pPr>
        <w:spacing w:after="180" w:line="264" w:lineRule="auto"/>
        <w:jc w:val="both"/>
        <w:rPr>
          <w:rFonts w:asciiTheme="minorHAnsi" w:hAnsiTheme="minorHAnsi" w:cs="Times New Roman"/>
          <w:lang w:val="es-ES_tradnl"/>
        </w:rPr>
      </w:pPr>
    </w:p>
    <w:p w:rsidR="00786174" w:rsidRDefault="00647076" w:rsidP="00647076">
      <w:pPr>
        <w:pStyle w:val="Heading2"/>
      </w:pPr>
      <w:bookmarkStart w:id="22" w:name="_Toc428464192"/>
      <w:r>
        <w:t xml:space="preserve">Endeudamiento </w:t>
      </w:r>
      <w:r w:rsidR="000572AD">
        <w:t>para inversiones viales</w:t>
      </w:r>
      <w:r>
        <w:t>.</w:t>
      </w:r>
      <w:bookmarkEnd w:id="22"/>
      <w:r>
        <w:t xml:space="preserve"> </w:t>
      </w:r>
    </w:p>
    <w:p w:rsidR="00647076" w:rsidRDefault="00647076" w:rsidP="002532C5">
      <w:pPr>
        <w:spacing w:after="180" w:line="264" w:lineRule="auto"/>
        <w:jc w:val="both"/>
        <w:rPr>
          <w:rFonts w:asciiTheme="minorHAnsi" w:hAnsiTheme="minorHAnsi" w:cs="Times New Roman"/>
          <w:lang w:val="es-ES_tradnl"/>
        </w:rPr>
      </w:pPr>
    </w:p>
    <w:p w:rsidR="006905D0" w:rsidRDefault="002532C5" w:rsidP="002532C5">
      <w:pPr>
        <w:spacing w:after="180" w:line="264" w:lineRule="auto"/>
        <w:jc w:val="both"/>
        <w:rPr>
          <w:rFonts w:asciiTheme="minorHAnsi" w:hAnsiTheme="minorHAnsi" w:cs="Times New Roman"/>
          <w:lang w:val="es-ES_tradnl"/>
        </w:rPr>
      </w:pPr>
      <w:r>
        <w:rPr>
          <w:rFonts w:asciiTheme="minorHAnsi" w:hAnsiTheme="minorHAnsi" w:cs="Times New Roman"/>
          <w:lang w:val="es-ES_tradnl"/>
        </w:rPr>
        <w:t>En los capítulos anteriores, se describió el esfuerzo que prevé realizar el Gobierno para aumentar la inversión vial en forma significativa en el presente quinquenio</w:t>
      </w:r>
      <w:r w:rsidR="006905D0">
        <w:rPr>
          <w:rFonts w:asciiTheme="minorHAnsi" w:hAnsiTheme="minorHAnsi" w:cs="Times New Roman"/>
          <w:lang w:val="es-ES_tradnl"/>
        </w:rPr>
        <w:t xml:space="preserve"> tanto por la nueva concesión de la CVU como en el desarrollo de las PPP.</w:t>
      </w:r>
    </w:p>
    <w:p w:rsidR="006905D0" w:rsidRDefault="006905D0" w:rsidP="002532C5">
      <w:pPr>
        <w:spacing w:after="180" w:line="264" w:lineRule="auto"/>
        <w:jc w:val="both"/>
        <w:rPr>
          <w:rFonts w:asciiTheme="minorHAnsi" w:hAnsiTheme="minorHAnsi" w:cs="Times New Roman"/>
          <w:lang w:val="es-ES_tradnl"/>
        </w:rPr>
      </w:pPr>
      <w:r>
        <w:rPr>
          <w:rFonts w:asciiTheme="minorHAnsi" w:hAnsiTheme="minorHAnsi" w:cs="Times New Roman"/>
          <w:lang w:val="es-ES_tradnl"/>
        </w:rPr>
        <w:t>Por su parte, en este capítulo, se incluyen no sólo aquellas sino todas las inversiones viales previstas para el próximo quinquenio, a realizar por los diferentes operadores. En función de ello, también se analiza aquí el financiamiento de las mismas según las distintas fuentes previstas, algunas de ella ya en avanzada negociación, como es el caso del préstamo del Banco.</w:t>
      </w:r>
    </w:p>
    <w:p w:rsidR="006905D0" w:rsidRDefault="006905D0" w:rsidP="002532C5">
      <w:pPr>
        <w:spacing w:after="180" w:line="264" w:lineRule="auto"/>
        <w:jc w:val="both"/>
        <w:rPr>
          <w:rFonts w:asciiTheme="minorHAnsi" w:hAnsiTheme="minorHAnsi" w:cs="Times New Roman"/>
          <w:lang w:val="es-ES_tradnl"/>
        </w:rPr>
      </w:pPr>
      <w:r>
        <w:rPr>
          <w:rFonts w:asciiTheme="minorHAnsi" w:hAnsiTheme="minorHAnsi" w:cs="Times New Roman"/>
          <w:lang w:val="es-ES_tradnl"/>
        </w:rPr>
        <w:t>Seguidamente, para visualizar la importancia relativa de este esfuerzo, se compara el financiamiento a obtener con los patrimonios de las entidades que lo van a operar, la CND y CVU, y los presupuestos de la DNV.</w:t>
      </w:r>
    </w:p>
    <w:p w:rsidR="006905D0" w:rsidRDefault="006905D0" w:rsidP="002532C5">
      <w:pPr>
        <w:spacing w:after="180" w:line="264" w:lineRule="auto"/>
        <w:jc w:val="both"/>
        <w:rPr>
          <w:rFonts w:asciiTheme="minorHAnsi" w:hAnsiTheme="minorHAnsi" w:cs="Times New Roman"/>
          <w:lang w:val="es-ES_tradnl"/>
        </w:rPr>
      </w:pPr>
      <w:r>
        <w:rPr>
          <w:rFonts w:asciiTheme="minorHAnsi" w:hAnsiTheme="minorHAnsi" w:cs="Times New Roman"/>
          <w:lang w:val="es-ES_tradnl"/>
        </w:rPr>
        <w:t xml:space="preserve"> </w:t>
      </w:r>
    </w:p>
    <w:p w:rsidR="009000B0" w:rsidRDefault="009000B0" w:rsidP="009000B0">
      <w:pPr>
        <w:pStyle w:val="Heading3"/>
        <w:rPr>
          <w:lang w:val="es-ES_tradnl"/>
        </w:rPr>
      </w:pPr>
      <w:bookmarkStart w:id="23" w:name="_Toc428464193"/>
      <w:r>
        <w:rPr>
          <w:lang w:val="es-ES_tradnl"/>
        </w:rPr>
        <w:t>Inversiones viales para el próximo quinquenio</w:t>
      </w:r>
      <w:bookmarkEnd w:id="23"/>
    </w:p>
    <w:p w:rsidR="009000B0" w:rsidRDefault="009000B0" w:rsidP="002532C5">
      <w:pPr>
        <w:spacing w:after="180" w:line="264" w:lineRule="auto"/>
        <w:jc w:val="both"/>
        <w:rPr>
          <w:rFonts w:asciiTheme="minorHAnsi" w:hAnsiTheme="minorHAnsi" w:cs="Times New Roman"/>
          <w:lang w:val="es-ES_tradnl"/>
        </w:rPr>
      </w:pPr>
    </w:p>
    <w:p w:rsidR="000B609B" w:rsidRDefault="000B609B" w:rsidP="002532C5">
      <w:pPr>
        <w:spacing w:after="180" w:line="264" w:lineRule="auto"/>
        <w:jc w:val="both"/>
        <w:rPr>
          <w:rFonts w:asciiTheme="minorHAnsi" w:hAnsiTheme="minorHAnsi" w:cs="Times New Roman"/>
          <w:lang w:val="es-ES_tradnl"/>
        </w:rPr>
      </w:pPr>
      <w:r>
        <w:rPr>
          <w:rFonts w:asciiTheme="minorHAnsi" w:hAnsiTheme="minorHAnsi" w:cs="Times New Roman"/>
          <w:lang w:val="es-ES_tradnl"/>
        </w:rPr>
        <w:t>En principio cabe estacar que</w:t>
      </w:r>
      <w:r w:rsidR="004E5E17">
        <w:rPr>
          <w:rFonts w:asciiTheme="minorHAnsi" w:hAnsiTheme="minorHAnsi" w:cs="Times New Roman"/>
          <w:lang w:val="es-ES_tradnl"/>
        </w:rPr>
        <w:t>,</w:t>
      </w:r>
      <w:r>
        <w:rPr>
          <w:rFonts w:asciiTheme="minorHAnsi" w:hAnsiTheme="minorHAnsi" w:cs="Times New Roman"/>
          <w:lang w:val="es-ES_tradnl"/>
        </w:rPr>
        <w:t xml:space="preserve"> en el último quinquenio</w:t>
      </w:r>
      <w:r w:rsidR="004E5E17">
        <w:rPr>
          <w:rFonts w:asciiTheme="minorHAnsi" w:hAnsiTheme="minorHAnsi" w:cs="Times New Roman"/>
          <w:lang w:val="es-ES_tradnl"/>
        </w:rPr>
        <w:t>,</w:t>
      </w:r>
      <w:r w:rsidR="002E7BBD">
        <w:rPr>
          <w:rFonts w:asciiTheme="minorHAnsi" w:hAnsiTheme="minorHAnsi" w:cs="Times New Roman"/>
          <w:lang w:val="es-ES_tradnl"/>
        </w:rPr>
        <w:t xml:space="preserve"> </w:t>
      </w:r>
      <w:r>
        <w:rPr>
          <w:rFonts w:asciiTheme="minorHAnsi" w:hAnsiTheme="minorHAnsi" w:cs="Times New Roman"/>
          <w:lang w:val="es-ES_tradnl"/>
        </w:rPr>
        <w:t xml:space="preserve">las inversiones viales </w:t>
      </w:r>
      <w:r w:rsidR="00977F4F">
        <w:rPr>
          <w:rFonts w:asciiTheme="minorHAnsi" w:hAnsiTheme="minorHAnsi" w:cs="Times New Roman"/>
          <w:lang w:val="es-ES_tradnl"/>
        </w:rPr>
        <w:t xml:space="preserve">totales, incluyendo </w:t>
      </w:r>
      <w:r w:rsidR="004E5E17">
        <w:rPr>
          <w:rFonts w:asciiTheme="minorHAnsi" w:hAnsiTheme="minorHAnsi" w:cs="Times New Roman"/>
          <w:lang w:val="es-ES_tradnl"/>
        </w:rPr>
        <w:t>las realizadas por</w:t>
      </w:r>
      <w:r w:rsidR="00977F4F">
        <w:rPr>
          <w:rFonts w:asciiTheme="minorHAnsi" w:hAnsiTheme="minorHAnsi" w:cs="Times New Roman"/>
          <w:lang w:val="es-ES_tradnl"/>
        </w:rPr>
        <w:t xml:space="preserve"> l</w:t>
      </w:r>
      <w:r w:rsidR="00E51218">
        <w:rPr>
          <w:rFonts w:asciiTheme="minorHAnsi" w:hAnsiTheme="minorHAnsi" w:cs="Times New Roman"/>
          <w:lang w:val="es-ES_tradnl"/>
        </w:rPr>
        <w:t>a</w:t>
      </w:r>
      <w:r w:rsidR="00977F4F">
        <w:rPr>
          <w:rFonts w:asciiTheme="minorHAnsi" w:hAnsiTheme="minorHAnsi" w:cs="Times New Roman"/>
          <w:lang w:val="es-ES_tradnl"/>
        </w:rPr>
        <w:t>s principales entidades que participan</w:t>
      </w:r>
      <w:r w:rsidR="00F21F3A">
        <w:rPr>
          <w:rFonts w:asciiTheme="minorHAnsi" w:hAnsiTheme="minorHAnsi" w:cs="Times New Roman"/>
          <w:lang w:val="es-ES_tradnl"/>
        </w:rPr>
        <w:t>,</w:t>
      </w:r>
      <w:r w:rsidR="00977F4F">
        <w:rPr>
          <w:rFonts w:asciiTheme="minorHAnsi" w:hAnsiTheme="minorHAnsi" w:cs="Times New Roman"/>
          <w:lang w:val="es-ES_tradnl"/>
        </w:rPr>
        <w:t xml:space="preserve"> </w:t>
      </w:r>
      <w:r>
        <w:rPr>
          <w:rFonts w:asciiTheme="minorHAnsi" w:hAnsiTheme="minorHAnsi" w:cs="Times New Roman"/>
          <w:lang w:val="es-ES_tradnl"/>
        </w:rPr>
        <w:t xml:space="preserve">se </w:t>
      </w:r>
      <w:r w:rsidR="00977F4F">
        <w:rPr>
          <w:rFonts w:asciiTheme="minorHAnsi" w:hAnsiTheme="minorHAnsi" w:cs="Times New Roman"/>
          <w:lang w:val="es-ES_tradnl"/>
        </w:rPr>
        <w:t xml:space="preserve">habrían ubicado </w:t>
      </w:r>
      <w:r>
        <w:rPr>
          <w:rFonts w:asciiTheme="minorHAnsi" w:hAnsiTheme="minorHAnsi" w:cs="Times New Roman"/>
          <w:lang w:val="es-ES_tradnl"/>
        </w:rPr>
        <w:t>en el orden de</w:t>
      </w:r>
      <w:r w:rsidR="00E51218">
        <w:rPr>
          <w:rFonts w:asciiTheme="minorHAnsi" w:hAnsiTheme="minorHAnsi" w:cs="Times New Roman"/>
          <w:lang w:val="es-ES_tradnl"/>
        </w:rPr>
        <w:t xml:space="preserve"> l</w:t>
      </w:r>
      <w:r w:rsidR="00F21F3A">
        <w:rPr>
          <w:rFonts w:asciiTheme="minorHAnsi" w:hAnsiTheme="minorHAnsi" w:cs="Times New Roman"/>
          <w:lang w:val="es-ES_tradnl"/>
        </w:rPr>
        <w:t>o</w:t>
      </w:r>
      <w:r w:rsidR="00E51218">
        <w:rPr>
          <w:rFonts w:asciiTheme="minorHAnsi" w:hAnsiTheme="minorHAnsi" w:cs="Times New Roman"/>
          <w:lang w:val="es-ES_tradnl"/>
        </w:rPr>
        <w:t>s US$ 1.2</w:t>
      </w:r>
      <w:r w:rsidR="002E7BBD">
        <w:rPr>
          <w:rFonts w:asciiTheme="minorHAnsi" w:hAnsiTheme="minorHAnsi" w:cs="Times New Roman"/>
          <w:lang w:val="es-ES_tradnl"/>
        </w:rPr>
        <w:t>00 millones</w:t>
      </w:r>
      <w:r w:rsidR="00977F4F">
        <w:rPr>
          <w:rFonts w:asciiTheme="minorHAnsi" w:hAnsiTheme="minorHAnsi" w:cs="Times New Roman"/>
          <w:lang w:val="es-ES_tradnl"/>
        </w:rPr>
        <w:t>, superando a las realizadas en los quinquenios anteriores en forma significativa</w:t>
      </w:r>
      <w:r w:rsidR="0078698A">
        <w:rPr>
          <w:rFonts w:asciiTheme="minorHAnsi" w:hAnsiTheme="minorHAnsi" w:cs="Times New Roman"/>
          <w:lang w:val="es-ES_tradnl"/>
        </w:rPr>
        <w:t>,</w:t>
      </w:r>
      <w:r w:rsidR="00F21F3A">
        <w:rPr>
          <w:rFonts w:asciiTheme="minorHAnsi" w:hAnsiTheme="minorHAnsi" w:cs="Times New Roman"/>
          <w:lang w:val="es-ES_tradnl"/>
        </w:rPr>
        <w:t xml:space="preserve"> según puede verse en el próximo cuadro.</w:t>
      </w:r>
      <w:r w:rsidR="00977F4F">
        <w:rPr>
          <w:rFonts w:asciiTheme="minorHAnsi" w:hAnsiTheme="minorHAnsi" w:cs="Times New Roman"/>
          <w:lang w:val="es-ES_tradnl"/>
        </w:rPr>
        <w:t xml:space="preserve"> </w:t>
      </w:r>
      <w:r w:rsidR="002E7BBD">
        <w:rPr>
          <w:rFonts w:asciiTheme="minorHAnsi" w:hAnsiTheme="minorHAnsi" w:cs="Times New Roman"/>
          <w:lang w:val="es-ES_tradnl"/>
        </w:rPr>
        <w:t xml:space="preserve"> </w:t>
      </w:r>
      <w:r w:rsidR="002532C5">
        <w:rPr>
          <w:rFonts w:asciiTheme="minorHAnsi" w:hAnsiTheme="minorHAnsi" w:cs="Times New Roman"/>
          <w:lang w:val="es-ES_tradnl"/>
        </w:rPr>
        <w:t>Esta inversi</w:t>
      </w:r>
      <w:r w:rsidR="00977F4F">
        <w:rPr>
          <w:rFonts w:asciiTheme="minorHAnsi" w:hAnsiTheme="minorHAnsi" w:cs="Times New Roman"/>
          <w:lang w:val="es-ES_tradnl"/>
        </w:rPr>
        <w:t>ones</w:t>
      </w:r>
      <w:r w:rsidR="002532C5">
        <w:rPr>
          <w:rFonts w:asciiTheme="minorHAnsi" w:hAnsiTheme="minorHAnsi" w:cs="Times New Roman"/>
          <w:lang w:val="es-ES_tradnl"/>
        </w:rPr>
        <w:t xml:space="preserve"> se </w:t>
      </w:r>
      <w:r w:rsidR="00977F4F">
        <w:rPr>
          <w:rFonts w:asciiTheme="minorHAnsi" w:hAnsiTheme="minorHAnsi" w:cs="Times New Roman"/>
          <w:lang w:val="es-ES_tradnl"/>
        </w:rPr>
        <w:t>han r</w:t>
      </w:r>
      <w:r w:rsidR="002532C5">
        <w:rPr>
          <w:rFonts w:asciiTheme="minorHAnsi" w:hAnsiTheme="minorHAnsi" w:cs="Times New Roman"/>
          <w:lang w:val="es-ES_tradnl"/>
        </w:rPr>
        <w:t>ealiza</w:t>
      </w:r>
      <w:r w:rsidR="00977F4F">
        <w:rPr>
          <w:rFonts w:asciiTheme="minorHAnsi" w:hAnsiTheme="minorHAnsi" w:cs="Times New Roman"/>
          <w:lang w:val="es-ES_tradnl"/>
        </w:rPr>
        <w:t>do</w:t>
      </w:r>
      <w:r w:rsidR="002532C5">
        <w:rPr>
          <w:rFonts w:asciiTheme="minorHAnsi" w:hAnsiTheme="minorHAnsi" w:cs="Times New Roman"/>
          <w:lang w:val="es-ES_tradnl"/>
        </w:rPr>
        <w:t xml:space="preserve"> tanto a través de la CVU como de la propia DNV, directame</w:t>
      </w:r>
      <w:r>
        <w:rPr>
          <w:rFonts w:asciiTheme="minorHAnsi" w:hAnsiTheme="minorHAnsi" w:cs="Times New Roman"/>
          <w:lang w:val="es-ES_tradnl"/>
        </w:rPr>
        <w:t>nte</w:t>
      </w:r>
      <w:r w:rsidR="002532C5">
        <w:rPr>
          <w:rFonts w:asciiTheme="minorHAnsi" w:hAnsiTheme="minorHAnsi" w:cs="Times New Roman"/>
          <w:lang w:val="es-ES_tradnl"/>
        </w:rPr>
        <w:t xml:space="preserve"> y </w:t>
      </w:r>
      <w:r>
        <w:rPr>
          <w:rFonts w:asciiTheme="minorHAnsi" w:hAnsiTheme="minorHAnsi" w:cs="Times New Roman"/>
          <w:lang w:val="es-ES_tradnl"/>
        </w:rPr>
        <w:t xml:space="preserve">en </w:t>
      </w:r>
      <w:r w:rsidR="002532C5">
        <w:rPr>
          <w:rFonts w:asciiTheme="minorHAnsi" w:hAnsiTheme="minorHAnsi" w:cs="Times New Roman"/>
          <w:lang w:val="es-ES_tradnl"/>
        </w:rPr>
        <w:t>lo</w:t>
      </w:r>
      <w:r>
        <w:rPr>
          <w:rFonts w:asciiTheme="minorHAnsi" w:hAnsiTheme="minorHAnsi" w:cs="Times New Roman"/>
          <w:lang w:val="es-ES_tradnl"/>
        </w:rPr>
        <w:t>s</w:t>
      </w:r>
      <w:r w:rsidR="002532C5">
        <w:rPr>
          <w:rFonts w:asciiTheme="minorHAnsi" w:hAnsiTheme="minorHAnsi" w:cs="Times New Roman"/>
          <w:lang w:val="es-ES_tradnl"/>
        </w:rPr>
        <w:t xml:space="preserve"> program</w:t>
      </w:r>
      <w:r>
        <w:rPr>
          <w:rFonts w:asciiTheme="minorHAnsi" w:hAnsiTheme="minorHAnsi" w:cs="Times New Roman"/>
          <w:lang w:val="es-ES_tradnl"/>
        </w:rPr>
        <w:t>a</w:t>
      </w:r>
      <w:r w:rsidR="002532C5">
        <w:rPr>
          <w:rFonts w:asciiTheme="minorHAnsi" w:hAnsiTheme="minorHAnsi" w:cs="Times New Roman"/>
          <w:lang w:val="es-ES_tradnl"/>
        </w:rPr>
        <w:t xml:space="preserve">s de </w:t>
      </w:r>
      <w:proofErr w:type="spellStart"/>
      <w:r w:rsidR="002532C5">
        <w:rPr>
          <w:rFonts w:asciiTheme="minorHAnsi" w:hAnsiTheme="minorHAnsi" w:cs="Times New Roman"/>
          <w:lang w:val="es-ES_tradnl"/>
        </w:rPr>
        <w:t>camin</w:t>
      </w:r>
      <w:r>
        <w:rPr>
          <w:rFonts w:asciiTheme="minorHAnsi" w:hAnsiTheme="minorHAnsi" w:cs="Times New Roman"/>
          <w:lang w:val="es-ES_tradnl"/>
        </w:rPr>
        <w:t>e</w:t>
      </w:r>
      <w:r w:rsidR="002532C5">
        <w:rPr>
          <w:rFonts w:asciiTheme="minorHAnsi" w:hAnsiTheme="minorHAnsi" w:cs="Times New Roman"/>
          <w:lang w:val="es-ES_tradnl"/>
        </w:rPr>
        <w:t>r</w:t>
      </w:r>
      <w:r>
        <w:rPr>
          <w:rFonts w:asciiTheme="minorHAnsi" w:hAnsiTheme="minorHAnsi" w:cs="Times New Roman"/>
          <w:lang w:val="es-ES_tradnl"/>
        </w:rPr>
        <w:t>ía</w:t>
      </w:r>
      <w:proofErr w:type="spellEnd"/>
      <w:r w:rsidR="002532C5">
        <w:rPr>
          <w:rFonts w:asciiTheme="minorHAnsi" w:hAnsiTheme="minorHAnsi" w:cs="Times New Roman"/>
          <w:lang w:val="es-ES_tradnl"/>
        </w:rPr>
        <w:t xml:space="preserve"> rural y forestal, junto a</w:t>
      </w:r>
      <w:r>
        <w:rPr>
          <w:rFonts w:asciiTheme="minorHAnsi" w:hAnsiTheme="minorHAnsi" w:cs="Times New Roman"/>
          <w:lang w:val="es-ES_tradnl"/>
        </w:rPr>
        <w:t>l</w:t>
      </w:r>
      <w:r w:rsidR="002532C5">
        <w:rPr>
          <w:rFonts w:asciiTheme="minorHAnsi" w:hAnsiTheme="minorHAnsi" w:cs="Times New Roman"/>
          <w:lang w:val="es-ES_tradnl"/>
        </w:rPr>
        <w:t xml:space="preserve"> monto </w:t>
      </w:r>
      <w:r>
        <w:rPr>
          <w:rFonts w:asciiTheme="minorHAnsi" w:hAnsiTheme="minorHAnsi" w:cs="Times New Roman"/>
          <w:lang w:val="es-ES_tradnl"/>
        </w:rPr>
        <w:t xml:space="preserve">de concesiones privadas. </w:t>
      </w:r>
      <w:r w:rsidR="002532C5">
        <w:rPr>
          <w:rFonts w:asciiTheme="minorHAnsi" w:hAnsiTheme="minorHAnsi" w:cs="Times New Roman"/>
          <w:lang w:val="es-ES_tradnl"/>
        </w:rPr>
        <w:t xml:space="preserve"> </w:t>
      </w:r>
    </w:p>
    <w:p w:rsidR="00183941" w:rsidRDefault="004E5E17" w:rsidP="00183941">
      <w:pPr>
        <w:spacing w:after="180" w:line="264" w:lineRule="auto"/>
        <w:jc w:val="both"/>
        <w:rPr>
          <w:rFonts w:asciiTheme="minorHAnsi" w:hAnsiTheme="minorHAnsi" w:cs="Times New Roman"/>
          <w:lang w:val="es-ES_tradnl"/>
        </w:rPr>
      </w:pPr>
      <w:r>
        <w:rPr>
          <w:rFonts w:asciiTheme="minorHAnsi" w:hAnsiTheme="minorHAnsi" w:cs="Times New Roman"/>
          <w:lang w:val="es-ES_tradnl"/>
        </w:rPr>
        <w:t xml:space="preserve">A su vez, </w:t>
      </w:r>
      <w:r w:rsidR="0078698A">
        <w:rPr>
          <w:rFonts w:asciiTheme="minorHAnsi" w:hAnsiTheme="minorHAnsi" w:cs="Times New Roman"/>
          <w:lang w:val="es-ES_tradnl"/>
        </w:rPr>
        <w:t xml:space="preserve">también se han incluido estimaciones </w:t>
      </w:r>
      <w:r>
        <w:rPr>
          <w:rFonts w:asciiTheme="minorHAnsi" w:hAnsiTheme="minorHAnsi" w:cs="Times New Roman"/>
          <w:lang w:val="es-ES_tradnl"/>
        </w:rPr>
        <w:t>del ni</w:t>
      </w:r>
      <w:r w:rsidR="006905D0">
        <w:rPr>
          <w:rFonts w:asciiTheme="minorHAnsi" w:hAnsiTheme="minorHAnsi" w:cs="Times New Roman"/>
          <w:lang w:val="es-ES_tradnl"/>
        </w:rPr>
        <w:t>v</w:t>
      </w:r>
      <w:r>
        <w:rPr>
          <w:rFonts w:asciiTheme="minorHAnsi" w:hAnsiTheme="minorHAnsi" w:cs="Times New Roman"/>
          <w:lang w:val="es-ES_tradnl"/>
        </w:rPr>
        <w:t xml:space="preserve">el de inversiones viales </w:t>
      </w:r>
      <w:r w:rsidR="0078698A">
        <w:rPr>
          <w:rFonts w:asciiTheme="minorHAnsi" w:hAnsiTheme="minorHAnsi" w:cs="Times New Roman"/>
          <w:lang w:val="es-ES_tradnl"/>
        </w:rPr>
        <w:t xml:space="preserve">para el </w:t>
      </w:r>
      <w:r>
        <w:rPr>
          <w:rFonts w:asciiTheme="minorHAnsi" w:hAnsiTheme="minorHAnsi" w:cs="Times New Roman"/>
          <w:lang w:val="es-ES_tradnl"/>
        </w:rPr>
        <w:t xml:space="preserve">próximo </w:t>
      </w:r>
      <w:r w:rsidR="0078698A">
        <w:rPr>
          <w:rFonts w:asciiTheme="minorHAnsi" w:hAnsiTheme="minorHAnsi" w:cs="Times New Roman"/>
          <w:lang w:val="es-ES_tradnl"/>
        </w:rPr>
        <w:t xml:space="preserve">primer </w:t>
      </w:r>
      <w:r>
        <w:rPr>
          <w:rFonts w:asciiTheme="minorHAnsi" w:hAnsiTheme="minorHAnsi" w:cs="Times New Roman"/>
          <w:lang w:val="es-ES_tradnl"/>
        </w:rPr>
        <w:t>quinquenio de la nueva concesión</w:t>
      </w:r>
      <w:r w:rsidR="0078698A">
        <w:rPr>
          <w:rFonts w:asciiTheme="minorHAnsi" w:hAnsiTheme="minorHAnsi" w:cs="Times New Roman"/>
          <w:lang w:val="es-ES_tradnl"/>
        </w:rPr>
        <w:t>, a partir de información del MEF sob</w:t>
      </w:r>
      <w:r>
        <w:rPr>
          <w:rFonts w:asciiTheme="minorHAnsi" w:hAnsiTheme="minorHAnsi" w:cs="Times New Roman"/>
          <w:lang w:val="es-ES_tradnl"/>
        </w:rPr>
        <w:t>r</w:t>
      </w:r>
      <w:r w:rsidR="0078698A">
        <w:rPr>
          <w:rFonts w:asciiTheme="minorHAnsi" w:hAnsiTheme="minorHAnsi" w:cs="Times New Roman"/>
          <w:lang w:val="es-ES_tradnl"/>
        </w:rPr>
        <w:t>e el particular.</w:t>
      </w:r>
      <w:r w:rsidR="00183941" w:rsidRPr="00183941">
        <w:rPr>
          <w:rFonts w:asciiTheme="minorHAnsi" w:hAnsiTheme="minorHAnsi" w:cs="Times New Roman"/>
          <w:lang w:val="es-ES_tradnl"/>
        </w:rPr>
        <w:t xml:space="preserve"> </w:t>
      </w:r>
      <w:r w:rsidR="00183941">
        <w:rPr>
          <w:rFonts w:asciiTheme="minorHAnsi" w:hAnsiTheme="minorHAnsi" w:cs="Times New Roman"/>
          <w:lang w:val="es-ES_tradnl"/>
        </w:rPr>
        <w:t xml:space="preserve">En el capítulo </w:t>
      </w:r>
      <w:r>
        <w:rPr>
          <w:rFonts w:asciiTheme="minorHAnsi" w:hAnsiTheme="minorHAnsi" w:cs="Times New Roman"/>
          <w:lang w:val="es-ES_tradnl"/>
        </w:rPr>
        <w:t xml:space="preserve">previo </w:t>
      </w:r>
      <w:r w:rsidR="00183941">
        <w:rPr>
          <w:rFonts w:asciiTheme="minorHAnsi" w:hAnsiTheme="minorHAnsi" w:cs="Times New Roman"/>
          <w:lang w:val="es-ES_tradnl"/>
        </w:rPr>
        <w:t xml:space="preserve">de análisis del próximo convenio CND-CVU con el MTOP se presentaron parte de dichas cifras, o sea las que correspondían a los movimientos previstos en los flujos de fondos proyectados de la CVU, a lo cual en esta oportunidad se agregan los montos que manejaría la DNV por sí misma y en sus programas de </w:t>
      </w:r>
      <w:proofErr w:type="spellStart"/>
      <w:r w:rsidR="00183941">
        <w:rPr>
          <w:rFonts w:asciiTheme="minorHAnsi" w:hAnsiTheme="minorHAnsi" w:cs="Times New Roman"/>
          <w:lang w:val="es-ES_tradnl"/>
        </w:rPr>
        <w:t>caminería</w:t>
      </w:r>
      <w:proofErr w:type="spellEnd"/>
      <w:r w:rsidR="00183941">
        <w:rPr>
          <w:rFonts w:asciiTheme="minorHAnsi" w:hAnsiTheme="minorHAnsi" w:cs="Times New Roman"/>
          <w:lang w:val="es-ES_tradnl"/>
        </w:rPr>
        <w:t xml:space="preserve"> y forestal</w:t>
      </w:r>
      <w:r w:rsidR="00844F89">
        <w:rPr>
          <w:rFonts w:asciiTheme="minorHAnsi" w:hAnsiTheme="minorHAnsi" w:cs="Times New Roman"/>
          <w:lang w:val="es-ES_tradnl"/>
        </w:rPr>
        <w:t>,</w:t>
      </w:r>
      <w:r w:rsidR="00183941">
        <w:rPr>
          <w:rFonts w:asciiTheme="minorHAnsi" w:hAnsiTheme="minorHAnsi" w:cs="Times New Roman"/>
          <w:lang w:val="es-ES_tradnl"/>
        </w:rPr>
        <w:t xml:space="preserve"> más concesiones privadas menores y los montos estimados en la actualidad para las próximas </w:t>
      </w:r>
      <w:proofErr w:type="spellStart"/>
      <w:r w:rsidR="00183941">
        <w:rPr>
          <w:rFonts w:asciiTheme="minorHAnsi" w:hAnsiTheme="minorHAnsi" w:cs="Times New Roman"/>
          <w:lang w:val="es-ES_tradnl"/>
        </w:rPr>
        <w:t>PPPs</w:t>
      </w:r>
      <w:proofErr w:type="spellEnd"/>
      <w:r w:rsidR="00183941">
        <w:rPr>
          <w:rFonts w:asciiTheme="minorHAnsi" w:hAnsiTheme="minorHAnsi" w:cs="Times New Roman"/>
          <w:lang w:val="es-ES_tradnl"/>
        </w:rPr>
        <w:t xml:space="preserve"> vinculadas a inversiones viales, que se comentaron en el capítulo respectivo.  </w:t>
      </w:r>
    </w:p>
    <w:p w:rsidR="0010530D" w:rsidRPr="002532C5" w:rsidRDefault="00844F89" w:rsidP="00F21F3A">
      <w:pPr>
        <w:spacing w:after="180" w:line="264" w:lineRule="auto"/>
        <w:jc w:val="center"/>
        <w:rPr>
          <w:rFonts w:asciiTheme="minorHAnsi" w:hAnsiTheme="minorHAnsi" w:cs="Times New Roman"/>
          <w:lang w:val="es-ES_tradnl"/>
        </w:rPr>
      </w:pPr>
      <w:r w:rsidRPr="00844F89">
        <w:rPr>
          <w:noProof/>
          <w:lang w:val="en-US"/>
        </w:rPr>
        <w:drawing>
          <wp:inline distT="0" distB="0" distL="0" distR="0">
            <wp:extent cx="5400040" cy="938660"/>
            <wp:effectExtent l="19050" t="0" r="0" b="0"/>
            <wp:docPr id="10"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srcRect/>
                    <a:stretch>
                      <a:fillRect/>
                    </a:stretch>
                  </pic:blipFill>
                  <pic:spPr bwMode="auto">
                    <a:xfrm>
                      <a:off x="0" y="0"/>
                      <a:ext cx="5400040" cy="938660"/>
                    </a:xfrm>
                    <a:prstGeom prst="rect">
                      <a:avLst/>
                    </a:prstGeom>
                    <a:noFill/>
                    <a:ln w="9525">
                      <a:noFill/>
                      <a:miter lim="800000"/>
                      <a:headEnd/>
                      <a:tailEnd/>
                    </a:ln>
                  </pic:spPr>
                </pic:pic>
              </a:graphicData>
            </a:graphic>
          </wp:inline>
        </w:drawing>
      </w:r>
    </w:p>
    <w:p w:rsidR="00977F4F" w:rsidRPr="00E51218" w:rsidRDefault="00977F4F" w:rsidP="00E51218">
      <w:pPr>
        <w:spacing w:after="180" w:line="264" w:lineRule="auto"/>
        <w:jc w:val="center"/>
        <w:rPr>
          <w:rFonts w:asciiTheme="minorHAnsi" w:hAnsiTheme="minorHAnsi" w:cs="Times New Roman"/>
          <w:sz w:val="18"/>
          <w:szCs w:val="18"/>
          <w:lang w:val="es-ES_tradnl"/>
        </w:rPr>
      </w:pPr>
      <w:r w:rsidRPr="00E51218">
        <w:rPr>
          <w:rFonts w:asciiTheme="minorHAnsi" w:hAnsiTheme="minorHAnsi" w:cs="Times New Roman"/>
          <w:sz w:val="18"/>
          <w:szCs w:val="18"/>
          <w:lang w:val="es-ES_tradnl"/>
        </w:rPr>
        <w:t>Fuente: Cálculos propios en base a datos de DNV, MEF</w:t>
      </w:r>
    </w:p>
    <w:p w:rsidR="0078698A" w:rsidRDefault="00183941" w:rsidP="002532C5">
      <w:pPr>
        <w:spacing w:after="180" w:line="264" w:lineRule="auto"/>
        <w:jc w:val="both"/>
        <w:rPr>
          <w:rFonts w:asciiTheme="minorHAnsi" w:hAnsiTheme="minorHAnsi" w:cs="Times New Roman"/>
          <w:lang w:val="es-ES_tradnl"/>
        </w:rPr>
      </w:pPr>
      <w:r>
        <w:rPr>
          <w:rFonts w:asciiTheme="minorHAnsi" w:hAnsiTheme="minorHAnsi" w:cs="Times New Roman"/>
          <w:lang w:val="es-ES_tradnl"/>
        </w:rPr>
        <w:t>En el cuadro anterior</w:t>
      </w:r>
      <w:r w:rsidR="0078698A">
        <w:rPr>
          <w:rFonts w:asciiTheme="minorHAnsi" w:hAnsiTheme="minorHAnsi" w:cs="Times New Roman"/>
          <w:lang w:val="es-ES_tradnl"/>
        </w:rPr>
        <w:t xml:space="preserve"> puede verse que las inversiones correspondientes a la DNV presentan valores similares a las experiencias previas, excepto </w:t>
      </w:r>
      <w:r w:rsidR="004E5E17">
        <w:rPr>
          <w:rFonts w:asciiTheme="minorHAnsi" w:hAnsiTheme="minorHAnsi" w:cs="Times New Roman"/>
          <w:lang w:val="es-ES_tradnl"/>
        </w:rPr>
        <w:t>las del</w:t>
      </w:r>
      <w:r w:rsidR="0078698A">
        <w:rPr>
          <w:rFonts w:asciiTheme="minorHAnsi" w:hAnsiTheme="minorHAnsi" w:cs="Times New Roman"/>
          <w:lang w:val="es-ES_tradnl"/>
        </w:rPr>
        <w:t xml:space="preserve"> quinquenio </w:t>
      </w:r>
      <w:r>
        <w:rPr>
          <w:rFonts w:asciiTheme="minorHAnsi" w:hAnsiTheme="minorHAnsi" w:cs="Times New Roman"/>
          <w:lang w:val="es-ES_tradnl"/>
        </w:rPr>
        <w:t xml:space="preserve">2010/2014 que elevó sus inversiones a casi US$ 500 millones. Por tanto, el elevado incremento del próximo quinquenio obedece fundamentalmente a los cambios en los montos a manejar por la CVU (más de US$ 800  millones adicionales) y las PPP por más de US$ 700 millones, al permanecer </w:t>
      </w:r>
      <w:r w:rsidR="004E5E17">
        <w:rPr>
          <w:rFonts w:asciiTheme="minorHAnsi" w:hAnsiTheme="minorHAnsi" w:cs="Times New Roman"/>
          <w:lang w:val="es-ES_tradnl"/>
        </w:rPr>
        <w:t xml:space="preserve">el resto </w:t>
      </w:r>
      <w:r>
        <w:rPr>
          <w:rFonts w:asciiTheme="minorHAnsi" w:hAnsiTheme="minorHAnsi" w:cs="Times New Roman"/>
          <w:lang w:val="es-ES_tradnl"/>
        </w:rPr>
        <w:t>con escasas variantes.</w:t>
      </w:r>
    </w:p>
    <w:p w:rsidR="00844F89" w:rsidRDefault="00844F89" w:rsidP="002532C5">
      <w:pPr>
        <w:spacing w:after="180" w:line="264" w:lineRule="auto"/>
        <w:jc w:val="both"/>
        <w:rPr>
          <w:rFonts w:asciiTheme="minorHAnsi" w:hAnsiTheme="minorHAnsi" w:cs="Times New Roman"/>
          <w:lang w:val="es-ES_tradnl"/>
        </w:rPr>
      </w:pPr>
    </w:p>
    <w:p w:rsidR="009000B0" w:rsidRDefault="009000B0" w:rsidP="009000B0">
      <w:pPr>
        <w:pStyle w:val="Heading3"/>
        <w:rPr>
          <w:lang w:val="es-ES_tradnl"/>
        </w:rPr>
      </w:pPr>
      <w:bookmarkStart w:id="24" w:name="_Toc428464194"/>
      <w:r>
        <w:rPr>
          <w:lang w:val="es-ES_tradnl"/>
        </w:rPr>
        <w:t>Financiamiento para el próximo quinquenio</w:t>
      </w:r>
      <w:bookmarkEnd w:id="24"/>
      <w:r>
        <w:rPr>
          <w:lang w:val="es-ES_tradnl"/>
        </w:rPr>
        <w:t xml:space="preserve"> </w:t>
      </w:r>
    </w:p>
    <w:p w:rsidR="009000B0" w:rsidRDefault="009000B0" w:rsidP="002532C5">
      <w:pPr>
        <w:spacing w:after="180" w:line="264" w:lineRule="auto"/>
        <w:jc w:val="both"/>
        <w:rPr>
          <w:rFonts w:asciiTheme="minorHAnsi" w:hAnsiTheme="minorHAnsi" w:cs="Times New Roman"/>
          <w:lang w:val="es-ES_tradnl"/>
        </w:rPr>
      </w:pPr>
    </w:p>
    <w:p w:rsidR="00E96A60" w:rsidRDefault="00E96A60" w:rsidP="002532C5">
      <w:pPr>
        <w:spacing w:after="180" w:line="264" w:lineRule="auto"/>
        <w:jc w:val="both"/>
        <w:rPr>
          <w:rFonts w:asciiTheme="minorHAnsi" w:hAnsiTheme="minorHAnsi" w:cs="Times New Roman"/>
          <w:lang w:val="es-ES_tradnl"/>
        </w:rPr>
      </w:pPr>
      <w:r>
        <w:rPr>
          <w:rFonts w:asciiTheme="minorHAnsi" w:hAnsiTheme="minorHAnsi" w:cs="Times New Roman"/>
          <w:lang w:val="es-ES_tradnl"/>
        </w:rPr>
        <w:t xml:space="preserve">A partir de ello, la forma de </w:t>
      </w:r>
      <w:r w:rsidR="001A6B12">
        <w:rPr>
          <w:rFonts w:asciiTheme="minorHAnsi" w:hAnsiTheme="minorHAnsi" w:cs="Times New Roman"/>
          <w:lang w:val="es-ES_tradnl"/>
        </w:rPr>
        <w:t>enfrentar</w:t>
      </w:r>
      <w:r>
        <w:rPr>
          <w:rFonts w:asciiTheme="minorHAnsi" w:hAnsiTheme="minorHAnsi" w:cs="Times New Roman"/>
          <w:lang w:val="es-ES_tradnl"/>
        </w:rPr>
        <w:t xml:space="preserve"> este esfuerzo </w:t>
      </w:r>
      <w:r w:rsidR="001A6B12">
        <w:rPr>
          <w:rFonts w:asciiTheme="minorHAnsi" w:hAnsiTheme="minorHAnsi" w:cs="Times New Roman"/>
          <w:lang w:val="es-ES_tradnl"/>
        </w:rPr>
        <w:t xml:space="preserve">en obras viales para el </w:t>
      </w:r>
      <w:r w:rsidR="00183941">
        <w:rPr>
          <w:rFonts w:asciiTheme="minorHAnsi" w:hAnsiTheme="minorHAnsi" w:cs="Times New Roman"/>
          <w:lang w:val="es-ES_tradnl"/>
        </w:rPr>
        <w:t xml:space="preserve">próximo quinquenio </w:t>
      </w:r>
      <w:r>
        <w:rPr>
          <w:rFonts w:asciiTheme="minorHAnsi" w:hAnsiTheme="minorHAnsi" w:cs="Times New Roman"/>
          <w:lang w:val="es-ES_tradnl"/>
        </w:rPr>
        <w:t xml:space="preserve">genera las siguientes </w:t>
      </w:r>
      <w:r w:rsidR="00183941">
        <w:rPr>
          <w:rFonts w:asciiTheme="minorHAnsi" w:hAnsiTheme="minorHAnsi" w:cs="Times New Roman"/>
          <w:lang w:val="es-ES_tradnl"/>
        </w:rPr>
        <w:t>formas de financiamiento</w:t>
      </w:r>
      <w:r>
        <w:rPr>
          <w:rFonts w:asciiTheme="minorHAnsi" w:hAnsiTheme="minorHAnsi" w:cs="Times New Roman"/>
          <w:lang w:val="es-ES_tradnl"/>
        </w:rPr>
        <w:t>, de l</w:t>
      </w:r>
      <w:r w:rsidR="00183941">
        <w:rPr>
          <w:rFonts w:asciiTheme="minorHAnsi" w:hAnsiTheme="minorHAnsi" w:cs="Times New Roman"/>
          <w:lang w:val="es-ES_tradnl"/>
        </w:rPr>
        <w:t>as</w:t>
      </w:r>
      <w:r>
        <w:rPr>
          <w:rFonts w:asciiTheme="minorHAnsi" w:hAnsiTheme="minorHAnsi" w:cs="Times New Roman"/>
          <w:lang w:val="es-ES_tradnl"/>
        </w:rPr>
        <w:t xml:space="preserve"> cual</w:t>
      </w:r>
      <w:r w:rsidR="00183941">
        <w:rPr>
          <w:rFonts w:asciiTheme="minorHAnsi" w:hAnsiTheme="minorHAnsi" w:cs="Times New Roman"/>
          <w:lang w:val="es-ES_tradnl"/>
        </w:rPr>
        <w:t>es</w:t>
      </w:r>
      <w:r>
        <w:rPr>
          <w:rFonts w:asciiTheme="minorHAnsi" w:hAnsiTheme="minorHAnsi" w:cs="Times New Roman"/>
          <w:lang w:val="es-ES_tradnl"/>
        </w:rPr>
        <w:t xml:space="preserve"> ya vimos la</w:t>
      </w:r>
      <w:r w:rsidR="00FA2B15">
        <w:rPr>
          <w:rFonts w:asciiTheme="minorHAnsi" w:hAnsiTheme="minorHAnsi" w:cs="Times New Roman"/>
          <w:lang w:val="es-ES_tradnl"/>
        </w:rPr>
        <w:t>s</w:t>
      </w:r>
      <w:r>
        <w:rPr>
          <w:rFonts w:asciiTheme="minorHAnsi" w:hAnsiTheme="minorHAnsi" w:cs="Times New Roman"/>
          <w:lang w:val="es-ES_tradnl"/>
        </w:rPr>
        <w:t xml:space="preserve"> correspondiente</w:t>
      </w:r>
      <w:r w:rsidR="00FA2B15">
        <w:rPr>
          <w:rFonts w:asciiTheme="minorHAnsi" w:hAnsiTheme="minorHAnsi" w:cs="Times New Roman"/>
          <w:lang w:val="es-ES_tradnl"/>
        </w:rPr>
        <w:t>s</w:t>
      </w:r>
      <w:r>
        <w:rPr>
          <w:rFonts w:asciiTheme="minorHAnsi" w:hAnsiTheme="minorHAnsi" w:cs="Times New Roman"/>
          <w:lang w:val="es-ES_tradnl"/>
        </w:rPr>
        <w:t xml:space="preserve"> a la CVU.</w:t>
      </w:r>
    </w:p>
    <w:p w:rsidR="0009477C" w:rsidRDefault="00BC0849" w:rsidP="0009477C">
      <w:pPr>
        <w:spacing w:after="180" w:line="264" w:lineRule="auto"/>
        <w:jc w:val="center"/>
        <w:rPr>
          <w:rFonts w:asciiTheme="minorHAnsi" w:hAnsiTheme="minorHAnsi" w:cs="Times New Roman"/>
          <w:lang w:val="es-ES_tradnl"/>
        </w:rPr>
      </w:pPr>
      <w:r w:rsidRPr="00BC0849">
        <w:rPr>
          <w:noProof/>
          <w:lang w:val="en-US"/>
        </w:rPr>
        <w:drawing>
          <wp:inline distT="0" distB="0" distL="0" distR="0">
            <wp:extent cx="3021330" cy="2035810"/>
            <wp:effectExtent l="19050" t="0" r="7620" b="0"/>
            <wp:docPr id="1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a:srcRect/>
                    <a:stretch>
                      <a:fillRect/>
                    </a:stretch>
                  </pic:blipFill>
                  <pic:spPr bwMode="auto">
                    <a:xfrm>
                      <a:off x="0" y="0"/>
                      <a:ext cx="3021330" cy="2035810"/>
                    </a:xfrm>
                    <a:prstGeom prst="rect">
                      <a:avLst/>
                    </a:prstGeom>
                    <a:noFill/>
                    <a:ln w="9525">
                      <a:noFill/>
                      <a:miter lim="800000"/>
                      <a:headEnd/>
                      <a:tailEnd/>
                    </a:ln>
                  </pic:spPr>
                </pic:pic>
              </a:graphicData>
            </a:graphic>
          </wp:inline>
        </w:drawing>
      </w:r>
    </w:p>
    <w:p w:rsidR="0009477C" w:rsidRPr="00E51218" w:rsidRDefault="0009477C" w:rsidP="0009477C">
      <w:pPr>
        <w:spacing w:after="180" w:line="264" w:lineRule="auto"/>
        <w:jc w:val="center"/>
        <w:rPr>
          <w:rFonts w:asciiTheme="minorHAnsi" w:hAnsiTheme="minorHAnsi" w:cs="Times New Roman"/>
          <w:sz w:val="18"/>
          <w:szCs w:val="18"/>
          <w:lang w:val="es-ES_tradnl"/>
        </w:rPr>
      </w:pPr>
      <w:r w:rsidRPr="00E51218">
        <w:rPr>
          <w:rFonts w:asciiTheme="minorHAnsi" w:hAnsiTheme="minorHAnsi" w:cs="Times New Roman"/>
          <w:sz w:val="18"/>
          <w:szCs w:val="18"/>
          <w:lang w:val="es-ES_tradnl"/>
        </w:rPr>
        <w:t xml:space="preserve">Fuente: Cálculos propios en base a datos de </w:t>
      </w:r>
      <w:r>
        <w:rPr>
          <w:rFonts w:asciiTheme="minorHAnsi" w:hAnsiTheme="minorHAnsi" w:cs="Times New Roman"/>
          <w:sz w:val="18"/>
          <w:szCs w:val="18"/>
          <w:lang w:val="es-ES_tradnl"/>
        </w:rPr>
        <w:t xml:space="preserve">CVU, CND, </w:t>
      </w:r>
      <w:r w:rsidRPr="00E51218">
        <w:rPr>
          <w:rFonts w:asciiTheme="minorHAnsi" w:hAnsiTheme="minorHAnsi" w:cs="Times New Roman"/>
          <w:sz w:val="18"/>
          <w:szCs w:val="18"/>
          <w:lang w:val="es-ES_tradnl"/>
        </w:rPr>
        <w:t>DNV</w:t>
      </w:r>
      <w:r>
        <w:rPr>
          <w:rFonts w:asciiTheme="minorHAnsi" w:hAnsiTheme="minorHAnsi" w:cs="Times New Roman"/>
          <w:sz w:val="18"/>
          <w:szCs w:val="18"/>
          <w:lang w:val="es-ES_tradnl"/>
        </w:rPr>
        <w:t xml:space="preserve"> y</w:t>
      </w:r>
      <w:r w:rsidRPr="00E51218">
        <w:rPr>
          <w:rFonts w:asciiTheme="minorHAnsi" w:hAnsiTheme="minorHAnsi" w:cs="Times New Roman"/>
          <w:sz w:val="18"/>
          <w:szCs w:val="18"/>
          <w:lang w:val="es-ES_tradnl"/>
        </w:rPr>
        <w:t xml:space="preserve"> MEF</w:t>
      </w:r>
    </w:p>
    <w:p w:rsidR="001A6B12" w:rsidRDefault="00E96A60" w:rsidP="002532C5">
      <w:pPr>
        <w:spacing w:after="180" w:line="264" w:lineRule="auto"/>
        <w:jc w:val="both"/>
        <w:rPr>
          <w:rFonts w:asciiTheme="minorHAnsi" w:hAnsiTheme="minorHAnsi" w:cs="Times New Roman"/>
          <w:lang w:val="es-ES_tradnl"/>
        </w:rPr>
      </w:pPr>
      <w:r>
        <w:rPr>
          <w:rFonts w:asciiTheme="minorHAnsi" w:hAnsiTheme="minorHAnsi" w:cs="Times New Roman"/>
          <w:lang w:val="es-ES_tradnl"/>
        </w:rPr>
        <w:t>Si se aplicaran los criterios más estrictos desde el punto de vista del riesgo fiscal, tal cual se vio precedentemen</w:t>
      </w:r>
      <w:r w:rsidR="00C97E01">
        <w:rPr>
          <w:rFonts w:asciiTheme="minorHAnsi" w:hAnsiTheme="minorHAnsi" w:cs="Times New Roman"/>
          <w:lang w:val="es-ES_tradnl"/>
        </w:rPr>
        <w:t>t</w:t>
      </w:r>
      <w:r>
        <w:rPr>
          <w:rFonts w:asciiTheme="minorHAnsi" w:hAnsiTheme="minorHAnsi" w:cs="Times New Roman"/>
          <w:lang w:val="es-ES_tradnl"/>
        </w:rPr>
        <w:t>e</w:t>
      </w:r>
      <w:r w:rsidR="001A6B12">
        <w:rPr>
          <w:rFonts w:asciiTheme="minorHAnsi" w:hAnsiTheme="minorHAnsi" w:cs="Times New Roman"/>
          <w:lang w:val="es-ES_tradnl"/>
        </w:rPr>
        <w:t>,</w:t>
      </w:r>
      <w:r>
        <w:rPr>
          <w:rFonts w:asciiTheme="minorHAnsi" w:hAnsiTheme="minorHAnsi" w:cs="Times New Roman"/>
          <w:lang w:val="es-ES_tradnl"/>
        </w:rPr>
        <w:t xml:space="preserve"> o sea los criterios de IPSAS</w:t>
      </w:r>
      <w:r w:rsidR="004E5E17">
        <w:rPr>
          <w:rFonts w:asciiTheme="minorHAnsi" w:hAnsiTheme="minorHAnsi" w:cs="Times New Roman"/>
          <w:lang w:val="es-ES_tradnl"/>
        </w:rPr>
        <w:t xml:space="preserve"> 32 </w:t>
      </w:r>
      <w:r>
        <w:rPr>
          <w:rFonts w:asciiTheme="minorHAnsi" w:hAnsiTheme="minorHAnsi" w:cs="Times New Roman"/>
          <w:lang w:val="es-ES_tradnl"/>
        </w:rPr>
        <w:t xml:space="preserve">y GSFM 2001, para registrar </w:t>
      </w:r>
      <w:r w:rsidR="001A6B12">
        <w:rPr>
          <w:rFonts w:asciiTheme="minorHAnsi" w:hAnsiTheme="minorHAnsi" w:cs="Times New Roman"/>
          <w:lang w:val="es-ES_tradnl"/>
        </w:rPr>
        <w:t xml:space="preserve">como deuda pública a </w:t>
      </w:r>
      <w:r>
        <w:rPr>
          <w:rFonts w:asciiTheme="minorHAnsi" w:hAnsiTheme="minorHAnsi" w:cs="Times New Roman"/>
          <w:lang w:val="es-ES_tradnl"/>
        </w:rPr>
        <w:t xml:space="preserve">las operaciones de deudas tanto explícitas como contingentes </w:t>
      </w:r>
      <w:r w:rsidR="001A6B12">
        <w:rPr>
          <w:rFonts w:asciiTheme="minorHAnsi" w:hAnsiTheme="minorHAnsi" w:cs="Times New Roman"/>
          <w:lang w:val="es-ES_tradnl"/>
        </w:rPr>
        <w:t xml:space="preserve">de las </w:t>
      </w:r>
      <w:r>
        <w:rPr>
          <w:rFonts w:asciiTheme="minorHAnsi" w:hAnsiTheme="minorHAnsi" w:cs="Times New Roman"/>
          <w:lang w:val="es-ES_tradnl"/>
        </w:rPr>
        <w:t xml:space="preserve">PPP o de concesiones, </w:t>
      </w:r>
      <w:r w:rsidR="001A6B12">
        <w:rPr>
          <w:rFonts w:asciiTheme="minorHAnsi" w:hAnsiTheme="minorHAnsi" w:cs="Times New Roman"/>
          <w:lang w:val="es-ES_tradnl"/>
        </w:rPr>
        <w:t xml:space="preserve">en este caso la </w:t>
      </w:r>
      <w:r w:rsidR="00E21092">
        <w:rPr>
          <w:rFonts w:asciiTheme="minorHAnsi" w:hAnsiTheme="minorHAnsi" w:cs="Times New Roman"/>
          <w:lang w:val="es-ES_tradnl"/>
        </w:rPr>
        <w:t>CND-</w:t>
      </w:r>
      <w:r w:rsidR="001A6B12">
        <w:rPr>
          <w:rFonts w:asciiTheme="minorHAnsi" w:hAnsiTheme="minorHAnsi" w:cs="Times New Roman"/>
          <w:lang w:val="es-ES_tradnl"/>
        </w:rPr>
        <w:t xml:space="preserve">CVU, </w:t>
      </w:r>
      <w:r w:rsidR="00C97E01">
        <w:rPr>
          <w:rFonts w:asciiTheme="minorHAnsi" w:hAnsiTheme="minorHAnsi" w:cs="Times New Roman"/>
          <w:lang w:val="es-ES_tradnl"/>
        </w:rPr>
        <w:t xml:space="preserve">se podría decir que en el próximo quinquenio debería tenerse en cuenta un aumento de la deuda pública </w:t>
      </w:r>
      <w:r w:rsidR="004E5E17">
        <w:rPr>
          <w:rFonts w:asciiTheme="minorHAnsi" w:hAnsiTheme="minorHAnsi" w:cs="Times New Roman"/>
          <w:lang w:val="es-ES_tradnl"/>
        </w:rPr>
        <w:t>superior a</w:t>
      </w:r>
      <w:r w:rsidR="00C97E01">
        <w:rPr>
          <w:rFonts w:asciiTheme="minorHAnsi" w:hAnsiTheme="minorHAnsi" w:cs="Times New Roman"/>
          <w:lang w:val="es-ES_tradnl"/>
        </w:rPr>
        <w:t xml:space="preserve"> los US$ 2.</w:t>
      </w:r>
      <w:r w:rsidR="00DB0859">
        <w:rPr>
          <w:rFonts w:asciiTheme="minorHAnsi" w:hAnsiTheme="minorHAnsi" w:cs="Times New Roman"/>
          <w:lang w:val="es-ES_tradnl"/>
        </w:rPr>
        <w:t>3</w:t>
      </w:r>
      <w:r w:rsidR="00C97E01">
        <w:rPr>
          <w:rFonts w:asciiTheme="minorHAnsi" w:hAnsiTheme="minorHAnsi" w:cs="Times New Roman"/>
          <w:lang w:val="es-ES_tradnl"/>
        </w:rPr>
        <w:t>00 millones</w:t>
      </w:r>
      <w:r w:rsidR="001A6B12">
        <w:rPr>
          <w:rFonts w:asciiTheme="minorHAnsi" w:hAnsiTheme="minorHAnsi" w:cs="Times New Roman"/>
          <w:lang w:val="es-ES_tradnl"/>
        </w:rPr>
        <w:t>.</w:t>
      </w:r>
    </w:p>
    <w:p w:rsidR="00C97E01" w:rsidRDefault="001A6B12" w:rsidP="002532C5">
      <w:pPr>
        <w:spacing w:after="180" w:line="264" w:lineRule="auto"/>
        <w:jc w:val="both"/>
        <w:rPr>
          <w:rFonts w:asciiTheme="minorHAnsi" w:hAnsiTheme="minorHAnsi" w:cs="Times New Roman"/>
          <w:lang w:val="es-ES_tradnl"/>
        </w:rPr>
      </w:pPr>
      <w:r>
        <w:rPr>
          <w:rFonts w:asciiTheme="minorHAnsi" w:hAnsiTheme="minorHAnsi" w:cs="Times New Roman"/>
          <w:lang w:val="es-ES_tradnl"/>
        </w:rPr>
        <w:t xml:space="preserve">Este endeudamiento teórico </w:t>
      </w:r>
      <w:r w:rsidR="00C97E01">
        <w:rPr>
          <w:rFonts w:asciiTheme="minorHAnsi" w:hAnsiTheme="minorHAnsi" w:cs="Times New Roman"/>
          <w:lang w:val="es-ES_tradnl"/>
        </w:rPr>
        <w:t xml:space="preserve">representaría </w:t>
      </w:r>
      <w:r w:rsidR="00E21092">
        <w:rPr>
          <w:rFonts w:asciiTheme="minorHAnsi" w:hAnsiTheme="minorHAnsi" w:cs="Times New Roman"/>
          <w:lang w:val="es-ES_tradnl"/>
        </w:rPr>
        <w:t>casi</w:t>
      </w:r>
      <w:r w:rsidR="00C97E01">
        <w:rPr>
          <w:rFonts w:asciiTheme="minorHAnsi" w:hAnsiTheme="minorHAnsi" w:cs="Times New Roman"/>
          <w:lang w:val="es-ES_tradnl"/>
        </w:rPr>
        <w:t xml:space="preserve"> un </w:t>
      </w:r>
      <w:r w:rsidR="00E21092">
        <w:rPr>
          <w:rFonts w:asciiTheme="minorHAnsi" w:hAnsiTheme="minorHAnsi" w:cs="Times New Roman"/>
          <w:lang w:val="es-ES_tradnl"/>
        </w:rPr>
        <w:t>7</w:t>
      </w:r>
      <w:r w:rsidR="00C97E01">
        <w:rPr>
          <w:rFonts w:asciiTheme="minorHAnsi" w:hAnsiTheme="minorHAnsi" w:cs="Times New Roman"/>
          <w:lang w:val="es-ES_tradnl"/>
        </w:rPr>
        <w:t>% de</w:t>
      </w:r>
      <w:r>
        <w:rPr>
          <w:rFonts w:asciiTheme="minorHAnsi" w:hAnsiTheme="minorHAnsi" w:cs="Times New Roman"/>
          <w:lang w:val="es-ES_tradnl"/>
        </w:rPr>
        <w:t xml:space="preserve"> la </w:t>
      </w:r>
      <w:r w:rsidR="00C97E01">
        <w:rPr>
          <w:rFonts w:asciiTheme="minorHAnsi" w:hAnsiTheme="minorHAnsi" w:cs="Times New Roman"/>
          <w:lang w:val="es-ES_tradnl"/>
        </w:rPr>
        <w:t>actual deuda global del Sector Público, que se ubica en US$ 34 mil millones al primer trimestre del 2015</w:t>
      </w:r>
      <w:r>
        <w:rPr>
          <w:rFonts w:asciiTheme="minorHAnsi" w:hAnsiTheme="minorHAnsi" w:cs="Times New Roman"/>
          <w:lang w:val="es-ES_tradnl"/>
        </w:rPr>
        <w:t>,</w:t>
      </w:r>
      <w:r w:rsidR="00C97E01">
        <w:rPr>
          <w:rFonts w:asciiTheme="minorHAnsi" w:hAnsiTheme="minorHAnsi" w:cs="Times New Roman"/>
          <w:lang w:val="es-ES_tradnl"/>
        </w:rPr>
        <w:t xml:space="preserve"> según </w:t>
      </w:r>
      <w:r w:rsidR="00844F89">
        <w:rPr>
          <w:rFonts w:asciiTheme="minorHAnsi" w:hAnsiTheme="minorHAnsi" w:cs="Times New Roman"/>
          <w:lang w:val="es-ES_tradnl"/>
        </w:rPr>
        <w:t>la información respectiva d</w:t>
      </w:r>
      <w:r w:rsidR="00C97E01">
        <w:rPr>
          <w:rFonts w:asciiTheme="minorHAnsi" w:hAnsiTheme="minorHAnsi" w:cs="Times New Roman"/>
          <w:lang w:val="es-ES_tradnl"/>
        </w:rPr>
        <w:t>el BCU. Este porcentaje se eleva</w:t>
      </w:r>
      <w:r>
        <w:rPr>
          <w:rFonts w:asciiTheme="minorHAnsi" w:hAnsiTheme="minorHAnsi" w:cs="Times New Roman"/>
          <w:lang w:val="es-ES_tradnl"/>
        </w:rPr>
        <w:t xml:space="preserve">ría </w:t>
      </w:r>
      <w:r w:rsidR="00C97E01">
        <w:rPr>
          <w:rFonts w:asciiTheme="minorHAnsi" w:hAnsiTheme="minorHAnsi" w:cs="Times New Roman"/>
          <w:lang w:val="es-ES_tradnl"/>
        </w:rPr>
        <w:t xml:space="preserve">al </w:t>
      </w:r>
      <w:r w:rsidR="00E21092">
        <w:rPr>
          <w:rFonts w:asciiTheme="minorHAnsi" w:hAnsiTheme="minorHAnsi" w:cs="Times New Roman"/>
          <w:lang w:val="es-ES_tradnl"/>
        </w:rPr>
        <w:t>9</w:t>
      </w:r>
      <w:r w:rsidR="00C97E01">
        <w:rPr>
          <w:rFonts w:asciiTheme="minorHAnsi" w:hAnsiTheme="minorHAnsi" w:cs="Times New Roman"/>
          <w:lang w:val="es-ES_tradnl"/>
        </w:rPr>
        <w:t>% si lo comparamos con la deuda del Sector Público No Financiero (Gobierno Central, Empresas Públicas, Gobiernos Locales y el resto del sector público no financiero</w:t>
      </w:r>
      <w:r>
        <w:rPr>
          <w:rFonts w:asciiTheme="minorHAnsi" w:hAnsiTheme="minorHAnsi" w:cs="Times New Roman"/>
          <w:lang w:val="es-ES_tradnl"/>
        </w:rPr>
        <w:t xml:space="preserve">, </w:t>
      </w:r>
      <w:r w:rsidR="009067CB">
        <w:rPr>
          <w:rFonts w:asciiTheme="minorHAnsi" w:hAnsiTheme="minorHAnsi" w:cs="Times New Roman"/>
          <w:lang w:val="es-ES_tradnl"/>
        </w:rPr>
        <w:t xml:space="preserve">o sea </w:t>
      </w:r>
      <w:r>
        <w:rPr>
          <w:rFonts w:asciiTheme="minorHAnsi" w:hAnsiTheme="minorHAnsi" w:cs="Times New Roman"/>
          <w:lang w:val="es-ES_tradnl"/>
        </w:rPr>
        <w:t>sin considerar al BCU</w:t>
      </w:r>
      <w:r w:rsidR="00C97E01">
        <w:rPr>
          <w:rFonts w:asciiTheme="minorHAnsi" w:hAnsiTheme="minorHAnsi" w:cs="Times New Roman"/>
          <w:lang w:val="es-ES_tradnl"/>
        </w:rPr>
        <w:t>).</w:t>
      </w:r>
    </w:p>
    <w:p w:rsidR="00E96A60" w:rsidRDefault="00C97E01" w:rsidP="002532C5">
      <w:pPr>
        <w:spacing w:after="180" w:line="264" w:lineRule="auto"/>
        <w:jc w:val="both"/>
        <w:rPr>
          <w:rFonts w:asciiTheme="minorHAnsi" w:hAnsiTheme="minorHAnsi" w:cs="Times New Roman"/>
          <w:lang w:val="es-ES_tradnl"/>
        </w:rPr>
      </w:pPr>
      <w:r>
        <w:rPr>
          <w:rFonts w:asciiTheme="minorHAnsi" w:hAnsiTheme="minorHAnsi" w:cs="Times New Roman"/>
          <w:lang w:val="es-ES_tradnl"/>
        </w:rPr>
        <w:t>Más allá de los reparos a presen</w:t>
      </w:r>
      <w:r w:rsidR="003B25F2">
        <w:rPr>
          <w:rFonts w:asciiTheme="minorHAnsi" w:hAnsiTheme="minorHAnsi" w:cs="Times New Roman"/>
          <w:lang w:val="es-ES_tradnl"/>
        </w:rPr>
        <w:t>t</w:t>
      </w:r>
      <w:r>
        <w:rPr>
          <w:rFonts w:asciiTheme="minorHAnsi" w:hAnsiTheme="minorHAnsi" w:cs="Times New Roman"/>
          <w:lang w:val="es-ES_tradnl"/>
        </w:rPr>
        <w:t>ar la información desde este ángulo que ser</w:t>
      </w:r>
      <w:r w:rsidR="003B25F2">
        <w:rPr>
          <w:rFonts w:asciiTheme="minorHAnsi" w:hAnsiTheme="minorHAnsi" w:cs="Times New Roman"/>
          <w:lang w:val="es-ES_tradnl"/>
        </w:rPr>
        <w:t>ía</w:t>
      </w:r>
      <w:r>
        <w:rPr>
          <w:rFonts w:asciiTheme="minorHAnsi" w:hAnsiTheme="minorHAnsi" w:cs="Times New Roman"/>
          <w:lang w:val="es-ES_tradnl"/>
        </w:rPr>
        <w:t xml:space="preserve"> un nivel máximo </w:t>
      </w:r>
      <w:r w:rsidR="004F2522">
        <w:rPr>
          <w:rFonts w:asciiTheme="minorHAnsi" w:hAnsiTheme="minorHAnsi" w:cs="Times New Roman"/>
          <w:lang w:val="es-ES_tradnl"/>
        </w:rPr>
        <w:t xml:space="preserve">teórico </w:t>
      </w:r>
      <w:r>
        <w:rPr>
          <w:rFonts w:asciiTheme="minorHAnsi" w:hAnsiTheme="minorHAnsi" w:cs="Times New Roman"/>
          <w:lang w:val="es-ES_tradnl"/>
        </w:rPr>
        <w:t>d</w:t>
      </w:r>
      <w:r w:rsidR="003B25F2">
        <w:rPr>
          <w:rFonts w:asciiTheme="minorHAnsi" w:hAnsiTheme="minorHAnsi" w:cs="Times New Roman"/>
          <w:lang w:val="es-ES_tradnl"/>
        </w:rPr>
        <w:t>e</w:t>
      </w:r>
      <w:r>
        <w:rPr>
          <w:rFonts w:asciiTheme="minorHAnsi" w:hAnsiTheme="minorHAnsi" w:cs="Times New Roman"/>
          <w:lang w:val="es-ES_tradnl"/>
        </w:rPr>
        <w:t xml:space="preserve"> deuda adicion</w:t>
      </w:r>
      <w:r w:rsidR="003B25F2">
        <w:rPr>
          <w:rFonts w:asciiTheme="minorHAnsi" w:hAnsiTheme="minorHAnsi" w:cs="Times New Roman"/>
          <w:lang w:val="es-ES_tradnl"/>
        </w:rPr>
        <w:t>a</w:t>
      </w:r>
      <w:r>
        <w:rPr>
          <w:rFonts w:asciiTheme="minorHAnsi" w:hAnsiTheme="minorHAnsi" w:cs="Times New Roman"/>
          <w:lang w:val="es-ES_tradnl"/>
        </w:rPr>
        <w:t>l por estos motivos, se observa que no parecer</w:t>
      </w:r>
      <w:r w:rsidR="003B25F2">
        <w:rPr>
          <w:rFonts w:asciiTheme="minorHAnsi" w:hAnsiTheme="minorHAnsi" w:cs="Times New Roman"/>
          <w:lang w:val="es-ES_tradnl"/>
        </w:rPr>
        <w:t>ía</w:t>
      </w:r>
      <w:r>
        <w:rPr>
          <w:rFonts w:asciiTheme="minorHAnsi" w:hAnsiTheme="minorHAnsi" w:cs="Times New Roman"/>
          <w:lang w:val="es-ES_tradnl"/>
        </w:rPr>
        <w:t xml:space="preserve"> </w:t>
      </w:r>
      <w:r w:rsidR="003B25F2">
        <w:rPr>
          <w:rFonts w:asciiTheme="minorHAnsi" w:hAnsiTheme="minorHAnsi" w:cs="Times New Roman"/>
          <w:lang w:val="es-ES_tradnl"/>
        </w:rPr>
        <w:t>tener</w:t>
      </w:r>
      <w:r>
        <w:rPr>
          <w:rFonts w:asciiTheme="minorHAnsi" w:hAnsiTheme="minorHAnsi" w:cs="Times New Roman"/>
          <w:lang w:val="es-ES_tradnl"/>
        </w:rPr>
        <w:t xml:space="preserve"> un nivel comprometedo</w:t>
      </w:r>
      <w:r w:rsidR="003B25F2">
        <w:rPr>
          <w:rFonts w:asciiTheme="minorHAnsi" w:hAnsiTheme="minorHAnsi" w:cs="Times New Roman"/>
          <w:lang w:val="es-ES_tradnl"/>
        </w:rPr>
        <w:t>r</w:t>
      </w:r>
      <w:r>
        <w:rPr>
          <w:rFonts w:asciiTheme="minorHAnsi" w:hAnsiTheme="minorHAnsi" w:cs="Times New Roman"/>
          <w:lang w:val="es-ES_tradnl"/>
        </w:rPr>
        <w:t xml:space="preserve"> de</w:t>
      </w:r>
      <w:r w:rsidR="003B25F2">
        <w:rPr>
          <w:rFonts w:asciiTheme="minorHAnsi" w:hAnsiTheme="minorHAnsi" w:cs="Times New Roman"/>
          <w:lang w:val="es-ES_tradnl"/>
        </w:rPr>
        <w:t xml:space="preserve">l esfuerzo nacional, </w:t>
      </w:r>
      <w:r w:rsidR="004F2522">
        <w:rPr>
          <w:rFonts w:asciiTheme="minorHAnsi" w:hAnsiTheme="minorHAnsi" w:cs="Times New Roman"/>
          <w:lang w:val="es-ES_tradnl"/>
        </w:rPr>
        <w:t>a pesar de su significativo monto, si se lo compara con e</w:t>
      </w:r>
      <w:r w:rsidR="003B25F2">
        <w:rPr>
          <w:rFonts w:asciiTheme="minorHAnsi" w:hAnsiTheme="minorHAnsi" w:cs="Times New Roman"/>
          <w:lang w:val="es-ES_tradnl"/>
        </w:rPr>
        <w:t>l nivel actual de la deuda pública</w:t>
      </w:r>
      <w:r w:rsidR="004F2522">
        <w:rPr>
          <w:rFonts w:asciiTheme="minorHAnsi" w:hAnsiTheme="minorHAnsi" w:cs="Times New Roman"/>
          <w:lang w:val="es-ES_tradnl"/>
        </w:rPr>
        <w:t xml:space="preserve"> (</w:t>
      </w:r>
      <w:r w:rsidR="003B25F2">
        <w:rPr>
          <w:rFonts w:asciiTheme="minorHAnsi" w:hAnsiTheme="minorHAnsi" w:cs="Times New Roman"/>
          <w:lang w:val="es-ES_tradnl"/>
        </w:rPr>
        <w:t>60% del PBI</w:t>
      </w:r>
      <w:r w:rsidR="004F2522">
        <w:rPr>
          <w:rFonts w:asciiTheme="minorHAnsi" w:hAnsiTheme="minorHAnsi" w:cs="Times New Roman"/>
          <w:lang w:val="es-ES_tradnl"/>
        </w:rPr>
        <w:t>). A su vez, debe tenerse en cuenta que el país</w:t>
      </w:r>
      <w:r w:rsidR="003B25F2">
        <w:rPr>
          <w:rFonts w:asciiTheme="minorHAnsi" w:hAnsiTheme="minorHAnsi" w:cs="Times New Roman"/>
          <w:lang w:val="es-ES_tradnl"/>
        </w:rPr>
        <w:t xml:space="preserve"> posee una situación holgada de reservas internacionales y una </w:t>
      </w:r>
      <w:r w:rsidR="004F2522">
        <w:rPr>
          <w:rFonts w:asciiTheme="minorHAnsi" w:hAnsiTheme="minorHAnsi" w:cs="Times New Roman"/>
          <w:lang w:val="es-ES_tradnl"/>
        </w:rPr>
        <w:t xml:space="preserve">buena calificación por las calificadoras </w:t>
      </w:r>
      <w:r w:rsidR="003B25F2">
        <w:rPr>
          <w:rFonts w:asciiTheme="minorHAnsi" w:hAnsiTheme="minorHAnsi" w:cs="Times New Roman"/>
          <w:lang w:val="es-ES_tradnl"/>
        </w:rPr>
        <w:t>internacional</w:t>
      </w:r>
      <w:r w:rsidR="004F2522">
        <w:rPr>
          <w:rFonts w:asciiTheme="minorHAnsi" w:hAnsiTheme="minorHAnsi" w:cs="Times New Roman"/>
          <w:lang w:val="es-ES_tradnl"/>
        </w:rPr>
        <w:t>es de riesgo</w:t>
      </w:r>
      <w:r w:rsidR="003B25F2">
        <w:rPr>
          <w:rFonts w:asciiTheme="minorHAnsi" w:hAnsiTheme="minorHAnsi" w:cs="Times New Roman"/>
          <w:lang w:val="es-ES_tradnl"/>
        </w:rPr>
        <w:t>.</w:t>
      </w:r>
      <w:r>
        <w:rPr>
          <w:rFonts w:asciiTheme="minorHAnsi" w:hAnsiTheme="minorHAnsi" w:cs="Times New Roman"/>
          <w:lang w:val="es-ES_tradnl"/>
        </w:rPr>
        <w:t xml:space="preserve">  </w:t>
      </w:r>
      <w:r w:rsidR="00E96A60">
        <w:rPr>
          <w:rFonts w:asciiTheme="minorHAnsi" w:hAnsiTheme="minorHAnsi" w:cs="Times New Roman"/>
          <w:lang w:val="es-ES_tradnl"/>
        </w:rPr>
        <w:t xml:space="preserve">  </w:t>
      </w:r>
    </w:p>
    <w:p w:rsidR="003B25F2" w:rsidRDefault="004F2522" w:rsidP="002532C5">
      <w:pPr>
        <w:spacing w:after="180" w:line="264" w:lineRule="auto"/>
        <w:jc w:val="both"/>
        <w:rPr>
          <w:rFonts w:asciiTheme="minorHAnsi" w:hAnsiTheme="minorHAnsi" w:cs="Times New Roman"/>
          <w:lang w:val="es-ES_tradnl"/>
        </w:rPr>
      </w:pPr>
      <w:r>
        <w:rPr>
          <w:rFonts w:asciiTheme="minorHAnsi" w:hAnsiTheme="minorHAnsi" w:cs="Times New Roman"/>
          <w:lang w:val="es-ES_tradnl"/>
        </w:rPr>
        <w:t xml:space="preserve">Por otro lado, </w:t>
      </w:r>
      <w:r w:rsidR="003B25F2">
        <w:rPr>
          <w:rFonts w:asciiTheme="minorHAnsi" w:hAnsiTheme="minorHAnsi" w:cs="Times New Roman"/>
          <w:lang w:val="es-ES_tradnl"/>
        </w:rPr>
        <w:t>las autoridades entienden que no deberían registrarse como deudas la mayoría de los compromisos incluidos previamente, en función de diversos criterios, algunos de los cuales ya se han comentado en este trabajo y otros se agregan aquí.</w:t>
      </w:r>
    </w:p>
    <w:p w:rsidR="00885CE6" w:rsidRDefault="003B25F2" w:rsidP="002532C5">
      <w:pPr>
        <w:spacing w:after="180" w:line="264" w:lineRule="auto"/>
        <w:jc w:val="both"/>
        <w:rPr>
          <w:rFonts w:asciiTheme="minorHAnsi" w:hAnsiTheme="minorHAnsi" w:cs="Times New Roman"/>
          <w:lang w:val="es-ES_tradnl"/>
        </w:rPr>
      </w:pPr>
      <w:r>
        <w:rPr>
          <w:rFonts w:asciiTheme="minorHAnsi" w:hAnsiTheme="minorHAnsi" w:cs="Times New Roman"/>
          <w:lang w:val="es-ES_tradnl"/>
        </w:rPr>
        <w:t>S</w:t>
      </w:r>
      <w:r w:rsidR="007E5B98" w:rsidRPr="002532C5">
        <w:rPr>
          <w:rFonts w:asciiTheme="minorHAnsi" w:hAnsiTheme="minorHAnsi" w:cs="Times New Roman"/>
          <w:lang w:val="es-ES_tradnl"/>
        </w:rPr>
        <w:t xml:space="preserve">egún </w:t>
      </w:r>
      <w:r>
        <w:rPr>
          <w:rFonts w:asciiTheme="minorHAnsi" w:hAnsiTheme="minorHAnsi" w:cs="Times New Roman"/>
          <w:lang w:val="es-ES_tradnl"/>
        </w:rPr>
        <w:t xml:space="preserve">los criterios manejados por el Gobierno, </w:t>
      </w:r>
      <w:r w:rsidR="007E5B98" w:rsidRPr="002532C5">
        <w:rPr>
          <w:rFonts w:asciiTheme="minorHAnsi" w:hAnsiTheme="minorHAnsi" w:cs="Times New Roman"/>
          <w:lang w:val="es-ES_tradnl"/>
        </w:rPr>
        <w:t>las deudas de CND y CVU con los organismos internacionales no se registran como deuda pública</w:t>
      </w:r>
      <w:r>
        <w:rPr>
          <w:rFonts w:asciiTheme="minorHAnsi" w:hAnsiTheme="minorHAnsi" w:cs="Times New Roman"/>
          <w:lang w:val="es-ES_tradnl"/>
        </w:rPr>
        <w:t xml:space="preserve">, ya que </w:t>
      </w:r>
      <w:r w:rsidR="00BE46C9">
        <w:rPr>
          <w:rFonts w:asciiTheme="minorHAnsi" w:hAnsiTheme="minorHAnsi" w:cs="Times New Roman"/>
          <w:lang w:val="es-ES_tradnl"/>
        </w:rPr>
        <w:t xml:space="preserve">según los criterios aplicados del GFSM 1986 no </w:t>
      </w:r>
      <w:r w:rsidR="00885CE6">
        <w:rPr>
          <w:rFonts w:asciiTheme="minorHAnsi" w:hAnsiTheme="minorHAnsi" w:cs="Times New Roman"/>
          <w:lang w:val="es-ES_tradnl"/>
        </w:rPr>
        <w:t xml:space="preserve">se </w:t>
      </w:r>
      <w:r w:rsidR="00BE46C9">
        <w:rPr>
          <w:rFonts w:asciiTheme="minorHAnsi" w:hAnsiTheme="minorHAnsi" w:cs="Times New Roman"/>
          <w:lang w:val="es-ES_tradnl"/>
        </w:rPr>
        <w:t xml:space="preserve">incluyen </w:t>
      </w:r>
      <w:r w:rsidR="00885CE6">
        <w:rPr>
          <w:rFonts w:asciiTheme="minorHAnsi" w:hAnsiTheme="minorHAnsi" w:cs="Times New Roman"/>
          <w:lang w:val="es-ES_tradnl"/>
        </w:rPr>
        <w:t>los</w:t>
      </w:r>
      <w:r w:rsidR="00BE46C9">
        <w:rPr>
          <w:rFonts w:asciiTheme="minorHAnsi" w:hAnsiTheme="minorHAnsi" w:cs="Times New Roman"/>
          <w:lang w:val="es-ES_tradnl"/>
        </w:rPr>
        <w:t xml:space="preserve"> pasivos </w:t>
      </w:r>
      <w:r w:rsidR="00885CE6">
        <w:rPr>
          <w:rFonts w:asciiTheme="minorHAnsi" w:hAnsiTheme="minorHAnsi" w:cs="Times New Roman"/>
          <w:lang w:val="es-ES_tradnl"/>
        </w:rPr>
        <w:t>de las corporaciones financieras</w:t>
      </w:r>
      <w:r w:rsidR="00BE46C9">
        <w:rPr>
          <w:rFonts w:asciiTheme="minorHAnsi" w:hAnsiTheme="minorHAnsi" w:cs="Times New Roman"/>
          <w:lang w:val="es-ES_tradnl"/>
        </w:rPr>
        <w:t xml:space="preserve">, y </w:t>
      </w:r>
      <w:r w:rsidR="00844F89">
        <w:rPr>
          <w:rFonts w:asciiTheme="minorHAnsi" w:hAnsiTheme="minorHAnsi" w:cs="Times New Roman"/>
          <w:lang w:val="es-ES_tradnl"/>
        </w:rPr>
        <w:t xml:space="preserve">además </w:t>
      </w:r>
      <w:r>
        <w:rPr>
          <w:rFonts w:asciiTheme="minorHAnsi" w:hAnsiTheme="minorHAnsi" w:cs="Times New Roman"/>
          <w:lang w:val="es-ES_tradnl"/>
        </w:rPr>
        <w:t>se consideran que son de origen privado</w:t>
      </w:r>
      <w:r w:rsidR="00844F89">
        <w:rPr>
          <w:rFonts w:asciiTheme="minorHAnsi" w:hAnsiTheme="minorHAnsi" w:cs="Times New Roman"/>
          <w:lang w:val="es-ES_tradnl"/>
        </w:rPr>
        <w:t xml:space="preserve">, por lo que </w:t>
      </w:r>
      <w:r>
        <w:rPr>
          <w:rFonts w:asciiTheme="minorHAnsi" w:hAnsiTheme="minorHAnsi" w:cs="Times New Roman"/>
          <w:lang w:val="es-ES_tradnl"/>
        </w:rPr>
        <w:t>estas instituciones debe</w:t>
      </w:r>
      <w:r w:rsidR="00844F89">
        <w:rPr>
          <w:rFonts w:asciiTheme="minorHAnsi" w:hAnsiTheme="minorHAnsi" w:cs="Times New Roman"/>
          <w:lang w:val="es-ES_tradnl"/>
        </w:rPr>
        <w:t>rían</w:t>
      </w:r>
      <w:r>
        <w:rPr>
          <w:rFonts w:asciiTheme="minorHAnsi" w:hAnsiTheme="minorHAnsi" w:cs="Times New Roman"/>
          <w:lang w:val="es-ES_tradnl"/>
        </w:rPr>
        <w:t xml:space="preserve"> enfrentar sus compromisos con sus patrimonios, sin comprometer al Gobierno. </w:t>
      </w:r>
      <w:r w:rsidR="00885CE6">
        <w:rPr>
          <w:rFonts w:asciiTheme="minorHAnsi" w:hAnsiTheme="minorHAnsi" w:cs="Times New Roman"/>
          <w:lang w:val="es-ES_tradnl"/>
        </w:rPr>
        <w:t xml:space="preserve">Sólo se informa </w:t>
      </w:r>
      <w:r w:rsidR="00885CE6" w:rsidRPr="002532C5">
        <w:rPr>
          <w:rFonts w:asciiTheme="minorHAnsi" w:hAnsiTheme="minorHAnsi" w:cs="Times New Roman"/>
          <w:lang w:val="es-ES_tradnl"/>
        </w:rPr>
        <w:t xml:space="preserve">la garantía de </w:t>
      </w:r>
      <w:r w:rsidR="00885CE6">
        <w:rPr>
          <w:rFonts w:asciiTheme="minorHAnsi" w:hAnsiTheme="minorHAnsi" w:cs="Times New Roman"/>
          <w:lang w:val="es-ES_tradnl"/>
        </w:rPr>
        <w:t>estos</w:t>
      </w:r>
      <w:r w:rsidR="00885CE6" w:rsidRPr="002532C5">
        <w:rPr>
          <w:rFonts w:asciiTheme="minorHAnsi" w:hAnsiTheme="minorHAnsi" w:cs="Times New Roman"/>
          <w:lang w:val="es-ES_tradnl"/>
        </w:rPr>
        <w:t xml:space="preserve"> préstamos por parte del Gobierno pero no se incluye</w:t>
      </w:r>
      <w:r w:rsidR="00885CE6">
        <w:rPr>
          <w:rFonts w:asciiTheme="minorHAnsi" w:hAnsiTheme="minorHAnsi" w:cs="Times New Roman"/>
          <w:lang w:val="es-ES_tradnl"/>
        </w:rPr>
        <w:t>n</w:t>
      </w:r>
      <w:r w:rsidR="00885CE6" w:rsidRPr="002532C5">
        <w:rPr>
          <w:rFonts w:asciiTheme="minorHAnsi" w:hAnsiTheme="minorHAnsi" w:cs="Times New Roman"/>
          <w:lang w:val="es-ES_tradnl"/>
        </w:rPr>
        <w:t xml:space="preserve"> en la deuda</w:t>
      </w:r>
      <w:r w:rsidR="00885CE6">
        <w:rPr>
          <w:rFonts w:asciiTheme="minorHAnsi" w:hAnsiTheme="minorHAnsi" w:cs="Times New Roman"/>
          <w:lang w:val="es-ES_tradnl"/>
        </w:rPr>
        <w:t xml:space="preserve"> pública.</w:t>
      </w:r>
    </w:p>
    <w:p w:rsidR="004E75E3" w:rsidRDefault="00844F89" w:rsidP="002532C5">
      <w:pPr>
        <w:spacing w:after="180" w:line="264" w:lineRule="auto"/>
        <w:jc w:val="both"/>
        <w:rPr>
          <w:rFonts w:asciiTheme="minorHAnsi" w:hAnsiTheme="minorHAnsi" w:cs="Times New Roman"/>
          <w:lang w:val="es-ES_tradnl"/>
        </w:rPr>
      </w:pPr>
      <w:r>
        <w:rPr>
          <w:rFonts w:asciiTheme="minorHAnsi" w:hAnsiTheme="minorHAnsi" w:cs="Times New Roman"/>
          <w:lang w:val="es-ES_tradnl"/>
        </w:rPr>
        <w:t xml:space="preserve">Sin embargo, </w:t>
      </w:r>
      <w:r w:rsidR="00885CE6">
        <w:rPr>
          <w:rFonts w:asciiTheme="minorHAnsi" w:hAnsiTheme="minorHAnsi" w:cs="Times New Roman"/>
          <w:lang w:val="es-ES_tradnl"/>
        </w:rPr>
        <w:t>d</w:t>
      </w:r>
      <w:r w:rsidR="00BE46C9">
        <w:rPr>
          <w:rFonts w:asciiTheme="minorHAnsi" w:hAnsiTheme="minorHAnsi" w:cs="Times New Roman"/>
          <w:lang w:val="es-ES_tradnl"/>
        </w:rPr>
        <w:t>ebe tenerse en cu</w:t>
      </w:r>
      <w:r w:rsidR="00885CE6">
        <w:rPr>
          <w:rFonts w:asciiTheme="minorHAnsi" w:hAnsiTheme="minorHAnsi" w:cs="Times New Roman"/>
          <w:lang w:val="es-ES_tradnl"/>
        </w:rPr>
        <w:t>e</w:t>
      </w:r>
      <w:r w:rsidR="00BE46C9">
        <w:rPr>
          <w:rFonts w:asciiTheme="minorHAnsi" w:hAnsiTheme="minorHAnsi" w:cs="Times New Roman"/>
          <w:lang w:val="es-ES_tradnl"/>
        </w:rPr>
        <w:t xml:space="preserve">nta que </w:t>
      </w:r>
      <w:r w:rsidR="00885CE6">
        <w:rPr>
          <w:rFonts w:asciiTheme="minorHAnsi" w:hAnsiTheme="minorHAnsi" w:cs="Times New Roman"/>
          <w:lang w:val="es-ES_tradnl"/>
        </w:rPr>
        <w:t xml:space="preserve">según el balance consolidado de la CND, </w:t>
      </w:r>
      <w:r w:rsidR="00BE46C9">
        <w:rPr>
          <w:rFonts w:asciiTheme="minorHAnsi" w:hAnsiTheme="minorHAnsi" w:cs="Times New Roman"/>
          <w:lang w:val="es-ES_tradnl"/>
        </w:rPr>
        <w:t xml:space="preserve"> que incluye a</w:t>
      </w:r>
      <w:r w:rsidR="00885CE6">
        <w:rPr>
          <w:rFonts w:asciiTheme="minorHAnsi" w:hAnsiTheme="minorHAnsi" w:cs="Times New Roman"/>
          <w:lang w:val="es-ES_tradnl"/>
        </w:rPr>
        <w:t xml:space="preserve"> </w:t>
      </w:r>
      <w:r w:rsidR="00BE46C9">
        <w:rPr>
          <w:rFonts w:asciiTheme="minorHAnsi" w:hAnsiTheme="minorHAnsi" w:cs="Times New Roman"/>
          <w:lang w:val="es-ES_tradnl"/>
        </w:rPr>
        <w:t>la CVU</w:t>
      </w:r>
      <w:r w:rsidR="00885CE6">
        <w:rPr>
          <w:rFonts w:asciiTheme="minorHAnsi" w:hAnsiTheme="minorHAnsi" w:cs="Times New Roman"/>
          <w:lang w:val="es-ES_tradnl"/>
        </w:rPr>
        <w:t xml:space="preserve">, el patrimonio total </w:t>
      </w:r>
      <w:r w:rsidR="00BE46C9">
        <w:rPr>
          <w:rFonts w:asciiTheme="minorHAnsi" w:hAnsiTheme="minorHAnsi" w:cs="Times New Roman"/>
          <w:lang w:val="es-ES_tradnl"/>
        </w:rPr>
        <w:t xml:space="preserve">se ubica en el orden de </w:t>
      </w:r>
      <w:r w:rsidR="00885CE6" w:rsidRPr="00885CE6">
        <w:rPr>
          <w:rFonts w:asciiTheme="minorHAnsi" w:hAnsiTheme="minorHAnsi" w:cs="Times New Roman"/>
          <w:lang w:val="es-ES_tradnl"/>
        </w:rPr>
        <w:t>los</w:t>
      </w:r>
      <w:r w:rsidR="000A38C4" w:rsidRPr="00885CE6">
        <w:rPr>
          <w:rFonts w:asciiTheme="minorHAnsi" w:hAnsiTheme="minorHAnsi" w:cs="Times New Roman"/>
          <w:lang w:val="es-ES_tradnl"/>
        </w:rPr>
        <w:t xml:space="preserve"> US$ 100 millones</w:t>
      </w:r>
      <w:r w:rsidR="00885CE6" w:rsidRPr="00885CE6">
        <w:rPr>
          <w:rFonts w:asciiTheme="minorHAnsi" w:hAnsiTheme="minorHAnsi" w:cs="Times New Roman"/>
          <w:lang w:val="es-ES_tradnl"/>
        </w:rPr>
        <w:t>, donde el de l</w:t>
      </w:r>
      <w:r>
        <w:rPr>
          <w:rFonts w:asciiTheme="minorHAnsi" w:hAnsiTheme="minorHAnsi" w:cs="Times New Roman"/>
          <w:lang w:val="es-ES_tradnl"/>
        </w:rPr>
        <w:t>a</w:t>
      </w:r>
      <w:r w:rsidR="00885CE6" w:rsidRPr="00885CE6">
        <w:rPr>
          <w:rFonts w:asciiTheme="minorHAnsi" w:hAnsiTheme="minorHAnsi" w:cs="Times New Roman"/>
          <w:lang w:val="es-ES_tradnl"/>
        </w:rPr>
        <w:t xml:space="preserve"> CVU es de alrededor de US$ 30 millones, según se vio precedentemente, </w:t>
      </w:r>
      <w:r>
        <w:rPr>
          <w:rFonts w:asciiTheme="minorHAnsi" w:hAnsiTheme="minorHAnsi" w:cs="Times New Roman"/>
          <w:lang w:val="es-ES_tradnl"/>
        </w:rPr>
        <w:t>lo cual muestra que ello es claramente insuficiente para atender la</w:t>
      </w:r>
      <w:r w:rsidR="00885CE6" w:rsidRPr="00885CE6">
        <w:rPr>
          <w:rFonts w:asciiTheme="minorHAnsi" w:hAnsiTheme="minorHAnsi" w:cs="Times New Roman"/>
          <w:lang w:val="es-ES_tradnl"/>
        </w:rPr>
        <w:t>s previsiones de endeudamiento que se expusieron.</w:t>
      </w:r>
    </w:p>
    <w:p w:rsidR="00885CE6" w:rsidRDefault="00844F89" w:rsidP="002532C5">
      <w:pPr>
        <w:spacing w:after="180" w:line="264" w:lineRule="auto"/>
        <w:jc w:val="both"/>
        <w:rPr>
          <w:rFonts w:asciiTheme="minorHAnsi" w:hAnsiTheme="minorHAnsi" w:cs="Times New Roman"/>
          <w:lang w:val="es-ES_tradnl"/>
        </w:rPr>
      </w:pPr>
      <w:r>
        <w:rPr>
          <w:rFonts w:asciiTheme="minorHAnsi" w:hAnsiTheme="minorHAnsi" w:cs="Times New Roman"/>
          <w:lang w:val="es-ES_tradnl"/>
        </w:rPr>
        <w:t xml:space="preserve">Por otra parte, </w:t>
      </w:r>
      <w:r w:rsidR="00EF3869">
        <w:rPr>
          <w:rFonts w:asciiTheme="minorHAnsi" w:hAnsiTheme="minorHAnsi" w:cs="Times New Roman"/>
          <w:lang w:val="es-ES_tradnl"/>
        </w:rPr>
        <w:t xml:space="preserve">el </w:t>
      </w:r>
      <w:r w:rsidR="007E5B98" w:rsidRPr="002532C5">
        <w:rPr>
          <w:rFonts w:asciiTheme="minorHAnsi" w:hAnsiTheme="minorHAnsi" w:cs="Times New Roman"/>
          <w:lang w:val="es-ES_tradnl"/>
        </w:rPr>
        <w:t xml:space="preserve">contrato entre MTOP y CVU </w:t>
      </w:r>
      <w:r w:rsidR="00EF3869">
        <w:rPr>
          <w:rFonts w:asciiTheme="minorHAnsi" w:hAnsiTheme="minorHAnsi" w:cs="Times New Roman"/>
          <w:lang w:val="es-ES_tradnl"/>
        </w:rPr>
        <w:t xml:space="preserve">oficia de </w:t>
      </w:r>
      <w:r w:rsidR="00EF3869" w:rsidRPr="002532C5">
        <w:rPr>
          <w:rFonts w:asciiTheme="minorHAnsi" w:hAnsiTheme="minorHAnsi" w:cs="Times New Roman"/>
          <w:lang w:val="es-ES_tradnl"/>
        </w:rPr>
        <w:t xml:space="preserve">garantía </w:t>
      </w:r>
      <w:r w:rsidR="00885CE6">
        <w:rPr>
          <w:rFonts w:asciiTheme="minorHAnsi" w:hAnsiTheme="minorHAnsi" w:cs="Times New Roman"/>
          <w:lang w:val="es-ES_tradnl"/>
        </w:rPr>
        <w:t>ya que si no se</w:t>
      </w:r>
      <w:r w:rsidR="007E5B98" w:rsidRPr="002532C5">
        <w:rPr>
          <w:rFonts w:asciiTheme="minorHAnsi" w:hAnsiTheme="minorHAnsi" w:cs="Times New Roman"/>
          <w:lang w:val="es-ES_tradnl"/>
        </w:rPr>
        <w:t xml:space="preserve"> cumple eficientemente </w:t>
      </w:r>
      <w:r w:rsidR="00885CE6">
        <w:rPr>
          <w:rFonts w:asciiTheme="minorHAnsi" w:hAnsiTheme="minorHAnsi" w:cs="Times New Roman"/>
          <w:lang w:val="es-ES_tradnl"/>
        </w:rPr>
        <w:t xml:space="preserve">con el manejo financiero del mismo y no se cumple con las obras pactadas, </w:t>
      </w:r>
      <w:r w:rsidR="007E5B98" w:rsidRPr="002532C5">
        <w:rPr>
          <w:rFonts w:asciiTheme="minorHAnsi" w:hAnsiTheme="minorHAnsi" w:cs="Times New Roman"/>
          <w:lang w:val="es-ES_tradnl"/>
        </w:rPr>
        <w:t>se rompe el contrato y</w:t>
      </w:r>
      <w:r w:rsidR="009067CB">
        <w:rPr>
          <w:rFonts w:asciiTheme="minorHAnsi" w:hAnsiTheme="minorHAnsi" w:cs="Times New Roman"/>
          <w:lang w:val="es-ES_tradnl"/>
        </w:rPr>
        <w:t xml:space="preserve"> el </w:t>
      </w:r>
      <w:r w:rsidR="007E5B98" w:rsidRPr="002532C5">
        <w:rPr>
          <w:rFonts w:asciiTheme="minorHAnsi" w:hAnsiTheme="minorHAnsi" w:cs="Times New Roman"/>
          <w:lang w:val="es-ES_tradnl"/>
        </w:rPr>
        <w:t xml:space="preserve">MTOP no </w:t>
      </w:r>
      <w:r w:rsidR="00885CE6">
        <w:rPr>
          <w:rFonts w:asciiTheme="minorHAnsi" w:hAnsiTheme="minorHAnsi" w:cs="Times New Roman"/>
          <w:lang w:val="es-ES_tradnl"/>
        </w:rPr>
        <w:t>tiene obligación de pagar a  la</w:t>
      </w:r>
      <w:r w:rsidR="007E5B98" w:rsidRPr="002532C5">
        <w:rPr>
          <w:rFonts w:asciiTheme="minorHAnsi" w:hAnsiTheme="minorHAnsi" w:cs="Times New Roman"/>
          <w:lang w:val="es-ES_tradnl"/>
        </w:rPr>
        <w:t xml:space="preserve"> CVU</w:t>
      </w:r>
      <w:r w:rsidR="00EF3869">
        <w:rPr>
          <w:rFonts w:asciiTheme="minorHAnsi" w:hAnsiTheme="minorHAnsi" w:cs="Times New Roman"/>
          <w:lang w:val="es-ES_tradnl"/>
        </w:rPr>
        <w:t xml:space="preserve">, </w:t>
      </w:r>
      <w:r w:rsidR="00885CE6">
        <w:rPr>
          <w:rFonts w:asciiTheme="minorHAnsi" w:hAnsiTheme="minorHAnsi" w:cs="Times New Roman"/>
          <w:lang w:val="es-ES_tradnl"/>
        </w:rPr>
        <w:t xml:space="preserve">por lo que no se genera </w:t>
      </w:r>
      <w:r w:rsidR="00EF3869">
        <w:rPr>
          <w:rFonts w:asciiTheme="minorHAnsi" w:hAnsiTheme="minorHAnsi" w:cs="Times New Roman"/>
          <w:lang w:val="es-ES_tradnl"/>
        </w:rPr>
        <w:t>deuda alguna</w:t>
      </w:r>
      <w:r w:rsidR="00885CE6">
        <w:rPr>
          <w:rFonts w:asciiTheme="minorHAnsi" w:hAnsiTheme="minorHAnsi" w:cs="Times New Roman"/>
          <w:lang w:val="es-ES_tradnl"/>
        </w:rPr>
        <w:t xml:space="preserve"> si la CVU no cumple</w:t>
      </w:r>
      <w:r w:rsidR="000A38C4">
        <w:rPr>
          <w:rFonts w:asciiTheme="minorHAnsi" w:hAnsiTheme="minorHAnsi" w:cs="Times New Roman"/>
          <w:lang w:val="es-ES_tradnl"/>
        </w:rPr>
        <w:t>.</w:t>
      </w:r>
      <w:r w:rsidR="00EF3869">
        <w:rPr>
          <w:rFonts w:asciiTheme="minorHAnsi" w:hAnsiTheme="minorHAnsi" w:cs="Times New Roman"/>
          <w:lang w:val="es-ES_tradnl"/>
        </w:rPr>
        <w:t xml:space="preserve"> Esta es una </w:t>
      </w:r>
      <w:r w:rsidR="007E5B98" w:rsidRPr="002532C5">
        <w:rPr>
          <w:rFonts w:asciiTheme="minorHAnsi" w:hAnsiTheme="minorHAnsi" w:cs="Times New Roman"/>
          <w:lang w:val="es-ES_tradnl"/>
        </w:rPr>
        <w:t xml:space="preserve">garantía para el Estado, </w:t>
      </w:r>
      <w:r w:rsidR="00885CE6">
        <w:rPr>
          <w:rFonts w:asciiTheme="minorHAnsi" w:hAnsiTheme="minorHAnsi" w:cs="Times New Roman"/>
          <w:lang w:val="es-ES_tradnl"/>
        </w:rPr>
        <w:t>lo que en cierta forma también avala</w:t>
      </w:r>
      <w:r w:rsidR="007E5B98" w:rsidRPr="002532C5">
        <w:rPr>
          <w:rFonts w:asciiTheme="minorHAnsi" w:hAnsiTheme="minorHAnsi" w:cs="Times New Roman"/>
          <w:lang w:val="es-ES_tradnl"/>
        </w:rPr>
        <w:t xml:space="preserve"> no registrar la</w:t>
      </w:r>
      <w:r w:rsidR="00885CE6">
        <w:rPr>
          <w:rFonts w:asciiTheme="minorHAnsi" w:hAnsiTheme="minorHAnsi" w:cs="Times New Roman"/>
          <w:lang w:val="es-ES_tradnl"/>
        </w:rPr>
        <w:t>s obligaciones futuras del MTOP</w:t>
      </w:r>
      <w:r w:rsidR="007E5B98" w:rsidRPr="002532C5">
        <w:rPr>
          <w:rFonts w:asciiTheme="minorHAnsi" w:hAnsiTheme="minorHAnsi" w:cs="Times New Roman"/>
          <w:lang w:val="es-ES_tradnl"/>
        </w:rPr>
        <w:t xml:space="preserve"> </w:t>
      </w:r>
      <w:r w:rsidR="00885CE6">
        <w:rPr>
          <w:rFonts w:asciiTheme="minorHAnsi" w:hAnsiTheme="minorHAnsi" w:cs="Times New Roman"/>
          <w:lang w:val="es-ES_tradnl"/>
        </w:rPr>
        <w:t xml:space="preserve">frente a la CVU como </w:t>
      </w:r>
      <w:r w:rsidR="007E5B98" w:rsidRPr="002532C5">
        <w:rPr>
          <w:rFonts w:asciiTheme="minorHAnsi" w:hAnsiTheme="minorHAnsi" w:cs="Times New Roman"/>
          <w:lang w:val="es-ES_tradnl"/>
        </w:rPr>
        <w:t>deuda</w:t>
      </w:r>
      <w:r w:rsidR="00885CE6">
        <w:rPr>
          <w:rFonts w:asciiTheme="minorHAnsi" w:hAnsiTheme="minorHAnsi" w:cs="Times New Roman"/>
          <w:lang w:val="es-ES_tradnl"/>
        </w:rPr>
        <w:t xml:space="preserve"> pública</w:t>
      </w:r>
      <w:r w:rsidR="007E5B98" w:rsidRPr="002532C5">
        <w:rPr>
          <w:rFonts w:asciiTheme="minorHAnsi" w:hAnsiTheme="minorHAnsi" w:cs="Times New Roman"/>
          <w:lang w:val="es-ES_tradnl"/>
        </w:rPr>
        <w:t>.</w:t>
      </w:r>
    </w:p>
    <w:p w:rsidR="00647076" w:rsidRPr="002532C5" w:rsidRDefault="00885CE6" w:rsidP="002532C5">
      <w:pPr>
        <w:spacing w:after="180" w:line="264" w:lineRule="auto"/>
        <w:jc w:val="both"/>
        <w:rPr>
          <w:rFonts w:asciiTheme="minorHAnsi" w:hAnsiTheme="minorHAnsi" w:cs="Times New Roman"/>
          <w:lang w:val="es-ES_tradnl"/>
        </w:rPr>
      </w:pPr>
      <w:r>
        <w:rPr>
          <w:rFonts w:asciiTheme="minorHAnsi" w:hAnsiTheme="minorHAnsi" w:cs="Times New Roman"/>
          <w:lang w:val="es-ES_tradnl"/>
        </w:rPr>
        <w:t>C</w:t>
      </w:r>
      <w:r w:rsidR="00647076" w:rsidRPr="002532C5">
        <w:rPr>
          <w:rFonts w:asciiTheme="minorHAnsi" w:hAnsiTheme="minorHAnsi" w:cs="Times New Roman"/>
          <w:lang w:val="es-ES_tradnl"/>
        </w:rPr>
        <w:t>omo se expresó antes, si la CVU no recibe el subsidio</w:t>
      </w:r>
      <w:r w:rsidR="00EF3869">
        <w:rPr>
          <w:rFonts w:asciiTheme="minorHAnsi" w:hAnsiTheme="minorHAnsi" w:cs="Times New Roman"/>
          <w:lang w:val="es-ES_tradnl"/>
        </w:rPr>
        <w:t>, e</w:t>
      </w:r>
      <w:r w:rsidR="00647076" w:rsidRPr="002532C5">
        <w:rPr>
          <w:rFonts w:asciiTheme="minorHAnsi" w:hAnsiTheme="minorHAnsi" w:cs="Times New Roman"/>
          <w:lang w:val="es-ES_tradnl"/>
        </w:rPr>
        <w:t xml:space="preserve">l MTOP es </w:t>
      </w:r>
      <w:r w:rsidR="00EF3869">
        <w:rPr>
          <w:rFonts w:asciiTheme="minorHAnsi" w:hAnsiTheme="minorHAnsi" w:cs="Times New Roman"/>
          <w:lang w:val="es-ES_tradnl"/>
        </w:rPr>
        <w:t xml:space="preserve">el </w:t>
      </w:r>
      <w:r w:rsidR="00647076" w:rsidRPr="002532C5">
        <w:rPr>
          <w:rFonts w:asciiTheme="minorHAnsi" w:hAnsiTheme="minorHAnsi" w:cs="Times New Roman"/>
          <w:lang w:val="es-ES_tradnl"/>
        </w:rPr>
        <w:t>deudor responsable,  y si no se cobran los peajes y las obras contratadas</w:t>
      </w:r>
      <w:r w:rsidR="00EF3869">
        <w:rPr>
          <w:rFonts w:asciiTheme="minorHAnsi" w:hAnsiTheme="minorHAnsi" w:cs="Times New Roman"/>
          <w:lang w:val="es-ES_tradnl"/>
        </w:rPr>
        <w:t xml:space="preserve"> no se pagan</w:t>
      </w:r>
      <w:r w:rsidR="00647076" w:rsidRPr="002532C5">
        <w:rPr>
          <w:rFonts w:asciiTheme="minorHAnsi" w:hAnsiTheme="minorHAnsi" w:cs="Times New Roman"/>
          <w:lang w:val="es-ES_tradnl"/>
        </w:rPr>
        <w:t>, la obligación</w:t>
      </w:r>
      <w:r w:rsidR="00EF3869">
        <w:rPr>
          <w:rFonts w:asciiTheme="minorHAnsi" w:hAnsiTheme="minorHAnsi" w:cs="Times New Roman"/>
          <w:lang w:val="es-ES_tradnl"/>
        </w:rPr>
        <w:t xml:space="preserve"> de pagar las obras es del MTOP, en estos casos la duda sobre su registro como deuda contingente es importante.</w:t>
      </w:r>
    </w:p>
    <w:p w:rsidR="007E5B98" w:rsidRPr="002532C5" w:rsidRDefault="00EF3869" w:rsidP="002532C5">
      <w:pPr>
        <w:spacing w:after="180" w:line="264" w:lineRule="auto"/>
        <w:jc w:val="both"/>
        <w:rPr>
          <w:rFonts w:asciiTheme="minorHAnsi" w:hAnsiTheme="minorHAnsi" w:cs="Times New Roman"/>
          <w:lang w:val="es-ES_tradnl"/>
        </w:rPr>
      </w:pPr>
      <w:r>
        <w:rPr>
          <w:rFonts w:asciiTheme="minorHAnsi" w:hAnsiTheme="minorHAnsi" w:cs="Times New Roman"/>
          <w:lang w:val="es-ES_tradnl"/>
        </w:rPr>
        <w:t xml:space="preserve">A su vez, </w:t>
      </w:r>
      <w:r w:rsidR="00BB01BF">
        <w:rPr>
          <w:rFonts w:asciiTheme="minorHAnsi" w:hAnsiTheme="minorHAnsi" w:cs="Times New Roman"/>
          <w:lang w:val="es-ES_tradnl"/>
        </w:rPr>
        <w:t xml:space="preserve">en el caso de las PPP, </w:t>
      </w:r>
      <w:r>
        <w:rPr>
          <w:rFonts w:asciiTheme="minorHAnsi" w:hAnsiTheme="minorHAnsi" w:cs="Times New Roman"/>
          <w:lang w:val="es-ES_tradnl"/>
        </w:rPr>
        <w:t xml:space="preserve">la distribución de riesgos y el objetivo </w:t>
      </w:r>
      <w:r w:rsidR="002904E2">
        <w:rPr>
          <w:rFonts w:asciiTheme="minorHAnsi" w:hAnsiTheme="minorHAnsi" w:cs="Times New Roman"/>
          <w:lang w:val="es-ES_tradnl"/>
        </w:rPr>
        <w:t xml:space="preserve">del Gobierno </w:t>
      </w:r>
      <w:r>
        <w:rPr>
          <w:rFonts w:asciiTheme="minorHAnsi" w:hAnsiTheme="minorHAnsi" w:cs="Times New Roman"/>
          <w:lang w:val="es-ES_tradnl"/>
        </w:rPr>
        <w:t>que la mayoría de los mismos sean derivados a la órbita privada</w:t>
      </w:r>
      <w:r w:rsidR="00416989">
        <w:rPr>
          <w:rFonts w:asciiTheme="minorHAnsi" w:hAnsiTheme="minorHAnsi" w:cs="Times New Roman"/>
          <w:lang w:val="es-ES_tradnl"/>
        </w:rPr>
        <w:t>,</w:t>
      </w:r>
      <w:r w:rsidR="00416989" w:rsidRPr="00416989">
        <w:rPr>
          <w:rFonts w:asciiTheme="minorHAnsi" w:hAnsiTheme="minorHAnsi" w:cs="Times New Roman"/>
          <w:lang w:val="es-ES_tradnl"/>
        </w:rPr>
        <w:t xml:space="preserve"> </w:t>
      </w:r>
      <w:r w:rsidR="00416989">
        <w:rPr>
          <w:rFonts w:asciiTheme="minorHAnsi" w:hAnsiTheme="minorHAnsi" w:cs="Times New Roman"/>
          <w:lang w:val="es-ES_tradnl"/>
        </w:rPr>
        <w:t xml:space="preserve">como se comentó en el capítulo correspondiente, </w:t>
      </w:r>
      <w:r>
        <w:rPr>
          <w:rFonts w:asciiTheme="minorHAnsi" w:hAnsiTheme="minorHAnsi" w:cs="Times New Roman"/>
          <w:lang w:val="es-ES_tradnl"/>
        </w:rPr>
        <w:t>es el argumento central por el cual no se considera</w:t>
      </w:r>
      <w:r w:rsidR="00BB01BF">
        <w:rPr>
          <w:rFonts w:asciiTheme="minorHAnsi" w:hAnsiTheme="minorHAnsi" w:cs="Times New Roman"/>
          <w:lang w:val="es-ES_tradnl"/>
        </w:rPr>
        <w:t>n</w:t>
      </w:r>
      <w:r>
        <w:rPr>
          <w:rFonts w:asciiTheme="minorHAnsi" w:hAnsiTheme="minorHAnsi" w:cs="Times New Roman"/>
          <w:lang w:val="es-ES_tradnl"/>
        </w:rPr>
        <w:t xml:space="preserve"> deuda pública a los compromisos de pago</w:t>
      </w:r>
      <w:r w:rsidR="0019095A">
        <w:rPr>
          <w:rFonts w:asciiTheme="minorHAnsi" w:hAnsiTheme="minorHAnsi" w:cs="Times New Roman"/>
          <w:lang w:val="es-ES_tradnl"/>
        </w:rPr>
        <w:t>s</w:t>
      </w:r>
      <w:r w:rsidR="00C37A62">
        <w:rPr>
          <w:rFonts w:asciiTheme="minorHAnsi" w:hAnsiTheme="minorHAnsi" w:cs="Times New Roman"/>
          <w:lang w:val="es-ES_tradnl"/>
        </w:rPr>
        <w:t xml:space="preserve"> de las </w:t>
      </w:r>
      <w:proofErr w:type="spellStart"/>
      <w:r w:rsidR="00C37A62">
        <w:rPr>
          <w:rFonts w:asciiTheme="minorHAnsi" w:hAnsiTheme="minorHAnsi" w:cs="Times New Roman"/>
          <w:lang w:val="es-ES_tradnl"/>
        </w:rPr>
        <w:t>PPPs</w:t>
      </w:r>
      <w:proofErr w:type="spellEnd"/>
      <w:r>
        <w:rPr>
          <w:rFonts w:asciiTheme="minorHAnsi" w:hAnsiTheme="minorHAnsi" w:cs="Times New Roman"/>
          <w:lang w:val="es-ES_tradnl"/>
        </w:rPr>
        <w:t xml:space="preserve">, siguiendo los criterios de la </w:t>
      </w:r>
      <w:proofErr w:type="spellStart"/>
      <w:r>
        <w:rPr>
          <w:rFonts w:asciiTheme="minorHAnsi" w:hAnsiTheme="minorHAnsi" w:cs="Times New Roman"/>
          <w:lang w:val="es-ES_tradnl"/>
        </w:rPr>
        <w:t>Eurostat</w:t>
      </w:r>
      <w:proofErr w:type="spellEnd"/>
      <w:r w:rsidR="00BB01BF">
        <w:rPr>
          <w:rFonts w:asciiTheme="minorHAnsi" w:hAnsiTheme="minorHAnsi" w:cs="Times New Roman"/>
          <w:lang w:val="es-ES_tradnl"/>
        </w:rPr>
        <w:t>. Sin embargo, s</w:t>
      </w:r>
      <w:r w:rsidR="00C37A62">
        <w:rPr>
          <w:rFonts w:asciiTheme="minorHAnsi" w:hAnsiTheme="minorHAnsi" w:cs="Times New Roman"/>
          <w:lang w:val="es-ES_tradnl"/>
        </w:rPr>
        <w:t xml:space="preserve">i se aplican los otros </w:t>
      </w:r>
      <w:r>
        <w:rPr>
          <w:rFonts w:asciiTheme="minorHAnsi" w:hAnsiTheme="minorHAnsi" w:cs="Times New Roman"/>
          <w:lang w:val="es-ES_tradnl"/>
        </w:rPr>
        <w:t xml:space="preserve">criterios </w:t>
      </w:r>
      <w:r w:rsidR="00C37A62">
        <w:rPr>
          <w:rFonts w:asciiTheme="minorHAnsi" w:hAnsiTheme="minorHAnsi" w:cs="Times New Roman"/>
          <w:lang w:val="es-ES_tradnl"/>
        </w:rPr>
        <w:t xml:space="preserve">internacionales </w:t>
      </w:r>
      <w:r>
        <w:rPr>
          <w:rFonts w:asciiTheme="minorHAnsi" w:hAnsiTheme="minorHAnsi" w:cs="Times New Roman"/>
          <w:lang w:val="es-ES_tradnl"/>
        </w:rPr>
        <w:t>comentados, la mayor</w:t>
      </w:r>
      <w:r w:rsidR="00C37A62">
        <w:rPr>
          <w:rFonts w:asciiTheme="minorHAnsi" w:hAnsiTheme="minorHAnsi" w:cs="Times New Roman"/>
          <w:lang w:val="es-ES_tradnl"/>
        </w:rPr>
        <w:t>ía</w:t>
      </w:r>
      <w:r>
        <w:rPr>
          <w:rFonts w:asciiTheme="minorHAnsi" w:hAnsiTheme="minorHAnsi" w:cs="Times New Roman"/>
          <w:lang w:val="es-ES_tradnl"/>
        </w:rPr>
        <w:t xml:space="preserve"> de</w:t>
      </w:r>
      <w:r w:rsidR="00C37A62">
        <w:rPr>
          <w:rFonts w:asciiTheme="minorHAnsi" w:hAnsiTheme="minorHAnsi" w:cs="Times New Roman"/>
          <w:lang w:val="es-ES_tradnl"/>
        </w:rPr>
        <w:t xml:space="preserve"> </w:t>
      </w:r>
      <w:r>
        <w:rPr>
          <w:rFonts w:asciiTheme="minorHAnsi" w:hAnsiTheme="minorHAnsi" w:cs="Times New Roman"/>
          <w:lang w:val="es-ES_tradnl"/>
        </w:rPr>
        <w:t>los compromisos de l</w:t>
      </w:r>
      <w:r w:rsidR="00C37A62">
        <w:rPr>
          <w:rFonts w:asciiTheme="minorHAnsi" w:hAnsiTheme="minorHAnsi" w:cs="Times New Roman"/>
          <w:lang w:val="es-ES_tradnl"/>
        </w:rPr>
        <w:t>a</w:t>
      </w:r>
      <w:r>
        <w:rPr>
          <w:rFonts w:asciiTheme="minorHAnsi" w:hAnsiTheme="minorHAnsi" w:cs="Times New Roman"/>
          <w:lang w:val="es-ES_tradnl"/>
        </w:rPr>
        <w:t xml:space="preserve">s </w:t>
      </w:r>
      <w:proofErr w:type="spellStart"/>
      <w:r>
        <w:rPr>
          <w:rFonts w:asciiTheme="minorHAnsi" w:hAnsiTheme="minorHAnsi" w:cs="Times New Roman"/>
          <w:lang w:val="es-ES_tradnl"/>
        </w:rPr>
        <w:t>PPP</w:t>
      </w:r>
      <w:r w:rsidR="00C37A62">
        <w:rPr>
          <w:rFonts w:asciiTheme="minorHAnsi" w:hAnsiTheme="minorHAnsi" w:cs="Times New Roman"/>
          <w:lang w:val="es-ES_tradnl"/>
        </w:rPr>
        <w:t>s</w:t>
      </w:r>
      <w:proofErr w:type="spellEnd"/>
      <w:r>
        <w:rPr>
          <w:rFonts w:asciiTheme="minorHAnsi" w:hAnsiTheme="minorHAnsi" w:cs="Times New Roman"/>
          <w:lang w:val="es-ES_tradnl"/>
        </w:rPr>
        <w:t xml:space="preserve"> p</w:t>
      </w:r>
      <w:r w:rsidR="00C37A62">
        <w:rPr>
          <w:rFonts w:asciiTheme="minorHAnsi" w:hAnsiTheme="minorHAnsi" w:cs="Times New Roman"/>
          <w:lang w:val="es-ES_tradnl"/>
        </w:rPr>
        <w:t>a</w:t>
      </w:r>
      <w:r>
        <w:rPr>
          <w:rFonts w:asciiTheme="minorHAnsi" w:hAnsiTheme="minorHAnsi" w:cs="Times New Roman"/>
          <w:lang w:val="es-ES_tradnl"/>
        </w:rPr>
        <w:t>s</w:t>
      </w:r>
      <w:r w:rsidR="00C37A62">
        <w:rPr>
          <w:rFonts w:asciiTheme="minorHAnsi" w:hAnsiTheme="minorHAnsi" w:cs="Times New Roman"/>
          <w:lang w:val="es-ES_tradnl"/>
        </w:rPr>
        <w:t>a</w:t>
      </w:r>
      <w:r>
        <w:rPr>
          <w:rFonts w:asciiTheme="minorHAnsi" w:hAnsiTheme="minorHAnsi" w:cs="Times New Roman"/>
          <w:lang w:val="es-ES_tradnl"/>
        </w:rPr>
        <w:t>rí</w:t>
      </w:r>
      <w:r w:rsidR="00C37A62">
        <w:rPr>
          <w:rFonts w:asciiTheme="minorHAnsi" w:hAnsiTheme="minorHAnsi" w:cs="Times New Roman"/>
          <w:lang w:val="es-ES_tradnl"/>
        </w:rPr>
        <w:t>a</w:t>
      </w:r>
      <w:r>
        <w:rPr>
          <w:rFonts w:asciiTheme="minorHAnsi" w:hAnsiTheme="minorHAnsi" w:cs="Times New Roman"/>
          <w:lang w:val="es-ES_tradnl"/>
        </w:rPr>
        <w:t>n a se</w:t>
      </w:r>
      <w:r w:rsidR="00C37A62">
        <w:rPr>
          <w:rFonts w:asciiTheme="minorHAnsi" w:hAnsiTheme="minorHAnsi" w:cs="Times New Roman"/>
          <w:lang w:val="es-ES_tradnl"/>
        </w:rPr>
        <w:t>r</w:t>
      </w:r>
      <w:r>
        <w:rPr>
          <w:rFonts w:asciiTheme="minorHAnsi" w:hAnsiTheme="minorHAnsi" w:cs="Times New Roman"/>
          <w:lang w:val="es-ES_tradnl"/>
        </w:rPr>
        <w:t xml:space="preserve"> deuda pública</w:t>
      </w:r>
      <w:r w:rsidR="00416989">
        <w:rPr>
          <w:rStyle w:val="FootnoteReference"/>
          <w:rFonts w:asciiTheme="minorHAnsi" w:hAnsiTheme="minorHAnsi" w:cs="Times New Roman"/>
          <w:b/>
          <w:lang w:val="es-ES_tradnl"/>
        </w:rPr>
        <w:footnoteReference w:id="6"/>
      </w:r>
      <w:r>
        <w:rPr>
          <w:rFonts w:asciiTheme="minorHAnsi" w:hAnsiTheme="minorHAnsi" w:cs="Times New Roman"/>
          <w:lang w:val="es-ES_tradnl"/>
        </w:rPr>
        <w:t xml:space="preserve">. </w:t>
      </w:r>
    </w:p>
    <w:p w:rsidR="004E75E3" w:rsidRDefault="004E75E3" w:rsidP="004E75E3">
      <w:pPr>
        <w:spacing w:after="180" w:line="264" w:lineRule="auto"/>
        <w:jc w:val="both"/>
        <w:rPr>
          <w:rFonts w:asciiTheme="minorHAnsi" w:hAnsiTheme="minorHAnsi" w:cs="Times New Roman"/>
          <w:lang w:val="es-ES_tradnl"/>
        </w:rPr>
      </w:pPr>
      <w:r>
        <w:rPr>
          <w:rFonts w:asciiTheme="minorHAnsi" w:hAnsiTheme="minorHAnsi" w:cs="Times New Roman"/>
          <w:lang w:val="es-ES_tradnl"/>
        </w:rPr>
        <w:t>Debe tenerse en cuenta que el</w:t>
      </w:r>
      <w:r w:rsidRPr="002532C5">
        <w:rPr>
          <w:rFonts w:asciiTheme="minorHAnsi" w:hAnsiTheme="minorHAnsi" w:cs="Times New Roman"/>
          <w:lang w:val="es-ES_tradnl"/>
        </w:rPr>
        <w:t xml:space="preserve"> pago de</w:t>
      </w:r>
      <w:r>
        <w:rPr>
          <w:rFonts w:asciiTheme="minorHAnsi" w:hAnsiTheme="minorHAnsi" w:cs="Times New Roman"/>
          <w:lang w:val="es-ES_tradnl"/>
        </w:rPr>
        <w:t xml:space="preserve"> </w:t>
      </w:r>
      <w:r w:rsidRPr="002532C5">
        <w:rPr>
          <w:rFonts w:asciiTheme="minorHAnsi" w:hAnsiTheme="minorHAnsi" w:cs="Times New Roman"/>
          <w:lang w:val="es-ES_tradnl"/>
        </w:rPr>
        <w:t>l</w:t>
      </w:r>
      <w:r>
        <w:rPr>
          <w:rFonts w:asciiTheme="minorHAnsi" w:hAnsiTheme="minorHAnsi" w:cs="Times New Roman"/>
          <w:lang w:val="es-ES_tradnl"/>
        </w:rPr>
        <w:t>os</w:t>
      </w:r>
      <w:r w:rsidRPr="002532C5">
        <w:rPr>
          <w:rFonts w:asciiTheme="minorHAnsi" w:hAnsiTheme="minorHAnsi" w:cs="Times New Roman"/>
          <w:lang w:val="es-ES_tradnl"/>
        </w:rPr>
        <w:t xml:space="preserve"> subsidio</w:t>
      </w:r>
      <w:r w:rsidR="00520BF0">
        <w:rPr>
          <w:rFonts w:asciiTheme="minorHAnsi" w:hAnsiTheme="minorHAnsi" w:cs="Times New Roman"/>
          <w:lang w:val="es-ES_tradnl"/>
        </w:rPr>
        <w:t>s</w:t>
      </w:r>
      <w:r w:rsidRPr="002532C5">
        <w:rPr>
          <w:rFonts w:asciiTheme="minorHAnsi" w:hAnsiTheme="minorHAnsi" w:cs="Times New Roman"/>
          <w:lang w:val="es-ES_tradnl"/>
        </w:rPr>
        <w:t xml:space="preserve"> </w:t>
      </w:r>
      <w:r>
        <w:rPr>
          <w:rFonts w:asciiTheme="minorHAnsi" w:hAnsiTheme="minorHAnsi" w:cs="Times New Roman"/>
          <w:lang w:val="es-ES_tradnl"/>
        </w:rPr>
        <w:t xml:space="preserve">por el MTOP a la </w:t>
      </w:r>
      <w:r w:rsidRPr="002532C5">
        <w:rPr>
          <w:rFonts w:asciiTheme="minorHAnsi" w:hAnsiTheme="minorHAnsi" w:cs="Times New Roman"/>
          <w:lang w:val="es-ES_tradnl"/>
        </w:rPr>
        <w:t xml:space="preserve">CVU </w:t>
      </w:r>
      <w:r>
        <w:rPr>
          <w:rFonts w:asciiTheme="minorHAnsi" w:hAnsiTheme="minorHAnsi" w:cs="Times New Roman"/>
          <w:lang w:val="es-ES_tradnl"/>
        </w:rPr>
        <w:t xml:space="preserve">sí </w:t>
      </w:r>
      <w:r w:rsidR="00520BF0">
        <w:rPr>
          <w:rFonts w:asciiTheme="minorHAnsi" w:hAnsiTheme="minorHAnsi" w:cs="Times New Roman"/>
          <w:lang w:val="es-ES_tradnl"/>
        </w:rPr>
        <w:t xml:space="preserve">son </w:t>
      </w:r>
      <w:r>
        <w:rPr>
          <w:rFonts w:asciiTheme="minorHAnsi" w:hAnsiTheme="minorHAnsi" w:cs="Times New Roman"/>
          <w:lang w:val="es-ES_tradnl"/>
        </w:rPr>
        <w:t xml:space="preserve">considerados deuda pública y se registran en </w:t>
      </w:r>
      <w:r w:rsidRPr="002532C5">
        <w:rPr>
          <w:rFonts w:asciiTheme="minorHAnsi" w:hAnsiTheme="minorHAnsi" w:cs="Times New Roman"/>
          <w:lang w:val="es-ES_tradnl"/>
        </w:rPr>
        <w:t>l</w:t>
      </w:r>
      <w:r>
        <w:rPr>
          <w:rFonts w:asciiTheme="minorHAnsi" w:hAnsiTheme="minorHAnsi" w:cs="Times New Roman"/>
          <w:lang w:val="es-ES_tradnl"/>
        </w:rPr>
        <w:t>os documentos presupuestarios, R</w:t>
      </w:r>
      <w:r w:rsidRPr="002532C5">
        <w:rPr>
          <w:rFonts w:asciiTheme="minorHAnsi" w:hAnsiTheme="minorHAnsi" w:cs="Times New Roman"/>
          <w:lang w:val="es-ES_tradnl"/>
        </w:rPr>
        <w:t>endición de Cuentas Anual y Presupuesto Quinquenal.</w:t>
      </w:r>
    </w:p>
    <w:p w:rsidR="0019095A" w:rsidRDefault="006E586D" w:rsidP="002532C5">
      <w:pPr>
        <w:spacing w:after="180" w:line="264" w:lineRule="auto"/>
        <w:jc w:val="both"/>
        <w:rPr>
          <w:rFonts w:asciiTheme="minorHAnsi" w:hAnsiTheme="minorHAnsi" w:cs="Times New Roman"/>
          <w:lang w:val="es-ES_tradnl"/>
        </w:rPr>
      </w:pPr>
      <w:r w:rsidRPr="002532C5">
        <w:rPr>
          <w:rFonts w:asciiTheme="minorHAnsi" w:hAnsiTheme="minorHAnsi" w:cs="Times New Roman"/>
          <w:lang w:val="es-ES_tradnl"/>
        </w:rPr>
        <w:t>Po</w:t>
      </w:r>
      <w:r w:rsidR="00E527B0">
        <w:rPr>
          <w:rFonts w:asciiTheme="minorHAnsi" w:hAnsiTheme="minorHAnsi" w:cs="Times New Roman"/>
          <w:lang w:val="es-ES_tradnl"/>
        </w:rPr>
        <w:t xml:space="preserve">r último es importante comentar </w:t>
      </w:r>
      <w:r w:rsidR="0019095A">
        <w:rPr>
          <w:rFonts w:asciiTheme="minorHAnsi" w:hAnsiTheme="minorHAnsi" w:cs="Times New Roman"/>
          <w:lang w:val="es-ES_tradnl"/>
        </w:rPr>
        <w:t xml:space="preserve">un tema </w:t>
      </w:r>
      <w:r w:rsidR="00E527B0">
        <w:rPr>
          <w:rFonts w:asciiTheme="minorHAnsi" w:hAnsiTheme="minorHAnsi" w:cs="Times New Roman"/>
          <w:lang w:val="es-ES_tradnl"/>
        </w:rPr>
        <w:t>que</w:t>
      </w:r>
      <w:r w:rsidR="0019095A">
        <w:rPr>
          <w:rFonts w:asciiTheme="minorHAnsi" w:hAnsiTheme="minorHAnsi" w:cs="Times New Roman"/>
          <w:lang w:val="es-ES_tradnl"/>
        </w:rPr>
        <w:t xml:space="preserve"> se refiere a las posibilidades de obtener financiamiento privado para este esfuerzo, ya que alrededor de la mitad del financiamiento de las obras viales podría provenir del sector privado (PPP y </w:t>
      </w:r>
      <w:proofErr w:type="spellStart"/>
      <w:r w:rsidR="0019095A">
        <w:rPr>
          <w:rFonts w:asciiTheme="minorHAnsi" w:hAnsiTheme="minorHAnsi" w:cs="Times New Roman"/>
          <w:lang w:val="es-ES_tradnl"/>
        </w:rPr>
        <w:t>securitización</w:t>
      </w:r>
      <w:proofErr w:type="spellEnd"/>
      <w:r w:rsidR="0019095A">
        <w:rPr>
          <w:rFonts w:asciiTheme="minorHAnsi" w:hAnsiTheme="minorHAnsi" w:cs="Times New Roman"/>
          <w:lang w:val="es-ES_tradnl"/>
        </w:rPr>
        <w:t xml:space="preserve"> de peajes).</w:t>
      </w:r>
    </w:p>
    <w:p w:rsidR="0019095A" w:rsidRDefault="0019095A" w:rsidP="002532C5">
      <w:pPr>
        <w:spacing w:after="180" w:line="264" w:lineRule="auto"/>
        <w:jc w:val="both"/>
        <w:rPr>
          <w:rFonts w:asciiTheme="minorHAnsi" w:hAnsiTheme="minorHAnsi" w:cs="Times New Roman"/>
          <w:lang w:val="es-ES_tradnl"/>
        </w:rPr>
      </w:pPr>
      <w:r>
        <w:rPr>
          <w:rFonts w:asciiTheme="minorHAnsi" w:hAnsiTheme="minorHAnsi" w:cs="Times New Roman"/>
          <w:lang w:val="es-ES_tradnl"/>
        </w:rPr>
        <w:t xml:space="preserve">Se consultó a </w:t>
      </w:r>
      <w:r w:rsidR="00E527B0">
        <w:rPr>
          <w:rFonts w:asciiTheme="minorHAnsi" w:hAnsiTheme="minorHAnsi" w:cs="Times New Roman"/>
          <w:lang w:val="es-ES_tradnl"/>
        </w:rPr>
        <w:t xml:space="preserve">operadores del sistema financiero, </w:t>
      </w:r>
      <w:r>
        <w:rPr>
          <w:rFonts w:asciiTheme="minorHAnsi" w:hAnsiTheme="minorHAnsi" w:cs="Times New Roman"/>
          <w:lang w:val="es-ES_tradnl"/>
        </w:rPr>
        <w:t xml:space="preserve">los cuales </w:t>
      </w:r>
      <w:r w:rsidR="00E527B0">
        <w:rPr>
          <w:rFonts w:asciiTheme="minorHAnsi" w:hAnsiTheme="minorHAnsi" w:cs="Times New Roman"/>
          <w:lang w:val="es-ES_tradnl"/>
        </w:rPr>
        <w:t xml:space="preserve">evalúan que es posible  obtener el financiamiento para las inversiones viales, basándose en </w:t>
      </w:r>
      <w:r w:rsidR="00416989">
        <w:rPr>
          <w:rFonts w:asciiTheme="minorHAnsi" w:hAnsiTheme="minorHAnsi" w:cs="Times New Roman"/>
          <w:lang w:val="es-ES_tradnl"/>
        </w:rPr>
        <w:t xml:space="preserve">que </w:t>
      </w:r>
      <w:r w:rsidR="00E527B0">
        <w:rPr>
          <w:rFonts w:asciiTheme="minorHAnsi" w:hAnsiTheme="minorHAnsi" w:cs="Times New Roman"/>
          <w:lang w:val="es-ES_tradnl"/>
        </w:rPr>
        <w:t xml:space="preserve">especialmente las </w:t>
      </w:r>
      <w:r w:rsidR="00416989">
        <w:rPr>
          <w:rFonts w:asciiTheme="minorHAnsi" w:hAnsiTheme="minorHAnsi" w:cs="Times New Roman"/>
          <w:lang w:val="es-ES_tradnl"/>
        </w:rPr>
        <w:t xml:space="preserve">AFAP poseen fondos para financiar las </w:t>
      </w:r>
      <w:r w:rsidR="00E527B0">
        <w:rPr>
          <w:rFonts w:asciiTheme="minorHAnsi" w:hAnsiTheme="minorHAnsi" w:cs="Times New Roman"/>
          <w:lang w:val="es-ES_tradnl"/>
        </w:rPr>
        <w:t>operaciones de los proyectos PPP.</w:t>
      </w:r>
    </w:p>
    <w:p w:rsidR="00E527B0" w:rsidRDefault="00E527B0" w:rsidP="002532C5">
      <w:pPr>
        <w:spacing w:after="180" w:line="264" w:lineRule="auto"/>
        <w:jc w:val="both"/>
        <w:rPr>
          <w:rFonts w:asciiTheme="minorHAnsi" w:hAnsiTheme="minorHAnsi" w:cs="Times New Roman"/>
          <w:lang w:val="es-ES_tradnl"/>
        </w:rPr>
      </w:pPr>
      <w:r>
        <w:rPr>
          <w:rFonts w:asciiTheme="minorHAnsi" w:hAnsiTheme="minorHAnsi" w:cs="Times New Roman"/>
          <w:lang w:val="es-ES_tradnl"/>
        </w:rPr>
        <w:t xml:space="preserve">Sin embargo, el uso de fondos de las </w:t>
      </w:r>
      <w:r w:rsidR="00654536">
        <w:rPr>
          <w:rFonts w:asciiTheme="minorHAnsi" w:hAnsiTheme="minorHAnsi" w:cs="Times New Roman"/>
          <w:lang w:val="es-ES_tradnl"/>
        </w:rPr>
        <w:t>AFAP</w:t>
      </w:r>
      <w:r>
        <w:rPr>
          <w:rFonts w:asciiTheme="minorHAnsi" w:hAnsiTheme="minorHAnsi" w:cs="Times New Roman"/>
          <w:lang w:val="es-ES_tradnl"/>
        </w:rPr>
        <w:t xml:space="preserve"> </w:t>
      </w:r>
      <w:r w:rsidR="002904E2">
        <w:rPr>
          <w:rFonts w:asciiTheme="minorHAnsi" w:hAnsiTheme="minorHAnsi" w:cs="Times New Roman"/>
          <w:lang w:val="es-ES_tradnl"/>
        </w:rPr>
        <w:t xml:space="preserve">presenta hoy </w:t>
      </w:r>
      <w:r>
        <w:rPr>
          <w:rFonts w:asciiTheme="minorHAnsi" w:hAnsiTheme="minorHAnsi" w:cs="Times New Roman"/>
          <w:lang w:val="es-ES_tradnl"/>
        </w:rPr>
        <w:t xml:space="preserve">algunas limitaciones para financiar el riesgo construcción, aunque lo </w:t>
      </w:r>
      <w:r w:rsidR="004C4FA2">
        <w:rPr>
          <w:rFonts w:asciiTheme="minorHAnsi" w:hAnsiTheme="minorHAnsi" w:cs="Times New Roman"/>
          <w:lang w:val="es-ES_tradnl"/>
        </w:rPr>
        <w:t>asumen en el caso de</w:t>
      </w:r>
      <w:r>
        <w:rPr>
          <w:rFonts w:asciiTheme="minorHAnsi" w:hAnsiTheme="minorHAnsi" w:cs="Times New Roman"/>
          <w:lang w:val="es-ES_tradnl"/>
        </w:rPr>
        <w:t xml:space="preserve"> la PPP del recinto carcelario, en virtud que el riesgo de mantenimiento es muy bajo, no siendo así lo que ocurre en las PPP viales, con mayor riesgo en el mantenimiento de las </w:t>
      </w:r>
      <w:r w:rsidR="00FA2B15">
        <w:rPr>
          <w:rFonts w:asciiTheme="minorHAnsi" w:hAnsiTheme="minorHAnsi" w:cs="Times New Roman"/>
          <w:lang w:val="es-ES_tradnl"/>
        </w:rPr>
        <w:t xml:space="preserve">rutas por su </w:t>
      </w:r>
      <w:r w:rsidR="00520BF0">
        <w:rPr>
          <w:rFonts w:asciiTheme="minorHAnsi" w:hAnsiTheme="minorHAnsi" w:cs="Times New Roman"/>
          <w:lang w:val="es-ES_tradnl"/>
        </w:rPr>
        <w:t>elevada</w:t>
      </w:r>
      <w:r w:rsidR="00FA2B15">
        <w:rPr>
          <w:rFonts w:asciiTheme="minorHAnsi" w:hAnsiTheme="minorHAnsi" w:cs="Times New Roman"/>
          <w:lang w:val="es-ES_tradnl"/>
        </w:rPr>
        <w:t xml:space="preserve"> incertidumbre.</w:t>
      </w:r>
      <w:r w:rsidR="002D3CE5">
        <w:rPr>
          <w:rFonts w:asciiTheme="minorHAnsi" w:hAnsiTheme="minorHAnsi" w:cs="Times New Roman"/>
          <w:lang w:val="es-ES_tradnl"/>
        </w:rPr>
        <w:t xml:space="preserve"> De esta manera, es posible que se necesiten garant</w:t>
      </w:r>
      <w:r w:rsidR="00654536">
        <w:rPr>
          <w:rFonts w:asciiTheme="minorHAnsi" w:hAnsiTheme="minorHAnsi" w:cs="Times New Roman"/>
          <w:lang w:val="es-ES_tradnl"/>
        </w:rPr>
        <w:t>ías</w:t>
      </w:r>
      <w:r w:rsidR="002D3CE5">
        <w:rPr>
          <w:rFonts w:asciiTheme="minorHAnsi" w:hAnsiTheme="minorHAnsi" w:cs="Times New Roman"/>
          <w:lang w:val="es-ES_tradnl"/>
        </w:rPr>
        <w:t xml:space="preserve"> p</w:t>
      </w:r>
      <w:r w:rsidR="00654536">
        <w:rPr>
          <w:rFonts w:asciiTheme="minorHAnsi" w:hAnsiTheme="minorHAnsi" w:cs="Times New Roman"/>
          <w:lang w:val="es-ES_tradnl"/>
        </w:rPr>
        <w:t>a</w:t>
      </w:r>
      <w:r w:rsidR="002D3CE5">
        <w:rPr>
          <w:rFonts w:asciiTheme="minorHAnsi" w:hAnsiTheme="minorHAnsi" w:cs="Times New Roman"/>
          <w:lang w:val="es-ES_tradnl"/>
        </w:rPr>
        <w:t>ra permitir la participación de</w:t>
      </w:r>
      <w:r w:rsidR="00654536">
        <w:rPr>
          <w:rFonts w:asciiTheme="minorHAnsi" w:hAnsiTheme="minorHAnsi" w:cs="Times New Roman"/>
          <w:lang w:val="es-ES_tradnl"/>
        </w:rPr>
        <w:t xml:space="preserve"> </w:t>
      </w:r>
      <w:r w:rsidR="002D3CE5">
        <w:rPr>
          <w:rFonts w:asciiTheme="minorHAnsi" w:hAnsiTheme="minorHAnsi" w:cs="Times New Roman"/>
          <w:lang w:val="es-ES_tradnl"/>
        </w:rPr>
        <w:t>las AFAP</w:t>
      </w:r>
      <w:r w:rsidR="002904E2">
        <w:rPr>
          <w:rFonts w:asciiTheme="minorHAnsi" w:hAnsiTheme="minorHAnsi" w:cs="Times New Roman"/>
          <w:lang w:val="es-ES_tradnl"/>
        </w:rPr>
        <w:t xml:space="preserve"> en estas instancias</w:t>
      </w:r>
      <w:r w:rsidR="002D3CE5">
        <w:rPr>
          <w:rFonts w:asciiTheme="minorHAnsi" w:hAnsiTheme="minorHAnsi" w:cs="Times New Roman"/>
          <w:lang w:val="es-ES_tradnl"/>
        </w:rPr>
        <w:t>, dond</w:t>
      </w:r>
      <w:r w:rsidR="00654536">
        <w:rPr>
          <w:rFonts w:asciiTheme="minorHAnsi" w:hAnsiTheme="minorHAnsi" w:cs="Times New Roman"/>
          <w:lang w:val="es-ES_tradnl"/>
        </w:rPr>
        <w:t>e</w:t>
      </w:r>
      <w:r w:rsidR="002D3CE5">
        <w:rPr>
          <w:rFonts w:asciiTheme="minorHAnsi" w:hAnsiTheme="minorHAnsi" w:cs="Times New Roman"/>
          <w:lang w:val="es-ES_tradnl"/>
        </w:rPr>
        <w:t xml:space="preserve"> podr</w:t>
      </w:r>
      <w:r w:rsidR="00654536">
        <w:rPr>
          <w:rFonts w:asciiTheme="minorHAnsi" w:hAnsiTheme="minorHAnsi" w:cs="Times New Roman"/>
          <w:lang w:val="es-ES_tradnl"/>
        </w:rPr>
        <w:t>ía</w:t>
      </w:r>
      <w:r w:rsidR="004C4FA2">
        <w:rPr>
          <w:rFonts w:asciiTheme="minorHAnsi" w:hAnsiTheme="minorHAnsi" w:cs="Times New Roman"/>
          <w:lang w:val="es-ES_tradnl"/>
        </w:rPr>
        <w:t>n</w:t>
      </w:r>
      <w:r w:rsidR="002D3CE5">
        <w:rPr>
          <w:rFonts w:asciiTheme="minorHAnsi" w:hAnsiTheme="minorHAnsi" w:cs="Times New Roman"/>
          <w:lang w:val="es-ES_tradnl"/>
        </w:rPr>
        <w:t xml:space="preserve"> tener </w:t>
      </w:r>
      <w:r w:rsidR="004C4FA2">
        <w:rPr>
          <w:rFonts w:asciiTheme="minorHAnsi" w:hAnsiTheme="minorHAnsi" w:cs="Times New Roman"/>
          <w:lang w:val="es-ES_tradnl"/>
        </w:rPr>
        <w:t xml:space="preserve">un rol </w:t>
      </w:r>
      <w:r w:rsidR="002D3CE5">
        <w:rPr>
          <w:rFonts w:asciiTheme="minorHAnsi" w:hAnsiTheme="minorHAnsi" w:cs="Times New Roman"/>
          <w:lang w:val="es-ES_tradnl"/>
        </w:rPr>
        <w:t>importan</w:t>
      </w:r>
      <w:r w:rsidR="004C4FA2">
        <w:rPr>
          <w:rFonts w:asciiTheme="minorHAnsi" w:hAnsiTheme="minorHAnsi" w:cs="Times New Roman"/>
          <w:lang w:val="es-ES_tradnl"/>
        </w:rPr>
        <w:t xml:space="preserve">te los </w:t>
      </w:r>
      <w:r w:rsidR="002D3CE5">
        <w:rPr>
          <w:rFonts w:asciiTheme="minorHAnsi" w:hAnsiTheme="minorHAnsi" w:cs="Times New Roman"/>
          <w:lang w:val="es-ES_tradnl"/>
        </w:rPr>
        <w:t xml:space="preserve">organismos multilaterales u otras formas </w:t>
      </w:r>
      <w:r w:rsidR="004C4FA2">
        <w:rPr>
          <w:rFonts w:asciiTheme="minorHAnsi" w:hAnsiTheme="minorHAnsi" w:cs="Times New Roman"/>
          <w:lang w:val="es-ES_tradnl"/>
        </w:rPr>
        <w:t>de ga</w:t>
      </w:r>
      <w:r w:rsidR="002D3CE5">
        <w:rPr>
          <w:rFonts w:asciiTheme="minorHAnsi" w:hAnsiTheme="minorHAnsi" w:cs="Times New Roman"/>
          <w:lang w:val="es-ES_tradnl"/>
        </w:rPr>
        <w:t>rant</w:t>
      </w:r>
      <w:r w:rsidR="00654536">
        <w:rPr>
          <w:rFonts w:asciiTheme="minorHAnsi" w:hAnsiTheme="minorHAnsi" w:cs="Times New Roman"/>
          <w:lang w:val="es-ES_tradnl"/>
        </w:rPr>
        <w:t>ía. Se descartan garantías del Gobierno actualmente</w:t>
      </w:r>
      <w:r w:rsidR="00B53213">
        <w:rPr>
          <w:rFonts w:asciiTheme="minorHAnsi" w:hAnsiTheme="minorHAnsi" w:cs="Times New Roman"/>
          <w:lang w:val="es-ES_tradnl"/>
        </w:rPr>
        <w:t xml:space="preserve"> para las PPP</w:t>
      </w:r>
      <w:r w:rsidR="00654536">
        <w:rPr>
          <w:rFonts w:asciiTheme="minorHAnsi" w:hAnsiTheme="minorHAnsi" w:cs="Times New Roman"/>
          <w:lang w:val="es-ES_tradnl"/>
        </w:rPr>
        <w:t>.</w:t>
      </w:r>
    </w:p>
    <w:p w:rsidR="00FA2B15" w:rsidRPr="002532C5" w:rsidRDefault="00FA2B15" w:rsidP="002532C5">
      <w:pPr>
        <w:spacing w:after="180" w:line="264" w:lineRule="auto"/>
        <w:jc w:val="both"/>
        <w:rPr>
          <w:rFonts w:asciiTheme="minorHAnsi" w:hAnsiTheme="minorHAnsi" w:cs="Times New Roman"/>
          <w:lang w:val="es-ES_tradnl"/>
        </w:rPr>
      </w:pPr>
      <w:r>
        <w:rPr>
          <w:rFonts w:asciiTheme="minorHAnsi" w:hAnsiTheme="minorHAnsi" w:cs="Times New Roman"/>
          <w:lang w:val="es-ES_tradnl"/>
        </w:rPr>
        <w:t>Por otro lado, los pagos son pactados en U</w:t>
      </w:r>
      <w:r w:rsidR="00B53213">
        <w:rPr>
          <w:rFonts w:asciiTheme="minorHAnsi" w:hAnsiTheme="minorHAnsi" w:cs="Times New Roman"/>
          <w:lang w:val="es-ES_tradnl"/>
        </w:rPr>
        <w:t xml:space="preserve">nidades </w:t>
      </w:r>
      <w:r>
        <w:rPr>
          <w:rFonts w:asciiTheme="minorHAnsi" w:hAnsiTheme="minorHAnsi" w:cs="Times New Roman"/>
          <w:lang w:val="es-ES_tradnl"/>
        </w:rPr>
        <w:t>I</w:t>
      </w:r>
      <w:r w:rsidR="00B53213">
        <w:rPr>
          <w:rFonts w:asciiTheme="minorHAnsi" w:hAnsiTheme="minorHAnsi" w:cs="Times New Roman"/>
          <w:lang w:val="es-ES_tradnl"/>
        </w:rPr>
        <w:t>ndexadas</w:t>
      </w:r>
      <w:r w:rsidR="002904E2">
        <w:rPr>
          <w:rFonts w:asciiTheme="minorHAnsi" w:hAnsiTheme="minorHAnsi" w:cs="Times New Roman"/>
          <w:lang w:val="es-ES_tradnl"/>
        </w:rPr>
        <w:t xml:space="preserve"> (UI)</w:t>
      </w:r>
      <w:r w:rsidR="00B53213">
        <w:rPr>
          <w:rFonts w:asciiTheme="minorHAnsi" w:hAnsiTheme="minorHAnsi" w:cs="Times New Roman"/>
          <w:lang w:val="es-ES_tradnl"/>
        </w:rPr>
        <w:t xml:space="preserve">, como moneda de las operaciones, </w:t>
      </w:r>
      <w:r>
        <w:rPr>
          <w:rFonts w:asciiTheme="minorHAnsi" w:hAnsiTheme="minorHAnsi" w:cs="Times New Roman"/>
          <w:lang w:val="es-ES_tradnl"/>
        </w:rPr>
        <w:t xml:space="preserve"> lo cual es una limitación para la participación de inversores, dado que se negocian básicamente en dólares. Ello también atañe a los organismos multilaterales</w:t>
      </w:r>
      <w:r w:rsidR="00BB01BF">
        <w:rPr>
          <w:rFonts w:asciiTheme="minorHAnsi" w:hAnsiTheme="minorHAnsi" w:cs="Times New Roman"/>
          <w:lang w:val="es-ES_tradnl"/>
        </w:rPr>
        <w:t xml:space="preserve">. Sin embargo, ello es clave para  </w:t>
      </w:r>
      <w:r w:rsidR="00654536">
        <w:rPr>
          <w:rFonts w:asciiTheme="minorHAnsi" w:hAnsiTheme="minorHAnsi" w:cs="Times New Roman"/>
          <w:lang w:val="es-ES_tradnl"/>
        </w:rPr>
        <w:t>las AFAP</w:t>
      </w:r>
      <w:r w:rsidR="004C4FA2">
        <w:rPr>
          <w:rFonts w:asciiTheme="minorHAnsi" w:hAnsiTheme="minorHAnsi" w:cs="Times New Roman"/>
          <w:lang w:val="es-ES_tradnl"/>
        </w:rPr>
        <w:t xml:space="preserve"> que </w:t>
      </w:r>
      <w:r w:rsidR="00BB01BF">
        <w:rPr>
          <w:rFonts w:asciiTheme="minorHAnsi" w:hAnsiTheme="minorHAnsi" w:cs="Times New Roman"/>
          <w:lang w:val="es-ES_tradnl"/>
        </w:rPr>
        <w:t>invierten en esta moneda</w:t>
      </w:r>
      <w:r>
        <w:rPr>
          <w:rFonts w:asciiTheme="minorHAnsi" w:hAnsiTheme="minorHAnsi" w:cs="Times New Roman"/>
          <w:lang w:val="es-ES_tradnl"/>
        </w:rPr>
        <w:t xml:space="preserve">. </w:t>
      </w:r>
    </w:p>
    <w:p w:rsidR="00654536" w:rsidRDefault="00654536" w:rsidP="002532C5">
      <w:pPr>
        <w:spacing w:after="180" w:line="264" w:lineRule="auto"/>
        <w:jc w:val="both"/>
        <w:rPr>
          <w:rFonts w:asciiTheme="minorHAnsi" w:hAnsiTheme="minorHAnsi" w:cs="Times New Roman"/>
          <w:lang w:val="es-ES_tradnl"/>
        </w:rPr>
      </w:pPr>
      <w:r>
        <w:rPr>
          <w:rFonts w:asciiTheme="minorHAnsi" w:hAnsiTheme="minorHAnsi" w:cs="Times New Roman"/>
          <w:lang w:val="es-ES_tradnl"/>
        </w:rPr>
        <w:t>También presenta algunos problemas la participación de lo</w:t>
      </w:r>
      <w:r w:rsidR="007A3F2C">
        <w:rPr>
          <w:rFonts w:asciiTheme="minorHAnsi" w:hAnsiTheme="minorHAnsi" w:cs="Times New Roman"/>
          <w:lang w:val="es-ES_tradnl"/>
        </w:rPr>
        <w:t>s</w:t>
      </w:r>
      <w:r>
        <w:rPr>
          <w:rFonts w:asciiTheme="minorHAnsi" w:hAnsiTheme="minorHAnsi" w:cs="Times New Roman"/>
          <w:lang w:val="es-ES_tradnl"/>
        </w:rPr>
        <w:t xml:space="preserve"> bancos locales, dado su </w:t>
      </w:r>
      <w:r w:rsidR="002904E2">
        <w:rPr>
          <w:rFonts w:asciiTheme="minorHAnsi" w:hAnsiTheme="minorHAnsi" w:cs="Times New Roman"/>
          <w:lang w:val="es-ES_tradnl"/>
        </w:rPr>
        <w:t xml:space="preserve">bajo </w:t>
      </w:r>
      <w:r>
        <w:rPr>
          <w:rFonts w:asciiTheme="minorHAnsi" w:hAnsiTheme="minorHAnsi" w:cs="Times New Roman"/>
          <w:lang w:val="es-ES_tradnl"/>
        </w:rPr>
        <w:t>tamaño relativo</w:t>
      </w:r>
      <w:r w:rsidR="002904E2">
        <w:rPr>
          <w:rFonts w:asciiTheme="minorHAnsi" w:hAnsiTheme="minorHAnsi" w:cs="Times New Roman"/>
          <w:lang w:val="es-ES_tradnl"/>
        </w:rPr>
        <w:t xml:space="preserve"> para los montos de este tipo de operaciones</w:t>
      </w:r>
      <w:r>
        <w:rPr>
          <w:rFonts w:asciiTheme="minorHAnsi" w:hAnsiTheme="minorHAnsi" w:cs="Times New Roman"/>
          <w:lang w:val="es-ES_tradnl"/>
        </w:rPr>
        <w:t xml:space="preserve">. Si se </w:t>
      </w:r>
      <w:proofErr w:type="spellStart"/>
      <w:r>
        <w:rPr>
          <w:rFonts w:asciiTheme="minorHAnsi" w:hAnsiTheme="minorHAnsi" w:cs="Times New Roman"/>
          <w:lang w:val="es-ES_tradnl"/>
        </w:rPr>
        <w:t>consorcia</w:t>
      </w:r>
      <w:r w:rsidR="007A3F2C">
        <w:rPr>
          <w:rFonts w:asciiTheme="minorHAnsi" w:hAnsiTheme="minorHAnsi" w:cs="Times New Roman"/>
          <w:lang w:val="es-ES_tradnl"/>
        </w:rPr>
        <w:t>ra</w:t>
      </w:r>
      <w:proofErr w:type="spellEnd"/>
      <w:r>
        <w:rPr>
          <w:rFonts w:asciiTheme="minorHAnsi" w:hAnsiTheme="minorHAnsi" w:cs="Times New Roman"/>
          <w:lang w:val="es-ES_tradnl"/>
        </w:rPr>
        <w:t xml:space="preserve"> todo el sistema, el límite </w:t>
      </w:r>
      <w:r w:rsidR="007A3F2C">
        <w:rPr>
          <w:rFonts w:asciiTheme="minorHAnsi" w:hAnsiTheme="minorHAnsi" w:cs="Times New Roman"/>
          <w:lang w:val="es-ES_tradnl"/>
        </w:rPr>
        <w:t xml:space="preserve">de crédito máximo sólo llegaría a US$ 300 millones </w:t>
      </w:r>
      <w:r>
        <w:rPr>
          <w:rFonts w:asciiTheme="minorHAnsi" w:hAnsiTheme="minorHAnsi" w:cs="Times New Roman"/>
          <w:lang w:val="es-ES_tradnl"/>
        </w:rPr>
        <w:t xml:space="preserve">por </w:t>
      </w:r>
      <w:r w:rsidR="007A3F2C">
        <w:rPr>
          <w:rFonts w:asciiTheme="minorHAnsi" w:hAnsiTheme="minorHAnsi" w:cs="Times New Roman"/>
          <w:lang w:val="es-ES_tradnl"/>
        </w:rPr>
        <w:t xml:space="preserve">jugador, lo que muestra las dificultades de la banca local en la participación del financiamiento de las </w:t>
      </w:r>
      <w:proofErr w:type="spellStart"/>
      <w:r w:rsidR="007A3F2C">
        <w:rPr>
          <w:rFonts w:asciiTheme="minorHAnsi" w:hAnsiTheme="minorHAnsi" w:cs="Times New Roman"/>
          <w:lang w:val="es-ES_tradnl"/>
        </w:rPr>
        <w:t>PPPs</w:t>
      </w:r>
      <w:proofErr w:type="spellEnd"/>
      <w:r w:rsidR="007A3F2C">
        <w:rPr>
          <w:rFonts w:asciiTheme="minorHAnsi" w:hAnsiTheme="minorHAnsi" w:cs="Times New Roman"/>
          <w:lang w:val="es-ES_tradnl"/>
        </w:rPr>
        <w:t>.</w:t>
      </w:r>
      <w:r>
        <w:rPr>
          <w:rFonts w:asciiTheme="minorHAnsi" w:hAnsiTheme="minorHAnsi" w:cs="Times New Roman"/>
          <w:lang w:val="es-ES_tradnl"/>
        </w:rPr>
        <w:t xml:space="preserve"> </w:t>
      </w:r>
    </w:p>
    <w:p w:rsidR="00FA2B15" w:rsidRDefault="00654536" w:rsidP="002532C5">
      <w:pPr>
        <w:spacing w:after="180" w:line="264" w:lineRule="auto"/>
        <w:jc w:val="both"/>
        <w:rPr>
          <w:rFonts w:asciiTheme="minorHAnsi" w:hAnsiTheme="minorHAnsi" w:cs="Times New Roman"/>
          <w:lang w:val="es-ES_tradnl"/>
        </w:rPr>
      </w:pPr>
      <w:r>
        <w:rPr>
          <w:rFonts w:asciiTheme="minorHAnsi" w:hAnsiTheme="minorHAnsi" w:cs="Times New Roman"/>
          <w:lang w:val="es-ES_tradnl"/>
        </w:rPr>
        <w:t>Además, los proyectos deben estar garantizados en</w:t>
      </w:r>
      <w:r w:rsidR="002904E2">
        <w:rPr>
          <w:rFonts w:asciiTheme="minorHAnsi" w:hAnsiTheme="minorHAnsi" w:cs="Times New Roman"/>
          <w:lang w:val="es-ES_tradnl"/>
        </w:rPr>
        <w:t>tre</w:t>
      </w:r>
      <w:r>
        <w:rPr>
          <w:rFonts w:asciiTheme="minorHAnsi" w:hAnsiTheme="minorHAnsi" w:cs="Times New Roman"/>
          <w:lang w:val="es-ES_tradnl"/>
        </w:rPr>
        <w:t xml:space="preserve"> 15</w:t>
      </w:r>
      <w:r w:rsidR="002904E2">
        <w:rPr>
          <w:rFonts w:asciiTheme="minorHAnsi" w:hAnsiTheme="minorHAnsi" w:cs="Times New Roman"/>
          <w:lang w:val="es-ES_tradnl"/>
        </w:rPr>
        <w:t>%</w:t>
      </w:r>
      <w:r>
        <w:rPr>
          <w:rFonts w:asciiTheme="minorHAnsi" w:hAnsiTheme="minorHAnsi" w:cs="Times New Roman"/>
          <w:lang w:val="es-ES_tradnl"/>
        </w:rPr>
        <w:t xml:space="preserve"> </w:t>
      </w:r>
      <w:r w:rsidR="002904E2">
        <w:rPr>
          <w:rFonts w:asciiTheme="minorHAnsi" w:hAnsiTheme="minorHAnsi" w:cs="Times New Roman"/>
          <w:lang w:val="es-ES_tradnl"/>
        </w:rPr>
        <w:t xml:space="preserve">y </w:t>
      </w:r>
      <w:r>
        <w:rPr>
          <w:rFonts w:asciiTheme="minorHAnsi" w:hAnsiTheme="minorHAnsi" w:cs="Times New Roman"/>
          <w:lang w:val="es-ES_tradnl"/>
        </w:rPr>
        <w:t xml:space="preserve">30% por los sponsors, </w:t>
      </w:r>
      <w:r w:rsidR="002904E2">
        <w:rPr>
          <w:rFonts w:asciiTheme="minorHAnsi" w:hAnsiTheme="minorHAnsi" w:cs="Times New Roman"/>
          <w:lang w:val="es-ES_tradnl"/>
        </w:rPr>
        <w:t xml:space="preserve">según los casos, </w:t>
      </w:r>
      <w:r>
        <w:rPr>
          <w:rFonts w:asciiTheme="minorHAnsi" w:hAnsiTheme="minorHAnsi" w:cs="Times New Roman"/>
          <w:lang w:val="es-ES_tradnl"/>
        </w:rPr>
        <w:t>lo cual implica que no podrán ser llevados adelante sólo por compañías uruguayas</w:t>
      </w:r>
      <w:r w:rsidR="004C4FA2">
        <w:rPr>
          <w:rFonts w:asciiTheme="minorHAnsi" w:hAnsiTheme="minorHAnsi" w:cs="Times New Roman"/>
          <w:lang w:val="es-ES_tradnl"/>
        </w:rPr>
        <w:t>,</w:t>
      </w:r>
      <w:r>
        <w:rPr>
          <w:rFonts w:asciiTheme="minorHAnsi" w:hAnsiTheme="minorHAnsi" w:cs="Times New Roman"/>
          <w:lang w:val="es-ES_tradnl"/>
        </w:rPr>
        <w:t xml:space="preserve"> ya que sus patrimonios no alcanza</w:t>
      </w:r>
      <w:r w:rsidR="002904E2">
        <w:rPr>
          <w:rFonts w:asciiTheme="minorHAnsi" w:hAnsiTheme="minorHAnsi" w:cs="Times New Roman"/>
          <w:lang w:val="es-ES_tradnl"/>
        </w:rPr>
        <w:t>rían a</w:t>
      </w:r>
      <w:r>
        <w:rPr>
          <w:rFonts w:asciiTheme="minorHAnsi" w:hAnsiTheme="minorHAnsi" w:cs="Times New Roman"/>
          <w:lang w:val="es-ES_tradnl"/>
        </w:rPr>
        <w:t xml:space="preserve"> cubrir estas garantías, por ejemplo una de las empresas líderes de la construcción tiene un capital de US$ 40 millones. Por tanto, debería recurrirse a empresas internacionales o consorcios de estas con las locales para que puedan enfrentarse estas garantías</w:t>
      </w:r>
      <w:r w:rsidR="009000B0">
        <w:rPr>
          <w:rFonts w:asciiTheme="minorHAnsi" w:hAnsiTheme="minorHAnsi" w:cs="Times New Roman"/>
          <w:lang w:val="es-ES_tradnl"/>
        </w:rPr>
        <w:t>.</w:t>
      </w:r>
    </w:p>
    <w:p w:rsidR="00BB01BF" w:rsidRDefault="00BB01BF" w:rsidP="002532C5">
      <w:pPr>
        <w:spacing w:after="180" w:line="264" w:lineRule="auto"/>
        <w:jc w:val="both"/>
        <w:rPr>
          <w:rFonts w:asciiTheme="minorHAnsi" w:hAnsiTheme="minorHAnsi" w:cs="Times New Roman"/>
          <w:lang w:val="es-ES_tradnl"/>
        </w:rPr>
      </w:pPr>
    </w:p>
    <w:p w:rsidR="009000B0" w:rsidRDefault="009000B0" w:rsidP="009000B0">
      <w:pPr>
        <w:pStyle w:val="Heading3"/>
        <w:rPr>
          <w:lang w:val="es-ES_tradnl"/>
        </w:rPr>
      </w:pPr>
      <w:bookmarkStart w:id="25" w:name="_Toc428464195"/>
      <w:r>
        <w:rPr>
          <w:lang w:val="es-ES_tradnl"/>
        </w:rPr>
        <w:t>Presupuesto de la DNV y el financiamiento</w:t>
      </w:r>
      <w:bookmarkEnd w:id="25"/>
      <w:r>
        <w:rPr>
          <w:lang w:val="es-ES_tradnl"/>
        </w:rPr>
        <w:t xml:space="preserve"> </w:t>
      </w:r>
    </w:p>
    <w:p w:rsidR="009000B0" w:rsidRDefault="009000B0" w:rsidP="00CD67F0">
      <w:pPr>
        <w:spacing w:after="180" w:line="264" w:lineRule="auto"/>
        <w:jc w:val="both"/>
        <w:rPr>
          <w:rFonts w:asciiTheme="minorHAnsi" w:hAnsiTheme="minorHAnsi" w:cs="Times New Roman"/>
          <w:lang w:val="es-ES_tradnl"/>
        </w:rPr>
      </w:pPr>
    </w:p>
    <w:p w:rsidR="00E552C7" w:rsidRDefault="00E552C7" w:rsidP="00CD67F0">
      <w:pPr>
        <w:spacing w:after="180" w:line="264" w:lineRule="auto"/>
        <w:jc w:val="both"/>
        <w:rPr>
          <w:rFonts w:asciiTheme="minorHAnsi" w:hAnsiTheme="minorHAnsi" w:cs="Times New Roman"/>
          <w:lang w:val="es-ES_tradnl"/>
        </w:rPr>
      </w:pPr>
      <w:r>
        <w:rPr>
          <w:rFonts w:asciiTheme="minorHAnsi" w:hAnsiTheme="minorHAnsi" w:cs="Times New Roman"/>
          <w:lang w:val="es-ES_tradnl"/>
        </w:rPr>
        <w:t>A los efectos de completar la idea sobre la importancia relativa de las inversiones y el financiamiento a encarar en el ámbito de la nueva concesión de la CVU, las PPP previstas y la propia acción de la DNV, se compara seguidamente el endeudamiento que estas acciones generarían respecto al propio presupuesto de la DNV</w:t>
      </w:r>
    </w:p>
    <w:p w:rsidR="00E552C7" w:rsidRDefault="00E552C7" w:rsidP="00CD67F0">
      <w:pPr>
        <w:spacing w:after="180" w:line="264" w:lineRule="auto"/>
        <w:jc w:val="both"/>
        <w:rPr>
          <w:rFonts w:asciiTheme="minorHAnsi" w:hAnsiTheme="minorHAnsi" w:cs="Times New Roman"/>
          <w:lang w:val="es-ES_tradnl"/>
        </w:rPr>
      </w:pPr>
      <w:r>
        <w:rPr>
          <w:rFonts w:asciiTheme="minorHAnsi" w:hAnsiTheme="minorHAnsi" w:cs="Times New Roman"/>
          <w:lang w:val="es-ES_tradnl"/>
        </w:rPr>
        <w:t>Estas comparaciones se basan que se entiende en este trabajo que la DNV sería el responsable último de encarar las inversiones previstas y por ende también podría considerarse el responsable del endeudamiento que ello generaría, como el representante del Gobierno en el área de las inversiones viales.</w:t>
      </w:r>
    </w:p>
    <w:p w:rsidR="00185445" w:rsidRDefault="00E552C7" w:rsidP="00CD67F0">
      <w:pPr>
        <w:spacing w:after="180" w:line="264" w:lineRule="auto"/>
        <w:jc w:val="both"/>
        <w:rPr>
          <w:rFonts w:asciiTheme="minorHAnsi" w:hAnsiTheme="minorHAnsi" w:cs="Times New Roman"/>
          <w:lang w:val="es-ES_tradnl"/>
        </w:rPr>
      </w:pPr>
      <w:r>
        <w:rPr>
          <w:rFonts w:asciiTheme="minorHAnsi" w:hAnsiTheme="minorHAnsi" w:cs="Times New Roman"/>
          <w:lang w:val="es-ES_tradnl"/>
        </w:rPr>
        <w:t>L</w:t>
      </w:r>
      <w:r w:rsidR="00185445">
        <w:rPr>
          <w:rFonts w:asciiTheme="minorHAnsi" w:hAnsiTheme="minorHAnsi" w:cs="Times New Roman"/>
          <w:lang w:val="es-ES_tradnl"/>
        </w:rPr>
        <w:t>a ejecución de los</w:t>
      </w:r>
      <w:r>
        <w:rPr>
          <w:rFonts w:asciiTheme="minorHAnsi" w:hAnsiTheme="minorHAnsi" w:cs="Times New Roman"/>
          <w:lang w:val="es-ES_tradnl"/>
        </w:rPr>
        <w:t xml:space="preserve"> presupuestos de la DNV se han ubicado </w:t>
      </w:r>
      <w:r w:rsidR="00185445">
        <w:rPr>
          <w:rFonts w:asciiTheme="minorHAnsi" w:hAnsiTheme="minorHAnsi" w:cs="Times New Roman"/>
          <w:lang w:val="es-ES_tradnl"/>
        </w:rPr>
        <w:t>desde alrededor de US$ 600 millones en el quinquenio 1995-1999 a US$ 800 millones en el 2005-2009 y alrededor de US$ 1.200 millones en el último quinquenio, con la excepción del 2000-2004 cuando se redujeron a alrededor de US$ 500 millones, producto de la crisis de la época, básicamente.</w:t>
      </w:r>
    </w:p>
    <w:p w:rsidR="00185445" w:rsidRDefault="00185445" w:rsidP="00CD67F0">
      <w:pPr>
        <w:spacing w:after="180" w:line="264" w:lineRule="auto"/>
        <w:jc w:val="both"/>
        <w:rPr>
          <w:rFonts w:asciiTheme="minorHAnsi" w:hAnsiTheme="minorHAnsi" w:cs="Times New Roman"/>
          <w:lang w:val="es-ES_tradnl"/>
        </w:rPr>
      </w:pPr>
      <w:r>
        <w:rPr>
          <w:rFonts w:asciiTheme="minorHAnsi" w:hAnsiTheme="minorHAnsi" w:cs="Times New Roman"/>
          <w:lang w:val="es-ES_tradnl"/>
        </w:rPr>
        <w:t>Según información del MEF, este presupuesto para la DNV se ubicar</w:t>
      </w:r>
      <w:r w:rsidR="005F5611">
        <w:rPr>
          <w:rFonts w:asciiTheme="minorHAnsi" w:hAnsiTheme="minorHAnsi" w:cs="Times New Roman"/>
          <w:lang w:val="es-ES_tradnl"/>
        </w:rPr>
        <w:t>ía</w:t>
      </w:r>
      <w:r>
        <w:rPr>
          <w:rFonts w:asciiTheme="minorHAnsi" w:hAnsiTheme="minorHAnsi" w:cs="Times New Roman"/>
          <w:lang w:val="es-ES_tradnl"/>
        </w:rPr>
        <w:t xml:space="preserve"> en</w:t>
      </w:r>
      <w:r w:rsidR="005F5611">
        <w:rPr>
          <w:rFonts w:asciiTheme="minorHAnsi" w:hAnsiTheme="minorHAnsi" w:cs="Times New Roman"/>
          <w:lang w:val="es-ES_tradnl"/>
        </w:rPr>
        <w:t xml:space="preserve"> </w:t>
      </w:r>
      <w:r>
        <w:rPr>
          <w:rFonts w:asciiTheme="minorHAnsi" w:hAnsiTheme="minorHAnsi" w:cs="Times New Roman"/>
          <w:lang w:val="es-ES_tradnl"/>
        </w:rPr>
        <w:t>e</w:t>
      </w:r>
      <w:r w:rsidR="005F5611">
        <w:rPr>
          <w:rFonts w:asciiTheme="minorHAnsi" w:hAnsiTheme="minorHAnsi" w:cs="Times New Roman"/>
          <w:lang w:val="es-ES_tradnl"/>
        </w:rPr>
        <w:t>l</w:t>
      </w:r>
      <w:r>
        <w:rPr>
          <w:rFonts w:asciiTheme="minorHAnsi" w:hAnsiTheme="minorHAnsi" w:cs="Times New Roman"/>
          <w:lang w:val="es-ES_tradnl"/>
        </w:rPr>
        <w:t xml:space="preserve"> próximo quinquenio (2015-2019) en un nivel </w:t>
      </w:r>
      <w:r w:rsidR="005F5611">
        <w:rPr>
          <w:rFonts w:asciiTheme="minorHAnsi" w:hAnsiTheme="minorHAnsi" w:cs="Times New Roman"/>
          <w:lang w:val="es-ES_tradnl"/>
        </w:rPr>
        <w:t>algo superior a</w:t>
      </w:r>
      <w:r>
        <w:rPr>
          <w:rFonts w:asciiTheme="minorHAnsi" w:hAnsiTheme="minorHAnsi" w:cs="Times New Roman"/>
          <w:lang w:val="es-ES_tradnl"/>
        </w:rPr>
        <w:t xml:space="preserve"> </w:t>
      </w:r>
      <w:r w:rsidRPr="00185445">
        <w:rPr>
          <w:rFonts w:asciiTheme="minorHAnsi" w:hAnsiTheme="minorHAnsi" w:cs="Times New Roman"/>
          <w:lang w:val="es-ES_tradnl"/>
        </w:rPr>
        <w:t>U</w:t>
      </w:r>
      <w:r>
        <w:rPr>
          <w:rFonts w:asciiTheme="minorHAnsi" w:hAnsiTheme="minorHAnsi" w:cs="Times New Roman"/>
          <w:lang w:val="es-ES_tradnl"/>
        </w:rPr>
        <w:t>S$ 1</w:t>
      </w:r>
      <w:r w:rsidR="005F5611">
        <w:rPr>
          <w:rFonts w:asciiTheme="minorHAnsi" w:hAnsiTheme="minorHAnsi" w:cs="Times New Roman"/>
          <w:lang w:val="es-ES_tradnl"/>
        </w:rPr>
        <w:t>.</w:t>
      </w:r>
      <w:r>
        <w:rPr>
          <w:rFonts w:asciiTheme="minorHAnsi" w:hAnsiTheme="minorHAnsi" w:cs="Times New Roman"/>
          <w:lang w:val="es-ES_tradnl"/>
        </w:rPr>
        <w:t>300</w:t>
      </w:r>
      <w:r w:rsidR="005F5611">
        <w:rPr>
          <w:rFonts w:asciiTheme="minorHAnsi" w:hAnsiTheme="minorHAnsi" w:cs="Times New Roman"/>
          <w:lang w:val="es-ES_tradnl"/>
        </w:rPr>
        <w:t xml:space="preserve"> millones</w:t>
      </w:r>
      <w:r>
        <w:rPr>
          <w:rFonts w:asciiTheme="minorHAnsi" w:hAnsiTheme="minorHAnsi" w:cs="Times New Roman"/>
          <w:lang w:val="es-ES_tradnl"/>
        </w:rPr>
        <w:t>, incrementándose en cerca del 15% respecto al presupuesto quinquenal anterior. A continuación se presentan lo</w:t>
      </w:r>
      <w:r w:rsidR="005F5611">
        <w:rPr>
          <w:rFonts w:asciiTheme="minorHAnsi" w:hAnsiTheme="minorHAnsi" w:cs="Times New Roman"/>
          <w:lang w:val="es-ES_tradnl"/>
        </w:rPr>
        <w:t>s</w:t>
      </w:r>
      <w:r>
        <w:rPr>
          <w:rFonts w:asciiTheme="minorHAnsi" w:hAnsiTheme="minorHAnsi" w:cs="Times New Roman"/>
          <w:lang w:val="es-ES_tradnl"/>
        </w:rPr>
        <w:t xml:space="preserve"> valores correspondientes a lo</w:t>
      </w:r>
      <w:r w:rsidR="005F5611">
        <w:rPr>
          <w:rFonts w:asciiTheme="minorHAnsi" w:hAnsiTheme="minorHAnsi" w:cs="Times New Roman"/>
          <w:lang w:val="es-ES_tradnl"/>
        </w:rPr>
        <w:t>s</w:t>
      </w:r>
      <w:r>
        <w:rPr>
          <w:rFonts w:asciiTheme="minorHAnsi" w:hAnsiTheme="minorHAnsi" w:cs="Times New Roman"/>
          <w:lang w:val="es-ES_tradnl"/>
        </w:rPr>
        <w:t xml:space="preserve"> últimos presupuestos desagregando los montos correspondientes a</w:t>
      </w:r>
      <w:r w:rsidR="005F5611">
        <w:rPr>
          <w:rFonts w:asciiTheme="minorHAnsi" w:hAnsiTheme="minorHAnsi" w:cs="Times New Roman"/>
          <w:lang w:val="es-ES_tradnl"/>
        </w:rPr>
        <w:t xml:space="preserve"> </w:t>
      </w:r>
      <w:r>
        <w:rPr>
          <w:rFonts w:asciiTheme="minorHAnsi" w:hAnsiTheme="minorHAnsi" w:cs="Times New Roman"/>
          <w:lang w:val="es-ES_tradnl"/>
        </w:rPr>
        <w:t>los ingresos por peajes que se consideran dentro del nivel presupuestado.</w:t>
      </w:r>
    </w:p>
    <w:p w:rsidR="00185445" w:rsidRDefault="00E552C7" w:rsidP="00E552C7">
      <w:pPr>
        <w:spacing w:after="180" w:line="264" w:lineRule="auto"/>
        <w:jc w:val="center"/>
        <w:rPr>
          <w:rFonts w:asciiTheme="minorHAnsi" w:hAnsiTheme="minorHAnsi" w:cs="Times New Roman"/>
          <w:lang w:val="es-ES_tradnl"/>
        </w:rPr>
      </w:pPr>
      <w:r w:rsidRPr="00E552C7">
        <w:rPr>
          <w:noProof/>
          <w:lang w:val="en-US"/>
        </w:rPr>
        <w:drawing>
          <wp:inline distT="0" distB="0" distL="0" distR="0">
            <wp:extent cx="3959860" cy="1121410"/>
            <wp:effectExtent l="19050" t="0" r="2540" b="0"/>
            <wp:docPr id="20"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3"/>
                    <a:srcRect/>
                    <a:stretch>
                      <a:fillRect/>
                    </a:stretch>
                  </pic:blipFill>
                  <pic:spPr bwMode="auto">
                    <a:xfrm>
                      <a:off x="0" y="0"/>
                      <a:ext cx="3959860" cy="1121410"/>
                    </a:xfrm>
                    <a:prstGeom prst="rect">
                      <a:avLst/>
                    </a:prstGeom>
                    <a:noFill/>
                    <a:ln w="9525">
                      <a:noFill/>
                      <a:miter lim="800000"/>
                      <a:headEnd/>
                      <a:tailEnd/>
                    </a:ln>
                  </pic:spPr>
                </pic:pic>
              </a:graphicData>
            </a:graphic>
          </wp:inline>
        </w:drawing>
      </w:r>
    </w:p>
    <w:p w:rsidR="00E552C7" w:rsidRPr="00185445" w:rsidRDefault="00185445" w:rsidP="00E552C7">
      <w:pPr>
        <w:spacing w:after="180" w:line="264" w:lineRule="auto"/>
        <w:jc w:val="center"/>
        <w:rPr>
          <w:rFonts w:asciiTheme="minorHAnsi" w:hAnsiTheme="minorHAnsi" w:cs="Times New Roman"/>
          <w:sz w:val="18"/>
          <w:szCs w:val="18"/>
          <w:lang w:val="es-ES_tradnl"/>
        </w:rPr>
      </w:pPr>
      <w:r w:rsidRPr="00185445">
        <w:rPr>
          <w:rFonts w:asciiTheme="minorHAnsi" w:hAnsiTheme="minorHAnsi" w:cs="Times New Roman"/>
          <w:sz w:val="18"/>
          <w:szCs w:val="18"/>
          <w:lang w:val="es-ES_tradnl"/>
        </w:rPr>
        <w:t xml:space="preserve">Fuente: </w:t>
      </w:r>
      <w:r w:rsidR="005F5611">
        <w:rPr>
          <w:rFonts w:asciiTheme="minorHAnsi" w:hAnsiTheme="minorHAnsi" w:cs="Times New Roman"/>
          <w:sz w:val="18"/>
          <w:szCs w:val="18"/>
          <w:lang w:val="es-ES_tradnl"/>
        </w:rPr>
        <w:t>E</w:t>
      </w:r>
      <w:r w:rsidRPr="00185445">
        <w:rPr>
          <w:rFonts w:asciiTheme="minorHAnsi" w:hAnsiTheme="minorHAnsi" w:cs="Times New Roman"/>
          <w:sz w:val="18"/>
          <w:szCs w:val="18"/>
          <w:lang w:val="es-ES_tradnl"/>
        </w:rPr>
        <w:t>stimaciones propias en base a MEF, DNV.</w:t>
      </w:r>
      <w:r w:rsidR="00E552C7" w:rsidRPr="00185445">
        <w:rPr>
          <w:rFonts w:asciiTheme="minorHAnsi" w:hAnsiTheme="minorHAnsi" w:cs="Times New Roman"/>
          <w:sz w:val="18"/>
          <w:szCs w:val="18"/>
          <w:lang w:val="es-ES_tradnl"/>
        </w:rPr>
        <w:br w:type="page"/>
      </w:r>
    </w:p>
    <w:p w:rsidR="007A3F2C" w:rsidRDefault="005F5611">
      <w:pPr>
        <w:spacing w:after="180" w:line="264" w:lineRule="auto"/>
        <w:jc w:val="both"/>
        <w:rPr>
          <w:rFonts w:asciiTheme="minorHAnsi" w:hAnsiTheme="minorHAnsi" w:cs="Times New Roman"/>
          <w:lang w:val="es-ES_tradnl"/>
        </w:rPr>
      </w:pPr>
      <w:r>
        <w:rPr>
          <w:rFonts w:asciiTheme="minorHAnsi" w:hAnsiTheme="minorHAnsi" w:cs="Times New Roman"/>
          <w:lang w:val="es-ES_tradnl"/>
        </w:rPr>
        <w:t>Si estos montos presupuestados se comparan con los compromisos asumidos, se puede pensar que los mismos son muy inferiores a los requerimientos de deuda pública por inversiones viales, si se aplicaran los más estrictos criterios de registro de deuda por parte del Gobierno, como se ve seguidamente.</w:t>
      </w:r>
    </w:p>
    <w:p w:rsidR="005F5611" w:rsidRDefault="005F5611" w:rsidP="005F5611">
      <w:pPr>
        <w:spacing w:after="180" w:line="264" w:lineRule="auto"/>
        <w:jc w:val="center"/>
        <w:rPr>
          <w:rFonts w:asciiTheme="minorHAnsi" w:hAnsiTheme="minorHAnsi" w:cs="Times New Roman"/>
          <w:lang w:val="es-ES_tradnl"/>
        </w:rPr>
      </w:pPr>
      <w:r w:rsidRPr="005F5611">
        <w:rPr>
          <w:noProof/>
          <w:lang w:val="en-US"/>
        </w:rPr>
        <w:drawing>
          <wp:inline distT="0" distB="0" distL="0" distR="0">
            <wp:extent cx="3792855" cy="1670050"/>
            <wp:effectExtent l="19050" t="0" r="0" b="0"/>
            <wp:docPr id="2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4"/>
                    <a:srcRect/>
                    <a:stretch>
                      <a:fillRect/>
                    </a:stretch>
                  </pic:blipFill>
                  <pic:spPr bwMode="auto">
                    <a:xfrm>
                      <a:off x="0" y="0"/>
                      <a:ext cx="3792855" cy="1670050"/>
                    </a:xfrm>
                    <a:prstGeom prst="rect">
                      <a:avLst/>
                    </a:prstGeom>
                    <a:noFill/>
                    <a:ln w="9525">
                      <a:noFill/>
                      <a:miter lim="800000"/>
                      <a:headEnd/>
                      <a:tailEnd/>
                    </a:ln>
                  </pic:spPr>
                </pic:pic>
              </a:graphicData>
            </a:graphic>
          </wp:inline>
        </w:drawing>
      </w:r>
    </w:p>
    <w:p w:rsidR="005F5611" w:rsidRPr="005F5611" w:rsidRDefault="005F5611" w:rsidP="005F5611">
      <w:pPr>
        <w:spacing w:after="180" w:line="264" w:lineRule="auto"/>
        <w:jc w:val="center"/>
        <w:rPr>
          <w:rFonts w:asciiTheme="minorHAnsi" w:hAnsiTheme="minorHAnsi" w:cs="Times New Roman"/>
          <w:sz w:val="18"/>
          <w:szCs w:val="18"/>
          <w:lang w:val="es-ES_tradnl"/>
        </w:rPr>
      </w:pPr>
      <w:r w:rsidRPr="005F5611">
        <w:rPr>
          <w:rFonts w:asciiTheme="minorHAnsi" w:hAnsiTheme="minorHAnsi" w:cs="Times New Roman"/>
          <w:sz w:val="18"/>
          <w:szCs w:val="18"/>
          <w:lang w:val="es-ES_tradnl"/>
        </w:rPr>
        <w:t>Fuente: Estimaciones propias en base a MEF, DNV, CVU</w:t>
      </w:r>
      <w:r>
        <w:rPr>
          <w:rFonts w:asciiTheme="minorHAnsi" w:hAnsiTheme="minorHAnsi" w:cs="Times New Roman"/>
          <w:sz w:val="18"/>
          <w:szCs w:val="18"/>
          <w:lang w:val="es-ES_tradnl"/>
        </w:rPr>
        <w:t xml:space="preserve"> y CND</w:t>
      </w:r>
      <w:r w:rsidRPr="005F5611">
        <w:rPr>
          <w:rFonts w:asciiTheme="minorHAnsi" w:hAnsiTheme="minorHAnsi" w:cs="Times New Roman"/>
          <w:sz w:val="18"/>
          <w:szCs w:val="18"/>
          <w:lang w:val="es-ES_tradnl"/>
        </w:rPr>
        <w:t>.</w:t>
      </w:r>
    </w:p>
    <w:p w:rsidR="005F5611" w:rsidRDefault="005F47BE" w:rsidP="005F5611">
      <w:pPr>
        <w:spacing w:after="180" w:line="264" w:lineRule="auto"/>
        <w:jc w:val="both"/>
        <w:rPr>
          <w:rFonts w:asciiTheme="minorHAnsi" w:hAnsiTheme="minorHAnsi" w:cs="Times New Roman"/>
          <w:lang w:val="es-ES_tradnl"/>
        </w:rPr>
      </w:pPr>
      <w:r>
        <w:rPr>
          <w:rFonts w:asciiTheme="minorHAnsi" w:hAnsiTheme="minorHAnsi" w:cs="Times New Roman"/>
          <w:lang w:val="es-ES_tradnl"/>
        </w:rPr>
        <w:t>Otra forma de visualizar la importancia del esfuerzo que se prevé realizar el próximo quinquenio, desde el punto de vista de los presupuestos de la DNV, puede encararse comparando los compromisos de subsidios que debe enfrentar la DNV, tanto por el Anexo I de la concesión a la CVU como de los subsidios extraordinarios que derivan a</w:t>
      </w:r>
      <w:r w:rsidR="00205024">
        <w:rPr>
          <w:rFonts w:asciiTheme="minorHAnsi" w:hAnsiTheme="minorHAnsi" w:cs="Times New Roman"/>
          <w:lang w:val="es-ES_tradnl"/>
        </w:rPr>
        <w:t xml:space="preserve"> </w:t>
      </w:r>
      <w:r>
        <w:rPr>
          <w:rFonts w:asciiTheme="minorHAnsi" w:hAnsiTheme="minorHAnsi" w:cs="Times New Roman"/>
          <w:lang w:val="es-ES_tradnl"/>
        </w:rPr>
        <w:t>la CVU</w:t>
      </w:r>
      <w:r w:rsidR="00205024">
        <w:rPr>
          <w:rFonts w:asciiTheme="minorHAnsi" w:hAnsiTheme="minorHAnsi" w:cs="Times New Roman"/>
          <w:lang w:val="es-ES_tradnl"/>
        </w:rPr>
        <w:t xml:space="preserve">, los créditos multilaterales y la </w:t>
      </w:r>
      <w:proofErr w:type="spellStart"/>
      <w:r w:rsidR="00205024">
        <w:rPr>
          <w:rFonts w:asciiTheme="minorHAnsi" w:hAnsiTheme="minorHAnsi" w:cs="Times New Roman"/>
          <w:lang w:val="es-ES_tradnl"/>
        </w:rPr>
        <w:t>securitización</w:t>
      </w:r>
      <w:proofErr w:type="spellEnd"/>
      <w:r w:rsidR="00205024">
        <w:rPr>
          <w:rFonts w:asciiTheme="minorHAnsi" w:hAnsiTheme="minorHAnsi" w:cs="Times New Roman"/>
          <w:lang w:val="es-ES_tradnl"/>
        </w:rPr>
        <w:t xml:space="preserve"> de peajes para financiar aquellos, con los fondos disponibles para obras de la CND de su presupuesto.</w:t>
      </w:r>
      <w:r w:rsidR="00F964C5">
        <w:rPr>
          <w:rFonts w:asciiTheme="minorHAnsi" w:hAnsiTheme="minorHAnsi" w:cs="Times New Roman"/>
          <w:lang w:val="es-ES_tradnl"/>
        </w:rPr>
        <w:t xml:space="preserve"> En el cuadro siguiente se presenta la información respectiva.</w:t>
      </w:r>
      <w:r w:rsidR="00205024">
        <w:rPr>
          <w:rFonts w:asciiTheme="minorHAnsi" w:hAnsiTheme="minorHAnsi" w:cs="Times New Roman"/>
          <w:lang w:val="es-ES_tradnl"/>
        </w:rPr>
        <w:t xml:space="preserve">  </w:t>
      </w:r>
      <w:r>
        <w:rPr>
          <w:rFonts w:asciiTheme="minorHAnsi" w:hAnsiTheme="minorHAnsi" w:cs="Times New Roman"/>
          <w:lang w:val="es-ES_tradnl"/>
        </w:rPr>
        <w:t xml:space="preserve"> </w:t>
      </w:r>
    </w:p>
    <w:p w:rsidR="005F47BE" w:rsidRDefault="005F47BE" w:rsidP="005F47BE">
      <w:pPr>
        <w:spacing w:after="180" w:line="264" w:lineRule="auto"/>
        <w:jc w:val="center"/>
        <w:rPr>
          <w:rFonts w:asciiTheme="minorHAnsi" w:hAnsiTheme="minorHAnsi" w:cs="Times New Roman"/>
          <w:lang w:val="es-ES_tradnl"/>
        </w:rPr>
      </w:pPr>
      <w:r w:rsidRPr="005F47BE">
        <w:rPr>
          <w:noProof/>
          <w:lang w:val="en-US"/>
        </w:rPr>
        <w:drawing>
          <wp:inline distT="0" distB="0" distL="0" distR="0">
            <wp:extent cx="3792855" cy="2941955"/>
            <wp:effectExtent l="19050" t="0" r="0" b="0"/>
            <wp:docPr id="26"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5"/>
                    <a:srcRect/>
                    <a:stretch>
                      <a:fillRect/>
                    </a:stretch>
                  </pic:blipFill>
                  <pic:spPr bwMode="auto">
                    <a:xfrm>
                      <a:off x="0" y="0"/>
                      <a:ext cx="3792855" cy="2941955"/>
                    </a:xfrm>
                    <a:prstGeom prst="rect">
                      <a:avLst/>
                    </a:prstGeom>
                    <a:noFill/>
                    <a:ln w="9525">
                      <a:noFill/>
                      <a:miter lim="800000"/>
                      <a:headEnd/>
                      <a:tailEnd/>
                    </a:ln>
                  </pic:spPr>
                </pic:pic>
              </a:graphicData>
            </a:graphic>
          </wp:inline>
        </w:drawing>
      </w:r>
    </w:p>
    <w:p w:rsidR="005F5611" w:rsidRDefault="005F47BE" w:rsidP="005F47BE">
      <w:pPr>
        <w:spacing w:after="180" w:line="264" w:lineRule="auto"/>
        <w:jc w:val="center"/>
        <w:rPr>
          <w:rFonts w:asciiTheme="minorHAnsi" w:hAnsiTheme="minorHAnsi" w:cs="Times New Roman"/>
          <w:sz w:val="18"/>
          <w:szCs w:val="18"/>
          <w:lang w:val="es-ES_tradnl"/>
        </w:rPr>
      </w:pPr>
      <w:r w:rsidRPr="005F5611">
        <w:rPr>
          <w:rFonts w:asciiTheme="minorHAnsi" w:hAnsiTheme="minorHAnsi" w:cs="Times New Roman"/>
          <w:sz w:val="18"/>
          <w:szCs w:val="18"/>
          <w:lang w:val="es-ES_tradnl"/>
        </w:rPr>
        <w:t>Fuente: Estimaciones propias en base a MEF, CVU</w:t>
      </w:r>
      <w:r>
        <w:rPr>
          <w:rFonts w:asciiTheme="minorHAnsi" w:hAnsiTheme="minorHAnsi" w:cs="Times New Roman"/>
          <w:sz w:val="18"/>
          <w:szCs w:val="18"/>
          <w:lang w:val="es-ES_tradnl"/>
        </w:rPr>
        <w:t xml:space="preserve"> y CND</w:t>
      </w:r>
    </w:p>
    <w:p w:rsidR="000F402B" w:rsidRDefault="00F964C5" w:rsidP="00205024">
      <w:pPr>
        <w:spacing w:after="180" w:line="264" w:lineRule="auto"/>
        <w:rPr>
          <w:rFonts w:asciiTheme="minorHAnsi" w:hAnsiTheme="minorHAnsi" w:cs="Times New Roman"/>
          <w:lang w:val="es-ES_tradnl"/>
        </w:rPr>
      </w:pPr>
      <w:r>
        <w:rPr>
          <w:rFonts w:asciiTheme="minorHAnsi" w:hAnsiTheme="minorHAnsi" w:cs="Times New Roman"/>
          <w:lang w:val="es-ES_tradnl"/>
        </w:rPr>
        <w:t>A partir de la información del cuadro anterior, puede deducirse que los ingresos netos del presupuesto de la DNV se dirigen una parte importante</w:t>
      </w:r>
      <w:r w:rsidR="000F402B">
        <w:rPr>
          <w:rFonts w:asciiTheme="minorHAnsi" w:hAnsiTheme="minorHAnsi" w:cs="Times New Roman"/>
          <w:lang w:val="es-ES_tradnl"/>
        </w:rPr>
        <w:t xml:space="preserve">, alrededor de US$ 300 millones, a complementar el pago de </w:t>
      </w:r>
      <w:r>
        <w:rPr>
          <w:rFonts w:asciiTheme="minorHAnsi" w:hAnsiTheme="minorHAnsi" w:cs="Times New Roman"/>
          <w:lang w:val="es-ES_tradnl"/>
        </w:rPr>
        <w:t xml:space="preserve">los subsidios </w:t>
      </w:r>
      <w:r w:rsidR="000F402B">
        <w:rPr>
          <w:rFonts w:asciiTheme="minorHAnsi" w:hAnsiTheme="minorHAnsi" w:cs="Times New Roman"/>
          <w:lang w:val="es-ES_tradnl"/>
        </w:rPr>
        <w:t xml:space="preserve">por parte de </w:t>
      </w:r>
      <w:r>
        <w:rPr>
          <w:rFonts w:asciiTheme="minorHAnsi" w:hAnsiTheme="minorHAnsi" w:cs="Times New Roman"/>
          <w:lang w:val="es-ES_tradnl"/>
        </w:rPr>
        <w:t xml:space="preserve">los créditos que se asumen con este destino. </w:t>
      </w:r>
    </w:p>
    <w:p w:rsidR="000F402B" w:rsidRDefault="000F402B">
      <w:pPr>
        <w:spacing w:after="180" w:line="264" w:lineRule="auto"/>
        <w:jc w:val="both"/>
        <w:rPr>
          <w:rFonts w:asciiTheme="minorHAnsi" w:hAnsiTheme="minorHAnsi" w:cs="Times New Roman"/>
          <w:lang w:val="es-ES_tradnl"/>
        </w:rPr>
      </w:pPr>
      <w:r>
        <w:rPr>
          <w:rFonts w:asciiTheme="minorHAnsi" w:hAnsiTheme="minorHAnsi" w:cs="Times New Roman"/>
          <w:lang w:val="es-ES_tradnl"/>
        </w:rPr>
        <w:t>El saldo disponible de la DNV se dirige habitualmente al resto de las obras viales del quinquenio. Sin embargo, si se piensa en el pago de la deuda que se genera, este saldo sería muy insuficiente para hacer frente a un endeudamiento público, como el que se expuso previamente bajo los estrictos criterios de registro de deuda, que serían 3,27 veces superior a este saldo, como se expresa en el cuadro anterior.</w:t>
      </w:r>
    </w:p>
    <w:p w:rsidR="00205024" w:rsidRDefault="000F402B">
      <w:pPr>
        <w:spacing w:after="180" w:line="264" w:lineRule="auto"/>
        <w:jc w:val="both"/>
        <w:rPr>
          <w:rFonts w:asciiTheme="minorHAnsi" w:hAnsiTheme="minorHAnsi" w:cs="Times New Roman"/>
          <w:lang w:val="es-ES_tradnl"/>
        </w:rPr>
      </w:pPr>
      <w:r>
        <w:rPr>
          <w:rFonts w:asciiTheme="minorHAnsi" w:hAnsiTheme="minorHAnsi" w:cs="Times New Roman"/>
          <w:lang w:val="es-ES_tradnl"/>
        </w:rPr>
        <w:t xml:space="preserve">Por otra parte, también podría compararse este saldo con el endeudamiento dirigido a los subsidios viales (créditos multilaterales más </w:t>
      </w:r>
      <w:proofErr w:type="spellStart"/>
      <w:r>
        <w:rPr>
          <w:rFonts w:asciiTheme="minorHAnsi" w:hAnsiTheme="minorHAnsi" w:cs="Times New Roman"/>
          <w:lang w:val="es-ES_tradnl"/>
        </w:rPr>
        <w:t>securitización</w:t>
      </w:r>
      <w:proofErr w:type="spellEnd"/>
      <w:r>
        <w:rPr>
          <w:rFonts w:asciiTheme="minorHAnsi" w:hAnsiTheme="minorHAnsi" w:cs="Times New Roman"/>
          <w:lang w:val="es-ES_tradnl"/>
        </w:rPr>
        <w:t xml:space="preserve"> de peajes) y ello implicaría que este último representaría más del 70% del total de dicho saldo, lo que nuestra que estos presupuestos no pueden enfrentar este tipo de financiamiento por sí mismos, sino dejarían de lado un nivel de obras viales significativo.  </w:t>
      </w:r>
      <w:r w:rsidR="00205024">
        <w:rPr>
          <w:rFonts w:asciiTheme="minorHAnsi" w:hAnsiTheme="minorHAnsi" w:cs="Times New Roman"/>
          <w:lang w:val="es-ES_tradnl"/>
        </w:rPr>
        <w:br w:type="page"/>
      </w:r>
    </w:p>
    <w:p w:rsidR="00DE6BBA" w:rsidRDefault="007A3F2C" w:rsidP="007A3F2C">
      <w:pPr>
        <w:pStyle w:val="Heading1"/>
        <w:rPr>
          <w:lang w:val="es-ES_tradnl"/>
        </w:rPr>
      </w:pPr>
      <w:bookmarkStart w:id="26" w:name="_Toc428464196"/>
      <w:r>
        <w:rPr>
          <w:lang w:val="es-ES_tradnl"/>
        </w:rPr>
        <w:t>Bibliografía</w:t>
      </w:r>
      <w:bookmarkEnd w:id="26"/>
    </w:p>
    <w:p w:rsidR="007A3F2C" w:rsidRDefault="007A3F2C" w:rsidP="002532C5">
      <w:pPr>
        <w:spacing w:after="180" w:line="264" w:lineRule="auto"/>
        <w:jc w:val="both"/>
        <w:rPr>
          <w:rFonts w:asciiTheme="minorHAnsi" w:hAnsiTheme="minorHAnsi" w:cs="Times New Roman"/>
          <w:lang w:val="es-ES_tradnl"/>
        </w:rPr>
      </w:pPr>
    </w:p>
    <w:p w:rsidR="008B268D" w:rsidRDefault="008B268D" w:rsidP="002532C5">
      <w:pPr>
        <w:spacing w:after="180" w:line="264" w:lineRule="auto"/>
        <w:jc w:val="both"/>
        <w:rPr>
          <w:rFonts w:asciiTheme="minorHAnsi" w:hAnsiTheme="minorHAnsi" w:cs="Times New Roman"/>
          <w:lang w:val="es-ES_tradnl"/>
        </w:rPr>
      </w:pPr>
      <w:r>
        <w:rPr>
          <w:rFonts w:asciiTheme="minorHAnsi" w:hAnsiTheme="minorHAnsi" w:cs="Times New Roman"/>
          <w:lang w:val="es-ES_tradnl"/>
        </w:rPr>
        <w:t xml:space="preserve">Corporación Nacional </w:t>
      </w:r>
      <w:r w:rsidR="00455F50">
        <w:rPr>
          <w:rFonts w:asciiTheme="minorHAnsi" w:hAnsiTheme="minorHAnsi" w:cs="Times New Roman"/>
          <w:lang w:val="es-ES_tradnl"/>
        </w:rPr>
        <w:t>para el Desarrollo</w:t>
      </w:r>
      <w:r>
        <w:rPr>
          <w:rFonts w:asciiTheme="minorHAnsi" w:hAnsiTheme="minorHAnsi" w:cs="Times New Roman"/>
          <w:lang w:val="es-ES_tradnl"/>
        </w:rPr>
        <w:t xml:space="preserve"> (2015)</w:t>
      </w:r>
      <w:r w:rsidR="00DC2B41">
        <w:rPr>
          <w:rFonts w:asciiTheme="minorHAnsi" w:hAnsiTheme="minorHAnsi" w:cs="Times New Roman"/>
          <w:lang w:val="es-ES_tradnl"/>
        </w:rPr>
        <w:t>,</w:t>
      </w:r>
      <w:r>
        <w:rPr>
          <w:rFonts w:asciiTheme="minorHAnsi" w:hAnsiTheme="minorHAnsi" w:cs="Times New Roman"/>
          <w:lang w:val="es-ES_tradnl"/>
        </w:rPr>
        <w:t xml:space="preserve"> </w:t>
      </w:r>
      <w:r w:rsidR="00D8703C" w:rsidRPr="00CF3E51">
        <w:rPr>
          <w:rFonts w:asciiTheme="minorHAnsi" w:hAnsiTheme="minorHAnsi" w:cs="Times New Roman"/>
          <w:i/>
          <w:lang w:val="es-ES_tradnl"/>
        </w:rPr>
        <w:t xml:space="preserve">Memoria </w:t>
      </w:r>
      <w:r w:rsidRPr="00CF3E51">
        <w:rPr>
          <w:rFonts w:asciiTheme="minorHAnsi" w:hAnsiTheme="minorHAnsi" w:cs="Times New Roman"/>
          <w:i/>
          <w:lang w:val="es-ES_tradnl"/>
        </w:rPr>
        <w:t>2014</w:t>
      </w:r>
      <w:r>
        <w:rPr>
          <w:rFonts w:asciiTheme="minorHAnsi" w:hAnsiTheme="minorHAnsi" w:cs="Times New Roman"/>
          <w:lang w:val="es-ES_tradnl"/>
        </w:rPr>
        <w:t>. www.cnd.com.uy</w:t>
      </w:r>
      <w:r w:rsidR="00DC2B41">
        <w:rPr>
          <w:rFonts w:asciiTheme="minorHAnsi" w:hAnsiTheme="minorHAnsi" w:cs="Times New Roman"/>
          <w:lang w:val="es-ES_tradnl"/>
        </w:rPr>
        <w:t>.</w:t>
      </w:r>
      <w:r>
        <w:rPr>
          <w:rFonts w:asciiTheme="minorHAnsi" w:hAnsiTheme="minorHAnsi" w:cs="Times New Roman"/>
          <w:lang w:val="es-ES_tradnl"/>
        </w:rPr>
        <w:t xml:space="preserve"> Montevideo, Uruguay</w:t>
      </w:r>
    </w:p>
    <w:p w:rsidR="008B268D" w:rsidRDefault="00455F50" w:rsidP="008B268D">
      <w:pPr>
        <w:spacing w:after="180" w:line="264" w:lineRule="auto"/>
        <w:jc w:val="both"/>
        <w:rPr>
          <w:rFonts w:asciiTheme="minorHAnsi" w:hAnsiTheme="minorHAnsi" w:cs="Times New Roman"/>
          <w:lang w:val="es-ES_tradnl"/>
        </w:rPr>
      </w:pPr>
      <w:r>
        <w:rPr>
          <w:rFonts w:asciiTheme="minorHAnsi" w:hAnsiTheme="minorHAnsi" w:cs="Times New Roman"/>
          <w:lang w:val="es-ES_tradnl"/>
        </w:rPr>
        <w:t xml:space="preserve">Corporación Nacional para el Desarrollo </w:t>
      </w:r>
      <w:r w:rsidR="008B268D">
        <w:rPr>
          <w:rFonts w:asciiTheme="minorHAnsi" w:hAnsiTheme="minorHAnsi" w:cs="Times New Roman"/>
          <w:lang w:val="es-ES_tradnl"/>
        </w:rPr>
        <w:t>(2015)</w:t>
      </w:r>
      <w:r w:rsidR="00DC2B41">
        <w:rPr>
          <w:rFonts w:asciiTheme="minorHAnsi" w:hAnsiTheme="minorHAnsi" w:cs="Times New Roman"/>
          <w:lang w:val="es-ES_tradnl"/>
        </w:rPr>
        <w:t>,</w:t>
      </w:r>
      <w:r w:rsidR="008B268D">
        <w:rPr>
          <w:rFonts w:asciiTheme="minorHAnsi" w:hAnsiTheme="minorHAnsi" w:cs="Times New Roman"/>
          <w:lang w:val="es-ES_tradnl"/>
        </w:rPr>
        <w:t xml:space="preserve"> </w:t>
      </w:r>
      <w:r w:rsidR="008B268D" w:rsidRPr="00CF3E51">
        <w:rPr>
          <w:rFonts w:asciiTheme="minorHAnsi" w:hAnsiTheme="minorHAnsi" w:cs="Times New Roman"/>
          <w:i/>
          <w:lang w:val="es-ES_tradnl"/>
        </w:rPr>
        <w:t>Estados Contables Consolidados al 31 de diciembre de 2014</w:t>
      </w:r>
      <w:r w:rsidR="008B268D">
        <w:rPr>
          <w:rFonts w:asciiTheme="minorHAnsi" w:hAnsiTheme="minorHAnsi" w:cs="Times New Roman"/>
          <w:lang w:val="es-ES_tradnl"/>
        </w:rPr>
        <w:t>. www.cnd.com.uy. Montevideo, Uruguay.</w:t>
      </w:r>
    </w:p>
    <w:p w:rsidR="008B268D" w:rsidRDefault="008B268D" w:rsidP="008B268D">
      <w:pPr>
        <w:spacing w:after="180" w:line="264" w:lineRule="auto"/>
        <w:jc w:val="both"/>
        <w:rPr>
          <w:rFonts w:asciiTheme="minorHAnsi" w:hAnsiTheme="minorHAnsi" w:cs="Times New Roman"/>
          <w:lang w:val="es-ES_tradnl"/>
        </w:rPr>
      </w:pPr>
      <w:r>
        <w:rPr>
          <w:rFonts w:asciiTheme="minorHAnsi" w:hAnsiTheme="minorHAnsi" w:cs="Times New Roman"/>
          <w:lang w:val="es-ES_tradnl"/>
        </w:rPr>
        <w:t>Corporación Vial del Uruguay (2015)</w:t>
      </w:r>
      <w:r w:rsidR="00DC2B41">
        <w:rPr>
          <w:rFonts w:asciiTheme="minorHAnsi" w:hAnsiTheme="minorHAnsi" w:cs="Times New Roman"/>
          <w:lang w:val="es-ES_tradnl"/>
        </w:rPr>
        <w:t>,</w:t>
      </w:r>
      <w:r>
        <w:rPr>
          <w:rFonts w:asciiTheme="minorHAnsi" w:hAnsiTheme="minorHAnsi" w:cs="Times New Roman"/>
          <w:lang w:val="es-ES_tradnl"/>
        </w:rPr>
        <w:t xml:space="preserve"> </w:t>
      </w:r>
      <w:r w:rsidRPr="00CF3E51">
        <w:rPr>
          <w:rFonts w:asciiTheme="minorHAnsi" w:hAnsiTheme="minorHAnsi" w:cs="Times New Roman"/>
          <w:i/>
          <w:lang w:val="es-ES_tradnl"/>
        </w:rPr>
        <w:t>Estados Contables Individuales al 31 de diciembre de 2014.</w:t>
      </w:r>
      <w:r>
        <w:rPr>
          <w:rFonts w:asciiTheme="minorHAnsi" w:hAnsiTheme="minorHAnsi" w:cs="Times New Roman"/>
          <w:lang w:val="es-ES_tradnl"/>
        </w:rPr>
        <w:t xml:space="preserve"> www.cnd.com.uy. Montevideo, Uruguay.</w:t>
      </w:r>
    </w:p>
    <w:p w:rsidR="00DC2B41" w:rsidRDefault="00DC2B41" w:rsidP="00DC2B41">
      <w:pPr>
        <w:spacing w:after="180" w:line="264" w:lineRule="auto"/>
        <w:jc w:val="both"/>
        <w:rPr>
          <w:rFonts w:asciiTheme="minorHAnsi" w:hAnsiTheme="minorHAnsi" w:cs="Times New Roman"/>
          <w:lang w:val="es-ES_tradnl"/>
        </w:rPr>
      </w:pPr>
      <w:r>
        <w:rPr>
          <w:rFonts w:asciiTheme="minorHAnsi" w:hAnsiTheme="minorHAnsi" w:cs="Times New Roman"/>
          <w:lang w:val="es-ES_tradnl"/>
        </w:rPr>
        <w:t xml:space="preserve">Corporación Vial del Uruguay S.A. (2015), </w:t>
      </w:r>
      <w:r w:rsidRPr="00CF3E51">
        <w:rPr>
          <w:rFonts w:asciiTheme="minorHAnsi" w:hAnsiTheme="minorHAnsi" w:cs="Times New Roman"/>
          <w:i/>
          <w:lang w:val="es-ES_tradnl"/>
        </w:rPr>
        <w:t>Estados Financieros al 31 de octubre de 2014,</w:t>
      </w:r>
      <w:r w:rsidR="00CF3E51">
        <w:rPr>
          <w:rFonts w:asciiTheme="minorHAnsi" w:hAnsiTheme="minorHAnsi" w:cs="Times New Roman"/>
          <w:i/>
          <w:lang w:val="es-ES_tradnl"/>
        </w:rPr>
        <w:t xml:space="preserve">31 de octubre de </w:t>
      </w:r>
      <w:r w:rsidRPr="00CF3E51">
        <w:rPr>
          <w:rFonts w:asciiTheme="minorHAnsi" w:hAnsiTheme="minorHAnsi" w:cs="Times New Roman"/>
          <w:i/>
          <w:lang w:val="es-ES_tradnl"/>
        </w:rPr>
        <w:t xml:space="preserve">2013 y </w:t>
      </w:r>
      <w:r w:rsidR="00CF3E51">
        <w:rPr>
          <w:rFonts w:asciiTheme="minorHAnsi" w:hAnsiTheme="minorHAnsi" w:cs="Times New Roman"/>
          <w:i/>
          <w:lang w:val="es-ES_tradnl"/>
        </w:rPr>
        <w:t xml:space="preserve">31 de octubre de </w:t>
      </w:r>
      <w:r w:rsidRPr="00CF3E51">
        <w:rPr>
          <w:rFonts w:asciiTheme="minorHAnsi" w:hAnsiTheme="minorHAnsi" w:cs="Times New Roman"/>
          <w:i/>
          <w:lang w:val="es-ES_tradnl"/>
        </w:rPr>
        <w:t>2012</w:t>
      </w:r>
      <w:r>
        <w:rPr>
          <w:rFonts w:asciiTheme="minorHAnsi" w:hAnsiTheme="minorHAnsi" w:cs="Times New Roman"/>
          <w:lang w:val="es-ES_tradnl"/>
        </w:rPr>
        <w:t>. www.cvu.com.uy. Montevideo, Uruguay.</w:t>
      </w:r>
    </w:p>
    <w:p w:rsidR="00B9474C" w:rsidRPr="00B443D5" w:rsidRDefault="00B9474C" w:rsidP="002532C5">
      <w:pPr>
        <w:spacing w:after="180" w:line="264" w:lineRule="auto"/>
        <w:jc w:val="both"/>
        <w:rPr>
          <w:rFonts w:asciiTheme="minorHAnsi" w:hAnsiTheme="minorHAnsi"/>
          <w:lang w:val="en-US"/>
        </w:rPr>
      </w:pPr>
      <w:proofErr w:type="gramStart"/>
      <w:r w:rsidRPr="00B443D5">
        <w:rPr>
          <w:rFonts w:asciiTheme="minorHAnsi" w:hAnsiTheme="minorHAnsi" w:cs="TimesNewRoman"/>
          <w:lang w:val="en-US"/>
        </w:rPr>
        <w:t>Fiscal Affairs Department</w:t>
      </w:r>
      <w:r w:rsidRPr="00B443D5">
        <w:rPr>
          <w:rFonts w:asciiTheme="minorHAnsi" w:hAnsiTheme="minorHAnsi"/>
          <w:lang w:val="en-US"/>
        </w:rPr>
        <w:t xml:space="preserve"> (2004), </w:t>
      </w:r>
      <w:r w:rsidRPr="00B443D5">
        <w:rPr>
          <w:rFonts w:asciiTheme="minorHAnsi" w:hAnsiTheme="minorHAnsi"/>
          <w:i/>
          <w:lang w:val="en-US"/>
        </w:rPr>
        <w:t>Public Private Partnerships.</w:t>
      </w:r>
      <w:proofErr w:type="gramEnd"/>
      <w:r w:rsidRPr="00B443D5">
        <w:rPr>
          <w:rFonts w:asciiTheme="minorHAnsi" w:hAnsiTheme="minorHAnsi"/>
          <w:lang w:val="en-US"/>
        </w:rPr>
        <w:t xml:space="preserve"> </w:t>
      </w:r>
      <w:proofErr w:type="gramStart"/>
      <w:r w:rsidRPr="00B443D5">
        <w:rPr>
          <w:rFonts w:asciiTheme="minorHAnsi" w:hAnsiTheme="minorHAnsi"/>
          <w:lang w:val="en-US"/>
        </w:rPr>
        <w:t xml:space="preserve">International Monetary </w:t>
      </w:r>
      <w:proofErr w:type="spellStart"/>
      <w:r w:rsidRPr="00B443D5">
        <w:rPr>
          <w:rFonts w:asciiTheme="minorHAnsi" w:hAnsiTheme="minorHAnsi"/>
          <w:lang w:val="en-US"/>
        </w:rPr>
        <w:t>Fund.Washington</w:t>
      </w:r>
      <w:proofErr w:type="spellEnd"/>
      <w:r w:rsidRPr="00B443D5">
        <w:rPr>
          <w:rFonts w:asciiTheme="minorHAnsi" w:hAnsiTheme="minorHAnsi"/>
          <w:lang w:val="en-US"/>
        </w:rPr>
        <w:t>, D.C., USA.</w:t>
      </w:r>
      <w:proofErr w:type="gramEnd"/>
    </w:p>
    <w:p w:rsidR="00B9474C" w:rsidRDefault="00B9474C" w:rsidP="00B9474C">
      <w:pPr>
        <w:autoSpaceDE w:val="0"/>
        <w:autoSpaceDN w:val="0"/>
        <w:adjustRightInd w:val="0"/>
        <w:spacing w:after="0" w:line="240" w:lineRule="auto"/>
        <w:rPr>
          <w:rFonts w:asciiTheme="minorHAnsi" w:eastAsiaTheme="minorHAnsi" w:hAnsiTheme="minorHAnsi" w:cs="MyriadPro-Regular"/>
          <w:color w:val="0A4FFF"/>
        </w:rPr>
      </w:pPr>
      <w:r w:rsidRPr="00B443D5">
        <w:rPr>
          <w:rFonts w:asciiTheme="minorHAnsi" w:eastAsiaTheme="minorHAnsi" w:hAnsiTheme="minorHAnsi" w:cstheme="minorBidi"/>
          <w:lang w:val="en-US"/>
        </w:rPr>
        <w:t>European PPP Expertise Center (2011)</w:t>
      </w:r>
      <w:proofErr w:type="gramStart"/>
      <w:r w:rsidRPr="00B443D5">
        <w:rPr>
          <w:rFonts w:asciiTheme="minorHAnsi" w:eastAsiaTheme="minorHAnsi" w:hAnsiTheme="minorHAnsi" w:cstheme="minorBidi"/>
          <w:lang w:val="en-US"/>
        </w:rPr>
        <w:t xml:space="preserve">,  </w:t>
      </w:r>
      <w:r w:rsidRPr="00B443D5">
        <w:rPr>
          <w:rFonts w:asciiTheme="minorHAnsi" w:eastAsiaTheme="minorHAnsi" w:hAnsiTheme="minorHAnsi" w:cstheme="minorBidi"/>
          <w:i/>
          <w:lang w:val="en-US"/>
        </w:rPr>
        <w:t>Eurostat</w:t>
      </w:r>
      <w:proofErr w:type="gramEnd"/>
      <w:r w:rsidRPr="00B443D5">
        <w:rPr>
          <w:rFonts w:asciiTheme="minorHAnsi" w:eastAsiaTheme="minorHAnsi" w:hAnsiTheme="minorHAnsi" w:cstheme="minorBidi"/>
          <w:i/>
          <w:lang w:val="en-US"/>
        </w:rPr>
        <w:t xml:space="preserve"> Treatment of Public-Private Partnerships - Purposes, Methodology and Recent Trends</w:t>
      </w:r>
      <w:r w:rsidRPr="00B443D5">
        <w:rPr>
          <w:rFonts w:asciiTheme="minorHAnsi" w:eastAsiaTheme="minorHAnsi" w:hAnsiTheme="minorHAnsi" w:cstheme="minorBidi"/>
          <w:lang w:val="en-US"/>
        </w:rPr>
        <w:t xml:space="preserve"> (2011). </w:t>
      </w:r>
      <w:hyperlink r:id="rId36" w:history="1">
        <w:r w:rsidRPr="00AE3280">
          <w:rPr>
            <w:rStyle w:val="Hyperlink"/>
            <w:rFonts w:asciiTheme="minorHAnsi" w:eastAsiaTheme="minorHAnsi" w:hAnsiTheme="minorHAnsi" w:cstheme="minorBidi"/>
          </w:rPr>
          <w:t>www.eib.org/epec</w:t>
        </w:r>
      </w:hyperlink>
      <w:r>
        <w:rPr>
          <w:rFonts w:asciiTheme="minorHAnsi" w:eastAsiaTheme="minorHAnsi" w:hAnsiTheme="minorHAnsi" w:cstheme="minorBidi"/>
        </w:rPr>
        <w:t>. Luxemburgo.</w:t>
      </w:r>
      <w:r w:rsidRPr="00B9474C">
        <w:rPr>
          <w:rFonts w:asciiTheme="minorHAnsi" w:eastAsiaTheme="minorHAnsi" w:hAnsiTheme="minorHAnsi" w:cs="MyriadPro-Regular"/>
          <w:color w:val="0A4FFF"/>
        </w:rPr>
        <w:t xml:space="preserve"> </w:t>
      </w:r>
    </w:p>
    <w:p w:rsidR="00B9474C" w:rsidRPr="00B9474C" w:rsidRDefault="00B9474C" w:rsidP="00B9474C">
      <w:pPr>
        <w:autoSpaceDE w:val="0"/>
        <w:autoSpaceDN w:val="0"/>
        <w:adjustRightInd w:val="0"/>
        <w:spacing w:after="0" w:line="240" w:lineRule="auto"/>
        <w:rPr>
          <w:rFonts w:asciiTheme="minorHAnsi" w:hAnsiTheme="minorHAnsi"/>
          <w:lang w:val="es-ES_tradnl"/>
        </w:rPr>
      </w:pPr>
    </w:p>
    <w:p w:rsidR="00DC2B41" w:rsidRPr="00B443D5" w:rsidRDefault="00DC2B41" w:rsidP="002532C5">
      <w:pPr>
        <w:spacing w:after="180" w:line="264" w:lineRule="auto"/>
        <w:jc w:val="both"/>
        <w:rPr>
          <w:rFonts w:asciiTheme="minorHAnsi" w:hAnsiTheme="minorHAnsi" w:cs="Times New Roman"/>
          <w:lang w:val="en-US"/>
        </w:rPr>
      </w:pPr>
      <w:proofErr w:type="spellStart"/>
      <w:r w:rsidRPr="00B9474C">
        <w:rPr>
          <w:rFonts w:asciiTheme="minorHAnsi" w:hAnsiTheme="minorHAnsi" w:cs="Times New Roman"/>
          <w:lang w:val="es-ES_tradnl"/>
        </w:rPr>
        <w:t>Fitch</w:t>
      </w:r>
      <w:proofErr w:type="spellEnd"/>
      <w:r w:rsidRPr="00B9474C">
        <w:rPr>
          <w:rFonts w:asciiTheme="minorHAnsi" w:hAnsiTheme="minorHAnsi" w:cs="Times New Roman"/>
          <w:lang w:val="es-ES_tradnl"/>
        </w:rPr>
        <w:t xml:space="preserve"> Ratings (2013), </w:t>
      </w:r>
      <w:r w:rsidRPr="00B9474C">
        <w:rPr>
          <w:rFonts w:asciiTheme="minorHAnsi" w:hAnsiTheme="minorHAnsi" w:cs="Times New Roman"/>
          <w:i/>
          <w:lang w:val="es-ES_tradnl"/>
        </w:rPr>
        <w:t>Corporación Vial del Uruguay S.A.</w:t>
      </w:r>
      <w:r w:rsidRPr="00B9474C">
        <w:rPr>
          <w:rFonts w:asciiTheme="minorHAnsi" w:hAnsiTheme="minorHAnsi" w:cs="Times New Roman"/>
          <w:lang w:val="es-ES_tradnl"/>
        </w:rPr>
        <w:t xml:space="preserve"> </w:t>
      </w:r>
      <w:r w:rsidRPr="00B9474C">
        <w:rPr>
          <w:rFonts w:asciiTheme="minorHAnsi" w:hAnsiTheme="minorHAnsi" w:cs="Times New Roman"/>
          <w:i/>
          <w:lang w:val="es-ES_tradnl"/>
        </w:rPr>
        <w:t>Calificación de Deuda</w:t>
      </w:r>
      <w:r w:rsidRPr="00B9474C">
        <w:rPr>
          <w:rFonts w:asciiTheme="minorHAnsi" w:hAnsiTheme="minorHAnsi" w:cs="Times New Roman"/>
          <w:lang w:val="es-ES_tradnl"/>
        </w:rPr>
        <w:t xml:space="preserve">. </w:t>
      </w:r>
      <w:proofErr w:type="spellStart"/>
      <w:proofErr w:type="gramStart"/>
      <w:r w:rsidRPr="00B443D5">
        <w:rPr>
          <w:rFonts w:asciiTheme="minorHAnsi" w:hAnsiTheme="minorHAnsi" w:cs="Times New Roman"/>
          <w:lang w:val="en-US"/>
        </w:rPr>
        <w:t>Finanzas</w:t>
      </w:r>
      <w:proofErr w:type="spellEnd"/>
      <w:r w:rsidRPr="00B443D5">
        <w:rPr>
          <w:rFonts w:asciiTheme="minorHAnsi" w:hAnsiTheme="minorHAnsi" w:cs="Times New Roman"/>
          <w:lang w:val="en-US"/>
        </w:rPr>
        <w:t xml:space="preserve"> </w:t>
      </w:r>
      <w:proofErr w:type="spellStart"/>
      <w:r w:rsidRPr="00B443D5">
        <w:rPr>
          <w:rFonts w:asciiTheme="minorHAnsi" w:hAnsiTheme="minorHAnsi" w:cs="Times New Roman"/>
          <w:lang w:val="en-US"/>
        </w:rPr>
        <w:t>corporativas</w:t>
      </w:r>
      <w:proofErr w:type="spellEnd"/>
      <w:r w:rsidRPr="00B443D5">
        <w:rPr>
          <w:rFonts w:asciiTheme="minorHAnsi" w:hAnsiTheme="minorHAnsi" w:cs="Times New Roman"/>
          <w:lang w:val="en-US"/>
        </w:rPr>
        <w:t>.</w:t>
      </w:r>
      <w:proofErr w:type="gramEnd"/>
      <w:r w:rsidRPr="00B443D5">
        <w:rPr>
          <w:rFonts w:asciiTheme="minorHAnsi" w:hAnsiTheme="minorHAnsi" w:cs="Times New Roman"/>
          <w:lang w:val="en-US"/>
        </w:rPr>
        <w:t xml:space="preserve"> </w:t>
      </w:r>
      <w:proofErr w:type="gramStart"/>
      <w:r w:rsidRPr="00B443D5">
        <w:rPr>
          <w:rFonts w:asciiTheme="minorHAnsi" w:hAnsiTheme="minorHAnsi" w:cs="Times New Roman"/>
          <w:lang w:val="en-US"/>
        </w:rPr>
        <w:t>www.cvu.com.uy</w:t>
      </w:r>
      <w:proofErr w:type="gramEnd"/>
      <w:r w:rsidRPr="00B443D5">
        <w:rPr>
          <w:rFonts w:asciiTheme="minorHAnsi" w:hAnsiTheme="minorHAnsi" w:cs="Times New Roman"/>
          <w:lang w:val="en-US"/>
        </w:rPr>
        <w:t>. Montevideo, Uruguay</w:t>
      </w:r>
    </w:p>
    <w:p w:rsidR="00DC2B41" w:rsidRPr="00B443D5" w:rsidRDefault="00DC2B41" w:rsidP="002532C5">
      <w:pPr>
        <w:spacing w:after="180" w:line="264" w:lineRule="auto"/>
        <w:jc w:val="both"/>
        <w:rPr>
          <w:rFonts w:asciiTheme="minorHAnsi" w:hAnsiTheme="minorHAnsi" w:cs="Times New Roman"/>
          <w:lang w:val="en-US"/>
        </w:rPr>
      </w:pPr>
      <w:proofErr w:type="spellStart"/>
      <w:r w:rsidRPr="00B443D5">
        <w:rPr>
          <w:rFonts w:asciiTheme="minorHAnsi" w:hAnsiTheme="minorHAnsi" w:cs="Times New Roman"/>
          <w:lang w:val="en-US"/>
        </w:rPr>
        <w:t>Funke</w:t>
      </w:r>
      <w:proofErr w:type="spellEnd"/>
      <w:r w:rsidRPr="00B443D5">
        <w:rPr>
          <w:rFonts w:asciiTheme="minorHAnsi" w:hAnsiTheme="minorHAnsi" w:cs="Times New Roman"/>
          <w:lang w:val="en-US"/>
        </w:rPr>
        <w:t xml:space="preserve">, K., Irwin T. y </w:t>
      </w:r>
      <w:proofErr w:type="spellStart"/>
      <w:r w:rsidRPr="00B443D5">
        <w:rPr>
          <w:rFonts w:asciiTheme="minorHAnsi" w:hAnsiTheme="minorHAnsi" w:cs="Times New Roman"/>
          <w:lang w:val="en-US"/>
        </w:rPr>
        <w:t>Rial</w:t>
      </w:r>
      <w:proofErr w:type="spellEnd"/>
      <w:r w:rsidRPr="00B443D5">
        <w:rPr>
          <w:rFonts w:asciiTheme="minorHAnsi" w:hAnsiTheme="minorHAnsi" w:cs="Times New Roman"/>
          <w:lang w:val="en-US"/>
        </w:rPr>
        <w:t xml:space="preserve"> I. (2013), </w:t>
      </w:r>
      <w:r w:rsidRPr="00B443D5">
        <w:rPr>
          <w:rFonts w:asciiTheme="minorHAnsi" w:hAnsiTheme="minorHAnsi" w:cs="Times New Roman"/>
          <w:i/>
          <w:lang w:val="en-US"/>
        </w:rPr>
        <w:t>Budgeting and Reporting for Public-Private Partnerships</w:t>
      </w:r>
      <w:r w:rsidR="001B7462" w:rsidRPr="00B443D5">
        <w:rPr>
          <w:rFonts w:asciiTheme="minorHAnsi" w:hAnsiTheme="minorHAnsi" w:cs="Times New Roman"/>
          <w:lang w:val="en-US"/>
        </w:rPr>
        <w:t xml:space="preserve">. </w:t>
      </w:r>
      <w:proofErr w:type="gramStart"/>
      <w:r w:rsidR="001B7462" w:rsidRPr="00B443D5">
        <w:rPr>
          <w:rFonts w:asciiTheme="minorHAnsi" w:hAnsiTheme="minorHAnsi" w:cs="Times New Roman"/>
          <w:lang w:val="en-US"/>
        </w:rPr>
        <w:t>International Transport Forum.</w:t>
      </w:r>
      <w:proofErr w:type="gramEnd"/>
      <w:r w:rsidR="001B7462" w:rsidRPr="00B443D5">
        <w:rPr>
          <w:rFonts w:asciiTheme="minorHAnsi" w:hAnsiTheme="minorHAnsi" w:cs="Times New Roman"/>
          <w:lang w:val="en-US"/>
        </w:rPr>
        <w:t xml:space="preserve"> </w:t>
      </w:r>
      <w:proofErr w:type="gramStart"/>
      <w:r w:rsidR="001B7462" w:rsidRPr="00B443D5">
        <w:rPr>
          <w:rFonts w:asciiTheme="minorHAnsi" w:hAnsiTheme="minorHAnsi" w:cs="Times New Roman"/>
          <w:lang w:val="en-US"/>
        </w:rPr>
        <w:t>Discussion Paper 2013 – 07.</w:t>
      </w:r>
      <w:proofErr w:type="gramEnd"/>
      <w:r w:rsidR="001B7462" w:rsidRPr="00B443D5">
        <w:rPr>
          <w:rFonts w:asciiTheme="minorHAnsi" w:hAnsiTheme="minorHAnsi" w:cs="Times New Roman"/>
          <w:lang w:val="en-US"/>
        </w:rPr>
        <w:t xml:space="preserve"> </w:t>
      </w:r>
      <w:proofErr w:type="gramStart"/>
      <w:r w:rsidR="001B7462" w:rsidRPr="00B443D5">
        <w:rPr>
          <w:rFonts w:asciiTheme="minorHAnsi" w:hAnsiTheme="minorHAnsi" w:cs="Times New Roman"/>
          <w:lang w:val="en-US"/>
        </w:rPr>
        <w:t>Fiscal Affairs Department, IMF.</w:t>
      </w:r>
      <w:proofErr w:type="gramEnd"/>
      <w:r w:rsidR="001B7462" w:rsidRPr="00B443D5">
        <w:rPr>
          <w:rFonts w:asciiTheme="minorHAnsi" w:hAnsiTheme="minorHAnsi" w:cs="Times New Roman"/>
          <w:lang w:val="en-US"/>
        </w:rPr>
        <w:t xml:space="preserve"> Washington D.C., USA.</w:t>
      </w:r>
    </w:p>
    <w:p w:rsidR="001B7462" w:rsidRPr="00B443D5" w:rsidRDefault="001B7462" w:rsidP="001B7462">
      <w:pPr>
        <w:spacing w:after="180" w:line="264" w:lineRule="auto"/>
        <w:jc w:val="both"/>
        <w:rPr>
          <w:rFonts w:asciiTheme="minorHAnsi" w:hAnsiTheme="minorHAnsi" w:cs="Times New Roman"/>
          <w:lang w:val="en-US"/>
        </w:rPr>
      </w:pPr>
      <w:proofErr w:type="spellStart"/>
      <w:r w:rsidRPr="00680F25">
        <w:rPr>
          <w:rFonts w:asciiTheme="minorHAnsi" w:hAnsiTheme="minorHAnsi" w:cs="Times New Roman"/>
          <w:lang w:val="es-ES_tradnl"/>
        </w:rPr>
        <w:t>Irwin</w:t>
      </w:r>
      <w:proofErr w:type="spellEnd"/>
      <w:r w:rsidRPr="00680F25">
        <w:rPr>
          <w:rFonts w:asciiTheme="minorHAnsi" w:hAnsiTheme="minorHAnsi" w:cs="Times New Roman"/>
          <w:lang w:val="es-ES_tradnl"/>
        </w:rPr>
        <w:t xml:space="preserve">, T. y </w:t>
      </w:r>
      <w:proofErr w:type="spellStart"/>
      <w:r w:rsidRPr="00680F25">
        <w:rPr>
          <w:rFonts w:asciiTheme="minorHAnsi" w:hAnsiTheme="minorHAnsi" w:cs="Times New Roman"/>
          <w:lang w:val="es-ES_tradnl"/>
        </w:rPr>
        <w:t>Mokdad</w:t>
      </w:r>
      <w:proofErr w:type="spellEnd"/>
      <w:r w:rsidRPr="00680F25">
        <w:rPr>
          <w:rFonts w:asciiTheme="minorHAnsi" w:hAnsiTheme="minorHAnsi" w:cs="Times New Roman"/>
          <w:lang w:val="es-ES_tradnl"/>
        </w:rPr>
        <w:t xml:space="preserve">, T. (2010). </w:t>
      </w:r>
      <w:proofErr w:type="gramStart"/>
      <w:r w:rsidRPr="00B443D5">
        <w:rPr>
          <w:rFonts w:asciiTheme="minorHAnsi" w:hAnsiTheme="minorHAnsi" w:cs="Times New Roman"/>
          <w:i/>
          <w:lang w:val="en-US"/>
        </w:rPr>
        <w:t>Managing Contingent Liabilities in Public-Private Partnerships.</w:t>
      </w:r>
      <w:proofErr w:type="gramEnd"/>
      <w:r w:rsidRPr="00B443D5">
        <w:rPr>
          <w:rFonts w:asciiTheme="minorHAnsi" w:hAnsiTheme="minorHAnsi" w:cs="Times New Roman"/>
          <w:i/>
          <w:lang w:val="en-US"/>
        </w:rPr>
        <w:t xml:space="preserve"> Practice in Australia, Chile and South Africa</w:t>
      </w:r>
      <w:r w:rsidRPr="00B443D5">
        <w:rPr>
          <w:rFonts w:asciiTheme="minorHAnsi" w:hAnsiTheme="minorHAnsi" w:cs="Times New Roman"/>
          <w:lang w:val="en-US"/>
        </w:rPr>
        <w:t xml:space="preserve">. Public-Private </w:t>
      </w:r>
      <w:proofErr w:type="spellStart"/>
      <w:r w:rsidRPr="00B443D5">
        <w:rPr>
          <w:rFonts w:asciiTheme="minorHAnsi" w:hAnsiTheme="minorHAnsi" w:cs="Times New Roman"/>
          <w:lang w:val="en-US"/>
        </w:rPr>
        <w:t>Infraestructre</w:t>
      </w:r>
      <w:proofErr w:type="spellEnd"/>
      <w:r w:rsidRPr="00B443D5">
        <w:rPr>
          <w:rFonts w:asciiTheme="minorHAnsi" w:hAnsiTheme="minorHAnsi" w:cs="Times New Roman"/>
          <w:lang w:val="en-US"/>
        </w:rPr>
        <w:t xml:space="preserve"> Advisory </w:t>
      </w:r>
      <w:proofErr w:type="spellStart"/>
      <w:r w:rsidRPr="00B443D5">
        <w:rPr>
          <w:rFonts w:asciiTheme="minorHAnsi" w:hAnsiTheme="minorHAnsi" w:cs="Times New Roman"/>
          <w:lang w:val="en-US"/>
        </w:rPr>
        <w:t>Cacility</w:t>
      </w:r>
      <w:proofErr w:type="spellEnd"/>
      <w:r w:rsidRPr="00B443D5">
        <w:rPr>
          <w:rFonts w:asciiTheme="minorHAnsi" w:hAnsiTheme="minorHAnsi" w:cs="Times New Roman"/>
          <w:lang w:val="en-US"/>
        </w:rPr>
        <w:t xml:space="preserve">, </w:t>
      </w:r>
      <w:proofErr w:type="gramStart"/>
      <w:r w:rsidRPr="00B443D5">
        <w:rPr>
          <w:rFonts w:asciiTheme="minorHAnsi" w:hAnsiTheme="minorHAnsi" w:cs="Times New Roman"/>
          <w:lang w:val="en-US"/>
        </w:rPr>
        <w:t>The</w:t>
      </w:r>
      <w:proofErr w:type="gramEnd"/>
      <w:r w:rsidRPr="00B443D5">
        <w:rPr>
          <w:rFonts w:asciiTheme="minorHAnsi" w:hAnsiTheme="minorHAnsi" w:cs="Times New Roman"/>
          <w:lang w:val="en-US"/>
        </w:rPr>
        <w:t xml:space="preserve"> World Bank. Washington D.C., USA.</w:t>
      </w:r>
    </w:p>
    <w:p w:rsidR="001B7462" w:rsidRPr="00B443D5" w:rsidRDefault="001B7462" w:rsidP="001B7462">
      <w:pPr>
        <w:spacing w:after="180" w:line="264" w:lineRule="auto"/>
        <w:jc w:val="both"/>
        <w:rPr>
          <w:rFonts w:asciiTheme="minorHAnsi" w:hAnsiTheme="minorHAnsi" w:cs="Times New Roman"/>
          <w:lang w:val="en-US"/>
        </w:rPr>
      </w:pPr>
      <w:proofErr w:type="spellStart"/>
      <w:r w:rsidRPr="00B443D5">
        <w:rPr>
          <w:rFonts w:asciiTheme="minorHAnsi" w:hAnsiTheme="minorHAnsi" w:cs="Times New Roman"/>
          <w:lang w:val="en-US"/>
        </w:rPr>
        <w:t>Siqueira</w:t>
      </w:r>
      <w:proofErr w:type="spellEnd"/>
      <w:r w:rsidRPr="00B443D5">
        <w:rPr>
          <w:rFonts w:asciiTheme="minorHAnsi" w:hAnsiTheme="minorHAnsi" w:cs="Times New Roman"/>
          <w:lang w:val="en-US"/>
        </w:rPr>
        <w:t>, M. (2015)</w:t>
      </w:r>
      <w:proofErr w:type="gramStart"/>
      <w:r w:rsidRPr="00B443D5">
        <w:rPr>
          <w:rFonts w:asciiTheme="minorHAnsi" w:hAnsiTheme="minorHAnsi" w:cs="Times New Roman"/>
          <w:lang w:val="en-US"/>
        </w:rPr>
        <w:t>,</w:t>
      </w:r>
      <w:r w:rsidRPr="00B443D5">
        <w:rPr>
          <w:rFonts w:asciiTheme="minorHAnsi" w:hAnsiTheme="minorHAnsi" w:cs="Times New Roman"/>
          <w:i/>
          <w:lang w:val="en-US"/>
        </w:rPr>
        <w:t>Transparency</w:t>
      </w:r>
      <w:proofErr w:type="gramEnd"/>
      <w:r w:rsidRPr="00B443D5">
        <w:rPr>
          <w:rFonts w:asciiTheme="minorHAnsi" w:hAnsiTheme="minorHAnsi" w:cs="Times New Roman"/>
          <w:i/>
          <w:lang w:val="en-US"/>
        </w:rPr>
        <w:t xml:space="preserve"> in Public Private Partnerships: the case of Minas </w:t>
      </w:r>
      <w:proofErr w:type="spellStart"/>
      <w:r w:rsidRPr="00B443D5">
        <w:rPr>
          <w:rFonts w:asciiTheme="minorHAnsi" w:hAnsiTheme="minorHAnsi" w:cs="Times New Roman"/>
          <w:i/>
          <w:lang w:val="en-US"/>
        </w:rPr>
        <w:t>Gerais</w:t>
      </w:r>
      <w:proofErr w:type="spellEnd"/>
      <w:r w:rsidRPr="00B443D5">
        <w:rPr>
          <w:rFonts w:asciiTheme="minorHAnsi" w:hAnsiTheme="minorHAnsi" w:cs="Times New Roman"/>
          <w:lang w:val="en-US"/>
        </w:rPr>
        <w:t xml:space="preserve">. </w:t>
      </w:r>
      <w:proofErr w:type="gramStart"/>
      <w:r w:rsidR="000539E2" w:rsidRPr="00B443D5">
        <w:rPr>
          <w:rFonts w:asciiTheme="minorHAnsi" w:hAnsiTheme="minorHAnsi" w:cs="Times New Roman"/>
          <w:lang w:val="en-US"/>
        </w:rPr>
        <w:t>www.joincube.com</w:t>
      </w:r>
      <w:proofErr w:type="gramEnd"/>
      <w:r w:rsidR="000539E2" w:rsidRPr="00B443D5">
        <w:rPr>
          <w:rFonts w:asciiTheme="minorHAnsi" w:hAnsiTheme="minorHAnsi" w:cs="Times New Roman"/>
          <w:lang w:val="en-US"/>
        </w:rPr>
        <w:t xml:space="preserve">. Belo Horizonte, </w:t>
      </w:r>
      <w:proofErr w:type="spellStart"/>
      <w:r w:rsidR="000539E2" w:rsidRPr="00B443D5">
        <w:rPr>
          <w:rFonts w:asciiTheme="minorHAnsi" w:hAnsiTheme="minorHAnsi" w:cs="Times New Roman"/>
          <w:lang w:val="en-US"/>
        </w:rPr>
        <w:t>Brasil</w:t>
      </w:r>
      <w:proofErr w:type="spellEnd"/>
      <w:r w:rsidR="000539E2" w:rsidRPr="00B443D5">
        <w:rPr>
          <w:rFonts w:asciiTheme="minorHAnsi" w:hAnsiTheme="minorHAnsi" w:cs="Times New Roman"/>
          <w:lang w:val="en-US"/>
        </w:rPr>
        <w:t>.</w:t>
      </w:r>
      <w:r w:rsidRPr="00B443D5">
        <w:rPr>
          <w:rFonts w:asciiTheme="minorHAnsi" w:hAnsiTheme="minorHAnsi" w:cs="Times New Roman"/>
          <w:lang w:val="en-US"/>
        </w:rPr>
        <w:t xml:space="preserve"> </w:t>
      </w:r>
    </w:p>
    <w:p w:rsidR="000539E2" w:rsidRDefault="000539E2" w:rsidP="002532C5">
      <w:pPr>
        <w:spacing w:after="180" w:line="264" w:lineRule="auto"/>
        <w:jc w:val="both"/>
        <w:rPr>
          <w:rFonts w:asciiTheme="minorHAnsi" w:hAnsiTheme="minorHAnsi" w:cs="Times New Roman"/>
          <w:lang w:val="es-ES_tradnl"/>
        </w:rPr>
      </w:pPr>
      <w:r>
        <w:rPr>
          <w:rFonts w:asciiTheme="minorHAnsi" w:hAnsiTheme="minorHAnsi" w:cs="Times New Roman"/>
          <w:lang w:val="es-ES_tradnl"/>
        </w:rPr>
        <w:t xml:space="preserve">Ministerio de Transporte y Obras Públicas y </w:t>
      </w:r>
      <w:r w:rsidR="001B1A26">
        <w:rPr>
          <w:rFonts w:asciiTheme="minorHAnsi" w:hAnsiTheme="minorHAnsi" w:cs="Times New Roman"/>
          <w:lang w:val="es-ES_tradnl"/>
        </w:rPr>
        <w:t xml:space="preserve">Corporación Nacional para el Desarrollo </w:t>
      </w:r>
      <w:r>
        <w:rPr>
          <w:rFonts w:asciiTheme="minorHAnsi" w:hAnsiTheme="minorHAnsi" w:cs="Times New Roman"/>
          <w:lang w:val="es-ES_tradnl"/>
        </w:rPr>
        <w:t xml:space="preserve">(2001), </w:t>
      </w:r>
      <w:r w:rsidRPr="00B62B8B">
        <w:rPr>
          <w:rFonts w:asciiTheme="minorHAnsi" w:hAnsiTheme="minorHAnsi" w:cs="Times New Roman"/>
          <w:i/>
          <w:lang w:val="es-ES_tradnl"/>
        </w:rPr>
        <w:t>Convenio y Contrato de Concesión y Anexo I (2001 y modificaciones 2006 y 2008)</w:t>
      </w:r>
      <w:r>
        <w:rPr>
          <w:rFonts w:asciiTheme="minorHAnsi" w:hAnsiTheme="minorHAnsi" w:cs="Times New Roman"/>
          <w:lang w:val="es-ES_tradnl"/>
        </w:rPr>
        <w:t xml:space="preserve">. </w:t>
      </w:r>
      <w:proofErr w:type="gramStart"/>
      <w:r>
        <w:rPr>
          <w:rFonts w:asciiTheme="minorHAnsi" w:hAnsiTheme="minorHAnsi" w:cs="Times New Roman"/>
          <w:lang w:val="es-ES_tradnl"/>
        </w:rPr>
        <w:t>www</w:t>
      </w:r>
      <w:proofErr w:type="gramEnd"/>
      <w:r>
        <w:rPr>
          <w:rFonts w:asciiTheme="minorHAnsi" w:hAnsiTheme="minorHAnsi" w:cs="Times New Roman"/>
          <w:lang w:val="es-ES_tradnl"/>
        </w:rPr>
        <w:t>. cvu.gub.uy. Montevideo</w:t>
      </w:r>
      <w:r w:rsidRPr="000539E2">
        <w:rPr>
          <w:rFonts w:asciiTheme="minorHAnsi" w:hAnsiTheme="minorHAnsi" w:cs="Times New Roman"/>
          <w:lang w:val="es-ES_tradnl"/>
        </w:rPr>
        <w:t>, Uruguay.</w:t>
      </w:r>
    </w:p>
    <w:p w:rsidR="000539E2" w:rsidRPr="000539E2" w:rsidRDefault="000539E2" w:rsidP="00C535C4">
      <w:pPr>
        <w:spacing w:after="180" w:line="264" w:lineRule="auto"/>
        <w:jc w:val="both"/>
        <w:rPr>
          <w:rFonts w:asciiTheme="minorHAnsi" w:hAnsiTheme="minorHAnsi" w:cs="Times New Roman"/>
          <w:lang w:val="es-ES_tradnl"/>
        </w:rPr>
      </w:pPr>
      <w:r>
        <w:rPr>
          <w:rFonts w:asciiTheme="minorHAnsi" w:hAnsiTheme="minorHAnsi" w:cs="Times New Roman"/>
          <w:lang w:val="es-ES_tradnl"/>
        </w:rPr>
        <w:t xml:space="preserve">Poder Legislativo del Uruguay (2011), </w:t>
      </w:r>
      <w:r w:rsidRPr="00B62B8B">
        <w:rPr>
          <w:rFonts w:asciiTheme="minorHAnsi" w:hAnsiTheme="minorHAnsi" w:cs="Times New Roman"/>
          <w:i/>
          <w:lang w:val="es-ES_tradnl"/>
        </w:rPr>
        <w:t xml:space="preserve">Ley Nº 18.786 – Contratos de </w:t>
      </w:r>
      <w:r w:rsidR="00C535C4" w:rsidRPr="00B62B8B">
        <w:rPr>
          <w:rFonts w:asciiTheme="minorHAnsi" w:hAnsiTheme="minorHAnsi" w:cs="Times New Roman"/>
          <w:i/>
          <w:lang w:val="es-ES_tradnl"/>
        </w:rPr>
        <w:t>Participación Pública-Privada para la realización de Obras de Infraestructura y Prestación de Servicios Conexos</w:t>
      </w:r>
      <w:r w:rsidR="00C535C4">
        <w:rPr>
          <w:rFonts w:asciiTheme="minorHAnsi" w:hAnsiTheme="minorHAnsi" w:cs="Times New Roman"/>
          <w:lang w:val="es-ES_tradnl"/>
        </w:rPr>
        <w:t xml:space="preserve">. </w:t>
      </w:r>
      <w:hyperlink r:id="rId37" w:history="1">
        <w:r w:rsidR="00C535C4" w:rsidRPr="00F51938">
          <w:rPr>
            <w:rStyle w:val="Hyperlink"/>
            <w:rFonts w:asciiTheme="minorHAnsi" w:hAnsiTheme="minorHAnsi" w:cs="Times New Roman"/>
            <w:lang w:val="es-ES_tradnl"/>
          </w:rPr>
          <w:t>www.presidencia.gub.uy</w:t>
        </w:r>
      </w:hyperlink>
      <w:r w:rsidR="00C535C4">
        <w:rPr>
          <w:rFonts w:asciiTheme="minorHAnsi" w:hAnsiTheme="minorHAnsi" w:cs="Times New Roman"/>
          <w:lang w:val="es-ES_tradnl"/>
        </w:rPr>
        <w:t>,  Montevideo, Uruguay.</w:t>
      </w:r>
    </w:p>
    <w:p w:rsidR="00C535C4" w:rsidRDefault="001B1A26" w:rsidP="00C535C4">
      <w:pPr>
        <w:spacing w:after="180" w:line="264" w:lineRule="auto"/>
        <w:jc w:val="both"/>
        <w:rPr>
          <w:rFonts w:asciiTheme="minorHAnsi" w:hAnsiTheme="minorHAnsi" w:cs="Times New Roman"/>
          <w:lang w:val="es-ES_tradnl"/>
        </w:rPr>
      </w:pPr>
      <w:r>
        <w:rPr>
          <w:rFonts w:asciiTheme="minorHAnsi" w:hAnsiTheme="minorHAnsi" w:cs="Times New Roman"/>
          <w:lang w:val="es-ES_tradnl"/>
        </w:rPr>
        <w:t xml:space="preserve">Corporación Nacional para el Desarrollo </w:t>
      </w:r>
      <w:r w:rsidR="00C535C4">
        <w:rPr>
          <w:rFonts w:asciiTheme="minorHAnsi" w:hAnsiTheme="minorHAnsi" w:cs="Times New Roman"/>
          <w:lang w:val="es-ES_tradnl"/>
        </w:rPr>
        <w:t xml:space="preserve">(2012), </w:t>
      </w:r>
      <w:r w:rsidR="00C535C4" w:rsidRPr="00B62B8B">
        <w:rPr>
          <w:rFonts w:asciiTheme="minorHAnsi" w:hAnsiTheme="minorHAnsi" w:cs="Times New Roman"/>
          <w:i/>
          <w:lang w:val="es-ES_tradnl"/>
        </w:rPr>
        <w:t>Valor por Dinero</w:t>
      </w:r>
      <w:r w:rsidR="00C535C4">
        <w:rPr>
          <w:rFonts w:asciiTheme="minorHAnsi" w:hAnsiTheme="minorHAnsi" w:cs="Times New Roman"/>
          <w:lang w:val="es-ES_tradnl"/>
        </w:rPr>
        <w:t>. Informe Unidad de Personas Privadas de Libertad Nº 1. www.cnd.com.uy. Montevideo, Uruguay.</w:t>
      </w:r>
    </w:p>
    <w:p w:rsidR="001B7462" w:rsidRPr="000539E2" w:rsidRDefault="00455F50" w:rsidP="002532C5">
      <w:pPr>
        <w:spacing w:after="180" w:line="264" w:lineRule="auto"/>
        <w:jc w:val="both"/>
        <w:rPr>
          <w:rFonts w:asciiTheme="minorHAnsi" w:hAnsiTheme="minorHAnsi" w:cs="Times New Roman"/>
          <w:lang w:val="es-ES_tradnl"/>
        </w:rPr>
      </w:pPr>
      <w:r>
        <w:rPr>
          <w:rFonts w:asciiTheme="minorHAnsi" w:hAnsiTheme="minorHAnsi" w:cs="Times New Roman"/>
          <w:lang w:val="es-ES_tradnl"/>
        </w:rPr>
        <w:t xml:space="preserve">Ministerio de Economía y Finanzas – Unidad PPP (2015), </w:t>
      </w:r>
      <w:r w:rsidRPr="00B62B8B">
        <w:rPr>
          <w:rFonts w:asciiTheme="minorHAnsi" w:hAnsiTheme="minorHAnsi" w:cs="Times New Roman"/>
          <w:i/>
          <w:lang w:val="es-ES_tradnl"/>
        </w:rPr>
        <w:t xml:space="preserve">PPP </w:t>
      </w:r>
      <w:proofErr w:type="spellStart"/>
      <w:r w:rsidRPr="00B62B8B">
        <w:rPr>
          <w:rFonts w:asciiTheme="minorHAnsi" w:hAnsiTheme="minorHAnsi" w:cs="Times New Roman"/>
          <w:i/>
          <w:lang w:val="es-ES_tradnl"/>
        </w:rPr>
        <w:t>framework</w:t>
      </w:r>
      <w:proofErr w:type="spellEnd"/>
      <w:r w:rsidRPr="00B62B8B">
        <w:rPr>
          <w:rFonts w:asciiTheme="minorHAnsi" w:hAnsiTheme="minorHAnsi" w:cs="Times New Roman"/>
          <w:i/>
          <w:lang w:val="es-ES_tradnl"/>
        </w:rPr>
        <w:t xml:space="preserve"> and </w:t>
      </w:r>
      <w:proofErr w:type="spellStart"/>
      <w:r w:rsidRPr="00B62B8B">
        <w:rPr>
          <w:rFonts w:asciiTheme="minorHAnsi" w:hAnsiTheme="minorHAnsi" w:cs="Times New Roman"/>
          <w:i/>
          <w:lang w:val="es-ES_tradnl"/>
        </w:rPr>
        <w:t>project</w:t>
      </w:r>
      <w:proofErr w:type="spellEnd"/>
      <w:r w:rsidRPr="00B62B8B">
        <w:rPr>
          <w:rFonts w:asciiTheme="minorHAnsi" w:hAnsiTheme="minorHAnsi" w:cs="Times New Roman"/>
          <w:i/>
          <w:lang w:val="es-ES_tradnl"/>
        </w:rPr>
        <w:t xml:space="preserve"> portfolio in Uruguay.</w:t>
      </w:r>
      <w:r>
        <w:rPr>
          <w:rFonts w:asciiTheme="minorHAnsi" w:hAnsiTheme="minorHAnsi" w:cs="Times New Roman"/>
          <w:lang w:val="es-ES_tradnl"/>
        </w:rPr>
        <w:t xml:space="preserve"> </w:t>
      </w:r>
      <w:hyperlink r:id="rId38" w:history="1">
        <w:r w:rsidRPr="00F51938">
          <w:rPr>
            <w:rStyle w:val="Hyperlink"/>
            <w:rFonts w:asciiTheme="minorHAnsi" w:hAnsiTheme="minorHAnsi" w:cs="Times New Roman"/>
            <w:lang w:val="es-ES_tradnl"/>
          </w:rPr>
          <w:t>www.mef.gub.uy</w:t>
        </w:r>
      </w:hyperlink>
      <w:r>
        <w:rPr>
          <w:rFonts w:asciiTheme="minorHAnsi" w:hAnsiTheme="minorHAnsi" w:cs="Times New Roman"/>
          <w:lang w:val="es-ES_tradnl"/>
        </w:rPr>
        <w:t xml:space="preserve">. Montevideo, Uruguay. </w:t>
      </w:r>
    </w:p>
    <w:p w:rsidR="00455F50" w:rsidRPr="000539E2" w:rsidRDefault="00455F50" w:rsidP="001B1A26">
      <w:pPr>
        <w:spacing w:after="180" w:line="264" w:lineRule="auto"/>
        <w:jc w:val="both"/>
        <w:rPr>
          <w:rFonts w:asciiTheme="minorHAnsi" w:hAnsiTheme="minorHAnsi" w:cs="Times New Roman"/>
          <w:lang w:val="es-ES_tradnl"/>
        </w:rPr>
      </w:pPr>
      <w:r>
        <w:rPr>
          <w:rFonts w:asciiTheme="minorHAnsi" w:hAnsiTheme="minorHAnsi" w:cs="Times New Roman"/>
          <w:lang w:val="es-ES_tradnl"/>
        </w:rPr>
        <w:t>Ministerio de Economía y Finanzas y Corporación Nacional para el Desarrollo</w:t>
      </w:r>
      <w:r w:rsidR="001B1A26">
        <w:rPr>
          <w:rFonts w:asciiTheme="minorHAnsi" w:hAnsiTheme="minorHAnsi" w:cs="Times New Roman"/>
          <w:lang w:val="es-ES_tradnl"/>
        </w:rPr>
        <w:t xml:space="preserve"> (2012), </w:t>
      </w:r>
      <w:r w:rsidR="001B1A26" w:rsidRPr="00B62B8B">
        <w:rPr>
          <w:rFonts w:asciiTheme="minorHAnsi" w:hAnsiTheme="minorHAnsi" w:cs="Times New Roman"/>
          <w:i/>
          <w:lang w:val="es-ES_tradnl"/>
        </w:rPr>
        <w:t>Determinación del Valor por Dinero - Guía Metodológica del Comparador Público-Privado para esquemas de Participación Público-Privada</w:t>
      </w:r>
      <w:r w:rsidR="001B1A26">
        <w:rPr>
          <w:rFonts w:asciiTheme="minorHAnsi" w:hAnsiTheme="minorHAnsi" w:cs="Times New Roman"/>
          <w:lang w:val="es-ES_tradnl"/>
        </w:rPr>
        <w:t xml:space="preserve">. </w:t>
      </w:r>
      <w:hyperlink r:id="rId39" w:history="1">
        <w:r w:rsidRPr="001B1A26">
          <w:rPr>
            <w:rFonts w:asciiTheme="minorHAnsi" w:hAnsiTheme="minorHAnsi" w:cs="Times New Roman"/>
            <w:lang w:val="es-ES_tradnl"/>
          </w:rPr>
          <w:t>www.mef.gub.uy</w:t>
        </w:r>
      </w:hyperlink>
      <w:r>
        <w:rPr>
          <w:rFonts w:asciiTheme="minorHAnsi" w:hAnsiTheme="minorHAnsi" w:cs="Times New Roman"/>
          <w:lang w:val="es-ES_tradnl"/>
        </w:rPr>
        <w:t>. Montevideo, Uruguay.</w:t>
      </w:r>
    </w:p>
    <w:p w:rsidR="001B1A26" w:rsidRDefault="001B1A26" w:rsidP="001B1A26">
      <w:pPr>
        <w:spacing w:after="180" w:line="264" w:lineRule="auto"/>
        <w:jc w:val="both"/>
        <w:rPr>
          <w:rFonts w:asciiTheme="minorHAnsi" w:hAnsiTheme="minorHAnsi" w:cs="Times New Roman"/>
          <w:lang w:val="es-ES_tradnl"/>
        </w:rPr>
      </w:pPr>
      <w:r>
        <w:rPr>
          <w:rFonts w:asciiTheme="minorHAnsi" w:hAnsiTheme="minorHAnsi" w:cs="Times New Roman"/>
          <w:lang w:val="es-ES_tradnl"/>
        </w:rPr>
        <w:t xml:space="preserve">Corporación Nacional para el Desarrollo (2014), </w:t>
      </w:r>
      <w:r w:rsidRPr="00B62B8B">
        <w:rPr>
          <w:rFonts w:asciiTheme="minorHAnsi" w:hAnsiTheme="minorHAnsi" w:cs="Times New Roman"/>
          <w:i/>
          <w:lang w:val="es-ES_tradnl"/>
        </w:rPr>
        <w:t xml:space="preserve">Proyecto Ferroviario – Rehabilitación del Tramo </w:t>
      </w:r>
      <w:proofErr w:type="spellStart"/>
      <w:r w:rsidRPr="00B62B8B">
        <w:rPr>
          <w:rFonts w:asciiTheme="minorHAnsi" w:hAnsiTheme="minorHAnsi" w:cs="Times New Roman"/>
          <w:i/>
          <w:lang w:val="es-ES_tradnl"/>
        </w:rPr>
        <w:t>Algorta</w:t>
      </w:r>
      <w:proofErr w:type="spellEnd"/>
      <w:r w:rsidRPr="00B62B8B">
        <w:rPr>
          <w:rFonts w:asciiTheme="minorHAnsi" w:hAnsiTheme="minorHAnsi" w:cs="Times New Roman"/>
          <w:i/>
          <w:lang w:val="es-ES_tradnl"/>
        </w:rPr>
        <w:t xml:space="preserve"> – Fray Bentos</w:t>
      </w:r>
      <w:r>
        <w:rPr>
          <w:rFonts w:asciiTheme="minorHAnsi" w:hAnsiTheme="minorHAnsi" w:cs="Times New Roman"/>
          <w:lang w:val="es-ES_tradnl"/>
        </w:rPr>
        <w:t>, Uruguay. www.cnd.com.uy. Montevideo, Uruguay.</w:t>
      </w:r>
    </w:p>
    <w:p w:rsidR="001B1A26" w:rsidRDefault="001B1A26" w:rsidP="001B1A26">
      <w:pPr>
        <w:spacing w:after="180" w:line="264" w:lineRule="auto"/>
        <w:jc w:val="both"/>
        <w:rPr>
          <w:rFonts w:asciiTheme="minorHAnsi" w:hAnsiTheme="minorHAnsi" w:cs="Times New Roman"/>
          <w:lang w:val="es-ES_tradnl"/>
        </w:rPr>
      </w:pPr>
      <w:r>
        <w:rPr>
          <w:rFonts w:asciiTheme="minorHAnsi" w:hAnsiTheme="minorHAnsi" w:cs="Times New Roman"/>
          <w:lang w:val="es-ES_tradnl"/>
        </w:rPr>
        <w:t xml:space="preserve">Corporación Nacional para el Desarrollo (2010), </w:t>
      </w:r>
      <w:r w:rsidRPr="00B62B8B">
        <w:rPr>
          <w:rFonts w:asciiTheme="minorHAnsi" w:hAnsiTheme="minorHAnsi" w:cs="Times New Roman"/>
          <w:i/>
          <w:lang w:val="es-ES_tradnl"/>
        </w:rPr>
        <w:t>Modelización de ingresos por peajes en el corto plazo</w:t>
      </w:r>
      <w:r>
        <w:rPr>
          <w:rFonts w:asciiTheme="minorHAnsi" w:hAnsiTheme="minorHAnsi" w:cs="Times New Roman"/>
          <w:lang w:val="es-ES_tradnl"/>
        </w:rPr>
        <w:t>. www.cnd.com.uy. Montevideo, Uruguay.</w:t>
      </w:r>
    </w:p>
    <w:p w:rsidR="001B1A26" w:rsidRDefault="001B1A26" w:rsidP="001B1A26">
      <w:pPr>
        <w:spacing w:after="180" w:line="264" w:lineRule="auto"/>
        <w:jc w:val="both"/>
        <w:rPr>
          <w:rFonts w:asciiTheme="minorHAnsi" w:hAnsiTheme="minorHAnsi" w:cs="Times New Roman"/>
          <w:lang w:val="es-ES_tradnl"/>
        </w:rPr>
      </w:pPr>
      <w:r>
        <w:rPr>
          <w:rFonts w:asciiTheme="minorHAnsi" w:hAnsiTheme="minorHAnsi" w:cs="Times New Roman"/>
          <w:lang w:val="es-ES_tradnl"/>
        </w:rPr>
        <w:t xml:space="preserve">Corporación Nacional para el Desarrollo (2011), </w:t>
      </w:r>
      <w:r w:rsidRPr="00B62B8B">
        <w:rPr>
          <w:rFonts w:asciiTheme="minorHAnsi" w:hAnsiTheme="minorHAnsi" w:cs="Times New Roman"/>
          <w:i/>
          <w:lang w:val="es-ES_tradnl"/>
        </w:rPr>
        <w:t>Estudio de Elasticidades – Estimación de la Elasticidad Precio e Ingreso para Transporte Carretero</w:t>
      </w:r>
      <w:r>
        <w:rPr>
          <w:rFonts w:asciiTheme="minorHAnsi" w:hAnsiTheme="minorHAnsi" w:cs="Times New Roman"/>
          <w:lang w:val="es-ES_tradnl"/>
        </w:rPr>
        <w:t>. www.cnd.com.uy. Montevideo, Uruguay.</w:t>
      </w:r>
    </w:p>
    <w:p w:rsidR="0077260C" w:rsidRDefault="001B1A26" w:rsidP="001B1A26">
      <w:pPr>
        <w:spacing w:after="180" w:line="264" w:lineRule="auto"/>
        <w:jc w:val="both"/>
        <w:rPr>
          <w:rFonts w:asciiTheme="minorHAnsi" w:hAnsiTheme="minorHAnsi" w:cs="Times New Roman"/>
          <w:lang w:val="es-ES_tradnl"/>
        </w:rPr>
      </w:pPr>
      <w:r w:rsidRPr="001B1A26">
        <w:rPr>
          <w:rFonts w:asciiTheme="minorHAnsi" w:hAnsiTheme="minorHAnsi" w:cs="Times New Roman"/>
          <w:lang w:val="es-ES_tradnl"/>
        </w:rPr>
        <w:t>Consorcio Ingeniería del Sur</w:t>
      </w:r>
      <w:r>
        <w:rPr>
          <w:rFonts w:asciiTheme="minorHAnsi" w:hAnsiTheme="minorHAnsi" w:cs="Times New Roman"/>
          <w:lang w:val="es-ES_tradnl"/>
        </w:rPr>
        <w:t xml:space="preserve"> </w:t>
      </w:r>
      <w:r w:rsidRPr="001B1A26">
        <w:rPr>
          <w:rFonts w:asciiTheme="minorHAnsi" w:hAnsiTheme="minorHAnsi" w:cs="Times New Roman"/>
          <w:lang w:val="es-ES_tradnl"/>
        </w:rPr>
        <w:t>(2014</w:t>
      </w:r>
      <w:r>
        <w:rPr>
          <w:rFonts w:asciiTheme="minorHAnsi" w:hAnsiTheme="minorHAnsi" w:cs="Times New Roman"/>
          <w:lang w:val="es-ES_tradnl"/>
        </w:rPr>
        <w:t xml:space="preserve">), </w:t>
      </w:r>
      <w:r w:rsidRPr="001B1A26">
        <w:rPr>
          <w:rFonts w:asciiTheme="minorHAnsi" w:hAnsiTheme="minorHAnsi" w:cs="Times New Roman"/>
          <w:lang w:val="es-ES_tradnl"/>
        </w:rPr>
        <w:t xml:space="preserve"> </w:t>
      </w:r>
      <w:r w:rsidRPr="00B62B8B">
        <w:rPr>
          <w:rFonts w:asciiTheme="minorHAnsi" w:hAnsiTheme="minorHAnsi" w:cs="Times New Roman"/>
          <w:i/>
          <w:lang w:val="es-ES_tradnl"/>
        </w:rPr>
        <w:t>Modificación del Contrato de Concesión suscrito entre la CND y el MTOP - Informe Final y Anexo I</w:t>
      </w:r>
      <w:r w:rsidR="0077260C">
        <w:rPr>
          <w:rFonts w:asciiTheme="minorHAnsi" w:hAnsiTheme="minorHAnsi" w:cs="Times New Roman"/>
          <w:lang w:val="es-ES_tradnl"/>
        </w:rPr>
        <w:t>. Documento de la Consultoría. Montevideo, Uruguay.</w:t>
      </w:r>
    </w:p>
    <w:p w:rsidR="0077260C" w:rsidRDefault="0077260C" w:rsidP="001B1A26">
      <w:pPr>
        <w:spacing w:after="180" w:line="264" w:lineRule="auto"/>
        <w:jc w:val="both"/>
        <w:rPr>
          <w:rFonts w:asciiTheme="minorHAnsi" w:hAnsiTheme="minorHAnsi" w:cs="Times New Roman"/>
          <w:lang w:val="es-ES_tradnl"/>
        </w:rPr>
      </w:pPr>
      <w:r>
        <w:rPr>
          <w:rFonts w:asciiTheme="minorHAnsi" w:hAnsiTheme="minorHAnsi" w:cs="Times New Roman"/>
          <w:lang w:val="es-ES_tradnl"/>
        </w:rPr>
        <w:t xml:space="preserve">Centro de Estudios Económicos de la </w:t>
      </w:r>
      <w:r w:rsidR="0038158E">
        <w:rPr>
          <w:rFonts w:asciiTheme="minorHAnsi" w:hAnsiTheme="minorHAnsi" w:cs="Times New Roman"/>
          <w:lang w:val="es-ES_tradnl"/>
        </w:rPr>
        <w:t xml:space="preserve">Industria de la </w:t>
      </w:r>
      <w:r>
        <w:rPr>
          <w:rFonts w:asciiTheme="minorHAnsi" w:hAnsiTheme="minorHAnsi" w:cs="Times New Roman"/>
          <w:lang w:val="es-ES_tradnl"/>
        </w:rPr>
        <w:t xml:space="preserve">Construcción (2014), </w:t>
      </w:r>
      <w:r w:rsidRPr="00B62B8B">
        <w:rPr>
          <w:rFonts w:asciiTheme="minorHAnsi" w:hAnsiTheme="minorHAnsi" w:cs="Times New Roman"/>
          <w:i/>
          <w:lang w:val="es-ES_tradnl"/>
        </w:rPr>
        <w:t>Necesidades de Inversión en Infraestructura Vial en Uruguay – 2014</w:t>
      </w:r>
      <w:r>
        <w:rPr>
          <w:rFonts w:asciiTheme="minorHAnsi" w:hAnsiTheme="minorHAnsi" w:cs="Times New Roman"/>
          <w:lang w:val="es-ES_tradnl"/>
        </w:rPr>
        <w:t xml:space="preserve">. Documento de Trabajo. Montevideo, Uruguay. </w:t>
      </w:r>
      <w:r w:rsidR="001B1A26" w:rsidRPr="001B1A26">
        <w:rPr>
          <w:rFonts w:asciiTheme="minorHAnsi" w:hAnsiTheme="minorHAnsi" w:cs="Times New Roman"/>
          <w:lang w:val="es-ES_tradnl"/>
        </w:rPr>
        <w:t xml:space="preserve"> </w:t>
      </w:r>
    </w:p>
    <w:p w:rsidR="00455F50" w:rsidRDefault="0077260C" w:rsidP="001B1A26">
      <w:pPr>
        <w:spacing w:after="180" w:line="264" w:lineRule="auto"/>
        <w:jc w:val="both"/>
        <w:rPr>
          <w:rFonts w:asciiTheme="minorHAnsi" w:hAnsiTheme="minorHAnsi" w:cs="Times New Roman"/>
          <w:lang w:val="es-ES_tradnl"/>
        </w:rPr>
      </w:pPr>
      <w:r>
        <w:rPr>
          <w:rFonts w:asciiTheme="minorHAnsi" w:hAnsiTheme="minorHAnsi" w:cs="Times New Roman"/>
          <w:lang w:val="es-ES_tradnl"/>
        </w:rPr>
        <w:t xml:space="preserve">Mara, G.D. (2005), </w:t>
      </w:r>
      <w:r w:rsidRPr="00B62B8B">
        <w:rPr>
          <w:rFonts w:asciiTheme="minorHAnsi" w:hAnsiTheme="minorHAnsi" w:cs="Times New Roman"/>
          <w:i/>
          <w:lang w:val="es-ES_tradnl"/>
        </w:rPr>
        <w:t>Curva “Uruguay” en dólares de la Bolsa Electrónica de Valores del Uruguay (CUD – BEVSA). Curva de Rendimientos de Títulos Soberanos Uruguayos Emitidos en Dólares</w:t>
      </w:r>
      <w:r w:rsidRPr="0077260C">
        <w:rPr>
          <w:rFonts w:asciiTheme="minorHAnsi" w:hAnsiTheme="minorHAnsi" w:cs="Times New Roman"/>
          <w:lang w:val="es-ES_tradnl"/>
        </w:rPr>
        <w:t>.www.bevsa.com.uy. Montevideo, Uruguay</w:t>
      </w:r>
      <w:r w:rsidR="001B1A26" w:rsidRPr="001B1A26">
        <w:rPr>
          <w:rFonts w:asciiTheme="minorHAnsi" w:hAnsiTheme="minorHAnsi" w:cs="Times New Roman"/>
          <w:lang w:val="es-ES_tradnl"/>
        </w:rPr>
        <w:t xml:space="preserve"> </w:t>
      </w:r>
    </w:p>
    <w:p w:rsidR="0038158E" w:rsidRDefault="0038158E" w:rsidP="0038158E">
      <w:pPr>
        <w:spacing w:after="180" w:line="264" w:lineRule="auto"/>
        <w:jc w:val="both"/>
        <w:rPr>
          <w:rFonts w:asciiTheme="minorHAnsi" w:hAnsiTheme="minorHAnsi" w:cs="Times New Roman"/>
          <w:lang w:val="es-ES_tradnl"/>
        </w:rPr>
      </w:pPr>
      <w:r>
        <w:rPr>
          <w:rFonts w:asciiTheme="minorHAnsi" w:hAnsiTheme="minorHAnsi" w:cs="Times New Roman"/>
          <w:lang w:val="es-ES_tradnl"/>
        </w:rPr>
        <w:t>Centro de Estudios Económicos de la Industria de la Construcción (2014),</w:t>
      </w:r>
      <w:r w:rsidRPr="0038158E">
        <w:rPr>
          <w:rFonts w:asciiTheme="minorHAnsi" w:hAnsiTheme="minorHAnsi" w:cs="Times New Roman"/>
          <w:lang w:val="es-ES_tradnl"/>
        </w:rPr>
        <w:t xml:space="preserve"> </w:t>
      </w:r>
      <w:r w:rsidRPr="00B62B8B">
        <w:rPr>
          <w:rFonts w:asciiTheme="minorHAnsi" w:hAnsiTheme="minorHAnsi" w:cs="Times New Roman"/>
          <w:i/>
          <w:lang w:val="es-ES_tradnl"/>
        </w:rPr>
        <w:t>Financiamiento de infraestructura: apuntes sobre la experiencia internacional y reflexiones para el caso uruguayo – 2015</w:t>
      </w:r>
      <w:r>
        <w:rPr>
          <w:rFonts w:asciiTheme="minorHAnsi" w:hAnsiTheme="minorHAnsi" w:cs="Times New Roman"/>
          <w:lang w:val="es-ES_tradnl"/>
        </w:rPr>
        <w:t xml:space="preserve">. Documento de Trabajo Nº 2. Montevideo, Uruguay. </w:t>
      </w:r>
      <w:r w:rsidRPr="001B1A26">
        <w:rPr>
          <w:rFonts w:asciiTheme="minorHAnsi" w:hAnsiTheme="minorHAnsi" w:cs="Times New Roman"/>
          <w:lang w:val="es-ES_tradnl"/>
        </w:rPr>
        <w:t xml:space="preserve"> </w:t>
      </w:r>
    </w:p>
    <w:p w:rsidR="007A3F2C" w:rsidRDefault="007A3F2C">
      <w:pPr>
        <w:spacing w:after="180" w:line="264" w:lineRule="auto"/>
        <w:jc w:val="both"/>
        <w:rPr>
          <w:rFonts w:asciiTheme="minorHAnsi" w:hAnsiTheme="minorHAnsi" w:cs="Times New Roman"/>
          <w:lang w:val="es-ES_tradnl"/>
        </w:rPr>
      </w:pPr>
    </w:p>
    <w:p w:rsidR="007A3F2C" w:rsidRDefault="007A3F2C" w:rsidP="007A3F2C">
      <w:pPr>
        <w:pStyle w:val="Heading1"/>
        <w:rPr>
          <w:lang w:val="es-ES_tradnl"/>
        </w:rPr>
      </w:pPr>
      <w:bookmarkStart w:id="27" w:name="_Toc428464197"/>
      <w:r>
        <w:rPr>
          <w:lang w:val="es-ES_tradnl"/>
        </w:rPr>
        <w:t>Entrevistas y contactos</w:t>
      </w:r>
      <w:bookmarkEnd w:id="27"/>
    </w:p>
    <w:p w:rsidR="003C5CF9" w:rsidRPr="00592167" w:rsidRDefault="003C5CF9" w:rsidP="00592167">
      <w:pPr>
        <w:spacing w:after="180" w:line="264" w:lineRule="auto"/>
        <w:jc w:val="both"/>
        <w:rPr>
          <w:rFonts w:asciiTheme="minorHAnsi" w:hAnsiTheme="minorHAnsi" w:cs="Times New Roman"/>
          <w:lang w:val="es-ES_tradnl"/>
        </w:rPr>
      </w:pPr>
    </w:p>
    <w:p w:rsidR="003C5CF9" w:rsidRPr="00592167" w:rsidRDefault="00592167" w:rsidP="00592167">
      <w:pPr>
        <w:spacing w:after="180" w:line="264" w:lineRule="auto"/>
        <w:jc w:val="both"/>
        <w:rPr>
          <w:rFonts w:asciiTheme="minorHAnsi" w:hAnsiTheme="minorHAnsi" w:cs="Times New Roman"/>
          <w:lang w:val="es-ES_tradnl"/>
        </w:rPr>
      </w:pPr>
      <w:r w:rsidRPr="00592167">
        <w:rPr>
          <w:rFonts w:asciiTheme="minorHAnsi" w:hAnsiTheme="minorHAnsi" w:cs="Times New Roman"/>
          <w:lang w:val="es-ES_tradnl"/>
        </w:rPr>
        <w:t>Javier Liberman – Ministerio de Economía y Finanzas.</w:t>
      </w:r>
      <w:r w:rsidR="003C5CF9" w:rsidRPr="00592167">
        <w:rPr>
          <w:rFonts w:asciiTheme="minorHAnsi" w:hAnsiTheme="minorHAnsi" w:cs="Times New Roman"/>
          <w:lang w:val="es-ES_tradnl"/>
        </w:rPr>
        <w:t xml:space="preserve"> </w:t>
      </w:r>
    </w:p>
    <w:p w:rsidR="003C5CF9" w:rsidRDefault="003C5CF9" w:rsidP="00592167">
      <w:pPr>
        <w:spacing w:after="180" w:line="264" w:lineRule="auto"/>
        <w:jc w:val="both"/>
        <w:rPr>
          <w:rFonts w:asciiTheme="minorHAnsi" w:hAnsiTheme="minorHAnsi" w:cs="Times New Roman"/>
          <w:lang w:val="es-ES_tradnl"/>
        </w:rPr>
      </w:pPr>
      <w:r w:rsidRPr="00592167">
        <w:rPr>
          <w:rFonts w:asciiTheme="minorHAnsi" w:hAnsiTheme="minorHAnsi" w:cs="Times New Roman"/>
          <w:lang w:val="es-ES_tradnl"/>
        </w:rPr>
        <w:t>Silvina</w:t>
      </w:r>
      <w:r w:rsidR="00592167" w:rsidRPr="00592167">
        <w:rPr>
          <w:rFonts w:asciiTheme="minorHAnsi" w:hAnsiTheme="minorHAnsi" w:cs="Times New Roman"/>
          <w:lang w:val="es-ES_tradnl"/>
        </w:rPr>
        <w:t xml:space="preserve"> </w:t>
      </w:r>
      <w:proofErr w:type="spellStart"/>
      <w:r w:rsidR="00592167" w:rsidRPr="00592167">
        <w:rPr>
          <w:rFonts w:asciiTheme="minorHAnsi" w:hAnsiTheme="minorHAnsi" w:cs="Times New Roman"/>
          <w:lang w:val="es-ES_tradnl"/>
        </w:rPr>
        <w:t>Panizza</w:t>
      </w:r>
      <w:proofErr w:type="spellEnd"/>
      <w:r w:rsidR="00592167" w:rsidRPr="00592167">
        <w:rPr>
          <w:rFonts w:asciiTheme="minorHAnsi" w:hAnsiTheme="minorHAnsi" w:cs="Times New Roman"/>
          <w:lang w:val="es-ES_tradnl"/>
        </w:rPr>
        <w:t xml:space="preserve">. Unidad PPP de Ministerio de Economía y Finanzas </w:t>
      </w:r>
      <w:r w:rsidRPr="00592167">
        <w:rPr>
          <w:rFonts w:asciiTheme="minorHAnsi" w:hAnsiTheme="minorHAnsi" w:cs="Times New Roman"/>
          <w:lang w:val="es-ES_tradnl"/>
        </w:rPr>
        <w:t>Alexis</w:t>
      </w:r>
    </w:p>
    <w:p w:rsidR="00592167" w:rsidRPr="00592167" w:rsidRDefault="00592167" w:rsidP="00592167">
      <w:pPr>
        <w:spacing w:after="180" w:line="264" w:lineRule="auto"/>
        <w:jc w:val="both"/>
        <w:rPr>
          <w:rFonts w:asciiTheme="minorHAnsi" w:hAnsiTheme="minorHAnsi" w:cs="Times New Roman"/>
          <w:lang w:val="es-ES_tradnl"/>
        </w:rPr>
      </w:pPr>
      <w:r>
        <w:rPr>
          <w:rFonts w:asciiTheme="minorHAnsi" w:hAnsiTheme="minorHAnsi" w:cs="Times New Roman"/>
          <w:lang w:val="es-ES_tradnl"/>
        </w:rPr>
        <w:t xml:space="preserve">Alexis </w:t>
      </w:r>
      <w:proofErr w:type="spellStart"/>
      <w:r>
        <w:rPr>
          <w:rFonts w:asciiTheme="minorHAnsi" w:hAnsiTheme="minorHAnsi" w:cs="Times New Roman"/>
          <w:lang w:val="es-ES_tradnl"/>
        </w:rPr>
        <w:t>Gerschuni</w:t>
      </w:r>
      <w:proofErr w:type="spellEnd"/>
      <w:r w:rsidRPr="00592167">
        <w:rPr>
          <w:rFonts w:asciiTheme="minorHAnsi" w:hAnsiTheme="minorHAnsi" w:cs="Times New Roman"/>
          <w:lang w:val="es-ES_tradnl"/>
        </w:rPr>
        <w:t xml:space="preserve"> – Ministerio de Economía y Finanzas. </w:t>
      </w:r>
    </w:p>
    <w:p w:rsidR="003C5CF9" w:rsidRPr="00592167" w:rsidRDefault="00592167" w:rsidP="00592167">
      <w:pPr>
        <w:spacing w:after="180" w:line="264" w:lineRule="auto"/>
        <w:jc w:val="both"/>
        <w:rPr>
          <w:rFonts w:asciiTheme="minorHAnsi" w:hAnsiTheme="minorHAnsi" w:cs="Times New Roman"/>
          <w:lang w:val="es-ES_tradnl"/>
        </w:rPr>
      </w:pPr>
      <w:r>
        <w:rPr>
          <w:rFonts w:asciiTheme="minorHAnsi" w:hAnsiTheme="minorHAnsi" w:cs="Times New Roman"/>
          <w:lang w:val="es-ES_tradnl"/>
        </w:rPr>
        <w:t>Fernando Lema – Corporación Vial del Uruguay</w:t>
      </w:r>
    </w:p>
    <w:p w:rsidR="00592167" w:rsidRPr="00592167" w:rsidRDefault="00592167" w:rsidP="00592167">
      <w:pPr>
        <w:spacing w:after="180" w:line="264" w:lineRule="auto"/>
        <w:jc w:val="both"/>
        <w:rPr>
          <w:rFonts w:asciiTheme="minorHAnsi" w:hAnsiTheme="minorHAnsi" w:cs="Times New Roman"/>
          <w:lang w:val="es-ES_tradnl"/>
        </w:rPr>
      </w:pPr>
      <w:r>
        <w:rPr>
          <w:rFonts w:asciiTheme="minorHAnsi" w:hAnsiTheme="minorHAnsi" w:cs="Times New Roman"/>
          <w:lang w:val="es-ES_tradnl"/>
        </w:rPr>
        <w:t xml:space="preserve">Richard </w:t>
      </w:r>
      <w:proofErr w:type="spellStart"/>
      <w:r>
        <w:rPr>
          <w:rFonts w:asciiTheme="minorHAnsi" w:hAnsiTheme="minorHAnsi" w:cs="Times New Roman"/>
          <w:lang w:val="es-ES_tradnl"/>
        </w:rPr>
        <w:t>Servan</w:t>
      </w:r>
      <w:proofErr w:type="spellEnd"/>
      <w:r>
        <w:rPr>
          <w:rFonts w:asciiTheme="minorHAnsi" w:hAnsiTheme="minorHAnsi" w:cs="Times New Roman"/>
          <w:lang w:val="es-ES_tradnl"/>
        </w:rPr>
        <w:t xml:space="preserve"> – Corporación Vial del Uruguay</w:t>
      </w:r>
    </w:p>
    <w:p w:rsidR="00955D78" w:rsidRPr="00592167" w:rsidRDefault="00B62B8B" w:rsidP="00592167">
      <w:pPr>
        <w:spacing w:after="180" w:line="264" w:lineRule="auto"/>
        <w:jc w:val="both"/>
        <w:rPr>
          <w:rFonts w:asciiTheme="minorHAnsi" w:hAnsiTheme="minorHAnsi" w:cs="Times New Roman"/>
          <w:lang w:val="es-ES_tradnl"/>
        </w:rPr>
      </w:pPr>
      <w:r>
        <w:rPr>
          <w:rFonts w:asciiTheme="minorHAnsi" w:hAnsiTheme="minorHAnsi" w:cs="Times New Roman"/>
          <w:lang w:val="es-ES_tradnl"/>
        </w:rPr>
        <w:t xml:space="preserve">María </w:t>
      </w:r>
      <w:r w:rsidR="00955D78" w:rsidRPr="00592167">
        <w:rPr>
          <w:rFonts w:asciiTheme="minorHAnsi" w:hAnsiTheme="minorHAnsi" w:cs="Times New Roman"/>
          <w:lang w:val="es-ES_tradnl"/>
        </w:rPr>
        <w:t>Sofía</w:t>
      </w:r>
      <w:r w:rsidR="00592167">
        <w:rPr>
          <w:rFonts w:asciiTheme="minorHAnsi" w:hAnsiTheme="minorHAnsi" w:cs="Times New Roman"/>
          <w:lang w:val="es-ES_tradnl"/>
        </w:rPr>
        <w:t xml:space="preserve"> </w:t>
      </w:r>
      <w:proofErr w:type="spellStart"/>
      <w:r w:rsidR="00592167">
        <w:rPr>
          <w:rFonts w:asciiTheme="minorHAnsi" w:hAnsiTheme="minorHAnsi" w:cs="Times New Roman"/>
          <w:lang w:val="es-ES_tradnl"/>
        </w:rPr>
        <w:t>Chavalgoity</w:t>
      </w:r>
      <w:proofErr w:type="spellEnd"/>
      <w:r w:rsidR="00592167">
        <w:rPr>
          <w:rFonts w:asciiTheme="minorHAnsi" w:hAnsiTheme="minorHAnsi" w:cs="Times New Roman"/>
          <w:lang w:val="es-ES_tradnl"/>
        </w:rPr>
        <w:t xml:space="preserve"> – Corporación Nacional para el Desarrollo</w:t>
      </w:r>
    </w:p>
    <w:p w:rsidR="00DF19EA" w:rsidRDefault="00DF19EA" w:rsidP="00592167">
      <w:pPr>
        <w:spacing w:after="180" w:line="264" w:lineRule="auto"/>
        <w:jc w:val="both"/>
        <w:rPr>
          <w:rFonts w:asciiTheme="minorHAnsi" w:hAnsiTheme="minorHAnsi" w:cs="Times New Roman"/>
          <w:lang w:val="es-ES_tradnl"/>
        </w:rPr>
      </w:pPr>
      <w:r>
        <w:rPr>
          <w:rFonts w:asciiTheme="minorHAnsi" w:hAnsiTheme="minorHAnsi" w:cs="Times New Roman"/>
          <w:lang w:val="es-ES_tradnl"/>
        </w:rPr>
        <w:t>Héctor Agosti – Corporación Nacional para el Desarrollo</w:t>
      </w:r>
    </w:p>
    <w:p w:rsidR="00955D78" w:rsidRPr="00592167" w:rsidRDefault="00955D78" w:rsidP="00592167">
      <w:pPr>
        <w:spacing w:after="180" w:line="264" w:lineRule="auto"/>
        <w:jc w:val="both"/>
        <w:rPr>
          <w:rFonts w:asciiTheme="minorHAnsi" w:hAnsiTheme="minorHAnsi" w:cs="Times New Roman"/>
          <w:lang w:val="es-ES_tradnl"/>
        </w:rPr>
      </w:pPr>
      <w:r w:rsidRPr="00592167">
        <w:rPr>
          <w:rFonts w:asciiTheme="minorHAnsi" w:hAnsiTheme="minorHAnsi" w:cs="Times New Roman"/>
          <w:lang w:val="es-ES_tradnl"/>
        </w:rPr>
        <w:t>Franco</w:t>
      </w:r>
      <w:r w:rsidR="00DF19EA" w:rsidRPr="008D22A4">
        <w:rPr>
          <w:rFonts w:asciiTheme="minorHAnsi" w:hAnsiTheme="minorHAnsi" w:cs="Times New Roman"/>
          <w:lang w:val="es-ES_tradnl"/>
        </w:rPr>
        <w:t xml:space="preserve"> De </w:t>
      </w:r>
      <w:proofErr w:type="spellStart"/>
      <w:r w:rsidR="00DF19EA" w:rsidRPr="008D22A4">
        <w:rPr>
          <w:rFonts w:asciiTheme="minorHAnsi" w:hAnsiTheme="minorHAnsi" w:cs="Times New Roman"/>
          <w:lang w:val="es-ES_tradnl"/>
        </w:rPr>
        <w:t>Crescenzo</w:t>
      </w:r>
      <w:proofErr w:type="spellEnd"/>
      <w:r w:rsidR="00DF19EA">
        <w:rPr>
          <w:rFonts w:asciiTheme="minorHAnsi" w:hAnsiTheme="minorHAnsi" w:cs="Times New Roman"/>
          <w:lang w:val="es-ES_tradnl"/>
        </w:rPr>
        <w:t xml:space="preserve"> – Corporación Nacional para el Desarrollo</w:t>
      </w:r>
    </w:p>
    <w:p w:rsidR="00DF19EA" w:rsidRDefault="00DF19EA" w:rsidP="00592167">
      <w:pPr>
        <w:spacing w:after="180" w:line="264" w:lineRule="auto"/>
        <w:jc w:val="both"/>
        <w:rPr>
          <w:rFonts w:asciiTheme="minorHAnsi" w:hAnsiTheme="minorHAnsi" w:cs="Times New Roman"/>
          <w:lang w:val="es-ES_tradnl"/>
        </w:rPr>
      </w:pPr>
      <w:r>
        <w:rPr>
          <w:rFonts w:asciiTheme="minorHAnsi" w:hAnsiTheme="minorHAnsi" w:cs="Times New Roman"/>
          <w:lang w:val="es-ES_tradnl"/>
        </w:rPr>
        <w:t>Adrián Risso – Corporación Nacional para el Desarrollo</w:t>
      </w:r>
    </w:p>
    <w:p w:rsidR="003C5CF9" w:rsidRPr="00592167" w:rsidRDefault="003C5CF9" w:rsidP="00592167">
      <w:pPr>
        <w:spacing w:after="180" w:line="264" w:lineRule="auto"/>
        <w:jc w:val="both"/>
        <w:rPr>
          <w:rFonts w:asciiTheme="minorHAnsi" w:hAnsiTheme="minorHAnsi" w:cs="Times New Roman"/>
          <w:lang w:val="es-ES_tradnl"/>
        </w:rPr>
      </w:pPr>
      <w:r w:rsidRPr="00592167">
        <w:rPr>
          <w:rFonts w:asciiTheme="minorHAnsi" w:hAnsiTheme="minorHAnsi" w:cs="Times New Roman"/>
          <w:lang w:val="es-ES_tradnl"/>
        </w:rPr>
        <w:t>Diego Gagliardi</w:t>
      </w:r>
      <w:r w:rsidR="00DF19EA">
        <w:rPr>
          <w:rFonts w:asciiTheme="minorHAnsi" w:hAnsiTheme="minorHAnsi" w:cs="Times New Roman"/>
          <w:lang w:val="es-ES_tradnl"/>
        </w:rPr>
        <w:t xml:space="preserve"> – Ministerio de Transporte y obras Públicas</w:t>
      </w:r>
    </w:p>
    <w:p w:rsidR="003C5CF9" w:rsidRPr="00592167" w:rsidRDefault="003C5CF9" w:rsidP="00592167">
      <w:pPr>
        <w:spacing w:after="180" w:line="264" w:lineRule="auto"/>
        <w:jc w:val="both"/>
        <w:rPr>
          <w:rFonts w:asciiTheme="minorHAnsi" w:hAnsiTheme="minorHAnsi" w:cs="Times New Roman"/>
          <w:lang w:val="es-ES_tradnl"/>
        </w:rPr>
      </w:pPr>
      <w:r w:rsidRPr="00592167">
        <w:rPr>
          <w:rFonts w:asciiTheme="minorHAnsi" w:hAnsiTheme="minorHAnsi" w:cs="Times New Roman"/>
          <w:lang w:val="es-ES_tradnl"/>
        </w:rPr>
        <w:t xml:space="preserve">Pablo </w:t>
      </w:r>
      <w:proofErr w:type="spellStart"/>
      <w:r w:rsidRPr="00592167">
        <w:rPr>
          <w:rFonts w:asciiTheme="minorHAnsi" w:hAnsiTheme="minorHAnsi" w:cs="Times New Roman"/>
          <w:lang w:val="es-ES_tradnl"/>
        </w:rPr>
        <w:t>Iorio</w:t>
      </w:r>
      <w:proofErr w:type="spellEnd"/>
      <w:r w:rsidR="00DF19EA">
        <w:rPr>
          <w:rFonts w:asciiTheme="minorHAnsi" w:hAnsiTheme="minorHAnsi" w:cs="Times New Roman"/>
          <w:lang w:val="es-ES_tradnl"/>
        </w:rPr>
        <w:t xml:space="preserve"> – Ministerio de Transporte y obras Públicas</w:t>
      </w:r>
    </w:p>
    <w:p w:rsidR="003C5CF9" w:rsidRPr="00592167" w:rsidRDefault="003C5CF9" w:rsidP="00592167">
      <w:pPr>
        <w:spacing w:after="180" w:line="264" w:lineRule="auto"/>
        <w:jc w:val="both"/>
        <w:rPr>
          <w:rFonts w:asciiTheme="minorHAnsi" w:hAnsiTheme="minorHAnsi" w:cs="Times New Roman"/>
          <w:lang w:val="es-ES_tradnl"/>
        </w:rPr>
      </w:pPr>
      <w:r w:rsidRPr="00592167">
        <w:rPr>
          <w:rFonts w:asciiTheme="minorHAnsi" w:hAnsiTheme="minorHAnsi" w:cs="Times New Roman"/>
          <w:lang w:val="es-ES_tradnl"/>
        </w:rPr>
        <w:t xml:space="preserve">Martín </w:t>
      </w:r>
      <w:proofErr w:type="spellStart"/>
      <w:r w:rsidRPr="00592167">
        <w:rPr>
          <w:rFonts w:asciiTheme="minorHAnsi" w:hAnsiTheme="minorHAnsi" w:cs="Times New Roman"/>
          <w:lang w:val="es-ES_tradnl"/>
        </w:rPr>
        <w:t>Hansz</w:t>
      </w:r>
      <w:proofErr w:type="spellEnd"/>
      <w:r w:rsidR="00DF19EA">
        <w:rPr>
          <w:rFonts w:asciiTheme="minorHAnsi" w:hAnsiTheme="minorHAnsi" w:cs="Times New Roman"/>
          <w:lang w:val="es-ES_tradnl"/>
        </w:rPr>
        <w:t xml:space="preserve"> – Ministerio de Transporte y obras Públicas</w:t>
      </w:r>
    </w:p>
    <w:p w:rsidR="00955D78" w:rsidRPr="00592167" w:rsidRDefault="00DF19EA" w:rsidP="00592167">
      <w:pPr>
        <w:spacing w:after="180" w:line="264" w:lineRule="auto"/>
        <w:jc w:val="both"/>
        <w:rPr>
          <w:rFonts w:asciiTheme="minorHAnsi" w:hAnsiTheme="minorHAnsi" w:cs="Times New Roman"/>
          <w:lang w:val="es-ES_tradnl"/>
        </w:rPr>
      </w:pPr>
      <w:r>
        <w:rPr>
          <w:rFonts w:asciiTheme="minorHAnsi" w:hAnsiTheme="minorHAnsi" w:cs="Times New Roman"/>
          <w:lang w:val="es-ES_tradnl"/>
        </w:rPr>
        <w:t xml:space="preserve">Alfonso </w:t>
      </w:r>
      <w:r w:rsidR="00955D78" w:rsidRPr="00592167">
        <w:rPr>
          <w:rFonts w:asciiTheme="minorHAnsi" w:hAnsiTheme="minorHAnsi" w:cs="Times New Roman"/>
          <w:lang w:val="es-ES_tradnl"/>
        </w:rPr>
        <w:t>Capurro</w:t>
      </w:r>
      <w:r>
        <w:rPr>
          <w:rFonts w:asciiTheme="minorHAnsi" w:hAnsiTheme="minorHAnsi" w:cs="Times New Roman"/>
          <w:lang w:val="es-ES_tradnl"/>
        </w:rPr>
        <w:t xml:space="preserve"> – CPA </w:t>
      </w:r>
      <w:proofErr w:type="spellStart"/>
      <w:r>
        <w:rPr>
          <w:rFonts w:asciiTheme="minorHAnsi" w:hAnsiTheme="minorHAnsi" w:cs="Times New Roman"/>
          <w:lang w:val="es-ES_tradnl"/>
        </w:rPr>
        <w:t>Ferrere</w:t>
      </w:r>
      <w:proofErr w:type="spellEnd"/>
    </w:p>
    <w:p w:rsidR="00DF19EA" w:rsidRDefault="00DF19EA" w:rsidP="00592167">
      <w:pPr>
        <w:spacing w:after="180" w:line="264" w:lineRule="auto"/>
        <w:jc w:val="both"/>
        <w:rPr>
          <w:rFonts w:asciiTheme="minorHAnsi" w:hAnsiTheme="minorHAnsi" w:cs="Times New Roman"/>
          <w:lang w:val="es-ES_tradnl"/>
        </w:rPr>
      </w:pPr>
      <w:r>
        <w:rPr>
          <w:rFonts w:asciiTheme="minorHAnsi" w:hAnsiTheme="minorHAnsi" w:cs="Times New Roman"/>
          <w:lang w:val="es-ES_tradnl"/>
        </w:rPr>
        <w:t xml:space="preserve">Gonzalo Chocho – Banco </w:t>
      </w:r>
      <w:proofErr w:type="spellStart"/>
      <w:r>
        <w:rPr>
          <w:rFonts w:asciiTheme="minorHAnsi" w:hAnsiTheme="minorHAnsi" w:cs="Times New Roman"/>
          <w:lang w:val="es-ES_tradnl"/>
        </w:rPr>
        <w:t>Itau</w:t>
      </w:r>
      <w:proofErr w:type="spellEnd"/>
    </w:p>
    <w:p w:rsidR="00955D78" w:rsidRPr="00592167" w:rsidRDefault="00DF19EA" w:rsidP="00592167">
      <w:pPr>
        <w:spacing w:after="180" w:line="264" w:lineRule="auto"/>
        <w:jc w:val="both"/>
        <w:rPr>
          <w:rFonts w:asciiTheme="minorHAnsi" w:hAnsiTheme="minorHAnsi" w:cs="Times New Roman"/>
          <w:lang w:val="es-ES_tradnl"/>
        </w:rPr>
      </w:pPr>
      <w:r>
        <w:rPr>
          <w:rFonts w:asciiTheme="minorHAnsi" w:hAnsiTheme="minorHAnsi" w:cs="Times New Roman"/>
          <w:lang w:val="es-ES_tradnl"/>
        </w:rPr>
        <w:t>Marcelo Pérez – Consultora de Servicios e Ingeniería S.A.</w:t>
      </w:r>
    </w:p>
    <w:p w:rsidR="00955D78" w:rsidRPr="00592167" w:rsidRDefault="00955D78" w:rsidP="00592167">
      <w:pPr>
        <w:spacing w:after="180" w:line="264" w:lineRule="auto"/>
        <w:jc w:val="both"/>
        <w:rPr>
          <w:rFonts w:asciiTheme="minorHAnsi" w:hAnsiTheme="minorHAnsi" w:cs="Times New Roman"/>
          <w:lang w:val="es-ES_tradnl"/>
        </w:rPr>
      </w:pPr>
      <w:r w:rsidRPr="00592167">
        <w:rPr>
          <w:rFonts w:asciiTheme="minorHAnsi" w:hAnsiTheme="minorHAnsi" w:cs="Times New Roman"/>
          <w:lang w:val="es-ES_tradnl"/>
        </w:rPr>
        <w:t>Gabriel</w:t>
      </w:r>
      <w:r w:rsidR="00DF19EA">
        <w:rPr>
          <w:rFonts w:asciiTheme="minorHAnsi" w:hAnsiTheme="minorHAnsi" w:cs="Times New Roman"/>
          <w:lang w:val="es-ES_tradnl"/>
        </w:rPr>
        <w:t xml:space="preserve"> </w:t>
      </w:r>
      <w:proofErr w:type="spellStart"/>
      <w:r w:rsidR="00DF19EA">
        <w:rPr>
          <w:rFonts w:asciiTheme="minorHAnsi" w:hAnsiTheme="minorHAnsi" w:cs="Times New Roman"/>
          <w:lang w:val="es-ES_tradnl"/>
        </w:rPr>
        <w:t>Abrahan</w:t>
      </w:r>
      <w:proofErr w:type="spellEnd"/>
      <w:r w:rsidR="00DF19EA">
        <w:rPr>
          <w:rFonts w:asciiTheme="minorHAnsi" w:hAnsiTheme="minorHAnsi" w:cs="Times New Roman"/>
          <w:lang w:val="es-ES_tradnl"/>
        </w:rPr>
        <w:t xml:space="preserve">– Consultora de Servicios e Ingeniería S.A. </w:t>
      </w:r>
    </w:p>
    <w:p w:rsidR="00955D78" w:rsidRPr="00592167" w:rsidRDefault="00955D78" w:rsidP="00592167">
      <w:pPr>
        <w:spacing w:after="180" w:line="264" w:lineRule="auto"/>
        <w:jc w:val="both"/>
        <w:rPr>
          <w:rFonts w:asciiTheme="minorHAnsi" w:hAnsiTheme="minorHAnsi" w:cs="Times New Roman"/>
          <w:lang w:val="es-ES_tradnl"/>
        </w:rPr>
      </w:pPr>
      <w:r w:rsidRPr="00592167">
        <w:rPr>
          <w:rFonts w:asciiTheme="minorHAnsi" w:hAnsiTheme="minorHAnsi" w:cs="Times New Roman"/>
          <w:lang w:val="es-ES_tradnl"/>
        </w:rPr>
        <w:t>Elías</w:t>
      </w:r>
      <w:r w:rsidR="00DF19EA">
        <w:rPr>
          <w:rFonts w:asciiTheme="minorHAnsi" w:hAnsiTheme="minorHAnsi" w:cs="Times New Roman"/>
          <w:lang w:val="es-ES_tradnl"/>
        </w:rPr>
        <w:t xml:space="preserve"> Rubinstein – Banco Interamericano de Desarrollo</w:t>
      </w:r>
    </w:p>
    <w:p w:rsidR="00955D78" w:rsidRPr="00592167" w:rsidRDefault="00955D78" w:rsidP="00592167">
      <w:pPr>
        <w:spacing w:after="180" w:line="264" w:lineRule="auto"/>
        <w:jc w:val="both"/>
        <w:rPr>
          <w:rFonts w:asciiTheme="minorHAnsi" w:hAnsiTheme="minorHAnsi" w:cs="Times New Roman"/>
          <w:lang w:val="es-ES_tradnl"/>
        </w:rPr>
      </w:pPr>
      <w:r w:rsidRPr="00592167">
        <w:rPr>
          <w:rFonts w:asciiTheme="minorHAnsi" w:hAnsiTheme="minorHAnsi" w:cs="Times New Roman"/>
          <w:lang w:val="es-ES_tradnl"/>
        </w:rPr>
        <w:t>Andrés</w:t>
      </w:r>
      <w:r w:rsidR="00DF19EA">
        <w:rPr>
          <w:rFonts w:asciiTheme="minorHAnsi" w:hAnsiTheme="minorHAnsi" w:cs="Times New Roman"/>
          <w:lang w:val="es-ES_tradnl"/>
        </w:rPr>
        <w:t xml:space="preserve"> Pereyra – </w:t>
      </w:r>
      <w:r w:rsidR="008D22A4">
        <w:rPr>
          <w:rFonts w:asciiTheme="minorHAnsi" w:hAnsiTheme="minorHAnsi" w:cs="Times New Roman"/>
          <w:lang w:val="es-ES_tradnl"/>
        </w:rPr>
        <w:t>B</w:t>
      </w:r>
      <w:r w:rsidR="00DF19EA">
        <w:rPr>
          <w:rFonts w:asciiTheme="minorHAnsi" w:hAnsiTheme="minorHAnsi" w:cs="Times New Roman"/>
          <w:lang w:val="es-ES_tradnl"/>
        </w:rPr>
        <w:t>anco Interamericano de Desarrollo</w:t>
      </w:r>
    </w:p>
    <w:p w:rsidR="009721AB" w:rsidRDefault="009721AB">
      <w:pPr>
        <w:spacing w:after="180" w:line="264" w:lineRule="auto"/>
        <w:jc w:val="both"/>
        <w:rPr>
          <w:lang w:val="es-ES_tradnl"/>
        </w:rPr>
      </w:pPr>
      <w:r>
        <w:rPr>
          <w:lang w:val="es-ES_tradnl"/>
        </w:rPr>
        <w:br w:type="page"/>
      </w:r>
    </w:p>
    <w:p w:rsidR="003C5CF9" w:rsidRDefault="009721AB" w:rsidP="009721AB">
      <w:pPr>
        <w:pStyle w:val="Heading1"/>
        <w:rPr>
          <w:lang w:val="es-ES_tradnl"/>
        </w:rPr>
      </w:pPr>
      <w:bookmarkStart w:id="28" w:name="_Toc428464198"/>
      <w:r>
        <w:rPr>
          <w:lang w:val="es-ES_tradnl"/>
        </w:rPr>
        <w:t>Anexos</w:t>
      </w:r>
      <w:bookmarkEnd w:id="28"/>
    </w:p>
    <w:p w:rsidR="009721AB" w:rsidRDefault="009721AB" w:rsidP="003C5CF9">
      <w:pPr>
        <w:rPr>
          <w:lang w:val="es-ES_tradnl"/>
        </w:rPr>
      </w:pPr>
    </w:p>
    <w:p w:rsidR="00DF19EA" w:rsidRDefault="00DF19EA" w:rsidP="00DF19EA">
      <w:pPr>
        <w:pStyle w:val="Heading2"/>
        <w:rPr>
          <w:lang w:val="es-ES_tradnl"/>
        </w:rPr>
      </w:pPr>
      <w:bookmarkStart w:id="29" w:name="_Toc428464199"/>
      <w:r>
        <w:rPr>
          <w:lang w:val="es-ES_tradnl"/>
        </w:rPr>
        <w:t>Anexo 1 – Tránsito Promedio Diario</w:t>
      </w:r>
      <w:bookmarkEnd w:id="29"/>
    </w:p>
    <w:p w:rsidR="00B62B8B" w:rsidRPr="00B62B8B" w:rsidRDefault="00B62B8B" w:rsidP="00B62B8B">
      <w:pPr>
        <w:rPr>
          <w:lang w:val="es-ES_tradnl"/>
        </w:rPr>
      </w:pPr>
    </w:p>
    <w:tbl>
      <w:tblPr>
        <w:tblW w:w="0" w:type="auto"/>
        <w:tblInd w:w="40" w:type="dxa"/>
        <w:tblLayout w:type="fixed"/>
        <w:tblCellMar>
          <w:left w:w="70" w:type="dxa"/>
          <w:right w:w="70" w:type="dxa"/>
        </w:tblCellMar>
        <w:tblLook w:val="0000" w:firstRow="0" w:lastRow="0" w:firstColumn="0" w:lastColumn="0" w:noHBand="0" w:noVBand="0"/>
      </w:tblPr>
      <w:tblGrid>
        <w:gridCol w:w="1023"/>
        <w:gridCol w:w="708"/>
        <w:gridCol w:w="709"/>
        <w:gridCol w:w="1559"/>
        <w:gridCol w:w="1134"/>
      </w:tblGrid>
      <w:tr w:rsidR="00D65E60" w:rsidRPr="00D65E60" w:rsidTr="00D65E60">
        <w:trPr>
          <w:trHeight w:val="132"/>
        </w:trPr>
        <w:tc>
          <w:tcPr>
            <w:tcW w:w="1023" w:type="dxa"/>
            <w:tcBorders>
              <w:top w:val="single" w:sz="12" w:space="0" w:color="auto"/>
              <w:left w:val="single" w:sz="12" w:space="0" w:color="auto"/>
              <w:bottom w:val="nil"/>
              <w:right w:val="nil"/>
            </w:tcBorders>
          </w:tcPr>
          <w:p w:rsidR="00D65E60" w:rsidRPr="00D65E60" w:rsidRDefault="00D65E60" w:rsidP="00D65E60">
            <w:pPr>
              <w:autoSpaceDE w:val="0"/>
              <w:autoSpaceDN w:val="0"/>
              <w:adjustRightInd w:val="0"/>
              <w:spacing w:after="0" w:line="240" w:lineRule="auto"/>
              <w:rPr>
                <w:rFonts w:ascii="Arial" w:eastAsiaTheme="minorHAnsi" w:hAnsi="Arial" w:cs="Arial"/>
                <w:b/>
                <w:bCs/>
                <w:color w:val="000000"/>
                <w:sz w:val="20"/>
                <w:szCs w:val="20"/>
              </w:rPr>
            </w:pPr>
            <w:r w:rsidRPr="00D65E60">
              <w:rPr>
                <w:rFonts w:ascii="Arial" w:eastAsiaTheme="minorHAnsi" w:hAnsi="Arial" w:cs="Arial"/>
                <w:b/>
                <w:bCs/>
                <w:color w:val="000000"/>
                <w:sz w:val="20"/>
                <w:szCs w:val="20"/>
              </w:rPr>
              <w:t>Año: 2014</w:t>
            </w:r>
          </w:p>
        </w:tc>
        <w:tc>
          <w:tcPr>
            <w:tcW w:w="708" w:type="dxa"/>
            <w:tcBorders>
              <w:top w:val="single" w:sz="12" w:space="0" w:color="auto"/>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9" w:type="dxa"/>
            <w:tcBorders>
              <w:top w:val="single" w:sz="12" w:space="0" w:color="auto"/>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559" w:type="dxa"/>
            <w:tcBorders>
              <w:top w:val="single" w:sz="12" w:space="0" w:color="auto"/>
              <w:left w:val="nil"/>
              <w:bottom w:val="nil"/>
              <w:right w:val="single" w:sz="12" w:space="0" w:color="auto"/>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134" w:type="dxa"/>
            <w:tcBorders>
              <w:top w:val="single" w:sz="12" w:space="0" w:color="auto"/>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b/>
                <w:bCs/>
                <w:color w:val="000000"/>
                <w:sz w:val="20"/>
                <w:szCs w:val="20"/>
              </w:rPr>
            </w:pPr>
            <w:r w:rsidRPr="00D65E60">
              <w:rPr>
                <w:rFonts w:ascii="Arial" w:eastAsiaTheme="minorHAnsi" w:hAnsi="Arial" w:cs="Arial"/>
                <w:b/>
                <w:bCs/>
                <w:color w:val="000000"/>
                <w:sz w:val="20"/>
                <w:szCs w:val="20"/>
              </w:rPr>
              <w:t>% anual  TPDA</w:t>
            </w:r>
          </w:p>
        </w:tc>
      </w:tr>
      <w:tr w:rsidR="00D65E60" w:rsidRPr="00D65E60" w:rsidTr="00D65E60">
        <w:trPr>
          <w:trHeight w:val="132"/>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559" w:type="dxa"/>
            <w:tcBorders>
              <w:top w:val="nil"/>
              <w:left w:val="nil"/>
              <w:bottom w:val="nil"/>
              <w:right w:val="single" w:sz="12" w:space="0" w:color="auto"/>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b/>
                <w:bCs/>
                <w:color w:val="000000"/>
                <w:sz w:val="20"/>
                <w:szCs w:val="20"/>
              </w:rPr>
            </w:pPr>
            <w:r w:rsidRPr="00D65E60">
              <w:rPr>
                <w:rFonts w:ascii="Arial" w:eastAsiaTheme="minorHAnsi" w:hAnsi="Arial" w:cs="Arial"/>
                <w:b/>
                <w:bCs/>
                <w:color w:val="000000"/>
                <w:sz w:val="20"/>
                <w:szCs w:val="20"/>
              </w:rPr>
              <w:t>s/año anterior</w:t>
            </w:r>
          </w:p>
        </w:tc>
      </w:tr>
      <w:tr w:rsidR="00D65E60" w:rsidRPr="00D65E60" w:rsidTr="00D65E60">
        <w:trPr>
          <w:trHeight w:val="132"/>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rPr>
                <w:rFonts w:ascii="Arial" w:eastAsiaTheme="minorHAnsi" w:hAnsi="Arial" w:cs="Arial"/>
                <w:color w:val="000000"/>
                <w:sz w:val="20"/>
                <w:szCs w:val="20"/>
              </w:rPr>
            </w:pPr>
            <w:r w:rsidRPr="00D65E60">
              <w:rPr>
                <w:rFonts w:ascii="Arial" w:eastAsiaTheme="minorHAnsi" w:hAnsi="Arial" w:cs="Arial"/>
                <w:color w:val="000000"/>
                <w:sz w:val="20"/>
                <w:szCs w:val="20"/>
              </w:rPr>
              <w:t>Red Vial (km)</w:t>
            </w: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r w:rsidRPr="00D65E60">
              <w:rPr>
                <w:rFonts w:ascii="Arial" w:eastAsiaTheme="minorHAnsi" w:hAnsi="Arial" w:cs="Arial"/>
                <w:color w:val="000000"/>
                <w:sz w:val="20"/>
                <w:szCs w:val="20"/>
              </w:rPr>
              <w:t>8.782.912</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559" w:type="dxa"/>
            <w:tcBorders>
              <w:top w:val="nil"/>
              <w:left w:val="nil"/>
              <w:bottom w:val="nil"/>
              <w:right w:val="single" w:sz="12" w:space="0" w:color="auto"/>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p>
        </w:tc>
      </w:tr>
      <w:tr w:rsidR="00D65E60" w:rsidRPr="00D65E60" w:rsidTr="00D65E60">
        <w:trPr>
          <w:trHeight w:val="132"/>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b/>
                <w:bCs/>
                <w:color w:val="000000"/>
                <w:sz w:val="20"/>
                <w:szCs w:val="20"/>
              </w:rPr>
            </w:pPr>
            <w:r w:rsidRPr="00D65E60">
              <w:rPr>
                <w:rFonts w:ascii="Arial" w:eastAsiaTheme="minorHAnsi" w:hAnsi="Arial" w:cs="Arial"/>
                <w:b/>
                <w:bCs/>
                <w:color w:val="000000"/>
                <w:sz w:val="20"/>
                <w:szCs w:val="20"/>
              </w:rPr>
              <w:t>TPDA</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b/>
                <w:bCs/>
                <w:color w:val="000000"/>
                <w:sz w:val="20"/>
                <w:szCs w:val="20"/>
              </w:rPr>
            </w:pPr>
            <w:r w:rsidRPr="00D65E60">
              <w:rPr>
                <w:rFonts w:ascii="Arial" w:eastAsiaTheme="minorHAnsi" w:hAnsi="Arial" w:cs="Arial"/>
                <w:b/>
                <w:bCs/>
                <w:color w:val="000000"/>
                <w:sz w:val="20"/>
                <w:szCs w:val="20"/>
              </w:rPr>
              <w:t>%</w:t>
            </w:r>
          </w:p>
        </w:tc>
        <w:tc>
          <w:tcPr>
            <w:tcW w:w="1559" w:type="dxa"/>
            <w:tcBorders>
              <w:top w:val="nil"/>
              <w:left w:val="nil"/>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b/>
                <w:bCs/>
                <w:color w:val="000000"/>
                <w:sz w:val="20"/>
                <w:szCs w:val="20"/>
              </w:rPr>
            </w:pPr>
            <w:proofErr w:type="spellStart"/>
            <w:r w:rsidRPr="00D65E60">
              <w:rPr>
                <w:rFonts w:ascii="Arial" w:eastAsiaTheme="minorHAnsi" w:hAnsi="Arial" w:cs="Arial"/>
                <w:b/>
                <w:bCs/>
                <w:color w:val="000000"/>
                <w:sz w:val="20"/>
                <w:szCs w:val="20"/>
              </w:rPr>
              <w:t>Veh-mt</w:t>
            </w:r>
            <w:proofErr w:type="spellEnd"/>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p>
        </w:tc>
      </w:tr>
      <w:tr w:rsidR="00D65E60" w:rsidRPr="00D65E60" w:rsidTr="00D65E60">
        <w:trPr>
          <w:trHeight w:val="132"/>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Total</w:t>
            </w: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1736</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100%</w:t>
            </w:r>
          </w:p>
        </w:tc>
        <w:tc>
          <w:tcPr>
            <w:tcW w:w="1559" w:type="dxa"/>
            <w:tcBorders>
              <w:top w:val="nil"/>
              <w:left w:val="nil"/>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15.251.412.911</w:t>
            </w: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5,49%</w:t>
            </w:r>
          </w:p>
        </w:tc>
      </w:tr>
      <w:tr w:rsidR="00D65E60" w:rsidRPr="00D65E60" w:rsidTr="00D65E60">
        <w:trPr>
          <w:trHeight w:val="156"/>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center"/>
              <w:rPr>
                <w:rFonts w:ascii="Calibri" w:eastAsiaTheme="minorHAnsi" w:hAnsi="Calibri" w:cs="Calibri"/>
                <w:color w:val="000000"/>
              </w:rPr>
            </w:pPr>
            <w:r w:rsidRPr="00D65E60">
              <w:rPr>
                <w:rFonts w:ascii="Calibri" w:eastAsiaTheme="minorHAnsi" w:hAnsi="Calibri" w:cs="Calibri"/>
                <w:color w:val="000000"/>
              </w:rPr>
              <w:t>Autos</w:t>
            </w: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1240</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71%</w:t>
            </w:r>
          </w:p>
        </w:tc>
        <w:tc>
          <w:tcPr>
            <w:tcW w:w="1559" w:type="dxa"/>
            <w:tcBorders>
              <w:top w:val="nil"/>
              <w:left w:val="nil"/>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10.886.877.817</w:t>
            </w: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5,83%</w:t>
            </w:r>
          </w:p>
        </w:tc>
      </w:tr>
      <w:tr w:rsidR="00D65E60" w:rsidRPr="00D65E60" w:rsidTr="00D65E60">
        <w:trPr>
          <w:trHeight w:val="156"/>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center"/>
              <w:rPr>
                <w:rFonts w:ascii="Calibri" w:eastAsiaTheme="minorHAnsi" w:hAnsi="Calibri" w:cs="Calibri"/>
                <w:color w:val="000000"/>
              </w:rPr>
            </w:pPr>
            <w:proofErr w:type="spellStart"/>
            <w:r w:rsidRPr="00D65E60">
              <w:rPr>
                <w:rFonts w:ascii="Calibri" w:eastAsiaTheme="minorHAnsi" w:hAnsi="Calibri" w:cs="Calibri"/>
                <w:color w:val="000000"/>
              </w:rPr>
              <w:t>Omnibus</w:t>
            </w:r>
            <w:proofErr w:type="spellEnd"/>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65</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4%</w:t>
            </w:r>
          </w:p>
        </w:tc>
        <w:tc>
          <w:tcPr>
            <w:tcW w:w="1559" w:type="dxa"/>
            <w:tcBorders>
              <w:top w:val="nil"/>
              <w:left w:val="nil"/>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567.840.048</w:t>
            </w: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-0,35%</w:t>
            </w:r>
          </w:p>
        </w:tc>
      </w:tr>
      <w:tr w:rsidR="00D65E60" w:rsidRPr="00D65E60" w:rsidTr="00D65E60">
        <w:trPr>
          <w:trHeight w:val="156"/>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center"/>
              <w:rPr>
                <w:rFonts w:ascii="Calibri" w:eastAsiaTheme="minorHAnsi" w:hAnsi="Calibri" w:cs="Calibri"/>
                <w:color w:val="000000"/>
              </w:rPr>
            </w:pPr>
            <w:proofErr w:type="spellStart"/>
            <w:r w:rsidRPr="00D65E60">
              <w:rPr>
                <w:rFonts w:ascii="Calibri" w:eastAsiaTheme="minorHAnsi" w:hAnsi="Calibri" w:cs="Calibri"/>
                <w:color w:val="000000"/>
              </w:rPr>
              <w:t>Cam</w:t>
            </w:r>
            <w:proofErr w:type="spellEnd"/>
            <w:r w:rsidRPr="00D65E60">
              <w:rPr>
                <w:rFonts w:ascii="Calibri" w:eastAsiaTheme="minorHAnsi" w:hAnsi="Calibri" w:cs="Calibri"/>
                <w:color w:val="000000"/>
              </w:rPr>
              <w:t xml:space="preserve">. </w:t>
            </w:r>
            <w:proofErr w:type="spellStart"/>
            <w:r w:rsidRPr="00D65E60">
              <w:rPr>
                <w:rFonts w:ascii="Calibri" w:eastAsiaTheme="minorHAnsi" w:hAnsi="Calibri" w:cs="Calibri"/>
                <w:color w:val="000000"/>
              </w:rPr>
              <w:t>Med</w:t>
            </w:r>
            <w:proofErr w:type="spellEnd"/>
            <w:r w:rsidRPr="00D65E60">
              <w:rPr>
                <w:rFonts w:ascii="Calibri" w:eastAsiaTheme="minorHAnsi" w:hAnsi="Calibri" w:cs="Calibri"/>
                <w:color w:val="000000"/>
              </w:rPr>
              <w:t>.</w:t>
            </w: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242</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14%</w:t>
            </w:r>
          </w:p>
        </w:tc>
        <w:tc>
          <w:tcPr>
            <w:tcW w:w="1559" w:type="dxa"/>
            <w:tcBorders>
              <w:top w:val="nil"/>
              <w:left w:val="nil"/>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2.123.539.780</w:t>
            </w: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5,49%</w:t>
            </w:r>
          </w:p>
        </w:tc>
      </w:tr>
      <w:tr w:rsidR="00D65E60" w:rsidRPr="00D65E60" w:rsidTr="00D65E60">
        <w:trPr>
          <w:trHeight w:val="156"/>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center"/>
              <w:rPr>
                <w:rFonts w:ascii="Calibri" w:eastAsiaTheme="minorHAnsi" w:hAnsi="Calibri" w:cs="Calibri"/>
                <w:color w:val="000000"/>
              </w:rPr>
            </w:pPr>
            <w:proofErr w:type="spellStart"/>
            <w:r w:rsidRPr="00D65E60">
              <w:rPr>
                <w:rFonts w:ascii="Calibri" w:eastAsiaTheme="minorHAnsi" w:hAnsi="Calibri" w:cs="Calibri"/>
                <w:color w:val="000000"/>
              </w:rPr>
              <w:t>Cam</w:t>
            </w:r>
            <w:proofErr w:type="spellEnd"/>
            <w:r w:rsidRPr="00D65E60">
              <w:rPr>
                <w:rFonts w:ascii="Calibri" w:eastAsiaTheme="minorHAnsi" w:hAnsi="Calibri" w:cs="Calibri"/>
                <w:color w:val="000000"/>
              </w:rPr>
              <w:t xml:space="preserve">. </w:t>
            </w:r>
            <w:proofErr w:type="spellStart"/>
            <w:r w:rsidRPr="00D65E60">
              <w:rPr>
                <w:rFonts w:ascii="Calibri" w:eastAsiaTheme="minorHAnsi" w:hAnsi="Calibri" w:cs="Calibri"/>
                <w:color w:val="000000"/>
              </w:rPr>
              <w:t>Semi</w:t>
            </w:r>
            <w:proofErr w:type="spellEnd"/>
            <w:r w:rsidRPr="00D65E60">
              <w:rPr>
                <w:rFonts w:ascii="Calibri" w:eastAsiaTheme="minorHAnsi" w:hAnsi="Calibri" w:cs="Calibri"/>
                <w:color w:val="000000"/>
              </w:rPr>
              <w:t>.</w:t>
            </w: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36</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2%</w:t>
            </w:r>
          </w:p>
        </w:tc>
        <w:tc>
          <w:tcPr>
            <w:tcW w:w="1559" w:type="dxa"/>
            <w:tcBorders>
              <w:top w:val="nil"/>
              <w:left w:val="nil"/>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318.752.067</w:t>
            </w: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5,36%</w:t>
            </w:r>
          </w:p>
        </w:tc>
      </w:tr>
      <w:tr w:rsidR="00D65E60" w:rsidRPr="00D65E60" w:rsidTr="00D65E60">
        <w:trPr>
          <w:trHeight w:val="164"/>
        </w:trPr>
        <w:tc>
          <w:tcPr>
            <w:tcW w:w="1023" w:type="dxa"/>
            <w:tcBorders>
              <w:top w:val="nil"/>
              <w:left w:val="single" w:sz="12" w:space="0" w:color="auto"/>
              <w:bottom w:val="single" w:sz="12" w:space="0" w:color="auto"/>
              <w:right w:val="nil"/>
            </w:tcBorders>
          </w:tcPr>
          <w:p w:rsidR="00D65E60" w:rsidRPr="00D65E60" w:rsidRDefault="00D65E60" w:rsidP="00D65E60">
            <w:pPr>
              <w:autoSpaceDE w:val="0"/>
              <w:autoSpaceDN w:val="0"/>
              <w:adjustRightInd w:val="0"/>
              <w:spacing w:after="0" w:line="240" w:lineRule="auto"/>
              <w:jc w:val="center"/>
              <w:rPr>
                <w:rFonts w:ascii="Calibri" w:eastAsiaTheme="minorHAnsi" w:hAnsi="Calibri" w:cs="Calibri"/>
                <w:color w:val="000000"/>
              </w:rPr>
            </w:pPr>
            <w:proofErr w:type="spellStart"/>
            <w:r w:rsidRPr="00D65E60">
              <w:rPr>
                <w:rFonts w:ascii="Calibri" w:eastAsiaTheme="minorHAnsi" w:hAnsi="Calibri" w:cs="Calibri"/>
                <w:color w:val="000000"/>
              </w:rPr>
              <w:t>Cam</w:t>
            </w:r>
            <w:proofErr w:type="spellEnd"/>
            <w:r w:rsidRPr="00D65E60">
              <w:rPr>
                <w:rFonts w:ascii="Calibri" w:eastAsiaTheme="minorHAnsi" w:hAnsi="Calibri" w:cs="Calibri"/>
                <w:color w:val="000000"/>
              </w:rPr>
              <w:t>. Pes.</w:t>
            </w:r>
          </w:p>
        </w:tc>
        <w:tc>
          <w:tcPr>
            <w:tcW w:w="708" w:type="dxa"/>
            <w:tcBorders>
              <w:top w:val="nil"/>
              <w:left w:val="nil"/>
              <w:bottom w:val="single" w:sz="12" w:space="0" w:color="auto"/>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154</w:t>
            </w:r>
          </w:p>
        </w:tc>
        <w:tc>
          <w:tcPr>
            <w:tcW w:w="709" w:type="dxa"/>
            <w:tcBorders>
              <w:top w:val="nil"/>
              <w:left w:val="nil"/>
              <w:bottom w:val="single" w:sz="12" w:space="0" w:color="auto"/>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9%</w:t>
            </w:r>
          </w:p>
        </w:tc>
        <w:tc>
          <w:tcPr>
            <w:tcW w:w="1559" w:type="dxa"/>
            <w:tcBorders>
              <w:top w:val="nil"/>
              <w:left w:val="nil"/>
              <w:bottom w:val="single" w:sz="12" w:space="0" w:color="auto"/>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1.354.403.199</w:t>
            </w:r>
          </w:p>
        </w:tc>
        <w:tc>
          <w:tcPr>
            <w:tcW w:w="1134" w:type="dxa"/>
            <w:tcBorders>
              <w:top w:val="nil"/>
              <w:left w:val="single" w:sz="12" w:space="0" w:color="auto"/>
              <w:bottom w:val="single" w:sz="6" w:space="0" w:color="auto"/>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5,44%</w:t>
            </w:r>
          </w:p>
        </w:tc>
      </w:tr>
      <w:tr w:rsidR="00D65E60" w:rsidRPr="00D65E60" w:rsidTr="00D65E60">
        <w:trPr>
          <w:trHeight w:val="132"/>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559" w:type="dxa"/>
            <w:tcBorders>
              <w:top w:val="nil"/>
              <w:left w:val="nil"/>
              <w:bottom w:val="nil"/>
              <w:right w:val="single" w:sz="12" w:space="0" w:color="auto"/>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p>
        </w:tc>
      </w:tr>
      <w:tr w:rsidR="00D65E60" w:rsidRPr="00D65E60" w:rsidTr="00D65E60">
        <w:trPr>
          <w:trHeight w:val="140"/>
        </w:trPr>
        <w:tc>
          <w:tcPr>
            <w:tcW w:w="1023" w:type="dxa"/>
            <w:tcBorders>
              <w:top w:val="nil"/>
              <w:left w:val="single" w:sz="12" w:space="0" w:color="auto"/>
              <w:bottom w:val="single" w:sz="12" w:space="0" w:color="auto"/>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8" w:type="dxa"/>
            <w:tcBorders>
              <w:top w:val="nil"/>
              <w:left w:val="nil"/>
              <w:bottom w:val="single" w:sz="12" w:space="0" w:color="auto"/>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9" w:type="dxa"/>
            <w:tcBorders>
              <w:top w:val="nil"/>
              <w:left w:val="nil"/>
              <w:bottom w:val="single" w:sz="12" w:space="0" w:color="auto"/>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559" w:type="dxa"/>
            <w:tcBorders>
              <w:top w:val="nil"/>
              <w:left w:val="nil"/>
              <w:bottom w:val="single" w:sz="12" w:space="0" w:color="auto"/>
              <w:right w:val="single" w:sz="12" w:space="0" w:color="auto"/>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p>
        </w:tc>
      </w:tr>
      <w:tr w:rsidR="00D65E60" w:rsidRPr="00D65E60" w:rsidTr="00D65E60">
        <w:trPr>
          <w:trHeight w:val="132"/>
        </w:trPr>
        <w:tc>
          <w:tcPr>
            <w:tcW w:w="1023" w:type="dxa"/>
            <w:tcBorders>
              <w:top w:val="single" w:sz="12" w:space="0" w:color="auto"/>
              <w:left w:val="single" w:sz="12" w:space="0" w:color="auto"/>
              <w:bottom w:val="nil"/>
              <w:right w:val="nil"/>
            </w:tcBorders>
          </w:tcPr>
          <w:p w:rsidR="00D65E60" w:rsidRPr="00D65E60" w:rsidRDefault="00D65E60" w:rsidP="00D65E60">
            <w:pPr>
              <w:autoSpaceDE w:val="0"/>
              <w:autoSpaceDN w:val="0"/>
              <w:adjustRightInd w:val="0"/>
              <w:spacing w:after="0" w:line="240" w:lineRule="auto"/>
              <w:rPr>
                <w:rFonts w:ascii="Arial" w:eastAsiaTheme="minorHAnsi" w:hAnsi="Arial" w:cs="Arial"/>
                <w:b/>
                <w:bCs/>
                <w:color w:val="000000"/>
                <w:sz w:val="20"/>
                <w:szCs w:val="20"/>
              </w:rPr>
            </w:pPr>
            <w:r w:rsidRPr="00D65E60">
              <w:rPr>
                <w:rFonts w:ascii="Arial" w:eastAsiaTheme="minorHAnsi" w:hAnsi="Arial" w:cs="Arial"/>
                <w:b/>
                <w:bCs/>
                <w:color w:val="000000"/>
                <w:sz w:val="20"/>
                <w:szCs w:val="20"/>
              </w:rPr>
              <w:t>Año: 2013</w:t>
            </w:r>
          </w:p>
        </w:tc>
        <w:tc>
          <w:tcPr>
            <w:tcW w:w="708" w:type="dxa"/>
            <w:tcBorders>
              <w:top w:val="single" w:sz="12" w:space="0" w:color="auto"/>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9" w:type="dxa"/>
            <w:tcBorders>
              <w:top w:val="single" w:sz="12" w:space="0" w:color="auto"/>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559" w:type="dxa"/>
            <w:tcBorders>
              <w:top w:val="single" w:sz="12" w:space="0" w:color="auto"/>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p>
        </w:tc>
      </w:tr>
      <w:tr w:rsidR="00D65E60" w:rsidRPr="00D65E60" w:rsidTr="00D65E60">
        <w:trPr>
          <w:trHeight w:val="132"/>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p>
        </w:tc>
      </w:tr>
      <w:tr w:rsidR="00D65E60" w:rsidRPr="00D65E60" w:rsidTr="00D65E60">
        <w:trPr>
          <w:trHeight w:val="132"/>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rPr>
                <w:rFonts w:ascii="Arial" w:eastAsiaTheme="minorHAnsi" w:hAnsi="Arial" w:cs="Arial"/>
                <w:color w:val="000000"/>
                <w:sz w:val="20"/>
                <w:szCs w:val="20"/>
              </w:rPr>
            </w:pPr>
            <w:r w:rsidRPr="00D65E60">
              <w:rPr>
                <w:rFonts w:ascii="Arial" w:eastAsiaTheme="minorHAnsi" w:hAnsi="Arial" w:cs="Arial"/>
                <w:color w:val="000000"/>
                <w:sz w:val="20"/>
                <w:szCs w:val="20"/>
              </w:rPr>
              <w:t>Red Vial (km)</w:t>
            </w: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r w:rsidRPr="00D65E60">
              <w:rPr>
                <w:rFonts w:ascii="Arial" w:eastAsiaTheme="minorHAnsi" w:hAnsi="Arial" w:cs="Arial"/>
                <w:color w:val="000000"/>
                <w:sz w:val="20"/>
                <w:szCs w:val="20"/>
              </w:rPr>
              <w:t>8.782.912</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p>
        </w:tc>
      </w:tr>
      <w:tr w:rsidR="00D65E60" w:rsidRPr="00D65E60" w:rsidTr="00D65E60">
        <w:trPr>
          <w:trHeight w:val="132"/>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b/>
                <w:bCs/>
                <w:color w:val="000000"/>
                <w:sz w:val="20"/>
                <w:szCs w:val="20"/>
              </w:rPr>
            </w:pPr>
            <w:r w:rsidRPr="00D65E60">
              <w:rPr>
                <w:rFonts w:ascii="Arial" w:eastAsiaTheme="minorHAnsi" w:hAnsi="Arial" w:cs="Arial"/>
                <w:b/>
                <w:bCs/>
                <w:color w:val="000000"/>
                <w:sz w:val="20"/>
                <w:szCs w:val="20"/>
              </w:rPr>
              <w:t>TPDA</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b/>
                <w:bCs/>
                <w:color w:val="000000"/>
                <w:sz w:val="20"/>
                <w:szCs w:val="20"/>
              </w:rPr>
            </w:pPr>
            <w:r w:rsidRPr="00D65E60">
              <w:rPr>
                <w:rFonts w:ascii="Arial" w:eastAsiaTheme="minorHAnsi" w:hAnsi="Arial" w:cs="Arial"/>
                <w:b/>
                <w:bCs/>
                <w:color w:val="000000"/>
                <w:sz w:val="20"/>
                <w:szCs w:val="20"/>
              </w:rPr>
              <w:t>%</w:t>
            </w: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b/>
                <w:bCs/>
                <w:color w:val="000000"/>
                <w:sz w:val="20"/>
                <w:szCs w:val="20"/>
              </w:rPr>
            </w:pPr>
            <w:proofErr w:type="spellStart"/>
            <w:r w:rsidRPr="00D65E60">
              <w:rPr>
                <w:rFonts w:ascii="Arial" w:eastAsiaTheme="minorHAnsi" w:hAnsi="Arial" w:cs="Arial"/>
                <w:b/>
                <w:bCs/>
                <w:color w:val="000000"/>
                <w:sz w:val="20"/>
                <w:szCs w:val="20"/>
              </w:rPr>
              <w:t>Veh-mt</w:t>
            </w:r>
            <w:proofErr w:type="spellEnd"/>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p>
        </w:tc>
      </w:tr>
      <w:tr w:rsidR="00D65E60" w:rsidRPr="00D65E60" w:rsidTr="00D65E60">
        <w:trPr>
          <w:trHeight w:val="132"/>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Total</w:t>
            </w: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1646</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100%</w:t>
            </w: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14.457.005.483</w:t>
            </w: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6,69%</w:t>
            </w:r>
          </w:p>
        </w:tc>
      </w:tr>
      <w:tr w:rsidR="00D65E60" w:rsidRPr="00D65E60" w:rsidTr="00D65E60">
        <w:trPr>
          <w:trHeight w:val="156"/>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center"/>
              <w:rPr>
                <w:rFonts w:ascii="Calibri" w:eastAsiaTheme="minorHAnsi" w:hAnsi="Calibri" w:cs="Calibri"/>
                <w:color w:val="000000"/>
              </w:rPr>
            </w:pPr>
            <w:r w:rsidRPr="00D65E60">
              <w:rPr>
                <w:rFonts w:ascii="Calibri" w:eastAsiaTheme="minorHAnsi" w:hAnsi="Calibri" w:cs="Calibri"/>
                <w:color w:val="000000"/>
              </w:rPr>
              <w:t>Autos</w:t>
            </w: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1171</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71%</w:t>
            </w: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10.287.081.190</w:t>
            </w: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6,17%</w:t>
            </w:r>
          </w:p>
        </w:tc>
      </w:tr>
      <w:tr w:rsidR="00D65E60" w:rsidRPr="00D65E60" w:rsidTr="00D65E60">
        <w:trPr>
          <w:trHeight w:val="156"/>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center"/>
              <w:rPr>
                <w:rFonts w:ascii="Calibri" w:eastAsiaTheme="minorHAnsi" w:hAnsi="Calibri" w:cs="Calibri"/>
                <w:color w:val="000000"/>
              </w:rPr>
            </w:pPr>
            <w:proofErr w:type="spellStart"/>
            <w:r w:rsidRPr="00D65E60">
              <w:rPr>
                <w:rFonts w:ascii="Calibri" w:eastAsiaTheme="minorHAnsi" w:hAnsi="Calibri" w:cs="Calibri"/>
                <w:color w:val="000000"/>
              </w:rPr>
              <w:t>Omnibus</w:t>
            </w:r>
            <w:proofErr w:type="spellEnd"/>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65</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4%</w:t>
            </w: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569.832.628</w:t>
            </w: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0,82%</w:t>
            </w:r>
          </w:p>
        </w:tc>
      </w:tr>
      <w:tr w:rsidR="00D65E60" w:rsidRPr="00D65E60" w:rsidTr="00D65E60">
        <w:trPr>
          <w:trHeight w:val="156"/>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center"/>
              <w:rPr>
                <w:rFonts w:ascii="Calibri" w:eastAsiaTheme="minorHAnsi" w:hAnsi="Calibri" w:cs="Calibri"/>
                <w:color w:val="000000"/>
              </w:rPr>
            </w:pPr>
            <w:proofErr w:type="spellStart"/>
            <w:r w:rsidRPr="00D65E60">
              <w:rPr>
                <w:rFonts w:ascii="Calibri" w:eastAsiaTheme="minorHAnsi" w:hAnsi="Calibri" w:cs="Calibri"/>
                <w:color w:val="000000"/>
              </w:rPr>
              <w:t>Cam</w:t>
            </w:r>
            <w:proofErr w:type="spellEnd"/>
            <w:r w:rsidRPr="00D65E60">
              <w:rPr>
                <w:rFonts w:ascii="Calibri" w:eastAsiaTheme="minorHAnsi" w:hAnsi="Calibri" w:cs="Calibri"/>
                <w:color w:val="000000"/>
              </w:rPr>
              <w:t xml:space="preserve">. </w:t>
            </w:r>
            <w:proofErr w:type="spellStart"/>
            <w:r w:rsidRPr="00D65E60">
              <w:rPr>
                <w:rFonts w:ascii="Calibri" w:eastAsiaTheme="minorHAnsi" w:hAnsi="Calibri" w:cs="Calibri"/>
                <w:color w:val="000000"/>
              </w:rPr>
              <w:t>Med</w:t>
            </w:r>
            <w:proofErr w:type="spellEnd"/>
            <w:r w:rsidRPr="00D65E60">
              <w:rPr>
                <w:rFonts w:ascii="Calibri" w:eastAsiaTheme="minorHAnsi" w:hAnsi="Calibri" w:cs="Calibri"/>
                <w:color w:val="000000"/>
              </w:rPr>
              <w:t>.</w:t>
            </w: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229</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14%</w:t>
            </w: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2.013.019.145</w:t>
            </w: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11,77%</w:t>
            </w:r>
          </w:p>
        </w:tc>
      </w:tr>
      <w:tr w:rsidR="00D65E60" w:rsidRPr="00D65E60" w:rsidTr="00D65E60">
        <w:trPr>
          <w:trHeight w:val="156"/>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center"/>
              <w:rPr>
                <w:rFonts w:ascii="Calibri" w:eastAsiaTheme="minorHAnsi" w:hAnsi="Calibri" w:cs="Calibri"/>
                <w:color w:val="000000"/>
              </w:rPr>
            </w:pPr>
            <w:proofErr w:type="spellStart"/>
            <w:r w:rsidRPr="00D65E60">
              <w:rPr>
                <w:rFonts w:ascii="Calibri" w:eastAsiaTheme="minorHAnsi" w:hAnsi="Calibri" w:cs="Calibri"/>
                <w:color w:val="000000"/>
              </w:rPr>
              <w:t>Cam</w:t>
            </w:r>
            <w:proofErr w:type="spellEnd"/>
            <w:r w:rsidRPr="00D65E60">
              <w:rPr>
                <w:rFonts w:ascii="Calibri" w:eastAsiaTheme="minorHAnsi" w:hAnsi="Calibri" w:cs="Calibri"/>
                <w:color w:val="000000"/>
              </w:rPr>
              <w:t xml:space="preserve">. </w:t>
            </w:r>
            <w:proofErr w:type="spellStart"/>
            <w:r w:rsidRPr="00D65E60">
              <w:rPr>
                <w:rFonts w:ascii="Calibri" w:eastAsiaTheme="minorHAnsi" w:hAnsi="Calibri" w:cs="Calibri"/>
                <w:color w:val="000000"/>
              </w:rPr>
              <w:t>Semi</w:t>
            </w:r>
            <w:proofErr w:type="spellEnd"/>
            <w:r w:rsidRPr="00D65E60">
              <w:rPr>
                <w:rFonts w:ascii="Calibri" w:eastAsiaTheme="minorHAnsi" w:hAnsi="Calibri" w:cs="Calibri"/>
                <w:color w:val="000000"/>
              </w:rPr>
              <w:t>.</w:t>
            </w: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34</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2%</w:t>
            </w: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302.530.369</w:t>
            </w: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8,26%</w:t>
            </w:r>
          </w:p>
        </w:tc>
      </w:tr>
      <w:tr w:rsidR="00D65E60" w:rsidRPr="00D65E60" w:rsidTr="00D65E60">
        <w:trPr>
          <w:trHeight w:val="164"/>
        </w:trPr>
        <w:tc>
          <w:tcPr>
            <w:tcW w:w="1023" w:type="dxa"/>
            <w:tcBorders>
              <w:top w:val="nil"/>
              <w:left w:val="single" w:sz="12" w:space="0" w:color="auto"/>
              <w:bottom w:val="single" w:sz="12" w:space="0" w:color="auto"/>
              <w:right w:val="nil"/>
            </w:tcBorders>
          </w:tcPr>
          <w:p w:rsidR="00D65E60" w:rsidRPr="00D65E60" w:rsidRDefault="00D65E60" w:rsidP="00D65E60">
            <w:pPr>
              <w:autoSpaceDE w:val="0"/>
              <w:autoSpaceDN w:val="0"/>
              <w:adjustRightInd w:val="0"/>
              <w:spacing w:after="0" w:line="240" w:lineRule="auto"/>
              <w:jc w:val="center"/>
              <w:rPr>
                <w:rFonts w:ascii="Calibri" w:eastAsiaTheme="minorHAnsi" w:hAnsi="Calibri" w:cs="Calibri"/>
                <w:color w:val="000000"/>
              </w:rPr>
            </w:pPr>
            <w:proofErr w:type="spellStart"/>
            <w:r w:rsidRPr="00D65E60">
              <w:rPr>
                <w:rFonts w:ascii="Calibri" w:eastAsiaTheme="minorHAnsi" w:hAnsi="Calibri" w:cs="Calibri"/>
                <w:color w:val="000000"/>
              </w:rPr>
              <w:t>Cam</w:t>
            </w:r>
            <w:proofErr w:type="spellEnd"/>
            <w:r w:rsidRPr="00D65E60">
              <w:rPr>
                <w:rFonts w:ascii="Calibri" w:eastAsiaTheme="minorHAnsi" w:hAnsi="Calibri" w:cs="Calibri"/>
                <w:color w:val="000000"/>
              </w:rPr>
              <w:t>. Pes.</w:t>
            </w:r>
          </w:p>
        </w:tc>
        <w:tc>
          <w:tcPr>
            <w:tcW w:w="708" w:type="dxa"/>
            <w:tcBorders>
              <w:top w:val="nil"/>
              <w:left w:val="nil"/>
              <w:bottom w:val="single" w:sz="12" w:space="0" w:color="auto"/>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146</w:t>
            </w:r>
          </w:p>
        </w:tc>
        <w:tc>
          <w:tcPr>
            <w:tcW w:w="709" w:type="dxa"/>
            <w:tcBorders>
              <w:top w:val="nil"/>
              <w:left w:val="nil"/>
              <w:bottom w:val="single" w:sz="12" w:space="0" w:color="auto"/>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9%</w:t>
            </w:r>
          </w:p>
        </w:tc>
        <w:tc>
          <w:tcPr>
            <w:tcW w:w="1559" w:type="dxa"/>
            <w:tcBorders>
              <w:top w:val="nil"/>
              <w:left w:val="nil"/>
              <w:bottom w:val="single" w:sz="12" w:space="0" w:color="auto"/>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1.284.542.151</w:t>
            </w:r>
          </w:p>
        </w:tc>
        <w:tc>
          <w:tcPr>
            <w:tcW w:w="1134" w:type="dxa"/>
            <w:tcBorders>
              <w:top w:val="nil"/>
              <w:left w:val="single" w:sz="12" w:space="0" w:color="auto"/>
              <w:bottom w:val="single" w:sz="6" w:space="0" w:color="auto"/>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5,64%</w:t>
            </w:r>
          </w:p>
        </w:tc>
      </w:tr>
      <w:tr w:rsidR="00D65E60" w:rsidRPr="00D65E60" w:rsidTr="00D65E60">
        <w:trPr>
          <w:trHeight w:val="132"/>
        </w:trPr>
        <w:tc>
          <w:tcPr>
            <w:tcW w:w="1023"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p>
        </w:tc>
      </w:tr>
      <w:tr w:rsidR="00D65E60" w:rsidRPr="00D65E60" w:rsidTr="00D65E60">
        <w:trPr>
          <w:trHeight w:val="140"/>
        </w:trPr>
        <w:tc>
          <w:tcPr>
            <w:tcW w:w="1023"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p>
        </w:tc>
      </w:tr>
      <w:tr w:rsidR="00D65E60" w:rsidRPr="00D65E60" w:rsidTr="00D65E60">
        <w:trPr>
          <w:trHeight w:val="132"/>
        </w:trPr>
        <w:tc>
          <w:tcPr>
            <w:tcW w:w="1023" w:type="dxa"/>
            <w:tcBorders>
              <w:top w:val="single" w:sz="12" w:space="0" w:color="auto"/>
              <w:left w:val="single" w:sz="12" w:space="0" w:color="auto"/>
              <w:bottom w:val="nil"/>
              <w:right w:val="nil"/>
            </w:tcBorders>
          </w:tcPr>
          <w:p w:rsidR="00D65E60" w:rsidRPr="00D65E60" w:rsidRDefault="00D65E60" w:rsidP="00D65E60">
            <w:pPr>
              <w:autoSpaceDE w:val="0"/>
              <w:autoSpaceDN w:val="0"/>
              <w:adjustRightInd w:val="0"/>
              <w:spacing w:after="0" w:line="240" w:lineRule="auto"/>
              <w:rPr>
                <w:rFonts w:ascii="Arial" w:eastAsiaTheme="minorHAnsi" w:hAnsi="Arial" w:cs="Arial"/>
                <w:b/>
                <w:bCs/>
                <w:color w:val="000000"/>
                <w:sz w:val="20"/>
                <w:szCs w:val="20"/>
              </w:rPr>
            </w:pPr>
            <w:r w:rsidRPr="00D65E60">
              <w:rPr>
                <w:rFonts w:ascii="Arial" w:eastAsiaTheme="minorHAnsi" w:hAnsi="Arial" w:cs="Arial"/>
                <w:b/>
                <w:bCs/>
                <w:color w:val="000000"/>
                <w:sz w:val="20"/>
                <w:szCs w:val="20"/>
              </w:rPr>
              <w:t>Año: 2012</w:t>
            </w:r>
          </w:p>
        </w:tc>
        <w:tc>
          <w:tcPr>
            <w:tcW w:w="708" w:type="dxa"/>
            <w:tcBorders>
              <w:top w:val="single" w:sz="12" w:space="0" w:color="auto"/>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9" w:type="dxa"/>
            <w:tcBorders>
              <w:top w:val="single" w:sz="12" w:space="0" w:color="auto"/>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559" w:type="dxa"/>
            <w:tcBorders>
              <w:top w:val="single" w:sz="12" w:space="0" w:color="auto"/>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p>
        </w:tc>
      </w:tr>
      <w:tr w:rsidR="00D65E60" w:rsidRPr="00D65E60" w:rsidTr="00D65E60">
        <w:trPr>
          <w:trHeight w:val="132"/>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p>
        </w:tc>
      </w:tr>
      <w:tr w:rsidR="00D65E60" w:rsidRPr="00D65E60" w:rsidTr="00D65E60">
        <w:trPr>
          <w:trHeight w:val="132"/>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rPr>
                <w:rFonts w:ascii="Arial" w:eastAsiaTheme="minorHAnsi" w:hAnsi="Arial" w:cs="Arial"/>
                <w:color w:val="000000"/>
                <w:sz w:val="20"/>
                <w:szCs w:val="20"/>
              </w:rPr>
            </w:pPr>
            <w:r w:rsidRPr="00D65E60">
              <w:rPr>
                <w:rFonts w:ascii="Arial" w:eastAsiaTheme="minorHAnsi" w:hAnsi="Arial" w:cs="Arial"/>
                <w:color w:val="000000"/>
                <w:sz w:val="20"/>
                <w:szCs w:val="20"/>
              </w:rPr>
              <w:t>Red Vial (km)</w:t>
            </w: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r w:rsidRPr="00D65E60">
              <w:rPr>
                <w:rFonts w:ascii="Arial" w:eastAsiaTheme="minorHAnsi" w:hAnsi="Arial" w:cs="Arial"/>
                <w:color w:val="000000"/>
                <w:sz w:val="20"/>
                <w:szCs w:val="20"/>
              </w:rPr>
              <w:t>8.739.493</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p>
        </w:tc>
      </w:tr>
      <w:tr w:rsidR="00D65E60" w:rsidRPr="00D65E60" w:rsidTr="00D65E60">
        <w:trPr>
          <w:trHeight w:val="132"/>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b/>
                <w:bCs/>
                <w:color w:val="000000"/>
                <w:sz w:val="20"/>
                <w:szCs w:val="20"/>
              </w:rPr>
            </w:pPr>
            <w:r w:rsidRPr="00D65E60">
              <w:rPr>
                <w:rFonts w:ascii="Arial" w:eastAsiaTheme="minorHAnsi" w:hAnsi="Arial" w:cs="Arial"/>
                <w:b/>
                <w:bCs/>
                <w:color w:val="000000"/>
                <w:sz w:val="20"/>
                <w:szCs w:val="20"/>
              </w:rPr>
              <w:t>TPDA</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b/>
                <w:bCs/>
                <w:color w:val="000000"/>
                <w:sz w:val="20"/>
                <w:szCs w:val="20"/>
              </w:rPr>
            </w:pPr>
            <w:r w:rsidRPr="00D65E60">
              <w:rPr>
                <w:rFonts w:ascii="Arial" w:eastAsiaTheme="minorHAnsi" w:hAnsi="Arial" w:cs="Arial"/>
                <w:b/>
                <w:bCs/>
                <w:color w:val="000000"/>
                <w:sz w:val="20"/>
                <w:szCs w:val="20"/>
              </w:rPr>
              <w:t>%</w:t>
            </w: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b/>
                <w:bCs/>
                <w:color w:val="000000"/>
                <w:sz w:val="20"/>
                <w:szCs w:val="20"/>
              </w:rPr>
            </w:pPr>
            <w:proofErr w:type="spellStart"/>
            <w:r w:rsidRPr="00D65E60">
              <w:rPr>
                <w:rFonts w:ascii="Arial" w:eastAsiaTheme="minorHAnsi" w:hAnsi="Arial" w:cs="Arial"/>
                <w:b/>
                <w:bCs/>
                <w:color w:val="000000"/>
                <w:sz w:val="20"/>
                <w:szCs w:val="20"/>
              </w:rPr>
              <w:t>Veh-mt</w:t>
            </w:r>
            <w:proofErr w:type="spellEnd"/>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p>
        </w:tc>
      </w:tr>
      <w:tr w:rsidR="00D65E60" w:rsidRPr="00D65E60" w:rsidTr="00D65E60">
        <w:trPr>
          <w:trHeight w:val="132"/>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Total</w:t>
            </w: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1543</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100%</w:t>
            </w: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13.483.587.434</w:t>
            </w: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7,17%</w:t>
            </w:r>
          </w:p>
        </w:tc>
      </w:tr>
      <w:tr w:rsidR="00D65E60" w:rsidRPr="00D65E60" w:rsidTr="00D65E60">
        <w:trPr>
          <w:trHeight w:val="156"/>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center"/>
              <w:rPr>
                <w:rFonts w:ascii="Calibri" w:eastAsiaTheme="minorHAnsi" w:hAnsi="Calibri" w:cs="Calibri"/>
                <w:color w:val="000000"/>
              </w:rPr>
            </w:pPr>
            <w:r w:rsidRPr="00D65E60">
              <w:rPr>
                <w:rFonts w:ascii="Calibri" w:eastAsiaTheme="minorHAnsi" w:hAnsi="Calibri" w:cs="Calibri"/>
                <w:color w:val="000000"/>
              </w:rPr>
              <w:t>Autos</w:t>
            </w: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1103</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72%</w:t>
            </w: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9.640.963.095</w:t>
            </w: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9,70%</w:t>
            </w:r>
          </w:p>
        </w:tc>
      </w:tr>
      <w:tr w:rsidR="00D65E60" w:rsidRPr="00D65E60" w:rsidTr="00D65E60">
        <w:trPr>
          <w:trHeight w:val="156"/>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center"/>
              <w:rPr>
                <w:rFonts w:ascii="Calibri" w:eastAsiaTheme="minorHAnsi" w:hAnsi="Calibri" w:cs="Calibri"/>
                <w:color w:val="000000"/>
              </w:rPr>
            </w:pPr>
            <w:proofErr w:type="spellStart"/>
            <w:r w:rsidRPr="00D65E60">
              <w:rPr>
                <w:rFonts w:ascii="Calibri" w:eastAsiaTheme="minorHAnsi" w:hAnsi="Calibri" w:cs="Calibri"/>
                <w:color w:val="000000"/>
              </w:rPr>
              <w:t>Omnibus</w:t>
            </w:r>
            <w:proofErr w:type="spellEnd"/>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64</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4%</w:t>
            </w: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562.379.070</w:t>
            </w: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-1,18%</w:t>
            </w:r>
          </w:p>
        </w:tc>
      </w:tr>
      <w:tr w:rsidR="00D65E60" w:rsidRPr="00D65E60" w:rsidTr="00D65E60">
        <w:trPr>
          <w:trHeight w:val="156"/>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center"/>
              <w:rPr>
                <w:rFonts w:ascii="Calibri" w:eastAsiaTheme="minorHAnsi" w:hAnsi="Calibri" w:cs="Calibri"/>
                <w:color w:val="000000"/>
              </w:rPr>
            </w:pPr>
            <w:proofErr w:type="spellStart"/>
            <w:r w:rsidRPr="00D65E60">
              <w:rPr>
                <w:rFonts w:ascii="Calibri" w:eastAsiaTheme="minorHAnsi" w:hAnsi="Calibri" w:cs="Calibri"/>
                <w:color w:val="000000"/>
              </w:rPr>
              <w:t>Cam</w:t>
            </w:r>
            <w:proofErr w:type="spellEnd"/>
            <w:r w:rsidRPr="00D65E60">
              <w:rPr>
                <w:rFonts w:ascii="Calibri" w:eastAsiaTheme="minorHAnsi" w:hAnsi="Calibri" w:cs="Calibri"/>
                <w:color w:val="000000"/>
              </w:rPr>
              <w:t xml:space="preserve">. </w:t>
            </w:r>
            <w:proofErr w:type="spellStart"/>
            <w:r w:rsidRPr="00D65E60">
              <w:rPr>
                <w:rFonts w:ascii="Calibri" w:eastAsiaTheme="minorHAnsi" w:hAnsi="Calibri" w:cs="Calibri"/>
                <w:color w:val="000000"/>
              </w:rPr>
              <w:t>Med</w:t>
            </w:r>
            <w:proofErr w:type="spellEnd"/>
            <w:r w:rsidRPr="00D65E60">
              <w:rPr>
                <w:rFonts w:ascii="Calibri" w:eastAsiaTheme="minorHAnsi" w:hAnsi="Calibri" w:cs="Calibri"/>
                <w:color w:val="000000"/>
              </w:rPr>
              <w:t>.</w:t>
            </w: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205</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13%</w:t>
            </w: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1.792.207.390</w:t>
            </w: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4,63%</w:t>
            </w:r>
          </w:p>
        </w:tc>
      </w:tr>
      <w:tr w:rsidR="00D65E60" w:rsidRPr="00D65E60" w:rsidTr="00D65E60">
        <w:trPr>
          <w:trHeight w:val="156"/>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center"/>
              <w:rPr>
                <w:rFonts w:ascii="Calibri" w:eastAsiaTheme="minorHAnsi" w:hAnsi="Calibri" w:cs="Calibri"/>
                <w:color w:val="000000"/>
              </w:rPr>
            </w:pPr>
            <w:proofErr w:type="spellStart"/>
            <w:r w:rsidRPr="00D65E60">
              <w:rPr>
                <w:rFonts w:ascii="Calibri" w:eastAsiaTheme="minorHAnsi" w:hAnsi="Calibri" w:cs="Calibri"/>
                <w:color w:val="000000"/>
              </w:rPr>
              <w:t>Cam</w:t>
            </w:r>
            <w:proofErr w:type="spellEnd"/>
            <w:r w:rsidRPr="00D65E60">
              <w:rPr>
                <w:rFonts w:ascii="Calibri" w:eastAsiaTheme="minorHAnsi" w:hAnsi="Calibri" w:cs="Calibri"/>
                <w:color w:val="000000"/>
              </w:rPr>
              <w:t xml:space="preserve">. </w:t>
            </w:r>
            <w:proofErr w:type="spellStart"/>
            <w:r w:rsidRPr="00D65E60">
              <w:rPr>
                <w:rFonts w:ascii="Calibri" w:eastAsiaTheme="minorHAnsi" w:hAnsi="Calibri" w:cs="Calibri"/>
                <w:color w:val="000000"/>
              </w:rPr>
              <w:t>Semi</w:t>
            </w:r>
            <w:proofErr w:type="spellEnd"/>
            <w:r w:rsidRPr="00D65E60">
              <w:rPr>
                <w:rFonts w:ascii="Calibri" w:eastAsiaTheme="minorHAnsi" w:hAnsi="Calibri" w:cs="Calibri"/>
                <w:color w:val="000000"/>
              </w:rPr>
              <w:t>.</w:t>
            </w: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32</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2%</w:t>
            </w: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278.057.419</w:t>
            </w: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-0,78%</w:t>
            </w:r>
          </w:p>
        </w:tc>
      </w:tr>
      <w:tr w:rsidR="00D65E60" w:rsidRPr="00D65E60" w:rsidTr="00D65E60">
        <w:trPr>
          <w:trHeight w:val="164"/>
        </w:trPr>
        <w:tc>
          <w:tcPr>
            <w:tcW w:w="1023" w:type="dxa"/>
            <w:tcBorders>
              <w:top w:val="nil"/>
              <w:left w:val="single" w:sz="12" w:space="0" w:color="auto"/>
              <w:bottom w:val="single" w:sz="12" w:space="0" w:color="auto"/>
              <w:right w:val="nil"/>
            </w:tcBorders>
          </w:tcPr>
          <w:p w:rsidR="00D65E60" w:rsidRPr="00D65E60" w:rsidRDefault="00D65E60" w:rsidP="00D65E60">
            <w:pPr>
              <w:autoSpaceDE w:val="0"/>
              <w:autoSpaceDN w:val="0"/>
              <w:adjustRightInd w:val="0"/>
              <w:spacing w:after="0" w:line="240" w:lineRule="auto"/>
              <w:jc w:val="center"/>
              <w:rPr>
                <w:rFonts w:ascii="Calibri" w:eastAsiaTheme="minorHAnsi" w:hAnsi="Calibri" w:cs="Calibri"/>
                <w:color w:val="000000"/>
              </w:rPr>
            </w:pPr>
            <w:proofErr w:type="spellStart"/>
            <w:r w:rsidRPr="00D65E60">
              <w:rPr>
                <w:rFonts w:ascii="Calibri" w:eastAsiaTheme="minorHAnsi" w:hAnsi="Calibri" w:cs="Calibri"/>
                <w:color w:val="000000"/>
              </w:rPr>
              <w:t>Cam</w:t>
            </w:r>
            <w:proofErr w:type="spellEnd"/>
            <w:r w:rsidRPr="00D65E60">
              <w:rPr>
                <w:rFonts w:ascii="Calibri" w:eastAsiaTheme="minorHAnsi" w:hAnsi="Calibri" w:cs="Calibri"/>
                <w:color w:val="000000"/>
              </w:rPr>
              <w:t>. Pes.</w:t>
            </w:r>
          </w:p>
        </w:tc>
        <w:tc>
          <w:tcPr>
            <w:tcW w:w="708" w:type="dxa"/>
            <w:tcBorders>
              <w:top w:val="nil"/>
              <w:left w:val="nil"/>
              <w:bottom w:val="single" w:sz="12" w:space="0" w:color="auto"/>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138</w:t>
            </w:r>
          </w:p>
        </w:tc>
        <w:tc>
          <w:tcPr>
            <w:tcW w:w="709" w:type="dxa"/>
            <w:tcBorders>
              <w:top w:val="nil"/>
              <w:left w:val="nil"/>
              <w:bottom w:val="single" w:sz="12" w:space="0" w:color="auto"/>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9%</w:t>
            </w:r>
          </w:p>
        </w:tc>
        <w:tc>
          <w:tcPr>
            <w:tcW w:w="1559" w:type="dxa"/>
            <w:tcBorders>
              <w:top w:val="nil"/>
              <w:left w:val="nil"/>
              <w:bottom w:val="single" w:sz="12" w:space="0" w:color="auto"/>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1.209.980.460</w:t>
            </w:r>
          </w:p>
        </w:tc>
        <w:tc>
          <w:tcPr>
            <w:tcW w:w="1134" w:type="dxa"/>
            <w:tcBorders>
              <w:top w:val="nil"/>
              <w:left w:val="single" w:sz="12" w:space="0" w:color="auto"/>
              <w:bottom w:val="single" w:sz="6" w:space="0" w:color="auto"/>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-1,69%</w:t>
            </w:r>
          </w:p>
        </w:tc>
      </w:tr>
      <w:tr w:rsidR="00D65E60" w:rsidRPr="00D65E60" w:rsidTr="00D65E60">
        <w:trPr>
          <w:trHeight w:val="132"/>
        </w:trPr>
        <w:tc>
          <w:tcPr>
            <w:tcW w:w="1023"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p>
        </w:tc>
      </w:tr>
      <w:tr w:rsidR="00D65E60" w:rsidRPr="00D65E60" w:rsidTr="00D65E60">
        <w:trPr>
          <w:trHeight w:val="140"/>
        </w:trPr>
        <w:tc>
          <w:tcPr>
            <w:tcW w:w="1023"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p>
        </w:tc>
      </w:tr>
      <w:tr w:rsidR="00D65E60" w:rsidRPr="00D65E60" w:rsidTr="00D65E60">
        <w:trPr>
          <w:trHeight w:val="132"/>
        </w:trPr>
        <w:tc>
          <w:tcPr>
            <w:tcW w:w="1023" w:type="dxa"/>
            <w:tcBorders>
              <w:top w:val="single" w:sz="12" w:space="0" w:color="auto"/>
              <w:left w:val="single" w:sz="12" w:space="0" w:color="auto"/>
              <w:bottom w:val="nil"/>
              <w:right w:val="nil"/>
            </w:tcBorders>
          </w:tcPr>
          <w:p w:rsidR="00D65E60" w:rsidRPr="00D65E60" w:rsidRDefault="00D65E60" w:rsidP="00D65E60">
            <w:pPr>
              <w:autoSpaceDE w:val="0"/>
              <w:autoSpaceDN w:val="0"/>
              <w:adjustRightInd w:val="0"/>
              <w:spacing w:after="0" w:line="240" w:lineRule="auto"/>
              <w:rPr>
                <w:rFonts w:ascii="Arial" w:eastAsiaTheme="minorHAnsi" w:hAnsi="Arial" w:cs="Arial"/>
                <w:b/>
                <w:bCs/>
                <w:color w:val="000000"/>
                <w:sz w:val="20"/>
                <w:szCs w:val="20"/>
              </w:rPr>
            </w:pPr>
            <w:r w:rsidRPr="00D65E60">
              <w:rPr>
                <w:rFonts w:ascii="Arial" w:eastAsiaTheme="minorHAnsi" w:hAnsi="Arial" w:cs="Arial"/>
                <w:b/>
                <w:bCs/>
                <w:color w:val="000000"/>
                <w:sz w:val="20"/>
                <w:szCs w:val="20"/>
              </w:rPr>
              <w:t>Año 2011</w:t>
            </w:r>
          </w:p>
        </w:tc>
        <w:tc>
          <w:tcPr>
            <w:tcW w:w="708" w:type="dxa"/>
            <w:tcBorders>
              <w:top w:val="single" w:sz="12" w:space="0" w:color="auto"/>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9" w:type="dxa"/>
            <w:tcBorders>
              <w:top w:val="single" w:sz="12" w:space="0" w:color="auto"/>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559" w:type="dxa"/>
            <w:tcBorders>
              <w:top w:val="single" w:sz="12" w:space="0" w:color="auto"/>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p>
        </w:tc>
      </w:tr>
      <w:tr w:rsidR="00D65E60" w:rsidRPr="00D65E60" w:rsidTr="00D65E60">
        <w:trPr>
          <w:trHeight w:val="132"/>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p>
        </w:tc>
      </w:tr>
      <w:tr w:rsidR="00D65E60" w:rsidRPr="00D65E60" w:rsidTr="00D65E60">
        <w:trPr>
          <w:trHeight w:val="132"/>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rPr>
                <w:rFonts w:ascii="Arial" w:eastAsiaTheme="minorHAnsi" w:hAnsi="Arial" w:cs="Arial"/>
                <w:color w:val="000000"/>
                <w:sz w:val="20"/>
                <w:szCs w:val="20"/>
              </w:rPr>
            </w:pPr>
            <w:r w:rsidRPr="00D65E60">
              <w:rPr>
                <w:rFonts w:ascii="Arial" w:eastAsiaTheme="minorHAnsi" w:hAnsi="Arial" w:cs="Arial"/>
                <w:color w:val="000000"/>
                <w:sz w:val="20"/>
                <w:szCs w:val="20"/>
              </w:rPr>
              <w:t>Red Vial (km)</w:t>
            </w: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r w:rsidRPr="00D65E60">
              <w:rPr>
                <w:rFonts w:ascii="Arial" w:eastAsiaTheme="minorHAnsi" w:hAnsi="Arial" w:cs="Arial"/>
                <w:color w:val="000000"/>
                <w:sz w:val="20"/>
                <w:szCs w:val="20"/>
              </w:rPr>
              <w:t>8.739.493</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p>
        </w:tc>
      </w:tr>
      <w:tr w:rsidR="00D65E60" w:rsidRPr="00D65E60" w:rsidTr="00D65E60">
        <w:trPr>
          <w:trHeight w:val="132"/>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b/>
                <w:bCs/>
                <w:color w:val="000000"/>
                <w:sz w:val="20"/>
                <w:szCs w:val="20"/>
              </w:rPr>
            </w:pPr>
            <w:r w:rsidRPr="00D65E60">
              <w:rPr>
                <w:rFonts w:ascii="Arial" w:eastAsiaTheme="minorHAnsi" w:hAnsi="Arial" w:cs="Arial"/>
                <w:b/>
                <w:bCs/>
                <w:color w:val="000000"/>
                <w:sz w:val="20"/>
                <w:szCs w:val="20"/>
              </w:rPr>
              <w:t>TPDA</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b/>
                <w:bCs/>
                <w:color w:val="000000"/>
                <w:sz w:val="20"/>
                <w:szCs w:val="20"/>
              </w:rPr>
            </w:pPr>
            <w:r w:rsidRPr="00D65E60">
              <w:rPr>
                <w:rFonts w:ascii="Arial" w:eastAsiaTheme="minorHAnsi" w:hAnsi="Arial" w:cs="Arial"/>
                <w:b/>
                <w:bCs/>
                <w:color w:val="000000"/>
                <w:sz w:val="20"/>
                <w:szCs w:val="20"/>
              </w:rPr>
              <w:t>%</w:t>
            </w: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b/>
                <w:bCs/>
                <w:color w:val="000000"/>
                <w:sz w:val="20"/>
                <w:szCs w:val="20"/>
              </w:rPr>
            </w:pPr>
            <w:proofErr w:type="spellStart"/>
            <w:r w:rsidRPr="00D65E60">
              <w:rPr>
                <w:rFonts w:ascii="Arial" w:eastAsiaTheme="minorHAnsi" w:hAnsi="Arial" w:cs="Arial"/>
                <w:b/>
                <w:bCs/>
                <w:color w:val="000000"/>
                <w:sz w:val="20"/>
                <w:szCs w:val="20"/>
              </w:rPr>
              <w:t>Veh-mt</w:t>
            </w:r>
            <w:proofErr w:type="spellEnd"/>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p>
        </w:tc>
      </w:tr>
      <w:tr w:rsidR="00D65E60" w:rsidRPr="00D65E60" w:rsidTr="00D65E60">
        <w:trPr>
          <w:trHeight w:val="132"/>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Total</w:t>
            </w: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1440</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100%</w:t>
            </w: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12.581.592.323</w:t>
            </w: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10,41%</w:t>
            </w:r>
          </w:p>
        </w:tc>
      </w:tr>
      <w:tr w:rsidR="00D65E60" w:rsidRPr="00D65E60" w:rsidTr="00D65E60">
        <w:trPr>
          <w:trHeight w:val="156"/>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center"/>
              <w:rPr>
                <w:rFonts w:ascii="Calibri" w:eastAsiaTheme="minorHAnsi" w:hAnsi="Calibri" w:cs="Calibri"/>
                <w:color w:val="000000"/>
              </w:rPr>
            </w:pPr>
            <w:r w:rsidRPr="00D65E60">
              <w:rPr>
                <w:rFonts w:ascii="Calibri" w:eastAsiaTheme="minorHAnsi" w:hAnsi="Calibri" w:cs="Calibri"/>
                <w:color w:val="000000"/>
              </w:rPr>
              <w:t>Autos</w:t>
            </w: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1006</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70%</w:t>
            </w: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8.788.557.789</w:t>
            </w: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10,89%</w:t>
            </w:r>
          </w:p>
        </w:tc>
      </w:tr>
      <w:tr w:rsidR="00D65E60" w:rsidRPr="00D65E60" w:rsidTr="00D65E60">
        <w:trPr>
          <w:trHeight w:val="156"/>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center"/>
              <w:rPr>
                <w:rFonts w:ascii="Calibri" w:eastAsiaTheme="minorHAnsi" w:hAnsi="Calibri" w:cs="Calibri"/>
                <w:color w:val="000000"/>
              </w:rPr>
            </w:pPr>
            <w:proofErr w:type="spellStart"/>
            <w:r w:rsidRPr="00D65E60">
              <w:rPr>
                <w:rFonts w:ascii="Calibri" w:eastAsiaTheme="minorHAnsi" w:hAnsi="Calibri" w:cs="Calibri"/>
                <w:color w:val="000000"/>
              </w:rPr>
              <w:t>Omnibus</w:t>
            </w:r>
            <w:proofErr w:type="spellEnd"/>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65</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5%</w:t>
            </w: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569.117.827</w:t>
            </w: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6,38%</w:t>
            </w:r>
          </w:p>
        </w:tc>
      </w:tr>
      <w:tr w:rsidR="00D65E60" w:rsidRPr="00D65E60" w:rsidTr="00D65E60">
        <w:trPr>
          <w:trHeight w:val="156"/>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center"/>
              <w:rPr>
                <w:rFonts w:ascii="Calibri" w:eastAsiaTheme="minorHAnsi" w:hAnsi="Calibri" w:cs="Calibri"/>
                <w:color w:val="000000"/>
              </w:rPr>
            </w:pPr>
            <w:proofErr w:type="spellStart"/>
            <w:r w:rsidRPr="00D65E60">
              <w:rPr>
                <w:rFonts w:ascii="Calibri" w:eastAsiaTheme="minorHAnsi" w:hAnsi="Calibri" w:cs="Calibri"/>
                <w:color w:val="000000"/>
              </w:rPr>
              <w:t>Cam</w:t>
            </w:r>
            <w:proofErr w:type="spellEnd"/>
            <w:r w:rsidRPr="00D65E60">
              <w:rPr>
                <w:rFonts w:ascii="Calibri" w:eastAsiaTheme="minorHAnsi" w:hAnsi="Calibri" w:cs="Calibri"/>
                <w:color w:val="000000"/>
              </w:rPr>
              <w:t xml:space="preserve">. </w:t>
            </w:r>
            <w:proofErr w:type="spellStart"/>
            <w:r w:rsidRPr="00D65E60">
              <w:rPr>
                <w:rFonts w:ascii="Calibri" w:eastAsiaTheme="minorHAnsi" w:hAnsi="Calibri" w:cs="Calibri"/>
                <w:color w:val="000000"/>
              </w:rPr>
              <w:t>Med</w:t>
            </w:r>
            <w:proofErr w:type="spellEnd"/>
            <w:r w:rsidRPr="00D65E60">
              <w:rPr>
                <w:rFonts w:ascii="Calibri" w:eastAsiaTheme="minorHAnsi" w:hAnsi="Calibri" w:cs="Calibri"/>
                <w:color w:val="000000"/>
              </w:rPr>
              <w:t>.</w:t>
            </w: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196</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14%</w:t>
            </w: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1.712.841.894</w:t>
            </w: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8,99%</w:t>
            </w:r>
          </w:p>
        </w:tc>
      </w:tr>
      <w:tr w:rsidR="00D65E60" w:rsidRPr="00D65E60" w:rsidTr="00D65E60">
        <w:trPr>
          <w:trHeight w:val="156"/>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center"/>
              <w:rPr>
                <w:rFonts w:ascii="Calibri" w:eastAsiaTheme="minorHAnsi" w:hAnsi="Calibri" w:cs="Calibri"/>
                <w:color w:val="000000"/>
              </w:rPr>
            </w:pPr>
            <w:proofErr w:type="spellStart"/>
            <w:r w:rsidRPr="00D65E60">
              <w:rPr>
                <w:rFonts w:ascii="Calibri" w:eastAsiaTheme="minorHAnsi" w:hAnsi="Calibri" w:cs="Calibri"/>
                <w:color w:val="000000"/>
              </w:rPr>
              <w:t>Cam</w:t>
            </w:r>
            <w:proofErr w:type="spellEnd"/>
            <w:r w:rsidRPr="00D65E60">
              <w:rPr>
                <w:rFonts w:ascii="Calibri" w:eastAsiaTheme="minorHAnsi" w:hAnsi="Calibri" w:cs="Calibri"/>
                <w:color w:val="000000"/>
              </w:rPr>
              <w:t xml:space="preserve">. </w:t>
            </w:r>
            <w:proofErr w:type="spellStart"/>
            <w:r w:rsidRPr="00D65E60">
              <w:rPr>
                <w:rFonts w:ascii="Calibri" w:eastAsiaTheme="minorHAnsi" w:hAnsi="Calibri" w:cs="Calibri"/>
                <w:color w:val="000000"/>
              </w:rPr>
              <w:t>Semi</w:t>
            </w:r>
            <w:proofErr w:type="spellEnd"/>
            <w:r w:rsidRPr="00D65E60">
              <w:rPr>
                <w:rFonts w:ascii="Calibri" w:eastAsiaTheme="minorHAnsi" w:hAnsi="Calibri" w:cs="Calibri"/>
                <w:color w:val="000000"/>
              </w:rPr>
              <w:t>.</w:t>
            </w: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32</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2%</w:t>
            </w: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280.235.966</w:t>
            </w: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6,99%</w:t>
            </w:r>
          </w:p>
        </w:tc>
      </w:tr>
      <w:tr w:rsidR="00D65E60" w:rsidRPr="00D65E60" w:rsidTr="00D65E60">
        <w:trPr>
          <w:trHeight w:val="164"/>
        </w:trPr>
        <w:tc>
          <w:tcPr>
            <w:tcW w:w="1023" w:type="dxa"/>
            <w:tcBorders>
              <w:top w:val="nil"/>
              <w:left w:val="single" w:sz="12" w:space="0" w:color="auto"/>
              <w:bottom w:val="single" w:sz="12" w:space="0" w:color="auto"/>
              <w:right w:val="nil"/>
            </w:tcBorders>
          </w:tcPr>
          <w:p w:rsidR="00D65E60" w:rsidRPr="00D65E60" w:rsidRDefault="00D65E60" w:rsidP="00D65E60">
            <w:pPr>
              <w:autoSpaceDE w:val="0"/>
              <w:autoSpaceDN w:val="0"/>
              <w:adjustRightInd w:val="0"/>
              <w:spacing w:after="0" w:line="240" w:lineRule="auto"/>
              <w:jc w:val="center"/>
              <w:rPr>
                <w:rFonts w:ascii="Calibri" w:eastAsiaTheme="minorHAnsi" w:hAnsi="Calibri" w:cs="Calibri"/>
                <w:color w:val="000000"/>
              </w:rPr>
            </w:pPr>
            <w:proofErr w:type="spellStart"/>
            <w:r w:rsidRPr="00D65E60">
              <w:rPr>
                <w:rFonts w:ascii="Calibri" w:eastAsiaTheme="minorHAnsi" w:hAnsi="Calibri" w:cs="Calibri"/>
                <w:color w:val="000000"/>
              </w:rPr>
              <w:t>Cam</w:t>
            </w:r>
            <w:proofErr w:type="spellEnd"/>
            <w:r w:rsidRPr="00D65E60">
              <w:rPr>
                <w:rFonts w:ascii="Calibri" w:eastAsiaTheme="minorHAnsi" w:hAnsi="Calibri" w:cs="Calibri"/>
                <w:color w:val="000000"/>
              </w:rPr>
              <w:t>. Pes.</w:t>
            </w:r>
          </w:p>
        </w:tc>
        <w:tc>
          <w:tcPr>
            <w:tcW w:w="708" w:type="dxa"/>
            <w:tcBorders>
              <w:top w:val="nil"/>
              <w:left w:val="nil"/>
              <w:bottom w:val="single" w:sz="12" w:space="0" w:color="auto"/>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141</w:t>
            </w:r>
          </w:p>
        </w:tc>
        <w:tc>
          <w:tcPr>
            <w:tcW w:w="709" w:type="dxa"/>
            <w:tcBorders>
              <w:top w:val="nil"/>
              <w:left w:val="nil"/>
              <w:bottom w:val="single" w:sz="12" w:space="0" w:color="auto"/>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10%</w:t>
            </w:r>
          </w:p>
        </w:tc>
        <w:tc>
          <w:tcPr>
            <w:tcW w:w="1559" w:type="dxa"/>
            <w:tcBorders>
              <w:top w:val="nil"/>
              <w:left w:val="nil"/>
              <w:bottom w:val="single" w:sz="12" w:space="0" w:color="auto"/>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1.230.838.847</w:t>
            </w:r>
          </w:p>
        </w:tc>
        <w:tc>
          <w:tcPr>
            <w:tcW w:w="1134" w:type="dxa"/>
            <w:tcBorders>
              <w:top w:val="nil"/>
              <w:left w:val="single" w:sz="12" w:space="0" w:color="auto"/>
              <w:bottom w:val="single" w:sz="6" w:space="0" w:color="auto"/>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11,71%</w:t>
            </w:r>
          </w:p>
        </w:tc>
      </w:tr>
      <w:tr w:rsidR="00D65E60" w:rsidRPr="00D65E60" w:rsidTr="00D65E60">
        <w:trPr>
          <w:trHeight w:val="132"/>
        </w:trPr>
        <w:tc>
          <w:tcPr>
            <w:tcW w:w="1023"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p>
        </w:tc>
      </w:tr>
      <w:tr w:rsidR="00D65E60" w:rsidRPr="00D65E60" w:rsidTr="00D65E60">
        <w:trPr>
          <w:trHeight w:val="140"/>
        </w:trPr>
        <w:tc>
          <w:tcPr>
            <w:tcW w:w="1023"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p>
        </w:tc>
      </w:tr>
      <w:tr w:rsidR="00D65E60" w:rsidRPr="00D65E60" w:rsidTr="00D65E60">
        <w:trPr>
          <w:trHeight w:val="132"/>
        </w:trPr>
        <w:tc>
          <w:tcPr>
            <w:tcW w:w="1023" w:type="dxa"/>
            <w:tcBorders>
              <w:top w:val="single" w:sz="12" w:space="0" w:color="auto"/>
              <w:left w:val="single" w:sz="12" w:space="0" w:color="auto"/>
              <w:bottom w:val="nil"/>
              <w:right w:val="nil"/>
            </w:tcBorders>
          </w:tcPr>
          <w:p w:rsidR="00D65E60" w:rsidRPr="00D65E60" w:rsidRDefault="00D65E60" w:rsidP="00D65E60">
            <w:pPr>
              <w:autoSpaceDE w:val="0"/>
              <w:autoSpaceDN w:val="0"/>
              <w:adjustRightInd w:val="0"/>
              <w:spacing w:after="0" w:line="240" w:lineRule="auto"/>
              <w:rPr>
                <w:rFonts w:ascii="Arial" w:eastAsiaTheme="minorHAnsi" w:hAnsi="Arial" w:cs="Arial"/>
                <w:b/>
                <w:bCs/>
                <w:color w:val="000000"/>
                <w:sz w:val="20"/>
                <w:szCs w:val="20"/>
              </w:rPr>
            </w:pPr>
            <w:r w:rsidRPr="00D65E60">
              <w:rPr>
                <w:rFonts w:ascii="Arial" w:eastAsiaTheme="minorHAnsi" w:hAnsi="Arial" w:cs="Arial"/>
                <w:b/>
                <w:bCs/>
                <w:color w:val="000000"/>
                <w:sz w:val="20"/>
                <w:szCs w:val="20"/>
              </w:rPr>
              <w:t>Año: 2010</w:t>
            </w:r>
          </w:p>
        </w:tc>
        <w:tc>
          <w:tcPr>
            <w:tcW w:w="708" w:type="dxa"/>
            <w:tcBorders>
              <w:top w:val="single" w:sz="12" w:space="0" w:color="auto"/>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9" w:type="dxa"/>
            <w:tcBorders>
              <w:top w:val="single" w:sz="12" w:space="0" w:color="auto"/>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559" w:type="dxa"/>
            <w:tcBorders>
              <w:top w:val="single" w:sz="12" w:space="0" w:color="auto"/>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p>
        </w:tc>
      </w:tr>
      <w:tr w:rsidR="00D65E60" w:rsidRPr="00D65E60" w:rsidTr="00D65E60">
        <w:trPr>
          <w:trHeight w:val="132"/>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p>
        </w:tc>
      </w:tr>
      <w:tr w:rsidR="00D65E60" w:rsidRPr="00D65E60" w:rsidTr="00D65E60">
        <w:trPr>
          <w:trHeight w:val="132"/>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rPr>
                <w:rFonts w:ascii="Arial" w:eastAsiaTheme="minorHAnsi" w:hAnsi="Arial" w:cs="Arial"/>
                <w:color w:val="000000"/>
                <w:sz w:val="20"/>
                <w:szCs w:val="20"/>
              </w:rPr>
            </w:pPr>
            <w:r w:rsidRPr="00D65E60">
              <w:rPr>
                <w:rFonts w:ascii="Arial" w:eastAsiaTheme="minorHAnsi" w:hAnsi="Arial" w:cs="Arial"/>
                <w:color w:val="000000"/>
                <w:sz w:val="20"/>
                <w:szCs w:val="20"/>
              </w:rPr>
              <w:t>Red Vial (</w:t>
            </w:r>
            <w:proofErr w:type="spellStart"/>
            <w:r w:rsidRPr="00D65E60">
              <w:rPr>
                <w:rFonts w:ascii="Arial" w:eastAsiaTheme="minorHAnsi" w:hAnsi="Arial" w:cs="Arial"/>
                <w:color w:val="000000"/>
                <w:sz w:val="20"/>
                <w:szCs w:val="20"/>
              </w:rPr>
              <w:t>mt</w:t>
            </w:r>
            <w:proofErr w:type="spellEnd"/>
            <w:r w:rsidRPr="00D65E60">
              <w:rPr>
                <w:rFonts w:ascii="Arial" w:eastAsiaTheme="minorHAnsi" w:hAnsi="Arial" w:cs="Arial"/>
                <w:color w:val="000000"/>
                <w:sz w:val="20"/>
                <w:szCs w:val="20"/>
              </w:rPr>
              <w:t>)</w:t>
            </w: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r w:rsidRPr="00D65E60">
              <w:rPr>
                <w:rFonts w:ascii="Arial" w:eastAsiaTheme="minorHAnsi" w:hAnsi="Arial" w:cs="Arial"/>
                <w:color w:val="000000"/>
                <w:sz w:val="20"/>
                <w:szCs w:val="20"/>
              </w:rPr>
              <w:t>8.739.493</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p>
        </w:tc>
      </w:tr>
      <w:tr w:rsidR="00D65E60" w:rsidRPr="00D65E60" w:rsidTr="00D65E60">
        <w:trPr>
          <w:trHeight w:val="132"/>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b/>
                <w:bCs/>
                <w:color w:val="000000"/>
                <w:sz w:val="20"/>
                <w:szCs w:val="20"/>
              </w:rPr>
            </w:pPr>
            <w:r w:rsidRPr="00D65E60">
              <w:rPr>
                <w:rFonts w:ascii="Arial" w:eastAsiaTheme="minorHAnsi" w:hAnsi="Arial" w:cs="Arial"/>
                <w:b/>
                <w:bCs/>
                <w:color w:val="000000"/>
                <w:sz w:val="20"/>
                <w:szCs w:val="20"/>
              </w:rPr>
              <w:t>TPDA</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b/>
                <w:bCs/>
                <w:color w:val="000000"/>
                <w:sz w:val="20"/>
                <w:szCs w:val="20"/>
              </w:rPr>
            </w:pPr>
            <w:r w:rsidRPr="00D65E60">
              <w:rPr>
                <w:rFonts w:ascii="Arial" w:eastAsiaTheme="minorHAnsi" w:hAnsi="Arial" w:cs="Arial"/>
                <w:b/>
                <w:bCs/>
                <w:color w:val="000000"/>
                <w:sz w:val="20"/>
                <w:szCs w:val="20"/>
              </w:rPr>
              <w:t>%</w:t>
            </w: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b/>
                <w:bCs/>
                <w:color w:val="000000"/>
                <w:sz w:val="20"/>
                <w:szCs w:val="20"/>
              </w:rPr>
            </w:pPr>
            <w:proofErr w:type="spellStart"/>
            <w:r w:rsidRPr="00D65E60">
              <w:rPr>
                <w:rFonts w:ascii="Arial" w:eastAsiaTheme="minorHAnsi" w:hAnsi="Arial" w:cs="Arial"/>
                <w:b/>
                <w:bCs/>
                <w:color w:val="000000"/>
                <w:sz w:val="20"/>
                <w:szCs w:val="20"/>
              </w:rPr>
              <w:t>Veh-mt</w:t>
            </w:r>
            <w:proofErr w:type="spellEnd"/>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p>
        </w:tc>
      </w:tr>
      <w:tr w:rsidR="00D65E60" w:rsidRPr="00D65E60" w:rsidTr="00D65E60">
        <w:trPr>
          <w:trHeight w:val="132"/>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Total</w:t>
            </w: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1304</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100%</w:t>
            </w: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r w:rsidRPr="00D65E60">
              <w:rPr>
                <w:rFonts w:ascii="Arial" w:eastAsiaTheme="minorHAnsi" w:hAnsi="Arial" w:cs="Arial"/>
                <w:color w:val="000000"/>
                <w:sz w:val="20"/>
                <w:szCs w:val="20"/>
              </w:rPr>
              <w:t>11.395.695.105</w:t>
            </w: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8,16%</w:t>
            </w:r>
          </w:p>
        </w:tc>
      </w:tr>
      <w:tr w:rsidR="00D65E60" w:rsidRPr="00D65E60" w:rsidTr="00D65E60">
        <w:trPr>
          <w:trHeight w:val="156"/>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center"/>
              <w:rPr>
                <w:rFonts w:ascii="Calibri" w:eastAsiaTheme="minorHAnsi" w:hAnsi="Calibri" w:cs="Calibri"/>
                <w:color w:val="000000"/>
              </w:rPr>
            </w:pPr>
            <w:r w:rsidRPr="00D65E60">
              <w:rPr>
                <w:rFonts w:ascii="Calibri" w:eastAsiaTheme="minorHAnsi" w:hAnsi="Calibri" w:cs="Calibri"/>
                <w:color w:val="000000"/>
              </w:rPr>
              <w:t>Autos</w:t>
            </w: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907</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70%</w:t>
            </w: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7.925.444.734</w:t>
            </w: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6,27%</w:t>
            </w:r>
          </w:p>
        </w:tc>
      </w:tr>
      <w:tr w:rsidR="00D65E60" w:rsidRPr="00D65E60" w:rsidTr="00D65E60">
        <w:trPr>
          <w:trHeight w:val="156"/>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center"/>
              <w:rPr>
                <w:rFonts w:ascii="Calibri" w:eastAsiaTheme="minorHAnsi" w:hAnsi="Calibri" w:cs="Calibri"/>
                <w:color w:val="000000"/>
              </w:rPr>
            </w:pPr>
            <w:proofErr w:type="spellStart"/>
            <w:r w:rsidRPr="00D65E60">
              <w:rPr>
                <w:rFonts w:ascii="Calibri" w:eastAsiaTheme="minorHAnsi" w:hAnsi="Calibri" w:cs="Calibri"/>
                <w:color w:val="000000"/>
              </w:rPr>
              <w:t>Omnibus</w:t>
            </w:r>
            <w:proofErr w:type="spellEnd"/>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61</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5%</w:t>
            </w: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535.001.946</w:t>
            </w: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19,68%</w:t>
            </w:r>
          </w:p>
        </w:tc>
      </w:tr>
      <w:tr w:rsidR="00D65E60" w:rsidRPr="00D65E60" w:rsidTr="00D65E60">
        <w:trPr>
          <w:trHeight w:val="156"/>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center"/>
              <w:rPr>
                <w:rFonts w:ascii="Calibri" w:eastAsiaTheme="minorHAnsi" w:hAnsi="Calibri" w:cs="Calibri"/>
                <w:color w:val="000000"/>
              </w:rPr>
            </w:pPr>
            <w:proofErr w:type="spellStart"/>
            <w:r w:rsidRPr="00D65E60">
              <w:rPr>
                <w:rFonts w:ascii="Calibri" w:eastAsiaTheme="minorHAnsi" w:hAnsi="Calibri" w:cs="Calibri"/>
                <w:color w:val="000000"/>
              </w:rPr>
              <w:t>Cam</w:t>
            </w:r>
            <w:proofErr w:type="spellEnd"/>
            <w:r w:rsidRPr="00D65E60">
              <w:rPr>
                <w:rFonts w:ascii="Calibri" w:eastAsiaTheme="minorHAnsi" w:hAnsi="Calibri" w:cs="Calibri"/>
                <w:color w:val="000000"/>
              </w:rPr>
              <w:t xml:space="preserve">. </w:t>
            </w:r>
            <w:proofErr w:type="spellStart"/>
            <w:r w:rsidRPr="00D65E60">
              <w:rPr>
                <w:rFonts w:ascii="Calibri" w:eastAsiaTheme="minorHAnsi" w:hAnsi="Calibri" w:cs="Calibri"/>
                <w:color w:val="000000"/>
              </w:rPr>
              <w:t>Med</w:t>
            </w:r>
            <w:proofErr w:type="spellEnd"/>
            <w:r w:rsidRPr="00D65E60">
              <w:rPr>
                <w:rFonts w:ascii="Calibri" w:eastAsiaTheme="minorHAnsi" w:hAnsi="Calibri" w:cs="Calibri"/>
                <w:color w:val="000000"/>
              </w:rPr>
              <w:t>.</w:t>
            </w: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180</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14%</w:t>
            </w: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1.571.496.457</w:t>
            </w: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9,19%</w:t>
            </w:r>
          </w:p>
        </w:tc>
      </w:tr>
      <w:tr w:rsidR="00D65E60" w:rsidRPr="00D65E60" w:rsidTr="00D65E60">
        <w:trPr>
          <w:trHeight w:val="156"/>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center"/>
              <w:rPr>
                <w:rFonts w:ascii="Calibri" w:eastAsiaTheme="minorHAnsi" w:hAnsi="Calibri" w:cs="Calibri"/>
                <w:color w:val="000000"/>
              </w:rPr>
            </w:pPr>
            <w:proofErr w:type="spellStart"/>
            <w:r w:rsidRPr="00D65E60">
              <w:rPr>
                <w:rFonts w:ascii="Calibri" w:eastAsiaTheme="minorHAnsi" w:hAnsi="Calibri" w:cs="Calibri"/>
                <w:color w:val="000000"/>
              </w:rPr>
              <w:t>Cam</w:t>
            </w:r>
            <w:proofErr w:type="spellEnd"/>
            <w:r w:rsidRPr="00D65E60">
              <w:rPr>
                <w:rFonts w:ascii="Calibri" w:eastAsiaTheme="minorHAnsi" w:hAnsi="Calibri" w:cs="Calibri"/>
                <w:color w:val="000000"/>
              </w:rPr>
              <w:t xml:space="preserve">. </w:t>
            </w:r>
            <w:proofErr w:type="spellStart"/>
            <w:r w:rsidRPr="00D65E60">
              <w:rPr>
                <w:rFonts w:ascii="Calibri" w:eastAsiaTheme="minorHAnsi" w:hAnsi="Calibri" w:cs="Calibri"/>
                <w:color w:val="000000"/>
              </w:rPr>
              <w:t>Semi</w:t>
            </w:r>
            <w:proofErr w:type="spellEnd"/>
            <w:r w:rsidRPr="00D65E60">
              <w:rPr>
                <w:rFonts w:ascii="Calibri" w:eastAsiaTheme="minorHAnsi" w:hAnsi="Calibri" w:cs="Calibri"/>
                <w:color w:val="000000"/>
              </w:rPr>
              <w:t>.</w:t>
            </w: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30</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2%</w:t>
            </w: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261.928.899</w:t>
            </w: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-2,00%</w:t>
            </w:r>
          </w:p>
        </w:tc>
      </w:tr>
      <w:tr w:rsidR="00D65E60" w:rsidRPr="00D65E60" w:rsidTr="00D65E60">
        <w:trPr>
          <w:trHeight w:val="164"/>
        </w:trPr>
        <w:tc>
          <w:tcPr>
            <w:tcW w:w="1023" w:type="dxa"/>
            <w:tcBorders>
              <w:top w:val="nil"/>
              <w:left w:val="single" w:sz="12" w:space="0" w:color="auto"/>
              <w:bottom w:val="single" w:sz="12" w:space="0" w:color="auto"/>
              <w:right w:val="nil"/>
            </w:tcBorders>
          </w:tcPr>
          <w:p w:rsidR="00D65E60" w:rsidRPr="00D65E60" w:rsidRDefault="00D65E60" w:rsidP="00D65E60">
            <w:pPr>
              <w:autoSpaceDE w:val="0"/>
              <w:autoSpaceDN w:val="0"/>
              <w:adjustRightInd w:val="0"/>
              <w:spacing w:after="0" w:line="240" w:lineRule="auto"/>
              <w:jc w:val="center"/>
              <w:rPr>
                <w:rFonts w:ascii="Calibri" w:eastAsiaTheme="minorHAnsi" w:hAnsi="Calibri" w:cs="Calibri"/>
                <w:color w:val="000000"/>
              </w:rPr>
            </w:pPr>
            <w:proofErr w:type="spellStart"/>
            <w:r w:rsidRPr="00D65E60">
              <w:rPr>
                <w:rFonts w:ascii="Calibri" w:eastAsiaTheme="minorHAnsi" w:hAnsi="Calibri" w:cs="Calibri"/>
                <w:color w:val="000000"/>
              </w:rPr>
              <w:t>Cam</w:t>
            </w:r>
            <w:proofErr w:type="spellEnd"/>
            <w:r w:rsidRPr="00D65E60">
              <w:rPr>
                <w:rFonts w:ascii="Calibri" w:eastAsiaTheme="minorHAnsi" w:hAnsi="Calibri" w:cs="Calibri"/>
                <w:color w:val="000000"/>
              </w:rPr>
              <w:t>. Pes.</w:t>
            </w:r>
          </w:p>
        </w:tc>
        <w:tc>
          <w:tcPr>
            <w:tcW w:w="708" w:type="dxa"/>
            <w:tcBorders>
              <w:top w:val="nil"/>
              <w:left w:val="nil"/>
              <w:bottom w:val="single" w:sz="12" w:space="0" w:color="auto"/>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126</w:t>
            </w:r>
          </w:p>
        </w:tc>
        <w:tc>
          <w:tcPr>
            <w:tcW w:w="709" w:type="dxa"/>
            <w:tcBorders>
              <w:top w:val="nil"/>
              <w:left w:val="nil"/>
              <w:bottom w:val="single" w:sz="12" w:space="0" w:color="auto"/>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10%</w:t>
            </w:r>
          </w:p>
        </w:tc>
        <w:tc>
          <w:tcPr>
            <w:tcW w:w="1559" w:type="dxa"/>
            <w:tcBorders>
              <w:top w:val="nil"/>
              <w:left w:val="nil"/>
              <w:bottom w:val="single" w:sz="12" w:space="0" w:color="auto"/>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1.101.823.069</w:t>
            </w:r>
          </w:p>
        </w:tc>
        <w:tc>
          <w:tcPr>
            <w:tcW w:w="1134" w:type="dxa"/>
            <w:tcBorders>
              <w:top w:val="nil"/>
              <w:left w:val="single" w:sz="12" w:space="0" w:color="auto"/>
              <w:bottom w:val="single" w:sz="6" w:space="0" w:color="auto"/>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19,22%</w:t>
            </w:r>
          </w:p>
        </w:tc>
      </w:tr>
      <w:tr w:rsidR="00D65E60" w:rsidRPr="00D65E60" w:rsidTr="00D65E60">
        <w:trPr>
          <w:trHeight w:val="132"/>
        </w:trPr>
        <w:tc>
          <w:tcPr>
            <w:tcW w:w="1023"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p>
        </w:tc>
      </w:tr>
      <w:tr w:rsidR="00D65E60" w:rsidRPr="00D65E60" w:rsidTr="00D65E60">
        <w:trPr>
          <w:trHeight w:val="140"/>
        </w:trPr>
        <w:tc>
          <w:tcPr>
            <w:tcW w:w="1023"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p>
        </w:tc>
      </w:tr>
      <w:tr w:rsidR="00D65E60" w:rsidRPr="00D65E60" w:rsidTr="00D65E60">
        <w:trPr>
          <w:trHeight w:val="132"/>
        </w:trPr>
        <w:tc>
          <w:tcPr>
            <w:tcW w:w="1023" w:type="dxa"/>
            <w:tcBorders>
              <w:top w:val="single" w:sz="12" w:space="0" w:color="auto"/>
              <w:left w:val="single" w:sz="12" w:space="0" w:color="auto"/>
              <w:bottom w:val="nil"/>
              <w:right w:val="nil"/>
            </w:tcBorders>
          </w:tcPr>
          <w:p w:rsidR="00D65E60" w:rsidRPr="00D65E60" w:rsidRDefault="00D65E60" w:rsidP="00D65E60">
            <w:pPr>
              <w:autoSpaceDE w:val="0"/>
              <w:autoSpaceDN w:val="0"/>
              <w:adjustRightInd w:val="0"/>
              <w:spacing w:after="0" w:line="240" w:lineRule="auto"/>
              <w:rPr>
                <w:rFonts w:ascii="Arial" w:eastAsiaTheme="minorHAnsi" w:hAnsi="Arial" w:cs="Arial"/>
                <w:b/>
                <w:bCs/>
                <w:color w:val="000000"/>
                <w:sz w:val="20"/>
                <w:szCs w:val="20"/>
              </w:rPr>
            </w:pPr>
            <w:r w:rsidRPr="00D65E60">
              <w:rPr>
                <w:rFonts w:ascii="Arial" w:eastAsiaTheme="minorHAnsi" w:hAnsi="Arial" w:cs="Arial"/>
                <w:b/>
                <w:bCs/>
                <w:color w:val="000000"/>
                <w:sz w:val="20"/>
                <w:szCs w:val="20"/>
              </w:rPr>
              <w:t>Año: 2009</w:t>
            </w:r>
          </w:p>
        </w:tc>
        <w:tc>
          <w:tcPr>
            <w:tcW w:w="708" w:type="dxa"/>
            <w:tcBorders>
              <w:top w:val="single" w:sz="12" w:space="0" w:color="auto"/>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9" w:type="dxa"/>
            <w:tcBorders>
              <w:top w:val="single" w:sz="12" w:space="0" w:color="auto"/>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559" w:type="dxa"/>
            <w:tcBorders>
              <w:top w:val="single" w:sz="12" w:space="0" w:color="auto"/>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p>
        </w:tc>
      </w:tr>
      <w:tr w:rsidR="00D65E60" w:rsidRPr="00D65E60" w:rsidTr="00D65E60">
        <w:trPr>
          <w:trHeight w:val="132"/>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p>
        </w:tc>
      </w:tr>
      <w:tr w:rsidR="00D65E60" w:rsidRPr="00D65E60" w:rsidTr="00D65E60">
        <w:trPr>
          <w:trHeight w:val="132"/>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rPr>
                <w:rFonts w:ascii="Arial" w:eastAsiaTheme="minorHAnsi" w:hAnsi="Arial" w:cs="Arial"/>
                <w:color w:val="000000"/>
                <w:sz w:val="20"/>
                <w:szCs w:val="20"/>
              </w:rPr>
            </w:pPr>
            <w:r w:rsidRPr="00D65E60">
              <w:rPr>
                <w:rFonts w:ascii="Arial" w:eastAsiaTheme="minorHAnsi" w:hAnsi="Arial" w:cs="Arial"/>
                <w:color w:val="000000"/>
                <w:sz w:val="20"/>
                <w:szCs w:val="20"/>
              </w:rPr>
              <w:t>Red Vial (</w:t>
            </w:r>
            <w:proofErr w:type="spellStart"/>
            <w:r w:rsidRPr="00D65E60">
              <w:rPr>
                <w:rFonts w:ascii="Arial" w:eastAsiaTheme="minorHAnsi" w:hAnsi="Arial" w:cs="Arial"/>
                <w:color w:val="000000"/>
                <w:sz w:val="20"/>
                <w:szCs w:val="20"/>
              </w:rPr>
              <w:t>mt</w:t>
            </w:r>
            <w:proofErr w:type="spellEnd"/>
            <w:r w:rsidRPr="00D65E60">
              <w:rPr>
                <w:rFonts w:ascii="Arial" w:eastAsiaTheme="minorHAnsi" w:hAnsi="Arial" w:cs="Arial"/>
                <w:color w:val="000000"/>
                <w:sz w:val="20"/>
                <w:szCs w:val="20"/>
              </w:rPr>
              <w:t>)</w:t>
            </w: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r w:rsidRPr="00D65E60">
              <w:rPr>
                <w:rFonts w:ascii="Arial" w:eastAsiaTheme="minorHAnsi" w:hAnsi="Arial" w:cs="Arial"/>
                <w:color w:val="000000"/>
                <w:sz w:val="20"/>
                <w:szCs w:val="20"/>
              </w:rPr>
              <w:t>8.739.493</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p>
        </w:tc>
      </w:tr>
      <w:tr w:rsidR="00D65E60" w:rsidRPr="00D65E60" w:rsidTr="00D65E60">
        <w:trPr>
          <w:trHeight w:val="132"/>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b/>
                <w:bCs/>
                <w:color w:val="000000"/>
                <w:sz w:val="20"/>
                <w:szCs w:val="20"/>
              </w:rPr>
            </w:pPr>
            <w:r w:rsidRPr="00D65E60">
              <w:rPr>
                <w:rFonts w:ascii="Arial" w:eastAsiaTheme="minorHAnsi" w:hAnsi="Arial" w:cs="Arial"/>
                <w:b/>
                <w:bCs/>
                <w:color w:val="000000"/>
                <w:sz w:val="20"/>
                <w:szCs w:val="20"/>
              </w:rPr>
              <w:t>TPDA</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b/>
                <w:bCs/>
                <w:color w:val="000000"/>
                <w:sz w:val="20"/>
                <w:szCs w:val="20"/>
              </w:rPr>
            </w:pPr>
            <w:r w:rsidRPr="00D65E60">
              <w:rPr>
                <w:rFonts w:ascii="Arial" w:eastAsiaTheme="minorHAnsi" w:hAnsi="Arial" w:cs="Arial"/>
                <w:b/>
                <w:bCs/>
                <w:color w:val="000000"/>
                <w:sz w:val="20"/>
                <w:szCs w:val="20"/>
              </w:rPr>
              <w:t>%</w:t>
            </w: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b/>
                <w:bCs/>
                <w:color w:val="000000"/>
                <w:sz w:val="20"/>
                <w:szCs w:val="20"/>
              </w:rPr>
            </w:pPr>
            <w:proofErr w:type="spellStart"/>
            <w:r w:rsidRPr="00D65E60">
              <w:rPr>
                <w:rFonts w:ascii="Arial" w:eastAsiaTheme="minorHAnsi" w:hAnsi="Arial" w:cs="Arial"/>
                <w:b/>
                <w:bCs/>
                <w:color w:val="000000"/>
                <w:sz w:val="20"/>
                <w:szCs w:val="20"/>
              </w:rPr>
              <w:t>Veh-mt</w:t>
            </w:r>
            <w:proofErr w:type="spellEnd"/>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p>
        </w:tc>
      </w:tr>
      <w:tr w:rsidR="00D65E60" w:rsidRPr="00D65E60" w:rsidTr="00D65E60">
        <w:trPr>
          <w:trHeight w:val="132"/>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Total</w:t>
            </w: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1206</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100%</w:t>
            </w: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10.535.858.842</w:t>
            </w: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6,46%</w:t>
            </w:r>
          </w:p>
        </w:tc>
      </w:tr>
      <w:tr w:rsidR="00D65E60" w:rsidRPr="00D65E60" w:rsidTr="00D65E60">
        <w:trPr>
          <w:trHeight w:val="156"/>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center"/>
              <w:rPr>
                <w:rFonts w:ascii="Calibri" w:eastAsiaTheme="minorHAnsi" w:hAnsi="Calibri" w:cs="Calibri"/>
                <w:color w:val="000000"/>
              </w:rPr>
            </w:pPr>
            <w:r w:rsidRPr="00D65E60">
              <w:rPr>
                <w:rFonts w:ascii="Calibri" w:eastAsiaTheme="minorHAnsi" w:hAnsi="Calibri" w:cs="Calibri"/>
                <w:color w:val="000000"/>
              </w:rPr>
              <w:t>Autos</w:t>
            </w: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853</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71%</w:t>
            </w: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7.458.033.144</w:t>
            </w: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7,05%</w:t>
            </w:r>
          </w:p>
        </w:tc>
      </w:tr>
      <w:tr w:rsidR="00D65E60" w:rsidRPr="00D65E60" w:rsidTr="00D65E60">
        <w:trPr>
          <w:trHeight w:val="156"/>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center"/>
              <w:rPr>
                <w:rFonts w:ascii="Calibri" w:eastAsiaTheme="minorHAnsi" w:hAnsi="Calibri" w:cs="Calibri"/>
                <w:color w:val="000000"/>
              </w:rPr>
            </w:pPr>
            <w:proofErr w:type="spellStart"/>
            <w:r w:rsidRPr="00D65E60">
              <w:rPr>
                <w:rFonts w:ascii="Calibri" w:eastAsiaTheme="minorHAnsi" w:hAnsi="Calibri" w:cs="Calibri"/>
                <w:color w:val="000000"/>
              </w:rPr>
              <w:t>Omnibus</w:t>
            </w:r>
            <w:proofErr w:type="spellEnd"/>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51</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4%</w:t>
            </w: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447.039.414</w:t>
            </w: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5,43%</w:t>
            </w:r>
          </w:p>
        </w:tc>
      </w:tr>
      <w:tr w:rsidR="00D65E60" w:rsidRPr="00D65E60" w:rsidTr="00D65E60">
        <w:trPr>
          <w:trHeight w:val="156"/>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center"/>
              <w:rPr>
                <w:rFonts w:ascii="Calibri" w:eastAsiaTheme="minorHAnsi" w:hAnsi="Calibri" w:cs="Calibri"/>
                <w:color w:val="000000"/>
              </w:rPr>
            </w:pPr>
            <w:proofErr w:type="spellStart"/>
            <w:r w:rsidRPr="00D65E60">
              <w:rPr>
                <w:rFonts w:ascii="Calibri" w:eastAsiaTheme="minorHAnsi" w:hAnsi="Calibri" w:cs="Calibri"/>
                <w:color w:val="000000"/>
              </w:rPr>
              <w:t>Cam</w:t>
            </w:r>
            <w:proofErr w:type="spellEnd"/>
            <w:r w:rsidRPr="00D65E60">
              <w:rPr>
                <w:rFonts w:ascii="Calibri" w:eastAsiaTheme="minorHAnsi" w:hAnsi="Calibri" w:cs="Calibri"/>
                <w:color w:val="000000"/>
              </w:rPr>
              <w:t xml:space="preserve">. </w:t>
            </w:r>
            <w:proofErr w:type="spellStart"/>
            <w:r w:rsidRPr="00D65E60">
              <w:rPr>
                <w:rFonts w:ascii="Calibri" w:eastAsiaTheme="minorHAnsi" w:hAnsi="Calibri" w:cs="Calibri"/>
                <w:color w:val="000000"/>
              </w:rPr>
              <w:t>Med</w:t>
            </w:r>
            <w:proofErr w:type="spellEnd"/>
            <w:r w:rsidRPr="00D65E60">
              <w:rPr>
                <w:rFonts w:ascii="Calibri" w:eastAsiaTheme="minorHAnsi" w:hAnsi="Calibri" w:cs="Calibri"/>
                <w:color w:val="000000"/>
              </w:rPr>
              <w:t>.</w:t>
            </w: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165</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14%</w:t>
            </w: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1.439.294.415</w:t>
            </w: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5,93%</w:t>
            </w:r>
          </w:p>
        </w:tc>
      </w:tr>
      <w:tr w:rsidR="00D65E60" w:rsidRPr="00D65E60" w:rsidTr="00D65E60">
        <w:trPr>
          <w:trHeight w:val="156"/>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center"/>
              <w:rPr>
                <w:rFonts w:ascii="Calibri" w:eastAsiaTheme="minorHAnsi" w:hAnsi="Calibri" w:cs="Calibri"/>
                <w:color w:val="000000"/>
              </w:rPr>
            </w:pPr>
            <w:proofErr w:type="spellStart"/>
            <w:r w:rsidRPr="00D65E60">
              <w:rPr>
                <w:rFonts w:ascii="Calibri" w:eastAsiaTheme="minorHAnsi" w:hAnsi="Calibri" w:cs="Calibri"/>
                <w:color w:val="000000"/>
              </w:rPr>
              <w:t>Cam</w:t>
            </w:r>
            <w:proofErr w:type="spellEnd"/>
            <w:r w:rsidRPr="00D65E60">
              <w:rPr>
                <w:rFonts w:ascii="Calibri" w:eastAsiaTheme="minorHAnsi" w:hAnsi="Calibri" w:cs="Calibri"/>
                <w:color w:val="000000"/>
              </w:rPr>
              <w:t xml:space="preserve">. </w:t>
            </w:r>
            <w:proofErr w:type="spellStart"/>
            <w:r w:rsidRPr="00D65E60">
              <w:rPr>
                <w:rFonts w:ascii="Calibri" w:eastAsiaTheme="minorHAnsi" w:hAnsi="Calibri" w:cs="Calibri"/>
                <w:color w:val="000000"/>
              </w:rPr>
              <w:t>Semi</w:t>
            </w:r>
            <w:proofErr w:type="spellEnd"/>
            <w:r w:rsidRPr="00D65E60">
              <w:rPr>
                <w:rFonts w:ascii="Calibri" w:eastAsiaTheme="minorHAnsi" w:hAnsi="Calibri" w:cs="Calibri"/>
                <w:color w:val="000000"/>
              </w:rPr>
              <w:t>.</w:t>
            </w: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31</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3%</w:t>
            </w: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267.286.913</w:t>
            </w: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4,72%</w:t>
            </w:r>
          </w:p>
        </w:tc>
      </w:tr>
      <w:tr w:rsidR="00D65E60" w:rsidRPr="00D65E60" w:rsidTr="00D65E60">
        <w:trPr>
          <w:trHeight w:val="164"/>
        </w:trPr>
        <w:tc>
          <w:tcPr>
            <w:tcW w:w="1023" w:type="dxa"/>
            <w:tcBorders>
              <w:top w:val="nil"/>
              <w:left w:val="single" w:sz="12" w:space="0" w:color="auto"/>
              <w:bottom w:val="single" w:sz="12" w:space="0" w:color="auto"/>
              <w:right w:val="nil"/>
            </w:tcBorders>
          </w:tcPr>
          <w:p w:rsidR="00D65E60" w:rsidRPr="00D65E60" w:rsidRDefault="00D65E60" w:rsidP="00D65E60">
            <w:pPr>
              <w:autoSpaceDE w:val="0"/>
              <w:autoSpaceDN w:val="0"/>
              <w:adjustRightInd w:val="0"/>
              <w:spacing w:after="0" w:line="240" w:lineRule="auto"/>
              <w:jc w:val="center"/>
              <w:rPr>
                <w:rFonts w:ascii="Calibri" w:eastAsiaTheme="minorHAnsi" w:hAnsi="Calibri" w:cs="Calibri"/>
                <w:color w:val="000000"/>
              </w:rPr>
            </w:pPr>
            <w:proofErr w:type="spellStart"/>
            <w:r w:rsidRPr="00D65E60">
              <w:rPr>
                <w:rFonts w:ascii="Calibri" w:eastAsiaTheme="minorHAnsi" w:hAnsi="Calibri" w:cs="Calibri"/>
                <w:color w:val="000000"/>
              </w:rPr>
              <w:t>Cam</w:t>
            </w:r>
            <w:proofErr w:type="spellEnd"/>
            <w:r w:rsidRPr="00D65E60">
              <w:rPr>
                <w:rFonts w:ascii="Calibri" w:eastAsiaTheme="minorHAnsi" w:hAnsi="Calibri" w:cs="Calibri"/>
                <w:color w:val="000000"/>
              </w:rPr>
              <w:t>. Pes.</w:t>
            </w:r>
          </w:p>
        </w:tc>
        <w:tc>
          <w:tcPr>
            <w:tcW w:w="708" w:type="dxa"/>
            <w:tcBorders>
              <w:top w:val="nil"/>
              <w:left w:val="nil"/>
              <w:bottom w:val="single" w:sz="12" w:space="0" w:color="auto"/>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106</w:t>
            </w:r>
          </w:p>
        </w:tc>
        <w:tc>
          <w:tcPr>
            <w:tcW w:w="709" w:type="dxa"/>
            <w:tcBorders>
              <w:top w:val="nil"/>
              <w:left w:val="nil"/>
              <w:bottom w:val="single" w:sz="12" w:space="0" w:color="auto"/>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9%</w:t>
            </w:r>
          </w:p>
        </w:tc>
        <w:tc>
          <w:tcPr>
            <w:tcW w:w="1559" w:type="dxa"/>
            <w:tcBorders>
              <w:top w:val="nil"/>
              <w:left w:val="nil"/>
              <w:bottom w:val="single" w:sz="12" w:space="0" w:color="auto"/>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924.204.956</w:t>
            </w:r>
          </w:p>
        </w:tc>
        <w:tc>
          <w:tcPr>
            <w:tcW w:w="1134" w:type="dxa"/>
            <w:tcBorders>
              <w:top w:val="nil"/>
              <w:left w:val="single" w:sz="12" w:space="0" w:color="auto"/>
              <w:bottom w:val="single" w:sz="6" w:space="0" w:color="auto"/>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3,69%</w:t>
            </w:r>
          </w:p>
        </w:tc>
      </w:tr>
      <w:tr w:rsidR="00D65E60" w:rsidRPr="00D65E60" w:rsidTr="00D65E60">
        <w:trPr>
          <w:trHeight w:val="132"/>
        </w:trPr>
        <w:tc>
          <w:tcPr>
            <w:tcW w:w="1023"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p>
        </w:tc>
      </w:tr>
      <w:tr w:rsidR="00D65E60" w:rsidRPr="00D65E60" w:rsidTr="00D65E60">
        <w:trPr>
          <w:trHeight w:val="140"/>
        </w:trPr>
        <w:tc>
          <w:tcPr>
            <w:tcW w:w="1023"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p>
        </w:tc>
      </w:tr>
      <w:tr w:rsidR="00D65E60" w:rsidRPr="00D65E60" w:rsidTr="00D65E60">
        <w:trPr>
          <w:trHeight w:val="132"/>
        </w:trPr>
        <w:tc>
          <w:tcPr>
            <w:tcW w:w="1023" w:type="dxa"/>
            <w:tcBorders>
              <w:top w:val="single" w:sz="12" w:space="0" w:color="auto"/>
              <w:left w:val="single" w:sz="12" w:space="0" w:color="auto"/>
              <w:bottom w:val="nil"/>
              <w:right w:val="nil"/>
            </w:tcBorders>
          </w:tcPr>
          <w:p w:rsidR="00D65E60" w:rsidRPr="00D65E60" w:rsidRDefault="00D65E60" w:rsidP="00D65E60">
            <w:pPr>
              <w:autoSpaceDE w:val="0"/>
              <w:autoSpaceDN w:val="0"/>
              <w:adjustRightInd w:val="0"/>
              <w:spacing w:after="0" w:line="240" w:lineRule="auto"/>
              <w:rPr>
                <w:rFonts w:ascii="Arial" w:eastAsiaTheme="minorHAnsi" w:hAnsi="Arial" w:cs="Arial"/>
                <w:b/>
                <w:bCs/>
                <w:color w:val="000000"/>
                <w:sz w:val="20"/>
                <w:szCs w:val="20"/>
              </w:rPr>
            </w:pPr>
            <w:r w:rsidRPr="00D65E60">
              <w:rPr>
                <w:rFonts w:ascii="Arial" w:eastAsiaTheme="minorHAnsi" w:hAnsi="Arial" w:cs="Arial"/>
                <w:b/>
                <w:bCs/>
                <w:color w:val="000000"/>
                <w:sz w:val="20"/>
                <w:szCs w:val="20"/>
              </w:rPr>
              <w:t>Año: 2008</w:t>
            </w:r>
          </w:p>
        </w:tc>
        <w:tc>
          <w:tcPr>
            <w:tcW w:w="708" w:type="dxa"/>
            <w:tcBorders>
              <w:top w:val="single" w:sz="12" w:space="0" w:color="auto"/>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9" w:type="dxa"/>
            <w:tcBorders>
              <w:top w:val="single" w:sz="12" w:space="0" w:color="auto"/>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559" w:type="dxa"/>
            <w:tcBorders>
              <w:top w:val="single" w:sz="12" w:space="0" w:color="auto"/>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p>
        </w:tc>
      </w:tr>
      <w:tr w:rsidR="00D65E60" w:rsidRPr="00D65E60" w:rsidTr="00D65E60">
        <w:trPr>
          <w:trHeight w:val="132"/>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p>
        </w:tc>
      </w:tr>
      <w:tr w:rsidR="00D65E60" w:rsidRPr="00D65E60" w:rsidTr="00D65E60">
        <w:trPr>
          <w:trHeight w:val="132"/>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rPr>
                <w:rFonts w:ascii="Arial" w:eastAsiaTheme="minorHAnsi" w:hAnsi="Arial" w:cs="Arial"/>
                <w:color w:val="000000"/>
                <w:sz w:val="20"/>
                <w:szCs w:val="20"/>
              </w:rPr>
            </w:pPr>
            <w:r w:rsidRPr="00D65E60">
              <w:rPr>
                <w:rFonts w:ascii="Arial" w:eastAsiaTheme="minorHAnsi" w:hAnsi="Arial" w:cs="Arial"/>
                <w:color w:val="000000"/>
                <w:sz w:val="20"/>
                <w:szCs w:val="20"/>
              </w:rPr>
              <w:t>Red Vial (</w:t>
            </w:r>
            <w:proofErr w:type="spellStart"/>
            <w:r w:rsidRPr="00D65E60">
              <w:rPr>
                <w:rFonts w:ascii="Arial" w:eastAsiaTheme="minorHAnsi" w:hAnsi="Arial" w:cs="Arial"/>
                <w:color w:val="000000"/>
                <w:sz w:val="20"/>
                <w:szCs w:val="20"/>
              </w:rPr>
              <w:t>mt</w:t>
            </w:r>
            <w:proofErr w:type="spellEnd"/>
            <w:r w:rsidRPr="00D65E60">
              <w:rPr>
                <w:rFonts w:ascii="Arial" w:eastAsiaTheme="minorHAnsi" w:hAnsi="Arial" w:cs="Arial"/>
                <w:color w:val="000000"/>
                <w:sz w:val="20"/>
                <w:szCs w:val="20"/>
              </w:rPr>
              <w:t>)</w:t>
            </w: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r w:rsidRPr="00D65E60">
              <w:rPr>
                <w:rFonts w:ascii="Arial" w:eastAsiaTheme="minorHAnsi" w:hAnsi="Arial" w:cs="Arial"/>
                <w:color w:val="000000"/>
                <w:sz w:val="20"/>
                <w:szCs w:val="20"/>
              </w:rPr>
              <w:t>8.696.592</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p>
        </w:tc>
      </w:tr>
      <w:tr w:rsidR="00D65E60" w:rsidRPr="00D65E60" w:rsidTr="00D65E60">
        <w:trPr>
          <w:trHeight w:val="132"/>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b/>
                <w:bCs/>
                <w:color w:val="000000"/>
                <w:sz w:val="20"/>
                <w:szCs w:val="20"/>
              </w:rPr>
            </w:pPr>
            <w:r w:rsidRPr="00D65E60">
              <w:rPr>
                <w:rFonts w:ascii="Arial" w:eastAsiaTheme="minorHAnsi" w:hAnsi="Arial" w:cs="Arial"/>
                <w:b/>
                <w:bCs/>
                <w:color w:val="000000"/>
                <w:sz w:val="20"/>
                <w:szCs w:val="20"/>
              </w:rPr>
              <w:t>TPDA</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b/>
                <w:bCs/>
                <w:color w:val="000000"/>
                <w:sz w:val="20"/>
                <w:szCs w:val="20"/>
              </w:rPr>
            </w:pPr>
            <w:r w:rsidRPr="00D65E60">
              <w:rPr>
                <w:rFonts w:ascii="Arial" w:eastAsiaTheme="minorHAnsi" w:hAnsi="Arial" w:cs="Arial"/>
                <w:b/>
                <w:bCs/>
                <w:color w:val="000000"/>
                <w:sz w:val="20"/>
                <w:szCs w:val="20"/>
              </w:rPr>
              <w:t>%</w:t>
            </w: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b/>
                <w:bCs/>
                <w:color w:val="000000"/>
                <w:sz w:val="20"/>
                <w:szCs w:val="20"/>
              </w:rPr>
            </w:pPr>
            <w:proofErr w:type="spellStart"/>
            <w:r w:rsidRPr="00D65E60">
              <w:rPr>
                <w:rFonts w:ascii="Arial" w:eastAsiaTheme="minorHAnsi" w:hAnsi="Arial" w:cs="Arial"/>
                <w:b/>
                <w:bCs/>
                <w:color w:val="000000"/>
                <w:sz w:val="20"/>
                <w:szCs w:val="20"/>
              </w:rPr>
              <w:t>Veh-mt</w:t>
            </w:r>
            <w:proofErr w:type="spellEnd"/>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p>
        </w:tc>
      </w:tr>
      <w:tr w:rsidR="00D65E60" w:rsidRPr="00D65E60" w:rsidTr="00D65E60">
        <w:trPr>
          <w:trHeight w:val="132"/>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Total</w:t>
            </w: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1132</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100%</w:t>
            </w: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9.847.601.633</w:t>
            </w: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9,69%</w:t>
            </w:r>
          </w:p>
        </w:tc>
      </w:tr>
      <w:tr w:rsidR="00D65E60" w:rsidRPr="00D65E60" w:rsidTr="00D65E60">
        <w:trPr>
          <w:trHeight w:val="156"/>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center"/>
              <w:rPr>
                <w:rFonts w:ascii="Calibri" w:eastAsiaTheme="minorHAnsi" w:hAnsi="Calibri" w:cs="Calibri"/>
                <w:color w:val="000000"/>
              </w:rPr>
            </w:pPr>
            <w:r w:rsidRPr="00D65E60">
              <w:rPr>
                <w:rFonts w:ascii="Calibri" w:eastAsiaTheme="minorHAnsi" w:hAnsi="Calibri" w:cs="Calibri"/>
                <w:color w:val="000000"/>
              </w:rPr>
              <w:t>Autos</w:t>
            </w: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797</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70%</w:t>
            </w: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6.932.657.751</w:t>
            </w: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4,64%</w:t>
            </w:r>
          </w:p>
        </w:tc>
      </w:tr>
      <w:tr w:rsidR="00D65E60" w:rsidRPr="00D65E60" w:rsidTr="00D65E60">
        <w:trPr>
          <w:trHeight w:val="156"/>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center"/>
              <w:rPr>
                <w:rFonts w:ascii="Calibri" w:eastAsiaTheme="minorHAnsi" w:hAnsi="Calibri" w:cs="Calibri"/>
                <w:color w:val="000000"/>
              </w:rPr>
            </w:pPr>
            <w:proofErr w:type="spellStart"/>
            <w:r w:rsidRPr="00D65E60">
              <w:rPr>
                <w:rFonts w:ascii="Calibri" w:eastAsiaTheme="minorHAnsi" w:hAnsi="Calibri" w:cs="Calibri"/>
                <w:color w:val="000000"/>
              </w:rPr>
              <w:t>Omnibus</w:t>
            </w:r>
            <w:proofErr w:type="spellEnd"/>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49</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4%</w:t>
            </w: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421.916.434</w:t>
            </w: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7,34%</w:t>
            </w:r>
          </w:p>
        </w:tc>
      </w:tr>
      <w:tr w:rsidR="00D65E60" w:rsidRPr="00D65E60" w:rsidTr="00D65E60">
        <w:trPr>
          <w:trHeight w:val="156"/>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center"/>
              <w:rPr>
                <w:rFonts w:ascii="Calibri" w:eastAsiaTheme="minorHAnsi" w:hAnsi="Calibri" w:cs="Calibri"/>
                <w:color w:val="000000"/>
              </w:rPr>
            </w:pPr>
            <w:proofErr w:type="spellStart"/>
            <w:r w:rsidRPr="00D65E60">
              <w:rPr>
                <w:rFonts w:ascii="Calibri" w:eastAsiaTheme="minorHAnsi" w:hAnsi="Calibri" w:cs="Calibri"/>
                <w:color w:val="000000"/>
              </w:rPr>
              <w:t>Cam</w:t>
            </w:r>
            <w:proofErr w:type="spellEnd"/>
            <w:r w:rsidRPr="00D65E60">
              <w:rPr>
                <w:rFonts w:ascii="Calibri" w:eastAsiaTheme="minorHAnsi" w:hAnsi="Calibri" w:cs="Calibri"/>
                <w:color w:val="000000"/>
              </w:rPr>
              <w:t xml:space="preserve">. </w:t>
            </w:r>
            <w:proofErr w:type="spellStart"/>
            <w:r w:rsidRPr="00D65E60">
              <w:rPr>
                <w:rFonts w:ascii="Calibri" w:eastAsiaTheme="minorHAnsi" w:hAnsi="Calibri" w:cs="Calibri"/>
                <w:color w:val="000000"/>
              </w:rPr>
              <w:t>Med</w:t>
            </w:r>
            <w:proofErr w:type="spellEnd"/>
            <w:r w:rsidRPr="00D65E60">
              <w:rPr>
                <w:rFonts w:ascii="Calibri" w:eastAsiaTheme="minorHAnsi" w:hAnsi="Calibri" w:cs="Calibri"/>
                <w:color w:val="000000"/>
              </w:rPr>
              <w:t>.</w:t>
            </w: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155</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14%</w:t>
            </w: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1.352.087.386</w:t>
            </w: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30,57%</w:t>
            </w:r>
          </w:p>
        </w:tc>
      </w:tr>
      <w:tr w:rsidR="00D65E60" w:rsidRPr="00D65E60" w:rsidTr="00D65E60">
        <w:trPr>
          <w:trHeight w:val="156"/>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center"/>
              <w:rPr>
                <w:rFonts w:ascii="Calibri" w:eastAsiaTheme="minorHAnsi" w:hAnsi="Calibri" w:cs="Calibri"/>
                <w:color w:val="000000"/>
              </w:rPr>
            </w:pPr>
            <w:proofErr w:type="spellStart"/>
            <w:r w:rsidRPr="00D65E60">
              <w:rPr>
                <w:rFonts w:ascii="Calibri" w:eastAsiaTheme="minorHAnsi" w:hAnsi="Calibri" w:cs="Calibri"/>
                <w:color w:val="000000"/>
              </w:rPr>
              <w:t>Cam</w:t>
            </w:r>
            <w:proofErr w:type="spellEnd"/>
            <w:r w:rsidRPr="00D65E60">
              <w:rPr>
                <w:rFonts w:ascii="Calibri" w:eastAsiaTheme="minorHAnsi" w:hAnsi="Calibri" w:cs="Calibri"/>
                <w:color w:val="000000"/>
              </w:rPr>
              <w:t xml:space="preserve">. </w:t>
            </w:r>
            <w:proofErr w:type="spellStart"/>
            <w:r w:rsidRPr="00D65E60">
              <w:rPr>
                <w:rFonts w:ascii="Calibri" w:eastAsiaTheme="minorHAnsi" w:hAnsi="Calibri" w:cs="Calibri"/>
                <w:color w:val="000000"/>
              </w:rPr>
              <w:t>Semi</w:t>
            </w:r>
            <w:proofErr w:type="spellEnd"/>
            <w:r w:rsidRPr="00D65E60">
              <w:rPr>
                <w:rFonts w:ascii="Calibri" w:eastAsiaTheme="minorHAnsi" w:hAnsi="Calibri" w:cs="Calibri"/>
                <w:color w:val="000000"/>
              </w:rPr>
              <w:t>.</w:t>
            </w: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29</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3%</w:t>
            </w: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253.983.715</w:t>
            </w: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22,10%</w:t>
            </w:r>
          </w:p>
        </w:tc>
      </w:tr>
      <w:tr w:rsidR="00D65E60" w:rsidRPr="00D65E60" w:rsidTr="00D65E60">
        <w:trPr>
          <w:trHeight w:val="164"/>
        </w:trPr>
        <w:tc>
          <w:tcPr>
            <w:tcW w:w="1023" w:type="dxa"/>
            <w:tcBorders>
              <w:top w:val="nil"/>
              <w:left w:val="single" w:sz="12" w:space="0" w:color="auto"/>
              <w:bottom w:val="single" w:sz="12" w:space="0" w:color="auto"/>
              <w:right w:val="nil"/>
            </w:tcBorders>
          </w:tcPr>
          <w:p w:rsidR="00D65E60" w:rsidRPr="00D65E60" w:rsidRDefault="00D65E60" w:rsidP="00D65E60">
            <w:pPr>
              <w:autoSpaceDE w:val="0"/>
              <w:autoSpaceDN w:val="0"/>
              <w:adjustRightInd w:val="0"/>
              <w:spacing w:after="0" w:line="240" w:lineRule="auto"/>
              <w:jc w:val="center"/>
              <w:rPr>
                <w:rFonts w:ascii="Calibri" w:eastAsiaTheme="minorHAnsi" w:hAnsi="Calibri" w:cs="Calibri"/>
                <w:color w:val="000000"/>
              </w:rPr>
            </w:pPr>
            <w:proofErr w:type="spellStart"/>
            <w:r w:rsidRPr="00D65E60">
              <w:rPr>
                <w:rFonts w:ascii="Calibri" w:eastAsiaTheme="minorHAnsi" w:hAnsi="Calibri" w:cs="Calibri"/>
                <w:color w:val="000000"/>
              </w:rPr>
              <w:t>Cam</w:t>
            </w:r>
            <w:proofErr w:type="spellEnd"/>
            <w:r w:rsidRPr="00D65E60">
              <w:rPr>
                <w:rFonts w:ascii="Calibri" w:eastAsiaTheme="minorHAnsi" w:hAnsi="Calibri" w:cs="Calibri"/>
                <w:color w:val="000000"/>
              </w:rPr>
              <w:t>. Pes.</w:t>
            </w:r>
          </w:p>
        </w:tc>
        <w:tc>
          <w:tcPr>
            <w:tcW w:w="708" w:type="dxa"/>
            <w:tcBorders>
              <w:top w:val="nil"/>
              <w:left w:val="nil"/>
              <w:bottom w:val="single" w:sz="12" w:space="0" w:color="auto"/>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102</w:t>
            </w:r>
          </w:p>
        </w:tc>
        <w:tc>
          <w:tcPr>
            <w:tcW w:w="709" w:type="dxa"/>
            <w:tcBorders>
              <w:top w:val="nil"/>
              <w:left w:val="nil"/>
              <w:bottom w:val="single" w:sz="12" w:space="0" w:color="auto"/>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9%</w:t>
            </w:r>
          </w:p>
        </w:tc>
        <w:tc>
          <w:tcPr>
            <w:tcW w:w="1559" w:type="dxa"/>
            <w:tcBorders>
              <w:top w:val="nil"/>
              <w:left w:val="nil"/>
              <w:bottom w:val="single" w:sz="12" w:space="0" w:color="auto"/>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886.956.347</w:t>
            </w:r>
          </w:p>
        </w:tc>
        <w:tc>
          <w:tcPr>
            <w:tcW w:w="1134" w:type="dxa"/>
            <w:tcBorders>
              <w:top w:val="nil"/>
              <w:left w:val="single" w:sz="12" w:space="0" w:color="auto"/>
              <w:bottom w:val="single" w:sz="6" w:space="0" w:color="auto"/>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23,88%</w:t>
            </w:r>
          </w:p>
        </w:tc>
      </w:tr>
      <w:tr w:rsidR="00D65E60" w:rsidRPr="00D65E60" w:rsidTr="00D65E60">
        <w:trPr>
          <w:trHeight w:val="132"/>
        </w:trPr>
        <w:tc>
          <w:tcPr>
            <w:tcW w:w="1023"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p>
        </w:tc>
      </w:tr>
      <w:tr w:rsidR="00D65E60" w:rsidRPr="00D65E60" w:rsidTr="00D65E60">
        <w:trPr>
          <w:trHeight w:val="140"/>
        </w:trPr>
        <w:tc>
          <w:tcPr>
            <w:tcW w:w="1023"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p>
        </w:tc>
      </w:tr>
      <w:tr w:rsidR="00D65E60" w:rsidRPr="00D65E60" w:rsidTr="00D65E60">
        <w:trPr>
          <w:trHeight w:val="132"/>
        </w:trPr>
        <w:tc>
          <w:tcPr>
            <w:tcW w:w="1023" w:type="dxa"/>
            <w:tcBorders>
              <w:top w:val="single" w:sz="12" w:space="0" w:color="auto"/>
              <w:left w:val="single" w:sz="12" w:space="0" w:color="auto"/>
              <w:bottom w:val="nil"/>
              <w:right w:val="nil"/>
            </w:tcBorders>
          </w:tcPr>
          <w:p w:rsidR="00D65E60" w:rsidRPr="00D65E60" w:rsidRDefault="00D65E60" w:rsidP="00D65E60">
            <w:pPr>
              <w:autoSpaceDE w:val="0"/>
              <w:autoSpaceDN w:val="0"/>
              <w:adjustRightInd w:val="0"/>
              <w:spacing w:after="0" w:line="240" w:lineRule="auto"/>
              <w:rPr>
                <w:rFonts w:ascii="Arial" w:eastAsiaTheme="minorHAnsi" w:hAnsi="Arial" w:cs="Arial"/>
                <w:b/>
                <w:bCs/>
                <w:color w:val="000000"/>
                <w:sz w:val="20"/>
                <w:szCs w:val="20"/>
              </w:rPr>
            </w:pPr>
            <w:r w:rsidRPr="00D65E60">
              <w:rPr>
                <w:rFonts w:ascii="Arial" w:eastAsiaTheme="minorHAnsi" w:hAnsi="Arial" w:cs="Arial"/>
                <w:b/>
                <w:bCs/>
                <w:color w:val="000000"/>
                <w:sz w:val="20"/>
                <w:szCs w:val="20"/>
              </w:rPr>
              <w:t>Año: 2007</w:t>
            </w:r>
          </w:p>
        </w:tc>
        <w:tc>
          <w:tcPr>
            <w:tcW w:w="708" w:type="dxa"/>
            <w:tcBorders>
              <w:top w:val="single" w:sz="12" w:space="0" w:color="auto"/>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9" w:type="dxa"/>
            <w:tcBorders>
              <w:top w:val="single" w:sz="12" w:space="0" w:color="auto"/>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559" w:type="dxa"/>
            <w:tcBorders>
              <w:top w:val="single" w:sz="12" w:space="0" w:color="auto"/>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p>
        </w:tc>
      </w:tr>
      <w:tr w:rsidR="00D65E60" w:rsidRPr="00D65E60" w:rsidTr="00D65E60">
        <w:trPr>
          <w:trHeight w:val="132"/>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p>
        </w:tc>
      </w:tr>
      <w:tr w:rsidR="00D65E60" w:rsidRPr="00D65E60" w:rsidTr="00D65E60">
        <w:trPr>
          <w:trHeight w:val="132"/>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rPr>
                <w:rFonts w:ascii="Arial" w:eastAsiaTheme="minorHAnsi" w:hAnsi="Arial" w:cs="Arial"/>
                <w:color w:val="000000"/>
                <w:sz w:val="20"/>
                <w:szCs w:val="20"/>
              </w:rPr>
            </w:pPr>
            <w:r w:rsidRPr="00D65E60">
              <w:rPr>
                <w:rFonts w:ascii="Arial" w:eastAsiaTheme="minorHAnsi" w:hAnsi="Arial" w:cs="Arial"/>
                <w:color w:val="000000"/>
                <w:sz w:val="20"/>
                <w:szCs w:val="20"/>
              </w:rPr>
              <w:t>Red Vial (</w:t>
            </w:r>
            <w:proofErr w:type="spellStart"/>
            <w:r w:rsidRPr="00D65E60">
              <w:rPr>
                <w:rFonts w:ascii="Arial" w:eastAsiaTheme="minorHAnsi" w:hAnsi="Arial" w:cs="Arial"/>
                <w:color w:val="000000"/>
                <w:sz w:val="20"/>
                <w:szCs w:val="20"/>
              </w:rPr>
              <w:t>mt</w:t>
            </w:r>
            <w:proofErr w:type="spellEnd"/>
            <w:r w:rsidRPr="00D65E60">
              <w:rPr>
                <w:rFonts w:ascii="Arial" w:eastAsiaTheme="minorHAnsi" w:hAnsi="Arial" w:cs="Arial"/>
                <w:color w:val="000000"/>
                <w:sz w:val="20"/>
                <w:szCs w:val="20"/>
              </w:rPr>
              <w:t>)</w:t>
            </w: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r w:rsidRPr="00D65E60">
              <w:rPr>
                <w:rFonts w:ascii="Arial" w:eastAsiaTheme="minorHAnsi" w:hAnsi="Arial" w:cs="Arial"/>
                <w:color w:val="000000"/>
                <w:sz w:val="20"/>
                <w:szCs w:val="20"/>
              </w:rPr>
              <w:t>8.696.592</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p>
        </w:tc>
      </w:tr>
      <w:tr w:rsidR="00D65E60" w:rsidRPr="00D65E60" w:rsidTr="00D65E60">
        <w:trPr>
          <w:trHeight w:val="132"/>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b/>
                <w:bCs/>
                <w:color w:val="000000"/>
                <w:sz w:val="20"/>
                <w:szCs w:val="20"/>
              </w:rPr>
            </w:pPr>
            <w:r w:rsidRPr="00D65E60">
              <w:rPr>
                <w:rFonts w:ascii="Arial" w:eastAsiaTheme="minorHAnsi" w:hAnsi="Arial" w:cs="Arial"/>
                <w:b/>
                <w:bCs/>
                <w:color w:val="000000"/>
                <w:sz w:val="20"/>
                <w:szCs w:val="20"/>
              </w:rPr>
              <w:t>TPDA</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b/>
                <w:bCs/>
                <w:color w:val="000000"/>
                <w:sz w:val="20"/>
                <w:szCs w:val="20"/>
              </w:rPr>
            </w:pPr>
            <w:r w:rsidRPr="00D65E60">
              <w:rPr>
                <w:rFonts w:ascii="Arial" w:eastAsiaTheme="minorHAnsi" w:hAnsi="Arial" w:cs="Arial"/>
                <w:b/>
                <w:bCs/>
                <w:color w:val="000000"/>
                <w:sz w:val="20"/>
                <w:szCs w:val="20"/>
              </w:rPr>
              <w:t>%</w:t>
            </w: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b/>
                <w:bCs/>
                <w:color w:val="000000"/>
                <w:sz w:val="20"/>
                <w:szCs w:val="20"/>
              </w:rPr>
            </w:pPr>
            <w:proofErr w:type="spellStart"/>
            <w:r w:rsidRPr="00D65E60">
              <w:rPr>
                <w:rFonts w:ascii="Arial" w:eastAsiaTheme="minorHAnsi" w:hAnsi="Arial" w:cs="Arial"/>
                <w:b/>
                <w:bCs/>
                <w:color w:val="000000"/>
                <w:sz w:val="20"/>
                <w:szCs w:val="20"/>
              </w:rPr>
              <w:t>Veh-mt</w:t>
            </w:r>
            <w:proofErr w:type="spellEnd"/>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p>
        </w:tc>
      </w:tr>
      <w:tr w:rsidR="00D65E60" w:rsidRPr="00D65E60" w:rsidTr="00D65E60">
        <w:trPr>
          <w:trHeight w:val="132"/>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Total</w:t>
            </w: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1032</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100%</w:t>
            </w: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8.977.977.950</w:t>
            </w: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6,21%</w:t>
            </w:r>
          </w:p>
        </w:tc>
      </w:tr>
      <w:tr w:rsidR="00D65E60" w:rsidRPr="00D65E60" w:rsidTr="00D65E60">
        <w:trPr>
          <w:trHeight w:val="156"/>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center"/>
              <w:rPr>
                <w:rFonts w:ascii="Calibri" w:eastAsiaTheme="minorHAnsi" w:hAnsi="Calibri" w:cs="Calibri"/>
                <w:color w:val="000000"/>
              </w:rPr>
            </w:pPr>
            <w:r w:rsidRPr="00D65E60">
              <w:rPr>
                <w:rFonts w:ascii="Calibri" w:eastAsiaTheme="minorHAnsi" w:hAnsi="Calibri" w:cs="Calibri"/>
                <w:color w:val="000000"/>
              </w:rPr>
              <w:t>Autos</w:t>
            </w: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762</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74%</w:t>
            </w: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6.625.453.211</w:t>
            </w: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5,85%</w:t>
            </w:r>
          </w:p>
        </w:tc>
      </w:tr>
      <w:tr w:rsidR="00D65E60" w:rsidRPr="00D65E60" w:rsidTr="00D65E60">
        <w:trPr>
          <w:trHeight w:val="156"/>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center"/>
              <w:rPr>
                <w:rFonts w:ascii="Calibri" w:eastAsiaTheme="minorHAnsi" w:hAnsi="Calibri" w:cs="Calibri"/>
                <w:color w:val="000000"/>
              </w:rPr>
            </w:pPr>
            <w:proofErr w:type="spellStart"/>
            <w:r w:rsidRPr="00D65E60">
              <w:rPr>
                <w:rFonts w:ascii="Calibri" w:eastAsiaTheme="minorHAnsi" w:hAnsi="Calibri" w:cs="Calibri"/>
                <w:color w:val="000000"/>
              </w:rPr>
              <w:t>Omnibus</w:t>
            </w:r>
            <w:proofErr w:type="spellEnd"/>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45</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4%</w:t>
            </w: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393.055.369</w:t>
            </w: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11,62%</w:t>
            </w:r>
          </w:p>
        </w:tc>
      </w:tr>
      <w:tr w:rsidR="00D65E60" w:rsidRPr="00D65E60" w:rsidTr="00D65E60">
        <w:trPr>
          <w:trHeight w:val="156"/>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center"/>
              <w:rPr>
                <w:rFonts w:ascii="Calibri" w:eastAsiaTheme="minorHAnsi" w:hAnsi="Calibri" w:cs="Calibri"/>
                <w:color w:val="000000"/>
              </w:rPr>
            </w:pPr>
            <w:proofErr w:type="spellStart"/>
            <w:r w:rsidRPr="00D65E60">
              <w:rPr>
                <w:rFonts w:ascii="Calibri" w:eastAsiaTheme="minorHAnsi" w:hAnsi="Calibri" w:cs="Calibri"/>
                <w:color w:val="000000"/>
              </w:rPr>
              <w:t>Cam</w:t>
            </w:r>
            <w:proofErr w:type="spellEnd"/>
            <w:r w:rsidRPr="00D65E60">
              <w:rPr>
                <w:rFonts w:ascii="Calibri" w:eastAsiaTheme="minorHAnsi" w:hAnsi="Calibri" w:cs="Calibri"/>
                <w:color w:val="000000"/>
              </w:rPr>
              <w:t xml:space="preserve">. </w:t>
            </w:r>
            <w:proofErr w:type="spellStart"/>
            <w:r w:rsidRPr="00D65E60">
              <w:rPr>
                <w:rFonts w:ascii="Calibri" w:eastAsiaTheme="minorHAnsi" w:hAnsi="Calibri" w:cs="Calibri"/>
                <w:color w:val="000000"/>
              </w:rPr>
              <w:t>Med</w:t>
            </w:r>
            <w:proofErr w:type="spellEnd"/>
            <w:r w:rsidRPr="00D65E60">
              <w:rPr>
                <w:rFonts w:ascii="Calibri" w:eastAsiaTheme="minorHAnsi" w:hAnsi="Calibri" w:cs="Calibri"/>
                <w:color w:val="000000"/>
              </w:rPr>
              <w:t>.</w:t>
            </w: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119</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12%</w:t>
            </w: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1.035.487.717</w:t>
            </w: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5,81%</w:t>
            </w:r>
          </w:p>
        </w:tc>
      </w:tr>
      <w:tr w:rsidR="00D65E60" w:rsidRPr="00D65E60" w:rsidTr="00D65E60">
        <w:trPr>
          <w:trHeight w:val="156"/>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center"/>
              <w:rPr>
                <w:rFonts w:ascii="Calibri" w:eastAsiaTheme="minorHAnsi" w:hAnsi="Calibri" w:cs="Calibri"/>
                <w:color w:val="000000"/>
              </w:rPr>
            </w:pPr>
            <w:proofErr w:type="spellStart"/>
            <w:r w:rsidRPr="00D65E60">
              <w:rPr>
                <w:rFonts w:ascii="Calibri" w:eastAsiaTheme="minorHAnsi" w:hAnsi="Calibri" w:cs="Calibri"/>
                <w:color w:val="000000"/>
              </w:rPr>
              <w:t>Cam</w:t>
            </w:r>
            <w:proofErr w:type="spellEnd"/>
            <w:r w:rsidRPr="00D65E60">
              <w:rPr>
                <w:rFonts w:ascii="Calibri" w:eastAsiaTheme="minorHAnsi" w:hAnsi="Calibri" w:cs="Calibri"/>
                <w:color w:val="000000"/>
              </w:rPr>
              <w:t xml:space="preserve">. </w:t>
            </w:r>
            <w:proofErr w:type="spellStart"/>
            <w:r w:rsidRPr="00D65E60">
              <w:rPr>
                <w:rFonts w:ascii="Calibri" w:eastAsiaTheme="minorHAnsi" w:hAnsi="Calibri" w:cs="Calibri"/>
                <w:color w:val="000000"/>
              </w:rPr>
              <w:t>Semi</w:t>
            </w:r>
            <w:proofErr w:type="spellEnd"/>
            <w:r w:rsidRPr="00D65E60">
              <w:rPr>
                <w:rFonts w:ascii="Calibri" w:eastAsiaTheme="minorHAnsi" w:hAnsi="Calibri" w:cs="Calibri"/>
                <w:color w:val="000000"/>
              </w:rPr>
              <w:t>.</w:t>
            </w: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24</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2%</w:t>
            </w: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208.016.159</w:t>
            </w: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2,38%</w:t>
            </w:r>
          </w:p>
        </w:tc>
      </w:tr>
      <w:tr w:rsidR="00D65E60" w:rsidRPr="00D65E60" w:rsidTr="00D65E60">
        <w:trPr>
          <w:trHeight w:val="164"/>
        </w:trPr>
        <w:tc>
          <w:tcPr>
            <w:tcW w:w="1023" w:type="dxa"/>
            <w:tcBorders>
              <w:top w:val="nil"/>
              <w:left w:val="single" w:sz="12" w:space="0" w:color="auto"/>
              <w:bottom w:val="single" w:sz="12" w:space="0" w:color="auto"/>
              <w:right w:val="nil"/>
            </w:tcBorders>
          </w:tcPr>
          <w:p w:rsidR="00D65E60" w:rsidRPr="00D65E60" w:rsidRDefault="00D65E60" w:rsidP="00D65E60">
            <w:pPr>
              <w:autoSpaceDE w:val="0"/>
              <w:autoSpaceDN w:val="0"/>
              <w:adjustRightInd w:val="0"/>
              <w:spacing w:after="0" w:line="240" w:lineRule="auto"/>
              <w:jc w:val="center"/>
              <w:rPr>
                <w:rFonts w:ascii="Calibri" w:eastAsiaTheme="minorHAnsi" w:hAnsi="Calibri" w:cs="Calibri"/>
                <w:color w:val="000000"/>
              </w:rPr>
            </w:pPr>
            <w:proofErr w:type="spellStart"/>
            <w:r w:rsidRPr="00D65E60">
              <w:rPr>
                <w:rFonts w:ascii="Calibri" w:eastAsiaTheme="minorHAnsi" w:hAnsi="Calibri" w:cs="Calibri"/>
                <w:color w:val="000000"/>
              </w:rPr>
              <w:t>Cam</w:t>
            </w:r>
            <w:proofErr w:type="spellEnd"/>
            <w:r w:rsidRPr="00D65E60">
              <w:rPr>
                <w:rFonts w:ascii="Calibri" w:eastAsiaTheme="minorHAnsi" w:hAnsi="Calibri" w:cs="Calibri"/>
                <w:color w:val="000000"/>
              </w:rPr>
              <w:t>. Pes.</w:t>
            </w:r>
          </w:p>
        </w:tc>
        <w:tc>
          <w:tcPr>
            <w:tcW w:w="708" w:type="dxa"/>
            <w:tcBorders>
              <w:top w:val="nil"/>
              <w:left w:val="nil"/>
              <w:bottom w:val="single" w:sz="12" w:space="0" w:color="auto"/>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82</w:t>
            </w:r>
          </w:p>
        </w:tc>
        <w:tc>
          <w:tcPr>
            <w:tcW w:w="709" w:type="dxa"/>
            <w:tcBorders>
              <w:top w:val="nil"/>
              <w:left w:val="nil"/>
              <w:bottom w:val="single" w:sz="12" w:space="0" w:color="auto"/>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8%</w:t>
            </w:r>
          </w:p>
        </w:tc>
        <w:tc>
          <w:tcPr>
            <w:tcW w:w="1559" w:type="dxa"/>
            <w:tcBorders>
              <w:top w:val="nil"/>
              <w:left w:val="nil"/>
              <w:bottom w:val="single" w:sz="12" w:space="0" w:color="auto"/>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715.965.494</w:t>
            </w:r>
          </w:p>
        </w:tc>
        <w:tc>
          <w:tcPr>
            <w:tcW w:w="1134" w:type="dxa"/>
            <w:tcBorders>
              <w:top w:val="nil"/>
              <w:left w:val="single" w:sz="12" w:space="0" w:color="auto"/>
              <w:bottom w:val="single" w:sz="6" w:space="0" w:color="auto"/>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8,47%</w:t>
            </w:r>
          </w:p>
        </w:tc>
      </w:tr>
      <w:tr w:rsidR="00D65E60" w:rsidRPr="00D65E60" w:rsidTr="00D65E60">
        <w:trPr>
          <w:trHeight w:val="132"/>
        </w:trPr>
        <w:tc>
          <w:tcPr>
            <w:tcW w:w="1023"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p>
        </w:tc>
      </w:tr>
      <w:tr w:rsidR="00D65E60" w:rsidRPr="00D65E60" w:rsidTr="00D65E60">
        <w:trPr>
          <w:trHeight w:val="140"/>
        </w:trPr>
        <w:tc>
          <w:tcPr>
            <w:tcW w:w="1023"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p>
        </w:tc>
      </w:tr>
      <w:tr w:rsidR="00D65E60" w:rsidRPr="00D65E60" w:rsidTr="00D65E60">
        <w:trPr>
          <w:trHeight w:val="132"/>
        </w:trPr>
        <w:tc>
          <w:tcPr>
            <w:tcW w:w="1023" w:type="dxa"/>
            <w:tcBorders>
              <w:top w:val="single" w:sz="12" w:space="0" w:color="auto"/>
              <w:left w:val="single" w:sz="12" w:space="0" w:color="auto"/>
              <w:bottom w:val="nil"/>
              <w:right w:val="nil"/>
            </w:tcBorders>
          </w:tcPr>
          <w:p w:rsidR="00D65E60" w:rsidRPr="00D65E60" w:rsidRDefault="00D65E60" w:rsidP="00D65E60">
            <w:pPr>
              <w:autoSpaceDE w:val="0"/>
              <w:autoSpaceDN w:val="0"/>
              <w:adjustRightInd w:val="0"/>
              <w:spacing w:after="0" w:line="240" w:lineRule="auto"/>
              <w:rPr>
                <w:rFonts w:ascii="Arial" w:eastAsiaTheme="minorHAnsi" w:hAnsi="Arial" w:cs="Arial"/>
                <w:b/>
                <w:bCs/>
                <w:color w:val="000000"/>
                <w:sz w:val="20"/>
                <w:szCs w:val="20"/>
              </w:rPr>
            </w:pPr>
            <w:r w:rsidRPr="00D65E60">
              <w:rPr>
                <w:rFonts w:ascii="Arial" w:eastAsiaTheme="minorHAnsi" w:hAnsi="Arial" w:cs="Arial"/>
                <w:b/>
                <w:bCs/>
                <w:color w:val="000000"/>
                <w:sz w:val="20"/>
                <w:szCs w:val="20"/>
              </w:rPr>
              <w:t>Año: 2006</w:t>
            </w:r>
          </w:p>
        </w:tc>
        <w:tc>
          <w:tcPr>
            <w:tcW w:w="708" w:type="dxa"/>
            <w:tcBorders>
              <w:top w:val="single" w:sz="12" w:space="0" w:color="auto"/>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9" w:type="dxa"/>
            <w:tcBorders>
              <w:top w:val="single" w:sz="12" w:space="0" w:color="auto"/>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559" w:type="dxa"/>
            <w:tcBorders>
              <w:top w:val="single" w:sz="12" w:space="0" w:color="auto"/>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p>
        </w:tc>
      </w:tr>
      <w:tr w:rsidR="00D65E60" w:rsidRPr="00D65E60" w:rsidTr="00D65E60">
        <w:trPr>
          <w:trHeight w:val="132"/>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p>
        </w:tc>
      </w:tr>
      <w:tr w:rsidR="00D65E60" w:rsidRPr="00D65E60" w:rsidTr="00D65E60">
        <w:trPr>
          <w:trHeight w:val="132"/>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rPr>
                <w:rFonts w:ascii="Arial" w:eastAsiaTheme="minorHAnsi" w:hAnsi="Arial" w:cs="Arial"/>
                <w:color w:val="000000"/>
                <w:sz w:val="20"/>
                <w:szCs w:val="20"/>
              </w:rPr>
            </w:pPr>
            <w:r w:rsidRPr="00D65E60">
              <w:rPr>
                <w:rFonts w:ascii="Arial" w:eastAsiaTheme="minorHAnsi" w:hAnsi="Arial" w:cs="Arial"/>
                <w:color w:val="000000"/>
                <w:sz w:val="20"/>
                <w:szCs w:val="20"/>
              </w:rPr>
              <w:t>Red Vial (</w:t>
            </w:r>
            <w:proofErr w:type="spellStart"/>
            <w:r w:rsidRPr="00D65E60">
              <w:rPr>
                <w:rFonts w:ascii="Arial" w:eastAsiaTheme="minorHAnsi" w:hAnsi="Arial" w:cs="Arial"/>
                <w:color w:val="000000"/>
                <w:sz w:val="20"/>
                <w:szCs w:val="20"/>
              </w:rPr>
              <w:t>mt</w:t>
            </w:r>
            <w:proofErr w:type="spellEnd"/>
            <w:r w:rsidRPr="00D65E60">
              <w:rPr>
                <w:rFonts w:ascii="Arial" w:eastAsiaTheme="minorHAnsi" w:hAnsi="Arial" w:cs="Arial"/>
                <w:color w:val="000000"/>
                <w:sz w:val="20"/>
                <w:szCs w:val="20"/>
              </w:rPr>
              <w:t>)</w:t>
            </w: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r w:rsidRPr="00D65E60">
              <w:rPr>
                <w:rFonts w:ascii="Arial" w:eastAsiaTheme="minorHAnsi" w:hAnsi="Arial" w:cs="Arial"/>
                <w:color w:val="000000"/>
                <w:sz w:val="20"/>
                <w:szCs w:val="20"/>
              </w:rPr>
              <w:t>8.696.592</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p>
        </w:tc>
      </w:tr>
      <w:tr w:rsidR="00D65E60" w:rsidRPr="00D65E60" w:rsidTr="00D65E60">
        <w:trPr>
          <w:trHeight w:val="132"/>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b/>
                <w:bCs/>
                <w:color w:val="000000"/>
                <w:sz w:val="20"/>
                <w:szCs w:val="20"/>
              </w:rPr>
            </w:pPr>
            <w:r w:rsidRPr="00D65E60">
              <w:rPr>
                <w:rFonts w:ascii="Arial" w:eastAsiaTheme="minorHAnsi" w:hAnsi="Arial" w:cs="Arial"/>
                <w:b/>
                <w:bCs/>
                <w:color w:val="000000"/>
                <w:sz w:val="20"/>
                <w:szCs w:val="20"/>
              </w:rPr>
              <w:t>TPDA</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b/>
                <w:bCs/>
                <w:color w:val="000000"/>
                <w:sz w:val="20"/>
                <w:szCs w:val="20"/>
              </w:rPr>
            </w:pPr>
            <w:r w:rsidRPr="00D65E60">
              <w:rPr>
                <w:rFonts w:ascii="Arial" w:eastAsiaTheme="minorHAnsi" w:hAnsi="Arial" w:cs="Arial"/>
                <w:b/>
                <w:bCs/>
                <w:color w:val="000000"/>
                <w:sz w:val="20"/>
                <w:szCs w:val="20"/>
              </w:rPr>
              <w:t>%</w:t>
            </w: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b/>
                <w:bCs/>
                <w:color w:val="000000"/>
                <w:sz w:val="20"/>
                <w:szCs w:val="20"/>
              </w:rPr>
            </w:pPr>
            <w:proofErr w:type="spellStart"/>
            <w:r w:rsidRPr="00D65E60">
              <w:rPr>
                <w:rFonts w:ascii="Arial" w:eastAsiaTheme="minorHAnsi" w:hAnsi="Arial" w:cs="Arial"/>
                <w:b/>
                <w:bCs/>
                <w:color w:val="000000"/>
                <w:sz w:val="20"/>
                <w:szCs w:val="20"/>
              </w:rPr>
              <w:t>Veh-mt</w:t>
            </w:r>
            <w:proofErr w:type="spellEnd"/>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p>
        </w:tc>
      </w:tr>
      <w:tr w:rsidR="00D65E60" w:rsidRPr="00D65E60" w:rsidTr="00D65E60">
        <w:trPr>
          <w:trHeight w:val="132"/>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Total</w:t>
            </w: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972</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100%</w:t>
            </w: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8.453.082.666</w:t>
            </w: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1,65%</w:t>
            </w:r>
          </w:p>
        </w:tc>
      </w:tr>
      <w:tr w:rsidR="00D65E60" w:rsidRPr="00D65E60" w:rsidTr="00D65E60">
        <w:trPr>
          <w:trHeight w:val="156"/>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center"/>
              <w:rPr>
                <w:rFonts w:ascii="Calibri" w:eastAsiaTheme="minorHAnsi" w:hAnsi="Calibri" w:cs="Calibri"/>
                <w:color w:val="000000"/>
              </w:rPr>
            </w:pPr>
            <w:r w:rsidRPr="00D65E60">
              <w:rPr>
                <w:rFonts w:ascii="Calibri" w:eastAsiaTheme="minorHAnsi" w:hAnsi="Calibri" w:cs="Calibri"/>
                <w:color w:val="000000"/>
              </w:rPr>
              <w:t>Autos</w:t>
            </w: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720</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74%</w:t>
            </w: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6.259.091.360</w:t>
            </w: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-5,88%</w:t>
            </w:r>
          </w:p>
        </w:tc>
      </w:tr>
      <w:tr w:rsidR="00D65E60" w:rsidRPr="00D65E60" w:rsidTr="00D65E60">
        <w:trPr>
          <w:trHeight w:val="156"/>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center"/>
              <w:rPr>
                <w:rFonts w:ascii="Calibri" w:eastAsiaTheme="minorHAnsi" w:hAnsi="Calibri" w:cs="Calibri"/>
                <w:color w:val="000000"/>
              </w:rPr>
            </w:pPr>
            <w:proofErr w:type="spellStart"/>
            <w:r w:rsidRPr="00D65E60">
              <w:rPr>
                <w:rFonts w:ascii="Calibri" w:eastAsiaTheme="minorHAnsi" w:hAnsi="Calibri" w:cs="Calibri"/>
                <w:color w:val="000000"/>
              </w:rPr>
              <w:t>Omnibus</w:t>
            </w:r>
            <w:proofErr w:type="spellEnd"/>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40</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4%</w:t>
            </w: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352.136.180</w:t>
            </w: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2,10%</w:t>
            </w:r>
          </w:p>
        </w:tc>
      </w:tr>
      <w:tr w:rsidR="00D65E60" w:rsidRPr="00D65E60" w:rsidTr="00D65E60">
        <w:trPr>
          <w:trHeight w:val="156"/>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center"/>
              <w:rPr>
                <w:rFonts w:ascii="Calibri" w:eastAsiaTheme="minorHAnsi" w:hAnsi="Calibri" w:cs="Calibri"/>
                <w:color w:val="000000"/>
              </w:rPr>
            </w:pPr>
            <w:proofErr w:type="spellStart"/>
            <w:r w:rsidRPr="00D65E60">
              <w:rPr>
                <w:rFonts w:ascii="Calibri" w:eastAsiaTheme="minorHAnsi" w:hAnsi="Calibri" w:cs="Calibri"/>
                <w:color w:val="000000"/>
              </w:rPr>
              <w:t>Cam</w:t>
            </w:r>
            <w:proofErr w:type="spellEnd"/>
            <w:r w:rsidRPr="00D65E60">
              <w:rPr>
                <w:rFonts w:ascii="Calibri" w:eastAsiaTheme="minorHAnsi" w:hAnsi="Calibri" w:cs="Calibri"/>
                <w:color w:val="000000"/>
              </w:rPr>
              <w:t xml:space="preserve">. </w:t>
            </w:r>
            <w:proofErr w:type="spellStart"/>
            <w:r w:rsidRPr="00D65E60">
              <w:rPr>
                <w:rFonts w:ascii="Calibri" w:eastAsiaTheme="minorHAnsi" w:hAnsi="Calibri" w:cs="Calibri"/>
                <w:color w:val="000000"/>
              </w:rPr>
              <w:t>Med</w:t>
            </w:r>
            <w:proofErr w:type="spellEnd"/>
            <w:r w:rsidRPr="00D65E60">
              <w:rPr>
                <w:rFonts w:ascii="Calibri" w:eastAsiaTheme="minorHAnsi" w:hAnsi="Calibri" w:cs="Calibri"/>
                <w:color w:val="000000"/>
              </w:rPr>
              <w:t>.</w:t>
            </w: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113</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12%</w:t>
            </w: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978.645.941</w:t>
            </w: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112,15%</w:t>
            </w:r>
          </w:p>
        </w:tc>
      </w:tr>
      <w:tr w:rsidR="00D65E60" w:rsidRPr="00D65E60" w:rsidTr="00D65E60">
        <w:trPr>
          <w:trHeight w:val="156"/>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center"/>
              <w:rPr>
                <w:rFonts w:ascii="Calibri" w:eastAsiaTheme="minorHAnsi" w:hAnsi="Calibri" w:cs="Calibri"/>
                <w:color w:val="000000"/>
              </w:rPr>
            </w:pPr>
            <w:proofErr w:type="spellStart"/>
            <w:r w:rsidRPr="00D65E60">
              <w:rPr>
                <w:rFonts w:ascii="Calibri" w:eastAsiaTheme="minorHAnsi" w:hAnsi="Calibri" w:cs="Calibri"/>
                <w:color w:val="000000"/>
              </w:rPr>
              <w:t>Cam</w:t>
            </w:r>
            <w:proofErr w:type="spellEnd"/>
            <w:r w:rsidRPr="00D65E60">
              <w:rPr>
                <w:rFonts w:ascii="Calibri" w:eastAsiaTheme="minorHAnsi" w:hAnsi="Calibri" w:cs="Calibri"/>
                <w:color w:val="000000"/>
              </w:rPr>
              <w:t xml:space="preserve">. </w:t>
            </w:r>
            <w:proofErr w:type="spellStart"/>
            <w:r w:rsidRPr="00D65E60">
              <w:rPr>
                <w:rFonts w:ascii="Calibri" w:eastAsiaTheme="minorHAnsi" w:hAnsi="Calibri" w:cs="Calibri"/>
                <w:color w:val="000000"/>
              </w:rPr>
              <w:t>Semi</w:t>
            </w:r>
            <w:proofErr w:type="spellEnd"/>
            <w:r w:rsidRPr="00D65E60">
              <w:rPr>
                <w:rFonts w:ascii="Calibri" w:eastAsiaTheme="minorHAnsi" w:hAnsi="Calibri" w:cs="Calibri"/>
                <w:color w:val="000000"/>
              </w:rPr>
              <w:t>.</w:t>
            </w: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23</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2%</w:t>
            </w: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203.172.247</w:t>
            </w: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2,40%</w:t>
            </w:r>
          </w:p>
        </w:tc>
      </w:tr>
      <w:tr w:rsidR="00D65E60" w:rsidRPr="00D65E60" w:rsidTr="00D65E60">
        <w:trPr>
          <w:trHeight w:val="164"/>
        </w:trPr>
        <w:tc>
          <w:tcPr>
            <w:tcW w:w="1023" w:type="dxa"/>
            <w:tcBorders>
              <w:top w:val="nil"/>
              <w:left w:val="single" w:sz="12" w:space="0" w:color="auto"/>
              <w:bottom w:val="single" w:sz="12" w:space="0" w:color="auto"/>
              <w:right w:val="nil"/>
            </w:tcBorders>
          </w:tcPr>
          <w:p w:rsidR="00D65E60" w:rsidRPr="00D65E60" w:rsidRDefault="00D65E60" w:rsidP="00D65E60">
            <w:pPr>
              <w:autoSpaceDE w:val="0"/>
              <w:autoSpaceDN w:val="0"/>
              <w:adjustRightInd w:val="0"/>
              <w:spacing w:after="0" w:line="240" w:lineRule="auto"/>
              <w:jc w:val="center"/>
              <w:rPr>
                <w:rFonts w:ascii="Calibri" w:eastAsiaTheme="minorHAnsi" w:hAnsi="Calibri" w:cs="Calibri"/>
                <w:color w:val="000000"/>
              </w:rPr>
            </w:pPr>
            <w:proofErr w:type="spellStart"/>
            <w:r w:rsidRPr="00D65E60">
              <w:rPr>
                <w:rFonts w:ascii="Calibri" w:eastAsiaTheme="minorHAnsi" w:hAnsi="Calibri" w:cs="Calibri"/>
                <w:color w:val="000000"/>
              </w:rPr>
              <w:t>Cam</w:t>
            </w:r>
            <w:proofErr w:type="spellEnd"/>
            <w:r w:rsidRPr="00D65E60">
              <w:rPr>
                <w:rFonts w:ascii="Calibri" w:eastAsiaTheme="minorHAnsi" w:hAnsi="Calibri" w:cs="Calibri"/>
                <w:color w:val="000000"/>
              </w:rPr>
              <w:t>. Pes.</w:t>
            </w:r>
          </w:p>
        </w:tc>
        <w:tc>
          <w:tcPr>
            <w:tcW w:w="708" w:type="dxa"/>
            <w:tcBorders>
              <w:top w:val="nil"/>
              <w:left w:val="nil"/>
              <w:bottom w:val="single" w:sz="12" w:space="0" w:color="auto"/>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76</w:t>
            </w:r>
          </w:p>
        </w:tc>
        <w:tc>
          <w:tcPr>
            <w:tcW w:w="709" w:type="dxa"/>
            <w:tcBorders>
              <w:top w:val="nil"/>
              <w:left w:val="nil"/>
              <w:bottom w:val="single" w:sz="12" w:space="0" w:color="auto"/>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8%</w:t>
            </w:r>
          </w:p>
        </w:tc>
        <w:tc>
          <w:tcPr>
            <w:tcW w:w="1559" w:type="dxa"/>
            <w:tcBorders>
              <w:top w:val="nil"/>
              <w:left w:val="nil"/>
              <w:bottom w:val="single" w:sz="12" w:space="0" w:color="auto"/>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660.036.951</w:t>
            </w:r>
          </w:p>
        </w:tc>
        <w:tc>
          <w:tcPr>
            <w:tcW w:w="1134" w:type="dxa"/>
            <w:tcBorders>
              <w:top w:val="nil"/>
              <w:left w:val="single" w:sz="12" w:space="0" w:color="auto"/>
              <w:bottom w:val="single" w:sz="6" w:space="0" w:color="auto"/>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2,08%</w:t>
            </w:r>
          </w:p>
        </w:tc>
      </w:tr>
      <w:tr w:rsidR="00D65E60" w:rsidRPr="00D65E60" w:rsidTr="00D65E60">
        <w:trPr>
          <w:trHeight w:val="132"/>
        </w:trPr>
        <w:tc>
          <w:tcPr>
            <w:tcW w:w="1023"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p>
        </w:tc>
      </w:tr>
      <w:tr w:rsidR="00D65E60" w:rsidRPr="00D65E60" w:rsidTr="00D65E60">
        <w:trPr>
          <w:trHeight w:val="140"/>
        </w:trPr>
        <w:tc>
          <w:tcPr>
            <w:tcW w:w="1023"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p>
        </w:tc>
      </w:tr>
      <w:tr w:rsidR="00D65E60" w:rsidRPr="00D65E60" w:rsidTr="00D65E60">
        <w:trPr>
          <w:trHeight w:val="132"/>
        </w:trPr>
        <w:tc>
          <w:tcPr>
            <w:tcW w:w="1023" w:type="dxa"/>
            <w:tcBorders>
              <w:top w:val="single" w:sz="12" w:space="0" w:color="auto"/>
              <w:left w:val="single" w:sz="12" w:space="0" w:color="auto"/>
              <w:bottom w:val="nil"/>
              <w:right w:val="nil"/>
            </w:tcBorders>
          </w:tcPr>
          <w:p w:rsidR="00D65E60" w:rsidRPr="00D65E60" w:rsidRDefault="00D65E60" w:rsidP="00D65E60">
            <w:pPr>
              <w:autoSpaceDE w:val="0"/>
              <w:autoSpaceDN w:val="0"/>
              <w:adjustRightInd w:val="0"/>
              <w:spacing w:after="0" w:line="240" w:lineRule="auto"/>
              <w:rPr>
                <w:rFonts w:ascii="Arial" w:eastAsiaTheme="minorHAnsi" w:hAnsi="Arial" w:cs="Arial"/>
                <w:b/>
                <w:bCs/>
                <w:color w:val="000000"/>
                <w:sz w:val="20"/>
                <w:szCs w:val="20"/>
              </w:rPr>
            </w:pPr>
            <w:r w:rsidRPr="00D65E60">
              <w:rPr>
                <w:rFonts w:ascii="Arial" w:eastAsiaTheme="minorHAnsi" w:hAnsi="Arial" w:cs="Arial"/>
                <w:b/>
                <w:bCs/>
                <w:color w:val="000000"/>
                <w:sz w:val="20"/>
                <w:szCs w:val="20"/>
              </w:rPr>
              <w:t>Año: 2005</w:t>
            </w:r>
          </w:p>
        </w:tc>
        <w:tc>
          <w:tcPr>
            <w:tcW w:w="708" w:type="dxa"/>
            <w:tcBorders>
              <w:top w:val="single" w:sz="12" w:space="0" w:color="auto"/>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9" w:type="dxa"/>
            <w:tcBorders>
              <w:top w:val="single" w:sz="12" w:space="0" w:color="auto"/>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559" w:type="dxa"/>
            <w:tcBorders>
              <w:top w:val="single" w:sz="12" w:space="0" w:color="auto"/>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p>
        </w:tc>
      </w:tr>
      <w:tr w:rsidR="00D65E60" w:rsidRPr="00D65E60" w:rsidTr="00D65E60">
        <w:trPr>
          <w:trHeight w:val="132"/>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p>
        </w:tc>
      </w:tr>
      <w:tr w:rsidR="00D65E60" w:rsidRPr="00D65E60" w:rsidTr="00D65E60">
        <w:trPr>
          <w:trHeight w:val="132"/>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rPr>
                <w:rFonts w:ascii="Arial" w:eastAsiaTheme="minorHAnsi" w:hAnsi="Arial" w:cs="Arial"/>
                <w:color w:val="000000"/>
                <w:sz w:val="20"/>
                <w:szCs w:val="20"/>
              </w:rPr>
            </w:pPr>
            <w:r w:rsidRPr="00D65E60">
              <w:rPr>
                <w:rFonts w:ascii="Arial" w:eastAsiaTheme="minorHAnsi" w:hAnsi="Arial" w:cs="Arial"/>
                <w:color w:val="000000"/>
                <w:sz w:val="20"/>
                <w:szCs w:val="20"/>
              </w:rPr>
              <w:t>Red Vial (</w:t>
            </w:r>
            <w:proofErr w:type="spellStart"/>
            <w:r w:rsidRPr="00D65E60">
              <w:rPr>
                <w:rFonts w:ascii="Arial" w:eastAsiaTheme="minorHAnsi" w:hAnsi="Arial" w:cs="Arial"/>
                <w:color w:val="000000"/>
                <w:sz w:val="20"/>
                <w:szCs w:val="20"/>
              </w:rPr>
              <w:t>mt</w:t>
            </w:r>
            <w:proofErr w:type="spellEnd"/>
            <w:r w:rsidRPr="00D65E60">
              <w:rPr>
                <w:rFonts w:ascii="Arial" w:eastAsiaTheme="minorHAnsi" w:hAnsi="Arial" w:cs="Arial"/>
                <w:color w:val="000000"/>
                <w:sz w:val="20"/>
                <w:szCs w:val="20"/>
              </w:rPr>
              <w:t>)</w:t>
            </w: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r w:rsidRPr="00D65E60">
              <w:rPr>
                <w:rFonts w:ascii="Arial" w:eastAsiaTheme="minorHAnsi" w:hAnsi="Arial" w:cs="Arial"/>
                <w:color w:val="000000"/>
                <w:sz w:val="20"/>
                <w:szCs w:val="20"/>
              </w:rPr>
              <w:t>8.746.715</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p>
        </w:tc>
      </w:tr>
      <w:tr w:rsidR="00D65E60" w:rsidRPr="00D65E60" w:rsidTr="00D65E60">
        <w:trPr>
          <w:trHeight w:val="132"/>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right"/>
              <w:rPr>
                <w:rFonts w:ascii="Arial" w:eastAsiaTheme="minorHAnsi" w:hAnsi="Arial" w:cs="Arial"/>
                <w:color w:val="000000"/>
                <w:sz w:val="20"/>
                <w:szCs w:val="20"/>
              </w:rPr>
            </w:pP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b/>
                <w:bCs/>
                <w:color w:val="000000"/>
                <w:sz w:val="20"/>
                <w:szCs w:val="20"/>
              </w:rPr>
            </w:pPr>
            <w:r w:rsidRPr="00D65E60">
              <w:rPr>
                <w:rFonts w:ascii="Arial" w:eastAsiaTheme="minorHAnsi" w:hAnsi="Arial" w:cs="Arial"/>
                <w:b/>
                <w:bCs/>
                <w:color w:val="000000"/>
                <w:sz w:val="20"/>
                <w:szCs w:val="20"/>
              </w:rPr>
              <w:t>TPDA</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b/>
                <w:bCs/>
                <w:color w:val="000000"/>
                <w:sz w:val="20"/>
                <w:szCs w:val="20"/>
              </w:rPr>
            </w:pPr>
            <w:r w:rsidRPr="00D65E60">
              <w:rPr>
                <w:rFonts w:ascii="Arial" w:eastAsiaTheme="minorHAnsi" w:hAnsi="Arial" w:cs="Arial"/>
                <w:b/>
                <w:bCs/>
                <w:color w:val="000000"/>
                <w:sz w:val="20"/>
                <w:szCs w:val="20"/>
              </w:rPr>
              <w:t>%</w:t>
            </w: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b/>
                <w:bCs/>
                <w:color w:val="000000"/>
                <w:sz w:val="20"/>
                <w:szCs w:val="20"/>
              </w:rPr>
            </w:pPr>
            <w:proofErr w:type="spellStart"/>
            <w:r w:rsidRPr="00D65E60">
              <w:rPr>
                <w:rFonts w:ascii="Arial" w:eastAsiaTheme="minorHAnsi" w:hAnsi="Arial" w:cs="Arial"/>
                <w:b/>
                <w:bCs/>
                <w:color w:val="000000"/>
                <w:sz w:val="20"/>
                <w:szCs w:val="20"/>
              </w:rPr>
              <w:t>Veh-mt</w:t>
            </w:r>
            <w:proofErr w:type="spellEnd"/>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p>
        </w:tc>
      </w:tr>
      <w:tr w:rsidR="00D65E60" w:rsidRPr="00D65E60" w:rsidTr="00D65E60">
        <w:trPr>
          <w:trHeight w:val="132"/>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Total</w:t>
            </w: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956</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100%</w:t>
            </w: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8.363.513.445</w:t>
            </w: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3,99%</w:t>
            </w:r>
          </w:p>
        </w:tc>
      </w:tr>
      <w:tr w:rsidR="00D65E60" w:rsidRPr="00D65E60" w:rsidTr="00D65E60">
        <w:trPr>
          <w:trHeight w:val="156"/>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center"/>
              <w:rPr>
                <w:rFonts w:ascii="Calibri" w:eastAsiaTheme="minorHAnsi" w:hAnsi="Calibri" w:cs="Calibri"/>
                <w:color w:val="000000"/>
              </w:rPr>
            </w:pPr>
            <w:r w:rsidRPr="00D65E60">
              <w:rPr>
                <w:rFonts w:ascii="Calibri" w:eastAsiaTheme="minorHAnsi" w:hAnsi="Calibri" w:cs="Calibri"/>
                <w:color w:val="000000"/>
              </w:rPr>
              <w:t>Autos</w:t>
            </w: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765</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80%</w:t>
            </w: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6.688.490.338</w:t>
            </w: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1,77%</w:t>
            </w:r>
          </w:p>
        </w:tc>
      </w:tr>
      <w:tr w:rsidR="00D65E60" w:rsidRPr="00D65E60" w:rsidTr="00D65E60">
        <w:trPr>
          <w:trHeight w:val="156"/>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center"/>
              <w:rPr>
                <w:rFonts w:ascii="Calibri" w:eastAsiaTheme="minorHAnsi" w:hAnsi="Calibri" w:cs="Calibri"/>
                <w:color w:val="000000"/>
              </w:rPr>
            </w:pPr>
            <w:proofErr w:type="spellStart"/>
            <w:r w:rsidRPr="00D65E60">
              <w:rPr>
                <w:rFonts w:ascii="Calibri" w:eastAsiaTheme="minorHAnsi" w:hAnsi="Calibri" w:cs="Calibri"/>
                <w:color w:val="000000"/>
              </w:rPr>
              <w:t>Omnibus</w:t>
            </w:r>
            <w:proofErr w:type="spellEnd"/>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40</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4%</w:t>
            </w: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346.892.149</w:t>
            </w: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-9,55%</w:t>
            </w:r>
          </w:p>
        </w:tc>
      </w:tr>
      <w:tr w:rsidR="00D65E60" w:rsidRPr="00D65E60" w:rsidTr="00D65E60">
        <w:trPr>
          <w:trHeight w:val="156"/>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center"/>
              <w:rPr>
                <w:rFonts w:ascii="Calibri" w:eastAsiaTheme="minorHAnsi" w:hAnsi="Calibri" w:cs="Calibri"/>
                <w:color w:val="000000"/>
              </w:rPr>
            </w:pPr>
            <w:proofErr w:type="spellStart"/>
            <w:r w:rsidRPr="00D65E60">
              <w:rPr>
                <w:rFonts w:ascii="Calibri" w:eastAsiaTheme="minorHAnsi" w:hAnsi="Calibri" w:cs="Calibri"/>
                <w:color w:val="000000"/>
              </w:rPr>
              <w:t>Cam</w:t>
            </w:r>
            <w:proofErr w:type="spellEnd"/>
            <w:r w:rsidRPr="00D65E60">
              <w:rPr>
                <w:rFonts w:ascii="Calibri" w:eastAsiaTheme="minorHAnsi" w:hAnsi="Calibri" w:cs="Calibri"/>
                <w:color w:val="000000"/>
              </w:rPr>
              <w:t xml:space="preserve">. </w:t>
            </w:r>
            <w:proofErr w:type="spellStart"/>
            <w:r w:rsidRPr="00D65E60">
              <w:rPr>
                <w:rFonts w:ascii="Calibri" w:eastAsiaTheme="minorHAnsi" w:hAnsi="Calibri" w:cs="Calibri"/>
                <w:color w:val="000000"/>
              </w:rPr>
              <w:t>Med</w:t>
            </w:r>
            <w:proofErr w:type="spellEnd"/>
            <w:r w:rsidRPr="00D65E60">
              <w:rPr>
                <w:rFonts w:ascii="Calibri" w:eastAsiaTheme="minorHAnsi" w:hAnsi="Calibri" w:cs="Calibri"/>
                <w:color w:val="000000"/>
              </w:rPr>
              <w:t>.</w:t>
            </w: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53</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6%</w:t>
            </w: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463.964.776</w:t>
            </w: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6,34%</w:t>
            </w:r>
          </w:p>
        </w:tc>
      </w:tr>
      <w:tr w:rsidR="00D65E60" w:rsidRPr="00D65E60" w:rsidTr="00D65E60">
        <w:trPr>
          <w:trHeight w:val="156"/>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center"/>
              <w:rPr>
                <w:rFonts w:ascii="Calibri" w:eastAsiaTheme="minorHAnsi" w:hAnsi="Calibri" w:cs="Calibri"/>
                <w:color w:val="000000"/>
              </w:rPr>
            </w:pPr>
            <w:proofErr w:type="spellStart"/>
            <w:r w:rsidRPr="00D65E60">
              <w:rPr>
                <w:rFonts w:ascii="Calibri" w:eastAsiaTheme="minorHAnsi" w:hAnsi="Calibri" w:cs="Calibri"/>
                <w:color w:val="000000"/>
              </w:rPr>
              <w:t>Cam</w:t>
            </w:r>
            <w:proofErr w:type="spellEnd"/>
            <w:r w:rsidRPr="00D65E60">
              <w:rPr>
                <w:rFonts w:ascii="Calibri" w:eastAsiaTheme="minorHAnsi" w:hAnsi="Calibri" w:cs="Calibri"/>
                <w:color w:val="000000"/>
              </w:rPr>
              <w:t xml:space="preserve">. </w:t>
            </w:r>
            <w:proofErr w:type="spellStart"/>
            <w:r w:rsidRPr="00D65E60">
              <w:rPr>
                <w:rFonts w:ascii="Calibri" w:eastAsiaTheme="minorHAnsi" w:hAnsi="Calibri" w:cs="Calibri"/>
                <w:color w:val="000000"/>
              </w:rPr>
              <w:t>Semi</w:t>
            </w:r>
            <w:proofErr w:type="spellEnd"/>
            <w:r w:rsidRPr="00D65E60">
              <w:rPr>
                <w:rFonts w:ascii="Calibri" w:eastAsiaTheme="minorHAnsi" w:hAnsi="Calibri" w:cs="Calibri"/>
                <w:color w:val="000000"/>
              </w:rPr>
              <w:t>.</w:t>
            </w: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23</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2%</w:t>
            </w: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199.553.223</w:t>
            </w: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6,39%</w:t>
            </w:r>
          </w:p>
        </w:tc>
      </w:tr>
      <w:tr w:rsidR="00D65E60" w:rsidRPr="00D65E60" w:rsidTr="009B0100">
        <w:trPr>
          <w:trHeight w:val="164"/>
        </w:trPr>
        <w:tc>
          <w:tcPr>
            <w:tcW w:w="1023" w:type="dxa"/>
            <w:tcBorders>
              <w:top w:val="nil"/>
              <w:left w:val="single" w:sz="12" w:space="0" w:color="auto"/>
              <w:bottom w:val="nil"/>
              <w:right w:val="nil"/>
            </w:tcBorders>
          </w:tcPr>
          <w:p w:rsidR="00D65E60" w:rsidRPr="00D65E60" w:rsidRDefault="00D65E60" w:rsidP="00D65E60">
            <w:pPr>
              <w:autoSpaceDE w:val="0"/>
              <w:autoSpaceDN w:val="0"/>
              <w:adjustRightInd w:val="0"/>
              <w:spacing w:after="0" w:line="240" w:lineRule="auto"/>
              <w:jc w:val="center"/>
              <w:rPr>
                <w:rFonts w:ascii="Calibri" w:eastAsiaTheme="minorHAnsi" w:hAnsi="Calibri" w:cs="Calibri"/>
                <w:color w:val="000000"/>
              </w:rPr>
            </w:pPr>
            <w:proofErr w:type="spellStart"/>
            <w:r w:rsidRPr="00D65E60">
              <w:rPr>
                <w:rFonts w:ascii="Calibri" w:eastAsiaTheme="minorHAnsi" w:hAnsi="Calibri" w:cs="Calibri"/>
                <w:color w:val="000000"/>
              </w:rPr>
              <w:t>Cam</w:t>
            </w:r>
            <w:proofErr w:type="spellEnd"/>
            <w:r w:rsidRPr="00D65E60">
              <w:rPr>
                <w:rFonts w:ascii="Calibri" w:eastAsiaTheme="minorHAnsi" w:hAnsi="Calibri" w:cs="Calibri"/>
                <w:color w:val="000000"/>
              </w:rPr>
              <w:t>. Pes.</w:t>
            </w:r>
          </w:p>
        </w:tc>
        <w:tc>
          <w:tcPr>
            <w:tcW w:w="708"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74</w:t>
            </w:r>
          </w:p>
        </w:tc>
        <w:tc>
          <w:tcPr>
            <w:tcW w:w="70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8%</w:t>
            </w:r>
          </w:p>
        </w:tc>
        <w:tc>
          <w:tcPr>
            <w:tcW w:w="1559" w:type="dxa"/>
            <w:tcBorders>
              <w:top w:val="nil"/>
              <w:left w:val="nil"/>
              <w:bottom w:val="nil"/>
              <w:right w:val="nil"/>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650.338.919</w:t>
            </w:r>
          </w:p>
        </w:tc>
        <w:tc>
          <w:tcPr>
            <w:tcW w:w="1134" w:type="dxa"/>
            <w:tcBorders>
              <w:top w:val="nil"/>
              <w:left w:val="single" w:sz="12" w:space="0" w:color="auto"/>
              <w:bottom w:val="nil"/>
              <w:right w:val="single" w:sz="12" w:space="0" w:color="auto"/>
            </w:tcBorders>
          </w:tcPr>
          <w:p w:rsidR="00D65E60" w:rsidRPr="00D65E60" w:rsidRDefault="00D65E60" w:rsidP="00D65E60">
            <w:pPr>
              <w:autoSpaceDE w:val="0"/>
              <w:autoSpaceDN w:val="0"/>
              <w:adjustRightInd w:val="0"/>
              <w:spacing w:after="0" w:line="240" w:lineRule="auto"/>
              <w:jc w:val="center"/>
              <w:rPr>
                <w:rFonts w:ascii="Arial" w:eastAsiaTheme="minorHAnsi" w:hAnsi="Arial" w:cs="Arial"/>
                <w:color w:val="000000"/>
                <w:sz w:val="20"/>
                <w:szCs w:val="20"/>
              </w:rPr>
            </w:pPr>
            <w:r w:rsidRPr="00D65E60">
              <w:rPr>
                <w:rFonts w:ascii="Arial" w:eastAsiaTheme="minorHAnsi" w:hAnsi="Arial" w:cs="Arial"/>
                <w:color w:val="000000"/>
                <w:sz w:val="20"/>
                <w:szCs w:val="20"/>
              </w:rPr>
              <w:t>40,22%</w:t>
            </w:r>
          </w:p>
        </w:tc>
      </w:tr>
      <w:tr w:rsidR="009B0100" w:rsidRPr="00D65E60" w:rsidTr="00D65E60">
        <w:trPr>
          <w:trHeight w:val="164"/>
        </w:trPr>
        <w:tc>
          <w:tcPr>
            <w:tcW w:w="1023" w:type="dxa"/>
            <w:tcBorders>
              <w:top w:val="nil"/>
              <w:left w:val="single" w:sz="12" w:space="0" w:color="auto"/>
              <w:bottom w:val="single" w:sz="12" w:space="0" w:color="auto"/>
              <w:right w:val="nil"/>
            </w:tcBorders>
          </w:tcPr>
          <w:p w:rsidR="009B0100" w:rsidRPr="00D65E60" w:rsidRDefault="009B0100" w:rsidP="009B0100">
            <w:pPr>
              <w:autoSpaceDE w:val="0"/>
              <w:autoSpaceDN w:val="0"/>
              <w:adjustRightInd w:val="0"/>
              <w:spacing w:after="0" w:line="240" w:lineRule="auto"/>
              <w:rPr>
                <w:rFonts w:ascii="Calibri" w:eastAsiaTheme="minorHAnsi" w:hAnsi="Calibri" w:cs="Calibri"/>
                <w:color w:val="000000"/>
              </w:rPr>
            </w:pPr>
          </w:p>
        </w:tc>
        <w:tc>
          <w:tcPr>
            <w:tcW w:w="708" w:type="dxa"/>
            <w:tcBorders>
              <w:top w:val="nil"/>
              <w:left w:val="nil"/>
              <w:bottom w:val="single" w:sz="12" w:space="0" w:color="auto"/>
              <w:right w:val="nil"/>
            </w:tcBorders>
          </w:tcPr>
          <w:p w:rsidR="009B0100" w:rsidRPr="00D65E60" w:rsidRDefault="009B0100" w:rsidP="00D65E60">
            <w:pPr>
              <w:autoSpaceDE w:val="0"/>
              <w:autoSpaceDN w:val="0"/>
              <w:adjustRightInd w:val="0"/>
              <w:spacing w:after="0" w:line="240" w:lineRule="auto"/>
              <w:jc w:val="center"/>
              <w:rPr>
                <w:rFonts w:ascii="Arial" w:eastAsiaTheme="minorHAnsi" w:hAnsi="Arial" w:cs="Arial"/>
                <w:color w:val="000000"/>
                <w:sz w:val="20"/>
                <w:szCs w:val="20"/>
              </w:rPr>
            </w:pPr>
          </w:p>
        </w:tc>
        <w:tc>
          <w:tcPr>
            <w:tcW w:w="709" w:type="dxa"/>
            <w:tcBorders>
              <w:top w:val="nil"/>
              <w:left w:val="nil"/>
              <w:bottom w:val="single" w:sz="12" w:space="0" w:color="auto"/>
              <w:right w:val="nil"/>
            </w:tcBorders>
          </w:tcPr>
          <w:p w:rsidR="009B0100" w:rsidRPr="00D65E60" w:rsidRDefault="009B0100" w:rsidP="00D65E60">
            <w:pPr>
              <w:autoSpaceDE w:val="0"/>
              <w:autoSpaceDN w:val="0"/>
              <w:adjustRightInd w:val="0"/>
              <w:spacing w:after="0" w:line="240" w:lineRule="auto"/>
              <w:jc w:val="center"/>
              <w:rPr>
                <w:rFonts w:ascii="Arial" w:eastAsiaTheme="minorHAnsi" w:hAnsi="Arial" w:cs="Arial"/>
                <w:color w:val="000000"/>
                <w:sz w:val="20"/>
                <w:szCs w:val="20"/>
              </w:rPr>
            </w:pPr>
          </w:p>
        </w:tc>
        <w:tc>
          <w:tcPr>
            <w:tcW w:w="1559" w:type="dxa"/>
            <w:tcBorders>
              <w:top w:val="nil"/>
              <w:left w:val="nil"/>
              <w:bottom w:val="single" w:sz="12" w:space="0" w:color="auto"/>
              <w:right w:val="nil"/>
            </w:tcBorders>
          </w:tcPr>
          <w:p w:rsidR="009B0100" w:rsidRPr="00D65E60" w:rsidRDefault="009B0100" w:rsidP="00D65E60">
            <w:pPr>
              <w:autoSpaceDE w:val="0"/>
              <w:autoSpaceDN w:val="0"/>
              <w:adjustRightInd w:val="0"/>
              <w:spacing w:after="0" w:line="240" w:lineRule="auto"/>
              <w:jc w:val="center"/>
              <w:rPr>
                <w:rFonts w:ascii="Arial" w:eastAsiaTheme="minorHAnsi" w:hAnsi="Arial" w:cs="Arial"/>
                <w:color w:val="000000"/>
                <w:sz w:val="20"/>
                <w:szCs w:val="20"/>
              </w:rPr>
            </w:pPr>
          </w:p>
        </w:tc>
        <w:tc>
          <w:tcPr>
            <w:tcW w:w="1134" w:type="dxa"/>
            <w:tcBorders>
              <w:top w:val="nil"/>
              <w:left w:val="single" w:sz="12" w:space="0" w:color="auto"/>
              <w:bottom w:val="single" w:sz="12" w:space="0" w:color="auto"/>
              <w:right w:val="single" w:sz="12" w:space="0" w:color="auto"/>
            </w:tcBorders>
          </w:tcPr>
          <w:p w:rsidR="009B0100" w:rsidRPr="00D65E60" w:rsidRDefault="009B0100" w:rsidP="00D65E60">
            <w:pPr>
              <w:autoSpaceDE w:val="0"/>
              <w:autoSpaceDN w:val="0"/>
              <w:adjustRightInd w:val="0"/>
              <w:spacing w:after="0" w:line="240" w:lineRule="auto"/>
              <w:jc w:val="center"/>
              <w:rPr>
                <w:rFonts w:ascii="Arial" w:eastAsiaTheme="minorHAnsi" w:hAnsi="Arial" w:cs="Arial"/>
                <w:color w:val="000000"/>
                <w:sz w:val="20"/>
                <w:szCs w:val="20"/>
              </w:rPr>
            </w:pPr>
          </w:p>
        </w:tc>
      </w:tr>
    </w:tbl>
    <w:p w:rsidR="009B0100" w:rsidRDefault="009B0100" w:rsidP="003C5CF9">
      <w:pPr>
        <w:rPr>
          <w:lang w:val="es-ES_tradnl"/>
        </w:rPr>
        <w:sectPr w:rsidR="009B0100" w:rsidSect="001070B6">
          <w:pgSz w:w="11906" w:h="16838"/>
          <w:pgMar w:top="1417" w:right="1701" w:bottom="1417" w:left="1701" w:header="708" w:footer="708" w:gutter="0"/>
          <w:pgNumType w:start="1"/>
          <w:cols w:space="708"/>
          <w:docGrid w:linePitch="360"/>
        </w:sectPr>
      </w:pPr>
    </w:p>
    <w:p w:rsidR="00DF19EA" w:rsidRDefault="00DF19EA" w:rsidP="003C5CF9">
      <w:pPr>
        <w:rPr>
          <w:lang w:val="es-ES_tradnl"/>
        </w:rPr>
      </w:pPr>
    </w:p>
    <w:p w:rsidR="009B0100" w:rsidRDefault="009B0100" w:rsidP="009B0100">
      <w:pPr>
        <w:pStyle w:val="Heading2"/>
        <w:rPr>
          <w:lang w:val="es-ES_tradnl"/>
        </w:rPr>
      </w:pPr>
      <w:bookmarkStart w:id="30" w:name="_Toc428464200"/>
      <w:r>
        <w:rPr>
          <w:lang w:val="es-ES_tradnl"/>
        </w:rPr>
        <w:t xml:space="preserve">Anexo 2 - Endeudamiento de la Corporación Vial </w:t>
      </w:r>
      <w:r w:rsidR="00BC1D54">
        <w:rPr>
          <w:lang w:val="es-ES_tradnl"/>
        </w:rPr>
        <w:t>d</w:t>
      </w:r>
      <w:r>
        <w:rPr>
          <w:lang w:val="es-ES_tradnl"/>
        </w:rPr>
        <w:t>el Uruguay</w:t>
      </w:r>
      <w:bookmarkEnd w:id="30"/>
    </w:p>
    <w:p w:rsidR="009B0100" w:rsidRDefault="009B0100" w:rsidP="003C5CF9">
      <w:pPr>
        <w:rPr>
          <w:lang w:val="es-ES_tradnl"/>
        </w:rPr>
      </w:pPr>
    </w:p>
    <w:p w:rsidR="009B0100" w:rsidRDefault="009B0100" w:rsidP="003C5CF9">
      <w:pPr>
        <w:rPr>
          <w:lang w:val="es-ES_tradnl"/>
        </w:rPr>
      </w:pPr>
      <w:r w:rsidRPr="009B0100">
        <w:rPr>
          <w:noProof/>
          <w:lang w:val="en-US"/>
        </w:rPr>
        <w:drawing>
          <wp:inline distT="0" distB="0" distL="0" distR="0">
            <wp:extent cx="8892540" cy="1999310"/>
            <wp:effectExtent l="19050" t="0" r="3810" b="0"/>
            <wp:docPr id="24"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0"/>
                    <a:srcRect/>
                    <a:stretch>
                      <a:fillRect/>
                    </a:stretch>
                  </pic:blipFill>
                  <pic:spPr bwMode="auto">
                    <a:xfrm>
                      <a:off x="0" y="0"/>
                      <a:ext cx="8892540" cy="1999310"/>
                    </a:xfrm>
                    <a:prstGeom prst="rect">
                      <a:avLst/>
                    </a:prstGeom>
                    <a:noFill/>
                    <a:ln w="9525">
                      <a:noFill/>
                      <a:miter lim="800000"/>
                      <a:headEnd/>
                      <a:tailEnd/>
                    </a:ln>
                  </pic:spPr>
                </pic:pic>
              </a:graphicData>
            </a:graphic>
          </wp:inline>
        </w:drawing>
      </w:r>
    </w:p>
    <w:p w:rsidR="009B0100" w:rsidRDefault="009B0100" w:rsidP="003C5CF9">
      <w:pPr>
        <w:rPr>
          <w:lang w:val="es-ES_tradnl"/>
        </w:rPr>
        <w:sectPr w:rsidR="009B0100" w:rsidSect="00DF0E24">
          <w:pgSz w:w="16838" w:h="11906" w:orient="landscape"/>
          <w:pgMar w:top="1701" w:right="1417" w:bottom="1701" w:left="1417" w:header="708" w:footer="708" w:gutter="0"/>
          <w:cols w:space="708"/>
          <w:docGrid w:linePitch="360"/>
        </w:sectPr>
      </w:pPr>
    </w:p>
    <w:p w:rsidR="009B0100" w:rsidRDefault="009B0100" w:rsidP="009B0100">
      <w:pPr>
        <w:pStyle w:val="Heading2"/>
        <w:rPr>
          <w:lang w:val="es-ES_tradnl"/>
        </w:rPr>
      </w:pPr>
      <w:bookmarkStart w:id="31" w:name="_Toc428464201"/>
      <w:r>
        <w:rPr>
          <w:lang w:val="es-ES_tradnl"/>
        </w:rPr>
        <w:t xml:space="preserve">Anexo 3 – Endeudamiento </w:t>
      </w:r>
      <w:r w:rsidR="00BC1D54">
        <w:rPr>
          <w:lang w:val="es-ES_tradnl"/>
        </w:rPr>
        <w:t xml:space="preserve">de la </w:t>
      </w:r>
      <w:r>
        <w:rPr>
          <w:lang w:val="es-ES_tradnl"/>
        </w:rPr>
        <w:t>Corporación Nacional para el Desarrollo</w:t>
      </w:r>
      <w:r w:rsidR="00DF0E24">
        <w:rPr>
          <w:lang w:val="es-ES_tradnl"/>
        </w:rPr>
        <w:t xml:space="preserve"> en </w:t>
      </w:r>
      <w:r w:rsidR="009E4A38">
        <w:rPr>
          <w:lang w:val="es-ES_tradnl"/>
        </w:rPr>
        <w:t>US$</w:t>
      </w:r>
      <w:bookmarkEnd w:id="31"/>
    </w:p>
    <w:p w:rsidR="009B0100" w:rsidRDefault="009B0100" w:rsidP="003C5CF9">
      <w:pPr>
        <w:rPr>
          <w:lang w:val="es-ES_tradnl"/>
        </w:rPr>
      </w:pPr>
    </w:p>
    <w:p w:rsidR="00BC1D54" w:rsidRDefault="00BC1D54" w:rsidP="003C5CF9">
      <w:pPr>
        <w:rPr>
          <w:lang w:val="es-ES_tradnl"/>
        </w:rPr>
      </w:pPr>
      <w:r w:rsidRPr="00BC1D54">
        <w:rPr>
          <w:noProof/>
          <w:lang w:val="en-US"/>
        </w:rPr>
        <w:drawing>
          <wp:inline distT="0" distB="0" distL="0" distR="0">
            <wp:extent cx="8892540" cy="3145826"/>
            <wp:effectExtent l="19050" t="0" r="3810" b="0"/>
            <wp:docPr id="27"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1"/>
                    <a:srcRect/>
                    <a:stretch>
                      <a:fillRect/>
                    </a:stretch>
                  </pic:blipFill>
                  <pic:spPr bwMode="auto">
                    <a:xfrm>
                      <a:off x="0" y="0"/>
                      <a:ext cx="8892540" cy="3145826"/>
                    </a:xfrm>
                    <a:prstGeom prst="rect">
                      <a:avLst/>
                    </a:prstGeom>
                    <a:noFill/>
                    <a:ln w="9525">
                      <a:noFill/>
                      <a:miter lim="800000"/>
                      <a:headEnd/>
                      <a:tailEnd/>
                    </a:ln>
                  </pic:spPr>
                </pic:pic>
              </a:graphicData>
            </a:graphic>
          </wp:inline>
        </w:drawing>
      </w:r>
    </w:p>
    <w:p w:rsidR="00BC1D54" w:rsidRDefault="00BC1D54" w:rsidP="003C5CF9">
      <w:pPr>
        <w:rPr>
          <w:lang w:val="es-ES_tradnl"/>
        </w:rPr>
        <w:sectPr w:rsidR="00BC1D54" w:rsidSect="00DF0E24">
          <w:pgSz w:w="16838" w:h="11906" w:orient="landscape"/>
          <w:pgMar w:top="1701" w:right="1417" w:bottom="1701" w:left="1417" w:header="708" w:footer="708" w:gutter="0"/>
          <w:cols w:space="708"/>
          <w:docGrid w:linePitch="360"/>
        </w:sectPr>
      </w:pPr>
    </w:p>
    <w:p w:rsidR="009B0100" w:rsidRDefault="001A1B33" w:rsidP="001A1B33">
      <w:pPr>
        <w:pStyle w:val="Heading2"/>
        <w:rPr>
          <w:lang w:val="es-ES_tradnl"/>
        </w:rPr>
      </w:pPr>
      <w:bookmarkStart w:id="32" w:name="_Toc428464202"/>
      <w:r>
        <w:rPr>
          <w:lang w:val="es-ES_tradnl"/>
        </w:rPr>
        <w:t>Anexo 4 – Proyecciones de obras según Consorcio Ingeniería del Sur</w:t>
      </w:r>
      <w:bookmarkEnd w:id="32"/>
    </w:p>
    <w:p w:rsidR="001A1B33" w:rsidRDefault="001A1B33" w:rsidP="003C5CF9">
      <w:pPr>
        <w:rPr>
          <w:lang w:val="es-ES_tradnl"/>
        </w:rPr>
      </w:pPr>
    </w:p>
    <w:p w:rsidR="001A1B33" w:rsidRDefault="001A1B33" w:rsidP="003C5CF9">
      <w:pPr>
        <w:rPr>
          <w:lang w:val="es-ES_tradnl"/>
        </w:rPr>
      </w:pPr>
      <w:r w:rsidRPr="00190D17">
        <w:rPr>
          <w:lang w:val="es-ES_tradnl"/>
        </w:rPr>
        <w:object w:dxaOrig="15377" w:dyaOrig="23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8.85pt;height:119.6pt" o:ole="">
            <v:imagedata r:id="rId42" o:title=""/>
          </v:shape>
          <o:OLEObject Type="Embed" ProgID="Excel.Sheet.12" ShapeID="_x0000_i1025" DrawAspect="Content" ObjectID="_1504430098" r:id="rId43"/>
        </w:object>
      </w:r>
    </w:p>
    <w:p w:rsidR="001A1B33" w:rsidRDefault="001A1B33">
      <w:pPr>
        <w:spacing w:after="180" w:line="264" w:lineRule="auto"/>
        <w:jc w:val="both"/>
        <w:rPr>
          <w:lang w:val="es-ES_tradnl"/>
        </w:rPr>
      </w:pPr>
      <w:r>
        <w:rPr>
          <w:lang w:val="es-ES_tradnl"/>
        </w:rPr>
        <w:br w:type="page"/>
      </w:r>
    </w:p>
    <w:p w:rsidR="001A1B33" w:rsidRPr="00B62B8B" w:rsidRDefault="001A1B33" w:rsidP="00B62B8B">
      <w:pPr>
        <w:pStyle w:val="Heading2"/>
        <w:rPr>
          <w:lang w:val="es-ES_tradnl"/>
        </w:rPr>
      </w:pPr>
      <w:bookmarkStart w:id="33" w:name="_Toc428464203"/>
      <w:r>
        <w:rPr>
          <w:lang w:val="es-ES_tradnl"/>
        </w:rPr>
        <w:t>Anexo 5</w:t>
      </w:r>
      <w:r w:rsidR="00DF0E24">
        <w:rPr>
          <w:lang w:val="es-ES_tradnl"/>
        </w:rPr>
        <w:t xml:space="preserve"> - </w:t>
      </w:r>
      <w:r>
        <w:rPr>
          <w:lang w:val="es-ES_tradnl"/>
        </w:rPr>
        <w:t xml:space="preserve">Inversiones Viales </w:t>
      </w:r>
      <w:r w:rsidR="008D22A4">
        <w:rPr>
          <w:lang w:val="es-ES_tradnl"/>
        </w:rPr>
        <w:t>en Millones de Dólares</w:t>
      </w:r>
      <w:bookmarkEnd w:id="33"/>
      <w:r w:rsidRPr="00B62B8B">
        <w:rPr>
          <w:lang w:val="es-ES_tradnl"/>
        </w:rPr>
        <w:t xml:space="preserve"> </w:t>
      </w:r>
    </w:p>
    <w:p w:rsidR="001A1B33" w:rsidRDefault="001A1B33" w:rsidP="003C5CF9">
      <w:pPr>
        <w:rPr>
          <w:lang w:val="es-ES_tradnl"/>
        </w:rPr>
        <w:sectPr w:rsidR="001A1B33" w:rsidSect="00DF0E24">
          <w:pgSz w:w="16838" w:h="11906" w:orient="landscape"/>
          <w:pgMar w:top="1701" w:right="1417" w:bottom="1701" w:left="1417" w:header="708" w:footer="708" w:gutter="0"/>
          <w:cols w:space="708"/>
          <w:docGrid w:linePitch="360"/>
        </w:sectPr>
      </w:pPr>
      <w:r w:rsidRPr="001A1B33">
        <w:rPr>
          <w:noProof/>
          <w:lang w:val="en-US"/>
        </w:rPr>
        <w:drawing>
          <wp:inline distT="0" distB="0" distL="0" distR="0">
            <wp:extent cx="8892540" cy="5001806"/>
            <wp:effectExtent l="0" t="0" r="3810" b="0"/>
            <wp:docPr id="30"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44"/>
                    <a:srcRect/>
                    <a:stretch>
                      <a:fillRect/>
                    </a:stretch>
                  </pic:blipFill>
                  <pic:spPr bwMode="auto">
                    <a:xfrm>
                      <a:off x="0" y="0"/>
                      <a:ext cx="8892540" cy="5001806"/>
                    </a:xfrm>
                    <a:prstGeom prst="rect">
                      <a:avLst/>
                    </a:prstGeom>
                    <a:noFill/>
                    <a:ln w="9525">
                      <a:noFill/>
                      <a:miter lim="800000"/>
                      <a:headEnd/>
                      <a:tailEnd/>
                    </a:ln>
                  </pic:spPr>
                </pic:pic>
              </a:graphicData>
            </a:graphic>
          </wp:inline>
        </w:drawing>
      </w:r>
    </w:p>
    <w:p w:rsidR="001A1B33" w:rsidRDefault="00F93692" w:rsidP="001A1B33">
      <w:pPr>
        <w:pStyle w:val="Heading2"/>
        <w:rPr>
          <w:lang w:val="es-ES_tradnl"/>
        </w:rPr>
      </w:pPr>
      <w:bookmarkStart w:id="34" w:name="_Toc428464204"/>
      <w:r>
        <w:rPr>
          <w:lang w:val="es-ES_tradnl"/>
        </w:rPr>
        <w:t xml:space="preserve">Anexo 6 – </w:t>
      </w:r>
      <w:r w:rsidR="001A1B33">
        <w:rPr>
          <w:lang w:val="es-ES_tradnl"/>
        </w:rPr>
        <w:t>CVU</w:t>
      </w:r>
      <w:r>
        <w:rPr>
          <w:lang w:val="es-ES_tradnl"/>
        </w:rPr>
        <w:t xml:space="preserve"> </w:t>
      </w:r>
      <w:r w:rsidR="001A1B33">
        <w:rPr>
          <w:lang w:val="es-ES_tradnl"/>
        </w:rPr>
        <w:t>– Flujo de Fondos Mensuales</w:t>
      </w:r>
      <w:r w:rsidR="00DF0E24">
        <w:rPr>
          <w:lang w:val="es-ES_tradnl"/>
        </w:rPr>
        <w:t xml:space="preserve"> en Miles de Dólares</w:t>
      </w:r>
      <w:bookmarkEnd w:id="34"/>
      <w:r w:rsidR="001A1B33">
        <w:rPr>
          <w:lang w:val="es-ES_tradnl"/>
        </w:rPr>
        <w:t xml:space="preserve"> </w:t>
      </w:r>
    </w:p>
    <w:p w:rsidR="001A1B33" w:rsidRDefault="001A1B33" w:rsidP="003C5CF9">
      <w:pPr>
        <w:rPr>
          <w:lang w:val="es-ES_tradnl"/>
        </w:rPr>
      </w:pPr>
    </w:p>
    <w:p w:rsidR="001A1B33" w:rsidRDefault="001A1B33" w:rsidP="003C5CF9">
      <w:pPr>
        <w:rPr>
          <w:lang w:val="es-ES_tradnl"/>
        </w:rPr>
      </w:pPr>
      <w:r w:rsidRPr="001A1B33">
        <w:rPr>
          <w:noProof/>
          <w:lang w:val="en-US"/>
        </w:rPr>
        <w:drawing>
          <wp:inline distT="0" distB="0" distL="0" distR="0">
            <wp:extent cx="8892540" cy="1949253"/>
            <wp:effectExtent l="19050" t="0" r="3810" b="0"/>
            <wp:docPr id="36"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5"/>
                    <a:srcRect/>
                    <a:stretch>
                      <a:fillRect/>
                    </a:stretch>
                  </pic:blipFill>
                  <pic:spPr bwMode="auto">
                    <a:xfrm>
                      <a:off x="0" y="0"/>
                      <a:ext cx="8892540" cy="1949253"/>
                    </a:xfrm>
                    <a:prstGeom prst="rect">
                      <a:avLst/>
                    </a:prstGeom>
                    <a:noFill/>
                    <a:ln w="9525">
                      <a:noFill/>
                      <a:miter lim="800000"/>
                      <a:headEnd/>
                      <a:tailEnd/>
                    </a:ln>
                  </pic:spPr>
                </pic:pic>
              </a:graphicData>
            </a:graphic>
          </wp:inline>
        </w:drawing>
      </w:r>
    </w:p>
    <w:p w:rsidR="001A1B33" w:rsidRDefault="001A1B33" w:rsidP="003C5CF9">
      <w:pPr>
        <w:rPr>
          <w:lang w:val="es-ES_tradnl"/>
        </w:rPr>
      </w:pPr>
      <w:r w:rsidRPr="001A1B33">
        <w:rPr>
          <w:noProof/>
          <w:lang w:val="en-US"/>
        </w:rPr>
        <w:drawing>
          <wp:inline distT="0" distB="0" distL="0" distR="0">
            <wp:extent cx="8892540" cy="1949253"/>
            <wp:effectExtent l="19050" t="0" r="3810" b="0"/>
            <wp:docPr id="37"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6"/>
                    <a:srcRect/>
                    <a:stretch>
                      <a:fillRect/>
                    </a:stretch>
                  </pic:blipFill>
                  <pic:spPr bwMode="auto">
                    <a:xfrm>
                      <a:off x="0" y="0"/>
                      <a:ext cx="8892540" cy="1949253"/>
                    </a:xfrm>
                    <a:prstGeom prst="rect">
                      <a:avLst/>
                    </a:prstGeom>
                    <a:noFill/>
                    <a:ln w="9525">
                      <a:noFill/>
                      <a:miter lim="800000"/>
                      <a:headEnd/>
                      <a:tailEnd/>
                    </a:ln>
                  </pic:spPr>
                </pic:pic>
              </a:graphicData>
            </a:graphic>
          </wp:inline>
        </w:drawing>
      </w:r>
    </w:p>
    <w:p w:rsidR="001A1B33" w:rsidRDefault="001A1B33" w:rsidP="003C5CF9">
      <w:pPr>
        <w:rPr>
          <w:lang w:val="es-ES_tradnl"/>
        </w:rPr>
      </w:pPr>
      <w:r w:rsidRPr="001A1B33">
        <w:rPr>
          <w:noProof/>
          <w:lang w:val="en-US"/>
        </w:rPr>
        <w:drawing>
          <wp:inline distT="0" distB="0" distL="0" distR="0">
            <wp:extent cx="8892540" cy="1949253"/>
            <wp:effectExtent l="19050" t="0" r="3810" b="0"/>
            <wp:docPr id="38"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7"/>
                    <a:srcRect/>
                    <a:stretch>
                      <a:fillRect/>
                    </a:stretch>
                  </pic:blipFill>
                  <pic:spPr bwMode="auto">
                    <a:xfrm>
                      <a:off x="0" y="0"/>
                      <a:ext cx="8892540" cy="1949253"/>
                    </a:xfrm>
                    <a:prstGeom prst="rect">
                      <a:avLst/>
                    </a:prstGeom>
                    <a:noFill/>
                    <a:ln w="9525">
                      <a:noFill/>
                      <a:miter lim="800000"/>
                      <a:headEnd/>
                      <a:tailEnd/>
                    </a:ln>
                  </pic:spPr>
                </pic:pic>
              </a:graphicData>
            </a:graphic>
          </wp:inline>
        </w:drawing>
      </w:r>
    </w:p>
    <w:p w:rsidR="00E9637A" w:rsidRDefault="00E9637A" w:rsidP="003C5CF9">
      <w:pPr>
        <w:rPr>
          <w:lang w:val="es-ES_tradnl"/>
        </w:rPr>
      </w:pPr>
      <w:r w:rsidRPr="00E9637A">
        <w:rPr>
          <w:noProof/>
          <w:lang w:val="en-US"/>
        </w:rPr>
        <w:drawing>
          <wp:inline distT="0" distB="0" distL="0" distR="0">
            <wp:extent cx="8892540" cy="1949253"/>
            <wp:effectExtent l="19050" t="0" r="3810" b="0"/>
            <wp:docPr id="39"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8"/>
                    <a:srcRect/>
                    <a:stretch>
                      <a:fillRect/>
                    </a:stretch>
                  </pic:blipFill>
                  <pic:spPr bwMode="auto">
                    <a:xfrm>
                      <a:off x="0" y="0"/>
                      <a:ext cx="8892540" cy="1949253"/>
                    </a:xfrm>
                    <a:prstGeom prst="rect">
                      <a:avLst/>
                    </a:prstGeom>
                    <a:noFill/>
                    <a:ln w="9525">
                      <a:noFill/>
                      <a:miter lim="800000"/>
                      <a:headEnd/>
                      <a:tailEnd/>
                    </a:ln>
                  </pic:spPr>
                </pic:pic>
              </a:graphicData>
            </a:graphic>
          </wp:inline>
        </w:drawing>
      </w:r>
    </w:p>
    <w:p w:rsidR="00DF0E24" w:rsidRDefault="00DF0E24" w:rsidP="003C5CF9">
      <w:pPr>
        <w:rPr>
          <w:lang w:val="es-ES_tradnl"/>
        </w:rPr>
      </w:pPr>
    </w:p>
    <w:p w:rsidR="009721AB" w:rsidRPr="003C5CF9" w:rsidRDefault="009721AB" w:rsidP="003C5CF9">
      <w:pPr>
        <w:rPr>
          <w:lang w:val="es-ES_tradnl"/>
        </w:rPr>
      </w:pPr>
    </w:p>
    <w:sectPr w:rsidR="009721AB" w:rsidRPr="003C5CF9" w:rsidSect="00DF0E24">
      <w:pgSz w:w="16838" w:h="11906"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3D43" w:rsidRDefault="00143D43" w:rsidP="00172730">
      <w:pPr>
        <w:spacing w:after="0" w:line="240" w:lineRule="auto"/>
      </w:pPr>
      <w:r>
        <w:separator/>
      </w:r>
    </w:p>
  </w:endnote>
  <w:endnote w:type="continuationSeparator" w:id="0">
    <w:p w:rsidR="00143D43" w:rsidRDefault="00143D43" w:rsidP="001727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TimesNewRoman">
    <w:panose1 w:val="00000000000000000000"/>
    <w:charset w:val="00"/>
    <w:family w:val="roman"/>
    <w:notTrueType/>
    <w:pitch w:val="default"/>
    <w:sig w:usb0="00000003" w:usb1="00000000" w:usb2="00000000" w:usb3="00000000" w:csb0="00000001" w:csb1="00000000"/>
  </w:font>
  <w:font w:name="MyriadPro-Regular">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64846"/>
      <w:docPartObj>
        <w:docPartGallery w:val="Page Numbers (Bottom of Page)"/>
        <w:docPartUnique/>
      </w:docPartObj>
    </w:sdtPr>
    <w:sdtEndPr/>
    <w:sdtContent>
      <w:p w:rsidR="00B443D5" w:rsidRDefault="00B443D5">
        <w:pPr>
          <w:pStyle w:val="Footer"/>
          <w:jc w:val="center"/>
        </w:pPr>
        <w:r>
          <w:fldChar w:fldCharType="begin"/>
        </w:r>
        <w:r>
          <w:instrText xml:space="preserve"> PAGE   \* MERGEFORMAT </w:instrText>
        </w:r>
        <w:r>
          <w:fldChar w:fldCharType="separate"/>
        </w:r>
        <w:r w:rsidR="00680F25">
          <w:rPr>
            <w:noProof/>
          </w:rPr>
          <w:t>1</w:t>
        </w:r>
        <w:r>
          <w:rPr>
            <w:noProof/>
          </w:rPr>
          <w:fldChar w:fldCharType="end"/>
        </w:r>
      </w:p>
    </w:sdtContent>
  </w:sdt>
  <w:p w:rsidR="00B443D5" w:rsidRDefault="00B443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3D43" w:rsidRDefault="00143D43" w:rsidP="00172730">
      <w:pPr>
        <w:spacing w:after="0" w:line="240" w:lineRule="auto"/>
      </w:pPr>
      <w:r>
        <w:separator/>
      </w:r>
    </w:p>
  </w:footnote>
  <w:footnote w:type="continuationSeparator" w:id="0">
    <w:p w:rsidR="00143D43" w:rsidRDefault="00143D43" w:rsidP="00172730">
      <w:pPr>
        <w:spacing w:after="0" w:line="240" w:lineRule="auto"/>
      </w:pPr>
      <w:r>
        <w:continuationSeparator/>
      </w:r>
    </w:p>
  </w:footnote>
  <w:footnote w:id="1">
    <w:p w:rsidR="00B443D5" w:rsidRPr="003E4021" w:rsidRDefault="00B443D5">
      <w:pPr>
        <w:pStyle w:val="FootnoteText"/>
        <w:rPr>
          <w:lang w:val="es-ES_tradnl"/>
        </w:rPr>
      </w:pPr>
      <w:r>
        <w:rPr>
          <w:rStyle w:val="FootnoteReference"/>
        </w:rPr>
        <w:footnoteRef/>
      </w:r>
      <w:r>
        <w:t xml:space="preserve"> El tipo de cambio</w:t>
      </w:r>
      <w:r>
        <w:rPr>
          <w:rFonts w:cs="Times New Roman"/>
          <w:lang w:val="es-ES_tradnl"/>
        </w:rPr>
        <w:t xml:space="preserve"> ubica en $28,5/US$ en agosto de 2015, igualando el promedio previsto para el año 2016 de la encuesta de expectativas del BCU.</w:t>
      </w:r>
    </w:p>
  </w:footnote>
  <w:footnote w:id="2">
    <w:p w:rsidR="00B443D5" w:rsidRPr="00C334B2" w:rsidRDefault="00B443D5" w:rsidP="00C334B2">
      <w:pPr>
        <w:spacing w:after="180" w:line="264" w:lineRule="auto"/>
        <w:jc w:val="both"/>
        <w:rPr>
          <w:rFonts w:asciiTheme="minorHAnsi" w:hAnsiTheme="minorHAnsi" w:cs="Times New Roman"/>
          <w:sz w:val="20"/>
          <w:szCs w:val="20"/>
          <w:lang w:val="es-ES_tradnl"/>
        </w:rPr>
      </w:pPr>
      <w:r>
        <w:rPr>
          <w:rStyle w:val="FootnoteReference"/>
        </w:rPr>
        <w:footnoteRef/>
      </w:r>
      <w:r w:rsidRPr="00B443D5">
        <w:rPr>
          <w:lang w:val="en-US"/>
        </w:rPr>
        <w:t xml:space="preserve"> </w:t>
      </w:r>
      <w:r w:rsidRPr="00B443D5">
        <w:rPr>
          <w:rFonts w:asciiTheme="minorHAnsi" w:hAnsiTheme="minorHAnsi" w:cs="Times New Roman"/>
          <w:sz w:val="20"/>
          <w:szCs w:val="20"/>
          <w:lang w:val="en-US"/>
        </w:rPr>
        <w:t xml:space="preserve">Funke, K., Irwin T. y Rial I. (2013), </w:t>
      </w:r>
      <w:r w:rsidRPr="00B443D5">
        <w:rPr>
          <w:rFonts w:asciiTheme="minorHAnsi" w:hAnsiTheme="minorHAnsi" w:cs="Times New Roman"/>
          <w:i/>
          <w:sz w:val="20"/>
          <w:szCs w:val="20"/>
          <w:lang w:val="en-US"/>
        </w:rPr>
        <w:t>Budgeting and Reporting for Public-Private Partnerships</w:t>
      </w:r>
      <w:r w:rsidRPr="00B443D5">
        <w:rPr>
          <w:rFonts w:asciiTheme="minorHAnsi" w:hAnsiTheme="minorHAnsi" w:cs="Times New Roman"/>
          <w:sz w:val="20"/>
          <w:szCs w:val="20"/>
          <w:lang w:val="en-US"/>
        </w:rPr>
        <w:t xml:space="preserve">. </w:t>
      </w:r>
      <w:r w:rsidRPr="00C334B2">
        <w:rPr>
          <w:rFonts w:asciiTheme="minorHAnsi" w:hAnsiTheme="minorHAnsi" w:cs="Times New Roman"/>
          <w:sz w:val="20"/>
          <w:szCs w:val="20"/>
          <w:lang w:val="es-ES_tradnl"/>
        </w:rPr>
        <w:t xml:space="preserve">International </w:t>
      </w:r>
      <w:proofErr w:type="spellStart"/>
      <w:r w:rsidRPr="00C334B2">
        <w:rPr>
          <w:rFonts w:asciiTheme="minorHAnsi" w:hAnsiTheme="minorHAnsi" w:cs="Times New Roman"/>
          <w:sz w:val="20"/>
          <w:szCs w:val="20"/>
          <w:lang w:val="es-ES_tradnl"/>
        </w:rPr>
        <w:t>Transport</w:t>
      </w:r>
      <w:proofErr w:type="spellEnd"/>
      <w:r w:rsidRPr="00C334B2">
        <w:rPr>
          <w:rFonts w:asciiTheme="minorHAnsi" w:hAnsiTheme="minorHAnsi" w:cs="Times New Roman"/>
          <w:sz w:val="20"/>
          <w:szCs w:val="20"/>
          <w:lang w:val="es-ES_tradnl"/>
        </w:rPr>
        <w:t xml:space="preserve"> </w:t>
      </w:r>
      <w:proofErr w:type="spellStart"/>
      <w:r w:rsidRPr="00C334B2">
        <w:rPr>
          <w:rFonts w:asciiTheme="minorHAnsi" w:hAnsiTheme="minorHAnsi" w:cs="Times New Roman"/>
          <w:sz w:val="20"/>
          <w:szCs w:val="20"/>
          <w:lang w:val="es-ES_tradnl"/>
        </w:rPr>
        <w:t>Forum</w:t>
      </w:r>
      <w:proofErr w:type="spellEnd"/>
      <w:r w:rsidRPr="00C334B2">
        <w:rPr>
          <w:rFonts w:asciiTheme="minorHAnsi" w:hAnsiTheme="minorHAnsi" w:cs="Times New Roman"/>
          <w:sz w:val="20"/>
          <w:szCs w:val="20"/>
          <w:lang w:val="es-ES_tradnl"/>
        </w:rPr>
        <w:t xml:space="preserve">. </w:t>
      </w:r>
    </w:p>
    <w:p w:rsidR="00B443D5" w:rsidRPr="00C334B2" w:rsidRDefault="00B443D5">
      <w:pPr>
        <w:pStyle w:val="FootnoteText"/>
        <w:rPr>
          <w:lang w:val="es-ES_tradnl"/>
        </w:rPr>
      </w:pPr>
    </w:p>
  </w:footnote>
  <w:footnote w:id="3">
    <w:p w:rsidR="00B443D5" w:rsidRPr="00761825" w:rsidRDefault="00B443D5">
      <w:pPr>
        <w:pStyle w:val="FootnoteText"/>
        <w:rPr>
          <w:lang w:val="es-ES_tradnl"/>
        </w:rPr>
      </w:pPr>
      <w:r>
        <w:rPr>
          <w:rStyle w:val="FootnoteReference"/>
        </w:rPr>
        <w:footnoteRef/>
      </w:r>
      <w:r>
        <w:t xml:space="preserve"> </w:t>
      </w:r>
      <w:r>
        <w:rPr>
          <w:rFonts w:ascii="Arial" w:hAnsi="Arial" w:cs="Arial"/>
          <w:color w:val="222222"/>
          <w:sz w:val="16"/>
          <w:szCs w:val="16"/>
          <w:shd w:val="clear" w:color="auto" w:fill="FFFFFF"/>
        </w:rPr>
        <w:t>Desarrollo de una red de trasmisión para atender la ampliación de pequeñas unidades generadoras de energía (eólicos, renovables, etc.)</w:t>
      </w:r>
    </w:p>
  </w:footnote>
  <w:footnote w:id="4">
    <w:p w:rsidR="00B443D5" w:rsidRPr="00B443D5" w:rsidRDefault="00B443D5" w:rsidP="00EA0759">
      <w:pPr>
        <w:pStyle w:val="FootnoteText"/>
        <w:rPr>
          <w:lang w:val="en-US"/>
        </w:rPr>
      </w:pPr>
      <w:r>
        <w:rPr>
          <w:rStyle w:val="FootnoteReference"/>
        </w:rPr>
        <w:footnoteRef/>
      </w:r>
      <w:r w:rsidRPr="00B443D5">
        <w:rPr>
          <w:lang w:val="en-US"/>
        </w:rPr>
        <w:t xml:space="preserve"> Public Private Partnerships (2004), </w:t>
      </w:r>
      <w:r w:rsidRPr="00B443D5">
        <w:rPr>
          <w:rFonts w:cs="TimesNewRoman"/>
          <w:lang w:val="en-US"/>
        </w:rPr>
        <w:t xml:space="preserve">Fiscal Affairs Department, </w:t>
      </w:r>
      <w:r w:rsidRPr="00B443D5">
        <w:rPr>
          <w:lang w:val="en-US"/>
        </w:rPr>
        <w:t xml:space="preserve">International Monetary Fund. </w:t>
      </w:r>
    </w:p>
  </w:footnote>
  <w:footnote w:id="5">
    <w:p w:rsidR="00B443D5" w:rsidRPr="00B443D5" w:rsidRDefault="00B443D5" w:rsidP="00C334B2">
      <w:pPr>
        <w:autoSpaceDE w:val="0"/>
        <w:autoSpaceDN w:val="0"/>
        <w:adjustRightInd w:val="0"/>
        <w:spacing w:after="0" w:line="240" w:lineRule="auto"/>
        <w:rPr>
          <w:rFonts w:asciiTheme="minorHAnsi" w:hAnsiTheme="minorHAnsi"/>
          <w:sz w:val="20"/>
          <w:szCs w:val="20"/>
          <w:lang w:val="en-US"/>
        </w:rPr>
      </w:pPr>
      <w:r>
        <w:rPr>
          <w:rStyle w:val="FootnoteReference"/>
        </w:rPr>
        <w:footnoteRef/>
      </w:r>
      <w:r w:rsidRPr="00B443D5">
        <w:rPr>
          <w:lang w:val="en-US"/>
        </w:rPr>
        <w:t xml:space="preserve"> </w:t>
      </w:r>
      <w:r w:rsidRPr="00B443D5">
        <w:rPr>
          <w:rFonts w:asciiTheme="minorHAnsi" w:eastAsiaTheme="minorHAnsi" w:hAnsiTheme="minorHAnsi" w:cstheme="minorBidi"/>
          <w:sz w:val="20"/>
          <w:szCs w:val="20"/>
          <w:lang w:val="en-US"/>
        </w:rPr>
        <w:t>Eurostat Treatment of Public-Private Partnerships - Purposes, Methodology and Recent Trends (2011), European PPP Expertise Center.</w:t>
      </w:r>
      <w:r w:rsidRPr="00B443D5">
        <w:rPr>
          <w:rFonts w:asciiTheme="minorHAnsi" w:eastAsiaTheme="minorHAnsi" w:hAnsiTheme="minorHAnsi" w:cs="MyriadPro-Regular"/>
          <w:color w:val="0A4FFF"/>
          <w:sz w:val="20"/>
          <w:szCs w:val="20"/>
          <w:lang w:val="en-US"/>
        </w:rPr>
        <w:t xml:space="preserve"> </w:t>
      </w:r>
    </w:p>
  </w:footnote>
  <w:footnote w:id="6">
    <w:p w:rsidR="00B443D5" w:rsidRPr="00B443D5" w:rsidRDefault="00B443D5" w:rsidP="00416989">
      <w:pPr>
        <w:autoSpaceDE w:val="0"/>
        <w:autoSpaceDN w:val="0"/>
        <w:adjustRightInd w:val="0"/>
        <w:spacing w:after="0" w:line="240" w:lineRule="auto"/>
        <w:rPr>
          <w:rFonts w:asciiTheme="minorHAnsi" w:hAnsiTheme="minorHAnsi"/>
          <w:sz w:val="20"/>
          <w:szCs w:val="20"/>
          <w:lang w:val="en-US"/>
        </w:rPr>
      </w:pPr>
      <w:r>
        <w:rPr>
          <w:rStyle w:val="FootnoteReference"/>
        </w:rPr>
        <w:footnoteRef/>
      </w:r>
      <w:r w:rsidRPr="00B443D5">
        <w:rPr>
          <w:lang w:val="en-US"/>
        </w:rPr>
        <w:t xml:space="preserve"> </w:t>
      </w:r>
      <w:r w:rsidRPr="00B443D5">
        <w:rPr>
          <w:rFonts w:asciiTheme="minorHAnsi" w:eastAsiaTheme="minorHAnsi" w:hAnsiTheme="minorHAnsi" w:cstheme="minorBidi"/>
          <w:sz w:val="20"/>
          <w:szCs w:val="20"/>
          <w:lang w:val="en-US"/>
        </w:rPr>
        <w:t>Eurostat Treatment of Public-Private Partnerships - Purposes, Methodology and Recent Trends (2011), European PPP Expertise Center.</w:t>
      </w:r>
      <w:r w:rsidRPr="00B443D5">
        <w:rPr>
          <w:rFonts w:asciiTheme="minorHAnsi" w:eastAsiaTheme="minorHAnsi" w:hAnsiTheme="minorHAnsi" w:cs="MyriadPro-Regular"/>
          <w:color w:val="0A4FFF"/>
          <w:sz w:val="20"/>
          <w:szCs w:val="20"/>
          <w:lang w:val="en-US"/>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65DE8"/>
    <w:multiLevelType w:val="hybridMultilevel"/>
    <w:tmpl w:val="B93A9EC4"/>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
    <w:nsid w:val="03FA4960"/>
    <w:multiLevelType w:val="hybridMultilevel"/>
    <w:tmpl w:val="5006742E"/>
    <w:lvl w:ilvl="0" w:tplc="8D209BDC">
      <w:start w:val="1"/>
      <w:numFmt w:val="bullet"/>
      <w:lvlText w:val="•"/>
      <w:lvlJc w:val="left"/>
      <w:pPr>
        <w:tabs>
          <w:tab w:val="num" w:pos="720"/>
        </w:tabs>
        <w:ind w:left="720" w:hanging="360"/>
      </w:pPr>
      <w:rPr>
        <w:rFonts w:ascii="Arial" w:hAnsi="Arial" w:hint="default"/>
      </w:rPr>
    </w:lvl>
    <w:lvl w:ilvl="1" w:tplc="EA649C34">
      <w:start w:val="825"/>
      <w:numFmt w:val="bullet"/>
      <w:lvlText w:val="–"/>
      <w:lvlJc w:val="left"/>
      <w:pPr>
        <w:tabs>
          <w:tab w:val="num" w:pos="1440"/>
        </w:tabs>
        <w:ind w:left="1440" w:hanging="360"/>
      </w:pPr>
      <w:rPr>
        <w:rFonts w:ascii="Arial" w:hAnsi="Arial" w:hint="default"/>
      </w:rPr>
    </w:lvl>
    <w:lvl w:ilvl="2" w:tplc="08AAB6F0" w:tentative="1">
      <w:start w:val="1"/>
      <w:numFmt w:val="bullet"/>
      <w:lvlText w:val="•"/>
      <w:lvlJc w:val="left"/>
      <w:pPr>
        <w:tabs>
          <w:tab w:val="num" w:pos="2160"/>
        </w:tabs>
        <w:ind w:left="2160" w:hanging="360"/>
      </w:pPr>
      <w:rPr>
        <w:rFonts w:ascii="Arial" w:hAnsi="Arial" w:hint="default"/>
      </w:rPr>
    </w:lvl>
    <w:lvl w:ilvl="3" w:tplc="8B50282A" w:tentative="1">
      <w:start w:val="1"/>
      <w:numFmt w:val="bullet"/>
      <w:lvlText w:val="•"/>
      <w:lvlJc w:val="left"/>
      <w:pPr>
        <w:tabs>
          <w:tab w:val="num" w:pos="2880"/>
        </w:tabs>
        <w:ind w:left="2880" w:hanging="360"/>
      </w:pPr>
      <w:rPr>
        <w:rFonts w:ascii="Arial" w:hAnsi="Arial" w:hint="default"/>
      </w:rPr>
    </w:lvl>
    <w:lvl w:ilvl="4" w:tplc="5074DE58" w:tentative="1">
      <w:start w:val="1"/>
      <w:numFmt w:val="bullet"/>
      <w:lvlText w:val="•"/>
      <w:lvlJc w:val="left"/>
      <w:pPr>
        <w:tabs>
          <w:tab w:val="num" w:pos="3600"/>
        </w:tabs>
        <w:ind w:left="3600" w:hanging="360"/>
      </w:pPr>
      <w:rPr>
        <w:rFonts w:ascii="Arial" w:hAnsi="Arial" w:hint="default"/>
      </w:rPr>
    </w:lvl>
    <w:lvl w:ilvl="5" w:tplc="5F90A130" w:tentative="1">
      <w:start w:val="1"/>
      <w:numFmt w:val="bullet"/>
      <w:lvlText w:val="•"/>
      <w:lvlJc w:val="left"/>
      <w:pPr>
        <w:tabs>
          <w:tab w:val="num" w:pos="4320"/>
        </w:tabs>
        <w:ind w:left="4320" w:hanging="360"/>
      </w:pPr>
      <w:rPr>
        <w:rFonts w:ascii="Arial" w:hAnsi="Arial" w:hint="default"/>
      </w:rPr>
    </w:lvl>
    <w:lvl w:ilvl="6" w:tplc="3288E8AC" w:tentative="1">
      <w:start w:val="1"/>
      <w:numFmt w:val="bullet"/>
      <w:lvlText w:val="•"/>
      <w:lvlJc w:val="left"/>
      <w:pPr>
        <w:tabs>
          <w:tab w:val="num" w:pos="5040"/>
        </w:tabs>
        <w:ind w:left="5040" w:hanging="360"/>
      </w:pPr>
      <w:rPr>
        <w:rFonts w:ascii="Arial" w:hAnsi="Arial" w:hint="default"/>
      </w:rPr>
    </w:lvl>
    <w:lvl w:ilvl="7" w:tplc="A422461A" w:tentative="1">
      <w:start w:val="1"/>
      <w:numFmt w:val="bullet"/>
      <w:lvlText w:val="•"/>
      <w:lvlJc w:val="left"/>
      <w:pPr>
        <w:tabs>
          <w:tab w:val="num" w:pos="5760"/>
        </w:tabs>
        <w:ind w:left="5760" w:hanging="360"/>
      </w:pPr>
      <w:rPr>
        <w:rFonts w:ascii="Arial" w:hAnsi="Arial" w:hint="default"/>
      </w:rPr>
    </w:lvl>
    <w:lvl w:ilvl="8" w:tplc="A25C250A" w:tentative="1">
      <w:start w:val="1"/>
      <w:numFmt w:val="bullet"/>
      <w:lvlText w:val="•"/>
      <w:lvlJc w:val="left"/>
      <w:pPr>
        <w:tabs>
          <w:tab w:val="num" w:pos="6480"/>
        </w:tabs>
        <w:ind w:left="6480" w:hanging="360"/>
      </w:pPr>
      <w:rPr>
        <w:rFonts w:ascii="Arial" w:hAnsi="Arial" w:hint="default"/>
      </w:rPr>
    </w:lvl>
  </w:abstractNum>
  <w:abstractNum w:abstractNumId="2">
    <w:nsid w:val="06C85112"/>
    <w:multiLevelType w:val="hybridMultilevel"/>
    <w:tmpl w:val="74323F3E"/>
    <w:lvl w:ilvl="0" w:tplc="380A000F">
      <w:start w:val="1"/>
      <w:numFmt w:val="decimal"/>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3">
    <w:nsid w:val="0BEF12D7"/>
    <w:multiLevelType w:val="hybridMultilevel"/>
    <w:tmpl w:val="C72EDBF8"/>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4">
    <w:nsid w:val="12CF4858"/>
    <w:multiLevelType w:val="hybridMultilevel"/>
    <w:tmpl w:val="36F0F950"/>
    <w:lvl w:ilvl="0" w:tplc="18749DBA">
      <w:start w:val="1"/>
      <w:numFmt w:val="bullet"/>
      <w:lvlText w:val="•"/>
      <w:lvlJc w:val="left"/>
      <w:pPr>
        <w:ind w:left="1428" w:hanging="360"/>
      </w:pPr>
      <w:rPr>
        <w:rFonts w:ascii="Arial" w:hAnsi="Arial" w:hint="default"/>
      </w:rPr>
    </w:lvl>
    <w:lvl w:ilvl="1" w:tplc="380A0003" w:tentative="1">
      <w:start w:val="1"/>
      <w:numFmt w:val="bullet"/>
      <w:lvlText w:val="o"/>
      <w:lvlJc w:val="left"/>
      <w:pPr>
        <w:ind w:left="2148" w:hanging="360"/>
      </w:pPr>
      <w:rPr>
        <w:rFonts w:ascii="Courier New" w:hAnsi="Courier New" w:cs="Courier New" w:hint="default"/>
      </w:rPr>
    </w:lvl>
    <w:lvl w:ilvl="2" w:tplc="380A0005" w:tentative="1">
      <w:start w:val="1"/>
      <w:numFmt w:val="bullet"/>
      <w:lvlText w:val=""/>
      <w:lvlJc w:val="left"/>
      <w:pPr>
        <w:ind w:left="2868" w:hanging="360"/>
      </w:pPr>
      <w:rPr>
        <w:rFonts w:ascii="Wingdings" w:hAnsi="Wingdings" w:hint="default"/>
      </w:rPr>
    </w:lvl>
    <w:lvl w:ilvl="3" w:tplc="380A0001" w:tentative="1">
      <w:start w:val="1"/>
      <w:numFmt w:val="bullet"/>
      <w:lvlText w:val=""/>
      <w:lvlJc w:val="left"/>
      <w:pPr>
        <w:ind w:left="3588" w:hanging="360"/>
      </w:pPr>
      <w:rPr>
        <w:rFonts w:ascii="Symbol" w:hAnsi="Symbol" w:hint="default"/>
      </w:rPr>
    </w:lvl>
    <w:lvl w:ilvl="4" w:tplc="380A0003" w:tentative="1">
      <w:start w:val="1"/>
      <w:numFmt w:val="bullet"/>
      <w:lvlText w:val="o"/>
      <w:lvlJc w:val="left"/>
      <w:pPr>
        <w:ind w:left="4308" w:hanging="360"/>
      </w:pPr>
      <w:rPr>
        <w:rFonts w:ascii="Courier New" w:hAnsi="Courier New" w:cs="Courier New" w:hint="default"/>
      </w:rPr>
    </w:lvl>
    <w:lvl w:ilvl="5" w:tplc="380A0005" w:tentative="1">
      <w:start w:val="1"/>
      <w:numFmt w:val="bullet"/>
      <w:lvlText w:val=""/>
      <w:lvlJc w:val="left"/>
      <w:pPr>
        <w:ind w:left="5028" w:hanging="360"/>
      </w:pPr>
      <w:rPr>
        <w:rFonts w:ascii="Wingdings" w:hAnsi="Wingdings" w:hint="default"/>
      </w:rPr>
    </w:lvl>
    <w:lvl w:ilvl="6" w:tplc="380A0001" w:tentative="1">
      <w:start w:val="1"/>
      <w:numFmt w:val="bullet"/>
      <w:lvlText w:val=""/>
      <w:lvlJc w:val="left"/>
      <w:pPr>
        <w:ind w:left="5748" w:hanging="360"/>
      </w:pPr>
      <w:rPr>
        <w:rFonts w:ascii="Symbol" w:hAnsi="Symbol" w:hint="default"/>
      </w:rPr>
    </w:lvl>
    <w:lvl w:ilvl="7" w:tplc="380A0003" w:tentative="1">
      <w:start w:val="1"/>
      <w:numFmt w:val="bullet"/>
      <w:lvlText w:val="o"/>
      <w:lvlJc w:val="left"/>
      <w:pPr>
        <w:ind w:left="6468" w:hanging="360"/>
      </w:pPr>
      <w:rPr>
        <w:rFonts w:ascii="Courier New" w:hAnsi="Courier New" w:cs="Courier New" w:hint="default"/>
      </w:rPr>
    </w:lvl>
    <w:lvl w:ilvl="8" w:tplc="380A0005" w:tentative="1">
      <w:start w:val="1"/>
      <w:numFmt w:val="bullet"/>
      <w:lvlText w:val=""/>
      <w:lvlJc w:val="left"/>
      <w:pPr>
        <w:ind w:left="7188" w:hanging="360"/>
      </w:pPr>
      <w:rPr>
        <w:rFonts w:ascii="Wingdings" w:hAnsi="Wingdings" w:hint="default"/>
      </w:rPr>
    </w:lvl>
  </w:abstractNum>
  <w:abstractNum w:abstractNumId="5">
    <w:nsid w:val="15870EEE"/>
    <w:multiLevelType w:val="hybridMultilevel"/>
    <w:tmpl w:val="99223996"/>
    <w:lvl w:ilvl="0" w:tplc="380A000D">
      <w:start w:val="1"/>
      <w:numFmt w:val="bullet"/>
      <w:lvlText w:val=""/>
      <w:lvlJc w:val="left"/>
      <w:pPr>
        <w:ind w:left="1440" w:hanging="360"/>
      </w:pPr>
      <w:rPr>
        <w:rFonts w:ascii="Wingdings" w:hAnsi="Wingdings" w:hint="default"/>
      </w:rPr>
    </w:lvl>
    <w:lvl w:ilvl="1" w:tplc="380A0003" w:tentative="1">
      <w:start w:val="1"/>
      <w:numFmt w:val="bullet"/>
      <w:lvlText w:val="o"/>
      <w:lvlJc w:val="left"/>
      <w:pPr>
        <w:ind w:left="2160" w:hanging="360"/>
      </w:pPr>
      <w:rPr>
        <w:rFonts w:ascii="Courier New" w:hAnsi="Courier New" w:cs="Courier New" w:hint="default"/>
      </w:rPr>
    </w:lvl>
    <w:lvl w:ilvl="2" w:tplc="380A0005" w:tentative="1">
      <w:start w:val="1"/>
      <w:numFmt w:val="bullet"/>
      <w:lvlText w:val=""/>
      <w:lvlJc w:val="left"/>
      <w:pPr>
        <w:ind w:left="2880" w:hanging="360"/>
      </w:pPr>
      <w:rPr>
        <w:rFonts w:ascii="Wingdings" w:hAnsi="Wingdings" w:hint="default"/>
      </w:rPr>
    </w:lvl>
    <w:lvl w:ilvl="3" w:tplc="380A0001" w:tentative="1">
      <w:start w:val="1"/>
      <w:numFmt w:val="bullet"/>
      <w:lvlText w:val=""/>
      <w:lvlJc w:val="left"/>
      <w:pPr>
        <w:ind w:left="3600" w:hanging="360"/>
      </w:pPr>
      <w:rPr>
        <w:rFonts w:ascii="Symbol" w:hAnsi="Symbol" w:hint="default"/>
      </w:rPr>
    </w:lvl>
    <w:lvl w:ilvl="4" w:tplc="380A0003" w:tentative="1">
      <w:start w:val="1"/>
      <w:numFmt w:val="bullet"/>
      <w:lvlText w:val="o"/>
      <w:lvlJc w:val="left"/>
      <w:pPr>
        <w:ind w:left="4320" w:hanging="360"/>
      </w:pPr>
      <w:rPr>
        <w:rFonts w:ascii="Courier New" w:hAnsi="Courier New" w:cs="Courier New" w:hint="default"/>
      </w:rPr>
    </w:lvl>
    <w:lvl w:ilvl="5" w:tplc="380A0005" w:tentative="1">
      <w:start w:val="1"/>
      <w:numFmt w:val="bullet"/>
      <w:lvlText w:val=""/>
      <w:lvlJc w:val="left"/>
      <w:pPr>
        <w:ind w:left="5040" w:hanging="360"/>
      </w:pPr>
      <w:rPr>
        <w:rFonts w:ascii="Wingdings" w:hAnsi="Wingdings" w:hint="default"/>
      </w:rPr>
    </w:lvl>
    <w:lvl w:ilvl="6" w:tplc="380A0001" w:tentative="1">
      <w:start w:val="1"/>
      <w:numFmt w:val="bullet"/>
      <w:lvlText w:val=""/>
      <w:lvlJc w:val="left"/>
      <w:pPr>
        <w:ind w:left="5760" w:hanging="360"/>
      </w:pPr>
      <w:rPr>
        <w:rFonts w:ascii="Symbol" w:hAnsi="Symbol" w:hint="default"/>
      </w:rPr>
    </w:lvl>
    <w:lvl w:ilvl="7" w:tplc="380A0003" w:tentative="1">
      <w:start w:val="1"/>
      <w:numFmt w:val="bullet"/>
      <w:lvlText w:val="o"/>
      <w:lvlJc w:val="left"/>
      <w:pPr>
        <w:ind w:left="6480" w:hanging="360"/>
      </w:pPr>
      <w:rPr>
        <w:rFonts w:ascii="Courier New" w:hAnsi="Courier New" w:cs="Courier New" w:hint="default"/>
      </w:rPr>
    </w:lvl>
    <w:lvl w:ilvl="8" w:tplc="380A0005" w:tentative="1">
      <w:start w:val="1"/>
      <w:numFmt w:val="bullet"/>
      <w:lvlText w:val=""/>
      <w:lvlJc w:val="left"/>
      <w:pPr>
        <w:ind w:left="7200" w:hanging="360"/>
      </w:pPr>
      <w:rPr>
        <w:rFonts w:ascii="Wingdings" w:hAnsi="Wingdings" w:hint="default"/>
      </w:rPr>
    </w:lvl>
  </w:abstractNum>
  <w:abstractNum w:abstractNumId="6">
    <w:nsid w:val="1B3B6A6C"/>
    <w:multiLevelType w:val="hybridMultilevel"/>
    <w:tmpl w:val="17BE22C2"/>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7">
    <w:nsid w:val="2085396B"/>
    <w:multiLevelType w:val="multilevel"/>
    <w:tmpl w:val="3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B8A0BAC"/>
    <w:multiLevelType w:val="multilevel"/>
    <w:tmpl w:val="380A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nsid w:val="2C724E9E"/>
    <w:multiLevelType w:val="hybridMultilevel"/>
    <w:tmpl w:val="8EEEB2A6"/>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0">
    <w:nsid w:val="2DA71D81"/>
    <w:multiLevelType w:val="hybridMultilevel"/>
    <w:tmpl w:val="0D4EA984"/>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1">
    <w:nsid w:val="3EC83620"/>
    <w:multiLevelType w:val="hybridMultilevel"/>
    <w:tmpl w:val="359C2496"/>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2">
    <w:nsid w:val="3FAF5F58"/>
    <w:multiLevelType w:val="hybridMultilevel"/>
    <w:tmpl w:val="0F1263AE"/>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3">
    <w:nsid w:val="44D3087B"/>
    <w:multiLevelType w:val="hybridMultilevel"/>
    <w:tmpl w:val="1924F00A"/>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4">
    <w:nsid w:val="47C47F88"/>
    <w:multiLevelType w:val="hybridMultilevel"/>
    <w:tmpl w:val="0DA26198"/>
    <w:lvl w:ilvl="0" w:tplc="380A000F">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5">
    <w:nsid w:val="499068BA"/>
    <w:multiLevelType w:val="hybridMultilevel"/>
    <w:tmpl w:val="E720351E"/>
    <w:lvl w:ilvl="0" w:tplc="380A000D">
      <w:start w:val="1"/>
      <w:numFmt w:val="bullet"/>
      <w:lvlText w:val=""/>
      <w:lvlJc w:val="left"/>
      <w:pPr>
        <w:ind w:left="720" w:hanging="360"/>
      </w:pPr>
      <w:rPr>
        <w:rFonts w:ascii="Wingdings" w:hAnsi="Wingdings"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6">
    <w:nsid w:val="4D045D11"/>
    <w:multiLevelType w:val="hybridMultilevel"/>
    <w:tmpl w:val="1D48B192"/>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7">
    <w:nsid w:val="5D7B0D36"/>
    <w:multiLevelType w:val="hybridMultilevel"/>
    <w:tmpl w:val="EDBA8B70"/>
    <w:lvl w:ilvl="0" w:tplc="380A000D">
      <w:start w:val="1"/>
      <w:numFmt w:val="bullet"/>
      <w:lvlText w:val=""/>
      <w:lvlJc w:val="left"/>
      <w:pPr>
        <w:ind w:left="720" w:hanging="360"/>
      </w:pPr>
      <w:rPr>
        <w:rFonts w:ascii="Wingdings" w:hAnsi="Wingdings"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8">
    <w:nsid w:val="5DAF5978"/>
    <w:multiLevelType w:val="hybridMultilevel"/>
    <w:tmpl w:val="677A5422"/>
    <w:lvl w:ilvl="0" w:tplc="380A000D">
      <w:start w:val="1"/>
      <w:numFmt w:val="bullet"/>
      <w:lvlText w:val=""/>
      <w:lvlJc w:val="left"/>
      <w:pPr>
        <w:ind w:left="720" w:hanging="360"/>
      </w:pPr>
      <w:rPr>
        <w:rFonts w:ascii="Wingdings" w:hAnsi="Wingdings"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9">
    <w:nsid w:val="5DCF1DEC"/>
    <w:multiLevelType w:val="hybridMultilevel"/>
    <w:tmpl w:val="299A3D5A"/>
    <w:lvl w:ilvl="0" w:tplc="380A000D">
      <w:start w:val="1"/>
      <w:numFmt w:val="bullet"/>
      <w:lvlText w:val=""/>
      <w:lvlJc w:val="left"/>
      <w:pPr>
        <w:ind w:left="1428" w:hanging="360"/>
      </w:pPr>
      <w:rPr>
        <w:rFonts w:ascii="Wingdings" w:hAnsi="Wingdings" w:hint="default"/>
      </w:rPr>
    </w:lvl>
    <w:lvl w:ilvl="1" w:tplc="380A0003" w:tentative="1">
      <w:start w:val="1"/>
      <w:numFmt w:val="bullet"/>
      <w:lvlText w:val="o"/>
      <w:lvlJc w:val="left"/>
      <w:pPr>
        <w:ind w:left="2148" w:hanging="360"/>
      </w:pPr>
      <w:rPr>
        <w:rFonts w:ascii="Courier New" w:hAnsi="Courier New" w:cs="Courier New" w:hint="default"/>
      </w:rPr>
    </w:lvl>
    <w:lvl w:ilvl="2" w:tplc="380A0005" w:tentative="1">
      <w:start w:val="1"/>
      <w:numFmt w:val="bullet"/>
      <w:lvlText w:val=""/>
      <w:lvlJc w:val="left"/>
      <w:pPr>
        <w:ind w:left="2868" w:hanging="360"/>
      </w:pPr>
      <w:rPr>
        <w:rFonts w:ascii="Wingdings" w:hAnsi="Wingdings" w:hint="default"/>
      </w:rPr>
    </w:lvl>
    <w:lvl w:ilvl="3" w:tplc="380A0001" w:tentative="1">
      <w:start w:val="1"/>
      <w:numFmt w:val="bullet"/>
      <w:lvlText w:val=""/>
      <w:lvlJc w:val="left"/>
      <w:pPr>
        <w:ind w:left="3588" w:hanging="360"/>
      </w:pPr>
      <w:rPr>
        <w:rFonts w:ascii="Symbol" w:hAnsi="Symbol" w:hint="default"/>
      </w:rPr>
    </w:lvl>
    <w:lvl w:ilvl="4" w:tplc="380A0003" w:tentative="1">
      <w:start w:val="1"/>
      <w:numFmt w:val="bullet"/>
      <w:lvlText w:val="o"/>
      <w:lvlJc w:val="left"/>
      <w:pPr>
        <w:ind w:left="4308" w:hanging="360"/>
      </w:pPr>
      <w:rPr>
        <w:rFonts w:ascii="Courier New" w:hAnsi="Courier New" w:cs="Courier New" w:hint="default"/>
      </w:rPr>
    </w:lvl>
    <w:lvl w:ilvl="5" w:tplc="380A0005" w:tentative="1">
      <w:start w:val="1"/>
      <w:numFmt w:val="bullet"/>
      <w:lvlText w:val=""/>
      <w:lvlJc w:val="left"/>
      <w:pPr>
        <w:ind w:left="5028" w:hanging="360"/>
      </w:pPr>
      <w:rPr>
        <w:rFonts w:ascii="Wingdings" w:hAnsi="Wingdings" w:hint="default"/>
      </w:rPr>
    </w:lvl>
    <w:lvl w:ilvl="6" w:tplc="380A0001" w:tentative="1">
      <w:start w:val="1"/>
      <w:numFmt w:val="bullet"/>
      <w:lvlText w:val=""/>
      <w:lvlJc w:val="left"/>
      <w:pPr>
        <w:ind w:left="5748" w:hanging="360"/>
      </w:pPr>
      <w:rPr>
        <w:rFonts w:ascii="Symbol" w:hAnsi="Symbol" w:hint="default"/>
      </w:rPr>
    </w:lvl>
    <w:lvl w:ilvl="7" w:tplc="380A0003" w:tentative="1">
      <w:start w:val="1"/>
      <w:numFmt w:val="bullet"/>
      <w:lvlText w:val="o"/>
      <w:lvlJc w:val="left"/>
      <w:pPr>
        <w:ind w:left="6468" w:hanging="360"/>
      </w:pPr>
      <w:rPr>
        <w:rFonts w:ascii="Courier New" w:hAnsi="Courier New" w:cs="Courier New" w:hint="default"/>
      </w:rPr>
    </w:lvl>
    <w:lvl w:ilvl="8" w:tplc="380A0005" w:tentative="1">
      <w:start w:val="1"/>
      <w:numFmt w:val="bullet"/>
      <w:lvlText w:val=""/>
      <w:lvlJc w:val="left"/>
      <w:pPr>
        <w:ind w:left="7188" w:hanging="360"/>
      </w:pPr>
      <w:rPr>
        <w:rFonts w:ascii="Wingdings" w:hAnsi="Wingdings" w:hint="default"/>
      </w:rPr>
    </w:lvl>
  </w:abstractNum>
  <w:abstractNum w:abstractNumId="20">
    <w:nsid w:val="6CB41555"/>
    <w:multiLevelType w:val="multilevel"/>
    <w:tmpl w:val="490EF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CDE53E4"/>
    <w:multiLevelType w:val="hybridMultilevel"/>
    <w:tmpl w:val="3D2C4690"/>
    <w:lvl w:ilvl="0" w:tplc="380A001B">
      <w:start w:val="1"/>
      <w:numFmt w:val="lowerRoman"/>
      <w:lvlText w:val="%1."/>
      <w:lvlJc w:val="righ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22">
    <w:nsid w:val="6D5B18CD"/>
    <w:multiLevelType w:val="hybridMultilevel"/>
    <w:tmpl w:val="38403C98"/>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23">
    <w:nsid w:val="7035668F"/>
    <w:multiLevelType w:val="hybridMultilevel"/>
    <w:tmpl w:val="6D188C6C"/>
    <w:lvl w:ilvl="0" w:tplc="99A61BA6">
      <w:start w:val="1"/>
      <w:numFmt w:val="bullet"/>
      <w:lvlText w:val="•"/>
      <w:lvlJc w:val="left"/>
      <w:pPr>
        <w:tabs>
          <w:tab w:val="num" w:pos="720"/>
        </w:tabs>
        <w:ind w:left="720" w:hanging="360"/>
      </w:pPr>
      <w:rPr>
        <w:rFonts w:ascii="Arial" w:hAnsi="Arial" w:hint="default"/>
      </w:rPr>
    </w:lvl>
    <w:lvl w:ilvl="1" w:tplc="1A188800">
      <w:start w:val="825"/>
      <w:numFmt w:val="bullet"/>
      <w:lvlText w:val="–"/>
      <w:lvlJc w:val="left"/>
      <w:pPr>
        <w:tabs>
          <w:tab w:val="num" w:pos="1440"/>
        </w:tabs>
        <w:ind w:left="1440" w:hanging="360"/>
      </w:pPr>
      <w:rPr>
        <w:rFonts w:ascii="Arial" w:hAnsi="Arial" w:hint="default"/>
      </w:rPr>
    </w:lvl>
    <w:lvl w:ilvl="2" w:tplc="E314040A" w:tentative="1">
      <w:start w:val="1"/>
      <w:numFmt w:val="bullet"/>
      <w:lvlText w:val="•"/>
      <w:lvlJc w:val="left"/>
      <w:pPr>
        <w:tabs>
          <w:tab w:val="num" w:pos="2160"/>
        </w:tabs>
        <w:ind w:left="2160" w:hanging="360"/>
      </w:pPr>
      <w:rPr>
        <w:rFonts w:ascii="Arial" w:hAnsi="Arial" w:hint="default"/>
      </w:rPr>
    </w:lvl>
    <w:lvl w:ilvl="3" w:tplc="56126976" w:tentative="1">
      <w:start w:val="1"/>
      <w:numFmt w:val="bullet"/>
      <w:lvlText w:val="•"/>
      <w:lvlJc w:val="left"/>
      <w:pPr>
        <w:tabs>
          <w:tab w:val="num" w:pos="2880"/>
        </w:tabs>
        <w:ind w:left="2880" w:hanging="360"/>
      </w:pPr>
      <w:rPr>
        <w:rFonts w:ascii="Arial" w:hAnsi="Arial" w:hint="default"/>
      </w:rPr>
    </w:lvl>
    <w:lvl w:ilvl="4" w:tplc="36F23504" w:tentative="1">
      <w:start w:val="1"/>
      <w:numFmt w:val="bullet"/>
      <w:lvlText w:val="•"/>
      <w:lvlJc w:val="left"/>
      <w:pPr>
        <w:tabs>
          <w:tab w:val="num" w:pos="3600"/>
        </w:tabs>
        <w:ind w:left="3600" w:hanging="360"/>
      </w:pPr>
      <w:rPr>
        <w:rFonts w:ascii="Arial" w:hAnsi="Arial" w:hint="default"/>
      </w:rPr>
    </w:lvl>
    <w:lvl w:ilvl="5" w:tplc="2612C89A" w:tentative="1">
      <w:start w:val="1"/>
      <w:numFmt w:val="bullet"/>
      <w:lvlText w:val="•"/>
      <w:lvlJc w:val="left"/>
      <w:pPr>
        <w:tabs>
          <w:tab w:val="num" w:pos="4320"/>
        </w:tabs>
        <w:ind w:left="4320" w:hanging="360"/>
      </w:pPr>
      <w:rPr>
        <w:rFonts w:ascii="Arial" w:hAnsi="Arial" w:hint="default"/>
      </w:rPr>
    </w:lvl>
    <w:lvl w:ilvl="6" w:tplc="60B8E714" w:tentative="1">
      <w:start w:val="1"/>
      <w:numFmt w:val="bullet"/>
      <w:lvlText w:val="•"/>
      <w:lvlJc w:val="left"/>
      <w:pPr>
        <w:tabs>
          <w:tab w:val="num" w:pos="5040"/>
        </w:tabs>
        <w:ind w:left="5040" w:hanging="360"/>
      </w:pPr>
      <w:rPr>
        <w:rFonts w:ascii="Arial" w:hAnsi="Arial" w:hint="default"/>
      </w:rPr>
    </w:lvl>
    <w:lvl w:ilvl="7" w:tplc="77DA8056" w:tentative="1">
      <w:start w:val="1"/>
      <w:numFmt w:val="bullet"/>
      <w:lvlText w:val="•"/>
      <w:lvlJc w:val="left"/>
      <w:pPr>
        <w:tabs>
          <w:tab w:val="num" w:pos="5760"/>
        </w:tabs>
        <w:ind w:left="5760" w:hanging="360"/>
      </w:pPr>
      <w:rPr>
        <w:rFonts w:ascii="Arial" w:hAnsi="Arial" w:hint="default"/>
      </w:rPr>
    </w:lvl>
    <w:lvl w:ilvl="8" w:tplc="D6224F9A" w:tentative="1">
      <w:start w:val="1"/>
      <w:numFmt w:val="bullet"/>
      <w:lvlText w:val="•"/>
      <w:lvlJc w:val="left"/>
      <w:pPr>
        <w:tabs>
          <w:tab w:val="num" w:pos="6480"/>
        </w:tabs>
        <w:ind w:left="6480" w:hanging="360"/>
      </w:pPr>
      <w:rPr>
        <w:rFonts w:ascii="Arial" w:hAnsi="Arial" w:hint="default"/>
      </w:rPr>
    </w:lvl>
  </w:abstractNum>
  <w:abstractNum w:abstractNumId="24">
    <w:nsid w:val="73974832"/>
    <w:multiLevelType w:val="hybridMultilevel"/>
    <w:tmpl w:val="F04C1B2E"/>
    <w:lvl w:ilvl="0" w:tplc="18749DBA">
      <w:start w:val="1"/>
      <w:numFmt w:val="bullet"/>
      <w:lvlText w:val="•"/>
      <w:lvlJc w:val="left"/>
      <w:pPr>
        <w:tabs>
          <w:tab w:val="num" w:pos="720"/>
        </w:tabs>
        <w:ind w:left="720" w:hanging="360"/>
      </w:pPr>
      <w:rPr>
        <w:rFonts w:ascii="Arial" w:hAnsi="Arial" w:hint="default"/>
      </w:rPr>
    </w:lvl>
    <w:lvl w:ilvl="1" w:tplc="52AAAB78">
      <w:start w:val="825"/>
      <w:numFmt w:val="bullet"/>
      <w:lvlText w:val="–"/>
      <w:lvlJc w:val="left"/>
      <w:pPr>
        <w:tabs>
          <w:tab w:val="num" w:pos="1440"/>
        </w:tabs>
        <w:ind w:left="1440" w:hanging="360"/>
      </w:pPr>
      <w:rPr>
        <w:rFonts w:ascii="Arial" w:hAnsi="Arial" w:hint="default"/>
      </w:rPr>
    </w:lvl>
    <w:lvl w:ilvl="2" w:tplc="8A148772" w:tentative="1">
      <w:start w:val="1"/>
      <w:numFmt w:val="bullet"/>
      <w:lvlText w:val="•"/>
      <w:lvlJc w:val="left"/>
      <w:pPr>
        <w:tabs>
          <w:tab w:val="num" w:pos="2160"/>
        </w:tabs>
        <w:ind w:left="2160" w:hanging="360"/>
      </w:pPr>
      <w:rPr>
        <w:rFonts w:ascii="Arial" w:hAnsi="Arial" w:hint="default"/>
      </w:rPr>
    </w:lvl>
    <w:lvl w:ilvl="3" w:tplc="8436896C" w:tentative="1">
      <w:start w:val="1"/>
      <w:numFmt w:val="bullet"/>
      <w:lvlText w:val="•"/>
      <w:lvlJc w:val="left"/>
      <w:pPr>
        <w:tabs>
          <w:tab w:val="num" w:pos="2880"/>
        </w:tabs>
        <w:ind w:left="2880" w:hanging="360"/>
      </w:pPr>
      <w:rPr>
        <w:rFonts w:ascii="Arial" w:hAnsi="Arial" w:hint="default"/>
      </w:rPr>
    </w:lvl>
    <w:lvl w:ilvl="4" w:tplc="6FA0BC4E" w:tentative="1">
      <w:start w:val="1"/>
      <w:numFmt w:val="bullet"/>
      <w:lvlText w:val="•"/>
      <w:lvlJc w:val="left"/>
      <w:pPr>
        <w:tabs>
          <w:tab w:val="num" w:pos="3600"/>
        </w:tabs>
        <w:ind w:left="3600" w:hanging="360"/>
      </w:pPr>
      <w:rPr>
        <w:rFonts w:ascii="Arial" w:hAnsi="Arial" w:hint="default"/>
      </w:rPr>
    </w:lvl>
    <w:lvl w:ilvl="5" w:tplc="A3B0455C" w:tentative="1">
      <w:start w:val="1"/>
      <w:numFmt w:val="bullet"/>
      <w:lvlText w:val="•"/>
      <w:lvlJc w:val="left"/>
      <w:pPr>
        <w:tabs>
          <w:tab w:val="num" w:pos="4320"/>
        </w:tabs>
        <w:ind w:left="4320" w:hanging="360"/>
      </w:pPr>
      <w:rPr>
        <w:rFonts w:ascii="Arial" w:hAnsi="Arial" w:hint="default"/>
      </w:rPr>
    </w:lvl>
    <w:lvl w:ilvl="6" w:tplc="40B4B0B4" w:tentative="1">
      <w:start w:val="1"/>
      <w:numFmt w:val="bullet"/>
      <w:lvlText w:val="•"/>
      <w:lvlJc w:val="left"/>
      <w:pPr>
        <w:tabs>
          <w:tab w:val="num" w:pos="5040"/>
        </w:tabs>
        <w:ind w:left="5040" w:hanging="360"/>
      </w:pPr>
      <w:rPr>
        <w:rFonts w:ascii="Arial" w:hAnsi="Arial" w:hint="default"/>
      </w:rPr>
    </w:lvl>
    <w:lvl w:ilvl="7" w:tplc="8D662238" w:tentative="1">
      <w:start w:val="1"/>
      <w:numFmt w:val="bullet"/>
      <w:lvlText w:val="•"/>
      <w:lvlJc w:val="left"/>
      <w:pPr>
        <w:tabs>
          <w:tab w:val="num" w:pos="5760"/>
        </w:tabs>
        <w:ind w:left="5760" w:hanging="360"/>
      </w:pPr>
      <w:rPr>
        <w:rFonts w:ascii="Arial" w:hAnsi="Arial" w:hint="default"/>
      </w:rPr>
    </w:lvl>
    <w:lvl w:ilvl="8" w:tplc="01DC90AC" w:tentative="1">
      <w:start w:val="1"/>
      <w:numFmt w:val="bullet"/>
      <w:lvlText w:val="•"/>
      <w:lvlJc w:val="left"/>
      <w:pPr>
        <w:tabs>
          <w:tab w:val="num" w:pos="6480"/>
        </w:tabs>
        <w:ind w:left="6480" w:hanging="360"/>
      </w:pPr>
      <w:rPr>
        <w:rFonts w:ascii="Arial" w:hAnsi="Arial" w:hint="default"/>
      </w:rPr>
    </w:lvl>
  </w:abstractNum>
  <w:abstractNum w:abstractNumId="25">
    <w:nsid w:val="75796A3A"/>
    <w:multiLevelType w:val="hybridMultilevel"/>
    <w:tmpl w:val="F85EC5F6"/>
    <w:lvl w:ilvl="0" w:tplc="380A000D">
      <w:start w:val="1"/>
      <w:numFmt w:val="bullet"/>
      <w:lvlText w:val=""/>
      <w:lvlJc w:val="left"/>
      <w:pPr>
        <w:ind w:left="1440" w:hanging="360"/>
      </w:pPr>
      <w:rPr>
        <w:rFonts w:ascii="Wingdings" w:hAnsi="Wingdings" w:hint="default"/>
      </w:rPr>
    </w:lvl>
    <w:lvl w:ilvl="1" w:tplc="380A0003" w:tentative="1">
      <w:start w:val="1"/>
      <w:numFmt w:val="bullet"/>
      <w:lvlText w:val="o"/>
      <w:lvlJc w:val="left"/>
      <w:pPr>
        <w:ind w:left="2160" w:hanging="360"/>
      </w:pPr>
      <w:rPr>
        <w:rFonts w:ascii="Courier New" w:hAnsi="Courier New" w:cs="Courier New" w:hint="default"/>
      </w:rPr>
    </w:lvl>
    <w:lvl w:ilvl="2" w:tplc="380A0005" w:tentative="1">
      <w:start w:val="1"/>
      <w:numFmt w:val="bullet"/>
      <w:lvlText w:val=""/>
      <w:lvlJc w:val="left"/>
      <w:pPr>
        <w:ind w:left="2880" w:hanging="360"/>
      </w:pPr>
      <w:rPr>
        <w:rFonts w:ascii="Wingdings" w:hAnsi="Wingdings" w:hint="default"/>
      </w:rPr>
    </w:lvl>
    <w:lvl w:ilvl="3" w:tplc="380A0001" w:tentative="1">
      <w:start w:val="1"/>
      <w:numFmt w:val="bullet"/>
      <w:lvlText w:val=""/>
      <w:lvlJc w:val="left"/>
      <w:pPr>
        <w:ind w:left="3600" w:hanging="360"/>
      </w:pPr>
      <w:rPr>
        <w:rFonts w:ascii="Symbol" w:hAnsi="Symbol" w:hint="default"/>
      </w:rPr>
    </w:lvl>
    <w:lvl w:ilvl="4" w:tplc="380A0003" w:tentative="1">
      <w:start w:val="1"/>
      <w:numFmt w:val="bullet"/>
      <w:lvlText w:val="o"/>
      <w:lvlJc w:val="left"/>
      <w:pPr>
        <w:ind w:left="4320" w:hanging="360"/>
      </w:pPr>
      <w:rPr>
        <w:rFonts w:ascii="Courier New" w:hAnsi="Courier New" w:cs="Courier New" w:hint="default"/>
      </w:rPr>
    </w:lvl>
    <w:lvl w:ilvl="5" w:tplc="380A0005" w:tentative="1">
      <w:start w:val="1"/>
      <w:numFmt w:val="bullet"/>
      <w:lvlText w:val=""/>
      <w:lvlJc w:val="left"/>
      <w:pPr>
        <w:ind w:left="5040" w:hanging="360"/>
      </w:pPr>
      <w:rPr>
        <w:rFonts w:ascii="Wingdings" w:hAnsi="Wingdings" w:hint="default"/>
      </w:rPr>
    </w:lvl>
    <w:lvl w:ilvl="6" w:tplc="380A0001" w:tentative="1">
      <w:start w:val="1"/>
      <w:numFmt w:val="bullet"/>
      <w:lvlText w:val=""/>
      <w:lvlJc w:val="left"/>
      <w:pPr>
        <w:ind w:left="5760" w:hanging="360"/>
      </w:pPr>
      <w:rPr>
        <w:rFonts w:ascii="Symbol" w:hAnsi="Symbol" w:hint="default"/>
      </w:rPr>
    </w:lvl>
    <w:lvl w:ilvl="7" w:tplc="380A0003" w:tentative="1">
      <w:start w:val="1"/>
      <w:numFmt w:val="bullet"/>
      <w:lvlText w:val="o"/>
      <w:lvlJc w:val="left"/>
      <w:pPr>
        <w:ind w:left="6480" w:hanging="360"/>
      </w:pPr>
      <w:rPr>
        <w:rFonts w:ascii="Courier New" w:hAnsi="Courier New" w:cs="Courier New" w:hint="default"/>
      </w:rPr>
    </w:lvl>
    <w:lvl w:ilvl="8" w:tplc="380A0005" w:tentative="1">
      <w:start w:val="1"/>
      <w:numFmt w:val="bullet"/>
      <w:lvlText w:val=""/>
      <w:lvlJc w:val="left"/>
      <w:pPr>
        <w:ind w:left="7200" w:hanging="360"/>
      </w:pPr>
      <w:rPr>
        <w:rFonts w:ascii="Wingdings" w:hAnsi="Wingdings" w:hint="default"/>
      </w:rPr>
    </w:lvl>
  </w:abstractNum>
  <w:abstractNum w:abstractNumId="26">
    <w:nsid w:val="77164FCB"/>
    <w:multiLevelType w:val="hybridMultilevel"/>
    <w:tmpl w:val="CC0CA5F2"/>
    <w:lvl w:ilvl="0" w:tplc="380A000D">
      <w:start w:val="1"/>
      <w:numFmt w:val="bullet"/>
      <w:lvlText w:val=""/>
      <w:lvlJc w:val="left"/>
      <w:pPr>
        <w:ind w:left="720" w:hanging="360"/>
      </w:pPr>
      <w:rPr>
        <w:rFonts w:ascii="Wingdings" w:hAnsi="Wingdings"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27">
    <w:nsid w:val="77D33049"/>
    <w:multiLevelType w:val="hybridMultilevel"/>
    <w:tmpl w:val="7D4EB738"/>
    <w:lvl w:ilvl="0" w:tplc="5864907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85F1D27"/>
    <w:multiLevelType w:val="hybridMultilevel"/>
    <w:tmpl w:val="488E033E"/>
    <w:lvl w:ilvl="0" w:tplc="B852DAF2">
      <w:start w:val="1"/>
      <w:numFmt w:val="decimal"/>
      <w:lvlText w:val="%1."/>
      <w:lvlJc w:val="left"/>
      <w:pPr>
        <w:tabs>
          <w:tab w:val="num" w:pos="720"/>
        </w:tabs>
        <w:ind w:left="720" w:hanging="360"/>
      </w:pPr>
    </w:lvl>
    <w:lvl w:ilvl="1" w:tplc="024448C4" w:tentative="1">
      <w:start w:val="1"/>
      <w:numFmt w:val="decimal"/>
      <w:lvlText w:val="%2."/>
      <w:lvlJc w:val="left"/>
      <w:pPr>
        <w:tabs>
          <w:tab w:val="num" w:pos="1440"/>
        </w:tabs>
        <w:ind w:left="1440" w:hanging="360"/>
      </w:pPr>
    </w:lvl>
    <w:lvl w:ilvl="2" w:tplc="11BCC8BC" w:tentative="1">
      <w:start w:val="1"/>
      <w:numFmt w:val="decimal"/>
      <w:lvlText w:val="%3."/>
      <w:lvlJc w:val="left"/>
      <w:pPr>
        <w:tabs>
          <w:tab w:val="num" w:pos="2160"/>
        </w:tabs>
        <w:ind w:left="2160" w:hanging="360"/>
      </w:pPr>
    </w:lvl>
    <w:lvl w:ilvl="3" w:tplc="89DC5142" w:tentative="1">
      <w:start w:val="1"/>
      <w:numFmt w:val="decimal"/>
      <w:lvlText w:val="%4."/>
      <w:lvlJc w:val="left"/>
      <w:pPr>
        <w:tabs>
          <w:tab w:val="num" w:pos="2880"/>
        </w:tabs>
        <w:ind w:left="2880" w:hanging="360"/>
      </w:pPr>
    </w:lvl>
    <w:lvl w:ilvl="4" w:tplc="C5BA232E" w:tentative="1">
      <w:start w:val="1"/>
      <w:numFmt w:val="decimal"/>
      <w:lvlText w:val="%5."/>
      <w:lvlJc w:val="left"/>
      <w:pPr>
        <w:tabs>
          <w:tab w:val="num" w:pos="3600"/>
        </w:tabs>
        <w:ind w:left="3600" w:hanging="360"/>
      </w:pPr>
    </w:lvl>
    <w:lvl w:ilvl="5" w:tplc="FC6C6B76" w:tentative="1">
      <w:start w:val="1"/>
      <w:numFmt w:val="decimal"/>
      <w:lvlText w:val="%6."/>
      <w:lvlJc w:val="left"/>
      <w:pPr>
        <w:tabs>
          <w:tab w:val="num" w:pos="4320"/>
        </w:tabs>
        <w:ind w:left="4320" w:hanging="360"/>
      </w:pPr>
    </w:lvl>
    <w:lvl w:ilvl="6" w:tplc="ED2A24A0" w:tentative="1">
      <w:start w:val="1"/>
      <w:numFmt w:val="decimal"/>
      <w:lvlText w:val="%7."/>
      <w:lvlJc w:val="left"/>
      <w:pPr>
        <w:tabs>
          <w:tab w:val="num" w:pos="5040"/>
        </w:tabs>
        <w:ind w:left="5040" w:hanging="360"/>
      </w:pPr>
    </w:lvl>
    <w:lvl w:ilvl="7" w:tplc="5D7A948A" w:tentative="1">
      <w:start w:val="1"/>
      <w:numFmt w:val="decimal"/>
      <w:lvlText w:val="%8."/>
      <w:lvlJc w:val="left"/>
      <w:pPr>
        <w:tabs>
          <w:tab w:val="num" w:pos="5760"/>
        </w:tabs>
        <w:ind w:left="5760" w:hanging="360"/>
      </w:pPr>
    </w:lvl>
    <w:lvl w:ilvl="8" w:tplc="F1F628FC" w:tentative="1">
      <w:start w:val="1"/>
      <w:numFmt w:val="decimal"/>
      <w:lvlText w:val="%9."/>
      <w:lvlJc w:val="left"/>
      <w:pPr>
        <w:tabs>
          <w:tab w:val="num" w:pos="6480"/>
        </w:tabs>
        <w:ind w:left="6480" w:hanging="360"/>
      </w:pPr>
    </w:lvl>
  </w:abstractNum>
  <w:abstractNum w:abstractNumId="29">
    <w:nsid w:val="7BDD202F"/>
    <w:multiLevelType w:val="multilevel"/>
    <w:tmpl w:val="BC7EA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27"/>
  </w:num>
  <w:num w:numId="3">
    <w:abstractNumId w:val="14"/>
  </w:num>
  <w:num w:numId="4">
    <w:abstractNumId w:val="20"/>
  </w:num>
  <w:num w:numId="5">
    <w:abstractNumId w:val="29"/>
  </w:num>
  <w:num w:numId="6">
    <w:abstractNumId w:val="16"/>
  </w:num>
  <w:num w:numId="7">
    <w:abstractNumId w:val="11"/>
  </w:num>
  <w:num w:numId="8">
    <w:abstractNumId w:val="3"/>
  </w:num>
  <w:num w:numId="9">
    <w:abstractNumId w:val="13"/>
  </w:num>
  <w:num w:numId="10">
    <w:abstractNumId w:val="0"/>
  </w:num>
  <w:num w:numId="11">
    <w:abstractNumId w:val="6"/>
  </w:num>
  <w:num w:numId="12">
    <w:abstractNumId w:val="17"/>
  </w:num>
  <w:num w:numId="13">
    <w:abstractNumId w:val="2"/>
  </w:num>
  <w:num w:numId="14">
    <w:abstractNumId w:val="21"/>
  </w:num>
  <w:num w:numId="15">
    <w:abstractNumId w:val="5"/>
  </w:num>
  <w:num w:numId="16">
    <w:abstractNumId w:val="25"/>
  </w:num>
  <w:num w:numId="17">
    <w:abstractNumId w:val="8"/>
  </w:num>
  <w:num w:numId="18">
    <w:abstractNumId w:val="1"/>
  </w:num>
  <w:num w:numId="19">
    <w:abstractNumId w:val="28"/>
  </w:num>
  <w:num w:numId="20">
    <w:abstractNumId w:val="24"/>
  </w:num>
  <w:num w:numId="21">
    <w:abstractNumId w:val="23"/>
  </w:num>
  <w:num w:numId="22">
    <w:abstractNumId w:val="9"/>
  </w:num>
  <w:num w:numId="23">
    <w:abstractNumId w:val="12"/>
  </w:num>
  <w:num w:numId="24">
    <w:abstractNumId w:val="10"/>
  </w:num>
  <w:num w:numId="25">
    <w:abstractNumId w:val="26"/>
  </w:num>
  <w:num w:numId="26">
    <w:abstractNumId w:val="22"/>
  </w:num>
  <w:num w:numId="27">
    <w:abstractNumId w:val="18"/>
  </w:num>
  <w:num w:numId="28">
    <w:abstractNumId w:val="15"/>
  </w:num>
  <w:num w:numId="29">
    <w:abstractNumId w:val="19"/>
  </w:num>
  <w:num w:numId="30">
    <w:abstractNumId w:val="4"/>
  </w:num>
  <w:num w:numId="31">
    <w:abstractNumId w:val="8"/>
  </w:num>
  <w:num w:numId="32">
    <w:abstractNumId w:val="8"/>
  </w:num>
  <w:num w:numId="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84369"/>
    <w:rsid w:val="0000180E"/>
    <w:rsid w:val="000079F7"/>
    <w:rsid w:val="0002300C"/>
    <w:rsid w:val="0003231D"/>
    <w:rsid w:val="00047EAB"/>
    <w:rsid w:val="00050C27"/>
    <w:rsid w:val="000539E2"/>
    <w:rsid w:val="00055980"/>
    <w:rsid w:val="00056B7B"/>
    <w:rsid w:val="000572AD"/>
    <w:rsid w:val="00057566"/>
    <w:rsid w:val="0006244B"/>
    <w:rsid w:val="00065F78"/>
    <w:rsid w:val="000830C5"/>
    <w:rsid w:val="0009477C"/>
    <w:rsid w:val="000A38C4"/>
    <w:rsid w:val="000B1176"/>
    <w:rsid w:val="000B609B"/>
    <w:rsid w:val="000E3E61"/>
    <w:rsid w:val="000E56F2"/>
    <w:rsid w:val="000F402B"/>
    <w:rsid w:val="0010530D"/>
    <w:rsid w:val="0010658F"/>
    <w:rsid w:val="001070B6"/>
    <w:rsid w:val="00115C84"/>
    <w:rsid w:val="001245C5"/>
    <w:rsid w:val="00131839"/>
    <w:rsid w:val="00131A7A"/>
    <w:rsid w:val="001414EA"/>
    <w:rsid w:val="00143D43"/>
    <w:rsid w:val="0014687D"/>
    <w:rsid w:val="00146A8A"/>
    <w:rsid w:val="00155480"/>
    <w:rsid w:val="001563BE"/>
    <w:rsid w:val="00162311"/>
    <w:rsid w:val="00162EE4"/>
    <w:rsid w:val="00163C49"/>
    <w:rsid w:val="00172730"/>
    <w:rsid w:val="00172AA7"/>
    <w:rsid w:val="00182C1C"/>
    <w:rsid w:val="00183941"/>
    <w:rsid w:val="00185445"/>
    <w:rsid w:val="00185C00"/>
    <w:rsid w:val="0019095A"/>
    <w:rsid w:val="00190D17"/>
    <w:rsid w:val="001A1B33"/>
    <w:rsid w:val="001A6B12"/>
    <w:rsid w:val="001B1A26"/>
    <w:rsid w:val="001B2D9F"/>
    <w:rsid w:val="001B7462"/>
    <w:rsid w:val="001B7996"/>
    <w:rsid w:val="001C16E1"/>
    <w:rsid w:val="001C32EF"/>
    <w:rsid w:val="001C3FFC"/>
    <w:rsid w:val="001C4746"/>
    <w:rsid w:val="001C5DED"/>
    <w:rsid w:val="001D2337"/>
    <w:rsid w:val="001E3965"/>
    <w:rsid w:val="001F7E72"/>
    <w:rsid w:val="00204D6D"/>
    <w:rsid w:val="00205024"/>
    <w:rsid w:val="00211DFC"/>
    <w:rsid w:val="002471B4"/>
    <w:rsid w:val="00247990"/>
    <w:rsid w:val="00252F3A"/>
    <w:rsid w:val="002532C5"/>
    <w:rsid w:val="00263795"/>
    <w:rsid w:val="00274FB9"/>
    <w:rsid w:val="002904E2"/>
    <w:rsid w:val="0029547B"/>
    <w:rsid w:val="002A0D10"/>
    <w:rsid w:val="002B26EF"/>
    <w:rsid w:val="002B7D5C"/>
    <w:rsid w:val="002B7FF0"/>
    <w:rsid w:val="002D3CE5"/>
    <w:rsid w:val="002D56BD"/>
    <w:rsid w:val="002D58B7"/>
    <w:rsid w:val="002D6AC2"/>
    <w:rsid w:val="002E7BBD"/>
    <w:rsid w:val="002F7A8F"/>
    <w:rsid w:val="00307539"/>
    <w:rsid w:val="0031505A"/>
    <w:rsid w:val="00344698"/>
    <w:rsid w:val="00346029"/>
    <w:rsid w:val="003529A0"/>
    <w:rsid w:val="00361922"/>
    <w:rsid w:val="00367E50"/>
    <w:rsid w:val="0038158E"/>
    <w:rsid w:val="00383148"/>
    <w:rsid w:val="003B25F2"/>
    <w:rsid w:val="003B4323"/>
    <w:rsid w:val="003C0755"/>
    <w:rsid w:val="003C5CF9"/>
    <w:rsid w:val="003D315E"/>
    <w:rsid w:val="003E1447"/>
    <w:rsid w:val="003E234B"/>
    <w:rsid w:val="003E4021"/>
    <w:rsid w:val="004110FA"/>
    <w:rsid w:val="004142D2"/>
    <w:rsid w:val="00416989"/>
    <w:rsid w:val="00427996"/>
    <w:rsid w:val="004359E0"/>
    <w:rsid w:val="004448AB"/>
    <w:rsid w:val="00455F50"/>
    <w:rsid w:val="00463ACA"/>
    <w:rsid w:val="00463B9E"/>
    <w:rsid w:val="00494CC8"/>
    <w:rsid w:val="004A2B88"/>
    <w:rsid w:val="004B4435"/>
    <w:rsid w:val="004C0923"/>
    <w:rsid w:val="004C1BAF"/>
    <w:rsid w:val="004C399C"/>
    <w:rsid w:val="004C4FA2"/>
    <w:rsid w:val="004C6709"/>
    <w:rsid w:val="004D7D32"/>
    <w:rsid w:val="004E5E17"/>
    <w:rsid w:val="004E75E3"/>
    <w:rsid w:val="004F2522"/>
    <w:rsid w:val="004F4089"/>
    <w:rsid w:val="004F6166"/>
    <w:rsid w:val="00500A4E"/>
    <w:rsid w:val="0050241B"/>
    <w:rsid w:val="00502FBF"/>
    <w:rsid w:val="005073EF"/>
    <w:rsid w:val="0051738F"/>
    <w:rsid w:val="00520BF0"/>
    <w:rsid w:val="00521B90"/>
    <w:rsid w:val="005237D0"/>
    <w:rsid w:val="00544D5B"/>
    <w:rsid w:val="0055733E"/>
    <w:rsid w:val="00562A6F"/>
    <w:rsid w:val="00570296"/>
    <w:rsid w:val="00575228"/>
    <w:rsid w:val="005772EB"/>
    <w:rsid w:val="00582D68"/>
    <w:rsid w:val="00586DD9"/>
    <w:rsid w:val="00592167"/>
    <w:rsid w:val="00596DCC"/>
    <w:rsid w:val="005A4745"/>
    <w:rsid w:val="005B48DB"/>
    <w:rsid w:val="005B57AB"/>
    <w:rsid w:val="005B6B41"/>
    <w:rsid w:val="005C7397"/>
    <w:rsid w:val="005E00C4"/>
    <w:rsid w:val="005E67A6"/>
    <w:rsid w:val="005F47BE"/>
    <w:rsid w:val="005F5611"/>
    <w:rsid w:val="005F76F7"/>
    <w:rsid w:val="00602C28"/>
    <w:rsid w:val="0060401F"/>
    <w:rsid w:val="0061022D"/>
    <w:rsid w:val="0062468C"/>
    <w:rsid w:val="006404CA"/>
    <w:rsid w:val="00643171"/>
    <w:rsid w:val="006445BB"/>
    <w:rsid w:val="00647076"/>
    <w:rsid w:val="00654536"/>
    <w:rsid w:val="00657B39"/>
    <w:rsid w:val="00661108"/>
    <w:rsid w:val="00663261"/>
    <w:rsid w:val="0066453C"/>
    <w:rsid w:val="006645C4"/>
    <w:rsid w:val="00666264"/>
    <w:rsid w:val="00666631"/>
    <w:rsid w:val="00673799"/>
    <w:rsid w:val="006750F1"/>
    <w:rsid w:val="00677315"/>
    <w:rsid w:val="00680E77"/>
    <w:rsid w:val="00680F25"/>
    <w:rsid w:val="00681222"/>
    <w:rsid w:val="006821F8"/>
    <w:rsid w:val="00684369"/>
    <w:rsid w:val="006905D0"/>
    <w:rsid w:val="00692780"/>
    <w:rsid w:val="006A29B8"/>
    <w:rsid w:val="006A4938"/>
    <w:rsid w:val="006B00FF"/>
    <w:rsid w:val="006B0F0D"/>
    <w:rsid w:val="006B1B49"/>
    <w:rsid w:val="006B1D59"/>
    <w:rsid w:val="006B635F"/>
    <w:rsid w:val="006B7772"/>
    <w:rsid w:val="006B7E91"/>
    <w:rsid w:val="006C4913"/>
    <w:rsid w:val="006C4F0A"/>
    <w:rsid w:val="006C625F"/>
    <w:rsid w:val="006E0F38"/>
    <w:rsid w:val="006E0F6E"/>
    <w:rsid w:val="006E586D"/>
    <w:rsid w:val="006F0273"/>
    <w:rsid w:val="006F625B"/>
    <w:rsid w:val="006F6884"/>
    <w:rsid w:val="0070217B"/>
    <w:rsid w:val="007038D9"/>
    <w:rsid w:val="00727759"/>
    <w:rsid w:val="007314AF"/>
    <w:rsid w:val="00732C25"/>
    <w:rsid w:val="00735067"/>
    <w:rsid w:val="00746DB5"/>
    <w:rsid w:val="0075127B"/>
    <w:rsid w:val="00761825"/>
    <w:rsid w:val="00762B4B"/>
    <w:rsid w:val="00770F49"/>
    <w:rsid w:val="0077260C"/>
    <w:rsid w:val="0077423B"/>
    <w:rsid w:val="0077656D"/>
    <w:rsid w:val="00780D48"/>
    <w:rsid w:val="0078198A"/>
    <w:rsid w:val="00783CCC"/>
    <w:rsid w:val="00786174"/>
    <w:rsid w:val="0078698A"/>
    <w:rsid w:val="007875A8"/>
    <w:rsid w:val="00787863"/>
    <w:rsid w:val="007965A5"/>
    <w:rsid w:val="007A39DF"/>
    <w:rsid w:val="007A3F2C"/>
    <w:rsid w:val="007B1891"/>
    <w:rsid w:val="007D254C"/>
    <w:rsid w:val="007D4ACC"/>
    <w:rsid w:val="007E328A"/>
    <w:rsid w:val="007E40D4"/>
    <w:rsid w:val="007E5B98"/>
    <w:rsid w:val="007E6590"/>
    <w:rsid w:val="007E66A9"/>
    <w:rsid w:val="00801C97"/>
    <w:rsid w:val="00805031"/>
    <w:rsid w:val="00824583"/>
    <w:rsid w:val="00825D89"/>
    <w:rsid w:val="00830B78"/>
    <w:rsid w:val="008314C6"/>
    <w:rsid w:val="00844F89"/>
    <w:rsid w:val="0084572D"/>
    <w:rsid w:val="00851546"/>
    <w:rsid w:val="00855EA3"/>
    <w:rsid w:val="00861D42"/>
    <w:rsid w:val="0087283F"/>
    <w:rsid w:val="008770C1"/>
    <w:rsid w:val="008850E3"/>
    <w:rsid w:val="00885CE6"/>
    <w:rsid w:val="00886832"/>
    <w:rsid w:val="0089545B"/>
    <w:rsid w:val="008A1911"/>
    <w:rsid w:val="008A1F8D"/>
    <w:rsid w:val="008A56B7"/>
    <w:rsid w:val="008B2073"/>
    <w:rsid w:val="008B268D"/>
    <w:rsid w:val="008B46AE"/>
    <w:rsid w:val="008B59E6"/>
    <w:rsid w:val="008C356C"/>
    <w:rsid w:val="008C37D9"/>
    <w:rsid w:val="008C45F2"/>
    <w:rsid w:val="008C5290"/>
    <w:rsid w:val="008D22A4"/>
    <w:rsid w:val="009000B0"/>
    <w:rsid w:val="009067CB"/>
    <w:rsid w:val="00906CF7"/>
    <w:rsid w:val="0091002F"/>
    <w:rsid w:val="009145E5"/>
    <w:rsid w:val="00925609"/>
    <w:rsid w:val="00925EB9"/>
    <w:rsid w:val="00927838"/>
    <w:rsid w:val="00927DF1"/>
    <w:rsid w:val="0095050A"/>
    <w:rsid w:val="00955D78"/>
    <w:rsid w:val="00963871"/>
    <w:rsid w:val="00964C5A"/>
    <w:rsid w:val="009721AB"/>
    <w:rsid w:val="00972C77"/>
    <w:rsid w:val="00976560"/>
    <w:rsid w:val="00977F4F"/>
    <w:rsid w:val="009A1F1E"/>
    <w:rsid w:val="009B0100"/>
    <w:rsid w:val="009B0E7F"/>
    <w:rsid w:val="009B74ED"/>
    <w:rsid w:val="009D145F"/>
    <w:rsid w:val="009D23FC"/>
    <w:rsid w:val="009D32DA"/>
    <w:rsid w:val="009D36DC"/>
    <w:rsid w:val="009E4A38"/>
    <w:rsid w:val="009F4ED3"/>
    <w:rsid w:val="009F7995"/>
    <w:rsid w:val="00A109AE"/>
    <w:rsid w:val="00A12EDA"/>
    <w:rsid w:val="00A14618"/>
    <w:rsid w:val="00A20097"/>
    <w:rsid w:val="00A21073"/>
    <w:rsid w:val="00A426D0"/>
    <w:rsid w:val="00A4395E"/>
    <w:rsid w:val="00A50B28"/>
    <w:rsid w:val="00A614B6"/>
    <w:rsid w:val="00A61E3A"/>
    <w:rsid w:val="00A6443D"/>
    <w:rsid w:val="00A67332"/>
    <w:rsid w:val="00A70153"/>
    <w:rsid w:val="00A962A0"/>
    <w:rsid w:val="00AA3B02"/>
    <w:rsid w:val="00AC0178"/>
    <w:rsid w:val="00AC1BE2"/>
    <w:rsid w:val="00AC493A"/>
    <w:rsid w:val="00AF7FF1"/>
    <w:rsid w:val="00B15C99"/>
    <w:rsid w:val="00B16A04"/>
    <w:rsid w:val="00B25E09"/>
    <w:rsid w:val="00B32A37"/>
    <w:rsid w:val="00B443D5"/>
    <w:rsid w:val="00B46977"/>
    <w:rsid w:val="00B5159F"/>
    <w:rsid w:val="00B51FFA"/>
    <w:rsid w:val="00B53213"/>
    <w:rsid w:val="00B62A6A"/>
    <w:rsid w:val="00B62B8B"/>
    <w:rsid w:val="00B83D5E"/>
    <w:rsid w:val="00B84820"/>
    <w:rsid w:val="00B9474C"/>
    <w:rsid w:val="00B94CBE"/>
    <w:rsid w:val="00B9629E"/>
    <w:rsid w:val="00BA1737"/>
    <w:rsid w:val="00BA451C"/>
    <w:rsid w:val="00BB01BF"/>
    <w:rsid w:val="00BC0849"/>
    <w:rsid w:val="00BC1D54"/>
    <w:rsid w:val="00BC2273"/>
    <w:rsid w:val="00BD13E7"/>
    <w:rsid w:val="00BD1B40"/>
    <w:rsid w:val="00BD72D2"/>
    <w:rsid w:val="00BE46C9"/>
    <w:rsid w:val="00BE6D1C"/>
    <w:rsid w:val="00BF3FA5"/>
    <w:rsid w:val="00C0293E"/>
    <w:rsid w:val="00C02FCC"/>
    <w:rsid w:val="00C13B8E"/>
    <w:rsid w:val="00C31BE1"/>
    <w:rsid w:val="00C32760"/>
    <w:rsid w:val="00C334B2"/>
    <w:rsid w:val="00C37A62"/>
    <w:rsid w:val="00C51F2E"/>
    <w:rsid w:val="00C535C4"/>
    <w:rsid w:val="00C801F4"/>
    <w:rsid w:val="00C8104F"/>
    <w:rsid w:val="00C8259D"/>
    <w:rsid w:val="00C8416F"/>
    <w:rsid w:val="00C847A7"/>
    <w:rsid w:val="00C97E01"/>
    <w:rsid w:val="00CA0099"/>
    <w:rsid w:val="00CA56B0"/>
    <w:rsid w:val="00CB0236"/>
    <w:rsid w:val="00CB266A"/>
    <w:rsid w:val="00CC4873"/>
    <w:rsid w:val="00CD18F9"/>
    <w:rsid w:val="00CD67F0"/>
    <w:rsid w:val="00CF3E51"/>
    <w:rsid w:val="00CF7A3D"/>
    <w:rsid w:val="00D03457"/>
    <w:rsid w:val="00D04602"/>
    <w:rsid w:val="00D04C1C"/>
    <w:rsid w:val="00D06F87"/>
    <w:rsid w:val="00D07B9D"/>
    <w:rsid w:val="00D3067C"/>
    <w:rsid w:val="00D367F2"/>
    <w:rsid w:val="00D41AE6"/>
    <w:rsid w:val="00D50870"/>
    <w:rsid w:val="00D65E60"/>
    <w:rsid w:val="00D72560"/>
    <w:rsid w:val="00D74BD1"/>
    <w:rsid w:val="00D85F75"/>
    <w:rsid w:val="00D862CA"/>
    <w:rsid w:val="00D8703C"/>
    <w:rsid w:val="00D8757A"/>
    <w:rsid w:val="00D909F5"/>
    <w:rsid w:val="00DA75F8"/>
    <w:rsid w:val="00DB0859"/>
    <w:rsid w:val="00DB3A42"/>
    <w:rsid w:val="00DC2B41"/>
    <w:rsid w:val="00DC7544"/>
    <w:rsid w:val="00DD424B"/>
    <w:rsid w:val="00DE6839"/>
    <w:rsid w:val="00DE6BBA"/>
    <w:rsid w:val="00DE7A5F"/>
    <w:rsid w:val="00DF0C93"/>
    <w:rsid w:val="00DF0E24"/>
    <w:rsid w:val="00DF19EA"/>
    <w:rsid w:val="00DF218B"/>
    <w:rsid w:val="00E03727"/>
    <w:rsid w:val="00E205A4"/>
    <w:rsid w:val="00E21092"/>
    <w:rsid w:val="00E31D83"/>
    <w:rsid w:val="00E36EF9"/>
    <w:rsid w:val="00E44D21"/>
    <w:rsid w:val="00E4609E"/>
    <w:rsid w:val="00E51218"/>
    <w:rsid w:val="00E51A72"/>
    <w:rsid w:val="00E527B0"/>
    <w:rsid w:val="00E53FAB"/>
    <w:rsid w:val="00E552C7"/>
    <w:rsid w:val="00E671A9"/>
    <w:rsid w:val="00E913CA"/>
    <w:rsid w:val="00E9637A"/>
    <w:rsid w:val="00E96A60"/>
    <w:rsid w:val="00E97D87"/>
    <w:rsid w:val="00EA0759"/>
    <w:rsid w:val="00EA2897"/>
    <w:rsid w:val="00EA3BBA"/>
    <w:rsid w:val="00EC346D"/>
    <w:rsid w:val="00EC55F8"/>
    <w:rsid w:val="00ED1035"/>
    <w:rsid w:val="00ED32D8"/>
    <w:rsid w:val="00EE28D7"/>
    <w:rsid w:val="00EE5BC1"/>
    <w:rsid w:val="00EE7710"/>
    <w:rsid w:val="00EF06A6"/>
    <w:rsid w:val="00EF2A7B"/>
    <w:rsid w:val="00EF3869"/>
    <w:rsid w:val="00F00087"/>
    <w:rsid w:val="00F024C6"/>
    <w:rsid w:val="00F04E76"/>
    <w:rsid w:val="00F21F3A"/>
    <w:rsid w:val="00F254E9"/>
    <w:rsid w:val="00F4203E"/>
    <w:rsid w:val="00F4707A"/>
    <w:rsid w:val="00F62574"/>
    <w:rsid w:val="00F71C17"/>
    <w:rsid w:val="00F7404C"/>
    <w:rsid w:val="00F7766E"/>
    <w:rsid w:val="00F864FC"/>
    <w:rsid w:val="00F92117"/>
    <w:rsid w:val="00F92309"/>
    <w:rsid w:val="00F93692"/>
    <w:rsid w:val="00F964C5"/>
    <w:rsid w:val="00FA2B15"/>
    <w:rsid w:val="00FA5B68"/>
    <w:rsid w:val="00FA6606"/>
    <w:rsid w:val="00FA7CEF"/>
    <w:rsid w:val="00FB0A6C"/>
    <w:rsid w:val="00FB22C7"/>
    <w:rsid w:val="00FB239B"/>
    <w:rsid w:val="00FB4106"/>
    <w:rsid w:val="00FC359B"/>
    <w:rsid w:val="00FC65AE"/>
    <w:rsid w:val="00FF5912"/>
    <w:rsid w:val="00FF6806"/>
  </w:rsids>
  <m:mathPr>
    <m:mathFont m:val="Cambria Math"/>
    <m:brkBin m:val="before"/>
    <m:brkBinSub m:val="--"/>
    <m:smallFrac m:val="0"/>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UY" w:eastAsia="en-US" w:bidi="ar-SA"/>
      </w:rPr>
    </w:rPrDefault>
    <w:pPrDefault>
      <w:pPr>
        <w:spacing w:after="180" w:line="264"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4369"/>
    <w:pPr>
      <w:spacing w:after="200" w:line="276" w:lineRule="auto"/>
      <w:jc w:val="left"/>
    </w:pPr>
    <w:rPr>
      <w:rFonts w:ascii="Cambria" w:eastAsia="Calibri" w:hAnsi="Cambria" w:cs="Cambria"/>
    </w:rPr>
  </w:style>
  <w:style w:type="paragraph" w:styleId="Heading1">
    <w:name w:val="heading 1"/>
    <w:basedOn w:val="Normal"/>
    <w:next w:val="Normal"/>
    <w:link w:val="Heading1Char"/>
    <w:uiPriority w:val="99"/>
    <w:qFormat/>
    <w:rsid w:val="00684369"/>
    <w:pPr>
      <w:keepNext/>
      <w:keepLines/>
      <w:numPr>
        <w:numId w:val="17"/>
      </w:numPr>
      <w:spacing w:before="480" w:after="0"/>
      <w:outlineLvl w:val="0"/>
    </w:pPr>
    <w:rPr>
      <w:rFonts w:eastAsia="Times New Roman"/>
      <w:b/>
      <w:bCs/>
      <w:color w:val="365F91"/>
      <w:sz w:val="28"/>
      <w:szCs w:val="28"/>
    </w:rPr>
  </w:style>
  <w:style w:type="paragraph" w:styleId="Heading2">
    <w:name w:val="heading 2"/>
    <w:basedOn w:val="Normal"/>
    <w:next w:val="Normal"/>
    <w:link w:val="Heading2Char"/>
    <w:uiPriority w:val="9"/>
    <w:unhideWhenUsed/>
    <w:qFormat/>
    <w:rsid w:val="005C7397"/>
    <w:pPr>
      <w:keepNext/>
      <w:keepLines/>
      <w:numPr>
        <w:ilvl w:val="1"/>
        <w:numId w:val="17"/>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C7397"/>
    <w:pPr>
      <w:keepNext/>
      <w:keepLines/>
      <w:numPr>
        <w:ilvl w:val="2"/>
        <w:numId w:val="17"/>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5C7397"/>
    <w:pPr>
      <w:keepNext/>
      <w:keepLines/>
      <w:numPr>
        <w:ilvl w:val="3"/>
        <w:numId w:val="17"/>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5C7397"/>
    <w:pPr>
      <w:keepNext/>
      <w:keepLines/>
      <w:numPr>
        <w:ilvl w:val="4"/>
        <w:numId w:val="17"/>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5C7397"/>
    <w:pPr>
      <w:keepNext/>
      <w:keepLines/>
      <w:numPr>
        <w:ilvl w:val="5"/>
        <w:numId w:val="17"/>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5C7397"/>
    <w:pPr>
      <w:keepNext/>
      <w:keepLines/>
      <w:numPr>
        <w:ilvl w:val="6"/>
        <w:numId w:val="17"/>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5C7397"/>
    <w:pPr>
      <w:keepNext/>
      <w:keepLines/>
      <w:numPr>
        <w:ilvl w:val="7"/>
        <w:numId w:val="17"/>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5C7397"/>
    <w:pPr>
      <w:keepNext/>
      <w:keepLines/>
      <w:numPr>
        <w:ilvl w:val="8"/>
        <w:numId w:val="1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84369"/>
    <w:rPr>
      <w:rFonts w:ascii="Cambria" w:eastAsia="Times New Roman" w:hAnsi="Cambria" w:cs="Cambria"/>
      <w:b/>
      <w:bCs/>
      <w:color w:val="365F91"/>
      <w:sz w:val="28"/>
      <w:szCs w:val="28"/>
    </w:rPr>
  </w:style>
  <w:style w:type="paragraph" w:styleId="Header">
    <w:name w:val="header"/>
    <w:basedOn w:val="Normal"/>
    <w:link w:val="HeaderChar"/>
    <w:uiPriority w:val="99"/>
    <w:rsid w:val="00684369"/>
    <w:pPr>
      <w:tabs>
        <w:tab w:val="center" w:pos="4252"/>
        <w:tab w:val="right" w:pos="8504"/>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s-ES" w:eastAsia="es-ES"/>
    </w:rPr>
  </w:style>
  <w:style w:type="character" w:customStyle="1" w:styleId="HeaderChar">
    <w:name w:val="Header Char"/>
    <w:basedOn w:val="DefaultParagraphFont"/>
    <w:link w:val="Header"/>
    <w:uiPriority w:val="99"/>
    <w:rsid w:val="00684369"/>
    <w:rPr>
      <w:rFonts w:ascii="Times New Roman" w:eastAsia="Times New Roman" w:hAnsi="Times New Roman" w:cs="Times New Roman"/>
      <w:sz w:val="24"/>
      <w:szCs w:val="24"/>
      <w:lang w:val="es-ES" w:eastAsia="es-ES"/>
    </w:rPr>
  </w:style>
  <w:style w:type="paragraph" w:styleId="TOCHeading">
    <w:name w:val="TOC Heading"/>
    <w:basedOn w:val="Heading1"/>
    <w:next w:val="Normal"/>
    <w:uiPriority w:val="39"/>
    <w:qFormat/>
    <w:rsid w:val="00684369"/>
    <w:pPr>
      <w:outlineLvl w:val="9"/>
    </w:pPr>
    <w:rPr>
      <w:lang w:val="es-ES"/>
    </w:rPr>
  </w:style>
  <w:style w:type="paragraph" w:styleId="TOC1">
    <w:name w:val="toc 1"/>
    <w:basedOn w:val="Normal"/>
    <w:next w:val="Normal"/>
    <w:autoRedefine/>
    <w:uiPriority w:val="39"/>
    <w:rsid w:val="00684369"/>
    <w:pPr>
      <w:tabs>
        <w:tab w:val="left" w:pos="440"/>
        <w:tab w:val="right" w:leader="dot" w:pos="8495"/>
      </w:tabs>
      <w:spacing w:after="100"/>
    </w:pPr>
    <w:rPr>
      <w:noProof/>
    </w:rPr>
  </w:style>
  <w:style w:type="character" w:styleId="Hyperlink">
    <w:name w:val="Hyperlink"/>
    <w:basedOn w:val="DefaultParagraphFont"/>
    <w:uiPriority w:val="99"/>
    <w:rsid w:val="00684369"/>
    <w:rPr>
      <w:color w:val="0000FF"/>
      <w:u w:val="single"/>
    </w:rPr>
  </w:style>
  <w:style w:type="paragraph" w:styleId="TOC2">
    <w:name w:val="toc 2"/>
    <w:basedOn w:val="Normal"/>
    <w:next w:val="Normal"/>
    <w:autoRedefine/>
    <w:uiPriority w:val="39"/>
    <w:rsid w:val="00684369"/>
    <w:pPr>
      <w:spacing w:after="100"/>
      <w:ind w:left="220"/>
    </w:pPr>
    <w:rPr>
      <w:rFonts w:ascii="Calibri" w:eastAsia="Times New Roman" w:hAnsi="Calibri" w:cs="Calibri"/>
    </w:rPr>
  </w:style>
  <w:style w:type="paragraph" w:styleId="TOC3">
    <w:name w:val="toc 3"/>
    <w:basedOn w:val="Normal"/>
    <w:next w:val="Normal"/>
    <w:autoRedefine/>
    <w:uiPriority w:val="39"/>
    <w:rsid w:val="00684369"/>
    <w:pPr>
      <w:spacing w:after="100"/>
      <w:ind w:left="440"/>
    </w:pPr>
    <w:rPr>
      <w:rFonts w:ascii="Calibri" w:eastAsia="Times New Roman" w:hAnsi="Calibri" w:cs="Calibri"/>
    </w:rPr>
  </w:style>
  <w:style w:type="paragraph" w:styleId="ListParagraph">
    <w:name w:val="List Paragraph"/>
    <w:basedOn w:val="Normal"/>
    <w:uiPriority w:val="34"/>
    <w:qFormat/>
    <w:rsid w:val="00C32760"/>
    <w:pPr>
      <w:ind w:left="720"/>
      <w:contextualSpacing/>
    </w:pPr>
    <w:rPr>
      <w:rFonts w:asciiTheme="minorHAnsi" w:eastAsiaTheme="minorHAnsi" w:hAnsiTheme="minorHAnsi" w:cstheme="minorBidi"/>
      <w:lang w:val="en-US"/>
    </w:rPr>
  </w:style>
  <w:style w:type="character" w:customStyle="1" w:styleId="apple-converted-space">
    <w:name w:val="apple-converted-space"/>
    <w:basedOn w:val="DefaultParagraphFont"/>
    <w:rsid w:val="00801C97"/>
  </w:style>
  <w:style w:type="paragraph" w:styleId="NormalWeb">
    <w:name w:val="Normal (Web)"/>
    <w:basedOn w:val="Normal"/>
    <w:uiPriority w:val="99"/>
    <w:unhideWhenUsed/>
    <w:rsid w:val="00801C97"/>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styleId="BalloonText">
    <w:name w:val="Balloon Text"/>
    <w:basedOn w:val="Normal"/>
    <w:link w:val="BalloonTextChar"/>
    <w:uiPriority w:val="99"/>
    <w:semiHidden/>
    <w:unhideWhenUsed/>
    <w:rsid w:val="004F61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6166"/>
    <w:rPr>
      <w:rFonts w:ascii="Tahoma" w:eastAsia="Calibri" w:hAnsi="Tahoma" w:cs="Tahoma"/>
      <w:sz w:val="16"/>
      <w:szCs w:val="16"/>
    </w:rPr>
  </w:style>
  <w:style w:type="paragraph" w:customStyle="1" w:styleId="Default">
    <w:name w:val="Default"/>
    <w:rsid w:val="004448AB"/>
    <w:pPr>
      <w:autoSpaceDE w:val="0"/>
      <w:autoSpaceDN w:val="0"/>
      <w:adjustRightInd w:val="0"/>
      <w:spacing w:after="0" w:line="240" w:lineRule="auto"/>
      <w:jc w:val="left"/>
    </w:pPr>
    <w:rPr>
      <w:rFonts w:ascii="Segoe UI" w:hAnsi="Segoe UI" w:cs="Segoe UI"/>
      <w:color w:val="000000"/>
      <w:sz w:val="24"/>
      <w:szCs w:val="24"/>
    </w:rPr>
  </w:style>
  <w:style w:type="paragraph" w:styleId="Footer">
    <w:name w:val="footer"/>
    <w:basedOn w:val="Normal"/>
    <w:link w:val="FooterChar"/>
    <w:uiPriority w:val="99"/>
    <w:unhideWhenUsed/>
    <w:rsid w:val="00172730"/>
    <w:pPr>
      <w:tabs>
        <w:tab w:val="center" w:pos="4252"/>
        <w:tab w:val="right" w:pos="8504"/>
      </w:tabs>
      <w:spacing w:after="0" w:line="240" w:lineRule="auto"/>
    </w:pPr>
  </w:style>
  <w:style w:type="character" w:customStyle="1" w:styleId="FooterChar">
    <w:name w:val="Footer Char"/>
    <w:basedOn w:val="DefaultParagraphFont"/>
    <w:link w:val="Footer"/>
    <w:uiPriority w:val="99"/>
    <w:rsid w:val="00172730"/>
    <w:rPr>
      <w:rFonts w:ascii="Cambria" w:eastAsia="Calibri" w:hAnsi="Cambria" w:cs="Cambria"/>
    </w:rPr>
  </w:style>
  <w:style w:type="paragraph" w:styleId="FootnoteText">
    <w:name w:val="footnote text"/>
    <w:basedOn w:val="Normal"/>
    <w:link w:val="FootnoteTextChar"/>
    <w:uiPriority w:val="99"/>
    <w:semiHidden/>
    <w:unhideWhenUsed/>
    <w:rsid w:val="001E3965"/>
    <w:pPr>
      <w:spacing w:after="0" w:line="240" w:lineRule="auto"/>
      <w:jc w:val="both"/>
    </w:pPr>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1E3965"/>
    <w:rPr>
      <w:sz w:val="20"/>
      <w:szCs w:val="20"/>
    </w:rPr>
  </w:style>
  <w:style w:type="character" w:styleId="FootnoteReference">
    <w:name w:val="footnote reference"/>
    <w:basedOn w:val="DefaultParagraphFont"/>
    <w:uiPriority w:val="99"/>
    <w:semiHidden/>
    <w:unhideWhenUsed/>
    <w:rsid w:val="001E3965"/>
    <w:rPr>
      <w:vertAlign w:val="superscript"/>
    </w:rPr>
  </w:style>
  <w:style w:type="character" w:customStyle="1" w:styleId="Heading2Char">
    <w:name w:val="Heading 2 Char"/>
    <w:basedOn w:val="DefaultParagraphFont"/>
    <w:link w:val="Heading2"/>
    <w:uiPriority w:val="9"/>
    <w:rsid w:val="005C739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C739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5C7397"/>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5C7397"/>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5C7397"/>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5C739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5C739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C7397"/>
    <w:rPr>
      <w:rFonts w:asciiTheme="majorHAnsi" w:eastAsiaTheme="majorEastAsia" w:hAnsiTheme="majorHAnsi" w:cstheme="majorBidi"/>
      <w:i/>
      <w:iCs/>
      <w:color w:val="404040" w:themeColor="text1" w:themeTint="B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727536">
      <w:bodyDiv w:val="1"/>
      <w:marLeft w:val="0"/>
      <w:marRight w:val="0"/>
      <w:marTop w:val="0"/>
      <w:marBottom w:val="0"/>
      <w:divBdr>
        <w:top w:val="none" w:sz="0" w:space="0" w:color="auto"/>
        <w:left w:val="none" w:sz="0" w:space="0" w:color="auto"/>
        <w:bottom w:val="none" w:sz="0" w:space="0" w:color="auto"/>
        <w:right w:val="none" w:sz="0" w:space="0" w:color="auto"/>
      </w:divBdr>
      <w:divsChild>
        <w:div w:id="825585251">
          <w:marLeft w:val="547"/>
          <w:marRight w:val="0"/>
          <w:marTop w:val="115"/>
          <w:marBottom w:val="0"/>
          <w:divBdr>
            <w:top w:val="none" w:sz="0" w:space="0" w:color="auto"/>
            <w:left w:val="none" w:sz="0" w:space="0" w:color="auto"/>
            <w:bottom w:val="none" w:sz="0" w:space="0" w:color="auto"/>
            <w:right w:val="none" w:sz="0" w:space="0" w:color="auto"/>
          </w:divBdr>
        </w:div>
        <w:div w:id="1831946929">
          <w:marLeft w:val="1166"/>
          <w:marRight w:val="0"/>
          <w:marTop w:val="106"/>
          <w:marBottom w:val="0"/>
          <w:divBdr>
            <w:top w:val="none" w:sz="0" w:space="0" w:color="auto"/>
            <w:left w:val="none" w:sz="0" w:space="0" w:color="auto"/>
            <w:bottom w:val="none" w:sz="0" w:space="0" w:color="auto"/>
            <w:right w:val="none" w:sz="0" w:space="0" w:color="auto"/>
          </w:divBdr>
        </w:div>
        <w:div w:id="128743750">
          <w:marLeft w:val="1166"/>
          <w:marRight w:val="0"/>
          <w:marTop w:val="106"/>
          <w:marBottom w:val="0"/>
          <w:divBdr>
            <w:top w:val="none" w:sz="0" w:space="0" w:color="auto"/>
            <w:left w:val="none" w:sz="0" w:space="0" w:color="auto"/>
            <w:bottom w:val="none" w:sz="0" w:space="0" w:color="auto"/>
            <w:right w:val="none" w:sz="0" w:space="0" w:color="auto"/>
          </w:divBdr>
        </w:div>
        <w:div w:id="605121334">
          <w:marLeft w:val="1166"/>
          <w:marRight w:val="0"/>
          <w:marTop w:val="106"/>
          <w:marBottom w:val="0"/>
          <w:divBdr>
            <w:top w:val="none" w:sz="0" w:space="0" w:color="auto"/>
            <w:left w:val="none" w:sz="0" w:space="0" w:color="auto"/>
            <w:bottom w:val="none" w:sz="0" w:space="0" w:color="auto"/>
            <w:right w:val="none" w:sz="0" w:space="0" w:color="auto"/>
          </w:divBdr>
        </w:div>
        <w:div w:id="296028954">
          <w:marLeft w:val="547"/>
          <w:marRight w:val="0"/>
          <w:marTop w:val="115"/>
          <w:marBottom w:val="0"/>
          <w:divBdr>
            <w:top w:val="none" w:sz="0" w:space="0" w:color="auto"/>
            <w:left w:val="none" w:sz="0" w:space="0" w:color="auto"/>
            <w:bottom w:val="none" w:sz="0" w:space="0" w:color="auto"/>
            <w:right w:val="none" w:sz="0" w:space="0" w:color="auto"/>
          </w:divBdr>
        </w:div>
        <w:div w:id="2096509612">
          <w:marLeft w:val="1166"/>
          <w:marRight w:val="0"/>
          <w:marTop w:val="106"/>
          <w:marBottom w:val="0"/>
          <w:divBdr>
            <w:top w:val="none" w:sz="0" w:space="0" w:color="auto"/>
            <w:left w:val="none" w:sz="0" w:space="0" w:color="auto"/>
            <w:bottom w:val="none" w:sz="0" w:space="0" w:color="auto"/>
            <w:right w:val="none" w:sz="0" w:space="0" w:color="auto"/>
          </w:divBdr>
        </w:div>
      </w:divsChild>
    </w:div>
    <w:div w:id="84888639">
      <w:bodyDiv w:val="1"/>
      <w:marLeft w:val="0"/>
      <w:marRight w:val="0"/>
      <w:marTop w:val="0"/>
      <w:marBottom w:val="0"/>
      <w:divBdr>
        <w:top w:val="none" w:sz="0" w:space="0" w:color="auto"/>
        <w:left w:val="none" w:sz="0" w:space="0" w:color="auto"/>
        <w:bottom w:val="none" w:sz="0" w:space="0" w:color="auto"/>
        <w:right w:val="none" w:sz="0" w:space="0" w:color="auto"/>
      </w:divBdr>
    </w:div>
    <w:div w:id="446894131">
      <w:bodyDiv w:val="1"/>
      <w:marLeft w:val="0"/>
      <w:marRight w:val="0"/>
      <w:marTop w:val="0"/>
      <w:marBottom w:val="0"/>
      <w:divBdr>
        <w:top w:val="none" w:sz="0" w:space="0" w:color="auto"/>
        <w:left w:val="none" w:sz="0" w:space="0" w:color="auto"/>
        <w:bottom w:val="none" w:sz="0" w:space="0" w:color="auto"/>
        <w:right w:val="none" w:sz="0" w:space="0" w:color="auto"/>
      </w:divBdr>
    </w:div>
    <w:div w:id="475339866">
      <w:bodyDiv w:val="1"/>
      <w:marLeft w:val="0"/>
      <w:marRight w:val="0"/>
      <w:marTop w:val="0"/>
      <w:marBottom w:val="0"/>
      <w:divBdr>
        <w:top w:val="none" w:sz="0" w:space="0" w:color="auto"/>
        <w:left w:val="none" w:sz="0" w:space="0" w:color="auto"/>
        <w:bottom w:val="none" w:sz="0" w:space="0" w:color="auto"/>
        <w:right w:val="none" w:sz="0" w:space="0" w:color="auto"/>
      </w:divBdr>
    </w:div>
    <w:div w:id="557666259">
      <w:bodyDiv w:val="1"/>
      <w:marLeft w:val="0"/>
      <w:marRight w:val="0"/>
      <w:marTop w:val="0"/>
      <w:marBottom w:val="0"/>
      <w:divBdr>
        <w:top w:val="none" w:sz="0" w:space="0" w:color="auto"/>
        <w:left w:val="none" w:sz="0" w:space="0" w:color="auto"/>
        <w:bottom w:val="none" w:sz="0" w:space="0" w:color="auto"/>
        <w:right w:val="none" w:sz="0" w:space="0" w:color="auto"/>
      </w:divBdr>
      <w:divsChild>
        <w:div w:id="462819259">
          <w:marLeft w:val="547"/>
          <w:marRight w:val="0"/>
          <w:marTop w:val="115"/>
          <w:marBottom w:val="0"/>
          <w:divBdr>
            <w:top w:val="none" w:sz="0" w:space="0" w:color="auto"/>
            <w:left w:val="none" w:sz="0" w:space="0" w:color="auto"/>
            <w:bottom w:val="none" w:sz="0" w:space="0" w:color="auto"/>
            <w:right w:val="none" w:sz="0" w:space="0" w:color="auto"/>
          </w:divBdr>
        </w:div>
        <w:div w:id="22948318">
          <w:marLeft w:val="1166"/>
          <w:marRight w:val="0"/>
          <w:marTop w:val="106"/>
          <w:marBottom w:val="0"/>
          <w:divBdr>
            <w:top w:val="none" w:sz="0" w:space="0" w:color="auto"/>
            <w:left w:val="none" w:sz="0" w:space="0" w:color="auto"/>
            <w:bottom w:val="none" w:sz="0" w:space="0" w:color="auto"/>
            <w:right w:val="none" w:sz="0" w:space="0" w:color="auto"/>
          </w:divBdr>
        </w:div>
        <w:div w:id="806167017">
          <w:marLeft w:val="1166"/>
          <w:marRight w:val="0"/>
          <w:marTop w:val="106"/>
          <w:marBottom w:val="0"/>
          <w:divBdr>
            <w:top w:val="none" w:sz="0" w:space="0" w:color="auto"/>
            <w:left w:val="none" w:sz="0" w:space="0" w:color="auto"/>
            <w:bottom w:val="none" w:sz="0" w:space="0" w:color="auto"/>
            <w:right w:val="none" w:sz="0" w:space="0" w:color="auto"/>
          </w:divBdr>
        </w:div>
        <w:div w:id="1802186651">
          <w:marLeft w:val="547"/>
          <w:marRight w:val="0"/>
          <w:marTop w:val="115"/>
          <w:marBottom w:val="0"/>
          <w:divBdr>
            <w:top w:val="none" w:sz="0" w:space="0" w:color="auto"/>
            <w:left w:val="none" w:sz="0" w:space="0" w:color="auto"/>
            <w:bottom w:val="none" w:sz="0" w:space="0" w:color="auto"/>
            <w:right w:val="none" w:sz="0" w:space="0" w:color="auto"/>
          </w:divBdr>
        </w:div>
        <w:div w:id="1989626329">
          <w:marLeft w:val="1166"/>
          <w:marRight w:val="0"/>
          <w:marTop w:val="106"/>
          <w:marBottom w:val="0"/>
          <w:divBdr>
            <w:top w:val="none" w:sz="0" w:space="0" w:color="auto"/>
            <w:left w:val="none" w:sz="0" w:space="0" w:color="auto"/>
            <w:bottom w:val="none" w:sz="0" w:space="0" w:color="auto"/>
            <w:right w:val="none" w:sz="0" w:space="0" w:color="auto"/>
          </w:divBdr>
        </w:div>
      </w:divsChild>
    </w:div>
    <w:div w:id="607587589">
      <w:bodyDiv w:val="1"/>
      <w:marLeft w:val="0"/>
      <w:marRight w:val="0"/>
      <w:marTop w:val="0"/>
      <w:marBottom w:val="0"/>
      <w:divBdr>
        <w:top w:val="none" w:sz="0" w:space="0" w:color="auto"/>
        <w:left w:val="none" w:sz="0" w:space="0" w:color="auto"/>
        <w:bottom w:val="none" w:sz="0" w:space="0" w:color="auto"/>
        <w:right w:val="none" w:sz="0" w:space="0" w:color="auto"/>
      </w:divBdr>
    </w:div>
    <w:div w:id="648099287">
      <w:bodyDiv w:val="1"/>
      <w:marLeft w:val="0"/>
      <w:marRight w:val="0"/>
      <w:marTop w:val="0"/>
      <w:marBottom w:val="0"/>
      <w:divBdr>
        <w:top w:val="none" w:sz="0" w:space="0" w:color="auto"/>
        <w:left w:val="none" w:sz="0" w:space="0" w:color="auto"/>
        <w:bottom w:val="none" w:sz="0" w:space="0" w:color="auto"/>
        <w:right w:val="none" w:sz="0" w:space="0" w:color="auto"/>
      </w:divBdr>
    </w:div>
    <w:div w:id="651253511">
      <w:bodyDiv w:val="1"/>
      <w:marLeft w:val="0"/>
      <w:marRight w:val="0"/>
      <w:marTop w:val="0"/>
      <w:marBottom w:val="0"/>
      <w:divBdr>
        <w:top w:val="none" w:sz="0" w:space="0" w:color="auto"/>
        <w:left w:val="none" w:sz="0" w:space="0" w:color="auto"/>
        <w:bottom w:val="none" w:sz="0" w:space="0" w:color="auto"/>
        <w:right w:val="none" w:sz="0" w:space="0" w:color="auto"/>
      </w:divBdr>
      <w:divsChild>
        <w:div w:id="184057419">
          <w:marLeft w:val="0"/>
          <w:marRight w:val="0"/>
          <w:marTop w:val="0"/>
          <w:marBottom w:val="0"/>
          <w:divBdr>
            <w:top w:val="none" w:sz="0" w:space="0" w:color="auto"/>
            <w:left w:val="none" w:sz="0" w:space="0" w:color="auto"/>
            <w:bottom w:val="none" w:sz="0" w:space="0" w:color="auto"/>
            <w:right w:val="none" w:sz="0" w:space="0" w:color="auto"/>
          </w:divBdr>
        </w:div>
      </w:divsChild>
    </w:div>
    <w:div w:id="819929709">
      <w:bodyDiv w:val="1"/>
      <w:marLeft w:val="0"/>
      <w:marRight w:val="0"/>
      <w:marTop w:val="0"/>
      <w:marBottom w:val="0"/>
      <w:divBdr>
        <w:top w:val="none" w:sz="0" w:space="0" w:color="auto"/>
        <w:left w:val="none" w:sz="0" w:space="0" w:color="auto"/>
        <w:bottom w:val="none" w:sz="0" w:space="0" w:color="auto"/>
        <w:right w:val="none" w:sz="0" w:space="0" w:color="auto"/>
      </w:divBdr>
    </w:div>
    <w:div w:id="924533560">
      <w:bodyDiv w:val="1"/>
      <w:marLeft w:val="0"/>
      <w:marRight w:val="0"/>
      <w:marTop w:val="0"/>
      <w:marBottom w:val="0"/>
      <w:divBdr>
        <w:top w:val="none" w:sz="0" w:space="0" w:color="auto"/>
        <w:left w:val="none" w:sz="0" w:space="0" w:color="auto"/>
        <w:bottom w:val="none" w:sz="0" w:space="0" w:color="auto"/>
        <w:right w:val="none" w:sz="0" w:space="0" w:color="auto"/>
      </w:divBdr>
    </w:div>
    <w:div w:id="974526748">
      <w:bodyDiv w:val="1"/>
      <w:marLeft w:val="0"/>
      <w:marRight w:val="0"/>
      <w:marTop w:val="0"/>
      <w:marBottom w:val="0"/>
      <w:divBdr>
        <w:top w:val="none" w:sz="0" w:space="0" w:color="auto"/>
        <w:left w:val="none" w:sz="0" w:space="0" w:color="auto"/>
        <w:bottom w:val="none" w:sz="0" w:space="0" w:color="auto"/>
        <w:right w:val="none" w:sz="0" w:space="0" w:color="auto"/>
      </w:divBdr>
    </w:div>
    <w:div w:id="1896814530">
      <w:bodyDiv w:val="1"/>
      <w:marLeft w:val="0"/>
      <w:marRight w:val="0"/>
      <w:marTop w:val="0"/>
      <w:marBottom w:val="0"/>
      <w:divBdr>
        <w:top w:val="none" w:sz="0" w:space="0" w:color="auto"/>
        <w:left w:val="none" w:sz="0" w:space="0" w:color="auto"/>
        <w:bottom w:val="none" w:sz="0" w:space="0" w:color="auto"/>
        <w:right w:val="none" w:sz="0" w:space="0" w:color="auto"/>
      </w:divBdr>
      <w:divsChild>
        <w:div w:id="1456949497">
          <w:marLeft w:val="720"/>
          <w:marRight w:val="0"/>
          <w:marTop w:val="106"/>
          <w:marBottom w:val="0"/>
          <w:divBdr>
            <w:top w:val="none" w:sz="0" w:space="0" w:color="auto"/>
            <w:left w:val="none" w:sz="0" w:space="0" w:color="auto"/>
            <w:bottom w:val="none" w:sz="0" w:space="0" w:color="auto"/>
            <w:right w:val="none" w:sz="0" w:space="0" w:color="auto"/>
          </w:divBdr>
        </w:div>
        <w:div w:id="579561672">
          <w:marLeft w:val="720"/>
          <w:marRight w:val="0"/>
          <w:marTop w:val="106"/>
          <w:marBottom w:val="0"/>
          <w:divBdr>
            <w:top w:val="none" w:sz="0" w:space="0" w:color="auto"/>
            <w:left w:val="none" w:sz="0" w:space="0" w:color="auto"/>
            <w:bottom w:val="none" w:sz="0" w:space="0" w:color="auto"/>
            <w:right w:val="none" w:sz="0" w:space="0" w:color="auto"/>
          </w:divBdr>
        </w:div>
        <w:div w:id="1925652452">
          <w:marLeft w:val="720"/>
          <w:marRight w:val="0"/>
          <w:marTop w:val="106"/>
          <w:marBottom w:val="0"/>
          <w:divBdr>
            <w:top w:val="none" w:sz="0" w:space="0" w:color="auto"/>
            <w:left w:val="none" w:sz="0" w:space="0" w:color="auto"/>
            <w:bottom w:val="none" w:sz="0" w:space="0" w:color="auto"/>
            <w:right w:val="none" w:sz="0" w:space="0" w:color="auto"/>
          </w:divBdr>
        </w:div>
        <w:div w:id="226571818">
          <w:marLeft w:val="720"/>
          <w:marRight w:val="0"/>
          <w:marTop w:val="106"/>
          <w:marBottom w:val="0"/>
          <w:divBdr>
            <w:top w:val="none" w:sz="0" w:space="0" w:color="auto"/>
            <w:left w:val="none" w:sz="0" w:space="0" w:color="auto"/>
            <w:bottom w:val="none" w:sz="0" w:space="0" w:color="auto"/>
            <w:right w:val="none" w:sz="0" w:space="0" w:color="auto"/>
          </w:divBdr>
        </w:div>
        <w:div w:id="1858232858">
          <w:marLeft w:val="720"/>
          <w:marRight w:val="0"/>
          <w:marTop w:val="106"/>
          <w:marBottom w:val="0"/>
          <w:divBdr>
            <w:top w:val="none" w:sz="0" w:space="0" w:color="auto"/>
            <w:left w:val="none" w:sz="0" w:space="0" w:color="auto"/>
            <w:bottom w:val="none" w:sz="0" w:space="0" w:color="auto"/>
            <w:right w:val="none" w:sz="0" w:space="0" w:color="auto"/>
          </w:divBdr>
        </w:div>
        <w:div w:id="356853364">
          <w:marLeft w:val="720"/>
          <w:marRight w:val="0"/>
          <w:marTop w:val="106"/>
          <w:marBottom w:val="0"/>
          <w:divBdr>
            <w:top w:val="none" w:sz="0" w:space="0" w:color="auto"/>
            <w:left w:val="none" w:sz="0" w:space="0" w:color="auto"/>
            <w:bottom w:val="none" w:sz="0" w:space="0" w:color="auto"/>
            <w:right w:val="none" w:sz="0" w:space="0" w:color="auto"/>
          </w:divBdr>
        </w:div>
        <w:div w:id="1019964924">
          <w:marLeft w:val="720"/>
          <w:marRight w:val="0"/>
          <w:marTop w:val="106"/>
          <w:marBottom w:val="0"/>
          <w:divBdr>
            <w:top w:val="none" w:sz="0" w:space="0" w:color="auto"/>
            <w:left w:val="none" w:sz="0" w:space="0" w:color="auto"/>
            <w:bottom w:val="none" w:sz="0" w:space="0" w:color="auto"/>
            <w:right w:val="none" w:sz="0" w:space="0" w:color="auto"/>
          </w:divBdr>
        </w:div>
        <w:div w:id="282732166">
          <w:marLeft w:val="720"/>
          <w:marRight w:val="0"/>
          <w:marTop w:val="106"/>
          <w:marBottom w:val="0"/>
          <w:divBdr>
            <w:top w:val="none" w:sz="0" w:space="0" w:color="auto"/>
            <w:left w:val="none" w:sz="0" w:space="0" w:color="auto"/>
            <w:bottom w:val="none" w:sz="0" w:space="0" w:color="auto"/>
            <w:right w:val="none" w:sz="0" w:space="0" w:color="auto"/>
          </w:divBdr>
        </w:div>
        <w:div w:id="1672485562">
          <w:marLeft w:val="720"/>
          <w:marRight w:val="0"/>
          <w:marTop w:val="106"/>
          <w:marBottom w:val="0"/>
          <w:divBdr>
            <w:top w:val="none" w:sz="0" w:space="0" w:color="auto"/>
            <w:left w:val="none" w:sz="0" w:space="0" w:color="auto"/>
            <w:bottom w:val="none" w:sz="0" w:space="0" w:color="auto"/>
            <w:right w:val="none" w:sz="0" w:space="0" w:color="auto"/>
          </w:divBdr>
        </w:div>
      </w:divsChild>
    </w:div>
    <w:div w:id="1968849417">
      <w:bodyDiv w:val="1"/>
      <w:marLeft w:val="0"/>
      <w:marRight w:val="0"/>
      <w:marTop w:val="0"/>
      <w:marBottom w:val="0"/>
      <w:divBdr>
        <w:top w:val="none" w:sz="0" w:space="0" w:color="auto"/>
        <w:left w:val="none" w:sz="0" w:space="0" w:color="auto"/>
        <w:bottom w:val="none" w:sz="0" w:space="0" w:color="auto"/>
        <w:right w:val="none" w:sz="0" w:space="0" w:color="auto"/>
      </w:divBdr>
    </w:div>
    <w:div w:id="2138133804">
      <w:bodyDiv w:val="1"/>
      <w:marLeft w:val="0"/>
      <w:marRight w:val="0"/>
      <w:marTop w:val="0"/>
      <w:marBottom w:val="0"/>
      <w:divBdr>
        <w:top w:val="none" w:sz="0" w:space="0" w:color="auto"/>
        <w:left w:val="none" w:sz="0" w:space="0" w:color="auto"/>
        <w:bottom w:val="none" w:sz="0" w:space="0" w:color="auto"/>
        <w:right w:val="none" w:sz="0" w:space="0" w:color="auto"/>
      </w:divBdr>
      <w:divsChild>
        <w:div w:id="1254969447">
          <w:marLeft w:val="547"/>
          <w:marRight w:val="0"/>
          <w:marTop w:val="115"/>
          <w:marBottom w:val="0"/>
          <w:divBdr>
            <w:top w:val="none" w:sz="0" w:space="0" w:color="auto"/>
            <w:left w:val="none" w:sz="0" w:space="0" w:color="auto"/>
            <w:bottom w:val="none" w:sz="0" w:space="0" w:color="auto"/>
            <w:right w:val="none" w:sz="0" w:space="0" w:color="auto"/>
          </w:divBdr>
        </w:div>
        <w:div w:id="473723711">
          <w:marLeft w:val="1166"/>
          <w:marRight w:val="0"/>
          <w:marTop w:val="106"/>
          <w:marBottom w:val="0"/>
          <w:divBdr>
            <w:top w:val="none" w:sz="0" w:space="0" w:color="auto"/>
            <w:left w:val="none" w:sz="0" w:space="0" w:color="auto"/>
            <w:bottom w:val="none" w:sz="0" w:space="0" w:color="auto"/>
            <w:right w:val="none" w:sz="0" w:space="0" w:color="auto"/>
          </w:divBdr>
        </w:div>
        <w:div w:id="1552644749">
          <w:marLeft w:val="1166"/>
          <w:marRight w:val="0"/>
          <w:marTop w:val="106"/>
          <w:marBottom w:val="0"/>
          <w:divBdr>
            <w:top w:val="none" w:sz="0" w:space="0" w:color="auto"/>
            <w:left w:val="none" w:sz="0" w:space="0" w:color="auto"/>
            <w:bottom w:val="none" w:sz="0" w:space="0" w:color="auto"/>
            <w:right w:val="none" w:sz="0" w:space="0" w:color="auto"/>
          </w:divBdr>
        </w:div>
        <w:div w:id="639115541">
          <w:marLeft w:val="547"/>
          <w:marRight w:val="0"/>
          <w:marTop w:val="115"/>
          <w:marBottom w:val="0"/>
          <w:divBdr>
            <w:top w:val="none" w:sz="0" w:space="0" w:color="auto"/>
            <w:left w:val="none" w:sz="0" w:space="0" w:color="auto"/>
            <w:bottom w:val="none" w:sz="0" w:space="0" w:color="auto"/>
            <w:right w:val="none" w:sz="0" w:space="0" w:color="auto"/>
          </w:divBdr>
        </w:div>
        <w:div w:id="1170095831">
          <w:marLeft w:val="1166"/>
          <w:marRight w:val="0"/>
          <w:marTop w:val="106"/>
          <w:marBottom w:val="0"/>
          <w:divBdr>
            <w:top w:val="none" w:sz="0" w:space="0" w:color="auto"/>
            <w:left w:val="none" w:sz="0" w:space="0" w:color="auto"/>
            <w:bottom w:val="none" w:sz="0" w:space="0" w:color="auto"/>
            <w:right w:val="none" w:sz="0" w:space="0" w:color="auto"/>
          </w:divBdr>
        </w:div>
        <w:div w:id="1253976503">
          <w:marLeft w:val="1166"/>
          <w:marRight w:val="0"/>
          <w:marTop w:val="106"/>
          <w:marBottom w:val="0"/>
          <w:divBdr>
            <w:top w:val="none" w:sz="0" w:space="0" w:color="auto"/>
            <w:left w:val="none" w:sz="0" w:space="0" w:color="auto"/>
            <w:bottom w:val="none" w:sz="0" w:space="0" w:color="auto"/>
            <w:right w:val="none" w:sz="0" w:space="0" w:color="auto"/>
          </w:divBdr>
        </w:div>
        <w:div w:id="1555193981">
          <w:marLeft w:val="1166"/>
          <w:marRight w:val="0"/>
          <w:marTop w:val="106"/>
          <w:marBottom w:val="0"/>
          <w:divBdr>
            <w:top w:val="none" w:sz="0" w:space="0" w:color="auto"/>
            <w:left w:val="none" w:sz="0" w:space="0" w:color="auto"/>
            <w:bottom w:val="none" w:sz="0" w:space="0" w:color="auto"/>
            <w:right w:val="none" w:sz="0" w:space="0" w:color="auto"/>
          </w:divBdr>
        </w:div>
        <w:div w:id="854804670">
          <w:marLeft w:val="1166"/>
          <w:marRight w:val="0"/>
          <w:marTop w:val="106"/>
          <w:marBottom w:val="0"/>
          <w:divBdr>
            <w:top w:val="none" w:sz="0" w:space="0" w:color="auto"/>
            <w:left w:val="none" w:sz="0" w:space="0" w:color="auto"/>
            <w:bottom w:val="none" w:sz="0" w:space="0" w:color="auto"/>
            <w:right w:val="none" w:sz="0" w:space="0" w:color="auto"/>
          </w:divBdr>
        </w:div>
        <w:div w:id="1017005284">
          <w:marLeft w:val="1166"/>
          <w:marRight w:val="0"/>
          <w:marTop w:val="10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openxmlformats.org/officeDocument/2006/relationships/image" Target="media/image7.emf"/><Relationship Id="rId26" Type="http://schemas.openxmlformats.org/officeDocument/2006/relationships/image" Target="media/image15.emf"/><Relationship Id="rId39" Type="http://schemas.openxmlformats.org/officeDocument/2006/relationships/hyperlink" Target="http://www.mef.gub.uy" TargetMode="External"/><Relationship Id="rId21" Type="http://schemas.openxmlformats.org/officeDocument/2006/relationships/image" Target="media/image10.emf"/><Relationship Id="rId34" Type="http://schemas.openxmlformats.org/officeDocument/2006/relationships/image" Target="media/image23.emf"/><Relationship Id="rId42" Type="http://schemas.openxmlformats.org/officeDocument/2006/relationships/image" Target="media/image27.emf"/><Relationship Id="rId47" Type="http://schemas.openxmlformats.org/officeDocument/2006/relationships/image" Target="media/image31.emf"/><Relationship Id="rId50" Type="http://schemas.openxmlformats.org/officeDocument/2006/relationships/theme" Target="theme/theme1.xml"/><Relationship Id="rId55" Type="http://schemas.openxmlformats.org/officeDocument/2006/relationships/customXml" Target="../customXml/item6.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5.emf"/><Relationship Id="rId29" Type="http://schemas.openxmlformats.org/officeDocument/2006/relationships/image" Target="media/image18.emf"/><Relationship Id="rId11" Type="http://schemas.openxmlformats.org/officeDocument/2006/relationships/hyperlink" Target="http://www.mtop.gub.uy/" TargetMode="External"/><Relationship Id="rId24" Type="http://schemas.openxmlformats.org/officeDocument/2006/relationships/image" Target="media/image13.emf"/><Relationship Id="rId32" Type="http://schemas.openxmlformats.org/officeDocument/2006/relationships/image" Target="media/image21.emf"/><Relationship Id="rId37" Type="http://schemas.openxmlformats.org/officeDocument/2006/relationships/hyperlink" Target="http://www.presidencia.gub.uy" TargetMode="External"/><Relationship Id="rId40" Type="http://schemas.openxmlformats.org/officeDocument/2006/relationships/image" Target="media/image25.emf"/><Relationship Id="rId45" Type="http://schemas.openxmlformats.org/officeDocument/2006/relationships/image" Target="media/image29.emf"/><Relationship Id="rId53"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hyperlink" Target="http://www.cnd.org.uy/" TargetMode="External"/><Relationship Id="rId19" Type="http://schemas.openxmlformats.org/officeDocument/2006/relationships/image" Target="media/image8.emf"/><Relationship Id="rId31" Type="http://schemas.openxmlformats.org/officeDocument/2006/relationships/image" Target="media/image20.emf"/><Relationship Id="rId44" Type="http://schemas.openxmlformats.org/officeDocument/2006/relationships/image" Target="media/image28.emf"/><Relationship Id="rId52"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3.emf"/><Relationship Id="rId22" Type="http://schemas.openxmlformats.org/officeDocument/2006/relationships/image" Target="media/image11.emf"/><Relationship Id="rId27" Type="http://schemas.openxmlformats.org/officeDocument/2006/relationships/image" Target="media/image16.emf"/><Relationship Id="rId30" Type="http://schemas.openxmlformats.org/officeDocument/2006/relationships/image" Target="media/image19.emf"/><Relationship Id="rId35" Type="http://schemas.openxmlformats.org/officeDocument/2006/relationships/image" Target="media/image24.emf"/><Relationship Id="rId43" Type="http://schemas.openxmlformats.org/officeDocument/2006/relationships/package" Target="embeddings/Microsoft_Excel_Worksheet1.xlsx"/><Relationship Id="rId48" Type="http://schemas.openxmlformats.org/officeDocument/2006/relationships/image" Target="media/image32.emf"/><Relationship Id="rId56" Type="http://schemas.openxmlformats.org/officeDocument/2006/relationships/customXml" Target="../customXml/item7.xml"/><Relationship Id="rId8" Type="http://schemas.openxmlformats.org/officeDocument/2006/relationships/endnotes" Target="endnotes.xml"/><Relationship Id="rId51" Type="http://schemas.openxmlformats.org/officeDocument/2006/relationships/customXml" Target="../customXml/item2.xml"/><Relationship Id="rId3"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image" Target="media/image6.emf"/><Relationship Id="rId25" Type="http://schemas.openxmlformats.org/officeDocument/2006/relationships/image" Target="media/image14.emf"/><Relationship Id="rId33" Type="http://schemas.openxmlformats.org/officeDocument/2006/relationships/image" Target="media/image22.emf"/><Relationship Id="rId38" Type="http://schemas.openxmlformats.org/officeDocument/2006/relationships/hyperlink" Target="http://www.mef.gub.uy" TargetMode="External"/><Relationship Id="rId46" Type="http://schemas.openxmlformats.org/officeDocument/2006/relationships/image" Target="media/image30.emf"/><Relationship Id="rId20" Type="http://schemas.openxmlformats.org/officeDocument/2006/relationships/image" Target="media/image9.emf"/><Relationship Id="rId41" Type="http://schemas.openxmlformats.org/officeDocument/2006/relationships/image" Target="media/image26.emf"/><Relationship Id="rId54"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image" Target="media/image12.emf"/><Relationship Id="rId28" Type="http://schemas.openxmlformats.org/officeDocument/2006/relationships/image" Target="media/image17.emf"/><Relationship Id="rId36" Type="http://schemas.openxmlformats.org/officeDocument/2006/relationships/hyperlink" Target="http://www.eib.org/epec" TargetMode="External"/><Relationship Id="rId4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CF8896E1841C842949D0F901AA0D771" ma:contentTypeVersion="6" ma:contentTypeDescription="A content type to manage public (operations) IDB documents" ma:contentTypeScope="" ma:versionID="0102ec3d50b4e7ef566a89942b7337f4">
  <xsd:schema xmlns:xsd="http://www.w3.org/2001/XMLSchema" xmlns:xs="http://www.w3.org/2001/XMLSchema" xmlns:p="http://schemas.microsoft.com/office/2006/metadata/properties" xmlns:ns2="cdc7663a-08f0-4737-9e8c-148ce897a09c" targetNamespace="http://schemas.microsoft.com/office/2006/metadata/properties" ma:root="true" ma:fieldsID="4a2b00a3559290db0aee23e76ac17fb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TaxKeywordTaxHTFie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04e1e40-5c2d-4772-8def-99c6b9ea1318}" ma:internalName="TaxCatchAll" ma:showField="CatchAllData"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04e1e40-5c2d-4772-8def-99c6b9ea1318}" ma:internalName="TaxCatchAllLabel" ma:readOnly="true" ma:showField="CatchAllDataLabel"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TaxKeywordTaxHTField" ma:index="55" nillable="true" ma:taxonomy="true" ma:internalName="TaxKeywordTaxHTField" ma:taxonomyFieldName="TaxKeyword" ma:displayName="Tags" ma:fieldId="{23f27201-bee3-471e-b2e7-b64fd8b7ca38}" ma:taxonomyMulti="true" ma:sspId="ae61f9b1-e23d-4f49-b3d7-56b991556c4b"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Abstract xmlns="cdc7663a-08f0-4737-9e8c-148ce897a09c" xsi:nil="true"/>
    <Record_x0020_Number xmlns="cdc7663a-08f0-4737-9e8c-148ce897a09c" xsi:nil="true"/>
    <Disclosure_x0020_Activity xmlns="cdc7663a-08f0-4737-9e8c-148ce897a09c">Loan Proposal</Disclosure_x0020_Activity>
    <Region xmlns="cdc7663a-08f0-4737-9e8c-148ce897a09c" xsi:nil="true"/>
    <Division_x0020_or_x0020_Unit xmlns="cdc7663a-08f0-4737-9e8c-148ce897a09c">INE/TSP</Division_x0020_or_x0020_Unit>
    <Other_x0020_Author xmlns="cdc7663a-08f0-4737-9e8c-148ce897a09c" xsi:nil="true"/>
    <Key_x0020_Document xmlns="cdc7663a-08f0-4737-9e8c-148ce897a09c">false</Key_x0020_Document>
    <IDBDocs_x0020_Number xmlns="cdc7663a-08f0-4737-9e8c-148ce897a09c">39817532</IDBDocs_x0020_Number>
    <Publication_x0020_Type xmlns="cdc7663a-08f0-4737-9e8c-148ce897a09c" xsi:nil="true"/>
    <Document_x0020_Author xmlns="cdc7663a-08f0-4737-9e8c-148ce897a09c">Pereyra Da Luz, Andres</Document_x0020_Author>
    <Operation_x0020_Type xmlns="cdc7663a-08f0-4737-9e8c-148ce897a09c" xsi:nil="true"/>
    <TaxCatchAll xmlns="cdc7663a-08f0-4737-9e8c-148ce897a09c">
      <Value>16</Value>
      <Value>81</Value>
    </TaxCatchAll>
    <Issue_x0020_Date xmlns="cdc7663a-08f0-4737-9e8c-148ce897a09c" xsi:nil="true"/>
    <Fiscal_x0020_Year_x0020_IDB xmlns="cdc7663a-08f0-4737-9e8c-148ce897a09c">2015</Fiscal_x0020_Year_x0020_IDB>
    <TaxKeywordTaxHTField xmlns="cdc7663a-08f0-4737-9e8c-148ce897a09c">
      <Terms xmlns="http://schemas.microsoft.com/office/infopath/2007/PartnerControls"/>
    </TaxKeywordTaxHTField>
    <Project_x0020_Number xmlns="cdc7663a-08f0-4737-9e8c-148ce897a09c">N/A</Project_x0020_Number>
    <Package_x0020_Code xmlns="cdc7663a-08f0-4737-9e8c-148ce897a09c" xsi:nil="true"/>
    <Migration_x0020_Info xmlns="cdc7663a-08f0-4737-9e8c-148ce897a09c">&lt;Data&gt;&lt;APPLICATION&gt;MS WORD&lt;/APPLICATION&gt;&lt;STAGE_CODE&gt;LP&lt;/STAGE_CODE&gt;&lt;USER_STAGE&gt;Loan Proposal&lt;/USER_STAGE&gt;&lt;PD_OBJ_TYPE&gt;0&lt;/PD_OBJ_TYPE&gt;&lt;MAKERECORD&gt;N&lt;/MAKERECORD&gt;&lt;/Data&gt;</Migration_x0020_Info>
    <Approval_x0020_Number xmlns="cdc7663a-08f0-4737-9e8c-148ce897a09c" xsi:nil="true"/>
    <Business_x0020_Area xmlns="cdc7663a-08f0-4737-9e8c-148ce897a09c" xsi:nil="true"/>
    <SISCOR_x0020_Number xmlns="cdc7663a-08f0-4737-9e8c-148ce897a09c" xsi:nil="true"/>
    <Webtopic xmlns="cdc7663a-08f0-4737-9e8c-148ce897a09c">Highways and Roads</Webtopic>
    <Publishing_x0020_House xmlns="cdc7663a-08f0-4737-9e8c-148ce897a09c" xsi:nil="true"/>
    <Identifier xmlns="cdc7663a-08f0-4737-9e8c-148ce897a09c">Virginia Navas #2457 TECFILE</Identifier>
    <Disclosed xmlns="cdc7663a-08f0-4737-9e8c-148ce897a09c">false</Disclosed>
    <KP_x0020_Topics xmlns="cdc7663a-08f0-4737-9e8c-148ce897a09c" xsi:nil="true"/>
    <Document_x0020_Language_x0020_IDB xmlns="cdc7663a-08f0-4737-9e8c-148ce897a09c">Spanish</Document_x0020_Language_x0020_IDB>
    <Phase xmlns="cdc7663a-08f0-4737-9e8c-148ce897a09c" xsi:nil="true"/>
    <Editor1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Uruguay</TermName>
          <TermId xmlns="http://schemas.microsoft.com/office/infopath/2007/PartnerControls">5d9b6fdd-d595-4446-a0eb-c14b465f6d0e</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 xsi:nil="true"/>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3BF2BD67-FC03-44AD-93A6-C2A40A5C5A50}"/>
</file>

<file path=customXml/itemProps2.xml><?xml version="1.0" encoding="utf-8"?>
<ds:datastoreItem xmlns:ds="http://schemas.openxmlformats.org/officeDocument/2006/customXml" ds:itemID="{F8C1FB0B-7429-4331-A76D-D11AB54A8986}"/>
</file>

<file path=customXml/itemProps3.xml><?xml version="1.0" encoding="utf-8"?>
<ds:datastoreItem xmlns:ds="http://schemas.openxmlformats.org/officeDocument/2006/customXml" ds:itemID="{5BD9AEB5-1FDF-4947-862C-FD1C05485A48}"/>
</file>

<file path=customXml/itemProps4.xml><?xml version="1.0" encoding="utf-8"?>
<ds:datastoreItem xmlns:ds="http://schemas.openxmlformats.org/officeDocument/2006/customXml" ds:itemID="{61BB6A15-B31C-4E24-BE2E-AAAB52A0B1D3}"/>
</file>

<file path=customXml/itemProps5.xml><?xml version="1.0" encoding="utf-8"?>
<ds:datastoreItem xmlns:ds="http://schemas.openxmlformats.org/officeDocument/2006/customXml" ds:itemID="{8B140138-94D7-4F03-8ABB-E7773CF62853}"/>
</file>

<file path=customXml/itemProps6.xml><?xml version="1.0" encoding="utf-8"?>
<ds:datastoreItem xmlns:ds="http://schemas.openxmlformats.org/officeDocument/2006/customXml" ds:itemID="{59006B17-3F66-4F19-85ED-57B4DC1CB108}"/>
</file>

<file path=customXml/itemProps7.xml><?xml version="1.0" encoding="utf-8"?>
<ds:datastoreItem xmlns:ds="http://schemas.openxmlformats.org/officeDocument/2006/customXml" ds:itemID="{217A6706-6A35-41B5-BAE3-483891D544D7}"/>
</file>

<file path=docProps/app.xml><?xml version="1.0" encoding="utf-8"?>
<Properties xmlns="http://schemas.openxmlformats.org/officeDocument/2006/extended-properties" xmlns:vt="http://schemas.openxmlformats.org/officeDocument/2006/docPropsVTypes">
  <Template>Normal.dotm</Template>
  <TotalTime>639</TotalTime>
  <Pages>1</Pages>
  <Words>15978</Words>
  <Characters>91079</Characters>
  <Application>Microsoft Office Word</Application>
  <DocSecurity>0</DocSecurity>
  <Lines>758</Lines>
  <Paragraphs>213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Company>
  <LinksUpToDate>false</LinksUpToDate>
  <CharactersWithSpaces>106844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EEO2_ Análisis financiero</dc:title>
  <dc:subject/>
  <dc:creator>*</dc:creator>
  <cp:keywords/>
  <dc:description/>
  <cp:lastModifiedBy>*</cp:lastModifiedBy>
  <cp:revision>27</cp:revision>
  <cp:lastPrinted>2015-08-11T19:26:00Z</cp:lastPrinted>
  <dcterms:created xsi:type="dcterms:W3CDTF">2015-08-20T20:16:00Z</dcterms:created>
  <dcterms:modified xsi:type="dcterms:W3CDTF">2015-08-27T21:40:00Z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0x0101001A458A224826124E8B45B1D613300CFC00BCF8896E1841C842949D0F901AA0D771</vt:lpwstr>
  </property>
  <property fmtid="{D5CDD505-2E9C-101B-9397-08002B2CF9AE}" pid="5" name="Series Operations IDB">
    <vt:lpwstr/>
  </property>
  <property fmtid="{D5CDD505-2E9C-101B-9397-08002B2CF9AE}" pid="6" name="Sub-Sector">
    <vt:lpwstr/>
  </property>
  <property fmtid="{D5CDD505-2E9C-101B-9397-08002B2CF9AE}" pid="7" name="Country">
    <vt:lpwstr>16;#Uruguay|5d9b6fdd-d595-4446-a0eb-c14b465f6d0e</vt:lpwstr>
  </property>
  <property fmtid="{D5CDD505-2E9C-101B-9397-08002B2CF9AE}" pid="8" name="Fund IDB">
    <vt:lpwstr/>
  </property>
  <property fmtid="{D5CDD505-2E9C-101B-9397-08002B2CF9AE}" pid="9" name="Series_x0020_Operations_x0020_IDB">
    <vt:lpwstr/>
  </property>
  <property fmtid="{D5CDD505-2E9C-101B-9397-08002B2CF9AE}" pid="10" name="To:">
    <vt:lpwstr/>
  </property>
  <property fmtid="{D5CDD505-2E9C-101B-9397-08002B2CF9AE}" pid="11" name="From:">
    <vt:lpwstr/>
  </property>
  <property fmtid="{D5CDD505-2E9C-101B-9397-08002B2CF9AE}" pid="12" name="Sector IDB">
    <vt:lpwstr/>
  </property>
  <property fmtid="{D5CDD505-2E9C-101B-9397-08002B2CF9AE}" pid="13" name="Function Operations IDB">
    <vt:lpwstr>81;#IDBDocs|cca77002-e150-4b2d-ab1f-1d7a7cdcae16</vt:lpwstr>
  </property>
</Properties>
</file>