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3560" w14:textId="5D978D2C" w:rsidR="00E86AE4" w:rsidRPr="007244A6" w:rsidRDefault="00ED6883" w:rsidP="00C02952">
      <w:pPr>
        <w:spacing w:line="252" w:lineRule="auto"/>
        <w:jc w:val="center"/>
        <w:rPr>
          <w:rFonts w:ascii="Arial" w:hAnsi="Arial" w:cs="Arial"/>
          <w:b/>
          <w:bCs/>
          <w:szCs w:val="24"/>
          <w:lang w:val="es-ES"/>
        </w:rPr>
      </w:pPr>
      <w:r w:rsidRPr="007244A6">
        <w:rPr>
          <w:rFonts w:ascii="Arial" w:hAnsi="Arial" w:cs="Arial"/>
          <w:b/>
          <w:bCs/>
          <w:szCs w:val="24"/>
          <w:lang w:val="es-ES"/>
        </w:rPr>
        <w:t>Reformulación</w:t>
      </w:r>
      <w:r w:rsidR="00E86AE4" w:rsidRPr="007244A6">
        <w:rPr>
          <w:rFonts w:ascii="Arial" w:hAnsi="Arial" w:cs="Arial"/>
          <w:b/>
          <w:bCs/>
          <w:szCs w:val="24"/>
          <w:lang w:val="es-ES"/>
        </w:rPr>
        <w:t xml:space="preserve"> del </w:t>
      </w:r>
      <w:r w:rsidR="004D18AE" w:rsidRPr="007244A6">
        <w:rPr>
          <w:rFonts w:ascii="Arial" w:hAnsi="Arial" w:cs="Arial"/>
          <w:b/>
          <w:bCs/>
          <w:szCs w:val="24"/>
          <w:lang w:val="es-ES"/>
        </w:rPr>
        <w:t xml:space="preserve">Programa de </w:t>
      </w:r>
      <w:r w:rsidR="00926C6D" w:rsidRPr="007244A6">
        <w:rPr>
          <w:rFonts w:ascii="Arial" w:hAnsi="Arial" w:cs="Arial"/>
          <w:b/>
          <w:bCs/>
          <w:szCs w:val="24"/>
          <w:lang w:val="es-ES"/>
        </w:rPr>
        <w:t>D</w:t>
      </w:r>
      <w:r w:rsidR="004D18AE" w:rsidRPr="007244A6">
        <w:rPr>
          <w:rFonts w:ascii="Arial" w:hAnsi="Arial" w:cs="Arial"/>
          <w:b/>
          <w:bCs/>
          <w:szCs w:val="24"/>
          <w:lang w:val="es-ES"/>
        </w:rPr>
        <w:t xml:space="preserve">esarrollo de las </w:t>
      </w:r>
      <w:r w:rsidR="00926C6D" w:rsidRPr="007244A6">
        <w:rPr>
          <w:rFonts w:ascii="Arial" w:hAnsi="Arial" w:cs="Arial"/>
          <w:b/>
          <w:bCs/>
          <w:szCs w:val="24"/>
          <w:lang w:val="es-ES"/>
        </w:rPr>
        <w:t>P</w:t>
      </w:r>
      <w:r w:rsidR="004D18AE" w:rsidRPr="007244A6">
        <w:rPr>
          <w:rFonts w:ascii="Arial" w:hAnsi="Arial" w:cs="Arial"/>
          <w:b/>
          <w:bCs/>
          <w:szCs w:val="24"/>
          <w:lang w:val="es-ES"/>
        </w:rPr>
        <w:t>rovincias del Norte Grande: Infraestructura de Agua Potable y Saneamiento</w:t>
      </w:r>
    </w:p>
    <w:p w14:paraId="09070585" w14:textId="533BF9DD" w:rsidR="00ED6883" w:rsidRPr="007244A6" w:rsidRDefault="00437492" w:rsidP="00433369">
      <w:pPr>
        <w:spacing w:after="160" w:line="252" w:lineRule="auto"/>
        <w:jc w:val="center"/>
        <w:rPr>
          <w:rFonts w:ascii="Arial" w:hAnsi="Arial" w:cs="Arial"/>
          <w:b/>
          <w:bCs/>
          <w:szCs w:val="24"/>
          <w:lang w:val="es-ES"/>
        </w:rPr>
      </w:pPr>
      <w:r w:rsidRPr="007244A6">
        <w:rPr>
          <w:rFonts w:ascii="Arial" w:hAnsi="Arial" w:cs="Arial"/>
          <w:b/>
          <w:bCs/>
          <w:szCs w:val="24"/>
          <w:lang w:val="es-ES"/>
        </w:rPr>
        <w:t>(AR-L1</w:t>
      </w:r>
      <w:r w:rsidR="004D18AE" w:rsidRPr="007244A6">
        <w:rPr>
          <w:rFonts w:ascii="Arial" w:hAnsi="Arial" w:cs="Arial"/>
          <w:b/>
          <w:bCs/>
          <w:szCs w:val="24"/>
          <w:lang w:val="es-ES"/>
        </w:rPr>
        <w:t>136</w:t>
      </w:r>
      <w:r w:rsidR="002C3B62" w:rsidRPr="007244A6">
        <w:rPr>
          <w:rFonts w:ascii="Arial" w:hAnsi="Arial" w:cs="Arial"/>
          <w:b/>
          <w:bCs/>
          <w:szCs w:val="24"/>
          <w:lang w:val="es-ES"/>
        </w:rPr>
        <w:t xml:space="preserve">; </w:t>
      </w:r>
      <w:bookmarkStart w:id="0" w:name="_Hlk40980254"/>
      <w:r w:rsidR="002C3B62" w:rsidRPr="007244A6">
        <w:rPr>
          <w:rFonts w:ascii="Arial" w:hAnsi="Arial" w:cs="Arial"/>
          <w:b/>
          <w:bCs/>
          <w:szCs w:val="24"/>
          <w:lang w:val="es-ES"/>
        </w:rPr>
        <w:t>2776/OC-AR</w:t>
      </w:r>
      <w:bookmarkEnd w:id="0"/>
      <w:r w:rsidR="00E56384" w:rsidRPr="007244A6">
        <w:rPr>
          <w:rFonts w:ascii="Arial" w:hAnsi="Arial" w:cs="Arial"/>
          <w:b/>
          <w:bCs/>
          <w:szCs w:val="24"/>
          <w:lang w:val="es-ES"/>
        </w:rPr>
        <w:t>)</w:t>
      </w:r>
    </w:p>
    <w:p w14:paraId="1A21A2C5" w14:textId="0A2FE627" w:rsidR="002964C5" w:rsidRPr="007244A6" w:rsidRDefault="00D2605A" w:rsidP="006F453D">
      <w:pPr>
        <w:pStyle w:val="ListParagraph"/>
        <w:numPr>
          <w:ilvl w:val="0"/>
          <w:numId w:val="3"/>
        </w:numPr>
        <w:spacing w:after="160" w:line="252" w:lineRule="auto"/>
        <w:rPr>
          <w:rFonts w:ascii="Arial" w:hAnsi="Arial" w:cs="Arial"/>
          <w:b/>
          <w:sz w:val="22"/>
          <w:szCs w:val="22"/>
          <w:lang w:val="es-ES"/>
        </w:rPr>
      </w:pPr>
      <w:r w:rsidRPr="007244A6">
        <w:rPr>
          <w:rFonts w:ascii="Arial" w:hAnsi="Arial" w:cs="Arial"/>
          <w:b/>
          <w:sz w:val="22"/>
          <w:szCs w:val="22"/>
          <w:lang w:val="es-ES"/>
        </w:rPr>
        <w:t>Descripción del cambio propuesto</w:t>
      </w:r>
    </w:p>
    <w:p w14:paraId="13084882" w14:textId="5BF197E8" w:rsidR="000B1C7E" w:rsidRPr="007244A6" w:rsidRDefault="007810B3" w:rsidP="006F453D">
      <w:pPr>
        <w:pStyle w:val="Paragraph"/>
        <w:numPr>
          <w:ilvl w:val="1"/>
          <w:numId w:val="3"/>
        </w:numPr>
        <w:ind w:left="720" w:hanging="630"/>
        <w:rPr>
          <w:rFonts w:ascii="Arial" w:eastAsia="Arial" w:hAnsi="Arial" w:cs="Arial"/>
          <w:b/>
          <w:sz w:val="18"/>
          <w:szCs w:val="18"/>
        </w:rPr>
      </w:pPr>
      <w:r w:rsidRPr="007244A6">
        <w:rPr>
          <w:rFonts w:ascii="Arial" w:hAnsi="Arial" w:cs="Arial"/>
          <w:b/>
          <w:bCs/>
          <w:iCs/>
          <w:sz w:val="22"/>
          <w:szCs w:val="22"/>
        </w:rPr>
        <w:t>Reorientación de fondos</w:t>
      </w:r>
      <w:r w:rsidR="006F29CB" w:rsidRPr="007244A6">
        <w:rPr>
          <w:rFonts w:ascii="Arial" w:hAnsi="Arial" w:cs="Arial"/>
          <w:b/>
          <w:bCs/>
          <w:iCs/>
          <w:sz w:val="22"/>
          <w:szCs w:val="22"/>
        </w:rPr>
        <w:t>.</w:t>
      </w:r>
      <w:r w:rsidRPr="007244A6">
        <w:rPr>
          <w:rFonts w:ascii="Arial" w:hAnsi="Arial" w:cs="Arial"/>
          <w:iCs/>
          <w:sz w:val="22"/>
          <w:szCs w:val="22"/>
        </w:rPr>
        <w:t xml:space="preserve"> </w:t>
      </w:r>
      <w:r w:rsidR="00F93785" w:rsidRPr="007244A6">
        <w:rPr>
          <w:rFonts w:ascii="Arial" w:hAnsi="Arial" w:cs="Arial"/>
          <w:iCs/>
          <w:sz w:val="22"/>
          <w:szCs w:val="22"/>
        </w:rPr>
        <w:t xml:space="preserve">La reorientación de fondos solicitada al </w:t>
      </w:r>
      <w:r w:rsidR="00072EB9" w:rsidRPr="007244A6">
        <w:rPr>
          <w:rFonts w:ascii="Arial" w:hAnsi="Arial" w:cs="Arial"/>
          <w:iCs/>
          <w:sz w:val="22"/>
          <w:szCs w:val="22"/>
        </w:rPr>
        <w:t xml:space="preserve">Programa de </w:t>
      </w:r>
      <w:r w:rsidR="00E70B4A">
        <w:rPr>
          <w:rFonts w:ascii="Arial" w:hAnsi="Arial" w:cs="Arial"/>
          <w:iCs/>
          <w:sz w:val="22"/>
          <w:szCs w:val="22"/>
        </w:rPr>
        <w:t>D</w:t>
      </w:r>
      <w:r w:rsidR="00072EB9" w:rsidRPr="007244A6">
        <w:rPr>
          <w:rFonts w:ascii="Arial" w:hAnsi="Arial" w:cs="Arial"/>
          <w:iCs/>
          <w:sz w:val="22"/>
          <w:szCs w:val="22"/>
        </w:rPr>
        <w:t xml:space="preserve">esarrollo de las </w:t>
      </w:r>
      <w:r w:rsidR="00E70B4A">
        <w:rPr>
          <w:rFonts w:ascii="Arial" w:hAnsi="Arial" w:cs="Arial"/>
          <w:iCs/>
          <w:sz w:val="22"/>
          <w:szCs w:val="22"/>
        </w:rPr>
        <w:t>P</w:t>
      </w:r>
      <w:r w:rsidR="00072EB9" w:rsidRPr="007244A6">
        <w:rPr>
          <w:rFonts w:ascii="Arial" w:hAnsi="Arial" w:cs="Arial"/>
          <w:iCs/>
          <w:sz w:val="22"/>
          <w:szCs w:val="22"/>
        </w:rPr>
        <w:t>rovincias del Norte Grande: Infraestructura de Agua Potable y Saneamiento</w:t>
      </w:r>
      <w:r w:rsidR="00C02952" w:rsidRPr="007244A6">
        <w:rPr>
          <w:rFonts w:ascii="Arial" w:hAnsi="Arial" w:cs="Arial"/>
          <w:iCs/>
          <w:sz w:val="22"/>
          <w:szCs w:val="22"/>
        </w:rPr>
        <w:t xml:space="preserve"> (</w:t>
      </w:r>
      <w:r w:rsidR="00072EB9" w:rsidRPr="007244A6">
        <w:rPr>
          <w:rFonts w:ascii="Arial" w:hAnsi="Arial" w:cs="Arial"/>
          <w:iCs/>
          <w:sz w:val="22"/>
          <w:szCs w:val="22"/>
        </w:rPr>
        <w:t>2776</w:t>
      </w:r>
      <w:r w:rsidR="00933EAF" w:rsidRPr="007244A6">
        <w:rPr>
          <w:rFonts w:ascii="Arial" w:hAnsi="Arial" w:cs="Arial"/>
          <w:iCs/>
          <w:sz w:val="22"/>
          <w:szCs w:val="22"/>
        </w:rPr>
        <w:t>/</w:t>
      </w:r>
      <w:r w:rsidR="00153A63" w:rsidRPr="007244A6">
        <w:rPr>
          <w:rFonts w:ascii="Arial" w:hAnsi="Arial" w:cs="Arial"/>
          <w:iCs/>
          <w:sz w:val="22"/>
          <w:szCs w:val="22"/>
        </w:rPr>
        <w:t>O</w:t>
      </w:r>
      <w:r w:rsidR="00933EAF" w:rsidRPr="007244A6">
        <w:rPr>
          <w:rFonts w:ascii="Arial" w:hAnsi="Arial" w:cs="Arial"/>
          <w:iCs/>
          <w:sz w:val="22"/>
          <w:szCs w:val="22"/>
        </w:rPr>
        <w:t>C-AR</w:t>
      </w:r>
      <w:r w:rsidR="00C02952" w:rsidRPr="007244A6">
        <w:rPr>
          <w:rFonts w:ascii="Arial" w:hAnsi="Arial" w:cs="Arial"/>
          <w:iCs/>
          <w:sz w:val="22"/>
          <w:szCs w:val="22"/>
        </w:rPr>
        <w:t>)</w:t>
      </w:r>
      <w:r w:rsidR="00F93785" w:rsidRPr="007244A6">
        <w:rPr>
          <w:rFonts w:ascii="Arial" w:hAnsi="Arial" w:cs="Arial"/>
          <w:iCs/>
          <w:sz w:val="22"/>
          <w:szCs w:val="22"/>
        </w:rPr>
        <w:t xml:space="preserve"> </w:t>
      </w:r>
      <w:r w:rsidR="00AC39B3" w:rsidRPr="007244A6">
        <w:rPr>
          <w:rFonts w:ascii="Arial" w:hAnsi="Arial" w:cs="Arial"/>
          <w:iCs/>
          <w:sz w:val="22"/>
          <w:szCs w:val="22"/>
        </w:rPr>
        <w:t xml:space="preserve">tiene como propósito </w:t>
      </w:r>
      <w:r w:rsidR="001B7B09" w:rsidRPr="007244A6">
        <w:rPr>
          <w:rFonts w:ascii="Arial" w:hAnsi="Arial" w:cs="Arial"/>
          <w:iCs/>
          <w:sz w:val="22"/>
          <w:szCs w:val="22"/>
        </w:rPr>
        <w:t xml:space="preserve">apoyar la sostenibilidad de las Micro, Pequeñas y Medianas Empresas (MIPYME) como sostén del empleo en Argentina en el contexto de crisis generada por la pandemia COVID-19. </w:t>
      </w:r>
      <w:r w:rsidRPr="007244A6">
        <w:rPr>
          <w:rFonts w:ascii="Arial" w:hAnsi="Arial" w:cs="Arial"/>
          <w:iCs/>
          <w:sz w:val="22"/>
          <w:szCs w:val="22"/>
        </w:rPr>
        <w:t>Dichos</w:t>
      </w:r>
      <w:r w:rsidR="00F93785" w:rsidRPr="007244A6">
        <w:rPr>
          <w:rFonts w:ascii="Arial" w:hAnsi="Arial" w:cs="Arial"/>
          <w:iCs/>
          <w:sz w:val="22"/>
          <w:szCs w:val="22"/>
        </w:rPr>
        <w:t xml:space="preserve"> </w:t>
      </w:r>
      <w:r w:rsidRPr="007244A6">
        <w:rPr>
          <w:rFonts w:ascii="Arial" w:hAnsi="Arial" w:cs="Arial"/>
          <w:iCs/>
          <w:sz w:val="22"/>
          <w:szCs w:val="22"/>
        </w:rPr>
        <w:t>fondos serán</w:t>
      </w:r>
      <w:r w:rsidR="00F93785" w:rsidRPr="007244A6">
        <w:rPr>
          <w:rFonts w:ascii="Arial" w:hAnsi="Arial" w:cs="Arial"/>
          <w:iCs/>
          <w:sz w:val="22"/>
          <w:szCs w:val="22"/>
        </w:rPr>
        <w:t xml:space="preserve"> destinados a </w:t>
      </w:r>
      <w:r w:rsidR="001B7B09" w:rsidRPr="007244A6">
        <w:rPr>
          <w:rFonts w:ascii="Arial" w:hAnsi="Arial" w:cs="Arial"/>
          <w:iCs/>
          <w:sz w:val="22"/>
          <w:szCs w:val="22"/>
        </w:rPr>
        <w:t>facilitar el acceso a crédito de las MIPYME para apoyar su sostenibilidad financiera y promover su recuperación económica</w:t>
      </w:r>
      <w:bookmarkStart w:id="1" w:name="_Hlk36433509"/>
      <w:r w:rsidR="001B7B09" w:rsidRPr="007244A6">
        <w:rPr>
          <w:rFonts w:ascii="Arial" w:hAnsi="Arial" w:cs="Arial"/>
          <w:iCs/>
          <w:sz w:val="22"/>
          <w:szCs w:val="22"/>
        </w:rPr>
        <w:t xml:space="preserve"> a través del </w:t>
      </w:r>
      <w:r w:rsidR="003D3BCA" w:rsidRPr="007244A6">
        <w:rPr>
          <w:rFonts w:ascii="Arial" w:hAnsi="Arial" w:cs="Arial"/>
          <w:iCs/>
          <w:sz w:val="22"/>
          <w:szCs w:val="22"/>
        </w:rPr>
        <w:t>Programa Global de Crédito para la Reactivación del Sector Productivo</w:t>
      </w:r>
      <w:r w:rsidR="001B7B09" w:rsidRPr="007244A6">
        <w:rPr>
          <w:rFonts w:ascii="Arial" w:hAnsi="Arial" w:cs="Arial"/>
          <w:iCs/>
          <w:sz w:val="22"/>
          <w:szCs w:val="22"/>
        </w:rPr>
        <w:t xml:space="preserve"> (AR-L1328)</w:t>
      </w:r>
      <w:r w:rsidR="002A1E1C" w:rsidRPr="007244A6">
        <w:rPr>
          <w:rFonts w:ascii="Arial" w:hAnsi="Arial" w:cs="Arial"/>
          <w:iCs/>
          <w:sz w:val="22"/>
          <w:szCs w:val="22"/>
        </w:rPr>
        <w:t>.</w:t>
      </w:r>
    </w:p>
    <w:p w14:paraId="09F0FBB7" w14:textId="0446BADE" w:rsidR="00C34926" w:rsidRPr="00C34926" w:rsidRDefault="00E829F4" w:rsidP="00C34926">
      <w:pPr>
        <w:pStyle w:val="Paragraph"/>
        <w:numPr>
          <w:ilvl w:val="1"/>
          <w:numId w:val="3"/>
        </w:numPr>
        <w:ind w:left="720" w:hanging="630"/>
        <w:rPr>
          <w:rFonts w:ascii="Arial" w:hAnsi="Arial" w:cs="Arial"/>
          <w:bCs/>
          <w:sz w:val="22"/>
          <w:szCs w:val="22"/>
        </w:rPr>
      </w:pPr>
      <w:r w:rsidRPr="00B23977">
        <w:rPr>
          <w:rFonts w:ascii="Arial" w:hAnsi="Arial" w:cs="Arial"/>
          <w:b/>
          <w:sz w:val="22"/>
          <w:szCs w:val="22"/>
        </w:rPr>
        <w:t>Estado del proyecto en ejecución.</w:t>
      </w:r>
      <w:r w:rsidR="00C34926">
        <w:rPr>
          <w:rFonts w:ascii="Arial" w:hAnsi="Arial" w:cs="Arial"/>
          <w:b/>
          <w:sz w:val="22"/>
          <w:szCs w:val="22"/>
        </w:rPr>
        <w:t xml:space="preserve"> </w:t>
      </w:r>
      <w:r w:rsidR="00C34926" w:rsidRPr="00C34926">
        <w:rPr>
          <w:rFonts w:ascii="Arial" w:hAnsi="Arial" w:cs="Arial"/>
          <w:bCs/>
          <w:sz w:val="22"/>
          <w:szCs w:val="22"/>
        </w:rPr>
        <w:t xml:space="preserve">Del total original aprobado para el </w:t>
      </w:r>
      <w:r w:rsidR="00990CFC">
        <w:rPr>
          <w:rFonts w:ascii="Arial" w:hAnsi="Arial" w:cs="Arial"/>
          <w:bCs/>
          <w:sz w:val="22"/>
          <w:szCs w:val="22"/>
        </w:rPr>
        <w:t>p</w:t>
      </w:r>
      <w:r w:rsidR="00C34926" w:rsidRPr="00C34926">
        <w:rPr>
          <w:rFonts w:ascii="Arial" w:hAnsi="Arial" w:cs="Arial"/>
          <w:bCs/>
          <w:sz w:val="22"/>
          <w:szCs w:val="22"/>
        </w:rPr>
        <w:t xml:space="preserve">rograma, US$500 millones, se han ejecutado US$220 millones (44%) y se han comprometido US$317,8 millones (63,5%). Dentro del componente </w:t>
      </w:r>
      <w:r w:rsidR="0016717D">
        <w:rPr>
          <w:rFonts w:ascii="Arial" w:hAnsi="Arial" w:cs="Arial"/>
          <w:bCs/>
          <w:sz w:val="22"/>
          <w:szCs w:val="22"/>
        </w:rPr>
        <w:t>1</w:t>
      </w:r>
      <w:r w:rsidR="009852F6">
        <w:rPr>
          <w:rFonts w:ascii="Arial" w:hAnsi="Arial" w:cs="Arial"/>
          <w:bCs/>
          <w:sz w:val="22"/>
          <w:szCs w:val="22"/>
        </w:rPr>
        <w:t xml:space="preserve"> (categoría de costo 2.1)</w:t>
      </w:r>
      <w:r w:rsidR="00C34926" w:rsidRPr="00C34926">
        <w:rPr>
          <w:rFonts w:ascii="Arial" w:hAnsi="Arial" w:cs="Arial"/>
          <w:bCs/>
          <w:sz w:val="22"/>
          <w:szCs w:val="22"/>
        </w:rPr>
        <w:t xml:space="preserve">, se han finalizado tres obras de agua potable: </w:t>
      </w:r>
      <w:r w:rsidR="00C34926">
        <w:rPr>
          <w:rFonts w:ascii="Arial" w:hAnsi="Arial" w:cs="Arial"/>
          <w:bCs/>
          <w:sz w:val="22"/>
          <w:szCs w:val="22"/>
        </w:rPr>
        <w:t>(</w:t>
      </w:r>
      <w:r w:rsidR="00C34926" w:rsidRPr="00C34926">
        <w:rPr>
          <w:rFonts w:ascii="Arial" w:hAnsi="Arial" w:cs="Arial"/>
          <w:bCs/>
          <w:sz w:val="22"/>
          <w:szCs w:val="22"/>
        </w:rPr>
        <w:t xml:space="preserve">i) Acueducto Castelli-Miraflores; </w:t>
      </w:r>
      <w:r w:rsidR="00C34926">
        <w:rPr>
          <w:rFonts w:ascii="Arial" w:hAnsi="Arial" w:cs="Arial"/>
          <w:bCs/>
          <w:sz w:val="22"/>
          <w:szCs w:val="22"/>
        </w:rPr>
        <w:t>(</w:t>
      </w:r>
      <w:proofErr w:type="spellStart"/>
      <w:r w:rsidR="00C34926" w:rsidRPr="00C34926">
        <w:rPr>
          <w:rFonts w:ascii="Arial" w:hAnsi="Arial" w:cs="Arial"/>
          <w:bCs/>
          <w:sz w:val="22"/>
          <w:szCs w:val="22"/>
        </w:rPr>
        <w:t>ii</w:t>
      </w:r>
      <w:proofErr w:type="spellEnd"/>
      <w:r w:rsidR="00C34926" w:rsidRPr="00C34926">
        <w:rPr>
          <w:rFonts w:ascii="Arial" w:hAnsi="Arial" w:cs="Arial"/>
          <w:bCs/>
          <w:sz w:val="22"/>
          <w:szCs w:val="22"/>
        </w:rPr>
        <w:t xml:space="preserve">) Sistema de abastecimiento para la ciudad Castelli; y </w:t>
      </w:r>
      <w:r w:rsidR="00C34926">
        <w:rPr>
          <w:rFonts w:ascii="Arial" w:hAnsi="Arial" w:cs="Arial"/>
          <w:bCs/>
          <w:sz w:val="22"/>
          <w:szCs w:val="22"/>
        </w:rPr>
        <w:t>(</w:t>
      </w:r>
      <w:proofErr w:type="spellStart"/>
      <w:r w:rsidR="00C34926" w:rsidRPr="00C34926">
        <w:rPr>
          <w:rFonts w:ascii="Arial" w:hAnsi="Arial" w:cs="Arial"/>
          <w:bCs/>
          <w:sz w:val="22"/>
          <w:szCs w:val="22"/>
        </w:rPr>
        <w:t>iii</w:t>
      </w:r>
      <w:proofErr w:type="spellEnd"/>
      <w:r w:rsidR="00C34926" w:rsidRPr="00C34926">
        <w:rPr>
          <w:rFonts w:ascii="Arial" w:hAnsi="Arial" w:cs="Arial"/>
          <w:bCs/>
          <w:sz w:val="22"/>
          <w:szCs w:val="22"/>
        </w:rPr>
        <w:t xml:space="preserve">) Ampliación de la cobertura y extensión de redes de agua potable en el área metropolitana de la ciudad de Formosa; y una obra de saneamiento: la planta depuradora y la cañería de impulsión en Santiago del Estero. Dentro componente </w:t>
      </w:r>
      <w:r w:rsidR="0016717D">
        <w:rPr>
          <w:rFonts w:ascii="Arial" w:hAnsi="Arial" w:cs="Arial"/>
          <w:bCs/>
          <w:sz w:val="22"/>
          <w:szCs w:val="22"/>
        </w:rPr>
        <w:t>2</w:t>
      </w:r>
      <w:r w:rsidR="009852F6">
        <w:rPr>
          <w:rFonts w:ascii="Arial" w:hAnsi="Arial" w:cs="Arial"/>
          <w:bCs/>
          <w:sz w:val="22"/>
          <w:szCs w:val="22"/>
        </w:rPr>
        <w:t xml:space="preserve"> (categoría de costo 2.</w:t>
      </w:r>
      <w:r w:rsidR="0016717D">
        <w:rPr>
          <w:rFonts w:ascii="Arial" w:hAnsi="Arial" w:cs="Arial"/>
          <w:bCs/>
          <w:sz w:val="22"/>
          <w:szCs w:val="22"/>
        </w:rPr>
        <w:t>2</w:t>
      </w:r>
      <w:r w:rsidR="009852F6">
        <w:rPr>
          <w:rFonts w:ascii="Arial" w:hAnsi="Arial" w:cs="Arial"/>
          <w:bCs/>
          <w:sz w:val="22"/>
          <w:szCs w:val="22"/>
        </w:rPr>
        <w:t>)</w:t>
      </w:r>
      <w:r w:rsidR="00C34926" w:rsidRPr="00C34926">
        <w:rPr>
          <w:rFonts w:ascii="Arial" w:hAnsi="Arial" w:cs="Arial"/>
          <w:bCs/>
          <w:sz w:val="22"/>
          <w:szCs w:val="22"/>
        </w:rPr>
        <w:t xml:space="preserve">, se instaló la micro y </w:t>
      </w:r>
      <w:proofErr w:type="spellStart"/>
      <w:r w:rsidR="00C34926" w:rsidRPr="00C34926">
        <w:rPr>
          <w:rFonts w:ascii="Arial" w:hAnsi="Arial" w:cs="Arial"/>
          <w:bCs/>
          <w:sz w:val="22"/>
          <w:szCs w:val="22"/>
        </w:rPr>
        <w:t>macromedición</w:t>
      </w:r>
      <w:proofErr w:type="spellEnd"/>
      <w:r w:rsidR="00C34926" w:rsidRPr="00C34926">
        <w:rPr>
          <w:rFonts w:ascii="Arial" w:hAnsi="Arial" w:cs="Arial"/>
          <w:bCs/>
          <w:sz w:val="22"/>
          <w:szCs w:val="22"/>
        </w:rPr>
        <w:t xml:space="preserve"> de la ciudad de Tucumán.</w:t>
      </w:r>
      <w:r w:rsidR="00C34926">
        <w:rPr>
          <w:rFonts w:ascii="Arial" w:hAnsi="Arial" w:cs="Arial"/>
          <w:bCs/>
          <w:sz w:val="22"/>
          <w:szCs w:val="22"/>
        </w:rPr>
        <w:t xml:space="preserve"> </w:t>
      </w:r>
      <w:r w:rsidR="00C34926" w:rsidRPr="00C34926">
        <w:rPr>
          <w:rFonts w:ascii="Arial" w:hAnsi="Arial" w:cs="Arial"/>
          <w:bCs/>
          <w:sz w:val="22"/>
          <w:szCs w:val="22"/>
        </w:rPr>
        <w:t>Actualmente, se encuentran en construcción tres obras de saneamiento construidos y/o rehabilitados, dado que se refería a un indicador de producto (conexión efectiva potencial)</w:t>
      </w:r>
      <w:r w:rsidR="009852F6">
        <w:rPr>
          <w:rFonts w:ascii="Arial" w:hAnsi="Arial" w:cs="Arial"/>
          <w:bCs/>
          <w:sz w:val="22"/>
          <w:szCs w:val="22"/>
        </w:rPr>
        <w:t xml:space="preserve"> </w:t>
      </w:r>
      <w:r w:rsidR="00C34926" w:rsidRPr="00C34926">
        <w:rPr>
          <w:rFonts w:ascii="Arial" w:hAnsi="Arial" w:cs="Arial"/>
          <w:bCs/>
          <w:sz w:val="22"/>
          <w:szCs w:val="22"/>
        </w:rPr>
        <w:t>y antes de finalizar el 2020 se licitaría una obra de agua potable y otra de saneamiento en las provincias de Catamarca y Chaco, respectivamente.</w:t>
      </w:r>
    </w:p>
    <w:p w14:paraId="482D52C5" w14:textId="6729175D" w:rsidR="006F29CB" w:rsidRDefault="006F29CB" w:rsidP="006F453D">
      <w:pPr>
        <w:pStyle w:val="Paragraph"/>
        <w:numPr>
          <w:ilvl w:val="1"/>
          <w:numId w:val="3"/>
        </w:numPr>
        <w:ind w:left="720" w:hanging="630"/>
        <w:rPr>
          <w:rFonts w:ascii="Arial" w:hAnsi="Arial" w:cs="Arial"/>
          <w:bCs/>
          <w:sz w:val="22"/>
          <w:szCs w:val="22"/>
        </w:rPr>
      </w:pPr>
      <w:r w:rsidRPr="007244A6">
        <w:rPr>
          <w:rFonts w:ascii="Arial" w:hAnsi="Arial" w:cs="Arial"/>
          <w:b/>
          <w:sz w:val="22"/>
          <w:szCs w:val="22"/>
        </w:rPr>
        <w:t>Cambio</w:t>
      </w:r>
      <w:r w:rsidR="00CE14C6" w:rsidRPr="007244A6">
        <w:rPr>
          <w:rFonts w:ascii="Arial" w:hAnsi="Arial" w:cs="Arial"/>
          <w:b/>
          <w:sz w:val="22"/>
          <w:szCs w:val="22"/>
        </w:rPr>
        <w:t>s</w:t>
      </w:r>
      <w:r w:rsidRPr="007244A6">
        <w:rPr>
          <w:rFonts w:ascii="Arial" w:hAnsi="Arial" w:cs="Arial"/>
          <w:b/>
          <w:sz w:val="22"/>
          <w:szCs w:val="22"/>
        </w:rPr>
        <w:t xml:space="preserve"> </w:t>
      </w:r>
      <w:r w:rsidR="00153A63" w:rsidRPr="007244A6">
        <w:rPr>
          <w:rFonts w:ascii="Arial" w:hAnsi="Arial" w:cs="Arial"/>
          <w:b/>
          <w:sz w:val="22"/>
          <w:szCs w:val="22"/>
        </w:rPr>
        <w:t>para el proyecto en ejecución</w:t>
      </w:r>
      <w:r w:rsidRPr="007244A6">
        <w:rPr>
          <w:rFonts w:ascii="Arial" w:hAnsi="Arial" w:cs="Arial"/>
          <w:b/>
          <w:sz w:val="22"/>
          <w:szCs w:val="22"/>
        </w:rPr>
        <w:t>.</w:t>
      </w:r>
      <w:r w:rsidRPr="007244A6">
        <w:rPr>
          <w:rFonts w:ascii="Arial" w:hAnsi="Arial" w:cs="Arial"/>
          <w:bCs/>
          <w:sz w:val="22"/>
          <w:szCs w:val="22"/>
        </w:rPr>
        <w:t xml:space="preserve"> </w:t>
      </w:r>
      <w:r w:rsidR="00E86AE4" w:rsidRPr="007244A6">
        <w:rPr>
          <w:rFonts w:ascii="Arial" w:hAnsi="Arial" w:cs="Arial"/>
          <w:bCs/>
          <w:sz w:val="22"/>
          <w:szCs w:val="22"/>
        </w:rPr>
        <w:t xml:space="preserve">El objetivo </w:t>
      </w:r>
      <w:r w:rsidR="009D2F9B" w:rsidRPr="007244A6">
        <w:rPr>
          <w:rFonts w:ascii="Arial" w:hAnsi="Arial" w:cs="Arial"/>
          <w:bCs/>
          <w:sz w:val="22"/>
          <w:szCs w:val="22"/>
        </w:rPr>
        <w:t xml:space="preserve">general </w:t>
      </w:r>
      <w:r w:rsidR="00E86AE4" w:rsidRPr="007244A6">
        <w:rPr>
          <w:rFonts w:ascii="Arial" w:hAnsi="Arial" w:cs="Arial"/>
          <w:bCs/>
          <w:sz w:val="22"/>
          <w:szCs w:val="22"/>
        </w:rPr>
        <w:t xml:space="preserve">del proyecto es </w:t>
      </w:r>
      <w:r w:rsidR="00493D7F" w:rsidRPr="007244A6">
        <w:rPr>
          <w:rFonts w:ascii="Arial" w:hAnsi="Arial" w:cs="Arial"/>
          <w:bCs/>
          <w:sz w:val="22"/>
          <w:szCs w:val="22"/>
        </w:rPr>
        <w:t>mejorar el servicio y la eficiencia del sector de agua y saneamiento en las provincias del Norte Grande de Argentina mediante la financiación de proyectos que: (i) incrementen la cobertura y mejoren el servicio de agua potable y alcantarillado sanitario y pluvial en áreas sin servicio o con servicio deficiente; y (</w:t>
      </w:r>
      <w:proofErr w:type="spellStart"/>
      <w:r w:rsidR="00493D7F" w:rsidRPr="007244A6">
        <w:rPr>
          <w:rFonts w:ascii="Arial" w:hAnsi="Arial" w:cs="Arial"/>
          <w:bCs/>
          <w:sz w:val="22"/>
          <w:szCs w:val="22"/>
        </w:rPr>
        <w:t>ii</w:t>
      </w:r>
      <w:proofErr w:type="spellEnd"/>
      <w:r w:rsidR="00493D7F" w:rsidRPr="007244A6">
        <w:rPr>
          <w:rFonts w:ascii="Arial" w:hAnsi="Arial" w:cs="Arial"/>
          <w:bCs/>
          <w:sz w:val="22"/>
          <w:szCs w:val="22"/>
        </w:rPr>
        <w:t>) fortalezcan las entidades del sector a nivel provincial y mejoren la eficiencia y gestión operativa y financiera de los prestadores de servicios.</w:t>
      </w:r>
      <w:r w:rsidR="00E86AE4" w:rsidRPr="007244A6">
        <w:rPr>
          <w:rFonts w:ascii="Arial" w:hAnsi="Arial" w:cs="Arial"/>
          <w:bCs/>
          <w:sz w:val="22"/>
          <w:szCs w:val="22"/>
        </w:rPr>
        <w:t xml:space="preserve"> </w:t>
      </w:r>
      <w:r w:rsidRPr="007244A6">
        <w:rPr>
          <w:rFonts w:ascii="Arial" w:hAnsi="Arial" w:cs="Arial"/>
          <w:iCs/>
          <w:sz w:val="22"/>
          <w:szCs w:val="22"/>
        </w:rPr>
        <w:t>La reorientación de los recursos no implicará cambios a</w:t>
      </w:r>
      <w:r w:rsidR="009D2F9B" w:rsidRPr="007244A6">
        <w:rPr>
          <w:rFonts w:ascii="Arial" w:hAnsi="Arial" w:cs="Arial"/>
          <w:iCs/>
          <w:sz w:val="22"/>
          <w:szCs w:val="22"/>
        </w:rPr>
        <w:t xml:space="preserve"> </w:t>
      </w:r>
      <w:r w:rsidRPr="007244A6">
        <w:rPr>
          <w:rFonts w:ascii="Arial" w:hAnsi="Arial" w:cs="Arial"/>
          <w:bCs/>
          <w:sz w:val="22"/>
          <w:szCs w:val="22"/>
        </w:rPr>
        <w:t>l</w:t>
      </w:r>
      <w:r w:rsidR="009D2F9B" w:rsidRPr="007244A6">
        <w:rPr>
          <w:rFonts w:ascii="Arial" w:hAnsi="Arial" w:cs="Arial"/>
          <w:bCs/>
          <w:sz w:val="22"/>
          <w:szCs w:val="22"/>
        </w:rPr>
        <w:t xml:space="preserve">os </w:t>
      </w:r>
      <w:r w:rsidRPr="007244A6">
        <w:rPr>
          <w:rFonts w:ascii="Arial" w:hAnsi="Arial" w:cs="Arial"/>
          <w:bCs/>
          <w:sz w:val="22"/>
          <w:szCs w:val="22"/>
        </w:rPr>
        <w:t>objetivo</w:t>
      </w:r>
      <w:r w:rsidR="009D2F9B" w:rsidRPr="007244A6">
        <w:rPr>
          <w:rFonts w:ascii="Arial" w:hAnsi="Arial" w:cs="Arial"/>
          <w:bCs/>
          <w:sz w:val="22"/>
          <w:szCs w:val="22"/>
        </w:rPr>
        <w:t>s general y específicos</w:t>
      </w:r>
      <w:r w:rsidR="00857463" w:rsidRPr="007244A6">
        <w:rPr>
          <w:rFonts w:ascii="Arial" w:hAnsi="Arial" w:cs="Arial"/>
          <w:bCs/>
          <w:sz w:val="22"/>
          <w:szCs w:val="22"/>
        </w:rPr>
        <w:t xml:space="preserve"> del programa</w:t>
      </w:r>
      <w:r w:rsidR="00CE14C6" w:rsidRPr="007244A6">
        <w:rPr>
          <w:rFonts w:ascii="Arial" w:hAnsi="Arial" w:cs="Arial"/>
          <w:bCs/>
          <w:sz w:val="22"/>
          <w:szCs w:val="22"/>
        </w:rPr>
        <w:t xml:space="preserve">, pero si </w:t>
      </w:r>
      <w:r w:rsidR="009D2F9B" w:rsidRPr="007244A6">
        <w:rPr>
          <w:rFonts w:ascii="Arial" w:hAnsi="Arial" w:cs="Arial"/>
          <w:bCs/>
          <w:sz w:val="22"/>
          <w:szCs w:val="22"/>
        </w:rPr>
        <w:t xml:space="preserve">ajustes </w:t>
      </w:r>
      <w:r w:rsidR="00CE14C6" w:rsidRPr="007244A6">
        <w:rPr>
          <w:rFonts w:ascii="Arial" w:hAnsi="Arial" w:cs="Arial"/>
          <w:bCs/>
          <w:sz w:val="22"/>
          <w:szCs w:val="22"/>
        </w:rPr>
        <w:t>e</w:t>
      </w:r>
      <w:r w:rsidR="00F35DF0" w:rsidRPr="007244A6">
        <w:rPr>
          <w:rFonts w:ascii="Arial" w:hAnsi="Arial" w:cs="Arial"/>
          <w:bCs/>
          <w:sz w:val="22"/>
          <w:szCs w:val="22"/>
        </w:rPr>
        <w:t>n</w:t>
      </w:r>
      <w:r w:rsidR="00CE14C6" w:rsidRPr="007244A6">
        <w:rPr>
          <w:rFonts w:ascii="Arial" w:hAnsi="Arial" w:cs="Arial"/>
          <w:bCs/>
          <w:sz w:val="22"/>
          <w:szCs w:val="22"/>
        </w:rPr>
        <w:t xml:space="preserve"> </w:t>
      </w:r>
      <w:r w:rsidR="009D2F9B" w:rsidRPr="007244A6">
        <w:rPr>
          <w:rFonts w:ascii="Arial" w:hAnsi="Arial" w:cs="Arial"/>
          <w:bCs/>
          <w:sz w:val="22"/>
          <w:szCs w:val="22"/>
        </w:rPr>
        <w:t xml:space="preserve">indicadores y </w:t>
      </w:r>
      <w:r w:rsidR="00CE14C6" w:rsidRPr="007244A6">
        <w:rPr>
          <w:rFonts w:ascii="Arial" w:hAnsi="Arial" w:cs="Arial"/>
          <w:bCs/>
          <w:sz w:val="22"/>
          <w:szCs w:val="22"/>
        </w:rPr>
        <w:t>metas</w:t>
      </w:r>
      <w:r w:rsidR="00F35DF0" w:rsidRPr="007244A6">
        <w:rPr>
          <w:rFonts w:ascii="Arial" w:hAnsi="Arial" w:cs="Arial"/>
          <w:bCs/>
          <w:sz w:val="22"/>
          <w:szCs w:val="22"/>
        </w:rPr>
        <w:t xml:space="preserve"> de algunos resultados </w:t>
      </w:r>
      <w:r w:rsidR="00433C2F" w:rsidRPr="007244A6">
        <w:rPr>
          <w:rFonts w:ascii="Arial" w:hAnsi="Arial" w:cs="Arial"/>
          <w:bCs/>
          <w:sz w:val="22"/>
          <w:szCs w:val="22"/>
        </w:rPr>
        <w:t xml:space="preserve">y productos </w:t>
      </w:r>
      <w:r w:rsidR="00F35DF0" w:rsidRPr="007244A6">
        <w:rPr>
          <w:rFonts w:ascii="Arial" w:hAnsi="Arial" w:cs="Arial"/>
          <w:bCs/>
          <w:sz w:val="22"/>
          <w:szCs w:val="22"/>
        </w:rPr>
        <w:t>de la operación</w:t>
      </w:r>
      <w:r w:rsidR="00E8539E" w:rsidRPr="007244A6">
        <w:rPr>
          <w:rFonts w:ascii="Arial" w:hAnsi="Arial" w:cs="Arial"/>
          <w:bCs/>
          <w:sz w:val="22"/>
          <w:szCs w:val="22"/>
        </w:rPr>
        <w:t xml:space="preserve">, presentados en la matriz de resultados </w:t>
      </w:r>
      <w:r w:rsidR="00F567D4">
        <w:rPr>
          <w:rFonts w:ascii="Arial" w:hAnsi="Arial" w:cs="Arial"/>
          <w:bCs/>
          <w:sz w:val="22"/>
          <w:szCs w:val="22"/>
        </w:rPr>
        <w:t>original</w:t>
      </w:r>
      <w:r w:rsidR="00857463" w:rsidRPr="007244A6">
        <w:rPr>
          <w:rFonts w:ascii="Arial" w:hAnsi="Arial" w:cs="Arial"/>
          <w:bCs/>
          <w:sz w:val="22"/>
          <w:szCs w:val="22"/>
        </w:rPr>
        <w:t>.</w:t>
      </w:r>
    </w:p>
    <w:p w14:paraId="24F2383E" w14:textId="7A5BC470" w:rsidR="00035964" w:rsidRPr="007244A6" w:rsidRDefault="00D4007D" w:rsidP="006F453D">
      <w:pPr>
        <w:pStyle w:val="Paragraph"/>
        <w:numPr>
          <w:ilvl w:val="1"/>
          <w:numId w:val="3"/>
        </w:numPr>
        <w:ind w:left="720" w:hanging="630"/>
        <w:rPr>
          <w:rFonts w:ascii="Arial" w:hAnsi="Arial" w:cs="Arial"/>
          <w:bCs/>
          <w:sz w:val="22"/>
          <w:szCs w:val="22"/>
        </w:rPr>
      </w:pPr>
      <w:r w:rsidRPr="007244A6">
        <w:rPr>
          <w:rFonts w:ascii="Arial" w:hAnsi="Arial" w:cs="Arial"/>
          <w:b/>
          <w:bCs/>
          <w:iCs/>
          <w:sz w:val="22"/>
          <w:szCs w:val="22"/>
        </w:rPr>
        <w:t>Origen</w:t>
      </w:r>
      <w:r w:rsidR="00F97D54" w:rsidRPr="007244A6">
        <w:rPr>
          <w:rFonts w:ascii="Arial" w:hAnsi="Arial" w:cs="Arial"/>
          <w:b/>
          <w:bCs/>
          <w:iCs/>
          <w:sz w:val="22"/>
          <w:szCs w:val="22"/>
        </w:rPr>
        <w:t xml:space="preserve"> de los fondos</w:t>
      </w:r>
      <w:r w:rsidRPr="007244A6">
        <w:rPr>
          <w:rFonts w:ascii="Arial" w:hAnsi="Arial" w:cs="Arial"/>
          <w:b/>
          <w:bCs/>
          <w:iCs/>
          <w:sz w:val="22"/>
          <w:szCs w:val="22"/>
        </w:rPr>
        <w:t xml:space="preserve"> y componentes afectados del proyecto en ejecución</w:t>
      </w:r>
      <w:r w:rsidR="006F29CB" w:rsidRPr="007244A6">
        <w:rPr>
          <w:rFonts w:ascii="Arial" w:hAnsi="Arial" w:cs="Arial"/>
          <w:b/>
          <w:bCs/>
          <w:iCs/>
          <w:sz w:val="22"/>
          <w:szCs w:val="22"/>
        </w:rPr>
        <w:t>.</w:t>
      </w:r>
      <w:r w:rsidR="00F97D54" w:rsidRPr="007244A6">
        <w:rPr>
          <w:rFonts w:ascii="Arial" w:hAnsi="Arial" w:cs="Arial"/>
          <w:b/>
          <w:bCs/>
          <w:i/>
          <w:sz w:val="22"/>
          <w:szCs w:val="22"/>
        </w:rPr>
        <w:t xml:space="preserve"> </w:t>
      </w:r>
      <w:r w:rsidRPr="007244A6">
        <w:rPr>
          <w:rFonts w:ascii="Arial" w:hAnsi="Arial" w:cs="Arial"/>
          <w:bCs/>
          <w:sz w:val="22"/>
          <w:szCs w:val="22"/>
        </w:rPr>
        <w:t>La reorientación de US$</w:t>
      </w:r>
      <w:r w:rsidR="00316750" w:rsidRPr="007244A6">
        <w:rPr>
          <w:rFonts w:ascii="Arial" w:hAnsi="Arial" w:cs="Arial"/>
          <w:bCs/>
          <w:sz w:val="22"/>
          <w:szCs w:val="22"/>
        </w:rPr>
        <w:t>136</w:t>
      </w:r>
      <w:r w:rsidRPr="007244A6">
        <w:rPr>
          <w:rFonts w:ascii="Arial" w:hAnsi="Arial" w:cs="Arial"/>
          <w:bCs/>
          <w:sz w:val="22"/>
          <w:szCs w:val="22"/>
        </w:rPr>
        <w:t xml:space="preserve"> millones representa una reducción del presupuesto original del programa </w:t>
      </w:r>
      <w:r w:rsidRPr="00EC6C0F">
        <w:rPr>
          <w:rFonts w:ascii="Arial" w:hAnsi="Arial" w:cs="Arial"/>
          <w:bCs/>
          <w:sz w:val="22"/>
          <w:szCs w:val="22"/>
        </w:rPr>
        <w:t xml:space="preserve">del </w:t>
      </w:r>
      <w:r w:rsidR="00316750" w:rsidRPr="00EC6C0F">
        <w:rPr>
          <w:rFonts w:ascii="Arial" w:hAnsi="Arial" w:cs="Arial"/>
          <w:bCs/>
          <w:sz w:val="22"/>
          <w:szCs w:val="22"/>
        </w:rPr>
        <w:t>27,2</w:t>
      </w:r>
      <w:r w:rsidRPr="00EC6C0F">
        <w:rPr>
          <w:rFonts w:ascii="Arial" w:hAnsi="Arial" w:cs="Arial"/>
          <w:bCs/>
          <w:sz w:val="22"/>
          <w:szCs w:val="22"/>
        </w:rPr>
        <w:t xml:space="preserve">% y </w:t>
      </w:r>
      <w:r w:rsidR="00316750" w:rsidRPr="00EC6C0F">
        <w:rPr>
          <w:rFonts w:ascii="Arial" w:hAnsi="Arial" w:cs="Arial"/>
          <w:bCs/>
          <w:sz w:val="22"/>
          <w:szCs w:val="22"/>
        </w:rPr>
        <w:t>49,7</w:t>
      </w:r>
      <w:r w:rsidRPr="00EC6C0F">
        <w:rPr>
          <w:rFonts w:ascii="Arial" w:hAnsi="Arial" w:cs="Arial"/>
          <w:bCs/>
          <w:sz w:val="22"/>
          <w:szCs w:val="22"/>
        </w:rPr>
        <w:t>% de</w:t>
      </w:r>
      <w:r w:rsidRPr="007244A6">
        <w:rPr>
          <w:rFonts w:ascii="Arial" w:hAnsi="Arial" w:cs="Arial"/>
          <w:bCs/>
          <w:sz w:val="22"/>
          <w:szCs w:val="22"/>
        </w:rPr>
        <w:t xml:space="preserve"> los recursos disponibles actualmente.</w:t>
      </w:r>
      <w:r w:rsidR="000F5290" w:rsidRPr="007244A6">
        <w:rPr>
          <w:rFonts w:ascii="Arial" w:hAnsi="Arial" w:cs="Arial"/>
          <w:bCs/>
          <w:sz w:val="22"/>
          <w:szCs w:val="22"/>
        </w:rPr>
        <w:t xml:space="preserve"> Las reasignaciones </w:t>
      </w:r>
      <w:r w:rsidR="009852F6">
        <w:rPr>
          <w:rFonts w:ascii="Arial" w:hAnsi="Arial" w:cs="Arial"/>
          <w:bCs/>
          <w:sz w:val="22"/>
          <w:szCs w:val="22"/>
        </w:rPr>
        <w:t xml:space="preserve">de las categorías de costos </w:t>
      </w:r>
      <w:r w:rsidR="000F5290" w:rsidRPr="007244A6">
        <w:rPr>
          <w:rFonts w:ascii="Arial" w:hAnsi="Arial" w:cs="Arial"/>
          <w:bCs/>
          <w:sz w:val="22"/>
          <w:szCs w:val="22"/>
        </w:rPr>
        <w:t xml:space="preserve">que son afectados por la reformulación se detallan en </w:t>
      </w:r>
      <w:r w:rsidR="0084290C" w:rsidRPr="007244A6">
        <w:rPr>
          <w:rFonts w:ascii="Arial" w:hAnsi="Arial" w:cs="Arial"/>
          <w:bCs/>
          <w:sz w:val="22"/>
          <w:szCs w:val="22"/>
        </w:rPr>
        <w:t>e</w:t>
      </w:r>
      <w:r w:rsidR="000F5290" w:rsidRPr="007244A6">
        <w:rPr>
          <w:rFonts w:ascii="Arial" w:hAnsi="Arial" w:cs="Arial"/>
          <w:bCs/>
          <w:sz w:val="22"/>
          <w:szCs w:val="22"/>
        </w:rPr>
        <w:t xml:space="preserve">l siguiente </w:t>
      </w:r>
      <w:r w:rsidR="0084290C" w:rsidRPr="007244A6">
        <w:rPr>
          <w:rFonts w:ascii="Arial" w:hAnsi="Arial" w:cs="Arial"/>
          <w:bCs/>
          <w:sz w:val="22"/>
          <w:szCs w:val="22"/>
        </w:rPr>
        <w:t>cuadro</w:t>
      </w:r>
      <w:r w:rsidR="000F5290" w:rsidRPr="007244A6">
        <w:rPr>
          <w:rFonts w:ascii="Arial" w:hAnsi="Arial" w:cs="Arial"/>
          <w:bCs/>
          <w:sz w:val="22"/>
          <w:szCs w:val="22"/>
        </w:rPr>
        <w:t>:</w:t>
      </w:r>
    </w:p>
    <w:p w14:paraId="1C5A7645" w14:textId="77777777" w:rsidR="00AD5985" w:rsidRPr="007244A6" w:rsidRDefault="00AD5985">
      <w:pPr>
        <w:spacing w:after="160" w:line="259" w:lineRule="auto"/>
        <w:rPr>
          <w:rFonts w:ascii="Arial" w:hAnsi="Arial" w:cs="Arial"/>
          <w:b/>
          <w:sz w:val="20"/>
          <w:szCs w:val="24"/>
          <w:lang w:val="es-ES"/>
        </w:rPr>
      </w:pPr>
      <w:r w:rsidRPr="007244A6">
        <w:rPr>
          <w:rFonts w:ascii="Arial" w:hAnsi="Arial" w:cs="Arial"/>
          <w:b/>
          <w:sz w:val="20"/>
          <w:szCs w:val="24"/>
          <w:lang w:val="es-ES"/>
        </w:rPr>
        <w:br w:type="page"/>
      </w:r>
    </w:p>
    <w:p w14:paraId="4BBA795F" w14:textId="63325101" w:rsidR="00D4007D" w:rsidRPr="007244A6" w:rsidRDefault="00B87483" w:rsidP="006F29CB">
      <w:pPr>
        <w:pStyle w:val="Paragraph"/>
        <w:keepNext/>
        <w:keepLines/>
        <w:numPr>
          <w:ilvl w:val="0"/>
          <w:numId w:val="0"/>
        </w:numPr>
        <w:spacing w:after="40"/>
        <w:ind w:left="360"/>
        <w:jc w:val="center"/>
        <w:rPr>
          <w:rFonts w:ascii="Arial" w:hAnsi="Arial" w:cs="Arial"/>
          <w:b/>
          <w:sz w:val="20"/>
          <w:szCs w:val="24"/>
        </w:rPr>
      </w:pPr>
      <w:r w:rsidRPr="00EC6C0F">
        <w:rPr>
          <w:rFonts w:ascii="Arial" w:hAnsi="Arial" w:cs="Arial"/>
          <w:b/>
          <w:sz w:val="20"/>
          <w:szCs w:val="24"/>
        </w:rPr>
        <w:lastRenderedPageBreak/>
        <w:t xml:space="preserve">Cuadro </w:t>
      </w:r>
      <w:r w:rsidR="002B18EB" w:rsidRPr="00EC6C0F">
        <w:rPr>
          <w:rFonts w:ascii="Arial" w:hAnsi="Arial" w:cs="Arial"/>
          <w:b/>
          <w:sz w:val="20"/>
          <w:szCs w:val="24"/>
        </w:rPr>
        <w:t>1</w:t>
      </w:r>
      <w:r w:rsidR="0001556E" w:rsidRPr="00EC6C0F">
        <w:rPr>
          <w:rFonts w:ascii="Arial" w:hAnsi="Arial" w:cs="Arial"/>
          <w:b/>
          <w:sz w:val="20"/>
          <w:szCs w:val="24"/>
        </w:rPr>
        <w:t xml:space="preserve">. </w:t>
      </w:r>
      <w:r w:rsidR="0084290C" w:rsidRPr="00EC6C0F">
        <w:rPr>
          <w:rFonts w:ascii="Arial" w:hAnsi="Arial" w:cs="Arial"/>
          <w:b/>
          <w:sz w:val="20"/>
          <w:szCs w:val="24"/>
        </w:rPr>
        <w:t xml:space="preserve">Reasignación </w:t>
      </w:r>
      <w:r w:rsidR="002D489A" w:rsidRPr="00EC6C0F">
        <w:rPr>
          <w:rFonts w:ascii="Arial" w:hAnsi="Arial" w:cs="Arial"/>
          <w:b/>
          <w:sz w:val="20"/>
          <w:szCs w:val="24"/>
        </w:rPr>
        <w:t>p</w:t>
      </w:r>
      <w:r w:rsidR="0084290C" w:rsidRPr="00EC6C0F">
        <w:rPr>
          <w:rFonts w:ascii="Arial" w:hAnsi="Arial" w:cs="Arial"/>
          <w:b/>
          <w:sz w:val="20"/>
          <w:szCs w:val="24"/>
        </w:rPr>
        <w:t>resupuestaria</w:t>
      </w:r>
      <w:r w:rsidR="003F6809" w:rsidRPr="00EC6C0F">
        <w:rPr>
          <w:rFonts w:ascii="Arial" w:hAnsi="Arial" w:cs="Arial"/>
          <w:b/>
          <w:sz w:val="20"/>
          <w:szCs w:val="24"/>
        </w:rPr>
        <w:t xml:space="preserve"> </w:t>
      </w:r>
      <w:r w:rsidR="00A21DCC" w:rsidRPr="00EC6C0F">
        <w:rPr>
          <w:rFonts w:ascii="Arial" w:hAnsi="Arial" w:cs="Arial"/>
          <w:b/>
          <w:sz w:val="20"/>
          <w:szCs w:val="24"/>
        </w:rPr>
        <w:t xml:space="preserve">del proyecto en ejecución </w:t>
      </w:r>
      <w:r w:rsidR="003F6809" w:rsidRPr="00EC6C0F">
        <w:rPr>
          <w:rFonts w:ascii="Arial" w:hAnsi="Arial" w:cs="Arial"/>
          <w:b/>
          <w:sz w:val="20"/>
          <w:szCs w:val="24"/>
        </w:rPr>
        <w:t>(US$ millones)</w:t>
      </w:r>
    </w:p>
    <w:tbl>
      <w:tblPr>
        <w:tblW w:w="8995" w:type="dxa"/>
        <w:jc w:val="center"/>
        <w:tblLayout w:type="fixed"/>
        <w:tblCellMar>
          <w:left w:w="70" w:type="dxa"/>
          <w:right w:w="70" w:type="dxa"/>
        </w:tblCellMar>
        <w:tblLook w:val="04A0" w:firstRow="1" w:lastRow="0" w:firstColumn="1" w:lastColumn="0" w:noHBand="0" w:noVBand="1"/>
      </w:tblPr>
      <w:tblGrid>
        <w:gridCol w:w="2656"/>
        <w:gridCol w:w="759"/>
        <w:gridCol w:w="720"/>
        <w:gridCol w:w="810"/>
        <w:gridCol w:w="720"/>
        <w:gridCol w:w="810"/>
        <w:gridCol w:w="720"/>
        <w:gridCol w:w="900"/>
        <w:gridCol w:w="900"/>
      </w:tblGrid>
      <w:tr w:rsidR="00C34926" w:rsidRPr="007244A6" w14:paraId="25D6C45B" w14:textId="77777777" w:rsidTr="00F567D4">
        <w:trPr>
          <w:trHeight w:val="602"/>
          <w:jc w:val="center"/>
        </w:trPr>
        <w:tc>
          <w:tcPr>
            <w:tcW w:w="2656" w:type="dxa"/>
            <w:vMerge w:val="restart"/>
            <w:tcBorders>
              <w:top w:val="single" w:sz="4" w:space="0" w:color="auto"/>
              <w:left w:val="single" w:sz="4" w:space="0" w:color="auto"/>
              <w:right w:val="single" w:sz="4" w:space="0" w:color="auto"/>
            </w:tcBorders>
            <w:shd w:val="clear" w:color="auto" w:fill="1F3864" w:themeFill="accent1" w:themeFillShade="80"/>
            <w:vAlign w:val="center"/>
            <w:hideMark/>
          </w:tcPr>
          <w:p w14:paraId="63ED066D" w14:textId="11E318AC" w:rsidR="00697594" w:rsidRPr="007244A6" w:rsidRDefault="009852F6" w:rsidP="001763A9">
            <w:pPr>
              <w:jc w:val="center"/>
              <w:rPr>
                <w:rFonts w:ascii="Arial" w:hAnsi="Arial" w:cs="Arial"/>
                <w:b/>
                <w:bCs/>
                <w:color w:val="FFFFFF" w:themeColor="background1"/>
                <w:sz w:val="20"/>
                <w:lang w:val="es-ES" w:eastAsia="es-419"/>
              </w:rPr>
            </w:pPr>
            <w:r>
              <w:rPr>
                <w:rFonts w:ascii="Arial" w:hAnsi="Arial" w:cs="Arial"/>
                <w:b/>
                <w:bCs/>
                <w:color w:val="FFFFFF" w:themeColor="background1"/>
                <w:sz w:val="20"/>
                <w:lang w:val="es-ES" w:eastAsia="es-419"/>
              </w:rPr>
              <w:t>Categorías</w:t>
            </w:r>
          </w:p>
        </w:tc>
        <w:tc>
          <w:tcPr>
            <w:tcW w:w="1479"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tcPr>
          <w:p w14:paraId="47AD5D84" w14:textId="6A11F1C3" w:rsidR="00697594" w:rsidRPr="007244A6" w:rsidRDefault="00697594" w:rsidP="001763A9">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Presupuesto original</w:t>
            </w:r>
          </w:p>
        </w:tc>
        <w:tc>
          <w:tcPr>
            <w:tcW w:w="1530"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71C7D0F" w14:textId="1E690297" w:rsidR="00697594" w:rsidRPr="007244A6" w:rsidRDefault="00697594" w:rsidP="001763A9">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Presupuesto remanente</w:t>
            </w:r>
          </w:p>
        </w:tc>
        <w:tc>
          <w:tcPr>
            <w:tcW w:w="153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3AF66CC9" w14:textId="03257966" w:rsidR="00697594" w:rsidRPr="007244A6" w:rsidRDefault="00697594" w:rsidP="001763A9">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Presupuesto reformulado</w:t>
            </w:r>
          </w:p>
        </w:tc>
        <w:tc>
          <w:tcPr>
            <w:tcW w:w="180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1AB827AC" w14:textId="22F41EC2" w:rsidR="00697594" w:rsidRPr="007244A6" w:rsidRDefault="00697594" w:rsidP="001763A9">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Variación en presupuesto</w:t>
            </w:r>
          </w:p>
        </w:tc>
      </w:tr>
      <w:tr w:rsidR="00F567D4" w:rsidRPr="007244A6" w14:paraId="32B54269" w14:textId="77777777" w:rsidTr="00F567D4">
        <w:trPr>
          <w:trHeight w:val="602"/>
          <w:jc w:val="center"/>
        </w:trPr>
        <w:tc>
          <w:tcPr>
            <w:tcW w:w="2656" w:type="dxa"/>
            <w:vMerge/>
            <w:tcBorders>
              <w:left w:val="single" w:sz="4" w:space="0" w:color="auto"/>
              <w:bottom w:val="single" w:sz="4" w:space="0" w:color="auto"/>
              <w:right w:val="single" w:sz="4" w:space="0" w:color="auto"/>
            </w:tcBorders>
            <w:shd w:val="clear" w:color="auto" w:fill="1F3864" w:themeFill="accent1" w:themeFillShade="80"/>
            <w:vAlign w:val="center"/>
            <w:hideMark/>
          </w:tcPr>
          <w:p w14:paraId="199D158F" w14:textId="545984C4" w:rsidR="00697594" w:rsidRPr="007244A6" w:rsidRDefault="00697594" w:rsidP="00697594">
            <w:pPr>
              <w:jc w:val="center"/>
              <w:rPr>
                <w:rFonts w:ascii="Arial" w:hAnsi="Arial" w:cs="Arial"/>
                <w:b/>
                <w:bCs/>
                <w:color w:val="FFFFFF" w:themeColor="background1"/>
                <w:sz w:val="20"/>
                <w:lang w:val="es-ES" w:eastAsia="es-419"/>
              </w:rPr>
            </w:pPr>
          </w:p>
        </w:tc>
        <w:tc>
          <w:tcPr>
            <w:tcW w:w="759"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0E78CBF5" w14:textId="0106B951"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BID</w:t>
            </w:r>
          </w:p>
        </w:tc>
        <w:tc>
          <w:tcPr>
            <w:tcW w:w="72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3A50C772" w14:textId="1F1E8F02"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Local</w:t>
            </w:r>
          </w:p>
        </w:tc>
        <w:tc>
          <w:tcPr>
            <w:tcW w:w="810"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76617809" w14:textId="4F4BF63F"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BID</w:t>
            </w:r>
          </w:p>
        </w:tc>
        <w:tc>
          <w:tcPr>
            <w:tcW w:w="720"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4800389B" w14:textId="3032B16B"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Local</w:t>
            </w:r>
          </w:p>
        </w:tc>
        <w:tc>
          <w:tcPr>
            <w:tcW w:w="81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D807F45" w14:textId="777F5605"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BID</w:t>
            </w:r>
          </w:p>
        </w:tc>
        <w:tc>
          <w:tcPr>
            <w:tcW w:w="72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B886421" w14:textId="6B13FB52"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Local</w:t>
            </w:r>
          </w:p>
        </w:tc>
        <w:tc>
          <w:tcPr>
            <w:tcW w:w="90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F02A48F" w14:textId="4AE9E75D"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BID</w:t>
            </w:r>
          </w:p>
        </w:tc>
        <w:tc>
          <w:tcPr>
            <w:tcW w:w="90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A762D50" w14:textId="0A5DA4F8" w:rsidR="00697594" w:rsidRPr="007244A6" w:rsidRDefault="00697594" w:rsidP="00697594">
            <w:pPr>
              <w:jc w:val="center"/>
              <w:rPr>
                <w:rFonts w:ascii="Arial" w:hAnsi="Arial" w:cs="Arial"/>
                <w:b/>
                <w:bCs/>
                <w:color w:val="FFFFFF" w:themeColor="background1"/>
                <w:sz w:val="20"/>
                <w:lang w:val="es-ES" w:eastAsia="es-419"/>
              </w:rPr>
            </w:pPr>
            <w:r w:rsidRPr="007244A6">
              <w:rPr>
                <w:rFonts w:ascii="Arial" w:hAnsi="Arial" w:cs="Arial"/>
                <w:b/>
                <w:bCs/>
                <w:color w:val="FFFFFF" w:themeColor="background1"/>
                <w:sz w:val="20"/>
                <w:lang w:val="es-ES" w:eastAsia="es-419"/>
              </w:rPr>
              <w:t>Local</w:t>
            </w:r>
          </w:p>
        </w:tc>
      </w:tr>
      <w:tr w:rsidR="00F567D4" w:rsidRPr="007244A6" w14:paraId="03A66D13"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hideMark/>
          </w:tcPr>
          <w:p w14:paraId="729584FC" w14:textId="3B358BB7" w:rsidR="00EC6C0F" w:rsidRPr="007244A6" w:rsidRDefault="00EC6C0F" w:rsidP="00EC6C0F">
            <w:pPr>
              <w:pStyle w:val="ListParagraph"/>
              <w:numPr>
                <w:ilvl w:val="0"/>
                <w:numId w:val="5"/>
              </w:numPr>
              <w:ind w:left="288" w:hanging="270"/>
              <w:rPr>
                <w:rFonts w:ascii="Arial" w:hAnsi="Arial" w:cs="Arial"/>
                <w:b/>
                <w:bCs/>
                <w:sz w:val="20"/>
                <w:lang w:val="es-ES" w:eastAsia="es-419"/>
              </w:rPr>
            </w:pPr>
            <w:r w:rsidRPr="007244A6">
              <w:rPr>
                <w:rFonts w:ascii="Arial" w:hAnsi="Arial" w:cs="Arial"/>
                <w:b/>
                <w:bCs/>
                <w:sz w:val="20"/>
                <w:lang w:val="es-ES" w:eastAsia="es-419"/>
              </w:rPr>
              <w:t>Ingeniería y Administración</w:t>
            </w:r>
          </w:p>
        </w:tc>
        <w:tc>
          <w:tcPr>
            <w:tcW w:w="759" w:type="dxa"/>
            <w:tcBorders>
              <w:top w:val="single" w:sz="4" w:space="0" w:color="auto"/>
              <w:left w:val="nil"/>
              <w:bottom w:val="single" w:sz="4" w:space="0" w:color="auto"/>
              <w:right w:val="single" w:sz="4" w:space="0" w:color="auto"/>
            </w:tcBorders>
            <w:vAlign w:val="center"/>
          </w:tcPr>
          <w:p w14:paraId="41474F14" w14:textId="5E5D97B1"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30,0</w:t>
            </w:r>
            <w:r>
              <w:rPr>
                <w:rFonts w:ascii="Arial" w:hAnsi="Arial" w:cs="Arial"/>
                <w:b/>
                <w:bCs/>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77FD2508" w14:textId="4791372B"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0,0</w:t>
            </w:r>
            <w:r>
              <w:rPr>
                <w:rFonts w:ascii="Arial" w:hAnsi="Arial" w:cs="Arial"/>
                <w:b/>
                <w:bCs/>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70B1A30" w14:textId="28FE4C9B"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18,</w:t>
            </w:r>
            <w:r w:rsidR="00B90C98">
              <w:rPr>
                <w:rFonts w:ascii="Arial" w:hAnsi="Arial" w:cs="Arial"/>
                <w:b/>
                <w:bCs/>
                <w:sz w:val="20"/>
                <w:lang w:val="es-ES" w:eastAsia="es-419"/>
              </w:rPr>
              <w:t>05</w:t>
            </w:r>
          </w:p>
        </w:tc>
        <w:tc>
          <w:tcPr>
            <w:tcW w:w="720" w:type="dxa"/>
            <w:tcBorders>
              <w:top w:val="nil"/>
              <w:left w:val="single" w:sz="4" w:space="0" w:color="auto"/>
              <w:bottom w:val="single" w:sz="4" w:space="0" w:color="auto"/>
              <w:right w:val="single" w:sz="4" w:space="0" w:color="auto"/>
            </w:tcBorders>
            <w:shd w:val="clear" w:color="auto" w:fill="auto"/>
            <w:vAlign w:val="center"/>
          </w:tcPr>
          <w:p w14:paraId="6D1BA65D" w14:textId="3ECDA3EF" w:rsidR="00EC6C0F" w:rsidRPr="007244A6" w:rsidRDefault="00507227" w:rsidP="00EC6C0F">
            <w:pPr>
              <w:jc w:val="right"/>
              <w:rPr>
                <w:rFonts w:ascii="Arial" w:hAnsi="Arial" w:cs="Arial"/>
                <w:b/>
                <w:bCs/>
                <w:sz w:val="20"/>
                <w:lang w:val="es-ES" w:eastAsia="es-419"/>
              </w:rPr>
            </w:pPr>
            <w:r>
              <w:rPr>
                <w:rFonts w:ascii="Arial" w:hAnsi="Arial" w:cs="Arial"/>
                <w:b/>
                <w:bCs/>
                <w:sz w:val="20"/>
                <w:lang w:val="es-ES" w:eastAsia="es-419"/>
              </w:rPr>
              <w:t>-</w:t>
            </w:r>
            <w:r w:rsidR="00EC6C0F" w:rsidRPr="00026BE7">
              <w:rPr>
                <w:rFonts w:ascii="Arial" w:hAnsi="Arial" w:cs="Arial"/>
                <w:b/>
                <w:bCs/>
                <w:sz w:val="20"/>
                <w:lang w:val="es-ES" w:eastAsia="es-419"/>
              </w:rPr>
              <w:t>0,0</w:t>
            </w:r>
            <w:r w:rsidR="00B90C98">
              <w:rPr>
                <w:rFonts w:ascii="Arial" w:hAnsi="Arial" w:cs="Arial"/>
                <w:b/>
                <w:bCs/>
                <w:sz w:val="20"/>
                <w:lang w:val="es-ES" w:eastAsia="es-419"/>
              </w:rPr>
              <w:t>8</w:t>
            </w:r>
          </w:p>
        </w:tc>
        <w:tc>
          <w:tcPr>
            <w:tcW w:w="810" w:type="dxa"/>
            <w:tcBorders>
              <w:top w:val="nil"/>
              <w:left w:val="nil"/>
              <w:bottom w:val="single" w:sz="4" w:space="0" w:color="auto"/>
              <w:right w:val="single" w:sz="4" w:space="0" w:color="auto"/>
            </w:tcBorders>
            <w:shd w:val="clear" w:color="auto" w:fill="auto"/>
            <w:noWrap/>
            <w:vAlign w:val="center"/>
          </w:tcPr>
          <w:p w14:paraId="6585EDB4" w14:textId="7216E88E" w:rsidR="00B90C98" w:rsidRPr="007244A6" w:rsidRDefault="00EC6C0F" w:rsidP="00B90C98">
            <w:pPr>
              <w:jc w:val="right"/>
              <w:rPr>
                <w:rFonts w:ascii="Arial" w:hAnsi="Arial" w:cs="Arial"/>
                <w:b/>
                <w:bCs/>
                <w:sz w:val="20"/>
                <w:lang w:val="es-ES" w:eastAsia="es-419"/>
              </w:rPr>
            </w:pPr>
            <w:r w:rsidRPr="00B54712">
              <w:rPr>
                <w:rFonts w:ascii="Arial" w:hAnsi="Arial" w:cs="Arial"/>
                <w:b/>
                <w:bCs/>
                <w:sz w:val="20"/>
                <w:lang w:val="es-ES" w:eastAsia="es-419"/>
              </w:rPr>
              <w:t>4</w:t>
            </w:r>
            <w:r>
              <w:rPr>
                <w:rFonts w:ascii="Arial" w:hAnsi="Arial" w:cs="Arial"/>
                <w:b/>
                <w:bCs/>
                <w:sz w:val="20"/>
                <w:lang w:val="es-ES" w:eastAsia="es-419"/>
              </w:rPr>
              <w:t>,</w:t>
            </w:r>
            <w:r w:rsidR="00B90C98">
              <w:rPr>
                <w:rFonts w:ascii="Arial" w:hAnsi="Arial" w:cs="Arial"/>
                <w:b/>
                <w:bCs/>
                <w:sz w:val="20"/>
                <w:lang w:val="es-ES" w:eastAsia="es-419"/>
              </w:rPr>
              <w:t>13</w:t>
            </w:r>
          </w:p>
        </w:tc>
        <w:tc>
          <w:tcPr>
            <w:tcW w:w="720" w:type="dxa"/>
            <w:tcBorders>
              <w:top w:val="nil"/>
              <w:left w:val="nil"/>
              <w:bottom w:val="single" w:sz="4" w:space="0" w:color="auto"/>
              <w:right w:val="single" w:sz="4" w:space="0" w:color="auto"/>
            </w:tcBorders>
            <w:shd w:val="clear" w:color="auto" w:fill="auto"/>
            <w:vAlign w:val="center"/>
          </w:tcPr>
          <w:p w14:paraId="58CA3080" w14:textId="37E409EC" w:rsidR="00EC6C0F" w:rsidRPr="007244A6" w:rsidRDefault="001E148B" w:rsidP="00EC6C0F">
            <w:pPr>
              <w:jc w:val="right"/>
              <w:rPr>
                <w:rFonts w:ascii="Arial" w:hAnsi="Arial" w:cs="Arial"/>
                <w:b/>
                <w:bCs/>
                <w:sz w:val="20"/>
                <w:lang w:val="es-ES" w:eastAsia="es-419"/>
              </w:rPr>
            </w:pPr>
            <w:r>
              <w:rPr>
                <w:rFonts w:ascii="Arial" w:hAnsi="Arial" w:cs="Arial"/>
                <w:b/>
                <w:bCs/>
                <w:sz w:val="20"/>
                <w:lang w:val="es-ES" w:eastAsia="es-419"/>
              </w:rPr>
              <w:t>3,96</w:t>
            </w:r>
          </w:p>
        </w:tc>
        <w:tc>
          <w:tcPr>
            <w:tcW w:w="900" w:type="dxa"/>
            <w:tcBorders>
              <w:top w:val="nil"/>
              <w:left w:val="nil"/>
              <w:bottom w:val="single" w:sz="4" w:space="0" w:color="auto"/>
              <w:right w:val="single" w:sz="4" w:space="0" w:color="auto"/>
            </w:tcBorders>
            <w:shd w:val="clear" w:color="auto" w:fill="auto"/>
            <w:noWrap/>
            <w:vAlign w:val="center"/>
            <w:hideMark/>
          </w:tcPr>
          <w:p w14:paraId="55282F49" w14:textId="4F6ECD13" w:rsidR="00EC6C0F" w:rsidRPr="007244A6" w:rsidRDefault="00EC6C0F" w:rsidP="00EC6C0F">
            <w:pPr>
              <w:jc w:val="right"/>
              <w:rPr>
                <w:rFonts w:ascii="Arial" w:hAnsi="Arial" w:cs="Arial"/>
                <w:b/>
                <w:bCs/>
                <w:sz w:val="20"/>
                <w:lang w:val="es-ES" w:eastAsia="es-419"/>
              </w:rPr>
            </w:pPr>
            <w:r w:rsidRPr="00B83EC4">
              <w:rPr>
                <w:rFonts w:ascii="Arial" w:hAnsi="Arial" w:cs="Arial"/>
                <w:b/>
                <w:bCs/>
                <w:sz w:val="20"/>
                <w:lang w:val="es-ES" w:eastAsia="es-419"/>
              </w:rPr>
              <w:t>-13</w:t>
            </w:r>
            <w:r>
              <w:rPr>
                <w:rFonts w:ascii="Arial" w:hAnsi="Arial" w:cs="Arial"/>
                <w:b/>
                <w:bCs/>
                <w:sz w:val="20"/>
                <w:lang w:val="es-ES" w:eastAsia="es-419"/>
              </w:rPr>
              <w:t>,</w:t>
            </w:r>
            <w:r w:rsidRPr="00B83EC4">
              <w:rPr>
                <w:rFonts w:ascii="Arial" w:hAnsi="Arial" w:cs="Arial"/>
                <w:b/>
                <w:bCs/>
                <w:sz w:val="20"/>
                <w:lang w:val="es-ES" w:eastAsia="es-419"/>
              </w:rPr>
              <w:t>92</w:t>
            </w:r>
          </w:p>
        </w:tc>
        <w:tc>
          <w:tcPr>
            <w:tcW w:w="900" w:type="dxa"/>
            <w:tcBorders>
              <w:top w:val="nil"/>
              <w:left w:val="nil"/>
              <w:bottom w:val="single" w:sz="4" w:space="0" w:color="auto"/>
              <w:right w:val="single" w:sz="4" w:space="0" w:color="auto"/>
            </w:tcBorders>
            <w:shd w:val="clear" w:color="auto" w:fill="auto"/>
            <w:vAlign w:val="center"/>
          </w:tcPr>
          <w:p w14:paraId="5FB37BEF" w14:textId="716F6035" w:rsidR="00EC6C0F" w:rsidRPr="007244A6" w:rsidRDefault="001E148B" w:rsidP="00EC6C0F">
            <w:pPr>
              <w:jc w:val="right"/>
              <w:rPr>
                <w:rFonts w:ascii="Arial" w:hAnsi="Arial" w:cs="Arial"/>
                <w:b/>
                <w:bCs/>
                <w:sz w:val="20"/>
                <w:lang w:val="es-ES" w:eastAsia="es-419"/>
              </w:rPr>
            </w:pPr>
            <w:r>
              <w:rPr>
                <w:rFonts w:ascii="Arial" w:hAnsi="Arial" w:cs="Arial"/>
                <w:b/>
                <w:bCs/>
                <w:sz w:val="20"/>
                <w:lang w:val="es-ES" w:eastAsia="es-419"/>
              </w:rPr>
              <w:t>4,04</w:t>
            </w:r>
          </w:p>
        </w:tc>
      </w:tr>
      <w:tr w:rsidR="00F567D4" w:rsidRPr="007244A6" w14:paraId="7000B624"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7C007A82" w14:textId="7707A8C7"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1.1 Administración del programa</w:t>
            </w:r>
          </w:p>
        </w:tc>
        <w:tc>
          <w:tcPr>
            <w:tcW w:w="759" w:type="dxa"/>
            <w:tcBorders>
              <w:top w:val="single" w:sz="4" w:space="0" w:color="auto"/>
              <w:left w:val="nil"/>
              <w:bottom w:val="single" w:sz="4" w:space="0" w:color="auto"/>
              <w:right w:val="single" w:sz="4" w:space="0" w:color="auto"/>
            </w:tcBorders>
            <w:vAlign w:val="center"/>
          </w:tcPr>
          <w:p w14:paraId="3968D991" w14:textId="6583A875"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5,0</w:t>
            </w:r>
            <w:r>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066F71C3" w14:textId="06E278F5"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7C6BF065" w14:textId="39470A6C"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w:t>
            </w:r>
            <w:r w:rsidR="00B90C98">
              <w:rPr>
                <w:rFonts w:ascii="Arial" w:hAnsi="Arial" w:cs="Arial"/>
                <w:sz w:val="20"/>
                <w:lang w:val="es-ES" w:eastAsia="es-419"/>
              </w:rPr>
              <w:t>08</w:t>
            </w:r>
          </w:p>
        </w:tc>
        <w:tc>
          <w:tcPr>
            <w:tcW w:w="720" w:type="dxa"/>
            <w:tcBorders>
              <w:top w:val="nil"/>
              <w:left w:val="single" w:sz="4" w:space="0" w:color="auto"/>
              <w:bottom w:val="single" w:sz="4" w:space="0" w:color="auto"/>
              <w:right w:val="single" w:sz="4" w:space="0" w:color="auto"/>
            </w:tcBorders>
            <w:shd w:val="clear" w:color="auto" w:fill="auto"/>
            <w:vAlign w:val="center"/>
          </w:tcPr>
          <w:p w14:paraId="53F2597D" w14:textId="7567ACA5"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-0,01</w:t>
            </w:r>
          </w:p>
        </w:tc>
        <w:tc>
          <w:tcPr>
            <w:tcW w:w="810" w:type="dxa"/>
            <w:tcBorders>
              <w:top w:val="nil"/>
              <w:left w:val="nil"/>
              <w:bottom w:val="single" w:sz="4" w:space="0" w:color="auto"/>
              <w:right w:val="single" w:sz="4" w:space="0" w:color="auto"/>
            </w:tcBorders>
            <w:shd w:val="clear" w:color="auto" w:fill="auto"/>
            <w:noWrap/>
            <w:vAlign w:val="center"/>
          </w:tcPr>
          <w:p w14:paraId="135FE190" w14:textId="255726DC"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w:t>
            </w:r>
            <w:r>
              <w:rPr>
                <w:rFonts w:ascii="Arial" w:hAnsi="Arial" w:cs="Arial"/>
                <w:sz w:val="20"/>
                <w:lang w:val="es-ES" w:eastAsia="es-419"/>
              </w:rPr>
              <w:t>,</w:t>
            </w:r>
            <w:r w:rsidR="00B90C98">
              <w:rPr>
                <w:rFonts w:ascii="Arial" w:hAnsi="Arial" w:cs="Arial"/>
                <w:sz w:val="20"/>
                <w:lang w:val="es-ES" w:eastAsia="es-419"/>
              </w:rPr>
              <w:t>11</w:t>
            </w:r>
          </w:p>
        </w:tc>
        <w:tc>
          <w:tcPr>
            <w:tcW w:w="720" w:type="dxa"/>
            <w:tcBorders>
              <w:top w:val="nil"/>
              <w:left w:val="nil"/>
              <w:bottom w:val="single" w:sz="4" w:space="0" w:color="auto"/>
              <w:right w:val="single" w:sz="4" w:space="0" w:color="auto"/>
            </w:tcBorders>
            <w:shd w:val="clear" w:color="auto" w:fill="auto"/>
            <w:vAlign w:val="center"/>
          </w:tcPr>
          <w:p w14:paraId="605CF9EC" w14:textId="1B7A959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sidR="00507227">
              <w:rPr>
                <w:rFonts w:ascii="Arial" w:hAnsi="Arial" w:cs="Arial"/>
                <w:sz w:val="20"/>
                <w:lang w:val="es-ES" w:eastAsia="es-419"/>
              </w:rPr>
              <w:t>0</w:t>
            </w:r>
          </w:p>
        </w:tc>
        <w:tc>
          <w:tcPr>
            <w:tcW w:w="900" w:type="dxa"/>
            <w:tcBorders>
              <w:top w:val="nil"/>
              <w:left w:val="nil"/>
              <w:bottom w:val="single" w:sz="4" w:space="0" w:color="auto"/>
              <w:right w:val="single" w:sz="4" w:space="0" w:color="auto"/>
            </w:tcBorders>
            <w:shd w:val="clear" w:color="auto" w:fill="auto"/>
            <w:noWrap/>
            <w:vAlign w:val="center"/>
          </w:tcPr>
          <w:p w14:paraId="69ECBDCE" w14:textId="48C8DF1A"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0,03</w:t>
            </w:r>
          </w:p>
        </w:tc>
        <w:tc>
          <w:tcPr>
            <w:tcW w:w="900" w:type="dxa"/>
            <w:tcBorders>
              <w:top w:val="nil"/>
              <w:left w:val="nil"/>
              <w:bottom w:val="single" w:sz="4" w:space="0" w:color="auto"/>
              <w:right w:val="single" w:sz="4" w:space="0" w:color="auto"/>
            </w:tcBorders>
            <w:shd w:val="clear" w:color="auto" w:fill="auto"/>
            <w:vAlign w:val="center"/>
          </w:tcPr>
          <w:p w14:paraId="3A3A7754" w14:textId="5D23B2D9"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sidR="00AE022F">
              <w:rPr>
                <w:rFonts w:ascii="Arial" w:hAnsi="Arial" w:cs="Arial"/>
                <w:sz w:val="20"/>
                <w:lang w:val="es-ES" w:eastAsia="es-419"/>
              </w:rPr>
              <w:t>1</w:t>
            </w:r>
          </w:p>
        </w:tc>
      </w:tr>
      <w:tr w:rsidR="00F567D4" w:rsidRPr="007244A6" w14:paraId="4AE6A4FD"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52FE2B72" w14:textId="7A7A1A4B"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1.2 Inspección y supervisión de obras</w:t>
            </w:r>
          </w:p>
        </w:tc>
        <w:tc>
          <w:tcPr>
            <w:tcW w:w="759" w:type="dxa"/>
            <w:tcBorders>
              <w:top w:val="single" w:sz="4" w:space="0" w:color="auto"/>
              <w:left w:val="nil"/>
              <w:bottom w:val="single" w:sz="4" w:space="0" w:color="auto"/>
              <w:right w:val="single" w:sz="4" w:space="0" w:color="auto"/>
            </w:tcBorders>
            <w:vAlign w:val="center"/>
          </w:tcPr>
          <w:p w14:paraId="7BD5A900" w14:textId="3D9116D5"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15,0</w:t>
            </w:r>
            <w:r>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4EC1571D" w14:textId="0225C7B8"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6A37E5F3" w14:textId="7E6B8541"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7,</w:t>
            </w:r>
            <w:r w:rsidR="00B90C98">
              <w:rPr>
                <w:rFonts w:ascii="Arial" w:hAnsi="Arial" w:cs="Arial"/>
                <w:sz w:val="20"/>
                <w:lang w:val="es-ES" w:eastAsia="es-419"/>
              </w:rPr>
              <w:t>84</w:t>
            </w:r>
          </w:p>
        </w:tc>
        <w:tc>
          <w:tcPr>
            <w:tcW w:w="720" w:type="dxa"/>
            <w:tcBorders>
              <w:top w:val="nil"/>
              <w:left w:val="single" w:sz="4" w:space="0" w:color="auto"/>
              <w:bottom w:val="single" w:sz="4" w:space="0" w:color="auto"/>
              <w:right w:val="single" w:sz="4" w:space="0" w:color="auto"/>
            </w:tcBorders>
            <w:shd w:val="clear" w:color="auto" w:fill="auto"/>
            <w:vAlign w:val="center"/>
          </w:tcPr>
          <w:p w14:paraId="7D7D8320" w14:textId="7DE3FD48"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-0,04</w:t>
            </w:r>
          </w:p>
        </w:tc>
        <w:tc>
          <w:tcPr>
            <w:tcW w:w="810" w:type="dxa"/>
            <w:tcBorders>
              <w:top w:val="nil"/>
              <w:left w:val="nil"/>
              <w:bottom w:val="single" w:sz="4" w:space="0" w:color="auto"/>
              <w:right w:val="single" w:sz="4" w:space="0" w:color="auto"/>
            </w:tcBorders>
            <w:shd w:val="clear" w:color="auto" w:fill="auto"/>
            <w:noWrap/>
            <w:vAlign w:val="center"/>
          </w:tcPr>
          <w:p w14:paraId="531C5963" w14:textId="2E78AEDD"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w:t>
            </w:r>
            <w:r>
              <w:rPr>
                <w:rFonts w:ascii="Arial" w:hAnsi="Arial" w:cs="Arial"/>
                <w:sz w:val="20"/>
                <w:lang w:val="es-ES" w:eastAsia="es-419"/>
              </w:rPr>
              <w:t>,</w:t>
            </w:r>
            <w:r w:rsidRPr="00B54712">
              <w:rPr>
                <w:rFonts w:ascii="Arial" w:hAnsi="Arial" w:cs="Arial"/>
                <w:sz w:val="20"/>
                <w:lang w:val="es-ES" w:eastAsia="es-419"/>
              </w:rPr>
              <w:t>5</w:t>
            </w:r>
            <w:r w:rsidR="00B90C98">
              <w:rPr>
                <w:rFonts w:ascii="Arial" w:hAnsi="Arial" w:cs="Arial"/>
                <w:sz w:val="20"/>
                <w:lang w:val="es-ES" w:eastAsia="es-419"/>
              </w:rPr>
              <w:t>2</w:t>
            </w:r>
          </w:p>
        </w:tc>
        <w:tc>
          <w:tcPr>
            <w:tcW w:w="720" w:type="dxa"/>
            <w:tcBorders>
              <w:top w:val="nil"/>
              <w:left w:val="nil"/>
              <w:bottom w:val="single" w:sz="4" w:space="0" w:color="auto"/>
              <w:right w:val="single" w:sz="4" w:space="0" w:color="auto"/>
            </w:tcBorders>
            <w:shd w:val="clear" w:color="auto" w:fill="auto"/>
            <w:vAlign w:val="center"/>
          </w:tcPr>
          <w:p w14:paraId="019E0110" w14:textId="472DB20D" w:rsidR="00EC6C0F" w:rsidRPr="007244A6" w:rsidRDefault="001E148B" w:rsidP="00EC6C0F">
            <w:pPr>
              <w:jc w:val="right"/>
              <w:rPr>
                <w:rFonts w:ascii="Arial" w:hAnsi="Arial" w:cs="Arial"/>
                <w:sz w:val="20"/>
                <w:lang w:val="es-ES" w:eastAsia="es-419"/>
              </w:rPr>
            </w:pPr>
            <w:r>
              <w:rPr>
                <w:rFonts w:ascii="Arial" w:hAnsi="Arial" w:cs="Arial"/>
                <w:sz w:val="20"/>
                <w:lang w:val="es-ES" w:eastAsia="es-419"/>
              </w:rPr>
              <w:t>3,96</w:t>
            </w:r>
          </w:p>
        </w:tc>
        <w:tc>
          <w:tcPr>
            <w:tcW w:w="900" w:type="dxa"/>
            <w:tcBorders>
              <w:top w:val="nil"/>
              <w:left w:val="nil"/>
              <w:bottom w:val="single" w:sz="4" w:space="0" w:color="auto"/>
              <w:right w:val="single" w:sz="4" w:space="0" w:color="auto"/>
            </w:tcBorders>
            <w:shd w:val="clear" w:color="auto" w:fill="auto"/>
            <w:noWrap/>
            <w:vAlign w:val="center"/>
          </w:tcPr>
          <w:p w14:paraId="259B6AFA" w14:textId="57E03A1F"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-6,32</w:t>
            </w:r>
          </w:p>
        </w:tc>
        <w:tc>
          <w:tcPr>
            <w:tcW w:w="900" w:type="dxa"/>
            <w:tcBorders>
              <w:top w:val="nil"/>
              <w:left w:val="nil"/>
              <w:bottom w:val="single" w:sz="4" w:space="0" w:color="auto"/>
              <w:right w:val="single" w:sz="4" w:space="0" w:color="auto"/>
            </w:tcBorders>
            <w:shd w:val="clear" w:color="auto" w:fill="auto"/>
            <w:vAlign w:val="center"/>
          </w:tcPr>
          <w:p w14:paraId="5663BA15" w14:textId="084041A1" w:rsidR="00EC6C0F" w:rsidRPr="007244A6" w:rsidRDefault="001E148B" w:rsidP="00EC6C0F">
            <w:pPr>
              <w:jc w:val="right"/>
              <w:rPr>
                <w:rFonts w:ascii="Arial" w:hAnsi="Arial" w:cs="Arial"/>
                <w:sz w:val="20"/>
                <w:lang w:val="es-ES" w:eastAsia="es-419"/>
              </w:rPr>
            </w:pPr>
            <w:r>
              <w:rPr>
                <w:rFonts w:ascii="Arial" w:hAnsi="Arial" w:cs="Arial"/>
                <w:sz w:val="20"/>
                <w:lang w:val="es-ES" w:eastAsia="es-419"/>
              </w:rPr>
              <w:t>4,00</w:t>
            </w:r>
          </w:p>
        </w:tc>
      </w:tr>
      <w:tr w:rsidR="00F567D4" w:rsidRPr="007244A6" w14:paraId="7280C98E"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00A1ADEB" w14:textId="28BC43BB"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1.3 Estudios y proyectos</w:t>
            </w:r>
          </w:p>
        </w:tc>
        <w:tc>
          <w:tcPr>
            <w:tcW w:w="759" w:type="dxa"/>
            <w:tcBorders>
              <w:top w:val="single" w:sz="4" w:space="0" w:color="auto"/>
              <w:left w:val="nil"/>
              <w:bottom w:val="single" w:sz="4" w:space="0" w:color="auto"/>
              <w:right w:val="single" w:sz="4" w:space="0" w:color="auto"/>
            </w:tcBorders>
            <w:vAlign w:val="center"/>
          </w:tcPr>
          <w:p w14:paraId="5599C9C4" w14:textId="5A02BA28"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10,0</w:t>
            </w:r>
            <w:r>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07DE434B" w14:textId="35AC85DF"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74C84014" w14:textId="369880B9"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9,</w:t>
            </w:r>
            <w:r w:rsidR="00B90C98">
              <w:rPr>
                <w:rFonts w:ascii="Arial" w:hAnsi="Arial" w:cs="Arial"/>
                <w:sz w:val="20"/>
                <w:lang w:val="es-ES" w:eastAsia="es-419"/>
              </w:rPr>
              <w:t>13</w:t>
            </w:r>
          </w:p>
        </w:tc>
        <w:tc>
          <w:tcPr>
            <w:tcW w:w="720" w:type="dxa"/>
            <w:tcBorders>
              <w:top w:val="nil"/>
              <w:left w:val="single" w:sz="4" w:space="0" w:color="auto"/>
              <w:bottom w:val="single" w:sz="4" w:space="0" w:color="auto"/>
              <w:right w:val="single" w:sz="4" w:space="0" w:color="auto"/>
            </w:tcBorders>
            <w:shd w:val="clear" w:color="auto" w:fill="auto"/>
            <w:vAlign w:val="center"/>
          </w:tcPr>
          <w:p w14:paraId="414F2312" w14:textId="138F0257"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sidR="00B90C98">
              <w:rPr>
                <w:rFonts w:ascii="Arial" w:hAnsi="Arial" w:cs="Arial"/>
                <w:sz w:val="20"/>
                <w:lang w:val="es-ES" w:eastAsia="es-419"/>
              </w:rPr>
              <w:t>3</w:t>
            </w:r>
          </w:p>
        </w:tc>
        <w:tc>
          <w:tcPr>
            <w:tcW w:w="810" w:type="dxa"/>
            <w:tcBorders>
              <w:top w:val="nil"/>
              <w:left w:val="nil"/>
              <w:bottom w:val="single" w:sz="4" w:space="0" w:color="auto"/>
              <w:right w:val="single" w:sz="4" w:space="0" w:color="auto"/>
            </w:tcBorders>
            <w:shd w:val="clear" w:color="auto" w:fill="auto"/>
            <w:noWrap/>
            <w:vAlign w:val="center"/>
          </w:tcPr>
          <w:p w14:paraId="14014148" w14:textId="705981DE"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w:t>
            </w:r>
            <w:r>
              <w:rPr>
                <w:rFonts w:ascii="Arial" w:hAnsi="Arial" w:cs="Arial"/>
                <w:sz w:val="20"/>
                <w:lang w:val="es-ES" w:eastAsia="es-419"/>
              </w:rPr>
              <w:t>,</w:t>
            </w:r>
            <w:r w:rsidR="00B90C98">
              <w:rPr>
                <w:rFonts w:ascii="Arial" w:hAnsi="Arial" w:cs="Arial"/>
                <w:sz w:val="20"/>
                <w:lang w:val="es-ES" w:eastAsia="es-419"/>
              </w:rPr>
              <w:t>50</w:t>
            </w:r>
          </w:p>
        </w:tc>
        <w:tc>
          <w:tcPr>
            <w:tcW w:w="720" w:type="dxa"/>
            <w:tcBorders>
              <w:top w:val="nil"/>
              <w:left w:val="nil"/>
              <w:bottom w:val="single" w:sz="4" w:space="0" w:color="auto"/>
              <w:right w:val="single" w:sz="4" w:space="0" w:color="auto"/>
            </w:tcBorders>
            <w:shd w:val="clear" w:color="auto" w:fill="auto"/>
            <w:vAlign w:val="center"/>
          </w:tcPr>
          <w:p w14:paraId="0F323589" w14:textId="34D81FAE"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sidR="00507227">
              <w:rPr>
                <w:rFonts w:ascii="Arial" w:hAnsi="Arial" w:cs="Arial"/>
                <w:sz w:val="20"/>
                <w:lang w:val="es-ES" w:eastAsia="es-419"/>
              </w:rPr>
              <w:t>0</w:t>
            </w:r>
          </w:p>
        </w:tc>
        <w:tc>
          <w:tcPr>
            <w:tcW w:w="900" w:type="dxa"/>
            <w:tcBorders>
              <w:top w:val="nil"/>
              <w:left w:val="nil"/>
              <w:bottom w:val="single" w:sz="4" w:space="0" w:color="auto"/>
              <w:right w:val="single" w:sz="4" w:space="0" w:color="auto"/>
            </w:tcBorders>
            <w:shd w:val="clear" w:color="auto" w:fill="auto"/>
            <w:noWrap/>
            <w:vAlign w:val="center"/>
          </w:tcPr>
          <w:p w14:paraId="143C7C19" w14:textId="62441DC4"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-7,63</w:t>
            </w:r>
          </w:p>
        </w:tc>
        <w:tc>
          <w:tcPr>
            <w:tcW w:w="900" w:type="dxa"/>
            <w:tcBorders>
              <w:top w:val="nil"/>
              <w:left w:val="nil"/>
              <w:bottom w:val="single" w:sz="4" w:space="0" w:color="auto"/>
              <w:right w:val="single" w:sz="4" w:space="0" w:color="auto"/>
            </w:tcBorders>
            <w:shd w:val="clear" w:color="auto" w:fill="auto"/>
            <w:vAlign w:val="center"/>
          </w:tcPr>
          <w:p w14:paraId="6F718ED1" w14:textId="6A36D3F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sidR="00AE022F">
              <w:rPr>
                <w:rFonts w:ascii="Arial" w:hAnsi="Arial" w:cs="Arial"/>
                <w:sz w:val="20"/>
                <w:lang w:val="es-ES" w:eastAsia="es-419"/>
              </w:rPr>
              <w:t>3</w:t>
            </w:r>
          </w:p>
        </w:tc>
      </w:tr>
      <w:tr w:rsidR="00F567D4" w:rsidRPr="007244A6" w14:paraId="43378028"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hideMark/>
          </w:tcPr>
          <w:p w14:paraId="22B31EF0" w14:textId="5EF6AD4B" w:rsidR="00EC6C0F" w:rsidRPr="007244A6" w:rsidRDefault="00EC6C0F" w:rsidP="00EC6C0F">
            <w:pPr>
              <w:pStyle w:val="ListParagraph"/>
              <w:numPr>
                <w:ilvl w:val="0"/>
                <w:numId w:val="5"/>
              </w:numPr>
              <w:ind w:left="288" w:hanging="270"/>
              <w:rPr>
                <w:rFonts w:ascii="Arial" w:hAnsi="Arial" w:cs="Arial"/>
                <w:b/>
                <w:bCs/>
                <w:sz w:val="20"/>
                <w:lang w:val="es-ES" w:eastAsia="es-419"/>
              </w:rPr>
            </w:pPr>
            <w:r w:rsidRPr="007244A6">
              <w:rPr>
                <w:rFonts w:ascii="Arial" w:hAnsi="Arial" w:cs="Arial"/>
                <w:b/>
                <w:bCs/>
                <w:sz w:val="20"/>
                <w:lang w:val="es-ES" w:eastAsia="es-419"/>
              </w:rPr>
              <w:t>Costos directos</w:t>
            </w:r>
          </w:p>
        </w:tc>
        <w:tc>
          <w:tcPr>
            <w:tcW w:w="759" w:type="dxa"/>
            <w:tcBorders>
              <w:top w:val="single" w:sz="4" w:space="0" w:color="auto"/>
              <w:left w:val="nil"/>
              <w:bottom w:val="single" w:sz="4" w:space="0" w:color="auto"/>
              <w:right w:val="single" w:sz="4" w:space="0" w:color="auto"/>
            </w:tcBorders>
            <w:vAlign w:val="center"/>
          </w:tcPr>
          <w:p w14:paraId="5B747185" w14:textId="546DF2C2"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375,</w:t>
            </w:r>
            <w:r>
              <w:rPr>
                <w:rFonts w:ascii="Arial" w:hAnsi="Arial" w:cs="Arial"/>
                <w:b/>
                <w:bCs/>
                <w:sz w:val="20"/>
                <w:lang w:val="es-ES" w:eastAsia="es-419"/>
              </w:rPr>
              <w:t>00</w:t>
            </w:r>
          </w:p>
        </w:tc>
        <w:tc>
          <w:tcPr>
            <w:tcW w:w="720" w:type="dxa"/>
            <w:tcBorders>
              <w:top w:val="single" w:sz="4" w:space="0" w:color="auto"/>
              <w:left w:val="nil"/>
              <w:bottom w:val="single" w:sz="4" w:space="0" w:color="auto"/>
              <w:right w:val="single" w:sz="4" w:space="0" w:color="auto"/>
            </w:tcBorders>
            <w:vAlign w:val="center"/>
          </w:tcPr>
          <w:p w14:paraId="14A938BE" w14:textId="1906E262"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40,0</w:t>
            </w:r>
            <w:r w:rsidR="007D0790">
              <w:rPr>
                <w:rFonts w:ascii="Arial" w:hAnsi="Arial" w:cs="Arial"/>
                <w:b/>
                <w:bCs/>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73BC0EBB" w14:textId="04EB503D"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23</w:t>
            </w:r>
            <w:r w:rsidR="00B90C98">
              <w:rPr>
                <w:rFonts w:ascii="Arial" w:hAnsi="Arial" w:cs="Arial"/>
                <w:b/>
                <w:bCs/>
                <w:sz w:val="20"/>
                <w:lang w:val="es-ES" w:eastAsia="es-419"/>
              </w:rPr>
              <w:t>2</w:t>
            </w:r>
            <w:r w:rsidRPr="00026BE7">
              <w:rPr>
                <w:rFonts w:ascii="Arial" w:hAnsi="Arial" w:cs="Arial"/>
                <w:b/>
                <w:bCs/>
                <w:sz w:val="20"/>
                <w:lang w:val="es-ES" w:eastAsia="es-419"/>
              </w:rPr>
              <w:t>,</w:t>
            </w:r>
            <w:r w:rsidR="00B90C98">
              <w:rPr>
                <w:rFonts w:ascii="Arial" w:hAnsi="Arial" w:cs="Arial"/>
                <w:b/>
                <w:bCs/>
                <w:sz w:val="20"/>
                <w:lang w:val="es-ES" w:eastAsia="es-419"/>
              </w:rPr>
              <w:t>90</w:t>
            </w:r>
          </w:p>
        </w:tc>
        <w:tc>
          <w:tcPr>
            <w:tcW w:w="720" w:type="dxa"/>
            <w:tcBorders>
              <w:top w:val="nil"/>
              <w:left w:val="single" w:sz="4" w:space="0" w:color="auto"/>
              <w:bottom w:val="single" w:sz="4" w:space="0" w:color="auto"/>
              <w:right w:val="single" w:sz="4" w:space="0" w:color="auto"/>
            </w:tcBorders>
            <w:shd w:val="clear" w:color="auto" w:fill="auto"/>
            <w:vAlign w:val="center"/>
          </w:tcPr>
          <w:p w14:paraId="4CB69708" w14:textId="59FE81AB"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3</w:t>
            </w:r>
            <w:r>
              <w:rPr>
                <w:rFonts w:ascii="Arial" w:hAnsi="Arial" w:cs="Arial"/>
                <w:b/>
                <w:bCs/>
                <w:sz w:val="20"/>
                <w:lang w:val="es-ES" w:eastAsia="es-419"/>
              </w:rPr>
              <w:t>1,55</w:t>
            </w:r>
          </w:p>
        </w:tc>
        <w:tc>
          <w:tcPr>
            <w:tcW w:w="810" w:type="dxa"/>
            <w:tcBorders>
              <w:top w:val="nil"/>
              <w:left w:val="nil"/>
              <w:bottom w:val="single" w:sz="4" w:space="0" w:color="auto"/>
              <w:right w:val="single" w:sz="4" w:space="0" w:color="auto"/>
            </w:tcBorders>
            <w:shd w:val="clear" w:color="auto" w:fill="auto"/>
            <w:noWrap/>
            <w:vAlign w:val="center"/>
          </w:tcPr>
          <w:p w14:paraId="717723D9" w14:textId="13C16AE5" w:rsidR="00EC6C0F" w:rsidRPr="007244A6" w:rsidRDefault="00EC6C0F" w:rsidP="00EC6C0F">
            <w:pPr>
              <w:jc w:val="right"/>
              <w:rPr>
                <w:rFonts w:ascii="Arial" w:hAnsi="Arial" w:cs="Arial"/>
                <w:b/>
                <w:bCs/>
                <w:sz w:val="20"/>
                <w:lang w:val="es-ES" w:eastAsia="es-419"/>
              </w:rPr>
            </w:pPr>
            <w:r w:rsidRPr="00B54712">
              <w:rPr>
                <w:rFonts w:ascii="Arial" w:hAnsi="Arial" w:cs="Arial"/>
                <w:b/>
                <w:bCs/>
                <w:sz w:val="20"/>
                <w:lang w:val="es-ES" w:eastAsia="es-419"/>
              </w:rPr>
              <w:t>8</w:t>
            </w:r>
            <w:r w:rsidR="00B90C98">
              <w:rPr>
                <w:rFonts w:ascii="Arial" w:hAnsi="Arial" w:cs="Arial"/>
                <w:b/>
                <w:bCs/>
                <w:sz w:val="20"/>
                <w:lang w:val="es-ES" w:eastAsia="es-419"/>
              </w:rPr>
              <w:t>2</w:t>
            </w:r>
            <w:r>
              <w:rPr>
                <w:rFonts w:ascii="Arial" w:hAnsi="Arial" w:cs="Arial"/>
                <w:b/>
                <w:bCs/>
                <w:sz w:val="20"/>
                <w:lang w:val="es-ES" w:eastAsia="es-419"/>
              </w:rPr>
              <w:t>,</w:t>
            </w:r>
            <w:r w:rsidR="00B90C98">
              <w:rPr>
                <w:rFonts w:ascii="Arial" w:hAnsi="Arial" w:cs="Arial"/>
                <w:b/>
                <w:bCs/>
                <w:sz w:val="20"/>
                <w:lang w:val="es-ES" w:eastAsia="es-419"/>
              </w:rPr>
              <w:t>47</w:t>
            </w:r>
          </w:p>
        </w:tc>
        <w:tc>
          <w:tcPr>
            <w:tcW w:w="720" w:type="dxa"/>
            <w:tcBorders>
              <w:top w:val="nil"/>
              <w:left w:val="nil"/>
              <w:bottom w:val="single" w:sz="4" w:space="0" w:color="auto"/>
              <w:right w:val="single" w:sz="4" w:space="0" w:color="auto"/>
            </w:tcBorders>
            <w:shd w:val="clear" w:color="auto" w:fill="auto"/>
            <w:vAlign w:val="center"/>
          </w:tcPr>
          <w:p w14:paraId="13CCF071" w14:textId="6992C9AF"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2</w:t>
            </w:r>
            <w:r w:rsidR="001E148B">
              <w:rPr>
                <w:rFonts w:ascii="Arial" w:hAnsi="Arial" w:cs="Arial"/>
                <w:b/>
                <w:bCs/>
                <w:sz w:val="20"/>
                <w:lang w:val="es-ES" w:eastAsia="es-419"/>
              </w:rPr>
              <w:t>4,01</w:t>
            </w:r>
          </w:p>
        </w:tc>
        <w:tc>
          <w:tcPr>
            <w:tcW w:w="900" w:type="dxa"/>
            <w:tcBorders>
              <w:top w:val="nil"/>
              <w:left w:val="nil"/>
              <w:bottom w:val="single" w:sz="4" w:space="0" w:color="auto"/>
              <w:right w:val="single" w:sz="4" w:space="0" w:color="auto"/>
            </w:tcBorders>
            <w:shd w:val="clear" w:color="auto" w:fill="auto"/>
            <w:noWrap/>
            <w:vAlign w:val="center"/>
          </w:tcPr>
          <w:p w14:paraId="7AC03133" w14:textId="49EC93C2" w:rsidR="00EC6C0F" w:rsidRPr="007244A6" w:rsidRDefault="001E148B" w:rsidP="00EC6C0F">
            <w:pPr>
              <w:jc w:val="right"/>
              <w:rPr>
                <w:rFonts w:ascii="Arial" w:hAnsi="Arial" w:cs="Arial"/>
                <w:b/>
                <w:bCs/>
                <w:sz w:val="20"/>
                <w:lang w:val="es-ES" w:eastAsia="es-419"/>
              </w:rPr>
            </w:pPr>
            <w:r>
              <w:rPr>
                <w:rFonts w:ascii="Arial" w:hAnsi="Arial" w:cs="Arial"/>
                <w:b/>
                <w:bCs/>
                <w:sz w:val="20"/>
                <w:lang w:val="es-ES" w:eastAsia="es-419"/>
              </w:rPr>
              <w:t>-</w:t>
            </w:r>
            <w:r w:rsidR="00EC6C0F" w:rsidRPr="00026BE7">
              <w:rPr>
                <w:rFonts w:ascii="Arial" w:hAnsi="Arial" w:cs="Arial"/>
                <w:b/>
                <w:bCs/>
                <w:sz w:val="20"/>
                <w:lang w:val="es-ES" w:eastAsia="es-419"/>
              </w:rPr>
              <w:t>1</w:t>
            </w:r>
            <w:r w:rsidR="00EC6C0F">
              <w:rPr>
                <w:rFonts w:ascii="Arial" w:hAnsi="Arial" w:cs="Arial"/>
                <w:b/>
                <w:bCs/>
                <w:sz w:val="20"/>
                <w:lang w:val="es-ES" w:eastAsia="es-419"/>
              </w:rPr>
              <w:t>50,43</w:t>
            </w:r>
          </w:p>
        </w:tc>
        <w:tc>
          <w:tcPr>
            <w:tcW w:w="900" w:type="dxa"/>
            <w:tcBorders>
              <w:top w:val="nil"/>
              <w:left w:val="nil"/>
              <w:bottom w:val="single" w:sz="4" w:space="0" w:color="auto"/>
              <w:right w:val="single" w:sz="4" w:space="0" w:color="auto"/>
            </w:tcBorders>
            <w:shd w:val="clear" w:color="auto" w:fill="auto"/>
            <w:vAlign w:val="center"/>
          </w:tcPr>
          <w:p w14:paraId="3830CD0F" w14:textId="41592E59"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w:t>
            </w:r>
            <w:r w:rsidR="001E148B">
              <w:rPr>
                <w:rFonts w:ascii="Arial" w:hAnsi="Arial" w:cs="Arial"/>
                <w:b/>
                <w:bCs/>
                <w:sz w:val="20"/>
                <w:lang w:val="es-ES" w:eastAsia="es-419"/>
              </w:rPr>
              <w:t>7,54</w:t>
            </w:r>
          </w:p>
        </w:tc>
      </w:tr>
      <w:tr w:rsidR="00F567D4" w:rsidRPr="007244A6" w14:paraId="09EAAFFF"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7F83B804" w14:textId="57470925"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2.1 Sistema de agua potable y saneamiento</w:t>
            </w:r>
          </w:p>
        </w:tc>
        <w:tc>
          <w:tcPr>
            <w:tcW w:w="759" w:type="dxa"/>
            <w:tcBorders>
              <w:top w:val="single" w:sz="4" w:space="0" w:color="auto"/>
              <w:left w:val="nil"/>
              <w:bottom w:val="single" w:sz="4" w:space="0" w:color="auto"/>
              <w:right w:val="single" w:sz="4" w:space="0" w:color="auto"/>
            </w:tcBorders>
            <w:vAlign w:val="center"/>
          </w:tcPr>
          <w:p w14:paraId="7B37733A" w14:textId="088CBE81"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305,</w:t>
            </w:r>
            <w:r>
              <w:rPr>
                <w:rFonts w:ascii="Arial" w:hAnsi="Arial" w:cs="Arial"/>
                <w:sz w:val="20"/>
                <w:lang w:val="es-ES" w:eastAsia="es-419"/>
              </w:rPr>
              <w:t>0</w:t>
            </w:r>
            <w:r w:rsidRPr="00B54712">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194C68FD" w14:textId="1A750E44"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33,0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23648190" w14:textId="30132B19"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17</w:t>
            </w:r>
            <w:r w:rsidR="00B90C98">
              <w:rPr>
                <w:rFonts w:ascii="Arial" w:hAnsi="Arial" w:cs="Arial"/>
                <w:sz w:val="20"/>
                <w:lang w:val="es-ES" w:eastAsia="es-419"/>
              </w:rPr>
              <w:t>3</w:t>
            </w:r>
            <w:r w:rsidRPr="00B54712">
              <w:rPr>
                <w:rFonts w:ascii="Arial" w:hAnsi="Arial" w:cs="Arial"/>
                <w:sz w:val="20"/>
                <w:lang w:val="es-ES" w:eastAsia="es-419"/>
              </w:rPr>
              <w:t>,</w:t>
            </w:r>
            <w:r w:rsidR="00B90C98">
              <w:rPr>
                <w:rFonts w:ascii="Arial" w:hAnsi="Arial" w:cs="Arial"/>
                <w:sz w:val="20"/>
                <w:lang w:val="es-ES" w:eastAsia="es-419"/>
              </w:rPr>
              <w:t>13</w:t>
            </w:r>
          </w:p>
        </w:tc>
        <w:tc>
          <w:tcPr>
            <w:tcW w:w="720" w:type="dxa"/>
            <w:tcBorders>
              <w:top w:val="nil"/>
              <w:left w:val="single" w:sz="4" w:space="0" w:color="auto"/>
              <w:bottom w:val="single" w:sz="4" w:space="0" w:color="auto"/>
              <w:right w:val="single" w:sz="4" w:space="0" w:color="auto"/>
            </w:tcBorders>
            <w:shd w:val="clear" w:color="auto" w:fill="auto"/>
            <w:vAlign w:val="center"/>
          </w:tcPr>
          <w:p w14:paraId="61CB2802" w14:textId="6A692D6E"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26,27</w:t>
            </w:r>
          </w:p>
        </w:tc>
        <w:tc>
          <w:tcPr>
            <w:tcW w:w="810" w:type="dxa"/>
            <w:tcBorders>
              <w:top w:val="nil"/>
              <w:left w:val="nil"/>
              <w:bottom w:val="single" w:sz="4" w:space="0" w:color="auto"/>
              <w:right w:val="single" w:sz="4" w:space="0" w:color="auto"/>
            </w:tcBorders>
            <w:shd w:val="clear" w:color="auto" w:fill="auto"/>
            <w:noWrap/>
            <w:vAlign w:val="center"/>
          </w:tcPr>
          <w:p w14:paraId="49CAC57E" w14:textId="6000BC8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8</w:t>
            </w:r>
            <w:r w:rsidR="00B90C98">
              <w:rPr>
                <w:rFonts w:ascii="Arial" w:hAnsi="Arial" w:cs="Arial"/>
                <w:sz w:val="20"/>
                <w:lang w:val="es-ES" w:eastAsia="es-419"/>
              </w:rPr>
              <w:t>2</w:t>
            </w:r>
            <w:r>
              <w:rPr>
                <w:rFonts w:ascii="Arial" w:hAnsi="Arial" w:cs="Arial"/>
                <w:sz w:val="20"/>
                <w:lang w:val="es-ES" w:eastAsia="es-419"/>
              </w:rPr>
              <w:t>,</w:t>
            </w:r>
            <w:r w:rsidR="00B90C98">
              <w:rPr>
                <w:rFonts w:ascii="Arial" w:hAnsi="Arial" w:cs="Arial"/>
                <w:sz w:val="20"/>
                <w:lang w:val="es-ES" w:eastAsia="es-419"/>
              </w:rPr>
              <w:t>48</w:t>
            </w:r>
          </w:p>
        </w:tc>
        <w:tc>
          <w:tcPr>
            <w:tcW w:w="720" w:type="dxa"/>
            <w:tcBorders>
              <w:top w:val="nil"/>
              <w:left w:val="nil"/>
              <w:bottom w:val="single" w:sz="4" w:space="0" w:color="auto"/>
              <w:right w:val="single" w:sz="4" w:space="0" w:color="auto"/>
            </w:tcBorders>
            <w:shd w:val="clear" w:color="auto" w:fill="auto"/>
            <w:vAlign w:val="center"/>
          </w:tcPr>
          <w:p w14:paraId="03075AC7" w14:textId="174CC87B"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2</w:t>
            </w:r>
            <w:r w:rsidR="00AE022F">
              <w:rPr>
                <w:rFonts w:ascii="Arial" w:hAnsi="Arial" w:cs="Arial"/>
                <w:sz w:val="20"/>
                <w:lang w:val="es-ES" w:eastAsia="es-419"/>
              </w:rPr>
              <w:t>2</w:t>
            </w:r>
            <w:r w:rsidRPr="00B54712">
              <w:rPr>
                <w:rFonts w:ascii="Arial" w:hAnsi="Arial" w:cs="Arial"/>
                <w:sz w:val="20"/>
                <w:lang w:val="es-ES" w:eastAsia="es-419"/>
              </w:rPr>
              <w:t>,</w:t>
            </w:r>
            <w:r w:rsidR="00AE022F">
              <w:rPr>
                <w:rFonts w:ascii="Arial" w:hAnsi="Arial" w:cs="Arial"/>
                <w:sz w:val="20"/>
                <w:lang w:val="es-ES" w:eastAsia="es-419"/>
              </w:rPr>
              <w:t>69</w:t>
            </w:r>
          </w:p>
        </w:tc>
        <w:tc>
          <w:tcPr>
            <w:tcW w:w="900" w:type="dxa"/>
            <w:tcBorders>
              <w:top w:val="nil"/>
              <w:left w:val="nil"/>
              <w:bottom w:val="single" w:sz="4" w:space="0" w:color="auto"/>
              <w:right w:val="single" w:sz="4" w:space="0" w:color="auto"/>
            </w:tcBorders>
            <w:shd w:val="clear" w:color="auto" w:fill="auto"/>
            <w:noWrap/>
            <w:vAlign w:val="center"/>
          </w:tcPr>
          <w:p w14:paraId="4C323C44" w14:textId="494522B6"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-90,65</w:t>
            </w:r>
          </w:p>
        </w:tc>
        <w:tc>
          <w:tcPr>
            <w:tcW w:w="900" w:type="dxa"/>
            <w:tcBorders>
              <w:top w:val="nil"/>
              <w:left w:val="nil"/>
              <w:bottom w:val="single" w:sz="4" w:space="0" w:color="auto"/>
              <w:right w:val="single" w:sz="4" w:space="0" w:color="auto"/>
            </w:tcBorders>
            <w:shd w:val="clear" w:color="auto" w:fill="auto"/>
            <w:vAlign w:val="center"/>
          </w:tcPr>
          <w:p w14:paraId="3E3ECA7B" w14:textId="3B651E80" w:rsidR="00EC6C0F" w:rsidRPr="007244A6" w:rsidRDefault="00AE022F" w:rsidP="00EC6C0F">
            <w:pPr>
              <w:jc w:val="right"/>
              <w:rPr>
                <w:rFonts w:ascii="Arial" w:hAnsi="Arial" w:cs="Arial"/>
                <w:sz w:val="20"/>
                <w:lang w:val="es-ES" w:eastAsia="es-419"/>
              </w:rPr>
            </w:pPr>
            <w:r>
              <w:rPr>
                <w:rFonts w:ascii="Arial" w:hAnsi="Arial" w:cs="Arial"/>
                <w:sz w:val="20"/>
                <w:lang w:val="es-ES" w:eastAsia="es-419"/>
              </w:rPr>
              <w:t>-3,58</w:t>
            </w:r>
          </w:p>
        </w:tc>
      </w:tr>
      <w:tr w:rsidR="00F567D4" w:rsidRPr="007244A6" w14:paraId="6B8D6FA6"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0B6E7EEA" w14:textId="31286C34"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2.2 Mejoramiento de la gestión operativa</w:t>
            </w:r>
          </w:p>
        </w:tc>
        <w:tc>
          <w:tcPr>
            <w:tcW w:w="759" w:type="dxa"/>
            <w:tcBorders>
              <w:top w:val="single" w:sz="4" w:space="0" w:color="auto"/>
              <w:left w:val="nil"/>
              <w:bottom w:val="single" w:sz="4" w:space="0" w:color="auto"/>
              <w:right w:val="single" w:sz="4" w:space="0" w:color="auto"/>
            </w:tcBorders>
            <w:vAlign w:val="center"/>
          </w:tcPr>
          <w:p w14:paraId="2907901B" w14:textId="7C5173A9"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70,</w:t>
            </w:r>
            <w:r>
              <w:rPr>
                <w:rFonts w:ascii="Arial" w:hAnsi="Arial" w:cs="Arial"/>
                <w:sz w:val="20"/>
                <w:lang w:val="es-ES" w:eastAsia="es-419"/>
              </w:rPr>
              <w:t>0</w:t>
            </w:r>
            <w:r w:rsidRPr="00B54712">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22301F05" w14:textId="5BCF088A"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7,0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2B22DA09" w14:textId="3087709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59,77</w:t>
            </w:r>
          </w:p>
        </w:tc>
        <w:tc>
          <w:tcPr>
            <w:tcW w:w="720" w:type="dxa"/>
            <w:tcBorders>
              <w:top w:val="nil"/>
              <w:left w:val="single" w:sz="4" w:space="0" w:color="auto"/>
              <w:bottom w:val="single" w:sz="4" w:space="0" w:color="auto"/>
              <w:right w:val="single" w:sz="4" w:space="0" w:color="auto"/>
            </w:tcBorders>
            <w:shd w:val="clear" w:color="auto" w:fill="auto"/>
            <w:vAlign w:val="center"/>
          </w:tcPr>
          <w:p w14:paraId="73134F3A" w14:textId="56F67418"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5,28</w:t>
            </w:r>
          </w:p>
        </w:tc>
        <w:tc>
          <w:tcPr>
            <w:tcW w:w="810" w:type="dxa"/>
            <w:tcBorders>
              <w:top w:val="nil"/>
              <w:left w:val="nil"/>
              <w:bottom w:val="single" w:sz="4" w:space="0" w:color="auto"/>
              <w:right w:val="single" w:sz="4" w:space="0" w:color="auto"/>
            </w:tcBorders>
            <w:shd w:val="clear" w:color="auto" w:fill="auto"/>
            <w:noWrap/>
            <w:vAlign w:val="center"/>
          </w:tcPr>
          <w:p w14:paraId="46D35A9B" w14:textId="47D09B81"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w:t>
            </w:r>
            <w:r>
              <w:rPr>
                <w:rFonts w:ascii="Arial" w:hAnsi="Arial" w:cs="Arial"/>
                <w:sz w:val="20"/>
                <w:lang w:val="es-ES" w:eastAsia="es-419"/>
              </w:rPr>
              <w:t>,</w:t>
            </w:r>
            <w:r w:rsidRPr="00B54712">
              <w:rPr>
                <w:rFonts w:ascii="Arial" w:hAnsi="Arial" w:cs="Arial"/>
                <w:sz w:val="20"/>
                <w:lang w:val="es-ES" w:eastAsia="es-419"/>
              </w:rPr>
              <w:t>01</w:t>
            </w:r>
          </w:p>
        </w:tc>
        <w:tc>
          <w:tcPr>
            <w:tcW w:w="720" w:type="dxa"/>
            <w:tcBorders>
              <w:top w:val="nil"/>
              <w:left w:val="nil"/>
              <w:bottom w:val="single" w:sz="4" w:space="0" w:color="auto"/>
              <w:right w:val="single" w:sz="4" w:space="0" w:color="auto"/>
            </w:tcBorders>
            <w:shd w:val="clear" w:color="auto" w:fill="auto"/>
            <w:vAlign w:val="center"/>
          </w:tcPr>
          <w:p w14:paraId="3547D3EF" w14:textId="13A206D3" w:rsidR="00EC6C0F" w:rsidRPr="007244A6" w:rsidRDefault="001E148B" w:rsidP="00EC6C0F">
            <w:pPr>
              <w:jc w:val="right"/>
              <w:rPr>
                <w:rFonts w:ascii="Arial" w:hAnsi="Arial" w:cs="Arial"/>
                <w:sz w:val="20"/>
                <w:lang w:val="es-ES" w:eastAsia="es-419"/>
              </w:rPr>
            </w:pPr>
            <w:r>
              <w:rPr>
                <w:rFonts w:ascii="Arial" w:hAnsi="Arial" w:cs="Arial"/>
                <w:sz w:val="20"/>
                <w:lang w:val="es-ES" w:eastAsia="es-419"/>
              </w:rPr>
              <w:t>1,32</w:t>
            </w:r>
          </w:p>
        </w:tc>
        <w:tc>
          <w:tcPr>
            <w:tcW w:w="900" w:type="dxa"/>
            <w:tcBorders>
              <w:top w:val="nil"/>
              <w:left w:val="nil"/>
              <w:bottom w:val="single" w:sz="4" w:space="0" w:color="auto"/>
              <w:right w:val="single" w:sz="4" w:space="0" w:color="auto"/>
            </w:tcBorders>
            <w:shd w:val="clear" w:color="auto" w:fill="auto"/>
            <w:noWrap/>
            <w:vAlign w:val="center"/>
          </w:tcPr>
          <w:p w14:paraId="1F9A59AF" w14:textId="650A48CC"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-59,78</w:t>
            </w:r>
          </w:p>
        </w:tc>
        <w:tc>
          <w:tcPr>
            <w:tcW w:w="900" w:type="dxa"/>
            <w:tcBorders>
              <w:top w:val="nil"/>
              <w:left w:val="nil"/>
              <w:bottom w:val="single" w:sz="4" w:space="0" w:color="auto"/>
              <w:right w:val="single" w:sz="4" w:space="0" w:color="auto"/>
            </w:tcBorders>
            <w:shd w:val="clear" w:color="auto" w:fill="auto"/>
            <w:vAlign w:val="center"/>
          </w:tcPr>
          <w:p w14:paraId="7F6F4A97" w14:textId="421F7204" w:rsidR="00EC6C0F" w:rsidRPr="007244A6" w:rsidRDefault="001E148B" w:rsidP="00EC6C0F">
            <w:pPr>
              <w:jc w:val="right"/>
              <w:rPr>
                <w:rFonts w:ascii="Arial" w:hAnsi="Arial" w:cs="Arial"/>
                <w:sz w:val="20"/>
                <w:lang w:val="es-ES" w:eastAsia="es-419"/>
              </w:rPr>
            </w:pPr>
            <w:r>
              <w:rPr>
                <w:rFonts w:ascii="Arial" w:hAnsi="Arial" w:cs="Arial"/>
                <w:sz w:val="20"/>
                <w:lang w:val="es-ES" w:eastAsia="es-419"/>
              </w:rPr>
              <w:t>-3,96</w:t>
            </w:r>
          </w:p>
        </w:tc>
      </w:tr>
      <w:tr w:rsidR="00F567D4" w:rsidRPr="007244A6" w14:paraId="2EE33BF9"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hideMark/>
          </w:tcPr>
          <w:p w14:paraId="433C51DA" w14:textId="4713BC35" w:rsidR="00EC6C0F" w:rsidRPr="007244A6" w:rsidRDefault="00EC6C0F" w:rsidP="00EC6C0F">
            <w:pPr>
              <w:pStyle w:val="ListParagraph"/>
              <w:numPr>
                <w:ilvl w:val="0"/>
                <w:numId w:val="5"/>
              </w:numPr>
              <w:ind w:left="288" w:hanging="270"/>
              <w:rPr>
                <w:rFonts w:ascii="Arial" w:hAnsi="Arial" w:cs="Arial"/>
                <w:b/>
                <w:bCs/>
                <w:sz w:val="20"/>
                <w:lang w:val="es-ES" w:eastAsia="es-419"/>
              </w:rPr>
            </w:pPr>
            <w:r w:rsidRPr="007244A6">
              <w:rPr>
                <w:rFonts w:ascii="Arial" w:hAnsi="Arial" w:cs="Arial"/>
                <w:b/>
                <w:bCs/>
                <w:sz w:val="20"/>
                <w:lang w:val="es-ES" w:eastAsia="es-419"/>
              </w:rPr>
              <w:t>Costos concurrentes</w:t>
            </w:r>
          </w:p>
        </w:tc>
        <w:tc>
          <w:tcPr>
            <w:tcW w:w="759" w:type="dxa"/>
            <w:tcBorders>
              <w:top w:val="single" w:sz="4" w:space="0" w:color="auto"/>
              <w:left w:val="nil"/>
              <w:bottom w:val="single" w:sz="4" w:space="0" w:color="auto"/>
              <w:right w:val="single" w:sz="4" w:space="0" w:color="auto"/>
            </w:tcBorders>
            <w:vAlign w:val="center"/>
          </w:tcPr>
          <w:p w14:paraId="61B92558" w14:textId="112A7668"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95,</w:t>
            </w:r>
            <w:r>
              <w:rPr>
                <w:rFonts w:ascii="Arial" w:hAnsi="Arial" w:cs="Arial"/>
                <w:b/>
                <w:bCs/>
                <w:sz w:val="20"/>
                <w:lang w:val="es-ES" w:eastAsia="es-419"/>
              </w:rPr>
              <w:t>0</w:t>
            </w:r>
            <w:r w:rsidRPr="00026BE7">
              <w:rPr>
                <w:rFonts w:ascii="Arial" w:hAnsi="Arial" w:cs="Arial"/>
                <w:b/>
                <w:bCs/>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46D7CA76" w14:textId="250D3D10"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10,0</w:t>
            </w:r>
            <w:r>
              <w:rPr>
                <w:rFonts w:ascii="Arial" w:hAnsi="Arial" w:cs="Arial"/>
                <w:b/>
                <w:bCs/>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255E3C6D" w14:textId="07EC5B05"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2</w:t>
            </w:r>
            <w:r w:rsidR="00B90C98">
              <w:rPr>
                <w:rFonts w:ascii="Arial" w:hAnsi="Arial" w:cs="Arial"/>
                <w:b/>
                <w:bCs/>
                <w:sz w:val="20"/>
                <w:lang w:val="es-ES" w:eastAsia="es-419"/>
              </w:rPr>
              <w:t>2</w:t>
            </w:r>
            <w:r>
              <w:rPr>
                <w:rFonts w:ascii="Arial" w:hAnsi="Arial" w:cs="Arial"/>
                <w:b/>
                <w:bCs/>
                <w:sz w:val="20"/>
                <w:lang w:val="es-ES" w:eastAsia="es-419"/>
              </w:rPr>
              <w:t>,</w:t>
            </w:r>
            <w:r w:rsidR="00B90C98">
              <w:rPr>
                <w:rFonts w:ascii="Arial" w:hAnsi="Arial" w:cs="Arial"/>
                <w:b/>
                <w:bCs/>
                <w:sz w:val="20"/>
                <w:lang w:val="es-ES" w:eastAsia="es-419"/>
              </w:rPr>
              <w:t>56</w:t>
            </w:r>
          </w:p>
        </w:tc>
        <w:tc>
          <w:tcPr>
            <w:tcW w:w="720" w:type="dxa"/>
            <w:tcBorders>
              <w:top w:val="nil"/>
              <w:left w:val="single" w:sz="4" w:space="0" w:color="auto"/>
              <w:bottom w:val="single" w:sz="4" w:space="0" w:color="auto"/>
              <w:right w:val="single" w:sz="4" w:space="0" w:color="auto"/>
            </w:tcBorders>
            <w:shd w:val="clear" w:color="auto" w:fill="auto"/>
            <w:vAlign w:val="center"/>
          </w:tcPr>
          <w:p w14:paraId="7C1CF16E" w14:textId="116C77E1" w:rsidR="00EC6C0F" w:rsidRPr="007244A6" w:rsidRDefault="00EC6C0F" w:rsidP="00EC6C0F">
            <w:pPr>
              <w:jc w:val="right"/>
              <w:rPr>
                <w:rFonts w:ascii="Arial" w:hAnsi="Arial" w:cs="Arial"/>
                <w:b/>
                <w:bCs/>
                <w:sz w:val="20"/>
                <w:lang w:val="es-ES" w:eastAsia="es-419"/>
              </w:rPr>
            </w:pPr>
            <w:r>
              <w:rPr>
                <w:rFonts w:ascii="Arial" w:hAnsi="Arial" w:cs="Arial"/>
                <w:b/>
                <w:bCs/>
                <w:sz w:val="20"/>
                <w:lang w:val="es-ES" w:eastAsia="es-419"/>
              </w:rPr>
              <w:t>4,30</w:t>
            </w:r>
          </w:p>
        </w:tc>
        <w:tc>
          <w:tcPr>
            <w:tcW w:w="810" w:type="dxa"/>
            <w:tcBorders>
              <w:top w:val="nil"/>
              <w:left w:val="nil"/>
              <w:bottom w:val="single" w:sz="4" w:space="0" w:color="auto"/>
              <w:right w:val="single" w:sz="4" w:space="0" w:color="auto"/>
            </w:tcBorders>
            <w:shd w:val="clear" w:color="auto" w:fill="auto"/>
            <w:noWrap/>
            <w:vAlign w:val="center"/>
          </w:tcPr>
          <w:p w14:paraId="3EB24402" w14:textId="093FBAE6" w:rsidR="00EC6C0F" w:rsidRPr="007244A6" w:rsidRDefault="00EC6C0F" w:rsidP="00EC6C0F">
            <w:pPr>
              <w:jc w:val="right"/>
              <w:rPr>
                <w:rFonts w:ascii="Arial" w:hAnsi="Arial" w:cs="Arial"/>
                <w:b/>
                <w:bCs/>
                <w:sz w:val="20"/>
                <w:lang w:val="es-ES" w:eastAsia="es-419"/>
              </w:rPr>
            </w:pPr>
            <w:r w:rsidRPr="00B54712">
              <w:rPr>
                <w:rFonts w:ascii="Arial" w:hAnsi="Arial" w:cs="Arial"/>
                <w:b/>
                <w:bCs/>
                <w:sz w:val="20"/>
                <w:lang w:val="es-ES" w:eastAsia="es-419"/>
              </w:rPr>
              <w:t>5</w:t>
            </w:r>
            <w:r w:rsidR="00B90C98">
              <w:rPr>
                <w:rFonts w:ascii="Arial" w:hAnsi="Arial" w:cs="Arial"/>
                <w:b/>
                <w:bCs/>
                <w:sz w:val="20"/>
                <w:lang w:val="es-ES" w:eastAsia="es-419"/>
              </w:rPr>
              <w:t>0</w:t>
            </w:r>
            <w:r>
              <w:rPr>
                <w:rFonts w:ascii="Arial" w:hAnsi="Arial" w:cs="Arial"/>
                <w:b/>
                <w:bCs/>
                <w:sz w:val="20"/>
                <w:lang w:val="es-ES" w:eastAsia="es-419"/>
              </w:rPr>
              <w:t>,</w:t>
            </w:r>
            <w:r w:rsidR="00B90C98">
              <w:rPr>
                <w:rFonts w:ascii="Arial" w:hAnsi="Arial" w:cs="Arial"/>
                <w:b/>
                <w:bCs/>
                <w:sz w:val="20"/>
                <w:lang w:val="es-ES" w:eastAsia="es-419"/>
              </w:rPr>
              <w:t>9</w:t>
            </w:r>
            <w:r w:rsidRPr="00B54712">
              <w:rPr>
                <w:rFonts w:ascii="Arial" w:hAnsi="Arial" w:cs="Arial"/>
                <w:b/>
                <w:bCs/>
                <w:sz w:val="20"/>
                <w:lang w:val="es-ES" w:eastAsia="es-419"/>
              </w:rPr>
              <w:t>1</w:t>
            </w:r>
          </w:p>
        </w:tc>
        <w:tc>
          <w:tcPr>
            <w:tcW w:w="720" w:type="dxa"/>
            <w:tcBorders>
              <w:top w:val="nil"/>
              <w:left w:val="nil"/>
              <w:bottom w:val="single" w:sz="4" w:space="0" w:color="auto"/>
              <w:right w:val="single" w:sz="4" w:space="0" w:color="auto"/>
            </w:tcBorders>
            <w:shd w:val="clear" w:color="auto" w:fill="auto"/>
            <w:vAlign w:val="center"/>
          </w:tcPr>
          <w:p w14:paraId="7D6715F9" w14:textId="6CF1B9F5"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0</w:t>
            </w:r>
            <w:r w:rsidR="00EC6C0F">
              <w:rPr>
                <w:rFonts w:ascii="Arial" w:hAnsi="Arial" w:cs="Arial"/>
                <w:b/>
                <w:bCs/>
                <w:sz w:val="20"/>
                <w:lang w:val="es-ES" w:eastAsia="es-419"/>
              </w:rPr>
              <w:t>,</w:t>
            </w:r>
            <w:r>
              <w:rPr>
                <w:rFonts w:ascii="Arial" w:hAnsi="Arial" w:cs="Arial"/>
                <w:b/>
                <w:bCs/>
                <w:sz w:val="20"/>
                <w:lang w:val="es-ES" w:eastAsia="es-419"/>
              </w:rPr>
              <w:t>0</w:t>
            </w:r>
            <w:r w:rsidR="00EC6C0F">
              <w:rPr>
                <w:rFonts w:ascii="Arial" w:hAnsi="Arial" w:cs="Arial"/>
                <w:b/>
                <w:bCs/>
                <w:sz w:val="20"/>
                <w:lang w:val="es-ES" w:eastAsia="es-419"/>
              </w:rPr>
              <w:t>0</w:t>
            </w:r>
          </w:p>
        </w:tc>
        <w:tc>
          <w:tcPr>
            <w:tcW w:w="900" w:type="dxa"/>
            <w:tcBorders>
              <w:top w:val="nil"/>
              <w:left w:val="nil"/>
              <w:bottom w:val="single" w:sz="4" w:space="0" w:color="auto"/>
              <w:right w:val="single" w:sz="4" w:space="0" w:color="auto"/>
            </w:tcBorders>
            <w:shd w:val="clear" w:color="auto" w:fill="auto"/>
            <w:noWrap/>
            <w:vAlign w:val="center"/>
          </w:tcPr>
          <w:p w14:paraId="0765E4F6" w14:textId="1077D2E2" w:rsidR="00EC6C0F" w:rsidRPr="007244A6" w:rsidRDefault="00EC6C0F" w:rsidP="00EC6C0F">
            <w:pPr>
              <w:jc w:val="right"/>
              <w:rPr>
                <w:rFonts w:ascii="Arial" w:hAnsi="Arial" w:cs="Arial"/>
                <w:b/>
                <w:bCs/>
                <w:sz w:val="20"/>
                <w:lang w:val="es-ES" w:eastAsia="es-419"/>
              </w:rPr>
            </w:pPr>
            <w:r>
              <w:rPr>
                <w:rFonts w:ascii="Arial" w:hAnsi="Arial" w:cs="Arial"/>
                <w:b/>
                <w:bCs/>
                <w:sz w:val="20"/>
                <w:lang w:val="es-ES" w:eastAsia="es-419"/>
              </w:rPr>
              <w:t>28,</w:t>
            </w:r>
            <w:r w:rsidR="00B90C98">
              <w:rPr>
                <w:rFonts w:ascii="Arial" w:hAnsi="Arial" w:cs="Arial"/>
                <w:b/>
                <w:bCs/>
                <w:sz w:val="20"/>
                <w:lang w:val="es-ES" w:eastAsia="es-419"/>
              </w:rPr>
              <w:t>35</w:t>
            </w:r>
          </w:p>
        </w:tc>
        <w:tc>
          <w:tcPr>
            <w:tcW w:w="900" w:type="dxa"/>
            <w:tcBorders>
              <w:top w:val="nil"/>
              <w:left w:val="nil"/>
              <w:bottom w:val="single" w:sz="4" w:space="0" w:color="auto"/>
              <w:right w:val="single" w:sz="4" w:space="0" w:color="auto"/>
            </w:tcBorders>
            <w:shd w:val="clear" w:color="auto" w:fill="auto"/>
            <w:vAlign w:val="center"/>
          </w:tcPr>
          <w:p w14:paraId="76C2EBF6" w14:textId="5FE1EAB6"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-4</w:t>
            </w:r>
            <w:r w:rsidR="00EC6C0F" w:rsidRPr="00026BE7">
              <w:rPr>
                <w:rFonts w:ascii="Arial" w:hAnsi="Arial" w:cs="Arial"/>
                <w:b/>
                <w:bCs/>
                <w:sz w:val="20"/>
                <w:lang w:val="es-ES" w:eastAsia="es-419"/>
              </w:rPr>
              <w:t>,</w:t>
            </w:r>
            <w:r>
              <w:rPr>
                <w:rFonts w:ascii="Arial" w:hAnsi="Arial" w:cs="Arial"/>
                <w:b/>
                <w:bCs/>
                <w:sz w:val="20"/>
                <w:lang w:val="es-ES" w:eastAsia="es-419"/>
              </w:rPr>
              <w:t>3</w:t>
            </w:r>
            <w:r w:rsidR="00EC6C0F">
              <w:rPr>
                <w:rFonts w:ascii="Arial" w:hAnsi="Arial" w:cs="Arial"/>
                <w:b/>
                <w:bCs/>
                <w:sz w:val="20"/>
                <w:lang w:val="es-ES" w:eastAsia="es-419"/>
              </w:rPr>
              <w:t>0</w:t>
            </w:r>
          </w:p>
        </w:tc>
      </w:tr>
      <w:tr w:rsidR="00F567D4" w:rsidRPr="007244A6" w14:paraId="57A40242"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3A1F8AC3" w14:textId="70B40EA3"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3.1 Auditoría, Evaluación y Seguimiento</w:t>
            </w:r>
          </w:p>
        </w:tc>
        <w:tc>
          <w:tcPr>
            <w:tcW w:w="759" w:type="dxa"/>
            <w:tcBorders>
              <w:top w:val="single" w:sz="4" w:space="0" w:color="auto"/>
              <w:left w:val="nil"/>
              <w:bottom w:val="single" w:sz="4" w:space="0" w:color="auto"/>
              <w:right w:val="single" w:sz="4" w:space="0" w:color="auto"/>
            </w:tcBorders>
            <w:vAlign w:val="center"/>
          </w:tcPr>
          <w:p w14:paraId="671B1C1A" w14:textId="78F6344F"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2,</w:t>
            </w:r>
            <w:r>
              <w:rPr>
                <w:rFonts w:ascii="Arial" w:hAnsi="Arial" w:cs="Arial"/>
                <w:sz w:val="20"/>
                <w:lang w:val="es-ES" w:eastAsia="es-419"/>
              </w:rPr>
              <w:t>0</w:t>
            </w:r>
            <w:r w:rsidRPr="00B54712">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1611F34E" w14:textId="1841C5FE"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49AFB35A" w14:textId="2E556E87"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1,8</w:t>
            </w:r>
            <w:r w:rsidR="00B90C98">
              <w:rPr>
                <w:rFonts w:ascii="Arial" w:hAnsi="Arial" w:cs="Arial"/>
                <w:sz w:val="20"/>
                <w:lang w:val="es-ES" w:eastAsia="es-419"/>
              </w:rPr>
              <w:t>3</w:t>
            </w:r>
          </w:p>
        </w:tc>
        <w:tc>
          <w:tcPr>
            <w:tcW w:w="720" w:type="dxa"/>
            <w:tcBorders>
              <w:top w:val="nil"/>
              <w:left w:val="single" w:sz="4" w:space="0" w:color="auto"/>
              <w:bottom w:val="single" w:sz="4" w:space="0" w:color="auto"/>
              <w:right w:val="single" w:sz="4" w:space="0" w:color="auto"/>
            </w:tcBorders>
            <w:shd w:val="clear" w:color="auto" w:fill="auto"/>
            <w:vAlign w:val="center"/>
          </w:tcPr>
          <w:p w14:paraId="7480707D" w14:textId="1E7DEEF0"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7E6861B8" w14:textId="6044220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w:t>
            </w:r>
            <w:r>
              <w:rPr>
                <w:rFonts w:ascii="Arial" w:hAnsi="Arial" w:cs="Arial"/>
                <w:sz w:val="20"/>
                <w:lang w:val="es-ES" w:eastAsia="es-419"/>
              </w:rPr>
              <w:t>,</w:t>
            </w:r>
            <w:r w:rsidRPr="00B54712">
              <w:rPr>
                <w:rFonts w:ascii="Arial" w:hAnsi="Arial" w:cs="Arial"/>
                <w:sz w:val="20"/>
                <w:lang w:val="es-ES" w:eastAsia="es-419"/>
              </w:rPr>
              <w:t>1</w:t>
            </w:r>
            <w:r w:rsidR="00B90C98">
              <w:rPr>
                <w:rFonts w:ascii="Arial" w:hAnsi="Arial" w:cs="Arial"/>
                <w:sz w:val="20"/>
                <w:lang w:val="es-ES" w:eastAsia="es-419"/>
              </w:rPr>
              <w:t>7</w:t>
            </w:r>
          </w:p>
        </w:tc>
        <w:tc>
          <w:tcPr>
            <w:tcW w:w="720" w:type="dxa"/>
            <w:tcBorders>
              <w:top w:val="nil"/>
              <w:left w:val="nil"/>
              <w:bottom w:val="single" w:sz="4" w:space="0" w:color="auto"/>
              <w:right w:val="single" w:sz="4" w:space="0" w:color="auto"/>
            </w:tcBorders>
            <w:shd w:val="clear" w:color="auto" w:fill="auto"/>
            <w:vAlign w:val="center"/>
          </w:tcPr>
          <w:p w14:paraId="0579C8DB" w14:textId="30D9A91A"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w:t>
            </w:r>
            <w:r w:rsidR="007D0790">
              <w:rPr>
                <w:rFonts w:ascii="Arial" w:hAnsi="Arial" w:cs="Arial"/>
                <w:sz w:val="20"/>
                <w:lang w:val="es-ES" w:eastAsia="es-419"/>
              </w:rPr>
              <w:t>0</w:t>
            </w:r>
            <w:r w:rsidRPr="00B54712">
              <w:rPr>
                <w:rFonts w:ascii="Arial" w:hAnsi="Arial" w:cs="Arial"/>
                <w:sz w:val="20"/>
                <w:lang w:val="es-ES" w:eastAsia="es-419"/>
              </w:rPr>
              <w:t>0</w:t>
            </w:r>
          </w:p>
        </w:tc>
        <w:tc>
          <w:tcPr>
            <w:tcW w:w="900" w:type="dxa"/>
            <w:tcBorders>
              <w:top w:val="nil"/>
              <w:left w:val="nil"/>
              <w:bottom w:val="single" w:sz="4" w:space="0" w:color="auto"/>
              <w:right w:val="single" w:sz="4" w:space="0" w:color="auto"/>
            </w:tcBorders>
            <w:shd w:val="clear" w:color="auto" w:fill="auto"/>
            <w:noWrap/>
            <w:vAlign w:val="center"/>
          </w:tcPr>
          <w:p w14:paraId="2C1B3A86" w14:textId="29392662"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-1,66</w:t>
            </w:r>
          </w:p>
        </w:tc>
        <w:tc>
          <w:tcPr>
            <w:tcW w:w="900" w:type="dxa"/>
            <w:tcBorders>
              <w:top w:val="nil"/>
              <w:left w:val="nil"/>
              <w:bottom w:val="single" w:sz="4" w:space="0" w:color="auto"/>
              <w:right w:val="single" w:sz="4" w:space="0" w:color="auto"/>
            </w:tcBorders>
            <w:shd w:val="clear" w:color="auto" w:fill="auto"/>
            <w:vAlign w:val="center"/>
          </w:tcPr>
          <w:p w14:paraId="2BA0ECAA" w14:textId="1082529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0,0</w:t>
            </w:r>
            <w:r>
              <w:rPr>
                <w:rFonts w:ascii="Arial" w:hAnsi="Arial" w:cs="Arial"/>
                <w:sz w:val="20"/>
                <w:lang w:val="es-ES" w:eastAsia="es-419"/>
              </w:rPr>
              <w:t>0</w:t>
            </w:r>
          </w:p>
        </w:tc>
      </w:tr>
      <w:tr w:rsidR="00F567D4" w:rsidRPr="007244A6" w14:paraId="208CB572" w14:textId="77777777" w:rsidTr="00F567D4">
        <w:trPr>
          <w:trHeight w:val="420"/>
          <w:jc w:val="center"/>
        </w:trPr>
        <w:tc>
          <w:tcPr>
            <w:tcW w:w="2656" w:type="dxa"/>
            <w:tcBorders>
              <w:top w:val="nil"/>
              <w:left w:val="single" w:sz="4" w:space="0" w:color="auto"/>
              <w:bottom w:val="single" w:sz="4" w:space="0" w:color="auto"/>
              <w:right w:val="single" w:sz="4" w:space="0" w:color="auto"/>
            </w:tcBorders>
            <w:shd w:val="clear" w:color="auto" w:fill="auto"/>
            <w:noWrap/>
            <w:vAlign w:val="center"/>
          </w:tcPr>
          <w:p w14:paraId="49F78946" w14:textId="20595C0A" w:rsidR="00EC6C0F" w:rsidRPr="007244A6" w:rsidRDefault="00EC6C0F" w:rsidP="00EC6C0F">
            <w:pPr>
              <w:ind w:left="195"/>
              <w:rPr>
                <w:rFonts w:ascii="Arial" w:hAnsi="Arial" w:cs="Arial"/>
                <w:sz w:val="20"/>
                <w:lang w:val="es-ES" w:eastAsia="es-419"/>
              </w:rPr>
            </w:pPr>
            <w:r w:rsidRPr="007244A6">
              <w:rPr>
                <w:rFonts w:ascii="Arial" w:hAnsi="Arial" w:cs="Arial"/>
                <w:sz w:val="20"/>
                <w:lang w:val="es-ES" w:eastAsia="es-419"/>
              </w:rPr>
              <w:t>3.2 Escalamiento e imprevistos</w:t>
            </w:r>
          </w:p>
        </w:tc>
        <w:tc>
          <w:tcPr>
            <w:tcW w:w="759" w:type="dxa"/>
            <w:tcBorders>
              <w:top w:val="single" w:sz="4" w:space="0" w:color="auto"/>
              <w:left w:val="nil"/>
              <w:bottom w:val="single" w:sz="4" w:space="0" w:color="auto"/>
              <w:right w:val="single" w:sz="4" w:space="0" w:color="auto"/>
            </w:tcBorders>
            <w:vAlign w:val="center"/>
          </w:tcPr>
          <w:p w14:paraId="385A2077" w14:textId="72A68420"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93,</w:t>
            </w:r>
            <w:r>
              <w:rPr>
                <w:rFonts w:ascii="Arial" w:hAnsi="Arial" w:cs="Arial"/>
                <w:sz w:val="20"/>
                <w:lang w:val="es-ES" w:eastAsia="es-419"/>
              </w:rPr>
              <w:t>0</w:t>
            </w:r>
            <w:r w:rsidRPr="00B54712">
              <w:rPr>
                <w:rFonts w:ascii="Arial" w:hAnsi="Arial" w:cs="Arial"/>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749C4D7E" w14:textId="7927BEB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10,0</w:t>
            </w:r>
            <w:r>
              <w:rPr>
                <w:rFonts w:ascii="Arial" w:hAnsi="Arial" w:cs="Arial"/>
                <w:sz w:val="20"/>
                <w:lang w:val="es-ES" w:eastAsia="es-419"/>
              </w:rPr>
              <w:t>0</w:t>
            </w:r>
          </w:p>
        </w:tc>
        <w:tc>
          <w:tcPr>
            <w:tcW w:w="810" w:type="dxa"/>
            <w:tcBorders>
              <w:top w:val="nil"/>
              <w:left w:val="single" w:sz="4" w:space="0" w:color="auto"/>
              <w:bottom w:val="single" w:sz="4" w:space="0" w:color="auto"/>
              <w:right w:val="single" w:sz="4" w:space="0" w:color="auto"/>
            </w:tcBorders>
            <w:shd w:val="clear" w:color="auto" w:fill="auto"/>
            <w:noWrap/>
            <w:vAlign w:val="center"/>
          </w:tcPr>
          <w:p w14:paraId="2B55D9EE" w14:textId="04CBDBA2"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2</w:t>
            </w:r>
            <w:r w:rsidR="00B90C98">
              <w:rPr>
                <w:rFonts w:ascii="Arial" w:hAnsi="Arial" w:cs="Arial"/>
                <w:sz w:val="20"/>
                <w:lang w:val="es-ES" w:eastAsia="es-419"/>
              </w:rPr>
              <w:t>0</w:t>
            </w:r>
            <w:r w:rsidRPr="00B54712">
              <w:rPr>
                <w:rFonts w:ascii="Arial" w:hAnsi="Arial" w:cs="Arial"/>
                <w:sz w:val="20"/>
                <w:lang w:val="es-ES" w:eastAsia="es-419"/>
              </w:rPr>
              <w:t>,7</w:t>
            </w:r>
            <w:r w:rsidR="00B90C98">
              <w:rPr>
                <w:rFonts w:ascii="Arial" w:hAnsi="Arial" w:cs="Arial"/>
                <w:sz w:val="20"/>
                <w:lang w:val="es-ES" w:eastAsia="es-419"/>
              </w:rPr>
              <w:t>3</w:t>
            </w:r>
          </w:p>
        </w:tc>
        <w:tc>
          <w:tcPr>
            <w:tcW w:w="720" w:type="dxa"/>
            <w:tcBorders>
              <w:top w:val="nil"/>
              <w:left w:val="single" w:sz="4" w:space="0" w:color="auto"/>
              <w:bottom w:val="single" w:sz="4" w:space="0" w:color="auto"/>
              <w:right w:val="single" w:sz="4" w:space="0" w:color="auto"/>
            </w:tcBorders>
            <w:shd w:val="clear" w:color="auto" w:fill="auto"/>
            <w:vAlign w:val="center"/>
          </w:tcPr>
          <w:p w14:paraId="17963C61" w14:textId="1BB57A0B"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4,30</w:t>
            </w:r>
          </w:p>
        </w:tc>
        <w:tc>
          <w:tcPr>
            <w:tcW w:w="810" w:type="dxa"/>
            <w:tcBorders>
              <w:top w:val="nil"/>
              <w:left w:val="nil"/>
              <w:bottom w:val="single" w:sz="4" w:space="0" w:color="auto"/>
              <w:right w:val="single" w:sz="4" w:space="0" w:color="auto"/>
            </w:tcBorders>
            <w:shd w:val="clear" w:color="auto" w:fill="auto"/>
            <w:noWrap/>
            <w:vAlign w:val="center"/>
          </w:tcPr>
          <w:p w14:paraId="79972290" w14:textId="1C17C793"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5</w:t>
            </w:r>
            <w:r w:rsidR="00B90C98">
              <w:rPr>
                <w:rFonts w:ascii="Arial" w:hAnsi="Arial" w:cs="Arial"/>
                <w:sz w:val="20"/>
                <w:lang w:val="es-ES" w:eastAsia="es-419"/>
              </w:rPr>
              <w:t>0</w:t>
            </w:r>
            <w:r>
              <w:rPr>
                <w:rFonts w:ascii="Arial" w:hAnsi="Arial" w:cs="Arial"/>
                <w:sz w:val="20"/>
                <w:lang w:val="es-ES" w:eastAsia="es-419"/>
              </w:rPr>
              <w:t>,</w:t>
            </w:r>
            <w:r w:rsidR="00B90C98">
              <w:rPr>
                <w:rFonts w:ascii="Arial" w:hAnsi="Arial" w:cs="Arial"/>
                <w:sz w:val="20"/>
                <w:lang w:val="es-ES" w:eastAsia="es-419"/>
              </w:rPr>
              <w:t>74</w:t>
            </w:r>
          </w:p>
        </w:tc>
        <w:tc>
          <w:tcPr>
            <w:tcW w:w="720" w:type="dxa"/>
            <w:tcBorders>
              <w:top w:val="nil"/>
              <w:left w:val="nil"/>
              <w:bottom w:val="single" w:sz="4" w:space="0" w:color="auto"/>
              <w:right w:val="single" w:sz="4" w:space="0" w:color="auto"/>
            </w:tcBorders>
            <w:shd w:val="clear" w:color="auto" w:fill="auto"/>
            <w:vAlign w:val="center"/>
          </w:tcPr>
          <w:p w14:paraId="3615D989" w14:textId="57500221" w:rsidR="00EC6C0F" w:rsidRPr="007244A6" w:rsidRDefault="00F15209" w:rsidP="00EC6C0F">
            <w:pPr>
              <w:jc w:val="right"/>
              <w:rPr>
                <w:rFonts w:ascii="Arial" w:hAnsi="Arial" w:cs="Arial"/>
                <w:sz w:val="20"/>
                <w:lang w:val="es-ES" w:eastAsia="es-419"/>
              </w:rPr>
            </w:pPr>
            <w:r>
              <w:rPr>
                <w:rFonts w:ascii="Arial" w:hAnsi="Arial" w:cs="Arial"/>
                <w:sz w:val="20"/>
                <w:lang w:val="es-ES" w:eastAsia="es-419"/>
              </w:rPr>
              <w:t>0</w:t>
            </w:r>
            <w:r w:rsidR="00EC6C0F" w:rsidRPr="00B54712">
              <w:rPr>
                <w:rFonts w:ascii="Arial" w:hAnsi="Arial" w:cs="Arial"/>
                <w:sz w:val="20"/>
                <w:lang w:val="es-ES" w:eastAsia="es-419"/>
              </w:rPr>
              <w:t>,</w:t>
            </w:r>
            <w:r>
              <w:rPr>
                <w:rFonts w:ascii="Arial" w:hAnsi="Arial" w:cs="Arial"/>
                <w:sz w:val="20"/>
                <w:lang w:val="es-ES" w:eastAsia="es-419"/>
              </w:rPr>
              <w:t>00</w:t>
            </w:r>
          </w:p>
        </w:tc>
        <w:tc>
          <w:tcPr>
            <w:tcW w:w="900" w:type="dxa"/>
            <w:tcBorders>
              <w:top w:val="nil"/>
              <w:left w:val="nil"/>
              <w:bottom w:val="single" w:sz="4" w:space="0" w:color="auto"/>
              <w:right w:val="single" w:sz="4" w:space="0" w:color="auto"/>
            </w:tcBorders>
            <w:shd w:val="clear" w:color="auto" w:fill="auto"/>
            <w:noWrap/>
            <w:vAlign w:val="center"/>
          </w:tcPr>
          <w:p w14:paraId="7F4733E8" w14:textId="336EA0E1" w:rsidR="00EC6C0F" w:rsidRPr="007244A6" w:rsidRDefault="00EC6C0F" w:rsidP="00EC6C0F">
            <w:pPr>
              <w:jc w:val="right"/>
              <w:rPr>
                <w:rFonts w:ascii="Arial" w:hAnsi="Arial" w:cs="Arial"/>
                <w:sz w:val="20"/>
                <w:lang w:val="es-ES" w:eastAsia="es-419"/>
              </w:rPr>
            </w:pPr>
            <w:r w:rsidRPr="00B54712">
              <w:rPr>
                <w:rFonts w:ascii="Arial" w:hAnsi="Arial" w:cs="Arial"/>
                <w:sz w:val="20"/>
                <w:lang w:val="es-ES" w:eastAsia="es-419"/>
              </w:rPr>
              <w:t>30,0</w:t>
            </w:r>
            <w:r w:rsidR="00B90C98">
              <w:rPr>
                <w:rFonts w:ascii="Arial" w:hAnsi="Arial" w:cs="Arial"/>
                <w:sz w:val="20"/>
                <w:lang w:val="es-ES" w:eastAsia="es-419"/>
              </w:rPr>
              <w:t>1</w:t>
            </w:r>
          </w:p>
        </w:tc>
        <w:tc>
          <w:tcPr>
            <w:tcW w:w="900" w:type="dxa"/>
            <w:tcBorders>
              <w:top w:val="nil"/>
              <w:left w:val="nil"/>
              <w:bottom w:val="single" w:sz="4" w:space="0" w:color="auto"/>
              <w:right w:val="single" w:sz="4" w:space="0" w:color="auto"/>
            </w:tcBorders>
            <w:shd w:val="clear" w:color="auto" w:fill="auto"/>
            <w:vAlign w:val="center"/>
          </w:tcPr>
          <w:p w14:paraId="699F54FF" w14:textId="74964297" w:rsidR="00EC6C0F" w:rsidRPr="007244A6" w:rsidRDefault="001E148B" w:rsidP="00EC6C0F">
            <w:pPr>
              <w:jc w:val="right"/>
              <w:rPr>
                <w:rFonts w:ascii="Arial" w:hAnsi="Arial" w:cs="Arial"/>
                <w:sz w:val="20"/>
                <w:lang w:val="es-ES" w:eastAsia="es-419"/>
              </w:rPr>
            </w:pPr>
            <w:r>
              <w:rPr>
                <w:rFonts w:ascii="Arial" w:hAnsi="Arial" w:cs="Arial"/>
                <w:sz w:val="20"/>
                <w:lang w:val="es-ES" w:eastAsia="es-419"/>
              </w:rPr>
              <w:t>-4</w:t>
            </w:r>
            <w:r w:rsidR="00EC6C0F" w:rsidRPr="00B54712">
              <w:rPr>
                <w:rFonts w:ascii="Arial" w:hAnsi="Arial" w:cs="Arial"/>
                <w:sz w:val="20"/>
                <w:lang w:val="es-ES" w:eastAsia="es-419"/>
              </w:rPr>
              <w:t>,</w:t>
            </w:r>
            <w:r>
              <w:rPr>
                <w:rFonts w:ascii="Arial" w:hAnsi="Arial" w:cs="Arial"/>
                <w:sz w:val="20"/>
                <w:lang w:val="es-ES" w:eastAsia="es-419"/>
              </w:rPr>
              <w:t>3</w:t>
            </w:r>
            <w:r w:rsidR="00EC6C0F">
              <w:rPr>
                <w:rFonts w:ascii="Arial" w:hAnsi="Arial" w:cs="Arial"/>
                <w:sz w:val="20"/>
                <w:lang w:val="es-ES" w:eastAsia="es-419"/>
              </w:rPr>
              <w:t>0</w:t>
            </w:r>
          </w:p>
        </w:tc>
      </w:tr>
      <w:tr w:rsidR="00F567D4" w:rsidRPr="007244A6" w14:paraId="63CDFA21" w14:textId="77777777" w:rsidTr="00F567D4">
        <w:trPr>
          <w:trHeight w:val="420"/>
          <w:jc w:val="center"/>
        </w:trPr>
        <w:tc>
          <w:tcPr>
            <w:tcW w:w="2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5886B" w14:textId="0A6B268A" w:rsidR="00EC6C0F" w:rsidRPr="007244A6" w:rsidRDefault="00EC6C0F" w:rsidP="00EC6C0F">
            <w:pPr>
              <w:rPr>
                <w:rFonts w:ascii="Arial" w:hAnsi="Arial" w:cs="Arial"/>
                <w:b/>
                <w:bCs/>
                <w:sz w:val="20"/>
                <w:lang w:val="es-ES" w:eastAsia="es-419"/>
              </w:rPr>
            </w:pPr>
            <w:r w:rsidRPr="007244A6">
              <w:rPr>
                <w:rFonts w:ascii="Arial" w:hAnsi="Arial" w:cs="Arial"/>
                <w:b/>
                <w:bCs/>
                <w:sz w:val="20"/>
                <w:lang w:val="es-ES" w:eastAsia="es-419"/>
              </w:rPr>
              <w:t>IV. Costes financieros</w:t>
            </w:r>
          </w:p>
        </w:tc>
        <w:tc>
          <w:tcPr>
            <w:tcW w:w="759" w:type="dxa"/>
            <w:tcBorders>
              <w:top w:val="single" w:sz="4" w:space="0" w:color="auto"/>
              <w:left w:val="nil"/>
              <w:bottom w:val="single" w:sz="4" w:space="0" w:color="auto"/>
              <w:right w:val="single" w:sz="4" w:space="0" w:color="auto"/>
            </w:tcBorders>
            <w:vAlign w:val="center"/>
          </w:tcPr>
          <w:p w14:paraId="2A81D8FC" w14:textId="4EE076DB"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0,</w:t>
            </w:r>
            <w:r>
              <w:rPr>
                <w:rFonts w:ascii="Arial" w:hAnsi="Arial" w:cs="Arial"/>
                <w:b/>
                <w:bCs/>
                <w:sz w:val="20"/>
                <w:lang w:val="es-ES" w:eastAsia="es-419"/>
              </w:rPr>
              <w:t>0</w:t>
            </w:r>
            <w:r w:rsidRPr="00026BE7">
              <w:rPr>
                <w:rFonts w:ascii="Arial" w:hAnsi="Arial" w:cs="Arial"/>
                <w:b/>
                <w:bCs/>
                <w:sz w:val="20"/>
                <w:lang w:val="es-ES" w:eastAsia="es-419"/>
              </w:rPr>
              <w:t>0</w:t>
            </w:r>
          </w:p>
        </w:tc>
        <w:tc>
          <w:tcPr>
            <w:tcW w:w="720" w:type="dxa"/>
            <w:tcBorders>
              <w:top w:val="single" w:sz="4" w:space="0" w:color="auto"/>
              <w:left w:val="nil"/>
              <w:bottom w:val="single" w:sz="4" w:space="0" w:color="auto"/>
              <w:right w:val="single" w:sz="4" w:space="0" w:color="auto"/>
            </w:tcBorders>
            <w:vAlign w:val="center"/>
          </w:tcPr>
          <w:p w14:paraId="37845C64" w14:textId="143C91F1"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5,0</w:t>
            </w:r>
            <w:r>
              <w:rPr>
                <w:rFonts w:ascii="Arial" w:hAnsi="Arial" w:cs="Arial"/>
                <w:b/>
                <w:bCs/>
                <w:sz w:val="20"/>
                <w:lang w:val="es-ES" w:eastAsia="es-419"/>
              </w:rPr>
              <w:t>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FE9C1" w14:textId="72B790FB"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0,</w:t>
            </w:r>
            <w:r>
              <w:rPr>
                <w:rFonts w:ascii="Arial" w:hAnsi="Arial" w:cs="Arial"/>
                <w:b/>
                <w:bCs/>
                <w:sz w:val="20"/>
                <w:lang w:val="es-ES" w:eastAsia="es-419"/>
              </w:rPr>
              <w:t>0</w:t>
            </w:r>
            <w:r w:rsidRPr="00026BE7">
              <w:rPr>
                <w:rFonts w:ascii="Arial" w:hAnsi="Arial" w:cs="Arial"/>
                <w:b/>
                <w:bCs/>
                <w:sz w:val="20"/>
                <w:lang w:val="es-ES" w:eastAsia="es-419"/>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63F1EBA" w14:textId="0741E380" w:rsidR="00EC6C0F" w:rsidRPr="007244A6" w:rsidRDefault="00EC6C0F" w:rsidP="00EC6C0F">
            <w:pPr>
              <w:jc w:val="right"/>
              <w:rPr>
                <w:rFonts w:ascii="Arial" w:hAnsi="Arial" w:cs="Arial"/>
                <w:b/>
                <w:bCs/>
                <w:sz w:val="20"/>
                <w:lang w:val="es-ES" w:eastAsia="es-419"/>
              </w:rPr>
            </w:pPr>
            <w:r>
              <w:rPr>
                <w:rFonts w:ascii="Arial" w:hAnsi="Arial" w:cs="Arial"/>
                <w:b/>
                <w:bCs/>
                <w:sz w:val="20"/>
                <w:lang w:val="es-ES" w:eastAsia="es-419"/>
              </w:rPr>
              <w:t>-5,80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20934DB8" w14:textId="05C151C9" w:rsidR="00EC6C0F" w:rsidRPr="007244A6" w:rsidRDefault="00EC6C0F" w:rsidP="00EC6C0F">
            <w:pPr>
              <w:jc w:val="right"/>
              <w:rPr>
                <w:rFonts w:ascii="Arial" w:hAnsi="Arial" w:cs="Arial"/>
                <w:b/>
                <w:bCs/>
                <w:sz w:val="20"/>
                <w:lang w:val="es-ES" w:eastAsia="es-419"/>
              </w:rPr>
            </w:pPr>
            <w:r w:rsidRPr="00B54712">
              <w:rPr>
                <w:rFonts w:ascii="Arial" w:hAnsi="Arial" w:cs="Arial"/>
                <w:b/>
                <w:bCs/>
                <w:sz w:val="20"/>
                <w:lang w:val="es-ES" w:eastAsia="es-419"/>
              </w:rPr>
              <w:t>0</w:t>
            </w:r>
            <w:r>
              <w:rPr>
                <w:rFonts w:ascii="Arial" w:hAnsi="Arial" w:cs="Arial"/>
                <w:b/>
                <w:bCs/>
                <w:sz w:val="20"/>
                <w:lang w:val="es-ES" w:eastAsia="es-419"/>
              </w:rPr>
              <w:t>,00</w:t>
            </w:r>
          </w:p>
        </w:tc>
        <w:tc>
          <w:tcPr>
            <w:tcW w:w="720" w:type="dxa"/>
            <w:tcBorders>
              <w:top w:val="single" w:sz="4" w:space="0" w:color="auto"/>
              <w:left w:val="nil"/>
              <w:bottom w:val="single" w:sz="4" w:space="0" w:color="auto"/>
              <w:right w:val="single" w:sz="4" w:space="0" w:color="auto"/>
            </w:tcBorders>
            <w:shd w:val="clear" w:color="auto" w:fill="auto"/>
            <w:vAlign w:val="center"/>
          </w:tcPr>
          <w:p w14:paraId="2E8AA5B4" w14:textId="646B4CE8"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2</w:t>
            </w:r>
            <w:r w:rsidR="00EC6C0F">
              <w:rPr>
                <w:rFonts w:ascii="Arial" w:hAnsi="Arial" w:cs="Arial"/>
                <w:b/>
                <w:bCs/>
                <w:sz w:val="20"/>
                <w:lang w:val="es-ES" w:eastAsia="es-419"/>
              </w:rPr>
              <w:t>,</w:t>
            </w:r>
            <w:r>
              <w:rPr>
                <w:rFonts w:ascii="Arial" w:hAnsi="Arial" w:cs="Arial"/>
                <w:b/>
                <w:bCs/>
                <w:sz w:val="20"/>
                <w:lang w:val="es-ES" w:eastAsia="es-419"/>
              </w:rPr>
              <w:t>0</w:t>
            </w:r>
            <w:r w:rsidR="00EC6C0F">
              <w:rPr>
                <w:rFonts w:ascii="Arial" w:hAnsi="Arial" w:cs="Arial"/>
                <w:b/>
                <w:bCs/>
                <w:sz w:val="20"/>
                <w:lang w:val="es-ES" w:eastAsia="es-419"/>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507D4DD" w14:textId="037245AA"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0,0</w:t>
            </w:r>
            <w:r>
              <w:rPr>
                <w:rFonts w:ascii="Arial" w:hAnsi="Arial" w:cs="Arial"/>
                <w:b/>
                <w:bCs/>
                <w:sz w:val="20"/>
                <w:lang w:val="es-ES" w:eastAsia="es-419"/>
              </w:rPr>
              <w:t>0</w:t>
            </w:r>
          </w:p>
        </w:tc>
        <w:tc>
          <w:tcPr>
            <w:tcW w:w="900" w:type="dxa"/>
            <w:tcBorders>
              <w:top w:val="single" w:sz="4" w:space="0" w:color="auto"/>
              <w:left w:val="nil"/>
              <w:bottom w:val="single" w:sz="4" w:space="0" w:color="auto"/>
              <w:right w:val="single" w:sz="4" w:space="0" w:color="auto"/>
            </w:tcBorders>
            <w:shd w:val="clear" w:color="auto" w:fill="auto"/>
            <w:vAlign w:val="center"/>
          </w:tcPr>
          <w:p w14:paraId="1803C5F5" w14:textId="51E73504" w:rsidR="00EC6C0F" w:rsidRPr="007244A6" w:rsidRDefault="00AE022F" w:rsidP="00EC6C0F">
            <w:pPr>
              <w:jc w:val="right"/>
              <w:rPr>
                <w:rFonts w:ascii="Arial" w:hAnsi="Arial" w:cs="Arial"/>
                <w:b/>
                <w:bCs/>
                <w:sz w:val="20"/>
                <w:lang w:val="es-ES" w:eastAsia="es-419"/>
              </w:rPr>
            </w:pPr>
            <w:r>
              <w:rPr>
                <w:rFonts w:ascii="Arial" w:hAnsi="Arial" w:cs="Arial"/>
                <w:b/>
                <w:bCs/>
                <w:sz w:val="20"/>
                <w:lang w:val="es-ES" w:eastAsia="es-419"/>
              </w:rPr>
              <w:t>7</w:t>
            </w:r>
            <w:r w:rsidR="00EC6C0F" w:rsidRPr="00026BE7">
              <w:rPr>
                <w:rFonts w:ascii="Arial" w:hAnsi="Arial" w:cs="Arial"/>
                <w:b/>
                <w:bCs/>
                <w:sz w:val="20"/>
                <w:lang w:val="es-ES" w:eastAsia="es-419"/>
              </w:rPr>
              <w:t>,</w:t>
            </w:r>
            <w:r>
              <w:rPr>
                <w:rFonts w:ascii="Arial" w:hAnsi="Arial" w:cs="Arial"/>
                <w:b/>
                <w:bCs/>
                <w:sz w:val="20"/>
                <w:lang w:val="es-ES" w:eastAsia="es-419"/>
              </w:rPr>
              <w:t>8</w:t>
            </w:r>
            <w:r w:rsidR="00EC6C0F">
              <w:rPr>
                <w:rFonts w:ascii="Arial" w:hAnsi="Arial" w:cs="Arial"/>
                <w:b/>
                <w:bCs/>
                <w:sz w:val="20"/>
                <w:lang w:val="es-ES" w:eastAsia="es-419"/>
              </w:rPr>
              <w:t>0</w:t>
            </w:r>
          </w:p>
        </w:tc>
      </w:tr>
      <w:tr w:rsidR="00F567D4" w:rsidRPr="007244A6" w14:paraId="076BCF74" w14:textId="77777777" w:rsidTr="00F567D4">
        <w:trPr>
          <w:trHeight w:val="467"/>
          <w:jc w:val="center"/>
        </w:trPr>
        <w:tc>
          <w:tcPr>
            <w:tcW w:w="2656" w:type="dxa"/>
            <w:tcBorders>
              <w:top w:val="nil"/>
              <w:left w:val="single" w:sz="4" w:space="0" w:color="auto"/>
              <w:bottom w:val="single" w:sz="4" w:space="0" w:color="auto"/>
              <w:right w:val="single" w:sz="4" w:space="0" w:color="auto"/>
            </w:tcBorders>
            <w:shd w:val="clear" w:color="000000" w:fill="D9D9D9"/>
            <w:noWrap/>
            <w:vAlign w:val="center"/>
            <w:hideMark/>
          </w:tcPr>
          <w:p w14:paraId="7001B1AE" w14:textId="57F2A5F3" w:rsidR="00EC6C0F" w:rsidRPr="007244A6" w:rsidRDefault="00EC6C0F" w:rsidP="00EC6C0F">
            <w:pPr>
              <w:rPr>
                <w:rFonts w:ascii="Arial" w:hAnsi="Arial" w:cs="Arial"/>
                <w:b/>
                <w:bCs/>
                <w:sz w:val="20"/>
                <w:lang w:val="es-ES" w:eastAsia="es-419"/>
              </w:rPr>
            </w:pPr>
            <w:proofErr w:type="gramStart"/>
            <w:r w:rsidRPr="007244A6">
              <w:rPr>
                <w:rFonts w:ascii="Arial" w:hAnsi="Arial" w:cs="Arial"/>
                <w:b/>
                <w:bCs/>
                <w:sz w:val="20"/>
                <w:lang w:val="es-ES" w:eastAsia="es-419"/>
              </w:rPr>
              <w:t>Total</w:t>
            </w:r>
            <w:proofErr w:type="gramEnd"/>
            <w:r w:rsidRPr="007244A6">
              <w:rPr>
                <w:rFonts w:ascii="Arial" w:hAnsi="Arial" w:cs="Arial"/>
                <w:b/>
                <w:bCs/>
                <w:sz w:val="20"/>
                <w:lang w:val="es-ES" w:eastAsia="es-419"/>
              </w:rPr>
              <w:t xml:space="preserve"> del proyecto en ejecución</w:t>
            </w:r>
          </w:p>
        </w:tc>
        <w:tc>
          <w:tcPr>
            <w:tcW w:w="759" w:type="dxa"/>
            <w:tcBorders>
              <w:top w:val="single" w:sz="4" w:space="0" w:color="auto"/>
              <w:left w:val="nil"/>
              <w:bottom w:val="single" w:sz="4" w:space="0" w:color="auto"/>
              <w:right w:val="single" w:sz="4" w:space="0" w:color="auto"/>
            </w:tcBorders>
            <w:shd w:val="clear" w:color="000000" w:fill="D9D9D9"/>
            <w:vAlign w:val="center"/>
          </w:tcPr>
          <w:p w14:paraId="64DCC349" w14:textId="2DE9C561"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500,0</w:t>
            </w:r>
            <w:r w:rsidR="007D0790">
              <w:rPr>
                <w:rFonts w:ascii="Arial" w:hAnsi="Arial" w:cs="Arial"/>
                <w:b/>
                <w:bCs/>
                <w:sz w:val="20"/>
                <w:lang w:val="es-ES" w:eastAsia="es-419"/>
              </w:rPr>
              <w:t>0</w:t>
            </w:r>
          </w:p>
        </w:tc>
        <w:tc>
          <w:tcPr>
            <w:tcW w:w="720" w:type="dxa"/>
            <w:tcBorders>
              <w:top w:val="single" w:sz="4" w:space="0" w:color="auto"/>
              <w:left w:val="nil"/>
              <w:bottom w:val="single" w:sz="4" w:space="0" w:color="auto"/>
              <w:right w:val="single" w:sz="4" w:space="0" w:color="auto"/>
            </w:tcBorders>
            <w:shd w:val="clear" w:color="000000" w:fill="D9D9D9"/>
            <w:vAlign w:val="center"/>
          </w:tcPr>
          <w:p w14:paraId="05E3BECB" w14:textId="7C45D56E"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55,0</w:t>
            </w:r>
            <w:r w:rsidR="007D0790">
              <w:rPr>
                <w:rFonts w:ascii="Arial" w:hAnsi="Arial" w:cs="Arial"/>
                <w:b/>
                <w:bCs/>
                <w:sz w:val="20"/>
                <w:lang w:val="es-ES" w:eastAsia="es-419"/>
              </w:rPr>
              <w:t>0</w:t>
            </w:r>
          </w:p>
        </w:tc>
        <w:tc>
          <w:tcPr>
            <w:tcW w:w="810" w:type="dxa"/>
            <w:tcBorders>
              <w:top w:val="nil"/>
              <w:left w:val="single" w:sz="4" w:space="0" w:color="auto"/>
              <w:bottom w:val="single" w:sz="4" w:space="0" w:color="auto"/>
              <w:right w:val="single" w:sz="4" w:space="0" w:color="auto"/>
            </w:tcBorders>
            <w:shd w:val="clear" w:color="000000" w:fill="D9D9D9"/>
            <w:noWrap/>
            <w:vAlign w:val="center"/>
          </w:tcPr>
          <w:p w14:paraId="0A17AE1D" w14:textId="1E19C9D6"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273,5</w:t>
            </w:r>
            <w:r w:rsidR="00B90C98">
              <w:rPr>
                <w:rFonts w:ascii="Arial" w:hAnsi="Arial" w:cs="Arial"/>
                <w:b/>
                <w:bCs/>
                <w:sz w:val="20"/>
                <w:lang w:val="es-ES" w:eastAsia="es-419"/>
              </w:rPr>
              <w:t>1</w:t>
            </w:r>
          </w:p>
        </w:tc>
        <w:tc>
          <w:tcPr>
            <w:tcW w:w="720" w:type="dxa"/>
            <w:tcBorders>
              <w:top w:val="nil"/>
              <w:left w:val="single" w:sz="4" w:space="0" w:color="auto"/>
              <w:bottom w:val="single" w:sz="4" w:space="0" w:color="auto"/>
              <w:right w:val="single" w:sz="4" w:space="0" w:color="auto"/>
            </w:tcBorders>
            <w:shd w:val="clear" w:color="000000" w:fill="D9D9D9"/>
            <w:vAlign w:val="center"/>
          </w:tcPr>
          <w:p w14:paraId="0C0A5D6B" w14:textId="5E60C75E"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2</w:t>
            </w:r>
            <w:r w:rsidR="00B90C98">
              <w:rPr>
                <w:rFonts w:ascii="Arial" w:hAnsi="Arial" w:cs="Arial"/>
                <w:b/>
                <w:bCs/>
                <w:sz w:val="20"/>
                <w:lang w:val="es-ES" w:eastAsia="es-419"/>
              </w:rPr>
              <w:t>9</w:t>
            </w:r>
            <w:r w:rsidRPr="00026BE7">
              <w:rPr>
                <w:rFonts w:ascii="Arial" w:hAnsi="Arial" w:cs="Arial"/>
                <w:b/>
                <w:bCs/>
                <w:sz w:val="20"/>
                <w:lang w:val="es-ES" w:eastAsia="es-419"/>
              </w:rPr>
              <w:t>,</w:t>
            </w:r>
            <w:r w:rsidR="00B90C98">
              <w:rPr>
                <w:rFonts w:ascii="Arial" w:hAnsi="Arial" w:cs="Arial"/>
                <w:b/>
                <w:bCs/>
                <w:sz w:val="20"/>
                <w:lang w:val="es-ES" w:eastAsia="es-419"/>
              </w:rPr>
              <w:t>97</w:t>
            </w:r>
          </w:p>
        </w:tc>
        <w:tc>
          <w:tcPr>
            <w:tcW w:w="810" w:type="dxa"/>
            <w:tcBorders>
              <w:top w:val="nil"/>
              <w:left w:val="nil"/>
              <w:bottom w:val="single" w:sz="4" w:space="0" w:color="auto"/>
              <w:right w:val="single" w:sz="4" w:space="0" w:color="auto"/>
            </w:tcBorders>
            <w:shd w:val="clear" w:color="000000" w:fill="D9D9D9"/>
            <w:noWrap/>
            <w:vAlign w:val="center"/>
          </w:tcPr>
          <w:p w14:paraId="38D1C4F8" w14:textId="41CD5CEE" w:rsidR="00EC6C0F" w:rsidRPr="007244A6" w:rsidRDefault="00EC6C0F" w:rsidP="00EC6C0F">
            <w:pPr>
              <w:jc w:val="right"/>
              <w:rPr>
                <w:rFonts w:ascii="Arial" w:hAnsi="Arial" w:cs="Arial"/>
                <w:b/>
                <w:bCs/>
                <w:sz w:val="20"/>
                <w:lang w:val="es-ES" w:eastAsia="es-419"/>
              </w:rPr>
            </w:pPr>
            <w:r w:rsidRPr="00B54712">
              <w:rPr>
                <w:rFonts w:ascii="Arial" w:hAnsi="Arial" w:cs="Arial"/>
                <w:b/>
                <w:bCs/>
                <w:sz w:val="20"/>
                <w:lang w:val="es-ES" w:eastAsia="es-419"/>
              </w:rPr>
              <w:t>137</w:t>
            </w:r>
            <w:r>
              <w:rPr>
                <w:rFonts w:ascii="Arial" w:hAnsi="Arial" w:cs="Arial"/>
                <w:b/>
                <w:bCs/>
                <w:sz w:val="20"/>
                <w:lang w:val="es-ES" w:eastAsia="es-419"/>
              </w:rPr>
              <w:t>,</w:t>
            </w:r>
            <w:r w:rsidRPr="00B54712">
              <w:rPr>
                <w:rFonts w:ascii="Arial" w:hAnsi="Arial" w:cs="Arial"/>
                <w:b/>
                <w:bCs/>
                <w:sz w:val="20"/>
                <w:lang w:val="es-ES" w:eastAsia="es-419"/>
              </w:rPr>
              <w:t>5</w:t>
            </w:r>
            <w:r w:rsidR="00B90C98">
              <w:rPr>
                <w:rFonts w:ascii="Arial" w:hAnsi="Arial" w:cs="Arial"/>
                <w:b/>
                <w:bCs/>
                <w:sz w:val="20"/>
                <w:lang w:val="es-ES" w:eastAsia="es-419"/>
              </w:rPr>
              <w:t>1</w:t>
            </w:r>
          </w:p>
        </w:tc>
        <w:tc>
          <w:tcPr>
            <w:tcW w:w="720" w:type="dxa"/>
            <w:tcBorders>
              <w:top w:val="nil"/>
              <w:left w:val="nil"/>
              <w:bottom w:val="single" w:sz="4" w:space="0" w:color="auto"/>
              <w:right w:val="single" w:sz="4" w:space="0" w:color="auto"/>
            </w:tcBorders>
            <w:shd w:val="clear" w:color="000000" w:fill="D9D9D9"/>
            <w:vAlign w:val="center"/>
          </w:tcPr>
          <w:p w14:paraId="04AE996E" w14:textId="5187DA33" w:rsidR="00EC6C0F" w:rsidRPr="007244A6" w:rsidRDefault="00507227" w:rsidP="00EC6C0F">
            <w:pPr>
              <w:jc w:val="right"/>
              <w:rPr>
                <w:rFonts w:ascii="Arial" w:hAnsi="Arial" w:cs="Arial"/>
                <w:b/>
                <w:bCs/>
                <w:sz w:val="20"/>
                <w:lang w:val="es-ES" w:eastAsia="es-419"/>
              </w:rPr>
            </w:pPr>
            <w:r>
              <w:rPr>
                <w:rFonts w:ascii="Arial" w:hAnsi="Arial" w:cs="Arial"/>
                <w:b/>
                <w:bCs/>
                <w:sz w:val="20"/>
                <w:lang w:val="es-ES" w:eastAsia="es-419"/>
              </w:rPr>
              <w:t>29,97</w:t>
            </w:r>
          </w:p>
        </w:tc>
        <w:tc>
          <w:tcPr>
            <w:tcW w:w="900" w:type="dxa"/>
            <w:tcBorders>
              <w:top w:val="nil"/>
              <w:left w:val="nil"/>
              <w:bottom w:val="single" w:sz="4" w:space="0" w:color="auto"/>
              <w:right w:val="single" w:sz="4" w:space="0" w:color="auto"/>
            </w:tcBorders>
            <w:shd w:val="clear" w:color="000000" w:fill="D9D9D9"/>
            <w:noWrap/>
            <w:vAlign w:val="center"/>
          </w:tcPr>
          <w:p w14:paraId="69D92FF3" w14:textId="7E72F2FE"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-136,0</w:t>
            </w:r>
            <w:r>
              <w:rPr>
                <w:rFonts w:ascii="Arial" w:hAnsi="Arial" w:cs="Arial"/>
                <w:b/>
                <w:bCs/>
                <w:sz w:val="20"/>
                <w:lang w:val="es-ES" w:eastAsia="es-419"/>
              </w:rPr>
              <w:t>0</w:t>
            </w:r>
          </w:p>
        </w:tc>
        <w:tc>
          <w:tcPr>
            <w:tcW w:w="900" w:type="dxa"/>
            <w:tcBorders>
              <w:top w:val="nil"/>
              <w:left w:val="nil"/>
              <w:bottom w:val="single" w:sz="4" w:space="0" w:color="auto"/>
              <w:right w:val="single" w:sz="4" w:space="0" w:color="auto"/>
            </w:tcBorders>
            <w:shd w:val="clear" w:color="000000" w:fill="D9D9D9"/>
            <w:vAlign w:val="center"/>
          </w:tcPr>
          <w:p w14:paraId="3940D658" w14:textId="1AE106FE" w:rsidR="00EC6C0F" w:rsidRPr="007244A6" w:rsidRDefault="00EC6C0F" w:rsidP="00EC6C0F">
            <w:pPr>
              <w:jc w:val="right"/>
              <w:rPr>
                <w:rFonts w:ascii="Arial" w:hAnsi="Arial" w:cs="Arial"/>
                <w:b/>
                <w:bCs/>
                <w:sz w:val="20"/>
                <w:lang w:val="es-ES" w:eastAsia="es-419"/>
              </w:rPr>
            </w:pPr>
            <w:r w:rsidRPr="00026BE7">
              <w:rPr>
                <w:rFonts w:ascii="Arial" w:hAnsi="Arial" w:cs="Arial"/>
                <w:b/>
                <w:bCs/>
                <w:sz w:val="20"/>
                <w:lang w:val="es-ES" w:eastAsia="es-419"/>
              </w:rPr>
              <w:t>0,0</w:t>
            </w:r>
            <w:r w:rsidR="007D0790">
              <w:rPr>
                <w:rFonts w:ascii="Arial" w:hAnsi="Arial" w:cs="Arial"/>
                <w:b/>
                <w:bCs/>
                <w:sz w:val="20"/>
                <w:lang w:val="es-ES" w:eastAsia="es-419"/>
              </w:rPr>
              <w:t>0</w:t>
            </w:r>
          </w:p>
        </w:tc>
      </w:tr>
    </w:tbl>
    <w:p w14:paraId="28C5235C" w14:textId="1880F0F7" w:rsidR="001E1A0C" w:rsidRPr="007244A6" w:rsidRDefault="001E1A0C" w:rsidP="00716632">
      <w:pPr>
        <w:pStyle w:val="ListParagraph"/>
        <w:keepNext/>
        <w:tabs>
          <w:tab w:val="left" w:pos="720"/>
        </w:tabs>
        <w:spacing w:before="120" w:after="120" w:line="257" w:lineRule="auto"/>
        <w:ind w:left="792"/>
        <w:jc w:val="both"/>
        <w:rPr>
          <w:rFonts w:ascii="Arial" w:hAnsi="Arial" w:cs="Arial"/>
          <w:sz w:val="22"/>
          <w:szCs w:val="22"/>
          <w:lang w:val="es-ES"/>
        </w:rPr>
      </w:pPr>
    </w:p>
    <w:p w14:paraId="276CDCD5" w14:textId="01855AB5" w:rsidR="00026BE7" w:rsidRPr="009852F6" w:rsidRDefault="00A21DCC" w:rsidP="006F453D">
      <w:pPr>
        <w:pStyle w:val="Paragraph"/>
        <w:keepNext/>
        <w:keepLines/>
        <w:numPr>
          <w:ilvl w:val="1"/>
          <w:numId w:val="3"/>
        </w:numPr>
        <w:spacing w:after="160" w:line="252" w:lineRule="auto"/>
        <w:ind w:left="720" w:hanging="630"/>
        <w:rPr>
          <w:rFonts w:ascii="Arial" w:hAnsi="Arial" w:cs="Arial"/>
          <w:sz w:val="22"/>
          <w:szCs w:val="22"/>
        </w:rPr>
      </w:pPr>
      <w:r w:rsidRPr="001A7801">
        <w:rPr>
          <w:rFonts w:ascii="Arial" w:hAnsi="Arial" w:cs="Arial"/>
          <w:b/>
          <w:bCs/>
          <w:iCs/>
          <w:sz w:val="22"/>
          <w:szCs w:val="22"/>
        </w:rPr>
        <w:t xml:space="preserve">Cambios propuestos </w:t>
      </w:r>
      <w:r w:rsidR="006F29CB" w:rsidRPr="001A7801">
        <w:rPr>
          <w:rFonts w:ascii="Arial" w:hAnsi="Arial" w:cs="Arial"/>
          <w:b/>
          <w:bCs/>
          <w:iCs/>
          <w:sz w:val="22"/>
          <w:szCs w:val="22"/>
        </w:rPr>
        <w:t>a la matriz de resultados</w:t>
      </w:r>
      <w:r w:rsidR="00153A63" w:rsidRPr="001A7801">
        <w:rPr>
          <w:rFonts w:ascii="Arial" w:hAnsi="Arial" w:cs="Arial"/>
          <w:b/>
          <w:bCs/>
          <w:iCs/>
          <w:sz w:val="22"/>
          <w:szCs w:val="22"/>
        </w:rPr>
        <w:t xml:space="preserve"> para el proyecto en ejecución.</w:t>
      </w:r>
      <w:r w:rsidR="00CF6C80" w:rsidRPr="001A7801">
        <w:rPr>
          <w:rFonts w:ascii="Arial" w:hAnsi="Arial" w:cs="Arial"/>
          <w:iCs/>
          <w:sz w:val="22"/>
          <w:szCs w:val="22"/>
        </w:rPr>
        <w:t xml:space="preserve"> </w:t>
      </w:r>
      <w:bookmarkEnd w:id="1"/>
      <w:r w:rsidRPr="001A7801">
        <w:rPr>
          <w:rFonts w:ascii="Arial" w:hAnsi="Arial" w:cs="Arial"/>
          <w:iCs/>
          <w:sz w:val="22"/>
          <w:szCs w:val="22"/>
        </w:rPr>
        <w:t xml:space="preserve">La </w:t>
      </w:r>
      <w:r w:rsidR="007E6C15" w:rsidRPr="001A7801">
        <w:rPr>
          <w:rFonts w:ascii="Arial" w:hAnsi="Arial" w:cs="Arial"/>
          <w:iCs/>
          <w:sz w:val="22"/>
          <w:szCs w:val="22"/>
        </w:rPr>
        <w:t xml:space="preserve">matriz de resultado propuesta </w:t>
      </w:r>
      <w:r w:rsidR="00CD3B1C" w:rsidRPr="001A7801">
        <w:rPr>
          <w:rFonts w:ascii="Arial" w:hAnsi="Arial" w:cs="Arial"/>
          <w:iCs/>
          <w:sz w:val="22"/>
          <w:szCs w:val="22"/>
        </w:rPr>
        <w:t xml:space="preserve">elimina </w:t>
      </w:r>
      <w:r w:rsidR="007E6C15" w:rsidRPr="001A7801">
        <w:rPr>
          <w:rFonts w:ascii="Arial" w:hAnsi="Arial" w:cs="Arial"/>
          <w:iCs/>
          <w:sz w:val="22"/>
          <w:szCs w:val="22"/>
        </w:rPr>
        <w:t>los</w:t>
      </w:r>
      <w:r w:rsidR="00CD3B1C" w:rsidRPr="001A7801">
        <w:rPr>
          <w:rFonts w:ascii="Arial" w:hAnsi="Arial" w:cs="Arial"/>
          <w:iCs/>
          <w:sz w:val="22"/>
          <w:szCs w:val="22"/>
        </w:rPr>
        <w:t xml:space="preserve"> </w:t>
      </w:r>
      <w:r w:rsidR="00E70B4A" w:rsidRPr="001A7801">
        <w:rPr>
          <w:rFonts w:ascii="Arial" w:hAnsi="Arial" w:cs="Arial"/>
          <w:iCs/>
          <w:sz w:val="22"/>
          <w:szCs w:val="22"/>
        </w:rPr>
        <w:t>i</w:t>
      </w:r>
      <w:r w:rsidR="00CD3B1C" w:rsidRPr="001A7801">
        <w:rPr>
          <w:rFonts w:ascii="Arial" w:hAnsi="Arial" w:cs="Arial"/>
          <w:iCs/>
          <w:sz w:val="22"/>
          <w:szCs w:val="22"/>
        </w:rPr>
        <w:t xml:space="preserve">ndicadores </w:t>
      </w:r>
      <w:r w:rsidR="00412536" w:rsidRPr="001A7801">
        <w:rPr>
          <w:rFonts w:ascii="Arial" w:hAnsi="Arial" w:cs="Arial"/>
          <w:iCs/>
          <w:sz w:val="22"/>
          <w:szCs w:val="22"/>
        </w:rPr>
        <w:t xml:space="preserve">de </w:t>
      </w:r>
      <w:r w:rsidR="00E70B4A" w:rsidRPr="001A7801">
        <w:rPr>
          <w:rFonts w:ascii="Arial" w:hAnsi="Arial" w:cs="Arial"/>
          <w:iCs/>
          <w:sz w:val="22"/>
          <w:szCs w:val="22"/>
        </w:rPr>
        <w:t>r</w:t>
      </w:r>
      <w:r w:rsidR="00412536" w:rsidRPr="001A7801">
        <w:rPr>
          <w:rFonts w:ascii="Arial" w:hAnsi="Arial" w:cs="Arial"/>
          <w:iCs/>
          <w:sz w:val="22"/>
          <w:szCs w:val="22"/>
        </w:rPr>
        <w:t>esultado</w:t>
      </w:r>
      <w:r w:rsidR="00E70B4A" w:rsidRPr="001A7801">
        <w:rPr>
          <w:rFonts w:ascii="Arial" w:hAnsi="Arial" w:cs="Arial"/>
          <w:iCs/>
          <w:sz w:val="22"/>
          <w:szCs w:val="22"/>
        </w:rPr>
        <w:t xml:space="preserve"> medidos a nivel de la Región del Norte Grande Argentino</w:t>
      </w:r>
      <w:r w:rsidR="005D6FAD" w:rsidRPr="001A7801">
        <w:rPr>
          <w:rFonts w:ascii="Arial" w:hAnsi="Arial" w:cs="Arial"/>
          <w:iCs/>
          <w:sz w:val="22"/>
          <w:szCs w:val="22"/>
        </w:rPr>
        <w:t>,</w:t>
      </w:r>
      <w:r w:rsidR="007E6C15" w:rsidRPr="001A7801">
        <w:rPr>
          <w:rFonts w:ascii="Arial" w:hAnsi="Arial" w:cs="Arial"/>
          <w:iCs/>
          <w:sz w:val="22"/>
          <w:szCs w:val="22"/>
        </w:rPr>
        <w:t xml:space="preserve"> ya </w:t>
      </w:r>
      <w:r w:rsidR="005D6FAD" w:rsidRPr="001A7801">
        <w:rPr>
          <w:rFonts w:ascii="Arial" w:hAnsi="Arial" w:cs="Arial"/>
          <w:iCs/>
          <w:sz w:val="22"/>
          <w:szCs w:val="22"/>
        </w:rPr>
        <w:t xml:space="preserve">que </w:t>
      </w:r>
      <w:r w:rsidR="002C0E54" w:rsidRPr="001A7801">
        <w:rPr>
          <w:rFonts w:ascii="Arial" w:hAnsi="Arial" w:cs="Arial"/>
          <w:iCs/>
          <w:sz w:val="22"/>
          <w:szCs w:val="22"/>
        </w:rPr>
        <w:t xml:space="preserve">existían indicadores </w:t>
      </w:r>
      <w:r w:rsidR="00EC6C0F" w:rsidRPr="001A7801">
        <w:rPr>
          <w:rFonts w:ascii="Arial" w:hAnsi="Arial" w:cs="Arial"/>
          <w:iCs/>
          <w:sz w:val="22"/>
          <w:szCs w:val="22"/>
        </w:rPr>
        <w:t xml:space="preserve">más adecuados y comparable </w:t>
      </w:r>
      <w:r w:rsidR="002C0E54" w:rsidRPr="001A7801">
        <w:rPr>
          <w:rFonts w:ascii="Arial" w:hAnsi="Arial" w:cs="Arial"/>
          <w:iCs/>
          <w:sz w:val="22"/>
          <w:szCs w:val="22"/>
        </w:rPr>
        <w:t>asociados al área específica de intervención del programa</w:t>
      </w:r>
      <w:r w:rsidR="00F35DF0" w:rsidRPr="001A7801">
        <w:rPr>
          <w:rFonts w:ascii="Arial" w:hAnsi="Arial" w:cs="Arial"/>
          <w:iCs/>
          <w:sz w:val="22"/>
          <w:szCs w:val="22"/>
        </w:rPr>
        <w:t>.</w:t>
      </w:r>
      <w:r w:rsidR="005D6FAD" w:rsidRPr="001A7801">
        <w:rPr>
          <w:rFonts w:ascii="Arial" w:hAnsi="Arial" w:cs="Arial"/>
          <w:iCs/>
          <w:sz w:val="22"/>
          <w:szCs w:val="22"/>
        </w:rPr>
        <w:t xml:space="preserve"> </w:t>
      </w:r>
      <w:r w:rsidR="00EC6C0F" w:rsidRPr="001A7801">
        <w:rPr>
          <w:rFonts w:ascii="Arial" w:hAnsi="Arial" w:cs="Arial"/>
          <w:iCs/>
          <w:sz w:val="22"/>
          <w:szCs w:val="22"/>
        </w:rPr>
        <w:t xml:space="preserve">Adicionalmente, se ajustó la definición de algunos indicadores de resultado y producto inicialmente </w:t>
      </w:r>
      <w:r w:rsidR="005D6FAD" w:rsidRPr="001A7801">
        <w:rPr>
          <w:rFonts w:ascii="Arial" w:hAnsi="Arial" w:cs="Arial"/>
          <w:iCs/>
          <w:sz w:val="22"/>
          <w:szCs w:val="22"/>
        </w:rPr>
        <w:t xml:space="preserve">asociados a los proyectos </w:t>
      </w:r>
      <w:r w:rsidR="00EC6C0F" w:rsidRPr="001A7801">
        <w:rPr>
          <w:rFonts w:ascii="Arial" w:hAnsi="Arial" w:cs="Arial"/>
          <w:iCs/>
          <w:sz w:val="22"/>
          <w:szCs w:val="22"/>
        </w:rPr>
        <w:t>de la muestra (programa de obras múltiples) para reflejar los logros de todos los proyectos financiados por el programa. Asimismo, se incorporaron nuevos indicadores que permites una mejor medición de los objetivos del programa. Finalmente, s</w:t>
      </w:r>
      <w:r w:rsidR="002C0E54" w:rsidRPr="001A7801">
        <w:rPr>
          <w:rFonts w:ascii="Arial" w:hAnsi="Arial" w:cs="Arial"/>
          <w:iCs/>
          <w:sz w:val="22"/>
          <w:szCs w:val="22"/>
        </w:rPr>
        <w:t xml:space="preserve">e </w:t>
      </w:r>
      <w:r w:rsidR="00EC6C0F" w:rsidRPr="001A7801">
        <w:rPr>
          <w:rFonts w:ascii="Arial" w:hAnsi="Arial" w:cs="Arial"/>
          <w:iCs/>
          <w:sz w:val="22"/>
          <w:szCs w:val="22"/>
        </w:rPr>
        <w:t xml:space="preserve">revisaron </w:t>
      </w:r>
      <w:r w:rsidR="002C0E54" w:rsidRPr="001A7801">
        <w:rPr>
          <w:rFonts w:ascii="Arial" w:hAnsi="Arial" w:cs="Arial"/>
          <w:iCs/>
          <w:sz w:val="22"/>
          <w:szCs w:val="22"/>
        </w:rPr>
        <w:t xml:space="preserve">líneas de base y metas, que reflejan la disminución de los recursos financieros disponibles </w:t>
      </w:r>
      <w:r w:rsidR="00EC6C0F" w:rsidRPr="001A7801">
        <w:rPr>
          <w:rFonts w:ascii="Arial" w:hAnsi="Arial" w:cs="Arial"/>
          <w:iCs/>
          <w:sz w:val="22"/>
          <w:szCs w:val="22"/>
        </w:rPr>
        <w:t>y la disponibilidad de información</w:t>
      </w:r>
      <w:r w:rsidR="002C0E54" w:rsidRPr="001A7801">
        <w:rPr>
          <w:rFonts w:ascii="Arial" w:hAnsi="Arial" w:cs="Arial"/>
          <w:iCs/>
          <w:sz w:val="22"/>
          <w:szCs w:val="22"/>
        </w:rPr>
        <w:t xml:space="preserve">. </w:t>
      </w:r>
    </w:p>
    <w:p w14:paraId="3C7F368F" w14:textId="77777777" w:rsidR="009852F6" w:rsidRPr="001A7801" w:rsidRDefault="009852F6" w:rsidP="009852F6">
      <w:pPr>
        <w:pStyle w:val="Paragraph"/>
        <w:keepNext/>
        <w:keepLines/>
        <w:numPr>
          <w:ilvl w:val="0"/>
          <w:numId w:val="0"/>
        </w:numPr>
        <w:spacing w:after="160" w:line="252" w:lineRule="auto"/>
        <w:ind w:left="90"/>
        <w:rPr>
          <w:rFonts w:ascii="Arial" w:hAnsi="Arial" w:cs="Arial"/>
          <w:sz w:val="22"/>
          <w:szCs w:val="22"/>
        </w:rPr>
      </w:pPr>
    </w:p>
    <w:p w14:paraId="65A0F59A" w14:textId="1A093655" w:rsidR="00CE4B69" w:rsidRPr="007244A6" w:rsidRDefault="00CE4B69" w:rsidP="007D0790">
      <w:pPr>
        <w:pStyle w:val="ListParagraph"/>
        <w:numPr>
          <w:ilvl w:val="0"/>
          <w:numId w:val="3"/>
        </w:numPr>
        <w:spacing w:after="160" w:line="252" w:lineRule="auto"/>
        <w:rPr>
          <w:rFonts w:ascii="Arial" w:hAnsi="Arial" w:cs="Arial"/>
          <w:b/>
          <w:sz w:val="22"/>
          <w:szCs w:val="22"/>
          <w:lang w:val="es-ES"/>
        </w:rPr>
      </w:pPr>
      <w:r w:rsidRPr="007244A6">
        <w:rPr>
          <w:rFonts w:ascii="Arial" w:hAnsi="Arial" w:cs="Arial"/>
          <w:b/>
          <w:sz w:val="22"/>
          <w:szCs w:val="22"/>
          <w:lang w:val="es-ES"/>
        </w:rPr>
        <w:t>Riesgos ambientales y sociales</w:t>
      </w:r>
      <w:r w:rsidR="00153A63" w:rsidRPr="007244A6">
        <w:rPr>
          <w:rFonts w:ascii="Arial" w:hAnsi="Arial" w:cs="Arial"/>
          <w:b/>
          <w:sz w:val="22"/>
          <w:szCs w:val="22"/>
          <w:lang w:val="es-ES"/>
        </w:rPr>
        <w:t xml:space="preserve"> para el proyecto en ejecución</w:t>
      </w:r>
    </w:p>
    <w:p w14:paraId="589071DB" w14:textId="7CF10640" w:rsidR="00EA181A" w:rsidRDefault="006E7E58" w:rsidP="0016717D">
      <w:pPr>
        <w:pStyle w:val="Paragraph"/>
        <w:numPr>
          <w:ilvl w:val="1"/>
          <w:numId w:val="3"/>
        </w:numPr>
        <w:ind w:left="720" w:hanging="720"/>
        <w:rPr>
          <w:rFonts w:ascii="Arial" w:hAnsi="Arial" w:cs="Arial"/>
          <w:bCs/>
          <w:sz w:val="22"/>
          <w:szCs w:val="22"/>
        </w:rPr>
      </w:pPr>
      <w:r w:rsidRPr="007244A6">
        <w:rPr>
          <w:rFonts w:ascii="Arial" w:hAnsi="Arial" w:cs="Arial"/>
          <w:bCs/>
          <w:sz w:val="22"/>
          <w:szCs w:val="22"/>
        </w:rPr>
        <w:t>La reor</w:t>
      </w:r>
      <w:r w:rsidR="00B37E1E" w:rsidRPr="007244A6">
        <w:rPr>
          <w:rFonts w:ascii="Arial" w:hAnsi="Arial" w:cs="Arial"/>
          <w:bCs/>
          <w:sz w:val="22"/>
          <w:szCs w:val="22"/>
        </w:rPr>
        <w:t>ienta</w:t>
      </w:r>
      <w:r w:rsidRPr="007244A6">
        <w:rPr>
          <w:rFonts w:ascii="Arial" w:hAnsi="Arial" w:cs="Arial"/>
          <w:bCs/>
          <w:sz w:val="22"/>
          <w:szCs w:val="22"/>
        </w:rPr>
        <w:t xml:space="preserve">ción </w:t>
      </w:r>
      <w:r w:rsidR="00B37E1E" w:rsidRPr="007244A6">
        <w:rPr>
          <w:rFonts w:ascii="Arial" w:hAnsi="Arial" w:cs="Arial"/>
          <w:bCs/>
          <w:sz w:val="22"/>
          <w:szCs w:val="22"/>
        </w:rPr>
        <w:t xml:space="preserve">de recursos </w:t>
      </w:r>
      <w:r w:rsidR="00EA181A" w:rsidRPr="007244A6">
        <w:rPr>
          <w:rFonts w:ascii="Arial" w:hAnsi="Arial" w:cs="Arial"/>
          <w:bCs/>
          <w:sz w:val="22"/>
          <w:szCs w:val="22"/>
        </w:rPr>
        <w:t xml:space="preserve">no modifica los </w:t>
      </w:r>
      <w:r w:rsidR="00CE4B69" w:rsidRPr="007244A6">
        <w:rPr>
          <w:rFonts w:ascii="Arial" w:hAnsi="Arial" w:cs="Arial"/>
          <w:bCs/>
          <w:sz w:val="22"/>
          <w:szCs w:val="22"/>
        </w:rPr>
        <w:t>riesgos ambientales y sociales</w:t>
      </w:r>
      <w:r w:rsidR="00EA181A" w:rsidRPr="007244A6">
        <w:rPr>
          <w:rFonts w:ascii="Arial" w:hAnsi="Arial" w:cs="Arial"/>
          <w:bCs/>
          <w:sz w:val="22"/>
          <w:szCs w:val="22"/>
        </w:rPr>
        <w:t xml:space="preserve"> identificados en el proyecto original</w:t>
      </w:r>
      <w:r w:rsidR="00B37E1E" w:rsidRPr="007244A6">
        <w:rPr>
          <w:rFonts w:ascii="Arial" w:hAnsi="Arial" w:cs="Arial"/>
          <w:bCs/>
          <w:sz w:val="22"/>
          <w:szCs w:val="22"/>
        </w:rPr>
        <w:t>,</w:t>
      </w:r>
      <w:r w:rsidR="00A72DEF" w:rsidRPr="007244A6">
        <w:rPr>
          <w:rFonts w:ascii="Arial" w:hAnsi="Arial" w:cs="Arial"/>
          <w:bCs/>
          <w:sz w:val="22"/>
          <w:szCs w:val="22"/>
        </w:rPr>
        <w:t xml:space="preserve"> ni su gestión</w:t>
      </w:r>
      <w:r w:rsidR="00CE4B69" w:rsidRPr="007244A6">
        <w:rPr>
          <w:rFonts w:ascii="Arial" w:hAnsi="Arial" w:cs="Arial"/>
          <w:bCs/>
          <w:sz w:val="22"/>
          <w:szCs w:val="22"/>
        </w:rPr>
        <w:t xml:space="preserve">, </w:t>
      </w:r>
      <w:r w:rsidR="00EA181A" w:rsidRPr="007244A6">
        <w:rPr>
          <w:rFonts w:ascii="Arial" w:hAnsi="Arial" w:cs="Arial"/>
          <w:bCs/>
          <w:sz w:val="22"/>
          <w:szCs w:val="22"/>
        </w:rPr>
        <w:t>toda vez que el tipo de actividades a implementar no ha sido alterado.</w:t>
      </w:r>
    </w:p>
    <w:p w14:paraId="4589C767" w14:textId="77777777" w:rsidR="009852F6" w:rsidRPr="007244A6" w:rsidRDefault="009852F6" w:rsidP="009852F6">
      <w:pPr>
        <w:pStyle w:val="Paragraph"/>
        <w:numPr>
          <w:ilvl w:val="0"/>
          <w:numId w:val="0"/>
        </w:numPr>
        <w:ind w:left="720"/>
        <w:rPr>
          <w:rFonts w:ascii="Arial" w:hAnsi="Arial" w:cs="Arial"/>
          <w:bCs/>
          <w:sz w:val="22"/>
          <w:szCs w:val="22"/>
        </w:rPr>
      </w:pPr>
    </w:p>
    <w:p w14:paraId="2E445FE5" w14:textId="77777777" w:rsidR="00DF74AC" w:rsidRPr="007244A6" w:rsidRDefault="00DF74AC" w:rsidP="009852F6">
      <w:pPr>
        <w:spacing w:after="160" w:line="252" w:lineRule="auto"/>
        <w:rPr>
          <w:rFonts w:ascii="Arial" w:hAnsi="Arial" w:cs="Arial"/>
          <w:sz w:val="22"/>
          <w:szCs w:val="22"/>
          <w:lang w:val="es-ES"/>
        </w:rPr>
        <w:sectPr w:rsidR="00DF74AC" w:rsidRPr="007244A6" w:rsidSect="002D489A">
          <w:headerReference w:type="default" r:id="rId13"/>
          <w:type w:val="continuous"/>
          <w:pgSz w:w="12240" w:h="15840"/>
          <w:pgMar w:top="1440" w:right="1440" w:bottom="1440" w:left="1440" w:header="720" w:footer="720" w:gutter="0"/>
          <w:cols w:space="720"/>
          <w:docGrid w:linePitch="360"/>
        </w:sectPr>
      </w:pPr>
    </w:p>
    <w:p w14:paraId="67D5AC1F" w14:textId="77777777" w:rsidR="009852F6" w:rsidRPr="007244A6" w:rsidRDefault="009852F6" w:rsidP="009852F6">
      <w:pPr>
        <w:pStyle w:val="ListParagraph"/>
        <w:numPr>
          <w:ilvl w:val="0"/>
          <w:numId w:val="3"/>
        </w:numPr>
        <w:spacing w:after="160" w:line="252" w:lineRule="auto"/>
        <w:rPr>
          <w:rFonts w:ascii="Arial" w:hAnsi="Arial" w:cs="Arial"/>
          <w:sz w:val="22"/>
          <w:szCs w:val="22"/>
          <w:lang w:val="es-ES"/>
        </w:rPr>
      </w:pPr>
      <w:r w:rsidRPr="007244A6">
        <w:rPr>
          <w:rFonts w:ascii="Arial" w:hAnsi="Arial" w:cs="Arial"/>
          <w:b/>
          <w:sz w:val="22"/>
          <w:szCs w:val="22"/>
          <w:lang w:val="es-ES"/>
        </w:rPr>
        <w:lastRenderedPageBreak/>
        <w:t>Matriz de resultados actualizada</w:t>
      </w:r>
    </w:p>
    <w:tbl>
      <w:tblPr>
        <w:tblStyle w:val="TableGrid"/>
        <w:tblW w:w="13500" w:type="dxa"/>
        <w:tblInd w:w="-185" w:type="dxa"/>
        <w:tblLook w:val="04A0" w:firstRow="1" w:lastRow="0" w:firstColumn="1" w:lastColumn="0" w:noHBand="0" w:noVBand="1"/>
      </w:tblPr>
      <w:tblGrid>
        <w:gridCol w:w="2070"/>
        <w:gridCol w:w="9810"/>
        <w:gridCol w:w="1620"/>
      </w:tblGrid>
      <w:tr w:rsidR="0016717D" w:rsidRPr="009A05F7" w14:paraId="3A322952" w14:textId="77777777" w:rsidTr="009137AF">
        <w:trPr>
          <w:trHeight w:val="917"/>
        </w:trPr>
        <w:tc>
          <w:tcPr>
            <w:tcW w:w="2070" w:type="dxa"/>
            <w:shd w:val="clear" w:color="auto" w:fill="D9D9D9" w:themeFill="background1" w:themeFillShade="D9"/>
            <w:vAlign w:val="center"/>
          </w:tcPr>
          <w:p w14:paraId="71F81EDC" w14:textId="77777777" w:rsidR="0016717D" w:rsidRPr="0016717D" w:rsidRDefault="0016717D" w:rsidP="0016717D">
            <w:pPr>
              <w:pStyle w:val="Paragraph"/>
              <w:numPr>
                <w:ilvl w:val="1"/>
                <w:numId w:val="0"/>
              </w:numPr>
              <w:jc w:val="left"/>
              <w:rPr>
                <w:rFonts w:ascii="Arial" w:eastAsia="Arial" w:hAnsi="Arial"/>
                <w:b/>
                <w:sz w:val="18"/>
              </w:rPr>
            </w:pPr>
            <w:r w:rsidRPr="009A05F7">
              <w:rPr>
                <w:rFonts w:ascii="Arial" w:eastAsia="Arial" w:hAnsi="Arial" w:cs="Arial"/>
                <w:b/>
                <w:bCs/>
                <w:sz w:val="18"/>
                <w:szCs w:val="18"/>
              </w:rPr>
              <w:t xml:space="preserve">Objetivo general </w:t>
            </w:r>
          </w:p>
        </w:tc>
        <w:tc>
          <w:tcPr>
            <w:tcW w:w="9810" w:type="dxa"/>
            <w:vAlign w:val="center"/>
          </w:tcPr>
          <w:p w14:paraId="56C4CCBE" w14:textId="24103A96" w:rsidR="0016717D" w:rsidRPr="0016717D" w:rsidRDefault="0016717D" w:rsidP="0016717D">
            <w:pPr>
              <w:pStyle w:val="Paragraph"/>
              <w:numPr>
                <w:ilvl w:val="1"/>
                <w:numId w:val="0"/>
              </w:numPr>
              <w:jc w:val="left"/>
              <w:rPr>
                <w:rFonts w:ascii="Arial" w:eastAsia="Arial" w:hAnsi="Arial"/>
                <w:sz w:val="18"/>
              </w:rPr>
            </w:pPr>
            <w:r w:rsidRPr="009A05F7">
              <w:rPr>
                <w:rFonts w:ascii="Arial" w:eastAsia="Arial" w:hAnsi="Arial" w:cs="Arial"/>
                <w:sz w:val="18"/>
                <w:szCs w:val="18"/>
              </w:rPr>
              <w:t xml:space="preserve">Mejorar el servicio y la eficiencia del sector de agua y saneamiento en las provincias del Norte Grande de Argentina mediante la financiación de proyectos que: </w:t>
            </w:r>
            <w:r w:rsidR="00990CFC">
              <w:rPr>
                <w:rFonts w:ascii="Arial" w:eastAsia="Arial" w:hAnsi="Arial" w:cs="Arial"/>
                <w:sz w:val="18"/>
                <w:szCs w:val="18"/>
              </w:rPr>
              <w:t>(</w:t>
            </w:r>
            <w:r w:rsidRPr="009A05F7">
              <w:rPr>
                <w:rFonts w:ascii="Arial" w:eastAsia="Arial" w:hAnsi="Arial" w:cs="Arial"/>
                <w:sz w:val="18"/>
                <w:szCs w:val="18"/>
              </w:rPr>
              <w:t xml:space="preserve">i) incrementen la cobertura y mejoren el servicio de agua potable y alcantarillado sanitario y pluvial en áreas sin servicio o con servicio deficiente; y </w:t>
            </w:r>
            <w:r w:rsidR="00990CFC">
              <w:rPr>
                <w:rFonts w:ascii="Arial" w:eastAsia="Arial" w:hAnsi="Arial" w:cs="Arial"/>
                <w:sz w:val="18"/>
                <w:szCs w:val="18"/>
              </w:rPr>
              <w:t>(</w:t>
            </w:r>
            <w:proofErr w:type="spellStart"/>
            <w:r w:rsidRPr="009A05F7">
              <w:rPr>
                <w:rFonts w:ascii="Arial" w:eastAsia="Arial" w:hAnsi="Arial" w:cs="Arial"/>
                <w:sz w:val="18"/>
                <w:szCs w:val="18"/>
              </w:rPr>
              <w:t>ii</w:t>
            </w:r>
            <w:proofErr w:type="spellEnd"/>
            <w:r w:rsidRPr="009A05F7">
              <w:rPr>
                <w:rFonts w:ascii="Arial" w:eastAsia="Arial" w:hAnsi="Arial" w:cs="Arial"/>
                <w:sz w:val="18"/>
                <w:szCs w:val="18"/>
              </w:rPr>
              <w:t xml:space="preserve">) fortalezcan las entidades del sector a nivel provincial y mejoren la eficiencia y gestión operativa y financiera de los prestadores de servicios. </w:t>
            </w:r>
          </w:p>
        </w:tc>
        <w:tc>
          <w:tcPr>
            <w:tcW w:w="1620" w:type="dxa"/>
            <w:vAlign w:val="center"/>
          </w:tcPr>
          <w:p w14:paraId="56EF6CEA" w14:textId="77777777" w:rsidR="0016717D" w:rsidRPr="0016717D" w:rsidRDefault="0016717D" w:rsidP="0016717D">
            <w:pPr>
              <w:pStyle w:val="Paragraph"/>
              <w:numPr>
                <w:ilvl w:val="1"/>
                <w:numId w:val="0"/>
              </w:numPr>
              <w:jc w:val="left"/>
              <w:rPr>
                <w:rFonts w:ascii="Arial" w:eastAsia="Arial" w:hAnsi="Arial"/>
                <w:sz w:val="18"/>
              </w:rPr>
            </w:pPr>
            <w:r w:rsidRPr="009A05F7">
              <w:rPr>
                <w:rFonts w:ascii="Arial" w:eastAsia="Arial" w:hAnsi="Arial" w:cs="Arial"/>
                <w:sz w:val="18"/>
                <w:szCs w:val="18"/>
              </w:rPr>
              <w:t>Sin cambios</w:t>
            </w:r>
          </w:p>
        </w:tc>
      </w:tr>
    </w:tbl>
    <w:p w14:paraId="22C618FF" w14:textId="77777777" w:rsidR="00E95303" w:rsidRDefault="00E95303" w:rsidP="00E95303">
      <w:pPr>
        <w:autoSpaceDE w:val="0"/>
        <w:autoSpaceDN w:val="0"/>
        <w:adjustRightInd w:val="0"/>
        <w:spacing w:before="240"/>
        <w:jc w:val="center"/>
        <w:rPr>
          <w:rFonts w:ascii="Arial" w:eastAsia="Arial" w:hAnsi="Arial" w:cs="Arial"/>
          <w:b/>
          <w:bCs/>
          <w:smallCaps/>
          <w:color w:val="000000" w:themeColor="text1"/>
          <w:sz w:val="18"/>
          <w:szCs w:val="18"/>
          <w:lang w:val="es-ES"/>
        </w:rPr>
      </w:pPr>
      <w:r w:rsidRPr="009A05F7">
        <w:rPr>
          <w:rFonts w:ascii="Arial" w:eastAsia="Arial" w:hAnsi="Arial" w:cs="Arial"/>
          <w:b/>
          <w:bCs/>
          <w:smallCaps/>
          <w:color w:val="000000" w:themeColor="text1"/>
          <w:sz w:val="18"/>
          <w:szCs w:val="18"/>
          <w:lang w:val="es-ES"/>
        </w:rPr>
        <w:t>Resultados Esperados</w:t>
      </w:r>
    </w:p>
    <w:tbl>
      <w:tblPr>
        <w:tblStyle w:val="TableGrid"/>
        <w:tblW w:w="14755" w:type="dxa"/>
        <w:jc w:val="center"/>
        <w:tblLook w:val="04A0" w:firstRow="1" w:lastRow="0" w:firstColumn="1" w:lastColumn="0" w:noHBand="0" w:noVBand="1"/>
      </w:tblPr>
      <w:tblGrid>
        <w:gridCol w:w="1881"/>
        <w:gridCol w:w="1114"/>
        <w:gridCol w:w="864"/>
        <w:gridCol w:w="988"/>
        <w:gridCol w:w="939"/>
        <w:gridCol w:w="1618"/>
        <w:gridCol w:w="1619"/>
        <w:gridCol w:w="5732"/>
      </w:tblGrid>
      <w:tr w:rsidR="00E95303" w:rsidRPr="00452C5F" w14:paraId="21103226" w14:textId="77777777" w:rsidTr="009137AF">
        <w:trPr>
          <w:cantSplit/>
          <w:trHeight w:val="530"/>
          <w:tblHeader/>
          <w:jc w:val="center"/>
        </w:trPr>
        <w:tc>
          <w:tcPr>
            <w:tcW w:w="1885" w:type="dxa"/>
            <w:shd w:val="clear" w:color="auto" w:fill="ACB9CA" w:themeFill="text2" w:themeFillTint="66"/>
            <w:vAlign w:val="center"/>
          </w:tcPr>
          <w:p w14:paraId="01C09660"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eastAsia="zh-CN"/>
              </w:rPr>
              <w:t>Indicadores de Resultado</w:t>
            </w:r>
          </w:p>
        </w:tc>
        <w:tc>
          <w:tcPr>
            <w:tcW w:w="1115" w:type="dxa"/>
            <w:shd w:val="clear" w:color="auto" w:fill="ACB9CA" w:themeFill="text2" w:themeFillTint="66"/>
            <w:vAlign w:val="center"/>
          </w:tcPr>
          <w:p w14:paraId="545580F2"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rPr>
              <w:t>Unidad de Medida</w:t>
            </w:r>
          </w:p>
        </w:tc>
        <w:tc>
          <w:tcPr>
            <w:tcW w:w="865" w:type="dxa"/>
            <w:shd w:val="clear" w:color="auto" w:fill="ACB9CA" w:themeFill="text2" w:themeFillTint="66"/>
            <w:vAlign w:val="center"/>
          </w:tcPr>
          <w:p w14:paraId="6F4093DD"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rPr>
              <w:t>Línea de Base</w:t>
            </w:r>
          </w:p>
        </w:tc>
        <w:tc>
          <w:tcPr>
            <w:tcW w:w="990" w:type="dxa"/>
            <w:shd w:val="clear" w:color="auto" w:fill="ACB9CA" w:themeFill="text2" w:themeFillTint="66"/>
            <w:vAlign w:val="center"/>
          </w:tcPr>
          <w:p w14:paraId="1B756EDD" w14:textId="77777777" w:rsidR="00E95303" w:rsidRPr="00452C5F" w:rsidRDefault="00E95303" w:rsidP="00E70B4A">
            <w:pPr>
              <w:pStyle w:val="ListParagraph"/>
              <w:ind w:left="0"/>
              <w:contextualSpacing w:val="0"/>
              <w:jc w:val="center"/>
              <w:rPr>
                <w:rFonts w:ascii="Arial" w:eastAsia="Arial" w:hAnsi="Arial" w:cs="Arial"/>
                <w:b/>
                <w:bCs/>
                <w:sz w:val="20"/>
                <w:lang w:val="es-ES"/>
              </w:rPr>
            </w:pPr>
            <w:r w:rsidRPr="00452C5F">
              <w:rPr>
                <w:rFonts w:ascii="Arial" w:eastAsia="Arial" w:hAnsi="Arial" w:cs="Arial"/>
                <w:b/>
                <w:bCs/>
                <w:sz w:val="20"/>
                <w:lang w:val="es-ES"/>
              </w:rPr>
              <w:t>Año</w:t>
            </w:r>
          </w:p>
          <w:p w14:paraId="032AC538"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rPr>
              <w:t>Línea de Base</w:t>
            </w:r>
          </w:p>
        </w:tc>
        <w:tc>
          <w:tcPr>
            <w:tcW w:w="900" w:type="dxa"/>
            <w:shd w:val="clear" w:color="auto" w:fill="ACB9CA" w:themeFill="text2" w:themeFillTint="66"/>
            <w:vAlign w:val="center"/>
          </w:tcPr>
          <w:p w14:paraId="1ADC99E9"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rPr>
              <w:t>Meta Final</w:t>
            </w:r>
          </w:p>
        </w:tc>
        <w:tc>
          <w:tcPr>
            <w:tcW w:w="1620" w:type="dxa"/>
            <w:shd w:val="clear" w:color="auto" w:fill="ACB9CA" w:themeFill="text2" w:themeFillTint="66"/>
            <w:vAlign w:val="center"/>
          </w:tcPr>
          <w:p w14:paraId="1C094BB4"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rPr>
              <w:t>Medios de Verificación</w:t>
            </w:r>
          </w:p>
        </w:tc>
        <w:tc>
          <w:tcPr>
            <w:tcW w:w="1620" w:type="dxa"/>
            <w:shd w:val="clear" w:color="auto" w:fill="ACB9CA" w:themeFill="text2" w:themeFillTint="66"/>
            <w:vAlign w:val="center"/>
          </w:tcPr>
          <w:p w14:paraId="2BA9EA85"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eastAsia="zh-CN"/>
              </w:rPr>
              <w:t>Comentarios</w:t>
            </w:r>
          </w:p>
        </w:tc>
        <w:tc>
          <w:tcPr>
            <w:tcW w:w="5760" w:type="dxa"/>
            <w:shd w:val="clear" w:color="auto" w:fill="ACB9CA" w:themeFill="text2" w:themeFillTint="66"/>
            <w:vAlign w:val="center"/>
          </w:tcPr>
          <w:p w14:paraId="3096B7A6" w14:textId="77777777"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eastAsia="Arial" w:hAnsi="Arial" w:cs="Arial"/>
                <w:b/>
                <w:bCs/>
                <w:sz w:val="20"/>
                <w:lang w:val="es-ES" w:eastAsia="zh-CN"/>
              </w:rPr>
              <w:t>Cambios a la Matriz original</w:t>
            </w:r>
          </w:p>
        </w:tc>
      </w:tr>
      <w:tr w:rsidR="00E95303" w:rsidRPr="00452C5F" w14:paraId="67650C4C" w14:textId="77777777" w:rsidTr="0016717D">
        <w:trPr>
          <w:jc w:val="center"/>
        </w:trPr>
        <w:tc>
          <w:tcPr>
            <w:tcW w:w="14755" w:type="dxa"/>
            <w:gridSpan w:val="8"/>
            <w:shd w:val="clear" w:color="auto" w:fill="D0CECE" w:themeFill="background2" w:themeFillShade="E6"/>
            <w:vAlign w:val="center"/>
          </w:tcPr>
          <w:p w14:paraId="0560A34A" w14:textId="77777777"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b/>
                <w:sz w:val="20"/>
                <w:lang w:val="es-ES"/>
              </w:rPr>
              <w:t>Objetivo específico 1. Incrementar la cobertura y mejorar el servicio de agua potable y alcantarillado sanitario y pluvial en áreas sin servicio o con servicio deficiente</w:t>
            </w:r>
          </w:p>
        </w:tc>
      </w:tr>
      <w:tr w:rsidR="00E95303" w:rsidRPr="00452C5F" w14:paraId="5FBE78C8" w14:textId="77777777" w:rsidTr="0016717D">
        <w:trPr>
          <w:jc w:val="center"/>
        </w:trPr>
        <w:tc>
          <w:tcPr>
            <w:tcW w:w="1885" w:type="dxa"/>
            <w:vAlign w:val="center"/>
          </w:tcPr>
          <w:p w14:paraId="2A95A537" w14:textId="51365FFC"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t xml:space="preserve">1.1 </w:t>
            </w:r>
            <w:bookmarkStart w:id="2" w:name="_Hlk41820982"/>
            <w:r w:rsidRPr="00452C5F">
              <w:rPr>
                <w:rFonts w:ascii="Arial" w:hAnsi="Arial" w:cs="Arial"/>
                <w:sz w:val="20"/>
                <w:lang w:val="es-ES"/>
              </w:rPr>
              <w:t>Hogares con nueva conexión a sistemas de saneamiento por red construidos y/o rehabilitados</w:t>
            </w:r>
            <w:bookmarkEnd w:id="2"/>
          </w:p>
        </w:tc>
        <w:tc>
          <w:tcPr>
            <w:tcW w:w="1115" w:type="dxa"/>
            <w:vAlign w:val="center"/>
          </w:tcPr>
          <w:p w14:paraId="49EFEE25"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Hogares</w:t>
            </w:r>
          </w:p>
        </w:tc>
        <w:tc>
          <w:tcPr>
            <w:tcW w:w="865" w:type="dxa"/>
            <w:vAlign w:val="center"/>
          </w:tcPr>
          <w:p w14:paraId="148FE001"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6E9142AE"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55B7EF84" w14:textId="7DDDE8A4"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9</w:t>
            </w:r>
            <w:r w:rsidR="007D0790" w:rsidRPr="00452C5F">
              <w:rPr>
                <w:rFonts w:ascii="Arial" w:hAnsi="Arial" w:cs="Arial"/>
                <w:sz w:val="20"/>
                <w:lang w:val="es-ES"/>
              </w:rPr>
              <w:t>.</w:t>
            </w:r>
            <w:r w:rsidRPr="00452C5F">
              <w:rPr>
                <w:rFonts w:ascii="Arial" w:hAnsi="Arial" w:cs="Arial"/>
                <w:sz w:val="20"/>
                <w:lang w:val="es-ES"/>
              </w:rPr>
              <w:t>353</w:t>
            </w:r>
          </w:p>
        </w:tc>
        <w:tc>
          <w:tcPr>
            <w:tcW w:w="1620" w:type="dxa"/>
            <w:vAlign w:val="center"/>
          </w:tcPr>
          <w:p w14:paraId="0C6C80C9" w14:textId="57F9019D" w:rsidR="00E95303" w:rsidRPr="00452C5F" w:rsidRDefault="00E95303" w:rsidP="00E70B4A">
            <w:pPr>
              <w:autoSpaceDE w:val="0"/>
              <w:autoSpaceDN w:val="0"/>
              <w:adjustRightInd w:val="0"/>
              <w:jc w:val="center"/>
              <w:rPr>
                <w:rFonts w:ascii="Arial" w:eastAsia="Arial" w:hAnsi="Arial" w:cs="Arial"/>
                <w:b/>
                <w:bCs/>
                <w:color w:val="000000" w:themeColor="text1"/>
                <w:sz w:val="20"/>
                <w:lang w:val="es-ES"/>
              </w:rPr>
            </w:pPr>
            <w:r w:rsidRPr="00452C5F">
              <w:rPr>
                <w:rFonts w:ascii="Arial" w:hAnsi="Arial" w:cs="Arial"/>
                <w:sz w:val="20"/>
                <w:lang w:val="es-ES"/>
              </w:rPr>
              <w:t>Informes de la Unidad Ejecutora basado en Reportes de los Entes Operadores</w:t>
            </w:r>
          </w:p>
        </w:tc>
        <w:tc>
          <w:tcPr>
            <w:tcW w:w="1620" w:type="dxa"/>
            <w:vAlign w:val="center"/>
          </w:tcPr>
          <w:p w14:paraId="39954CBA" w14:textId="06BFC333" w:rsidR="00E95303" w:rsidRPr="00452C5F" w:rsidRDefault="00E95303" w:rsidP="00E70B4A">
            <w:pPr>
              <w:autoSpaceDE w:val="0"/>
              <w:autoSpaceDN w:val="0"/>
              <w:adjustRightInd w:val="0"/>
              <w:rPr>
                <w:rFonts w:ascii="Arial" w:eastAsia="Arial" w:hAnsi="Arial" w:cs="Arial"/>
                <w:b/>
                <w:bCs/>
                <w:color w:val="000000" w:themeColor="text1"/>
                <w:sz w:val="20"/>
                <w:lang w:val="es-ES"/>
              </w:rPr>
            </w:pPr>
            <w:r w:rsidRPr="00452C5F">
              <w:rPr>
                <w:rFonts w:ascii="Arial" w:hAnsi="Arial" w:cs="Arial"/>
                <w:sz w:val="20"/>
                <w:lang w:val="es-ES"/>
              </w:rPr>
              <w:t>Se asume una tasa de conexión del 40%, siendo el número total de conexiones potenciales previsto de 23,383 conexiones</w:t>
            </w:r>
          </w:p>
        </w:tc>
        <w:tc>
          <w:tcPr>
            <w:tcW w:w="5760" w:type="dxa"/>
            <w:vAlign w:val="center"/>
          </w:tcPr>
          <w:p w14:paraId="2FAD4DC5" w14:textId="462A0B7A" w:rsidR="00E95303" w:rsidRPr="00452C5F" w:rsidRDefault="00E95303" w:rsidP="00E70B4A">
            <w:pPr>
              <w:rPr>
                <w:rFonts w:ascii="Arial" w:hAnsi="Arial" w:cs="Arial"/>
                <w:sz w:val="20"/>
                <w:lang w:val="es-ES"/>
              </w:rPr>
            </w:pPr>
            <w:r w:rsidRPr="00452C5F">
              <w:rPr>
                <w:rFonts w:ascii="Arial" w:hAnsi="Arial" w:cs="Arial"/>
                <w:b/>
                <w:bCs/>
                <w:sz w:val="20"/>
                <w:lang w:val="es-ES"/>
              </w:rPr>
              <w:t>Indicador original</w:t>
            </w:r>
            <w:r w:rsidR="00B162E9" w:rsidRPr="00452C5F">
              <w:rPr>
                <w:rFonts w:ascii="Arial" w:hAnsi="Arial" w:cs="Arial"/>
                <w:b/>
                <w:bCs/>
                <w:sz w:val="20"/>
                <w:lang w:val="es-ES"/>
              </w:rPr>
              <w:t xml:space="preserve"> de Resultados Globales</w:t>
            </w:r>
            <w:r w:rsidRPr="00452C5F">
              <w:rPr>
                <w:rFonts w:ascii="Arial" w:hAnsi="Arial" w:cs="Arial"/>
                <w:b/>
                <w:bCs/>
                <w:sz w:val="20"/>
                <w:lang w:val="es-ES"/>
              </w:rPr>
              <w:t>:</w:t>
            </w:r>
          </w:p>
          <w:p w14:paraId="268D3C02" w14:textId="11C36FCC" w:rsidR="00E95303" w:rsidRPr="00452C5F" w:rsidRDefault="00E95303" w:rsidP="00B162E9">
            <w:pPr>
              <w:pStyle w:val="Default"/>
              <w:rPr>
                <w:rFonts w:ascii="Arial" w:hAnsi="Arial" w:cs="Arial"/>
                <w:sz w:val="20"/>
                <w:szCs w:val="20"/>
                <w:lang w:val="es-ES"/>
              </w:rPr>
            </w:pPr>
            <w:r w:rsidRPr="00452C5F">
              <w:rPr>
                <w:rFonts w:ascii="Arial" w:hAnsi="Arial" w:cs="Arial"/>
                <w:sz w:val="20"/>
                <w:szCs w:val="20"/>
                <w:lang w:val="es-ES"/>
              </w:rPr>
              <w:t>Cobertura de saneamiento en la Región del Norte Grande Argentino</w:t>
            </w:r>
          </w:p>
          <w:p w14:paraId="11A48EFF" w14:textId="6CB231FF" w:rsidR="00B162E9" w:rsidRPr="00452C5F" w:rsidRDefault="00B162E9" w:rsidP="00B162E9">
            <w:pPr>
              <w:pStyle w:val="Default"/>
              <w:rPr>
                <w:rFonts w:ascii="Arial" w:hAnsi="Arial" w:cs="Arial"/>
                <w:b/>
                <w:bCs/>
                <w:sz w:val="20"/>
                <w:szCs w:val="20"/>
                <w:lang w:val="es-ES"/>
              </w:rPr>
            </w:pPr>
            <w:r w:rsidRPr="00452C5F">
              <w:rPr>
                <w:rFonts w:ascii="Arial" w:hAnsi="Arial" w:cs="Arial"/>
                <w:b/>
                <w:bCs/>
                <w:sz w:val="20"/>
                <w:szCs w:val="20"/>
                <w:lang w:val="es-ES"/>
              </w:rPr>
              <w:t>Meta original:</w:t>
            </w:r>
          </w:p>
          <w:p w14:paraId="7BD6381C" w14:textId="1D6F5A05" w:rsidR="00B162E9" w:rsidRPr="00452C5F" w:rsidRDefault="00B162E9" w:rsidP="00B162E9">
            <w:pPr>
              <w:pStyle w:val="Default"/>
              <w:rPr>
                <w:rFonts w:ascii="Arial" w:hAnsi="Arial" w:cs="Arial"/>
                <w:sz w:val="20"/>
                <w:szCs w:val="20"/>
                <w:lang w:val="es-ES"/>
              </w:rPr>
            </w:pPr>
            <w:r w:rsidRPr="00452C5F">
              <w:rPr>
                <w:rFonts w:ascii="Arial" w:hAnsi="Arial" w:cs="Arial"/>
                <w:sz w:val="20"/>
                <w:szCs w:val="20"/>
                <w:lang w:val="es-ES"/>
              </w:rPr>
              <w:t>62,8%</w:t>
            </w:r>
          </w:p>
          <w:p w14:paraId="340D880B" w14:textId="0A01FD8B" w:rsidR="001F009B" w:rsidRPr="00452C5F" w:rsidRDefault="00B162E9" w:rsidP="001F009B">
            <w:pPr>
              <w:pStyle w:val="Default"/>
              <w:rPr>
                <w:rFonts w:ascii="Arial" w:hAnsi="Arial" w:cs="Arial"/>
                <w:b/>
                <w:bCs/>
                <w:sz w:val="20"/>
                <w:szCs w:val="20"/>
                <w:lang w:val="es-ES"/>
              </w:rPr>
            </w:pPr>
            <w:r w:rsidRPr="00452C5F">
              <w:rPr>
                <w:rFonts w:ascii="Arial" w:hAnsi="Arial" w:cs="Arial"/>
                <w:b/>
                <w:bCs/>
                <w:sz w:val="20"/>
                <w:szCs w:val="20"/>
                <w:lang w:val="es-ES"/>
              </w:rPr>
              <w:t>Indicador original 1:</w:t>
            </w:r>
            <w:r w:rsidR="001F009B" w:rsidRPr="00452C5F">
              <w:rPr>
                <w:rFonts w:ascii="Arial" w:hAnsi="Arial" w:cs="Arial"/>
                <w:b/>
                <w:bCs/>
                <w:sz w:val="20"/>
                <w:szCs w:val="20"/>
                <w:lang w:val="es-ES"/>
              </w:rPr>
              <w:t xml:space="preserve"> </w:t>
            </w:r>
            <w:r w:rsidR="001F009B" w:rsidRPr="00452C5F">
              <w:rPr>
                <w:rFonts w:ascii="Arial" w:hAnsi="Arial" w:cs="Arial"/>
                <w:b/>
                <w:bCs/>
                <w:sz w:val="20"/>
                <w:szCs w:val="20"/>
                <w:lang w:val="es-ES_tradnl"/>
              </w:rPr>
              <w:t xml:space="preserve">Sistema de Saneamiento de la Ciudad de Santiago del Estero construido </w:t>
            </w:r>
          </w:p>
          <w:p w14:paraId="746F3844" w14:textId="598A9A3A" w:rsidR="00B162E9" w:rsidRPr="00452C5F" w:rsidRDefault="00E95303" w:rsidP="00BC334E">
            <w:pPr>
              <w:pStyle w:val="Default"/>
              <w:numPr>
                <w:ilvl w:val="0"/>
                <w:numId w:val="37"/>
              </w:numPr>
              <w:rPr>
                <w:rFonts w:ascii="Arial" w:hAnsi="Arial" w:cs="Arial"/>
                <w:sz w:val="20"/>
                <w:szCs w:val="20"/>
                <w:lang w:val="es-ES"/>
              </w:rPr>
            </w:pPr>
            <w:r w:rsidRPr="00452C5F">
              <w:rPr>
                <w:rFonts w:ascii="Arial" w:hAnsi="Arial" w:cs="Arial"/>
                <w:sz w:val="20"/>
                <w:szCs w:val="20"/>
                <w:lang w:val="es-ES"/>
              </w:rPr>
              <w:t xml:space="preserve">Cobertura del servicio de red cloacal en el área de intervención </w:t>
            </w:r>
          </w:p>
          <w:p w14:paraId="4ACC1096" w14:textId="0164576D" w:rsidR="00B162E9" w:rsidRPr="00452C5F" w:rsidRDefault="00B162E9" w:rsidP="001F009B">
            <w:pPr>
              <w:pStyle w:val="Default"/>
              <w:ind w:left="720"/>
              <w:rPr>
                <w:rFonts w:ascii="Arial" w:hAnsi="Arial" w:cs="Arial"/>
                <w:sz w:val="20"/>
                <w:szCs w:val="20"/>
                <w:lang w:val="es-ES"/>
              </w:rPr>
            </w:pPr>
            <w:r w:rsidRPr="00452C5F">
              <w:rPr>
                <w:rFonts w:ascii="Arial" w:hAnsi="Arial" w:cs="Arial"/>
                <w:b/>
                <w:bCs/>
                <w:sz w:val="20"/>
                <w:szCs w:val="20"/>
                <w:lang w:val="es-ES"/>
              </w:rPr>
              <w:t>Meta original:</w:t>
            </w:r>
            <w:r w:rsidR="001F009B" w:rsidRPr="00452C5F">
              <w:rPr>
                <w:rFonts w:ascii="Arial" w:hAnsi="Arial" w:cs="Arial"/>
                <w:sz w:val="20"/>
                <w:szCs w:val="20"/>
                <w:lang w:val="es-ES"/>
              </w:rPr>
              <w:t>60</w:t>
            </w:r>
            <w:r w:rsidRPr="00452C5F">
              <w:rPr>
                <w:rFonts w:ascii="Arial" w:hAnsi="Arial" w:cs="Arial"/>
                <w:sz w:val="20"/>
                <w:szCs w:val="20"/>
                <w:lang w:val="es-ES"/>
              </w:rPr>
              <w:t>%</w:t>
            </w:r>
          </w:p>
          <w:p w14:paraId="1193F9B5" w14:textId="26CF32A5" w:rsidR="001F009B" w:rsidRPr="00452C5F" w:rsidRDefault="001F009B" w:rsidP="001F009B">
            <w:pPr>
              <w:pStyle w:val="Default"/>
              <w:rPr>
                <w:rFonts w:ascii="Arial" w:hAnsi="Arial" w:cs="Arial"/>
                <w:sz w:val="20"/>
                <w:szCs w:val="20"/>
                <w:lang w:val="es-ES"/>
              </w:rPr>
            </w:pPr>
            <w:r w:rsidRPr="00452C5F">
              <w:rPr>
                <w:rFonts w:ascii="Arial" w:hAnsi="Arial" w:cs="Arial"/>
                <w:b/>
                <w:bCs/>
                <w:sz w:val="20"/>
                <w:szCs w:val="20"/>
                <w:lang w:val="es-ES"/>
              </w:rPr>
              <w:t xml:space="preserve">Indicador original 3: </w:t>
            </w:r>
            <w:r w:rsidRPr="00452C5F">
              <w:rPr>
                <w:rFonts w:ascii="Arial" w:hAnsi="Arial" w:cs="Arial"/>
                <w:b/>
                <w:bCs/>
                <w:sz w:val="20"/>
                <w:szCs w:val="20"/>
                <w:lang w:val="es-ES_tradnl"/>
              </w:rPr>
              <w:t xml:space="preserve">Servicios de Agua Potable de los Municipios de Fray Mamerto Esquiú y Valle Viejo nuevos </w:t>
            </w:r>
          </w:p>
          <w:p w14:paraId="397D59E6" w14:textId="77777777" w:rsidR="00BC334E" w:rsidRPr="00452C5F" w:rsidRDefault="00BC334E" w:rsidP="00BC334E">
            <w:pPr>
              <w:pStyle w:val="Default"/>
              <w:numPr>
                <w:ilvl w:val="0"/>
                <w:numId w:val="36"/>
              </w:numPr>
              <w:rPr>
                <w:rFonts w:ascii="Arial" w:hAnsi="Arial" w:cs="Arial"/>
                <w:sz w:val="20"/>
                <w:szCs w:val="20"/>
                <w:lang w:val="es-ES_tradnl"/>
              </w:rPr>
            </w:pPr>
            <w:r w:rsidRPr="00452C5F">
              <w:rPr>
                <w:rFonts w:ascii="Arial" w:hAnsi="Arial" w:cs="Arial"/>
                <w:sz w:val="20"/>
                <w:szCs w:val="20"/>
                <w:lang w:val="es-ES_tradnl"/>
              </w:rPr>
              <w:t xml:space="preserve">Cobertura del servicio de saneamiento en el área de intervención </w:t>
            </w:r>
          </w:p>
          <w:p w14:paraId="754843CE" w14:textId="583A66FB" w:rsidR="001F009B" w:rsidRPr="00452C5F" w:rsidRDefault="00B162E9" w:rsidP="001F009B">
            <w:pPr>
              <w:pStyle w:val="Default"/>
              <w:ind w:left="720"/>
              <w:rPr>
                <w:rFonts w:ascii="Arial" w:hAnsi="Arial" w:cs="Arial"/>
                <w:sz w:val="20"/>
                <w:szCs w:val="20"/>
                <w:lang w:val="es-ES"/>
              </w:rPr>
            </w:pPr>
            <w:r w:rsidRPr="00452C5F">
              <w:rPr>
                <w:rFonts w:ascii="Arial" w:hAnsi="Arial" w:cs="Arial"/>
                <w:b/>
                <w:bCs/>
                <w:sz w:val="20"/>
                <w:szCs w:val="20"/>
                <w:lang w:val="es-ES"/>
              </w:rPr>
              <w:t xml:space="preserve">Meta original: </w:t>
            </w:r>
            <w:r w:rsidR="001F009B" w:rsidRPr="00452C5F">
              <w:rPr>
                <w:rFonts w:ascii="Arial" w:hAnsi="Arial" w:cs="Arial"/>
                <w:sz w:val="20"/>
                <w:szCs w:val="20"/>
                <w:lang w:val="es-ES"/>
              </w:rPr>
              <w:t>90%</w:t>
            </w:r>
          </w:p>
          <w:p w14:paraId="306CF9F8" w14:textId="04BFE2A7"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eastAsia="Arial" w:hAnsi="Arial" w:cs="Arial"/>
                <w:b/>
                <w:bCs/>
                <w:sz w:val="20"/>
                <w:lang w:val="es-ES" w:eastAsia="zh-CN"/>
              </w:rPr>
              <w:t xml:space="preserve">Justificación de los cambios: </w:t>
            </w:r>
            <w:r w:rsidRPr="00452C5F">
              <w:rPr>
                <w:rFonts w:ascii="Arial" w:hAnsi="Arial" w:cs="Arial"/>
                <w:sz w:val="20"/>
                <w:lang w:val="es-ES"/>
              </w:rPr>
              <w:t>La matriz original definió dos indicadores referidos a los resultados de cobertura de los proyectos de la muestra del programa</w:t>
            </w:r>
            <w:r w:rsidR="009815D7" w:rsidRPr="00452C5F">
              <w:rPr>
                <w:rFonts w:ascii="Arial" w:hAnsi="Arial" w:cs="Arial"/>
                <w:sz w:val="20"/>
                <w:lang w:val="es-ES"/>
              </w:rPr>
              <w:t xml:space="preserve"> que no fueron priorizados</w:t>
            </w:r>
            <w:r w:rsidRPr="00452C5F">
              <w:rPr>
                <w:rFonts w:ascii="Arial" w:hAnsi="Arial" w:cs="Arial"/>
                <w:sz w:val="20"/>
                <w:lang w:val="es-ES"/>
              </w:rPr>
              <w:t xml:space="preserve">. Se sustituyó por un solo indicador que permite monitorear la cobertura de todos los proyectos. Se ajustó la redacción del indicador para hacerlo más específico y simplificar la medición, cambiando la unidad de medida de % a # de hogares. </w:t>
            </w:r>
          </w:p>
        </w:tc>
      </w:tr>
      <w:tr w:rsidR="00E95303" w:rsidRPr="00452C5F" w14:paraId="27DFF843" w14:textId="77777777" w:rsidTr="0016717D">
        <w:trPr>
          <w:jc w:val="center"/>
        </w:trPr>
        <w:tc>
          <w:tcPr>
            <w:tcW w:w="1885" w:type="dxa"/>
            <w:vAlign w:val="center"/>
          </w:tcPr>
          <w:p w14:paraId="292C7AC2" w14:textId="05B022DE"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t>1.2 Nuevos hogares cuyas aguas residuales son tratadas</w:t>
            </w:r>
          </w:p>
        </w:tc>
        <w:tc>
          <w:tcPr>
            <w:tcW w:w="1115" w:type="dxa"/>
            <w:vAlign w:val="center"/>
          </w:tcPr>
          <w:p w14:paraId="2A6E1FBF"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Hogares</w:t>
            </w:r>
          </w:p>
        </w:tc>
        <w:tc>
          <w:tcPr>
            <w:tcW w:w="865" w:type="dxa"/>
            <w:vAlign w:val="center"/>
          </w:tcPr>
          <w:p w14:paraId="5DC4AFDC"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5D9B8414"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3226E874" w14:textId="4E59B159"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160</w:t>
            </w:r>
            <w:r w:rsidR="007D0790" w:rsidRPr="00452C5F">
              <w:rPr>
                <w:rFonts w:ascii="Arial" w:hAnsi="Arial" w:cs="Arial"/>
                <w:sz w:val="20"/>
                <w:lang w:val="es-ES"/>
              </w:rPr>
              <w:t>.</w:t>
            </w:r>
            <w:r w:rsidRPr="00452C5F">
              <w:rPr>
                <w:rFonts w:ascii="Arial" w:hAnsi="Arial" w:cs="Arial"/>
                <w:sz w:val="20"/>
                <w:lang w:val="es-ES"/>
              </w:rPr>
              <w:t>000</w:t>
            </w:r>
          </w:p>
        </w:tc>
        <w:tc>
          <w:tcPr>
            <w:tcW w:w="1620" w:type="dxa"/>
            <w:vAlign w:val="center"/>
          </w:tcPr>
          <w:p w14:paraId="19B08747" w14:textId="0CDB668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 xml:space="preserve">Informes de la Unidad Ejecutora basado en Reportes de los </w:t>
            </w:r>
            <w:r w:rsidRPr="00452C5F">
              <w:rPr>
                <w:rFonts w:ascii="Arial" w:hAnsi="Arial" w:cs="Arial"/>
                <w:sz w:val="20"/>
                <w:lang w:val="es-ES"/>
              </w:rPr>
              <w:lastRenderedPageBreak/>
              <w:t>Entes Operadores</w:t>
            </w:r>
          </w:p>
        </w:tc>
        <w:tc>
          <w:tcPr>
            <w:tcW w:w="1620" w:type="dxa"/>
            <w:vAlign w:val="center"/>
          </w:tcPr>
          <w:p w14:paraId="2442802B" w14:textId="6CEE4BB6" w:rsidR="00E95303" w:rsidRPr="00452C5F" w:rsidRDefault="00E95303" w:rsidP="00E70B4A">
            <w:pPr>
              <w:autoSpaceDE w:val="0"/>
              <w:autoSpaceDN w:val="0"/>
              <w:adjustRightInd w:val="0"/>
              <w:rPr>
                <w:rFonts w:ascii="Arial" w:eastAsia="Arial" w:hAnsi="Arial" w:cs="Arial"/>
                <w:b/>
                <w:bCs/>
                <w:color w:val="000000" w:themeColor="text1"/>
                <w:sz w:val="20"/>
                <w:lang w:val="es-ES"/>
              </w:rPr>
            </w:pPr>
            <w:r w:rsidRPr="00452C5F">
              <w:rPr>
                <w:rFonts w:ascii="Arial" w:eastAsia="Arial" w:hAnsi="Arial" w:cs="Arial"/>
                <w:sz w:val="20"/>
                <w:lang w:val="es-ES" w:eastAsia="zh-CN"/>
              </w:rPr>
              <w:lastRenderedPageBreak/>
              <w:t xml:space="preserve">La meta incluye los hogares que no disponían de acceso a </w:t>
            </w:r>
            <w:r w:rsidRPr="00452C5F">
              <w:rPr>
                <w:rFonts w:ascii="Arial" w:eastAsia="Arial" w:hAnsi="Arial" w:cs="Arial"/>
                <w:sz w:val="20"/>
                <w:lang w:val="es-ES" w:eastAsia="zh-CN"/>
              </w:rPr>
              <w:lastRenderedPageBreak/>
              <w:t>cloaca o que disponían de acceso a cloacas sin tratamiento de sus aguas residuales</w:t>
            </w:r>
          </w:p>
        </w:tc>
        <w:tc>
          <w:tcPr>
            <w:tcW w:w="5760" w:type="dxa"/>
            <w:vAlign w:val="center"/>
          </w:tcPr>
          <w:p w14:paraId="263BAF24" w14:textId="77777777" w:rsidR="00E95303" w:rsidRPr="00452C5F" w:rsidRDefault="00E95303" w:rsidP="00E70B4A">
            <w:pPr>
              <w:rPr>
                <w:rFonts w:ascii="Arial" w:hAnsi="Arial" w:cs="Arial"/>
                <w:sz w:val="20"/>
                <w:lang w:val="es-ES"/>
              </w:rPr>
            </w:pPr>
            <w:r w:rsidRPr="00452C5F">
              <w:rPr>
                <w:rFonts w:ascii="Arial" w:hAnsi="Arial" w:cs="Arial"/>
                <w:b/>
                <w:bCs/>
                <w:sz w:val="20"/>
                <w:lang w:val="es-ES"/>
              </w:rPr>
              <w:lastRenderedPageBreak/>
              <w:t>Indicadores originales</w:t>
            </w:r>
            <w:r w:rsidRPr="00452C5F">
              <w:rPr>
                <w:rFonts w:ascii="Arial" w:hAnsi="Arial" w:cs="Arial"/>
                <w:sz w:val="20"/>
                <w:lang w:val="es-ES"/>
              </w:rPr>
              <w:t>:</w:t>
            </w:r>
          </w:p>
          <w:p w14:paraId="6E902E64" w14:textId="77777777" w:rsidR="001F009B" w:rsidRPr="00452C5F" w:rsidRDefault="001F009B" w:rsidP="001F009B">
            <w:pPr>
              <w:pStyle w:val="Default"/>
              <w:rPr>
                <w:rFonts w:ascii="Arial" w:hAnsi="Arial" w:cs="Arial"/>
                <w:b/>
                <w:bCs/>
                <w:sz w:val="20"/>
                <w:szCs w:val="20"/>
                <w:lang w:val="es-ES"/>
              </w:rPr>
            </w:pPr>
            <w:r w:rsidRPr="00452C5F">
              <w:rPr>
                <w:rFonts w:ascii="Arial" w:hAnsi="Arial" w:cs="Arial"/>
                <w:b/>
                <w:bCs/>
                <w:sz w:val="20"/>
                <w:szCs w:val="20"/>
                <w:lang w:val="es-ES"/>
              </w:rPr>
              <w:t xml:space="preserve">Indicador original 1: </w:t>
            </w:r>
            <w:r w:rsidRPr="00452C5F">
              <w:rPr>
                <w:rFonts w:ascii="Arial" w:hAnsi="Arial" w:cs="Arial"/>
                <w:b/>
                <w:bCs/>
                <w:sz w:val="20"/>
                <w:szCs w:val="20"/>
                <w:lang w:val="es-ES_tradnl"/>
              </w:rPr>
              <w:t xml:space="preserve">Sistema de Saneamiento de la Ciudad de Santiago del Estero construido </w:t>
            </w:r>
          </w:p>
          <w:p w14:paraId="344EA494" w14:textId="77777777" w:rsidR="001F009B" w:rsidRPr="00452C5F" w:rsidRDefault="001F009B" w:rsidP="00BC334E">
            <w:pPr>
              <w:pStyle w:val="Default"/>
              <w:numPr>
                <w:ilvl w:val="0"/>
                <w:numId w:val="36"/>
              </w:numPr>
              <w:rPr>
                <w:rFonts w:ascii="Arial" w:hAnsi="Arial" w:cs="Arial"/>
                <w:sz w:val="20"/>
                <w:szCs w:val="20"/>
                <w:lang w:val="es-ES"/>
              </w:rPr>
            </w:pPr>
            <w:r w:rsidRPr="00452C5F">
              <w:rPr>
                <w:rFonts w:ascii="Arial" w:hAnsi="Arial" w:cs="Arial"/>
                <w:sz w:val="20"/>
                <w:szCs w:val="20"/>
                <w:lang w:val="es-ES"/>
              </w:rPr>
              <w:t xml:space="preserve">Hogares con adecuado nivel de tratamiento de sus aguas residuales </w:t>
            </w:r>
          </w:p>
          <w:p w14:paraId="656B450D" w14:textId="09DF0F7C" w:rsidR="001F009B" w:rsidRPr="00452C5F" w:rsidRDefault="001F009B" w:rsidP="001F009B">
            <w:pPr>
              <w:pStyle w:val="Default"/>
              <w:ind w:left="720"/>
              <w:rPr>
                <w:rFonts w:ascii="Arial" w:hAnsi="Arial" w:cs="Arial"/>
                <w:sz w:val="20"/>
                <w:szCs w:val="20"/>
                <w:lang w:val="es-ES"/>
              </w:rPr>
            </w:pPr>
            <w:r w:rsidRPr="00452C5F">
              <w:rPr>
                <w:rFonts w:ascii="Arial" w:hAnsi="Arial" w:cs="Arial"/>
                <w:b/>
                <w:bCs/>
                <w:sz w:val="20"/>
                <w:szCs w:val="20"/>
                <w:lang w:val="es-ES"/>
              </w:rPr>
              <w:lastRenderedPageBreak/>
              <w:t>Meta original:</w:t>
            </w:r>
            <w:r w:rsidR="00BC334E" w:rsidRPr="00452C5F">
              <w:rPr>
                <w:rFonts w:ascii="Arial" w:hAnsi="Arial" w:cs="Arial"/>
                <w:b/>
                <w:bCs/>
                <w:sz w:val="20"/>
                <w:szCs w:val="20"/>
                <w:lang w:val="es-ES"/>
              </w:rPr>
              <w:t xml:space="preserve"> </w:t>
            </w:r>
            <w:r w:rsidRPr="00452C5F">
              <w:rPr>
                <w:rFonts w:ascii="Arial" w:hAnsi="Arial" w:cs="Arial"/>
                <w:sz w:val="20"/>
                <w:szCs w:val="20"/>
                <w:lang w:val="es-ES"/>
              </w:rPr>
              <w:t>60%</w:t>
            </w:r>
          </w:p>
          <w:p w14:paraId="039DB077" w14:textId="757A91FE" w:rsidR="001F009B" w:rsidRPr="00452C5F" w:rsidRDefault="001F009B" w:rsidP="001F009B">
            <w:pPr>
              <w:pStyle w:val="Default"/>
              <w:rPr>
                <w:rFonts w:ascii="Arial" w:hAnsi="Arial" w:cs="Arial"/>
                <w:sz w:val="20"/>
                <w:szCs w:val="20"/>
                <w:lang w:val="es-ES"/>
              </w:rPr>
            </w:pPr>
            <w:r w:rsidRPr="00452C5F">
              <w:rPr>
                <w:rFonts w:ascii="Arial" w:hAnsi="Arial" w:cs="Arial"/>
                <w:b/>
                <w:bCs/>
                <w:sz w:val="20"/>
                <w:szCs w:val="20"/>
                <w:lang w:val="es-ES"/>
              </w:rPr>
              <w:t xml:space="preserve">Indicador original 3: </w:t>
            </w:r>
            <w:r w:rsidRPr="00452C5F">
              <w:rPr>
                <w:rFonts w:ascii="Arial" w:hAnsi="Arial" w:cs="Arial"/>
                <w:b/>
                <w:bCs/>
                <w:sz w:val="20"/>
                <w:szCs w:val="20"/>
                <w:lang w:val="es-ES_tradnl"/>
              </w:rPr>
              <w:t xml:space="preserve">Servicios de Agua Potable de los Municipios de Fray Mamerto Esquiú y Valle Viejo nuevos </w:t>
            </w:r>
          </w:p>
          <w:p w14:paraId="7A5643C6" w14:textId="77777777" w:rsidR="001F009B" w:rsidRPr="00452C5F" w:rsidRDefault="001F009B" w:rsidP="00D1657B">
            <w:pPr>
              <w:pStyle w:val="Default"/>
              <w:numPr>
                <w:ilvl w:val="0"/>
                <w:numId w:val="36"/>
              </w:numPr>
              <w:rPr>
                <w:rFonts w:ascii="Arial" w:hAnsi="Arial" w:cs="Arial"/>
                <w:sz w:val="20"/>
                <w:szCs w:val="20"/>
                <w:lang w:val="es-ES"/>
              </w:rPr>
            </w:pPr>
            <w:r w:rsidRPr="00452C5F">
              <w:rPr>
                <w:rFonts w:ascii="Arial" w:hAnsi="Arial" w:cs="Arial"/>
                <w:sz w:val="20"/>
                <w:szCs w:val="20"/>
                <w:lang w:val="es-ES"/>
              </w:rPr>
              <w:t xml:space="preserve">Hogares con adecuado nivel de tratamiento de sus aguas residuales </w:t>
            </w:r>
          </w:p>
          <w:p w14:paraId="389AD115" w14:textId="4DD41A80" w:rsidR="001F009B" w:rsidRPr="00452C5F" w:rsidRDefault="001F009B" w:rsidP="001F009B">
            <w:pPr>
              <w:pStyle w:val="Default"/>
              <w:ind w:left="720"/>
              <w:rPr>
                <w:rFonts w:ascii="Arial" w:hAnsi="Arial" w:cs="Arial"/>
                <w:sz w:val="20"/>
                <w:szCs w:val="20"/>
                <w:lang w:val="es-ES"/>
              </w:rPr>
            </w:pPr>
            <w:r w:rsidRPr="00452C5F">
              <w:rPr>
                <w:rFonts w:ascii="Arial" w:hAnsi="Arial" w:cs="Arial"/>
                <w:b/>
                <w:bCs/>
                <w:sz w:val="20"/>
                <w:szCs w:val="20"/>
                <w:lang w:val="es-ES"/>
              </w:rPr>
              <w:t xml:space="preserve">Meta original: </w:t>
            </w:r>
            <w:r w:rsidRPr="00452C5F">
              <w:rPr>
                <w:rFonts w:ascii="Arial" w:hAnsi="Arial" w:cs="Arial"/>
                <w:sz w:val="20"/>
                <w:szCs w:val="20"/>
                <w:lang w:val="es-ES"/>
              </w:rPr>
              <w:t>90%</w:t>
            </w:r>
          </w:p>
          <w:p w14:paraId="470F0FDA" w14:textId="1FA0152E" w:rsidR="00E95303" w:rsidRPr="00452C5F" w:rsidRDefault="00E95303" w:rsidP="00E70B4A">
            <w:pPr>
              <w:autoSpaceDE w:val="0"/>
              <w:autoSpaceDN w:val="0"/>
              <w:adjustRightInd w:val="0"/>
              <w:rPr>
                <w:rFonts w:ascii="Arial" w:eastAsia="Arial" w:hAnsi="Arial" w:cs="Arial"/>
                <w:b/>
                <w:bCs/>
                <w:color w:val="000000" w:themeColor="text1"/>
                <w:sz w:val="20"/>
                <w:lang w:val="es-ES"/>
              </w:rPr>
            </w:pPr>
            <w:r w:rsidRPr="00452C5F">
              <w:rPr>
                <w:rFonts w:ascii="Arial" w:eastAsia="Arial" w:hAnsi="Arial" w:cs="Arial"/>
                <w:b/>
                <w:bCs/>
                <w:sz w:val="20"/>
                <w:lang w:val="es-ES" w:eastAsia="zh-CN"/>
              </w:rPr>
              <w:t xml:space="preserve">Justificación de los cambios: </w:t>
            </w:r>
            <w:r w:rsidRPr="00452C5F">
              <w:rPr>
                <w:rFonts w:ascii="Arial" w:hAnsi="Arial" w:cs="Arial"/>
                <w:sz w:val="20"/>
                <w:lang w:val="es-ES"/>
              </w:rPr>
              <w:t>La matriz original definió dos indicadores referidos a los resultados de cobertura de los proyectos de la muestra del programa</w:t>
            </w:r>
            <w:r w:rsidR="009815D7" w:rsidRPr="00452C5F">
              <w:rPr>
                <w:rFonts w:ascii="Arial" w:hAnsi="Arial" w:cs="Arial"/>
                <w:sz w:val="20"/>
                <w:lang w:val="es-ES"/>
              </w:rPr>
              <w:t xml:space="preserve"> que no fueron priorizados</w:t>
            </w:r>
            <w:r w:rsidRPr="00452C5F">
              <w:rPr>
                <w:rFonts w:ascii="Arial" w:hAnsi="Arial" w:cs="Arial"/>
                <w:sz w:val="20"/>
                <w:lang w:val="es-ES"/>
              </w:rPr>
              <w:t xml:space="preserve">. Se sustituyó por un solo indicador que permita monitorear la cobertura de todos los proyectos. Se clarificó la redacción del indicador y se cambió la unidad de medida de % a # de hogares, a fin de simplificar la medición final. </w:t>
            </w:r>
          </w:p>
        </w:tc>
      </w:tr>
      <w:tr w:rsidR="00E95303" w:rsidRPr="00452C5F" w14:paraId="65947E6E" w14:textId="77777777" w:rsidTr="0016717D">
        <w:trPr>
          <w:jc w:val="center"/>
        </w:trPr>
        <w:tc>
          <w:tcPr>
            <w:tcW w:w="1885" w:type="dxa"/>
            <w:vAlign w:val="center"/>
          </w:tcPr>
          <w:p w14:paraId="5643E28D" w14:textId="056052B6"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lastRenderedPageBreak/>
              <w:t>1.3 Caudal de aguas residuales tratado</w:t>
            </w:r>
          </w:p>
        </w:tc>
        <w:tc>
          <w:tcPr>
            <w:tcW w:w="1115" w:type="dxa"/>
            <w:vAlign w:val="center"/>
          </w:tcPr>
          <w:p w14:paraId="05572E9E"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l/s</w:t>
            </w:r>
          </w:p>
        </w:tc>
        <w:tc>
          <w:tcPr>
            <w:tcW w:w="865" w:type="dxa"/>
            <w:vAlign w:val="center"/>
          </w:tcPr>
          <w:p w14:paraId="7CA40C61"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3C7BF327"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7A2BFA34" w14:textId="5B51CE4E"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w:t>
            </w:r>
            <w:r w:rsidR="007D0790" w:rsidRPr="00452C5F">
              <w:rPr>
                <w:rFonts w:ascii="Arial" w:hAnsi="Arial" w:cs="Arial"/>
                <w:sz w:val="20"/>
                <w:lang w:val="es-ES"/>
              </w:rPr>
              <w:t>.</w:t>
            </w:r>
            <w:r w:rsidRPr="00452C5F">
              <w:rPr>
                <w:rFonts w:ascii="Arial" w:hAnsi="Arial" w:cs="Arial"/>
                <w:sz w:val="20"/>
                <w:lang w:val="es-ES"/>
              </w:rPr>
              <w:t>128</w:t>
            </w:r>
          </w:p>
        </w:tc>
        <w:tc>
          <w:tcPr>
            <w:tcW w:w="1620" w:type="dxa"/>
            <w:vAlign w:val="center"/>
          </w:tcPr>
          <w:p w14:paraId="042A9155" w14:textId="6C647D65"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Informes de la Unidad Ejecutora basado en Reportes de los Entes Operadores</w:t>
            </w:r>
          </w:p>
        </w:tc>
        <w:tc>
          <w:tcPr>
            <w:tcW w:w="1620" w:type="dxa"/>
            <w:vAlign w:val="center"/>
          </w:tcPr>
          <w:p w14:paraId="701627D8"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c>
          <w:tcPr>
            <w:tcW w:w="5760" w:type="dxa"/>
            <w:vAlign w:val="center"/>
          </w:tcPr>
          <w:p w14:paraId="3FD62EA5" w14:textId="77777777" w:rsidR="009E7E74" w:rsidRPr="00452C5F" w:rsidRDefault="009E7E74" w:rsidP="009E7E74">
            <w:pPr>
              <w:pStyle w:val="Default"/>
              <w:rPr>
                <w:rFonts w:ascii="Arial" w:hAnsi="Arial" w:cs="Arial"/>
                <w:b/>
                <w:bCs/>
                <w:sz w:val="20"/>
                <w:szCs w:val="20"/>
                <w:lang w:val="es-ES"/>
              </w:rPr>
            </w:pPr>
            <w:r w:rsidRPr="00452C5F">
              <w:rPr>
                <w:rFonts w:ascii="Arial" w:hAnsi="Arial" w:cs="Arial"/>
                <w:b/>
                <w:bCs/>
                <w:sz w:val="20"/>
                <w:szCs w:val="20"/>
                <w:lang w:val="es-ES"/>
              </w:rPr>
              <w:t xml:space="preserve">Indicador original 1: </w:t>
            </w:r>
            <w:r w:rsidRPr="00452C5F">
              <w:rPr>
                <w:rFonts w:ascii="Arial" w:hAnsi="Arial" w:cs="Arial"/>
                <w:b/>
                <w:bCs/>
                <w:sz w:val="20"/>
                <w:szCs w:val="20"/>
                <w:lang w:val="es-ES_tradnl"/>
              </w:rPr>
              <w:t xml:space="preserve">Sistema de Saneamiento de la Ciudad de Santiago del Estero construido </w:t>
            </w:r>
          </w:p>
          <w:p w14:paraId="2B30D75F" w14:textId="77777777" w:rsidR="009E7E74" w:rsidRPr="00452C5F" w:rsidRDefault="009E7E74" w:rsidP="009E7E74">
            <w:pPr>
              <w:pStyle w:val="Default"/>
              <w:ind w:left="720"/>
              <w:rPr>
                <w:rFonts w:ascii="Arial" w:hAnsi="Arial" w:cs="Arial"/>
                <w:sz w:val="20"/>
                <w:szCs w:val="20"/>
                <w:lang w:val="es-ES"/>
              </w:rPr>
            </w:pPr>
            <w:r w:rsidRPr="00452C5F">
              <w:rPr>
                <w:rFonts w:ascii="Arial" w:hAnsi="Arial" w:cs="Arial"/>
                <w:sz w:val="20"/>
                <w:szCs w:val="20"/>
                <w:lang w:val="es-ES"/>
              </w:rPr>
              <w:t xml:space="preserve">Caudal de aguas residuales tratado </w:t>
            </w:r>
          </w:p>
          <w:p w14:paraId="2F596C3B" w14:textId="281DA63F" w:rsidR="009E7E74" w:rsidRPr="00452C5F" w:rsidRDefault="009E7E74" w:rsidP="009E7E74">
            <w:pPr>
              <w:pStyle w:val="Default"/>
              <w:ind w:left="720"/>
              <w:rPr>
                <w:rFonts w:ascii="Arial" w:hAnsi="Arial" w:cs="Arial"/>
                <w:sz w:val="20"/>
                <w:szCs w:val="20"/>
                <w:lang w:val="es-ES"/>
              </w:rPr>
            </w:pPr>
            <w:r w:rsidRPr="00452C5F">
              <w:rPr>
                <w:rFonts w:ascii="Arial" w:hAnsi="Arial" w:cs="Arial"/>
                <w:b/>
                <w:bCs/>
                <w:sz w:val="20"/>
                <w:szCs w:val="20"/>
                <w:lang w:val="es-ES"/>
              </w:rPr>
              <w:t>Meta original:</w:t>
            </w:r>
            <w:r w:rsidR="00356CC1" w:rsidRPr="00452C5F">
              <w:rPr>
                <w:rFonts w:ascii="Arial" w:hAnsi="Arial" w:cs="Arial"/>
                <w:b/>
                <w:bCs/>
                <w:sz w:val="20"/>
                <w:szCs w:val="20"/>
                <w:lang w:val="es-ES"/>
              </w:rPr>
              <w:t xml:space="preserve"> </w:t>
            </w:r>
            <w:r w:rsidRPr="00452C5F">
              <w:rPr>
                <w:rFonts w:ascii="Arial" w:hAnsi="Arial" w:cs="Arial"/>
                <w:sz w:val="20"/>
                <w:szCs w:val="20"/>
                <w:lang w:val="es-ES"/>
              </w:rPr>
              <w:t>0,648 m</w:t>
            </w:r>
            <w:r w:rsidRPr="00452C5F">
              <w:rPr>
                <w:rFonts w:ascii="Arial" w:hAnsi="Arial" w:cs="Arial"/>
                <w:sz w:val="20"/>
                <w:szCs w:val="20"/>
                <w:vertAlign w:val="superscript"/>
                <w:lang w:val="es-ES"/>
              </w:rPr>
              <w:t>3</w:t>
            </w:r>
            <w:r w:rsidRPr="00452C5F">
              <w:rPr>
                <w:rFonts w:ascii="Arial" w:hAnsi="Arial" w:cs="Arial"/>
                <w:sz w:val="20"/>
                <w:szCs w:val="20"/>
                <w:lang w:val="es-ES"/>
              </w:rPr>
              <w:t>/</w:t>
            </w:r>
            <w:proofErr w:type="spellStart"/>
            <w:r w:rsidRPr="00452C5F">
              <w:rPr>
                <w:rFonts w:ascii="Arial" w:hAnsi="Arial" w:cs="Arial"/>
                <w:sz w:val="20"/>
                <w:szCs w:val="20"/>
                <w:lang w:val="es-ES"/>
              </w:rPr>
              <w:t>seg</w:t>
            </w:r>
            <w:proofErr w:type="spellEnd"/>
          </w:p>
          <w:p w14:paraId="706FA541" w14:textId="77777777" w:rsidR="009E7E74" w:rsidRPr="00452C5F" w:rsidRDefault="009E7E74" w:rsidP="009E7E74">
            <w:pPr>
              <w:pStyle w:val="Default"/>
              <w:rPr>
                <w:rFonts w:ascii="Arial" w:hAnsi="Arial" w:cs="Arial"/>
                <w:sz w:val="20"/>
                <w:szCs w:val="20"/>
                <w:lang w:val="es-ES"/>
              </w:rPr>
            </w:pPr>
            <w:r w:rsidRPr="00452C5F">
              <w:rPr>
                <w:rFonts w:ascii="Arial" w:hAnsi="Arial" w:cs="Arial"/>
                <w:b/>
                <w:bCs/>
                <w:sz w:val="20"/>
                <w:szCs w:val="20"/>
                <w:lang w:val="es-ES"/>
              </w:rPr>
              <w:t xml:space="preserve">Indicador original 3: </w:t>
            </w:r>
            <w:r w:rsidRPr="00452C5F">
              <w:rPr>
                <w:rFonts w:ascii="Arial" w:hAnsi="Arial" w:cs="Arial"/>
                <w:b/>
                <w:bCs/>
                <w:sz w:val="20"/>
                <w:szCs w:val="20"/>
                <w:lang w:val="es-ES_tradnl"/>
              </w:rPr>
              <w:t xml:space="preserve">Servicios de Agua Potable de los Municipios de Fray Mamerto Esquiú y Valle Viejo nuevos </w:t>
            </w:r>
          </w:p>
          <w:p w14:paraId="3A765BF4" w14:textId="77777777" w:rsidR="009E7E74" w:rsidRPr="00452C5F" w:rsidRDefault="009E7E74" w:rsidP="009E7E74">
            <w:pPr>
              <w:pStyle w:val="Default"/>
              <w:ind w:left="720"/>
              <w:rPr>
                <w:rFonts w:ascii="Arial" w:hAnsi="Arial" w:cs="Arial"/>
                <w:sz w:val="20"/>
                <w:szCs w:val="20"/>
                <w:lang w:val="es-ES"/>
              </w:rPr>
            </w:pPr>
            <w:r w:rsidRPr="00452C5F">
              <w:rPr>
                <w:rFonts w:ascii="Arial" w:hAnsi="Arial" w:cs="Arial"/>
                <w:sz w:val="20"/>
                <w:szCs w:val="20"/>
                <w:lang w:val="es-ES"/>
              </w:rPr>
              <w:t xml:space="preserve">Caudal de aguas residuales tratado </w:t>
            </w:r>
          </w:p>
          <w:p w14:paraId="5F4F5F6E" w14:textId="7C32DED6" w:rsidR="009E7E74" w:rsidRPr="00452C5F" w:rsidRDefault="009E7E74" w:rsidP="009E7E74">
            <w:pPr>
              <w:pStyle w:val="Default"/>
              <w:ind w:left="720"/>
              <w:rPr>
                <w:rFonts w:ascii="Arial" w:hAnsi="Arial" w:cs="Arial"/>
                <w:sz w:val="20"/>
                <w:szCs w:val="20"/>
                <w:lang w:val="es-ES"/>
              </w:rPr>
            </w:pPr>
            <w:r w:rsidRPr="00452C5F">
              <w:rPr>
                <w:rFonts w:ascii="Arial" w:hAnsi="Arial" w:cs="Arial"/>
                <w:b/>
                <w:bCs/>
                <w:sz w:val="20"/>
                <w:szCs w:val="20"/>
                <w:lang w:val="es-ES"/>
              </w:rPr>
              <w:t>Meta original:</w:t>
            </w:r>
            <w:r w:rsidR="00356CC1" w:rsidRPr="00452C5F">
              <w:rPr>
                <w:rFonts w:ascii="Arial" w:hAnsi="Arial" w:cs="Arial"/>
                <w:b/>
                <w:bCs/>
                <w:sz w:val="20"/>
                <w:szCs w:val="20"/>
                <w:lang w:val="es-ES"/>
              </w:rPr>
              <w:t xml:space="preserve"> </w:t>
            </w:r>
            <w:r w:rsidRPr="00452C5F">
              <w:rPr>
                <w:rFonts w:ascii="Arial" w:hAnsi="Arial" w:cs="Arial"/>
                <w:sz w:val="20"/>
                <w:szCs w:val="20"/>
                <w:lang w:val="es-ES"/>
              </w:rPr>
              <w:t>0,170 m</w:t>
            </w:r>
            <w:r w:rsidRPr="00452C5F">
              <w:rPr>
                <w:rFonts w:ascii="Arial" w:hAnsi="Arial" w:cs="Arial"/>
                <w:sz w:val="20"/>
                <w:szCs w:val="20"/>
                <w:vertAlign w:val="superscript"/>
                <w:lang w:val="es-ES"/>
              </w:rPr>
              <w:t>3</w:t>
            </w:r>
            <w:r w:rsidRPr="00452C5F">
              <w:rPr>
                <w:rFonts w:ascii="Arial" w:hAnsi="Arial" w:cs="Arial"/>
                <w:sz w:val="20"/>
                <w:szCs w:val="20"/>
                <w:lang w:val="es-ES"/>
              </w:rPr>
              <w:t>/</w:t>
            </w:r>
            <w:proofErr w:type="spellStart"/>
            <w:r w:rsidRPr="00452C5F">
              <w:rPr>
                <w:rFonts w:ascii="Arial" w:hAnsi="Arial" w:cs="Arial"/>
                <w:sz w:val="20"/>
                <w:szCs w:val="20"/>
                <w:lang w:val="es-ES"/>
              </w:rPr>
              <w:t>seg</w:t>
            </w:r>
            <w:proofErr w:type="spellEnd"/>
          </w:p>
          <w:p w14:paraId="114D8282" w14:textId="71913BA3" w:rsidR="00E95303" w:rsidRPr="00452C5F" w:rsidRDefault="00E95303" w:rsidP="00E70B4A">
            <w:pPr>
              <w:pStyle w:val="Default"/>
              <w:rPr>
                <w:rFonts w:ascii="Arial" w:eastAsiaTheme="minorHAnsi" w:hAnsi="Arial" w:cs="Arial"/>
                <w:sz w:val="20"/>
                <w:szCs w:val="20"/>
                <w:lang w:val="es-ES"/>
              </w:rPr>
            </w:pPr>
            <w:r w:rsidRPr="00452C5F">
              <w:rPr>
                <w:rFonts w:ascii="Arial" w:eastAsia="Arial" w:hAnsi="Arial" w:cs="Arial"/>
                <w:b/>
                <w:bCs/>
                <w:sz w:val="20"/>
                <w:szCs w:val="20"/>
                <w:lang w:val="es-ES" w:eastAsia="zh-CN"/>
              </w:rPr>
              <w:t xml:space="preserve">Justificación de los cambios: </w:t>
            </w:r>
            <w:r w:rsidRPr="00452C5F">
              <w:rPr>
                <w:rFonts w:ascii="Arial" w:hAnsi="Arial" w:cs="Arial"/>
                <w:sz w:val="20"/>
                <w:szCs w:val="20"/>
                <w:lang w:val="es-ES"/>
              </w:rPr>
              <w:t>La matriz original definió dos indicadores referidos a los resultados de los proyectos de la muestra del programa</w:t>
            </w:r>
            <w:r w:rsidR="00BA52D1" w:rsidRPr="00452C5F">
              <w:rPr>
                <w:rFonts w:ascii="Arial" w:hAnsi="Arial" w:cs="Arial"/>
                <w:sz w:val="20"/>
                <w:szCs w:val="20"/>
                <w:lang w:val="es-ES"/>
              </w:rPr>
              <w:t xml:space="preserve"> que no fueron priorizados</w:t>
            </w:r>
            <w:r w:rsidRPr="00452C5F">
              <w:rPr>
                <w:rFonts w:ascii="Arial" w:hAnsi="Arial" w:cs="Arial"/>
                <w:sz w:val="20"/>
                <w:szCs w:val="20"/>
                <w:lang w:val="es-ES"/>
              </w:rPr>
              <w:t>. Posteriormente, se decidió sustituir por un solo indicador que permita monitorear los avances correspondientes a todos los proyectos del programa. Se cambió la unidad de medida de m</w:t>
            </w:r>
            <w:r w:rsidRPr="00452C5F">
              <w:rPr>
                <w:rFonts w:ascii="Arial" w:hAnsi="Arial" w:cs="Arial"/>
                <w:sz w:val="20"/>
                <w:szCs w:val="20"/>
                <w:vertAlign w:val="superscript"/>
                <w:lang w:val="es-ES"/>
              </w:rPr>
              <w:t>3</w:t>
            </w:r>
            <w:r w:rsidRPr="00452C5F">
              <w:rPr>
                <w:rFonts w:ascii="Arial" w:hAnsi="Arial" w:cs="Arial"/>
                <w:sz w:val="20"/>
                <w:szCs w:val="20"/>
                <w:lang w:val="es-ES"/>
              </w:rPr>
              <w:t>/s a l/s y se ajustó la meta correspondientemente.</w:t>
            </w:r>
          </w:p>
        </w:tc>
      </w:tr>
      <w:tr w:rsidR="00E95303" w:rsidRPr="00452C5F" w14:paraId="29E74FC8" w14:textId="77777777" w:rsidTr="0016717D">
        <w:trPr>
          <w:jc w:val="center"/>
        </w:trPr>
        <w:tc>
          <w:tcPr>
            <w:tcW w:w="1885" w:type="dxa"/>
            <w:vAlign w:val="center"/>
          </w:tcPr>
          <w:p w14:paraId="0CC32D90" w14:textId="662B7D95"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t>1.4 Hogares con nueva conexión a servicio de agua potable por red construida y/o rehabilitada</w:t>
            </w:r>
          </w:p>
        </w:tc>
        <w:tc>
          <w:tcPr>
            <w:tcW w:w="1115" w:type="dxa"/>
            <w:vAlign w:val="center"/>
          </w:tcPr>
          <w:p w14:paraId="36B79A7F"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Hogares</w:t>
            </w:r>
          </w:p>
        </w:tc>
        <w:tc>
          <w:tcPr>
            <w:tcW w:w="865" w:type="dxa"/>
            <w:vAlign w:val="center"/>
          </w:tcPr>
          <w:p w14:paraId="3CAEC1EB"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17522EAA"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46D4DE83" w14:textId="2D7D9A91"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31</w:t>
            </w:r>
            <w:r w:rsidR="007D0790" w:rsidRPr="00452C5F">
              <w:rPr>
                <w:rFonts w:ascii="Arial" w:hAnsi="Arial" w:cs="Arial"/>
                <w:sz w:val="20"/>
                <w:lang w:val="es-ES"/>
              </w:rPr>
              <w:t>.</w:t>
            </w:r>
            <w:r w:rsidRPr="00452C5F">
              <w:rPr>
                <w:rFonts w:ascii="Arial" w:hAnsi="Arial" w:cs="Arial"/>
                <w:sz w:val="20"/>
                <w:lang w:val="es-ES"/>
              </w:rPr>
              <w:t>000</w:t>
            </w:r>
          </w:p>
        </w:tc>
        <w:tc>
          <w:tcPr>
            <w:tcW w:w="1620" w:type="dxa"/>
            <w:vAlign w:val="center"/>
          </w:tcPr>
          <w:p w14:paraId="6F692E9D" w14:textId="469F738F"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Informes de la Unidad Ejecutora basado en Reportes de los Entes Operadores</w:t>
            </w:r>
          </w:p>
        </w:tc>
        <w:tc>
          <w:tcPr>
            <w:tcW w:w="1620" w:type="dxa"/>
            <w:vAlign w:val="center"/>
          </w:tcPr>
          <w:p w14:paraId="312E33DF"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c>
          <w:tcPr>
            <w:tcW w:w="5760" w:type="dxa"/>
            <w:vAlign w:val="center"/>
          </w:tcPr>
          <w:p w14:paraId="3FC73B0B" w14:textId="70747733" w:rsidR="00BF3F31" w:rsidRPr="00452C5F" w:rsidRDefault="00BF3F31" w:rsidP="00BF3F31">
            <w:pPr>
              <w:rPr>
                <w:rFonts w:ascii="Arial" w:hAnsi="Arial" w:cs="Arial"/>
                <w:sz w:val="20"/>
                <w:lang w:val="es-ES"/>
              </w:rPr>
            </w:pPr>
            <w:r w:rsidRPr="00452C5F">
              <w:rPr>
                <w:rFonts w:ascii="Arial" w:hAnsi="Arial" w:cs="Arial"/>
                <w:b/>
                <w:bCs/>
                <w:sz w:val="20"/>
                <w:lang w:val="es-ES"/>
              </w:rPr>
              <w:t>Indicador original de Resultados Globales:</w:t>
            </w:r>
          </w:p>
          <w:p w14:paraId="427DD580" w14:textId="77777777" w:rsidR="00BF3F31" w:rsidRPr="00452C5F" w:rsidRDefault="00BF3F31" w:rsidP="00BF3F31">
            <w:pPr>
              <w:pStyle w:val="Default"/>
              <w:rPr>
                <w:rFonts w:ascii="Arial" w:hAnsi="Arial" w:cs="Arial"/>
                <w:sz w:val="20"/>
                <w:szCs w:val="20"/>
                <w:lang w:val="es-ES"/>
              </w:rPr>
            </w:pPr>
            <w:r w:rsidRPr="00452C5F">
              <w:rPr>
                <w:rFonts w:ascii="Arial" w:hAnsi="Arial" w:cs="Arial"/>
                <w:sz w:val="20"/>
                <w:szCs w:val="20"/>
                <w:lang w:val="es-ES"/>
              </w:rPr>
              <w:t>Cobertura de agua potable en la Región del Norte Grande Argentino</w:t>
            </w:r>
          </w:p>
          <w:p w14:paraId="44CE9ED9" w14:textId="77777777" w:rsidR="00BF3F31" w:rsidRPr="00452C5F" w:rsidRDefault="00BF3F31" w:rsidP="00BF3F31">
            <w:pPr>
              <w:pStyle w:val="Default"/>
              <w:rPr>
                <w:rFonts w:ascii="Arial" w:hAnsi="Arial" w:cs="Arial"/>
                <w:b/>
                <w:bCs/>
                <w:sz w:val="20"/>
                <w:szCs w:val="20"/>
                <w:lang w:val="es-ES"/>
              </w:rPr>
            </w:pPr>
            <w:r w:rsidRPr="00452C5F">
              <w:rPr>
                <w:rFonts w:ascii="Arial" w:hAnsi="Arial" w:cs="Arial"/>
                <w:b/>
                <w:bCs/>
                <w:sz w:val="20"/>
                <w:szCs w:val="20"/>
                <w:lang w:val="es-ES"/>
              </w:rPr>
              <w:t>Meta original:</w:t>
            </w:r>
          </w:p>
          <w:p w14:paraId="45B0B17D" w14:textId="77777777" w:rsidR="00BF3F31" w:rsidRPr="00452C5F" w:rsidRDefault="00BF3F31" w:rsidP="00BF3F31">
            <w:pPr>
              <w:pStyle w:val="Default"/>
              <w:rPr>
                <w:rFonts w:ascii="Arial" w:hAnsi="Arial" w:cs="Arial"/>
                <w:sz w:val="20"/>
                <w:szCs w:val="20"/>
                <w:lang w:val="es-ES"/>
              </w:rPr>
            </w:pPr>
            <w:r w:rsidRPr="00452C5F">
              <w:rPr>
                <w:rFonts w:ascii="Arial" w:hAnsi="Arial" w:cs="Arial"/>
                <w:sz w:val="20"/>
                <w:szCs w:val="20"/>
                <w:lang w:val="es-ES"/>
              </w:rPr>
              <w:t>62,8%</w:t>
            </w:r>
          </w:p>
          <w:p w14:paraId="017CC03B" w14:textId="7D6B24B2" w:rsidR="00E95303" w:rsidRPr="00452C5F" w:rsidRDefault="00E95303" w:rsidP="00E70B4A">
            <w:pPr>
              <w:autoSpaceDE w:val="0"/>
              <w:autoSpaceDN w:val="0"/>
              <w:adjustRightInd w:val="0"/>
              <w:rPr>
                <w:rFonts w:ascii="Arial" w:eastAsia="Arial" w:hAnsi="Arial" w:cs="Arial"/>
                <w:b/>
                <w:bCs/>
                <w:color w:val="000000" w:themeColor="text1"/>
                <w:sz w:val="20"/>
                <w:lang w:val="es-ES"/>
              </w:rPr>
            </w:pPr>
            <w:r w:rsidRPr="00452C5F">
              <w:rPr>
                <w:rFonts w:ascii="Arial" w:eastAsia="Arial" w:hAnsi="Arial" w:cs="Arial"/>
                <w:b/>
                <w:bCs/>
                <w:sz w:val="20"/>
                <w:lang w:val="es-ES" w:eastAsia="zh-CN"/>
              </w:rPr>
              <w:t>Justificación de los cambios</w:t>
            </w:r>
            <w:r w:rsidRPr="00452C5F">
              <w:rPr>
                <w:rFonts w:ascii="Arial" w:hAnsi="Arial" w:cs="Arial"/>
                <w:color w:val="222222"/>
                <w:sz w:val="20"/>
                <w:lang w:val="es-ES"/>
              </w:rPr>
              <w:t xml:space="preserve">: Se ajustó la redacción del indicador para reflejar el alcance específico del </w:t>
            </w:r>
            <w:r w:rsidR="000C522D" w:rsidRPr="00452C5F">
              <w:rPr>
                <w:rFonts w:ascii="Arial" w:hAnsi="Arial" w:cs="Arial"/>
                <w:color w:val="222222"/>
                <w:sz w:val="20"/>
                <w:lang w:val="es-ES"/>
              </w:rPr>
              <w:t>p</w:t>
            </w:r>
            <w:r w:rsidRPr="00452C5F">
              <w:rPr>
                <w:rFonts w:ascii="Arial" w:hAnsi="Arial" w:cs="Arial"/>
                <w:color w:val="222222"/>
                <w:sz w:val="20"/>
                <w:lang w:val="es-ES"/>
              </w:rPr>
              <w:t xml:space="preserve">rograma </w:t>
            </w:r>
            <w:r w:rsidRPr="00452C5F">
              <w:rPr>
                <w:rFonts w:ascii="Arial" w:hAnsi="Arial" w:cs="Arial"/>
                <w:sz w:val="20"/>
                <w:lang w:val="es-ES"/>
              </w:rPr>
              <w:t xml:space="preserve">y se cambió la unidad de medida de % a # de hogares, a fin de simplificar la medición final. </w:t>
            </w:r>
          </w:p>
        </w:tc>
      </w:tr>
      <w:tr w:rsidR="00E95303" w:rsidRPr="00452C5F" w14:paraId="0999BF68" w14:textId="77777777" w:rsidTr="0016717D">
        <w:trPr>
          <w:jc w:val="center"/>
        </w:trPr>
        <w:tc>
          <w:tcPr>
            <w:tcW w:w="1885" w:type="dxa"/>
            <w:vAlign w:val="center"/>
          </w:tcPr>
          <w:p w14:paraId="29EC75EA" w14:textId="24C2B8E1"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lastRenderedPageBreak/>
              <w:t>1.5 Caudal de agua cruda tratado</w:t>
            </w:r>
          </w:p>
        </w:tc>
        <w:tc>
          <w:tcPr>
            <w:tcW w:w="1115" w:type="dxa"/>
            <w:vAlign w:val="center"/>
          </w:tcPr>
          <w:p w14:paraId="6F745135" w14:textId="5D3B641B"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l/s</w:t>
            </w:r>
          </w:p>
        </w:tc>
        <w:tc>
          <w:tcPr>
            <w:tcW w:w="865" w:type="dxa"/>
            <w:vAlign w:val="center"/>
          </w:tcPr>
          <w:p w14:paraId="5C5C537A"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5CFB633C" w14:textId="4A7C4DE1"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331ACE90" w14:textId="1DC48410"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260</w:t>
            </w:r>
          </w:p>
        </w:tc>
        <w:tc>
          <w:tcPr>
            <w:tcW w:w="1620" w:type="dxa"/>
            <w:vAlign w:val="center"/>
          </w:tcPr>
          <w:p w14:paraId="26733505" w14:textId="3D61CC6C"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Informes de la Unidad Ejecutora basado en Reportes de los Entes Operadores</w:t>
            </w:r>
          </w:p>
        </w:tc>
        <w:tc>
          <w:tcPr>
            <w:tcW w:w="1620" w:type="dxa"/>
            <w:vAlign w:val="center"/>
          </w:tcPr>
          <w:p w14:paraId="2CC5B7F7"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c>
          <w:tcPr>
            <w:tcW w:w="5760" w:type="dxa"/>
            <w:vAlign w:val="center"/>
          </w:tcPr>
          <w:p w14:paraId="382F4C95" w14:textId="5B8029B3" w:rsidR="00E95303" w:rsidRPr="00452C5F" w:rsidRDefault="00BF3F31" w:rsidP="00E70B4A">
            <w:pPr>
              <w:autoSpaceDE w:val="0"/>
              <w:autoSpaceDN w:val="0"/>
              <w:adjustRightInd w:val="0"/>
              <w:rPr>
                <w:rFonts w:ascii="Arial" w:eastAsia="Arial" w:hAnsi="Arial" w:cs="Arial"/>
                <w:b/>
                <w:bCs/>
                <w:color w:val="000000" w:themeColor="text1"/>
                <w:sz w:val="20"/>
                <w:lang w:val="es-ES"/>
              </w:rPr>
            </w:pPr>
            <w:r w:rsidRPr="00452C5F">
              <w:rPr>
                <w:rFonts w:ascii="Arial" w:hAnsi="Arial" w:cs="Arial"/>
                <w:sz w:val="20"/>
                <w:lang w:val="es-419" w:eastAsia="zh-CN"/>
              </w:rPr>
              <w:t xml:space="preserve">Nuevo indicador de resultado agregado para </w:t>
            </w:r>
            <w:r w:rsidR="00E95303" w:rsidRPr="00452C5F">
              <w:rPr>
                <w:rFonts w:ascii="Arial" w:hAnsi="Arial" w:cs="Arial"/>
                <w:color w:val="222222"/>
                <w:sz w:val="20"/>
                <w:lang w:val="es-ES"/>
              </w:rPr>
              <w:t>medi</w:t>
            </w:r>
            <w:r w:rsidRPr="00452C5F">
              <w:rPr>
                <w:rFonts w:ascii="Arial" w:hAnsi="Arial" w:cs="Arial"/>
                <w:color w:val="222222"/>
                <w:sz w:val="20"/>
                <w:lang w:val="es-ES"/>
              </w:rPr>
              <w:t>r</w:t>
            </w:r>
            <w:r w:rsidR="00E95303" w:rsidRPr="00452C5F">
              <w:rPr>
                <w:rFonts w:ascii="Arial" w:hAnsi="Arial" w:cs="Arial"/>
                <w:color w:val="222222"/>
                <w:sz w:val="20"/>
                <w:lang w:val="es-ES"/>
              </w:rPr>
              <w:t xml:space="preserve"> </w:t>
            </w:r>
            <w:r w:rsidRPr="00452C5F">
              <w:rPr>
                <w:rFonts w:ascii="Arial" w:hAnsi="Arial" w:cs="Arial"/>
                <w:color w:val="222222"/>
                <w:sz w:val="20"/>
                <w:lang w:val="es-ES"/>
              </w:rPr>
              <w:t xml:space="preserve">el </w:t>
            </w:r>
            <w:r w:rsidR="00E95303" w:rsidRPr="00452C5F">
              <w:rPr>
                <w:rFonts w:ascii="Arial" w:hAnsi="Arial" w:cs="Arial"/>
                <w:color w:val="222222"/>
                <w:sz w:val="20"/>
                <w:lang w:val="es-ES"/>
              </w:rPr>
              <w:t>caudal de agua cruda tratado</w:t>
            </w:r>
            <w:r w:rsidR="00356CC1" w:rsidRPr="00452C5F">
              <w:rPr>
                <w:rFonts w:ascii="Arial" w:hAnsi="Arial" w:cs="Arial"/>
                <w:color w:val="222222"/>
                <w:sz w:val="20"/>
                <w:lang w:val="es-ES"/>
              </w:rPr>
              <w:t xml:space="preserve"> de los proyectos que serán financiados por el </w:t>
            </w:r>
            <w:r w:rsidR="0047469B" w:rsidRPr="00452C5F">
              <w:rPr>
                <w:rFonts w:ascii="Arial" w:hAnsi="Arial" w:cs="Arial"/>
                <w:color w:val="222222"/>
                <w:sz w:val="20"/>
                <w:lang w:val="es-ES"/>
              </w:rPr>
              <w:t>p</w:t>
            </w:r>
            <w:r w:rsidR="00356CC1" w:rsidRPr="00452C5F">
              <w:rPr>
                <w:rFonts w:ascii="Arial" w:hAnsi="Arial" w:cs="Arial"/>
                <w:color w:val="222222"/>
                <w:sz w:val="20"/>
                <w:lang w:val="es-ES"/>
              </w:rPr>
              <w:t>rograma.</w:t>
            </w:r>
          </w:p>
        </w:tc>
      </w:tr>
      <w:tr w:rsidR="00E95303" w:rsidRPr="00452C5F" w14:paraId="34EFE603" w14:textId="77777777" w:rsidTr="0016717D">
        <w:trPr>
          <w:jc w:val="center"/>
        </w:trPr>
        <w:tc>
          <w:tcPr>
            <w:tcW w:w="14755" w:type="dxa"/>
            <w:gridSpan w:val="8"/>
            <w:shd w:val="clear" w:color="auto" w:fill="D0CECE" w:themeFill="background2" w:themeFillShade="E6"/>
            <w:vAlign w:val="center"/>
          </w:tcPr>
          <w:p w14:paraId="6A50B300" w14:textId="6BEC3329"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b/>
                <w:sz w:val="20"/>
                <w:lang w:val="es-ES"/>
              </w:rPr>
              <w:t xml:space="preserve">Objetivo específico 2. </w:t>
            </w:r>
            <w:r w:rsidRPr="00452C5F">
              <w:rPr>
                <w:rFonts w:ascii="Arial" w:eastAsia="Arial" w:hAnsi="Arial" w:cs="Arial"/>
                <w:b/>
                <w:bCs/>
                <w:sz w:val="20"/>
                <w:lang w:val="es-BO"/>
              </w:rPr>
              <w:t xml:space="preserve"> </w:t>
            </w:r>
            <w:r w:rsidRPr="00452C5F">
              <w:rPr>
                <w:rFonts w:ascii="Arial" w:eastAsia="Arial" w:hAnsi="Arial" w:cs="Arial"/>
                <w:b/>
                <w:sz w:val="20"/>
                <w:lang w:val="es-BO"/>
              </w:rPr>
              <w:t xml:space="preserve">Fortalecer las entidades del sector a nivel provincial y </w:t>
            </w:r>
            <w:r w:rsidRPr="00452C5F">
              <w:rPr>
                <w:rFonts w:ascii="Arial" w:eastAsia="Arial" w:hAnsi="Arial" w:cs="Arial"/>
                <w:b/>
                <w:bCs/>
                <w:sz w:val="20"/>
                <w:lang w:val="es-BO"/>
              </w:rPr>
              <w:t>mejoren</w:t>
            </w:r>
            <w:r w:rsidRPr="00452C5F">
              <w:rPr>
                <w:rFonts w:ascii="Arial" w:eastAsia="Arial" w:hAnsi="Arial" w:cs="Arial"/>
                <w:b/>
                <w:sz w:val="20"/>
                <w:lang w:val="es-BO"/>
              </w:rPr>
              <w:t xml:space="preserve"> la eficiencia y gestión operativa y financiera de los prestadores de servicios</w:t>
            </w:r>
          </w:p>
        </w:tc>
      </w:tr>
      <w:tr w:rsidR="00E95303" w:rsidRPr="00452C5F" w14:paraId="534B4EB4" w14:textId="77777777" w:rsidTr="0016717D">
        <w:trPr>
          <w:jc w:val="center"/>
        </w:trPr>
        <w:tc>
          <w:tcPr>
            <w:tcW w:w="1885" w:type="dxa"/>
            <w:vAlign w:val="center"/>
          </w:tcPr>
          <w:p w14:paraId="7257C0DA" w14:textId="2E0D2F5F"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t>2.1 Prestadores de servicio beneficiarios cuyos ingresos cubren los costos de operación, mantenimiento y administración del servicio</w:t>
            </w:r>
          </w:p>
        </w:tc>
        <w:tc>
          <w:tcPr>
            <w:tcW w:w="1115" w:type="dxa"/>
            <w:vAlign w:val="center"/>
          </w:tcPr>
          <w:p w14:paraId="2B8E5B24"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Número</w:t>
            </w:r>
          </w:p>
        </w:tc>
        <w:tc>
          <w:tcPr>
            <w:tcW w:w="865" w:type="dxa"/>
            <w:vAlign w:val="center"/>
          </w:tcPr>
          <w:p w14:paraId="0F4B35F2"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53612B6D"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51CBDC5F" w14:textId="5F7391A5"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1</w:t>
            </w:r>
          </w:p>
        </w:tc>
        <w:tc>
          <w:tcPr>
            <w:tcW w:w="1620" w:type="dxa"/>
            <w:vAlign w:val="center"/>
          </w:tcPr>
          <w:p w14:paraId="14D2184F" w14:textId="6FA75A8E"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Informes de la Unidad Ejecutora basado en Reportes de los Entes Operadores</w:t>
            </w:r>
          </w:p>
        </w:tc>
        <w:tc>
          <w:tcPr>
            <w:tcW w:w="1620" w:type="dxa"/>
            <w:vAlign w:val="center"/>
          </w:tcPr>
          <w:p w14:paraId="5AFB4279"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c>
          <w:tcPr>
            <w:tcW w:w="5760" w:type="dxa"/>
            <w:vAlign w:val="center"/>
          </w:tcPr>
          <w:p w14:paraId="328D640D" w14:textId="39E071B1" w:rsidR="00BB6138" w:rsidRPr="00452C5F" w:rsidRDefault="00BB6138" w:rsidP="00BB6138">
            <w:pPr>
              <w:rPr>
                <w:rFonts w:ascii="Arial" w:hAnsi="Arial" w:cs="Arial"/>
                <w:b/>
                <w:bCs/>
                <w:sz w:val="20"/>
                <w:lang w:val="es-ES"/>
              </w:rPr>
            </w:pPr>
            <w:r w:rsidRPr="00452C5F">
              <w:rPr>
                <w:rFonts w:ascii="Arial" w:hAnsi="Arial" w:cs="Arial"/>
                <w:b/>
                <w:bCs/>
                <w:sz w:val="20"/>
                <w:lang w:val="es-ES"/>
              </w:rPr>
              <w:t>Indicador</w:t>
            </w:r>
            <w:r w:rsidR="000C3553" w:rsidRPr="00452C5F">
              <w:rPr>
                <w:rFonts w:ascii="Arial" w:hAnsi="Arial" w:cs="Arial"/>
                <w:b/>
                <w:bCs/>
                <w:sz w:val="20"/>
                <w:lang w:val="es-ES"/>
              </w:rPr>
              <w:t>es</w:t>
            </w:r>
            <w:r w:rsidRPr="00452C5F">
              <w:rPr>
                <w:rFonts w:ascii="Arial" w:hAnsi="Arial" w:cs="Arial"/>
                <w:b/>
                <w:bCs/>
                <w:sz w:val="20"/>
                <w:lang w:val="es-ES"/>
              </w:rPr>
              <w:t xml:space="preserve"> original</w:t>
            </w:r>
            <w:r w:rsidR="000C3553" w:rsidRPr="00452C5F">
              <w:rPr>
                <w:rFonts w:ascii="Arial" w:hAnsi="Arial" w:cs="Arial"/>
                <w:b/>
                <w:bCs/>
                <w:sz w:val="20"/>
                <w:lang w:val="es-ES"/>
              </w:rPr>
              <w:t>es</w:t>
            </w:r>
            <w:r w:rsidRPr="00452C5F">
              <w:rPr>
                <w:rFonts w:ascii="Arial" w:hAnsi="Arial" w:cs="Arial"/>
                <w:b/>
                <w:bCs/>
                <w:sz w:val="20"/>
                <w:lang w:val="es-ES"/>
              </w:rPr>
              <w:t xml:space="preserve"> de Resultados Globales:</w:t>
            </w:r>
          </w:p>
          <w:p w14:paraId="744CAB3B" w14:textId="77777777" w:rsidR="00BB6138" w:rsidRPr="00452C5F" w:rsidRDefault="00BB6138" w:rsidP="00BB6138">
            <w:pPr>
              <w:pStyle w:val="Default"/>
              <w:rPr>
                <w:rFonts w:ascii="Arial" w:hAnsi="Arial" w:cs="Arial"/>
                <w:sz w:val="20"/>
                <w:szCs w:val="20"/>
                <w:lang w:val="es-ES"/>
              </w:rPr>
            </w:pPr>
            <w:r w:rsidRPr="00452C5F">
              <w:rPr>
                <w:rFonts w:ascii="Arial" w:hAnsi="Arial" w:cs="Arial"/>
                <w:sz w:val="20"/>
                <w:szCs w:val="20"/>
                <w:lang w:val="es-ES"/>
              </w:rPr>
              <w:t>Margen financiero EBITDA en promedio al final del proyecto</w:t>
            </w:r>
          </w:p>
          <w:p w14:paraId="40763065" w14:textId="7E4923B6" w:rsidR="00BB6138" w:rsidRPr="00452C5F" w:rsidRDefault="00BB6138" w:rsidP="00BB6138">
            <w:pPr>
              <w:pStyle w:val="Default"/>
              <w:rPr>
                <w:rFonts w:ascii="Arial" w:hAnsi="Arial" w:cs="Arial"/>
                <w:sz w:val="20"/>
                <w:szCs w:val="20"/>
                <w:lang w:val="es-ES"/>
              </w:rPr>
            </w:pPr>
            <w:r w:rsidRPr="00452C5F">
              <w:rPr>
                <w:rFonts w:ascii="Arial" w:hAnsi="Arial" w:cs="Arial"/>
                <w:b/>
                <w:bCs/>
                <w:sz w:val="20"/>
                <w:szCs w:val="20"/>
                <w:lang w:val="es-ES"/>
              </w:rPr>
              <w:t>Meta original:</w:t>
            </w:r>
            <w:r w:rsidRPr="00452C5F">
              <w:rPr>
                <w:rFonts w:ascii="Arial" w:hAnsi="Arial" w:cs="Arial"/>
                <w:sz w:val="20"/>
                <w:szCs w:val="20"/>
                <w:lang w:val="es-ES"/>
              </w:rPr>
              <w:t>15%</w:t>
            </w:r>
          </w:p>
          <w:p w14:paraId="17535169" w14:textId="77777777" w:rsidR="000C3553" w:rsidRPr="00452C5F" w:rsidRDefault="000C3553" w:rsidP="000C3553">
            <w:pPr>
              <w:pStyle w:val="Default"/>
              <w:rPr>
                <w:rFonts w:ascii="Arial" w:hAnsi="Arial" w:cs="Arial"/>
                <w:sz w:val="20"/>
                <w:szCs w:val="20"/>
                <w:lang w:val="es-ES_tradnl"/>
              </w:rPr>
            </w:pPr>
            <w:r w:rsidRPr="00452C5F">
              <w:rPr>
                <w:rFonts w:ascii="Arial" w:hAnsi="Arial" w:cs="Arial"/>
                <w:sz w:val="20"/>
                <w:szCs w:val="20"/>
                <w:lang w:val="es-ES_tradnl"/>
              </w:rPr>
              <w:t xml:space="preserve">Grado de satisfacción el usuario con la calidad del servicio </w:t>
            </w:r>
          </w:p>
          <w:p w14:paraId="3D46EAA4" w14:textId="01881003" w:rsidR="000C3553" w:rsidRPr="00452C5F" w:rsidRDefault="000C3553" w:rsidP="000C3553">
            <w:pPr>
              <w:pStyle w:val="Default"/>
              <w:rPr>
                <w:rFonts w:ascii="Arial" w:hAnsi="Arial" w:cs="Arial"/>
                <w:sz w:val="20"/>
                <w:szCs w:val="20"/>
                <w:lang w:val="es-ES"/>
              </w:rPr>
            </w:pPr>
            <w:r w:rsidRPr="00452C5F">
              <w:rPr>
                <w:rFonts w:ascii="Arial" w:hAnsi="Arial" w:cs="Arial"/>
                <w:b/>
                <w:bCs/>
                <w:sz w:val="20"/>
                <w:szCs w:val="20"/>
                <w:lang w:val="es-ES"/>
              </w:rPr>
              <w:t>Meta original:</w:t>
            </w:r>
            <w:r w:rsidRPr="00452C5F">
              <w:rPr>
                <w:rFonts w:ascii="Arial" w:hAnsi="Arial" w:cs="Arial"/>
                <w:sz w:val="20"/>
                <w:szCs w:val="20"/>
                <w:lang w:val="es-ES"/>
              </w:rPr>
              <w:t>90%</w:t>
            </w:r>
          </w:p>
          <w:p w14:paraId="014F116B" w14:textId="1DF28836" w:rsidR="00BB6138" w:rsidRPr="00452C5F" w:rsidRDefault="00BB6138" w:rsidP="00BB6138">
            <w:pPr>
              <w:pStyle w:val="Default"/>
              <w:rPr>
                <w:rFonts w:ascii="Arial" w:hAnsi="Arial" w:cs="Arial"/>
                <w:b/>
                <w:bCs/>
                <w:sz w:val="20"/>
                <w:szCs w:val="20"/>
                <w:lang w:val="es-ES_tradnl"/>
              </w:rPr>
            </w:pPr>
            <w:r w:rsidRPr="00452C5F">
              <w:rPr>
                <w:rFonts w:ascii="Arial" w:hAnsi="Arial" w:cs="Arial"/>
                <w:b/>
                <w:bCs/>
                <w:sz w:val="20"/>
                <w:szCs w:val="20"/>
                <w:lang w:val="es-ES"/>
              </w:rPr>
              <w:t xml:space="preserve">Indicador original 2: </w:t>
            </w:r>
            <w:r w:rsidRPr="00452C5F">
              <w:rPr>
                <w:rFonts w:ascii="Arial" w:hAnsi="Arial" w:cs="Arial"/>
                <w:b/>
                <w:bCs/>
                <w:sz w:val="20"/>
                <w:szCs w:val="20"/>
                <w:lang w:val="es-ES_tradnl"/>
              </w:rPr>
              <w:t>Gestión operativa del Operador del Servicio de Agua Potable y Saneamiento de la Ciudad de San Miguel de Tucumán (SAT) fortalecida</w:t>
            </w:r>
          </w:p>
          <w:p w14:paraId="23D8590A" w14:textId="22894B07" w:rsidR="00326B06" w:rsidRPr="00452C5F" w:rsidRDefault="00326B06" w:rsidP="00326B06">
            <w:pPr>
              <w:pStyle w:val="ListParagraph"/>
              <w:numPr>
                <w:ilvl w:val="0"/>
                <w:numId w:val="35"/>
              </w:numPr>
              <w:rPr>
                <w:rFonts w:ascii="Arial" w:hAnsi="Arial" w:cs="Arial"/>
                <w:color w:val="000000"/>
                <w:sz w:val="20"/>
                <w:lang w:val="es-ES"/>
              </w:rPr>
            </w:pPr>
            <w:r w:rsidRPr="00452C5F">
              <w:rPr>
                <w:rFonts w:ascii="Arial" w:hAnsi="Arial" w:cs="Arial"/>
                <w:color w:val="000000"/>
                <w:sz w:val="20"/>
                <w:lang w:val="es-ES"/>
              </w:rPr>
              <w:t xml:space="preserve">Consumo mensual de agua potable por usuario </w:t>
            </w:r>
          </w:p>
          <w:p w14:paraId="4D294CDF" w14:textId="41DA7A6C" w:rsidR="00326B06" w:rsidRPr="00452C5F" w:rsidRDefault="00326B06" w:rsidP="00326B06">
            <w:pPr>
              <w:pStyle w:val="Default"/>
              <w:ind w:left="720"/>
              <w:rPr>
                <w:rFonts w:ascii="Arial" w:hAnsi="Arial" w:cs="Arial"/>
                <w:sz w:val="20"/>
                <w:szCs w:val="20"/>
                <w:lang w:val="es-ES_tradnl"/>
              </w:rPr>
            </w:pPr>
            <w:r w:rsidRPr="00452C5F">
              <w:rPr>
                <w:rFonts w:ascii="Arial" w:hAnsi="Arial" w:cs="Arial"/>
                <w:b/>
                <w:bCs/>
                <w:sz w:val="20"/>
                <w:szCs w:val="20"/>
                <w:lang w:val="es-ES"/>
              </w:rPr>
              <w:t xml:space="preserve">Meta original: </w:t>
            </w:r>
            <w:r w:rsidRPr="00452C5F">
              <w:rPr>
                <w:rFonts w:ascii="Arial" w:hAnsi="Arial" w:cs="Arial"/>
                <w:sz w:val="20"/>
                <w:szCs w:val="20"/>
                <w:lang w:val="es-ES_tradnl"/>
              </w:rPr>
              <w:t>34 m</w:t>
            </w:r>
            <w:r w:rsidRPr="00452C5F">
              <w:rPr>
                <w:rFonts w:ascii="Arial" w:hAnsi="Arial" w:cs="Arial"/>
                <w:sz w:val="20"/>
                <w:szCs w:val="20"/>
                <w:vertAlign w:val="superscript"/>
                <w:lang w:val="es-ES_tradnl"/>
              </w:rPr>
              <w:t>3</w:t>
            </w:r>
            <w:r w:rsidRPr="00452C5F">
              <w:rPr>
                <w:rFonts w:ascii="Arial" w:hAnsi="Arial" w:cs="Arial"/>
                <w:sz w:val="20"/>
                <w:szCs w:val="20"/>
                <w:lang w:val="es-ES_tradnl"/>
              </w:rPr>
              <w:t>/mes (consumo)</w:t>
            </w:r>
          </w:p>
          <w:p w14:paraId="7DB0D610" w14:textId="42CD2B26" w:rsidR="0081116A" w:rsidRPr="00452C5F" w:rsidRDefault="0081116A" w:rsidP="0081116A">
            <w:pPr>
              <w:pStyle w:val="ListParagraph"/>
              <w:numPr>
                <w:ilvl w:val="0"/>
                <w:numId w:val="35"/>
              </w:numPr>
              <w:rPr>
                <w:rFonts w:ascii="Arial" w:hAnsi="Arial" w:cs="Arial"/>
                <w:color w:val="000000"/>
                <w:sz w:val="20"/>
                <w:lang w:val="es-ES"/>
              </w:rPr>
            </w:pPr>
            <w:r w:rsidRPr="00452C5F">
              <w:rPr>
                <w:rFonts w:ascii="Arial" w:hAnsi="Arial" w:cs="Arial"/>
                <w:color w:val="000000"/>
                <w:sz w:val="20"/>
                <w:lang w:val="es-ES"/>
              </w:rPr>
              <w:t>Consumo mensual de agua ahorrado</w:t>
            </w:r>
          </w:p>
          <w:p w14:paraId="0411310E" w14:textId="20D8AF6C" w:rsidR="0081116A" w:rsidRPr="00452C5F" w:rsidRDefault="0081116A" w:rsidP="0081116A">
            <w:pPr>
              <w:pStyle w:val="Default"/>
              <w:ind w:left="720"/>
              <w:rPr>
                <w:rFonts w:ascii="Arial" w:hAnsi="Arial" w:cs="Arial"/>
                <w:sz w:val="20"/>
                <w:szCs w:val="20"/>
                <w:lang w:val="es-ES_tradnl"/>
              </w:rPr>
            </w:pPr>
            <w:r w:rsidRPr="00452C5F">
              <w:rPr>
                <w:rFonts w:ascii="Arial" w:hAnsi="Arial" w:cs="Arial"/>
                <w:b/>
                <w:bCs/>
                <w:sz w:val="20"/>
                <w:szCs w:val="20"/>
                <w:lang w:val="es-ES"/>
              </w:rPr>
              <w:t xml:space="preserve">Meta original: </w:t>
            </w:r>
            <w:r w:rsidRPr="00452C5F">
              <w:rPr>
                <w:rFonts w:ascii="Arial" w:hAnsi="Arial" w:cs="Arial"/>
                <w:sz w:val="20"/>
                <w:szCs w:val="20"/>
                <w:lang w:val="es-ES_tradnl"/>
              </w:rPr>
              <w:t>17,4% (caudal)</w:t>
            </w:r>
          </w:p>
          <w:p w14:paraId="1A309236" w14:textId="77777777" w:rsidR="008F4DBC" w:rsidRPr="00452C5F" w:rsidRDefault="008F4DBC" w:rsidP="008F4DBC">
            <w:pPr>
              <w:pStyle w:val="Default"/>
              <w:numPr>
                <w:ilvl w:val="0"/>
                <w:numId w:val="35"/>
              </w:numPr>
              <w:rPr>
                <w:rFonts w:ascii="Arial" w:hAnsi="Arial" w:cs="Arial"/>
                <w:sz w:val="20"/>
                <w:szCs w:val="20"/>
                <w:lang w:val="es-ES"/>
              </w:rPr>
            </w:pPr>
            <w:r w:rsidRPr="00452C5F">
              <w:rPr>
                <w:rFonts w:ascii="Arial" w:hAnsi="Arial" w:cs="Arial"/>
                <w:sz w:val="20"/>
                <w:szCs w:val="20"/>
                <w:lang w:val="es-ES"/>
              </w:rPr>
              <w:t>Recaudación anual del prestador del servicio</w:t>
            </w:r>
          </w:p>
          <w:p w14:paraId="6364979A" w14:textId="74FFD1C4" w:rsidR="008F4DBC" w:rsidRPr="00452C5F" w:rsidRDefault="008F4DBC" w:rsidP="008F4DBC">
            <w:pPr>
              <w:pStyle w:val="Default"/>
              <w:ind w:left="720"/>
              <w:rPr>
                <w:rFonts w:ascii="Arial" w:hAnsi="Arial" w:cs="Arial"/>
                <w:sz w:val="20"/>
                <w:szCs w:val="20"/>
                <w:lang w:val="es-ES_tradnl"/>
              </w:rPr>
            </w:pPr>
            <w:r w:rsidRPr="00452C5F">
              <w:rPr>
                <w:rFonts w:ascii="Arial" w:hAnsi="Arial" w:cs="Arial"/>
                <w:b/>
                <w:bCs/>
                <w:sz w:val="20"/>
                <w:szCs w:val="20"/>
                <w:lang w:val="es-ES"/>
              </w:rPr>
              <w:t>Meta original:</w:t>
            </w:r>
            <w:r w:rsidR="00326B06" w:rsidRPr="00452C5F">
              <w:rPr>
                <w:rFonts w:ascii="Arial" w:hAnsi="Arial" w:cs="Arial"/>
                <w:b/>
                <w:bCs/>
                <w:sz w:val="20"/>
                <w:szCs w:val="20"/>
                <w:lang w:val="es-ES"/>
              </w:rPr>
              <w:t xml:space="preserve"> </w:t>
            </w:r>
            <w:r w:rsidRPr="00452C5F">
              <w:rPr>
                <w:rFonts w:ascii="Arial" w:hAnsi="Arial" w:cs="Arial"/>
                <w:sz w:val="20"/>
                <w:szCs w:val="20"/>
                <w:lang w:val="es-ES_tradnl"/>
              </w:rPr>
              <w:t>Miles USD 26.578</w:t>
            </w:r>
          </w:p>
          <w:p w14:paraId="61D00265" w14:textId="247A4227" w:rsidR="00BB6138" w:rsidRPr="00452C5F" w:rsidRDefault="00BB6138" w:rsidP="008F4DBC">
            <w:pPr>
              <w:pStyle w:val="Default"/>
              <w:numPr>
                <w:ilvl w:val="0"/>
                <w:numId w:val="35"/>
              </w:numPr>
              <w:rPr>
                <w:rFonts w:ascii="Arial" w:hAnsi="Arial" w:cs="Arial"/>
                <w:sz w:val="20"/>
                <w:szCs w:val="20"/>
                <w:lang w:val="es-ES"/>
              </w:rPr>
            </w:pPr>
            <w:r w:rsidRPr="00452C5F">
              <w:rPr>
                <w:rFonts w:ascii="Arial" w:hAnsi="Arial" w:cs="Arial"/>
                <w:sz w:val="20"/>
                <w:szCs w:val="20"/>
                <w:lang w:val="es-ES"/>
              </w:rPr>
              <w:t xml:space="preserve">Margen operativo EBITDA </w:t>
            </w:r>
          </w:p>
          <w:p w14:paraId="405087DD" w14:textId="7EF2B65F" w:rsidR="00BB6138" w:rsidRPr="00452C5F" w:rsidRDefault="00BB6138" w:rsidP="00BB6138">
            <w:pPr>
              <w:pStyle w:val="Default"/>
              <w:ind w:left="720"/>
              <w:rPr>
                <w:rFonts w:ascii="Arial" w:hAnsi="Arial" w:cs="Arial"/>
                <w:sz w:val="20"/>
                <w:szCs w:val="20"/>
                <w:lang w:val="es-ES_tradnl"/>
              </w:rPr>
            </w:pPr>
            <w:r w:rsidRPr="00452C5F">
              <w:rPr>
                <w:rFonts w:ascii="Arial" w:hAnsi="Arial" w:cs="Arial"/>
                <w:b/>
                <w:bCs/>
                <w:sz w:val="20"/>
                <w:szCs w:val="20"/>
                <w:lang w:val="es-ES"/>
              </w:rPr>
              <w:t>Meta original:</w:t>
            </w:r>
            <w:r w:rsidR="00326B06" w:rsidRPr="00452C5F">
              <w:rPr>
                <w:rFonts w:ascii="Arial" w:hAnsi="Arial" w:cs="Arial"/>
                <w:b/>
                <w:bCs/>
                <w:sz w:val="20"/>
                <w:szCs w:val="20"/>
                <w:lang w:val="es-ES"/>
              </w:rPr>
              <w:t xml:space="preserve"> </w:t>
            </w:r>
            <w:r w:rsidRPr="00452C5F">
              <w:rPr>
                <w:rFonts w:ascii="Arial" w:hAnsi="Arial" w:cs="Arial"/>
                <w:sz w:val="20"/>
                <w:szCs w:val="20"/>
                <w:lang w:val="es-ES_tradnl"/>
              </w:rPr>
              <w:t>31,2 %</w:t>
            </w:r>
          </w:p>
          <w:p w14:paraId="5CEE0E41" w14:textId="5F2E77D0" w:rsidR="008F4DBC" w:rsidRPr="00452C5F" w:rsidRDefault="00BB6138" w:rsidP="008F4DBC">
            <w:pPr>
              <w:pStyle w:val="Default"/>
              <w:rPr>
                <w:rFonts w:ascii="Arial" w:hAnsi="Arial" w:cs="Arial"/>
                <w:sz w:val="20"/>
                <w:szCs w:val="20"/>
                <w:lang w:val="es-ES_tradnl"/>
              </w:rPr>
            </w:pPr>
            <w:r w:rsidRPr="00452C5F">
              <w:rPr>
                <w:rFonts w:ascii="Arial" w:hAnsi="Arial" w:cs="Arial"/>
                <w:b/>
                <w:bCs/>
                <w:sz w:val="20"/>
                <w:szCs w:val="20"/>
                <w:lang w:val="es-ES"/>
              </w:rPr>
              <w:t xml:space="preserve">Indicador original 4: </w:t>
            </w:r>
            <w:r w:rsidR="008F4DBC" w:rsidRPr="00452C5F">
              <w:rPr>
                <w:rFonts w:ascii="Arial" w:hAnsi="Arial" w:cs="Arial"/>
                <w:b/>
                <w:bCs/>
                <w:sz w:val="20"/>
                <w:szCs w:val="20"/>
                <w:lang w:val="es-ES_tradnl"/>
              </w:rPr>
              <w:t xml:space="preserve">Gestión Operativa del Operador del Servicio de Agua Potable y Saneamiento de Santiago del Estero fortalecida </w:t>
            </w:r>
          </w:p>
          <w:p w14:paraId="1A6D9745" w14:textId="2BE6032B" w:rsidR="000B3FE7" w:rsidRPr="00452C5F" w:rsidRDefault="000B3FE7" w:rsidP="000B3FE7">
            <w:pPr>
              <w:pStyle w:val="Default"/>
              <w:numPr>
                <w:ilvl w:val="0"/>
                <w:numId w:val="35"/>
              </w:numPr>
              <w:rPr>
                <w:rFonts w:ascii="Arial" w:hAnsi="Arial" w:cs="Arial"/>
                <w:sz w:val="20"/>
                <w:szCs w:val="20"/>
                <w:lang w:val="es-ES"/>
              </w:rPr>
            </w:pPr>
            <w:r w:rsidRPr="00452C5F">
              <w:rPr>
                <w:rFonts w:ascii="Arial" w:hAnsi="Arial" w:cs="Arial"/>
                <w:sz w:val="20"/>
                <w:szCs w:val="20"/>
                <w:lang w:val="es-ES"/>
              </w:rPr>
              <w:t>Recaudación anual del prestador del servicio</w:t>
            </w:r>
          </w:p>
          <w:p w14:paraId="47108F41" w14:textId="3C34BA96" w:rsidR="000B3FE7" w:rsidRPr="00452C5F" w:rsidRDefault="000B3FE7" w:rsidP="000B3FE7">
            <w:pPr>
              <w:pStyle w:val="Default"/>
              <w:ind w:left="720"/>
              <w:rPr>
                <w:rFonts w:ascii="Arial" w:hAnsi="Arial" w:cs="Arial"/>
                <w:sz w:val="20"/>
                <w:szCs w:val="20"/>
                <w:lang w:val="es-ES_tradnl"/>
              </w:rPr>
            </w:pPr>
            <w:r w:rsidRPr="00452C5F">
              <w:rPr>
                <w:rFonts w:ascii="Arial" w:hAnsi="Arial" w:cs="Arial"/>
                <w:b/>
                <w:bCs/>
                <w:sz w:val="20"/>
                <w:szCs w:val="20"/>
                <w:lang w:val="es-ES"/>
              </w:rPr>
              <w:t>Meta original:</w:t>
            </w:r>
            <w:r w:rsidR="00326B06" w:rsidRPr="00452C5F">
              <w:rPr>
                <w:rFonts w:ascii="Arial" w:hAnsi="Arial" w:cs="Arial"/>
                <w:b/>
                <w:bCs/>
                <w:sz w:val="20"/>
                <w:szCs w:val="20"/>
                <w:lang w:val="es-ES"/>
              </w:rPr>
              <w:t xml:space="preserve"> </w:t>
            </w:r>
            <w:r w:rsidRPr="00452C5F">
              <w:rPr>
                <w:rFonts w:ascii="Arial" w:hAnsi="Arial" w:cs="Arial"/>
                <w:sz w:val="20"/>
                <w:szCs w:val="20"/>
                <w:lang w:val="es-ES_tradnl"/>
              </w:rPr>
              <w:t xml:space="preserve">Miles USD </w:t>
            </w:r>
            <w:r w:rsidR="008F4DBC" w:rsidRPr="00452C5F">
              <w:rPr>
                <w:rFonts w:ascii="Arial" w:hAnsi="Arial" w:cs="Arial"/>
                <w:sz w:val="20"/>
                <w:szCs w:val="20"/>
                <w:lang w:val="es-ES_tradnl"/>
              </w:rPr>
              <w:t>16.006</w:t>
            </w:r>
          </w:p>
          <w:p w14:paraId="233F57F4" w14:textId="43747722" w:rsidR="00BB6138" w:rsidRPr="00452C5F" w:rsidRDefault="00BB6138" w:rsidP="000B3FE7">
            <w:pPr>
              <w:pStyle w:val="Default"/>
              <w:numPr>
                <w:ilvl w:val="0"/>
                <w:numId w:val="35"/>
              </w:numPr>
              <w:rPr>
                <w:rFonts w:ascii="Arial" w:hAnsi="Arial" w:cs="Arial"/>
                <w:sz w:val="20"/>
                <w:szCs w:val="20"/>
                <w:lang w:val="es-ES"/>
              </w:rPr>
            </w:pPr>
            <w:r w:rsidRPr="00452C5F">
              <w:rPr>
                <w:rFonts w:ascii="Arial" w:hAnsi="Arial" w:cs="Arial"/>
                <w:sz w:val="20"/>
                <w:szCs w:val="20"/>
                <w:lang w:val="es-ES"/>
              </w:rPr>
              <w:t xml:space="preserve">Margen operativo EBITDA </w:t>
            </w:r>
          </w:p>
          <w:p w14:paraId="25D44A43" w14:textId="2FC3E8F1" w:rsidR="00BB6138" w:rsidRPr="00452C5F" w:rsidRDefault="00BB6138" w:rsidP="000B3FE7">
            <w:pPr>
              <w:pStyle w:val="Default"/>
              <w:ind w:left="720"/>
              <w:rPr>
                <w:rFonts w:ascii="Arial" w:hAnsi="Arial" w:cs="Arial"/>
                <w:sz w:val="20"/>
                <w:szCs w:val="20"/>
                <w:lang w:val="es-ES_tradnl"/>
              </w:rPr>
            </w:pPr>
            <w:r w:rsidRPr="00452C5F">
              <w:rPr>
                <w:rFonts w:ascii="Arial" w:hAnsi="Arial" w:cs="Arial"/>
                <w:b/>
                <w:bCs/>
                <w:sz w:val="20"/>
                <w:szCs w:val="20"/>
                <w:lang w:val="es-ES"/>
              </w:rPr>
              <w:t>Meta original:</w:t>
            </w:r>
            <w:r w:rsidR="00326B06" w:rsidRPr="00452C5F">
              <w:rPr>
                <w:rFonts w:ascii="Arial" w:hAnsi="Arial" w:cs="Arial"/>
                <w:b/>
                <w:bCs/>
                <w:sz w:val="20"/>
                <w:szCs w:val="20"/>
                <w:lang w:val="es-ES"/>
              </w:rPr>
              <w:t xml:space="preserve"> </w:t>
            </w:r>
            <w:r w:rsidRPr="00452C5F">
              <w:rPr>
                <w:rFonts w:ascii="Arial" w:hAnsi="Arial" w:cs="Arial"/>
                <w:sz w:val="20"/>
                <w:szCs w:val="20"/>
                <w:lang w:val="es-ES_tradnl"/>
              </w:rPr>
              <w:t>37,9%</w:t>
            </w:r>
          </w:p>
          <w:p w14:paraId="6AB6D8C6" w14:textId="03E8DB7C" w:rsidR="00BB6138" w:rsidRPr="00452C5F" w:rsidRDefault="00BB6138" w:rsidP="00BB6138">
            <w:pPr>
              <w:pStyle w:val="Default"/>
              <w:rPr>
                <w:rFonts w:ascii="Arial" w:hAnsi="Arial" w:cs="Arial"/>
                <w:sz w:val="20"/>
                <w:szCs w:val="20"/>
                <w:lang w:val="es-ES_tradnl"/>
              </w:rPr>
            </w:pPr>
            <w:r w:rsidRPr="00452C5F">
              <w:rPr>
                <w:rFonts w:ascii="Arial" w:hAnsi="Arial" w:cs="Arial"/>
                <w:b/>
                <w:bCs/>
                <w:sz w:val="20"/>
                <w:szCs w:val="20"/>
                <w:lang w:val="es-ES"/>
              </w:rPr>
              <w:t xml:space="preserve">Indicador original 5: </w:t>
            </w:r>
            <w:r w:rsidRPr="00452C5F">
              <w:rPr>
                <w:rFonts w:ascii="Arial" w:hAnsi="Arial" w:cs="Arial"/>
                <w:b/>
                <w:bCs/>
                <w:sz w:val="20"/>
                <w:szCs w:val="20"/>
                <w:lang w:val="es-ES_tradnl"/>
              </w:rPr>
              <w:t xml:space="preserve">Gestión Operativa del Operador del Servicio de Agua Potable y Saneamiento de la Ciudad de Chaco fortalecida </w:t>
            </w:r>
          </w:p>
          <w:p w14:paraId="243BF7A0" w14:textId="77777777" w:rsidR="00326B06" w:rsidRPr="00452C5F" w:rsidRDefault="00326B06" w:rsidP="00326B06">
            <w:pPr>
              <w:pStyle w:val="Default"/>
              <w:numPr>
                <w:ilvl w:val="0"/>
                <w:numId w:val="35"/>
              </w:numPr>
              <w:rPr>
                <w:rFonts w:ascii="Arial" w:hAnsi="Arial" w:cs="Arial"/>
                <w:sz w:val="20"/>
                <w:szCs w:val="20"/>
                <w:lang w:val="es-ES"/>
              </w:rPr>
            </w:pPr>
            <w:r w:rsidRPr="00452C5F">
              <w:rPr>
                <w:rFonts w:ascii="Arial" w:hAnsi="Arial" w:cs="Arial"/>
                <w:sz w:val="20"/>
                <w:szCs w:val="20"/>
                <w:lang w:val="es-ES"/>
              </w:rPr>
              <w:t>Recaudación anual del prestador del servicio</w:t>
            </w:r>
          </w:p>
          <w:p w14:paraId="6E12A565" w14:textId="56D8D4FA" w:rsidR="00326B06" w:rsidRPr="00452C5F" w:rsidRDefault="00326B06" w:rsidP="00326B06">
            <w:pPr>
              <w:pStyle w:val="Default"/>
              <w:ind w:left="720"/>
              <w:rPr>
                <w:rFonts w:ascii="Arial" w:hAnsi="Arial" w:cs="Arial"/>
                <w:sz w:val="20"/>
                <w:szCs w:val="20"/>
                <w:lang w:val="es-ES_tradnl"/>
              </w:rPr>
            </w:pPr>
            <w:r w:rsidRPr="00452C5F">
              <w:rPr>
                <w:rFonts w:ascii="Arial" w:hAnsi="Arial" w:cs="Arial"/>
                <w:b/>
                <w:bCs/>
                <w:sz w:val="20"/>
                <w:szCs w:val="20"/>
                <w:lang w:val="es-ES"/>
              </w:rPr>
              <w:t xml:space="preserve">Meta original: </w:t>
            </w:r>
            <w:r w:rsidRPr="00452C5F">
              <w:rPr>
                <w:rFonts w:ascii="Arial" w:hAnsi="Arial" w:cs="Arial"/>
                <w:sz w:val="20"/>
                <w:szCs w:val="20"/>
                <w:lang w:val="es-ES_tradnl"/>
              </w:rPr>
              <w:t>Miles USD 36.362</w:t>
            </w:r>
          </w:p>
          <w:p w14:paraId="536BC4D0" w14:textId="1AE70982" w:rsidR="00BB6138" w:rsidRPr="00452C5F" w:rsidRDefault="00BB6138" w:rsidP="00326B06">
            <w:pPr>
              <w:pStyle w:val="Default"/>
              <w:numPr>
                <w:ilvl w:val="0"/>
                <w:numId w:val="35"/>
              </w:numPr>
              <w:rPr>
                <w:rFonts w:ascii="Arial" w:hAnsi="Arial" w:cs="Arial"/>
                <w:sz w:val="20"/>
                <w:szCs w:val="20"/>
                <w:lang w:val="es-ES"/>
              </w:rPr>
            </w:pPr>
            <w:r w:rsidRPr="00452C5F">
              <w:rPr>
                <w:rFonts w:ascii="Arial" w:hAnsi="Arial" w:cs="Arial"/>
                <w:sz w:val="20"/>
                <w:szCs w:val="20"/>
                <w:lang w:val="es-ES"/>
              </w:rPr>
              <w:t xml:space="preserve">Margen operativo EBITDA </w:t>
            </w:r>
          </w:p>
          <w:p w14:paraId="39E7D252" w14:textId="76CA8259" w:rsidR="00A62CDE" w:rsidRPr="00452C5F" w:rsidRDefault="00BB6138" w:rsidP="000E1E48">
            <w:pPr>
              <w:pStyle w:val="Default"/>
              <w:ind w:left="720"/>
              <w:rPr>
                <w:rFonts w:ascii="Arial" w:hAnsi="Arial" w:cs="Arial"/>
                <w:sz w:val="20"/>
                <w:szCs w:val="20"/>
                <w:lang w:val="es-ES_tradnl"/>
              </w:rPr>
            </w:pPr>
            <w:r w:rsidRPr="00452C5F">
              <w:rPr>
                <w:rFonts w:ascii="Arial" w:hAnsi="Arial" w:cs="Arial"/>
                <w:b/>
                <w:bCs/>
                <w:sz w:val="20"/>
                <w:szCs w:val="20"/>
                <w:lang w:val="es-ES"/>
              </w:rPr>
              <w:lastRenderedPageBreak/>
              <w:t>Meta original:</w:t>
            </w:r>
            <w:r w:rsidR="00326B06" w:rsidRPr="00452C5F">
              <w:rPr>
                <w:rFonts w:ascii="Arial" w:hAnsi="Arial" w:cs="Arial"/>
                <w:b/>
                <w:bCs/>
                <w:sz w:val="20"/>
                <w:szCs w:val="20"/>
                <w:lang w:val="es-ES"/>
              </w:rPr>
              <w:t xml:space="preserve"> </w:t>
            </w:r>
            <w:r w:rsidRPr="00452C5F">
              <w:rPr>
                <w:rFonts w:ascii="Arial" w:hAnsi="Arial" w:cs="Arial"/>
                <w:sz w:val="20"/>
                <w:szCs w:val="20"/>
                <w:lang w:val="es-ES_tradnl"/>
              </w:rPr>
              <w:t>22,0%</w:t>
            </w:r>
          </w:p>
          <w:p w14:paraId="446434D3" w14:textId="08D1DC07" w:rsidR="00E95303" w:rsidRPr="00452C5F" w:rsidRDefault="00E95303" w:rsidP="00E70B4A">
            <w:pPr>
              <w:autoSpaceDE w:val="0"/>
              <w:autoSpaceDN w:val="0"/>
              <w:adjustRightInd w:val="0"/>
              <w:rPr>
                <w:rFonts w:ascii="Arial" w:eastAsia="Arial" w:hAnsi="Arial" w:cs="Arial"/>
                <w:b/>
                <w:bCs/>
                <w:color w:val="000000" w:themeColor="text1"/>
                <w:sz w:val="20"/>
                <w:lang w:val="es-ES"/>
              </w:rPr>
            </w:pPr>
            <w:r w:rsidRPr="00452C5F">
              <w:rPr>
                <w:rFonts w:ascii="Arial" w:eastAsia="Arial" w:hAnsi="Arial" w:cs="Arial"/>
                <w:b/>
                <w:bCs/>
                <w:sz w:val="20"/>
                <w:lang w:val="es-ES" w:eastAsia="zh-CN"/>
              </w:rPr>
              <w:t>Justificación de los cambios</w:t>
            </w:r>
            <w:r w:rsidRPr="00452C5F">
              <w:rPr>
                <w:rFonts w:ascii="Arial" w:hAnsi="Arial" w:cs="Arial"/>
                <w:color w:val="222222"/>
                <w:sz w:val="20"/>
                <w:lang w:val="es-ES"/>
              </w:rPr>
              <w:t>: La matriz original presentaba indicadores de Margen operativo EBITDA, Recaudación anual del prestador, Caudal de agua ahorrado y Consumo mensual de agua por usuario desagregados para diferentes operadores</w:t>
            </w:r>
            <w:r w:rsidR="00BA52D1" w:rsidRPr="00452C5F">
              <w:rPr>
                <w:rFonts w:ascii="Arial" w:hAnsi="Arial" w:cs="Arial"/>
                <w:color w:val="222222"/>
                <w:sz w:val="20"/>
                <w:lang w:val="es-ES"/>
              </w:rPr>
              <w:t xml:space="preserve"> de la muestra del programa que no fueron priorizados. </w:t>
            </w:r>
            <w:r w:rsidRPr="00452C5F">
              <w:rPr>
                <w:rFonts w:ascii="Arial" w:hAnsi="Arial" w:cs="Arial"/>
                <w:color w:val="222222"/>
                <w:sz w:val="20"/>
                <w:lang w:val="es-ES"/>
              </w:rPr>
              <w:t xml:space="preserve"> Estos indicadores desagregados se combinaron en un solo indicador que mide el número de operadores que alcanzan una razón de ingresos sobre costos mayores a 1. Se fijó la meta de fin del programa considerando el contexto macroeconómico y de la pandemia COVID-19. El indicador sobre el grado de satisfacción se elimina por limitaciones en la data disponible para reportar resultados (encuestas).</w:t>
            </w:r>
          </w:p>
        </w:tc>
      </w:tr>
      <w:tr w:rsidR="00E95303" w:rsidRPr="00452C5F" w14:paraId="2FD03930" w14:textId="77777777" w:rsidTr="0016717D">
        <w:trPr>
          <w:jc w:val="center"/>
        </w:trPr>
        <w:tc>
          <w:tcPr>
            <w:tcW w:w="1885" w:type="dxa"/>
            <w:vAlign w:val="center"/>
          </w:tcPr>
          <w:p w14:paraId="0B17373F" w14:textId="4ADF2DC5" w:rsidR="00E95303" w:rsidRPr="00452C5F" w:rsidRDefault="00E95303" w:rsidP="0016717D">
            <w:pPr>
              <w:autoSpaceDE w:val="0"/>
              <w:autoSpaceDN w:val="0"/>
              <w:adjustRightInd w:val="0"/>
              <w:rPr>
                <w:rFonts w:ascii="Arial" w:eastAsia="Arial" w:hAnsi="Arial" w:cs="Arial"/>
                <w:b/>
                <w:color w:val="000000" w:themeColor="text1"/>
                <w:sz w:val="20"/>
                <w:lang w:val="es-ES"/>
              </w:rPr>
            </w:pPr>
            <w:r w:rsidRPr="00452C5F">
              <w:rPr>
                <w:rFonts w:ascii="Arial" w:hAnsi="Arial" w:cs="Arial"/>
                <w:sz w:val="20"/>
                <w:lang w:val="es-ES"/>
              </w:rPr>
              <w:lastRenderedPageBreak/>
              <w:t>2.2. Entidades del sector a nivel provincial con personal capacitado en gestión del sector de agua y saneamiento</w:t>
            </w:r>
          </w:p>
        </w:tc>
        <w:tc>
          <w:tcPr>
            <w:tcW w:w="1115" w:type="dxa"/>
            <w:vAlign w:val="center"/>
          </w:tcPr>
          <w:p w14:paraId="14AF15ED"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Número</w:t>
            </w:r>
          </w:p>
        </w:tc>
        <w:tc>
          <w:tcPr>
            <w:tcW w:w="865" w:type="dxa"/>
            <w:vAlign w:val="center"/>
          </w:tcPr>
          <w:p w14:paraId="1BE8D4C1"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0</w:t>
            </w:r>
          </w:p>
        </w:tc>
        <w:tc>
          <w:tcPr>
            <w:tcW w:w="990" w:type="dxa"/>
            <w:vAlign w:val="center"/>
          </w:tcPr>
          <w:p w14:paraId="4E36B7AB"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2014</w:t>
            </w:r>
          </w:p>
        </w:tc>
        <w:tc>
          <w:tcPr>
            <w:tcW w:w="900" w:type="dxa"/>
            <w:vAlign w:val="center"/>
          </w:tcPr>
          <w:p w14:paraId="243106DF" w14:textId="77777777"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2</w:t>
            </w:r>
          </w:p>
        </w:tc>
        <w:tc>
          <w:tcPr>
            <w:tcW w:w="1620" w:type="dxa"/>
            <w:vAlign w:val="center"/>
          </w:tcPr>
          <w:p w14:paraId="07E15422" w14:textId="6E07476B" w:rsidR="00E95303" w:rsidRPr="00452C5F" w:rsidRDefault="00E95303" w:rsidP="0016717D">
            <w:pPr>
              <w:autoSpaceDE w:val="0"/>
              <w:autoSpaceDN w:val="0"/>
              <w:adjustRightInd w:val="0"/>
              <w:jc w:val="center"/>
              <w:rPr>
                <w:rFonts w:ascii="Arial" w:eastAsia="Arial" w:hAnsi="Arial" w:cs="Arial"/>
                <w:b/>
                <w:color w:val="000000" w:themeColor="text1"/>
                <w:sz w:val="20"/>
                <w:lang w:val="es-ES"/>
              </w:rPr>
            </w:pPr>
            <w:r w:rsidRPr="00452C5F">
              <w:rPr>
                <w:rFonts w:ascii="Arial" w:hAnsi="Arial" w:cs="Arial"/>
                <w:sz w:val="20"/>
                <w:lang w:val="es-ES"/>
              </w:rPr>
              <w:t>Informes de la Unidad Ejecutora basado en Reportes de las entidades provinciales</w:t>
            </w:r>
          </w:p>
        </w:tc>
        <w:tc>
          <w:tcPr>
            <w:tcW w:w="1620" w:type="dxa"/>
            <w:vAlign w:val="center"/>
          </w:tcPr>
          <w:p w14:paraId="6A655BE3"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c>
          <w:tcPr>
            <w:tcW w:w="5760" w:type="dxa"/>
            <w:vAlign w:val="center"/>
          </w:tcPr>
          <w:p w14:paraId="38C456B9" w14:textId="28F70A49" w:rsidR="00E95303" w:rsidRPr="00452C5F" w:rsidRDefault="00DE074D" w:rsidP="00E70B4A">
            <w:pPr>
              <w:rPr>
                <w:rFonts w:ascii="Arial" w:hAnsi="Arial" w:cs="Arial"/>
                <w:color w:val="222222"/>
                <w:sz w:val="20"/>
                <w:lang w:val="es-ES"/>
              </w:rPr>
            </w:pPr>
            <w:r w:rsidRPr="00452C5F">
              <w:rPr>
                <w:rFonts w:ascii="Arial" w:hAnsi="Arial" w:cs="Arial"/>
                <w:sz w:val="20"/>
                <w:lang w:val="es-419" w:eastAsia="zh-CN"/>
              </w:rPr>
              <w:t xml:space="preserve">Nuevo indicador de resultado agregado para </w:t>
            </w:r>
            <w:r w:rsidRPr="00452C5F">
              <w:rPr>
                <w:rFonts w:ascii="Arial" w:hAnsi="Arial" w:cs="Arial"/>
                <w:color w:val="222222"/>
                <w:sz w:val="20"/>
                <w:lang w:val="es-ES"/>
              </w:rPr>
              <w:t>medir el caudal de agua cruda tratado.</w:t>
            </w:r>
            <w:r w:rsidR="00E95303" w:rsidRPr="00452C5F">
              <w:rPr>
                <w:rFonts w:ascii="Arial" w:hAnsi="Arial" w:cs="Arial"/>
                <w:color w:val="222222"/>
                <w:sz w:val="20"/>
                <w:lang w:val="es-ES"/>
              </w:rPr>
              <w:t xml:space="preserve"> La matriz original no consideró indicadores de resultado para el fortalecimiento de las entidades provinciales. Se incluyó un indicador nuevo que mide los resultados de las acciones de capacitación a las entidades provinciales.</w:t>
            </w:r>
          </w:p>
          <w:p w14:paraId="5F3FDB62" w14:textId="77777777" w:rsidR="00E95303" w:rsidRPr="00452C5F" w:rsidRDefault="00E95303" w:rsidP="00E70B4A">
            <w:pPr>
              <w:autoSpaceDE w:val="0"/>
              <w:autoSpaceDN w:val="0"/>
              <w:adjustRightInd w:val="0"/>
              <w:rPr>
                <w:rFonts w:ascii="Arial" w:eastAsia="Arial" w:hAnsi="Arial" w:cs="Arial"/>
                <w:b/>
                <w:bCs/>
                <w:color w:val="000000" w:themeColor="text1"/>
                <w:sz w:val="20"/>
                <w:lang w:val="es-ES"/>
              </w:rPr>
            </w:pPr>
          </w:p>
        </w:tc>
      </w:tr>
    </w:tbl>
    <w:p w14:paraId="70CF3D12" w14:textId="32A3A475" w:rsidR="00E95303" w:rsidRPr="009A05F7" w:rsidRDefault="00E95303" w:rsidP="00E95303">
      <w:pPr>
        <w:autoSpaceDE w:val="0"/>
        <w:autoSpaceDN w:val="0"/>
        <w:adjustRightInd w:val="0"/>
        <w:spacing w:after="120"/>
        <w:jc w:val="center"/>
        <w:rPr>
          <w:rFonts w:ascii="Arial" w:eastAsia="Arial" w:hAnsi="Arial" w:cs="Arial"/>
          <w:sz w:val="18"/>
          <w:szCs w:val="18"/>
          <w:lang w:val="es-ES"/>
        </w:rPr>
      </w:pPr>
      <w:r w:rsidRPr="009A05F7">
        <w:rPr>
          <w:rFonts w:ascii="Arial" w:eastAsia="Arial" w:hAnsi="Arial" w:cs="Arial"/>
          <w:b/>
          <w:bCs/>
          <w:smallCaps/>
          <w:color w:val="000000" w:themeColor="text1"/>
          <w:sz w:val="18"/>
          <w:szCs w:val="18"/>
          <w:lang w:val="es-ES"/>
        </w:rPr>
        <w:t>Productos</w:t>
      </w:r>
    </w:p>
    <w:tbl>
      <w:tblPr>
        <w:tblW w:w="15122"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0"/>
        <w:gridCol w:w="990"/>
        <w:gridCol w:w="810"/>
        <w:gridCol w:w="720"/>
        <w:gridCol w:w="630"/>
        <w:gridCol w:w="630"/>
        <w:gridCol w:w="720"/>
        <w:gridCol w:w="630"/>
        <w:gridCol w:w="630"/>
        <w:gridCol w:w="630"/>
        <w:gridCol w:w="630"/>
        <w:gridCol w:w="630"/>
        <w:gridCol w:w="630"/>
        <w:gridCol w:w="630"/>
        <w:gridCol w:w="720"/>
        <w:gridCol w:w="1170"/>
        <w:gridCol w:w="2972"/>
      </w:tblGrid>
      <w:tr w:rsidR="00C34926" w:rsidRPr="009A05F7" w14:paraId="4A4B0A4C" w14:textId="77777777" w:rsidTr="00931A61">
        <w:trPr>
          <w:trHeight w:val="836"/>
          <w:tblHead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966C124" w14:textId="284BD340" w:rsidR="00E95303" w:rsidRPr="0016717D" w:rsidRDefault="00E95303" w:rsidP="0016717D">
            <w:pPr>
              <w:jc w:val="center"/>
              <w:rPr>
                <w:rFonts w:ascii="Arial" w:eastAsia="Arial" w:hAnsi="Arial"/>
                <w:b/>
                <w:sz w:val="16"/>
                <w:lang w:val="es-ES"/>
              </w:rPr>
            </w:pPr>
            <w:r w:rsidRPr="008250E2">
              <w:rPr>
                <w:rFonts w:ascii="Arial" w:eastAsia="Arial" w:hAnsi="Arial" w:cs="Arial"/>
                <w:b/>
                <w:bCs/>
                <w:sz w:val="16"/>
                <w:szCs w:val="16"/>
                <w:lang w:val="es-ES" w:eastAsia="zh-CN"/>
              </w:rPr>
              <w:t>Productos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560C679B" w14:textId="77777777" w:rsidR="00E95303" w:rsidRPr="0016717D" w:rsidRDefault="00E95303" w:rsidP="00E70B4A">
            <w:pPr>
              <w:jc w:val="center"/>
              <w:rPr>
                <w:rFonts w:ascii="Arial" w:eastAsia="Arial" w:hAnsi="Arial"/>
                <w:b/>
                <w:sz w:val="16"/>
                <w:lang w:val="es-ES"/>
              </w:rPr>
            </w:pPr>
            <w:r w:rsidRPr="0016717D">
              <w:rPr>
                <w:rFonts w:ascii="Arial" w:eastAsia="Arial" w:hAnsi="Arial"/>
                <w:b/>
                <w:sz w:val="16"/>
                <w:lang w:val="es-ES"/>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34EF83DE" w14:textId="77777777" w:rsidR="00E95303" w:rsidRPr="0016717D" w:rsidRDefault="00E95303" w:rsidP="00E70B4A">
            <w:pPr>
              <w:jc w:val="center"/>
              <w:rPr>
                <w:rFonts w:ascii="Arial" w:eastAsia="Arial" w:hAnsi="Arial"/>
                <w:b/>
                <w:sz w:val="16"/>
                <w:lang w:val="es-ES"/>
              </w:rPr>
            </w:pPr>
            <w:r w:rsidRPr="0016717D">
              <w:rPr>
                <w:rFonts w:ascii="Arial" w:eastAsia="Arial" w:hAnsi="Arial"/>
                <w:b/>
                <w:sz w:val="16"/>
                <w:lang w:val="es-ES"/>
              </w:rPr>
              <w:t>Línea de Base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63A2BE54" w14:textId="77777777" w:rsidR="00E95303" w:rsidRPr="0016717D" w:rsidRDefault="00E95303" w:rsidP="00E70B4A">
            <w:pPr>
              <w:jc w:val="center"/>
              <w:rPr>
                <w:rFonts w:ascii="Arial" w:eastAsia="Arial" w:hAnsi="Arial"/>
                <w:b/>
                <w:sz w:val="16"/>
                <w:lang w:val="es-ES"/>
              </w:rPr>
            </w:pPr>
            <w:r w:rsidRPr="0016717D">
              <w:rPr>
                <w:rFonts w:ascii="Arial" w:eastAsia="Arial" w:hAnsi="Arial"/>
                <w:b/>
                <w:sz w:val="16"/>
                <w:lang w:val="es-ES"/>
              </w:rPr>
              <w:t xml:space="preserve">Año </w:t>
            </w:r>
            <w:r w:rsidRPr="008250E2">
              <w:rPr>
                <w:rFonts w:ascii="Arial" w:eastAsia="Arial" w:hAnsi="Arial" w:cs="Arial"/>
                <w:b/>
                <w:bCs/>
                <w:sz w:val="16"/>
                <w:szCs w:val="16"/>
                <w:lang w:val="es-ES" w:eastAsia="zh-CN"/>
              </w:rPr>
              <w:t>1</w:t>
            </w:r>
          </w:p>
          <w:p w14:paraId="756C7ED2" w14:textId="7FF40FFE" w:rsidR="00E95303" w:rsidRPr="0016717D" w:rsidRDefault="00E95303" w:rsidP="00E70B4A">
            <w:pPr>
              <w:jc w:val="center"/>
              <w:rPr>
                <w:rFonts w:ascii="Arial" w:eastAsia="Arial" w:hAnsi="Arial"/>
                <w:b/>
                <w:sz w:val="16"/>
                <w:lang w:val="es-ES"/>
              </w:rPr>
            </w:pPr>
            <w:r w:rsidRPr="008250E2">
              <w:rPr>
                <w:rFonts w:ascii="Arial" w:eastAsia="Arial" w:hAnsi="Arial" w:cs="Arial"/>
                <w:b/>
                <w:bCs/>
                <w:sz w:val="16"/>
                <w:szCs w:val="16"/>
                <w:lang w:val="es-ES" w:eastAsia="zh-CN"/>
              </w:rPr>
              <w:t>2013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E4A241D"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D58670B"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375EA2A"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2016</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7DA50693"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2017</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3EFA33E2"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1FA52FF5"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1F2D8F17"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2020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31D72AF7"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2021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269815C1"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2022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338766A7"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2023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hideMark/>
          </w:tcPr>
          <w:p w14:paraId="6C79F0D4" w14:textId="135F3268" w:rsidR="00E95303" w:rsidRPr="0016717D" w:rsidRDefault="00E95303" w:rsidP="00E70B4A">
            <w:pPr>
              <w:jc w:val="center"/>
              <w:rPr>
                <w:rFonts w:ascii="Arial" w:eastAsia="Arial" w:hAnsi="Arial"/>
                <w:b/>
                <w:sz w:val="16"/>
                <w:lang w:val="es-ES"/>
              </w:rPr>
            </w:pPr>
            <w:r w:rsidRPr="0016717D">
              <w:rPr>
                <w:rFonts w:ascii="Arial" w:eastAsia="Arial" w:hAnsi="Arial"/>
                <w:b/>
                <w:sz w:val="16"/>
                <w:lang w:val="es-ES"/>
              </w:rPr>
              <w:t xml:space="preserve">Meta </w:t>
            </w:r>
            <w:r w:rsidRPr="008250E2">
              <w:rPr>
                <w:rFonts w:ascii="Arial" w:eastAsia="Arial" w:hAnsi="Arial" w:cs="Arial"/>
                <w:b/>
                <w:bCs/>
                <w:sz w:val="16"/>
                <w:szCs w:val="16"/>
                <w:lang w:val="es-ES" w:eastAsia="zh-CN"/>
              </w:rPr>
              <w:t>Final</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1D18DEE4" w14:textId="76AFB08C" w:rsidR="00E95303" w:rsidRPr="0016717D" w:rsidRDefault="00E95303" w:rsidP="00E70B4A">
            <w:pPr>
              <w:jc w:val="center"/>
              <w:rPr>
                <w:rFonts w:ascii="Arial" w:eastAsia="Arial" w:hAnsi="Arial"/>
                <w:b/>
                <w:sz w:val="16"/>
                <w:lang w:val="es-ES"/>
              </w:rPr>
            </w:pPr>
            <w:r w:rsidRPr="008250E2">
              <w:rPr>
                <w:rFonts w:ascii="Arial" w:eastAsia="Arial" w:hAnsi="Arial" w:cs="Arial"/>
                <w:b/>
                <w:bCs/>
                <w:sz w:val="16"/>
                <w:szCs w:val="16"/>
                <w:lang w:val="es-ES" w:eastAsia="zh-CN"/>
              </w:rPr>
              <w:t xml:space="preserve">Observaciones / </w:t>
            </w:r>
            <w:r w:rsidRPr="0016717D">
              <w:rPr>
                <w:rFonts w:ascii="Arial" w:eastAsia="Arial" w:hAnsi="Arial"/>
                <w:b/>
                <w:sz w:val="16"/>
                <w:lang w:val="es-ES"/>
              </w:rPr>
              <w:t xml:space="preserve">Medios de </w:t>
            </w:r>
            <w:r w:rsidRPr="008250E2">
              <w:rPr>
                <w:rFonts w:ascii="Arial" w:eastAsia="Arial" w:hAnsi="Arial" w:cs="Arial"/>
                <w:b/>
                <w:bCs/>
                <w:sz w:val="16"/>
                <w:szCs w:val="16"/>
                <w:lang w:val="es-ES" w:eastAsia="zh-CN"/>
              </w:rPr>
              <w:t>Verificación</w:t>
            </w:r>
          </w:p>
        </w:tc>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vAlign w:val="center"/>
          </w:tcPr>
          <w:p w14:paraId="5E2B9DA1" w14:textId="77777777" w:rsidR="00E95303" w:rsidRPr="008250E2" w:rsidRDefault="00E95303" w:rsidP="00E70B4A">
            <w:pPr>
              <w:jc w:val="center"/>
              <w:rPr>
                <w:rFonts w:ascii="Arial" w:eastAsia="Arial" w:hAnsi="Arial" w:cs="Arial"/>
                <w:b/>
                <w:bCs/>
                <w:sz w:val="16"/>
                <w:szCs w:val="16"/>
                <w:lang w:val="es-ES" w:eastAsia="zh-CN"/>
              </w:rPr>
            </w:pPr>
            <w:r w:rsidRPr="008250E2">
              <w:rPr>
                <w:rFonts w:ascii="Arial" w:eastAsia="Arial" w:hAnsi="Arial" w:cs="Arial"/>
                <w:b/>
                <w:bCs/>
                <w:sz w:val="16"/>
                <w:szCs w:val="16"/>
                <w:lang w:val="es-ES" w:eastAsia="zh-CN"/>
              </w:rPr>
              <w:t>Cambios a la Matriz Original</w:t>
            </w:r>
          </w:p>
        </w:tc>
      </w:tr>
      <w:tr w:rsidR="00E95303" w:rsidRPr="009A05F7" w14:paraId="3B6FA5A9" w14:textId="77777777" w:rsidTr="0016717D">
        <w:trPr>
          <w:trHeight w:val="278"/>
        </w:trPr>
        <w:tc>
          <w:tcPr>
            <w:tcW w:w="1512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BD6D329" w14:textId="32D8E12F" w:rsidR="00E95303" w:rsidRPr="0016717D" w:rsidRDefault="00E95303" w:rsidP="0016717D">
            <w:pPr>
              <w:pStyle w:val="Default"/>
              <w:rPr>
                <w:rFonts w:ascii="Arial" w:eastAsia="Arial" w:hAnsi="Arial"/>
                <w:b/>
                <w:sz w:val="16"/>
                <w:lang w:val="es-ES"/>
              </w:rPr>
            </w:pPr>
            <w:r w:rsidRPr="0016717D">
              <w:rPr>
                <w:rFonts w:ascii="Arial" w:hAnsi="Arial"/>
                <w:b/>
                <w:sz w:val="18"/>
                <w:lang w:val="es-ES_tradnl"/>
              </w:rPr>
              <w:t>Componente 1</w:t>
            </w:r>
            <w:r w:rsidRPr="009A05F7">
              <w:rPr>
                <w:rFonts w:ascii="Arial" w:hAnsi="Arial" w:cs="Arial"/>
                <w:b/>
                <w:bCs/>
                <w:sz w:val="18"/>
                <w:szCs w:val="18"/>
                <w:lang w:val="es-ES_tradnl"/>
              </w:rPr>
              <w:t>: Agua Potable</w:t>
            </w:r>
            <w:r w:rsidRPr="0016717D">
              <w:rPr>
                <w:rFonts w:ascii="Arial" w:hAnsi="Arial"/>
                <w:b/>
                <w:sz w:val="18"/>
                <w:lang w:val="es-ES_tradnl"/>
              </w:rPr>
              <w:t xml:space="preserve"> y </w:t>
            </w:r>
            <w:r w:rsidRPr="009A05F7">
              <w:rPr>
                <w:rFonts w:ascii="Arial" w:hAnsi="Arial" w:cs="Arial"/>
                <w:b/>
                <w:bCs/>
                <w:sz w:val="18"/>
                <w:szCs w:val="18"/>
                <w:lang w:val="es-ES_tradnl"/>
              </w:rPr>
              <w:t>Saneamiento</w:t>
            </w:r>
          </w:p>
        </w:tc>
      </w:tr>
      <w:tr w:rsidR="00C34926" w:rsidRPr="009A05F7" w14:paraId="0B21F0D2" w14:textId="77777777" w:rsidTr="00931A61">
        <w:trPr>
          <w:trHeight w:val="1979"/>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330F19" w14:textId="45439626" w:rsidR="00E95303" w:rsidRPr="0016717D" w:rsidRDefault="00E95303" w:rsidP="0016717D">
            <w:pPr>
              <w:pStyle w:val="ListParagraph"/>
              <w:ind w:left="0"/>
              <w:contextualSpacing w:val="0"/>
              <w:rPr>
                <w:rFonts w:ascii="Arial" w:eastAsia="Arial" w:hAnsi="Arial"/>
                <w:sz w:val="18"/>
                <w:lang w:val="es-ES"/>
              </w:rPr>
            </w:pPr>
            <w:r w:rsidRPr="0016717D">
              <w:rPr>
                <w:rFonts w:ascii="Arial" w:hAnsi="Arial"/>
                <w:sz w:val="18"/>
                <w:lang w:val="es-ES"/>
              </w:rPr>
              <w:t>1.</w:t>
            </w:r>
            <w:r w:rsidRPr="009A05F7">
              <w:rPr>
                <w:rFonts w:ascii="Arial" w:hAnsi="Arial" w:cs="Arial"/>
                <w:sz w:val="18"/>
                <w:szCs w:val="18"/>
                <w:lang w:val="es-ES"/>
              </w:rPr>
              <w:t>1</w:t>
            </w:r>
            <w:r w:rsidRPr="0016717D">
              <w:rPr>
                <w:rFonts w:ascii="Arial" w:hAnsi="Arial"/>
                <w:sz w:val="18"/>
                <w:lang w:val="es-ES"/>
              </w:rPr>
              <w:t xml:space="preserve"> Sistemas de saneamiento construidos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D70F97" w14:textId="77777777" w:rsidR="00E95303" w:rsidRPr="0016717D" w:rsidRDefault="00E95303" w:rsidP="00E70B4A">
            <w:pPr>
              <w:jc w:val="center"/>
              <w:rPr>
                <w:rFonts w:ascii="Arial" w:eastAsia="Arial" w:hAnsi="Arial"/>
                <w:sz w:val="16"/>
                <w:lang w:val="es-ES"/>
              </w:rPr>
            </w:pPr>
            <w:r w:rsidRPr="0016717D">
              <w:rPr>
                <w:rFonts w:ascii="Arial" w:hAnsi="Arial"/>
                <w:sz w:val="16"/>
                <w:lang w:val="es-ES"/>
              </w:rPr>
              <w:t>Número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7E0812" w14:textId="77777777" w:rsidR="00E95303" w:rsidRPr="0016717D" w:rsidRDefault="00E95303" w:rsidP="00E70B4A">
            <w:pPr>
              <w:jc w:val="center"/>
              <w:rPr>
                <w:rFonts w:ascii="Arial" w:eastAsia="Arial" w:hAnsi="Arial"/>
                <w:sz w:val="16"/>
                <w:lang w:val="es-ES"/>
              </w:rPr>
            </w:pPr>
            <w:r w:rsidRPr="0016717D">
              <w:rPr>
                <w:rFonts w:ascii="Arial" w:eastAsia="Arial" w:hAnsi="Arial"/>
                <w:sz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869D0" w14:textId="4CE413FC" w:rsidR="00E95303" w:rsidRPr="0016717D" w:rsidRDefault="00E95303" w:rsidP="00E70B4A">
            <w:pPr>
              <w:jc w:val="center"/>
              <w:rPr>
                <w:rFonts w:ascii="Arial" w:eastAsia="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03124" w14:textId="64DF7EC4" w:rsidR="00E95303" w:rsidRPr="0016717D" w:rsidRDefault="00E95303" w:rsidP="00E70B4A">
            <w:pPr>
              <w:jc w:val="center"/>
              <w:rPr>
                <w:rFonts w:ascii="Arial" w:eastAsia="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FA3774" w14:textId="77777777" w:rsidR="00E95303" w:rsidRPr="00A74AE9" w:rsidRDefault="00E95303" w:rsidP="00E70B4A">
            <w:pPr>
              <w:jc w:val="center"/>
              <w:rPr>
                <w:rFonts w:ascii="Arial" w:eastAsia="Arial" w:hAnsi="Arial" w:cs="Arial"/>
                <w:sz w:val="16"/>
                <w:szCs w:val="16"/>
                <w:lang w:val="es-ES"/>
              </w:rPr>
            </w:pPr>
            <w:r w:rsidRPr="00A74AE9">
              <w:rPr>
                <w:rFonts w:ascii="Arial" w:hAnsi="Arial" w:cs="Arial"/>
                <w:sz w:val="16"/>
                <w:szCs w:val="16"/>
                <w:lang w:val="es-ES"/>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2E1CE7" w14:textId="77777777" w:rsidR="00E95303" w:rsidRPr="00A74AE9" w:rsidRDefault="00E95303" w:rsidP="00E70B4A">
            <w:pPr>
              <w:jc w:val="center"/>
              <w:rPr>
                <w:rFonts w:ascii="Arial" w:eastAsia="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17B9DC" w14:textId="77777777" w:rsidR="00E95303" w:rsidRPr="00A74AE9" w:rsidRDefault="00E95303" w:rsidP="00E70B4A">
            <w:pPr>
              <w:jc w:val="center"/>
              <w:rPr>
                <w:rFonts w:ascii="Arial" w:eastAsia="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21500" w14:textId="77777777" w:rsidR="00E95303" w:rsidRPr="00A74AE9" w:rsidRDefault="00E95303" w:rsidP="00E70B4A">
            <w:pPr>
              <w:jc w:val="center"/>
              <w:rPr>
                <w:rFonts w:ascii="Arial" w:eastAsia="Arial" w:hAnsi="Arial" w:cs="Arial"/>
                <w:sz w:val="16"/>
                <w:szCs w:val="16"/>
                <w:lang w:val="es-ES" w:eastAsia="zh-CN"/>
              </w:rPr>
            </w:pPr>
            <w:r w:rsidRPr="00A74AE9">
              <w:rPr>
                <w:rFonts w:ascii="Arial" w:hAnsi="Arial" w:cs="Arial"/>
                <w:sz w:val="16"/>
                <w:szCs w:val="16"/>
                <w:lang w:val="es-ES"/>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2C5FF0" w14:textId="77777777" w:rsidR="00E95303" w:rsidRPr="00A74AE9" w:rsidRDefault="00E95303" w:rsidP="00E70B4A">
            <w:pPr>
              <w:jc w:val="center"/>
              <w:rPr>
                <w:rFonts w:ascii="Arial" w:eastAsia="Arial" w:hAnsi="Arial" w:cs="Arial"/>
                <w:sz w:val="16"/>
                <w:szCs w:val="16"/>
                <w:lang w:val="es-ES" w:eastAsia="zh-CN"/>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96A35" w14:textId="77777777" w:rsidR="00E95303" w:rsidRPr="00A74AE9" w:rsidRDefault="00E95303" w:rsidP="00E70B4A">
            <w:pPr>
              <w:jc w:val="center"/>
              <w:rPr>
                <w:rFonts w:ascii="Arial" w:eastAsia="Arial" w:hAnsi="Arial" w:cs="Arial"/>
                <w:sz w:val="16"/>
                <w:szCs w:val="16"/>
                <w:lang w:val="es-ES" w:eastAsia="zh-CN"/>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1C3BEF" w14:textId="77777777" w:rsidR="00E95303" w:rsidRPr="00A74AE9" w:rsidRDefault="00E95303" w:rsidP="00E70B4A">
            <w:pPr>
              <w:jc w:val="center"/>
              <w:rPr>
                <w:rFonts w:ascii="Arial" w:eastAsia="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342102"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E313C1"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9BEA2" w14:textId="77777777" w:rsidR="00E95303" w:rsidRPr="00A74AE9" w:rsidRDefault="00E95303" w:rsidP="00E70B4A">
            <w:pPr>
              <w:jc w:val="center"/>
              <w:rPr>
                <w:rFonts w:ascii="Arial" w:eastAsia="Arial" w:hAnsi="Arial" w:cs="Arial"/>
                <w:sz w:val="16"/>
                <w:szCs w:val="16"/>
                <w:lang w:val="es-ES" w:eastAsia="zh-CN"/>
              </w:rPr>
            </w:pPr>
            <w:r w:rsidRPr="00A74AE9">
              <w:rPr>
                <w:rFonts w:ascii="Arial" w:hAnsi="Arial" w:cs="Arial"/>
                <w:sz w:val="16"/>
                <w:szCs w:val="16"/>
                <w:lang w:val="es-ES"/>
              </w:rPr>
              <w:t>5</w:t>
            </w:r>
          </w:p>
        </w:tc>
        <w:tc>
          <w:tcPr>
            <w:tcW w:w="1170" w:type="dxa"/>
            <w:vMerge w:val="restart"/>
            <w:tcBorders>
              <w:left w:val="single" w:sz="4" w:space="0" w:color="000000" w:themeColor="text1"/>
              <w:right w:val="single" w:sz="4" w:space="0" w:color="000000" w:themeColor="text1"/>
            </w:tcBorders>
            <w:vAlign w:val="center"/>
          </w:tcPr>
          <w:p w14:paraId="5B933FCA" w14:textId="77777777" w:rsidR="00E95303" w:rsidRPr="009A05F7" w:rsidRDefault="00E95303" w:rsidP="00E70B4A">
            <w:pPr>
              <w:rPr>
                <w:rFonts w:ascii="Arial" w:eastAsia="Arial" w:hAnsi="Arial" w:cs="Arial"/>
                <w:sz w:val="18"/>
                <w:szCs w:val="18"/>
                <w:lang w:val="es-ES"/>
              </w:rPr>
            </w:pPr>
            <w:r w:rsidRPr="009A05F7">
              <w:rPr>
                <w:rFonts w:ascii="Arial" w:eastAsia="Arial" w:hAnsi="Arial" w:cs="Arial"/>
                <w:sz w:val="18"/>
                <w:szCs w:val="18"/>
                <w:lang w:val="es-ES"/>
              </w:rPr>
              <w:t>Informes de la unidad ejecutora</w:t>
            </w:r>
          </w:p>
        </w:tc>
        <w:tc>
          <w:tcPr>
            <w:tcW w:w="2972" w:type="dxa"/>
            <w:vMerge w:val="restart"/>
            <w:tcBorders>
              <w:left w:val="single" w:sz="4" w:space="0" w:color="000000" w:themeColor="text1"/>
              <w:right w:val="single" w:sz="4" w:space="0" w:color="000000" w:themeColor="text1"/>
            </w:tcBorders>
            <w:vAlign w:val="center"/>
          </w:tcPr>
          <w:p w14:paraId="3B031AA6" w14:textId="73650779" w:rsidR="00E95303" w:rsidRDefault="00E95303" w:rsidP="00E70B4A">
            <w:pPr>
              <w:rPr>
                <w:rFonts w:ascii="Arial" w:eastAsia="Arial" w:hAnsi="Arial" w:cs="Arial"/>
                <w:b/>
                <w:bCs/>
                <w:sz w:val="18"/>
                <w:szCs w:val="18"/>
                <w:lang w:val="es-ES" w:eastAsia="zh-CN"/>
              </w:rPr>
            </w:pPr>
            <w:r w:rsidRPr="008250E2">
              <w:rPr>
                <w:rFonts w:ascii="Arial" w:eastAsia="Arial" w:hAnsi="Arial" w:cs="Arial"/>
                <w:b/>
                <w:bCs/>
                <w:sz w:val="18"/>
                <w:szCs w:val="18"/>
                <w:lang w:val="es-ES" w:eastAsia="zh-CN"/>
              </w:rPr>
              <w:t>Indicadores originales:</w:t>
            </w:r>
          </w:p>
          <w:p w14:paraId="49CA3E2A" w14:textId="3C613464" w:rsidR="00BA52D1" w:rsidRDefault="00BA52D1" w:rsidP="00BA52D1">
            <w:pPr>
              <w:jc w:val="both"/>
              <w:rPr>
                <w:rFonts w:ascii="Arial" w:hAnsi="Arial" w:cs="Arial"/>
                <w:sz w:val="18"/>
                <w:szCs w:val="18"/>
                <w:lang w:eastAsia="zh-CN"/>
              </w:rPr>
            </w:pPr>
            <w:r>
              <w:rPr>
                <w:rFonts w:ascii="Arial" w:hAnsi="Arial" w:cs="Arial"/>
                <w:sz w:val="18"/>
                <w:szCs w:val="18"/>
                <w:lang w:eastAsia="zh-CN"/>
              </w:rPr>
              <w:t xml:space="preserve">Los </w:t>
            </w:r>
            <w:r w:rsidRPr="00C30874">
              <w:rPr>
                <w:rFonts w:ascii="Arial" w:hAnsi="Arial" w:cs="Arial"/>
                <w:sz w:val="18"/>
                <w:szCs w:val="18"/>
                <w:lang w:eastAsia="zh-CN"/>
              </w:rPr>
              <w:t xml:space="preserve">indicadores </w:t>
            </w:r>
            <w:r>
              <w:rPr>
                <w:rFonts w:ascii="Arial" w:hAnsi="Arial" w:cs="Arial"/>
                <w:sz w:val="18"/>
                <w:szCs w:val="18"/>
                <w:lang w:eastAsia="zh-CN"/>
              </w:rPr>
              <w:t xml:space="preserve">originales estaban </w:t>
            </w:r>
            <w:r w:rsidRPr="00C30874">
              <w:rPr>
                <w:rFonts w:ascii="Arial" w:hAnsi="Arial" w:cs="Arial"/>
                <w:sz w:val="18"/>
                <w:szCs w:val="18"/>
                <w:lang w:eastAsia="zh-CN"/>
              </w:rPr>
              <w:t xml:space="preserve">referidos a los </w:t>
            </w:r>
            <w:r>
              <w:rPr>
                <w:rFonts w:ascii="Arial" w:hAnsi="Arial" w:cs="Arial"/>
                <w:sz w:val="18"/>
                <w:szCs w:val="18"/>
                <w:lang w:eastAsia="zh-CN"/>
              </w:rPr>
              <w:t>2</w:t>
            </w:r>
            <w:r w:rsidRPr="00C30874">
              <w:rPr>
                <w:rFonts w:ascii="Arial" w:hAnsi="Arial" w:cs="Arial"/>
                <w:sz w:val="18"/>
                <w:szCs w:val="18"/>
                <w:lang w:eastAsia="zh-CN"/>
              </w:rPr>
              <w:t xml:space="preserve"> proyect</w:t>
            </w:r>
            <w:r>
              <w:rPr>
                <w:rFonts w:ascii="Arial" w:hAnsi="Arial" w:cs="Arial"/>
                <w:sz w:val="18"/>
                <w:szCs w:val="18"/>
                <w:lang w:eastAsia="zh-CN"/>
              </w:rPr>
              <w:t>os de la muestra que no fueron priorizados</w:t>
            </w:r>
          </w:p>
          <w:p w14:paraId="170738FD" w14:textId="7A219C02" w:rsidR="00E95303" w:rsidRPr="0016717D" w:rsidRDefault="00E95303" w:rsidP="00E70B4A">
            <w:pPr>
              <w:rPr>
                <w:rFonts w:ascii="Arial" w:eastAsia="Arial" w:hAnsi="Arial"/>
                <w:sz w:val="18"/>
                <w:lang w:val="es-ES"/>
              </w:rPr>
            </w:pPr>
            <w:r w:rsidRPr="009A05F7">
              <w:rPr>
                <w:rFonts w:ascii="Arial" w:hAnsi="Arial" w:cs="Arial"/>
                <w:b/>
                <w:bCs/>
                <w:sz w:val="18"/>
                <w:szCs w:val="18"/>
                <w:lang w:val="es-ES"/>
              </w:rPr>
              <w:t>Justificación de los cambios</w:t>
            </w:r>
            <w:r w:rsidRPr="009A05F7">
              <w:rPr>
                <w:rFonts w:ascii="Arial" w:hAnsi="Arial" w:cs="Arial"/>
                <w:sz w:val="18"/>
                <w:szCs w:val="18"/>
                <w:lang w:val="es-ES"/>
              </w:rPr>
              <w:t>: La matriz original presentaba indicadores de producto específicos para los proyectos</w:t>
            </w:r>
            <w:r w:rsidR="00BA52D1">
              <w:rPr>
                <w:rFonts w:ascii="Arial" w:hAnsi="Arial" w:cs="Arial"/>
                <w:sz w:val="18"/>
                <w:szCs w:val="18"/>
                <w:lang w:val="es-ES"/>
              </w:rPr>
              <w:t xml:space="preserve"> de la muestra que no fueron priorizados</w:t>
            </w:r>
            <w:r>
              <w:rPr>
                <w:rFonts w:ascii="Arial" w:hAnsi="Arial" w:cs="Arial"/>
                <w:sz w:val="18"/>
                <w:szCs w:val="18"/>
                <w:lang w:val="es-ES"/>
              </w:rPr>
              <w:t xml:space="preserve">. </w:t>
            </w:r>
            <w:r w:rsidRPr="009A05F7">
              <w:rPr>
                <w:rFonts w:ascii="Arial" w:hAnsi="Arial" w:cs="Arial"/>
                <w:sz w:val="18"/>
                <w:szCs w:val="18"/>
                <w:lang w:val="es-ES"/>
              </w:rPr>
              <w:t xml:space="preserve">Los nuevos indicadores permiten el monitoreo de todos los proyectos </w:t>
            </w:r>
            <w:r>
              <w:rPr>
                <w:rFonts w:ascii="Arial" w:hAnsi="Arial" w:cs="Arial"/>
                <w:sz w:val="18"/>
                <w:szCs w:val="18"/>
                <w:lang w:val="es-ES"/>
              </w:rPr>
              <w:lastRenderedPageBreak/>
              <w:t xml:space="preserve">financiados por </w:t>
            </w:r>
            <w:r w:rsidRPr="009A05F7">
              <w:rPr>
                <w:rFonts w:ascii="Arial" w:hAnsi="Arial" w:cs="Arial"/>
                <w:sz w:val="18"/>
                <w:szCs w:val="18"/>
                <w:lang w:val="es-ES"/>
              </w:rPr>
              <w:t xml:space="preserve">el programa asociados al </w:t>
            </w:r>
            <w:r w:rsidR="00D11499">
              <w:rPr>
                <w:rFonts w:ascii="Arial" w:hAnsi="Arial" w:cs="Arial"/>
                <w:sz w:val="18"/>
                <w:szCs w:val="18"/>
                <w:lang w:val="es-ES"/>
              </w:rPr>
              <w:t>C</w:t>
            </w:r>
            <w:r w:rsidRPr="009A05F7">
              <w:rPr>
                <w:rFonts w:ascii="Arial" w:hAnsi="Arial" w:cs="Arial"/>
                <w:sz w:val="18"/>
                <w:szCs w:val="18"/>
                <w:lang w:val="es-ES"/>
              </w:rPr>
              <w:t>omponente</w:t>
            </w:r>
            <w:r>
              <w:rPr>
                <w:rFonts w:ascii="Arial" w:hAnsi="Arial" w:cs="Arial"/>
                <w:sz w:val="18"/>
                <w:szCs w:val="18"/>
                <w:lang w:val="es-ES"/>
              </w:rPr>
              <w:t xml:space="preserve"> 1.</w:t>
            </w:r>
          </w:p>
        </w:tc>
      </w:tr>
      <w:tr w:rsidR="00C34926" w:rsidRPr="009A05F7" w14:paraId="1D3F9EA4" w14:textId="77777777" w:rsidTr="00931A61">
        <w:trPr>
          <w:trHeight w:val="64"/>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205C07" w14:textId="2A665254" w:rsidR="00E95303" w:rsidRPr="0016717D" w:rsidRDefault="00E95303" w:rsidP="0016717D">
            <w:pPr>
              <w:pStyle w:val="ListParagraph"/>
              <w:ind w:left="0"/>
              <w:contextualSpacing w:val="0"/>
              <w:rPr>
                <w:rFonts w:ascii="Arial" w:hAnsi="Arial"/>
                <w:sz w:val="18"/>
                <w:lang w:val="es-ES"/>
              </w:rPr>
            </w:pPr>
            <w:r w:rsidRPr="0016717D">
              <w:rPr>
                <w:rFonts w:ascii="Arial" w:hAnsi="Arial"/>
                <w:sz w:val="18"/>
                <w:lang w:val="es-ES"/>
              </w:rPr>
              <w:t>1.</w:t>
            </w:r>
            <w:r>
              <w:rPr>
                <w:rFonts w:ascii="Arial" w:hAnsi="Arial" w:cs="Arial"/>
                <w:sz w:val="18"/>
                <w:szCs w:val="18"/>
                <w:lang w:val="es-ES"/>
              </w:rPr>
              <w:t>2</w:t>
            </w:r>
            <w:r w:rsidRPr="0016717D">
              <w:rPr>
                <w:rFonts w:ascii="Arial" w:hAnsi="Arial"/>
                <w:sz w:val="18"/>
                <w:lang w:val="es-ES"/>
              </w:rPr>
              <w:t xml:space="preserve"> Sistemas de </w:t>
            </w:r>
            <w:r w:rsidRPr="009A05F7">
              <w:rPr>
                <w:rFonts w:ascii="Arial" w:hAnsi="Arial" w:cs="Arial"/>
                <w:sz w:val="18"/>
                <w:szCs w:val="18"/>
                <w:lang w:val="es-ES"/>
              </w:rPr>
              <w:t xml:space="preserve">agua </w:t>
            </w:r>
            <w:r w:rsidRPr="009A05F7">
              <w:rPr>
                <w:rFonts w:ascii="Arial" w:hAnsi="Arial" w:cs="Arial"/>
                <w:sz w:val="18"/>
                <w:szCs w:val="18"/>
                <w:lang w:val="es-ES"/>
              </w:rPr>
              <w:lastRenderedPageBreak/>
              <w:t>potable</w:t>
            </w:r>
            <w:r w:rsidRPr="0016717D">
              <w:rPr>
                <w:rFonts w:ascii="Arial" w:hAnsi="Arial"/>
                <w:sz w:val="18"/>
                <w:lang w:val="es-ES"/>
              </w:rPr>
              <w:t xml:space="preserve"> construidos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774F6C" w14:textId="77777777" w:rsidR="00E95303" w:rsidRPr="0016717D" w:rsidRDefault="00E95303" w:rsidP="00E70B4A">
            <w:pPr>
              <w:jc w:val="center"/>
              <w:rPr>
                <w:rFonts w:ascii="Arial" w:hAnsi="Arial"/>
                <w:sz w:val="16"/>
                <w:lang w:val="es-ES"/>
              </w:rPr>
            </w:pPr>
            <w:r w:rsidRPr="0016717D">
              <w:rPr>
                <w:rFonts w:ascii="Arial" w:hAnsi="Arial"/>
                <w:sz w:val="16"/>
                <w:lang w:val="es-ES"/>
              </w:rPr>
              <w:lastRenderedPageBreak/>
              <w:t>Número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2EC062" w14:textId="77777777" w:rsidR="00E95303" w:rsidRPr="0016717D" w:rsidRDefault="00E95303" w:rsidP="00E70B4A">
            <w:pPr>
              <w:jc w:val="center"/>
              <w:rPr>
                <w:rFonts w:ascii="Arial" w:eastAsia="Arial" w:hAnsi="Arial"/>
                <w:sz w:val="16"/>
                <w:lang w:val="es-ES"/>
              </w:rPr>
            </w:pPr>
            <w:r w:rsidRPr="0016717D">
              <w:rPr>
                <w:rFonts w:ascii="Arial" w:eastAsia="Arial" w:hAnsi="Arial"/>
                <w:sz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73F2D" w14:textId="327124C7" w:rsidR="00E95303" w:rsidRPr="0016717D" w:rsidRDefault="00E95303" w:rsidP="00E70B4A">
            <w:pPr>
              <w:jc w:val="center"/>
              <w:rPr>
                <w:rFonts w:ascii="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5F7771"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5F894"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CE0706" w14:textId="77777777" w:rsidR="00E95303" w:rsidRPr="0016717D" w:rsidRDefault="00E95303" w:rsidP="00E70B4A">
            <w:pPr>
              <w:jc w:val="center"/>
              <w:rPr>
                <w:rFonts w:ascii="Arial" w:hAnsi="Arial"/>
                <w:sz w:val="16"/>
                <w:lang w:val="es-ES"/>
              </w:rPr>
            </w:pPr>
            <w:r w:rsidRPr="0016717D">
              <w:rPr>
                <w:rFonts w:ascii="Arial" w:hAnsi="Arial"/>
                <w:sz w:val="16"/>
                <w:lang w:val="es-ES"/>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07966" w14:textId="6F213CFA" w:rsidR="00E95303" w:rsidRPr="0016717D" w:rsidRDefault="00E95303" w:rsidP="0016717D">
            <w:pPr>
              <w:jc w:val="center"/>
              <w:rPr>
                <w:rFonts w:ascii="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6E2096"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4EEDC"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AC5BFE"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51F298" w14:textId="77777777" w:rsidR="00E95303" w:rsidRPr="00A74AE9" w:rsidRDefault="00E95303" w:rsidP="00E70B4A">
            <w:pPr>
              <w:jc w:val="center"/>
              <w:rPr>
                <w:rFonts w:ascii="Arial" w:hAnsi="Arial" w:cs="Arial"/>
                <w:sz w:val="16"/>
                <w:szCs w:val="16"/>
                <w:lang w:val="es-ES"/>
              </w:rPr>
            </w:pPr>
            <w:r w:rsidRPr="00A74AE9">
              <w:rPr>
                <w:rFonts w:ascii="Arial" w:eastAsia="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D48A76"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09128" w14:textId="77777777" w:rsidR="00E95303" w:rsidRPr="00A74AE9" w:rsidRDefault="00E95303" w:rsidP="00E70B4A">
            <w:pPr>
              <w:jc w:val="center"/>
              <w:rPr>
                <w:rFonts w:ascii="Arial" w:hAnsi="Arial" w:cs="Arial"/>
                <w:sz w:val="16"/>
                <w:szCs w:val="16"/>
                <w:lang w:val="es-ES"/>
              </w:rPr>
            </w:pPr>
            <w:r>
              <w:rPr>
                <w:rFonts w:ascii="Arial" w:hAnsi="Arial" w:cs="Arial"/>
                <w:sz w:val="16"/>
                <w:szCs w:val="16"/>
                <w:lang w:val="es-ES"/>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D7F87" w14:textId="77777777" w:rsidR="00E95303" w:rsidRPr="00A74AE9" w:rsidRDefault="00E95303" w:rsidP="00E70B4A">
            <w:pPr>
              <w:jc w:val="center"/>
              <w:rPr>
                <w:rFonts w:ascii="Arial" w:hAnsi="Arial" w:cs="Arial"/>
                <w:sz w:val="16"/>
                <w:szCs w:val="16"/>
                <w:lang w:val="es-ES"/>
              </w:rPr>
            </w:pPr>
            <w:r w:rsidRPr="00A74AE9">
              <w:rPr>
                <w:rFonts w:ascii="Arial" w:hAnsi="Arial" w:cs="Arial"/>
                <w:sz w:val="16"/>
                <w:szCs w:val="16"/>
                <w:lang w:val="es-ES"/>
              </w:rPr>
              <w:t>4</w:t>
            </w:r>
          </w:p>
        </w:tc>
        <w:tc>
          <w:tcPr>
            <w:tcW w:w="1170" w:type="dxa"/>
            <w:vMerge/>
            <w:tcBorders>
              <w:left w:val="single" w:sz="4" w:space="0" w:color="000000" w:themeColor="text1"/>
              <w:right w:val="single" w:sz="4" w:space="0" w:color="000000" w:themeColor="text1"/>
            </w:tcBorders>
          </w:tcPr>
          <w:p w14:paraId="4AF22945" w14:textId="77777777" w:rsidR="00E95303" w:rsidRPr="009A05F7" w:rsidRDefault="00E95303" w:rsidP="00E70B4A">
            <w:pPr>
              <w:jc w:val="center"/>
              <w:rPr>
                <w:rFonts w:ascii="Arial" w:eastAsia="Arial" w:hAnsi="Arial" w:cs="Arial"/>
                <w:sz w:val="18"/>
                <w:szCs w:val="18"/>
                <w:lang w:val="es-ES"/>
              </w:rPr>
            </w:pPr>
          </w:p>
        </w:tc>
        <w:tc>
          <w:tcPr>
            <w:tcW w:w="2972" w:type="dxa"/>
            <w:vMerge/>
            <w:tcBorders>
              <w:left w:val="single" w:sz="4" w:space="0" w:color="000000" w:themeColor="text1"/>
              <w:right w:val="single" w:sz="4" w:space="0" w:color="000000" w:themeColor="text1"/>
            </w:tcBorders>
          </w:tcPr>
          <w:p w14:paraId="472623FE" w14:textId="77777777" w:rsidR="00E95303" w:rsidRPr="009A05F7" w:rsidRDefault="00E95303" w:rsidP="00E70B4A">
            <w:pPr>
              <w:jc w:val="center"/>
              <w:rPr>
                <w:rFonts w:ascii="Arial" w:eastAsia="Arial" w:hAnsi="Arial" w:cs="Arial"/>
                <w:sz w:val="18"/>
                <w:szCs w:val="18"/>
                <w:lang w:val="es-ES"/>
              </w:rPr>
            </w:pPr>
          </w:p>
        </w:tc>
      </w:tr>
      <w:tr w:rsidR="00C34926" w:rsidRPr="00A74AE9" w14:paraId="1F2E0CAF" w14:textId="77777777" w:rsidTr="00931A61">
        <w:trPr>
          <w:trHeight w:val="458"/>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B5CB7A" w14:textId="692D45B8" w:rsidR="00E95303" w:rsidRPr="0016717D" w:rsidRDefault="00E95303" w:rsidP="0016717D">
            <w:pPr>
              <w:pStyle w:val="ListParagraph"/>
              <w:ind w:left="0"/>
              <w:contextualSpacing w:val="0"/>
              <w:rPr>
                <w:rFonts w:ascii="Arial" w:hAnsi="Arial"/>
                <w:sz w:val="18"/>
                <w:lang w:val="es-ES"/>
              </w:rPr>
            </w:pPr>
            <w:r w:rsidRPr="009A05F7">
              <w:rPr>
                <w:rFonts w:ascii="Arial" w:hAnsi="Arial" w:cs="Arial"/>
                <w:sz w:val="18"/>
                <w:szCs w:val="18"/>
                <w:lang w:val="es-ES"/>
              </w:rPr>
              <w:t>1.</w:t>
            </w:r>
            <w:r>
              <w:rPr>
                <w:rFonts w:ascii="Arial" w:hAnsi="Arial" w:cs="Arial"/>
                <w:sz w:val="18"/>
                <w:szCs w:val="18"/>
                <w:lang w:val="es-ES"/>
              </w:rPr>
              <w:t>3</w:t>
            </w:r>
            <w:r w:rsidRPr="009A05F7">
              <w:rPr>
                <w:rFonts w:ascii="Arial" w:hAnsi="Arial" w:cs="Arial"/>
                <w:sz w:val="18"/>
                <w:szCs w:val="18"/>
                <w:lang w:val="es-ES"/>
              </w:rPr>
              <w:t xml:space="preserve"> Plantas de tratamiento de aguas residuales construidas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4BCF40" w14:textId="77777777" w:rsidR="00E95303" w:rsidRPr="0016717D" w:rsidRDefault="00E95303" w:rsidP="00E70B4A">
            <w:pPr>
              <w:jc w:val="center"/>
              <w:rPr>
                <w:rFonts w:ascii="Arial" w:hAnsi="Arial"/>
                <w:sz w:val="18"/>
                <w:lang w:val="es-ES"/>
              </w:rPr>
            </w:pPr>
            <w:r w:rsidRPr="0016717D">
              <w:rPr>
                <w:rFonts w:ascii="Arial" w:hAnsi="Arial"/>
                <w:sz w:val="18"/>
                <w:lang w:val="es-ES"/>
              </w:rPr>
              <w:t>Número</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5AB279" w14:textId="77777777" w:rsidR="00E95303" w:rsidRPr="0016717D" w:rsidRDefault="00E95303" w:rsidP="00E70B4A">
            <w:pPr>
              <w:jc w:val="center"/>
              <w:rPr>
                <w:rFonts w:ascii="Arial" w:eastAsia="Arial" w:hAnsi="Arial"/>
                <w:sz w:val="18"/>
                <w:lang w:val="es-ES"/>
              </w:rPr>
            </w:pPr>
            <w:r w:rsidRPr="0016717D">
              <w:rPr>
                <w:rFonts w:ascii="Arial" w:eastAsia="Arial" w:hAnsi="Arial"/>
                <w:sz w:val="18"/>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DBF33" w14:textId="08D88A46" w:rsidR="00E95303" w:rsidRPr="0016717D" w:rsidRDefault="00E95303" w:rsidP="00E70B4A">
            <w:pPr>
              <w:jc w:val="center"/>
              <w:rPr>
                <w:rFonts w:ascii="Arial" w:hAnsi="Arial"/>
                <w:sz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CC8F1" w14:textId="763D5E84" w:rsidR="00E95303" w:rsidRPr="0016717D" w:rsidRDefault="00E95303" w:rsidP="00E70B4A">
            <w:pPr>
              <w:jc w:val="center"/>
              <w:rPr>
                <w:rFonts w:ascii="Arial" w:hAnsi="Arial"/>
                <w:sz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558EFB"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5B0D52"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1AF055"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82DC25"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46D88"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AB813"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E4772F"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BD2E72"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BCC97"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D49C64"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4</w:t>
            </w:r>
          </w:p>
        </w:tc>
        <w:tc>
          <w:tcPr>
            <w:tcW w:w="1170" w:type="dxa"/>
            <w:tcBorders>
              <w:left w:val="single" w:sz="4" w:space="0" w:color="000000" w:themeColor="text1"/>
              <w:right w:val="single" w:sz="4" w:space="0" w:color="000000" w:themeColor="text1"/>
            </w:tcBorders>
            <w:vAlign w:val="center"/>
          </w:tcPr>
          <w:p w14:paraId="68807281" w14:textId="77777777" w:rsidR="00E95303" w:rsidRPr="009A05F7" w:rsidRDefault="00E95303" w:rsidP="00E70B4A">
            <w:pPr>
              <w:rPr>
                <w:rFonts w:ascii="Arial" w:eastAsia="Arial" w:hAnsi="Arial" w:cs="Arial"/>
                <w:sz w:val="18"/>
                <w:szCs w:val="18"/>
                <w:lang w:val="es-ES"/>
              </w:rPr>
            </w:pPr>
            <w:r w:rsidRPr="009A05F7">
              <w:rPr>
                <w:rFonts w:ascii="Arial" w:eastAsia="Arial" w:hAnsi="Arial" w:cs="Arial"/>
                <w:sz w:val="18"/>
                <w:szCs w:val="18"/>
                <w:lang w:val="es-ES"/>
              </w:rPr>
              <w:t>Informes de la unidad ejecutora</w:t>
            </w:r>
          </w:p>
        </w:tc>
        <w:tc>
          <w:tcPr>
            <w:tcW w:w="2972" w:type="dxa"/>
            <w:tcBorders>
              <w:left w:val="single" w:sz="4" w:space="0" w:color="000000" w:themeColor="text1"/>
              <w:right w:val="single" w:sz="4" w:space="0" w:color="000000" w:themeColor="text1"/>
            </w:tcBorders>
          </w:tcPr>
          <w:p w14:paraId="704967D5" w14:textId="77777777" w:rsidR="00931A61" w:rsidRDefault="00931A61" w:rsidP="00931A61">
            <w:pPr>
              <w:rPr>
                <w:rFonts w:ascii="Arial" w:eastAsia="Arial" w:hAnsi="Arial" w:cs="Arial"/>
                <w:b/>
                <w:bCs/>
                <w:sz w:val="18"/>
                <w:szCs w:val="18"/>
                <w:lang w:val="es-ES" w:eastAsia="zh-CN"/>
              </w:rPr>
            </w:pPr>
            <w:r w:rsidRPr="008250E2">
              <w:rPr>
                <w:rFonts w:ascii="Arial" w:eastAsia="Arial" w:hAnsi="Arial" w:cs="Arial"/>
                <w:b/>
                <w:bCs/>
                <w:sz w:val="18"/>
                <w:szCs w:val="18"/>
                <w:lang w:val="es-ES" w:eastAsia="zh-CN"/>
              </w:rPr>
              <w:t>Indicadores originales:</w:t>
            </w:r>
          </w:p>
          <w:p w14:paraId="5DA02A00" w14:textId="77777777" w:rsidR="00931A61" w:rsidRDefault="00931A61" w:rsidP="00931A61">
            <w:pPr>
              <w:jc w:val="both"/>
              <w:rPr>
                <w:rFonts w:ascii="Arial" w:hAnsi="Arial" w:cs="Arial"/>
                <w:sz w:val="18"/>
                <w:szCs w:val="18"/>
                <w:lang w:eastAsia="zh-CN"/>
              </w:rPr>
            </w:pPr>
            <w:r>
              <w:rPr>
                <w:rFonts w:ascii="Arial" w:hAnsi="Arial" w:cs="Arial"/>
                <w:sz w:val="18"/>
                <w:szCs w:val="18"/>
                <w:lang w:eastAsia="zh-CN"/>
              </w:rPr>
              <w:t xml:space="preserve">Los </w:t>
            </w:r>
            <w:r w:rsidRPr="00C30874">
              <w:rPr>
                <w:rFonts w:ascii="Arial" w:hAnsi="Arial" w:cs="Arial"/>
                <w:sz w:val="18"/>
                <w:szCs w:val="18"/>
                <w:lang w:eastAsia="zh-CN"/>
              </w:rPr>
              <w:t xml:space="preserve">indicadores </w:t>
            </w:r>
            <w:r>
              <w:rPr>
                <w:rFonts w:ascii="Arial" w:hAnsi="Arial" w:cs="Arial"/>
                <w:sz w:val="18"/>
                <w:szCs w:val="18"/>
                <w:lang w:eastAsia="zh-CN"/>
              </w:rPr>
              <w:t xml:space="preserve">originales estaban </w:t>
            </w:r>
            <w:r w:rsidRPr="00C30874">
              <w:rPr>
                <w:rFonts w:ascii="Arial" w:hAnsi="Arial" w:cs="Arial"/>
                <w:sz w:val="18"/>
                <w:szCs w:val="18"/>
                <w:lang w:eastAsia="zh-CN"/>
              </w:rPr>
              <w:t xml:space="preserve">referidos a los </w:t>
            </w:r>
            <w:r>
              <w:rPr>
                <w:rFonts w:ascii="Arial" w:hAnsi="Arial" w:cs="Arial"/>
                <w:sz w:val="18"/>
                <w:szCs w:val="18"/>
                <w:lang w:eastAsia="zh-CN"/>
              </w:rPr>
              <w:t>2</w:t>
            </w:r>
            <w:r w:rsidRPr="00C30874">
              <w:rPr>
                <w:rFonts w:ascii="Arial" w:hAnsi="Arial" w:cs="Arial"/>
                <w:sz w:val="18"/>
                <w:szCs w:val="18"/>
                <w:lang w:eastAsia="zh-CN"/>
              </w:rPr>
              <w:t xml:space="preserve"> proyect</w:t>
            </w:r>
            <w:r>
              <w:rPr>
                <w:rFonts w:ascii="Arial" w:hAnsi="Arial" w:cs="Arial"/>
                <w:sz w:val="18"/>
                <w:szCs w:val="18"/>
                <w:lang w:eastAsia="zh-CN"/>
              </w:rPr>
              <w:t>os de la muestra que no fueron priorizados</w:t>
            </w:r>
          </w:p>
          <w:p w14:paraId="6284E40F" w14:textId="4B21535C" w:rsidR="00E95303" w:rsidRPr="0016717D" w:rsidRDefault="00E95303" w:rsidP="00E73CF3">
            <w:pPr>
              <w:jc w:val="both"/>
              <w:rPr>
                <w:rFonts w:ascii="Arial" w:eastAsia="Arial" w:hAnsi="Arial"/>
                <w:sz w:val="18"/>
                <w:lang w:val="es-ES"/>
              </w:rPr>
            </w:pPr>
            <w:r w:rsidRPr="009A05F7">
              <w:rPr>
                <w:rFonts w:ascii="Arial" w:hAnsi="Arial" w:cs="Arial"/>
                <w:b/>
                <w:bCs/>
                <w:sz w:val="18"/>
                <w:szCs w:val="18"/>
                <w:lang w:val="es-ES"/>
              </w:rPr>
              <w:t>Justificación de los cambios</w:t>
            </w:r>
            <w:r w:rsidRPr="009A05F7">
              <w:rPr>
                <w:rFonts w:ascii="Arial" w:hAnsi="Arial" w:cs="Arial"/>
                <w:sz w:val="18"/>
                <w:szCs w:val="18"/>
                <w:lang w:val="es-ES"/>
              </w:rPr>
              <w:t>:</w:t>
            </w:r>
            <w:r>
              <w:rPr>
                <w:rFonts w:ascii="Arial" w:hAnsi="Arial" w:cs="Arial"/>
                <w:sz w:val="18"/>
                <w:szCs w:val="18"/>
                <w:lang w:val="es-ES"/>
              </w:rPr>
              <w:t xml:space="preserve"> </w:t>
            </w:r>
            <w:r w:rsidR="00E73CF3">
              <w:rPr>
                <w:rFonts w:ascii="Arial" w:hAnsi="Arial" w:cs="Arial"/>
                <w:sz w:val="18"/>
                <w:szCs w:val="18"/>
                <w:lang w:eastAsia="zh-CN"/>
              </w:rPr>
              <w:t xml:space="preserve">La meta original estaba </w:t>
            </w:r>
            <w:r w:rsidR="00E73CF3" w:rsidRPr="00C30874">
              <w:rPr>
                <w:rFonts w:ascii="Arial" w:hAnsi="Arial" w:cs="Arial"/>
                <w:sz w:val="18"/>
                <w:szCs w:val="18"/>
                <w:lang w:eastAsia="zh-CN"/>
              </w:rPr>
              <w:t>referid</w:t>
            </w:r>
            <w:r w:rsidR="00E73CF3">
              <w:rPr>
                <w:rFonts w:ascii="Arial" w:hAnsi="Arial" w:cs="Arial"/>
                <w:sz w:val="18"/>
                <w:szCs w:val="18"/>
                <w:lang w:eastAsia="zh-CN"/>
              </w:rPr>
              <w:t>a</w:t>
            </w:r>
            <w:r w:rsidR="00E73CF3" w:rsidRPr="00C30874">
              <w:rPr>
                <w:rFonts w:ascii="Arial" w:hAnsi="Arial" w:cs="Arial"/>
                <w:sz w:val="18"/>
                <w:szCs w:val="18"/>
                <w:lang w:eastAsia="zh-CN"/>
              </w:rPr>
              <w:t xml:space="preserve"> a los </w:t>
            </w:r>
            <w:r w:rsidR="00E73CF3">
              <w:rPr>
                <w:rFonts w:ascii="Arial" w:hAnsi="Arial" w:cs="Arial"/>
                <w:sz w:val="18"/>
                <w:szCs w:val="18"/>
                <w:lang w:eastAsia="zh-CN"/>
              </w:rPr>
              <w:t>2</w:t>
            </w:r>
            <w:r w:rsidR="00E73CF3" w:rsidRPr="00C30874">
              <w:rPr>
                <w:rFonts w:ascii="Arial" w:hAnsi="Arial" w:cs="Arial"/>
                <w:sz w:val="18"/>
                <w:szCs w:val="18"/>
                <w:lang w:eastAsia="zh-CN"/>
              </w:rPr>
              <w:t xml:space="preserve"> proyect</w:t>
            </w:r>
            <w:r w:rsidR="00E73CF3">
              <w:rPr>
                <w:rFonts w:ascii="Arial" w:hAnsi="Arial" w:cs="Arial"/>
                <w:sz w:val="18"/>
                <w:szCs w:val="18"/>
                <w:lang w:eastAsia="zh-CN"/>
              </w:rPr>
              <w:t xml:space="preserve">os de la muestra que no fueron priorizados, se </w:t>
            </w:r>
            <w:r w:rsidR="00E73CF3">
              <w:rPr>
                <w:rFonts w:ascii="Arial" w:hAnsi="Arial" w:cs="Arial"/>
                <w:sz w:val="18"/>
                <w:szCs w:val="18"/>
                <w:lang w:val="es-ES" w:eastAsia="zh-CN"/>
              </w:rPr>
              <w:t>actualizó de meta al nuevo planeamiento de utilización de recursos</w:t>
            </w:r>
          </w:p>
        </w:tc>
      </w:tr>
      <w:tr w:rsidR="00C34926" w:rsidRPr="00D3643B" w14:paraId="54A7EEA7" w14:textId="77777777" w:rsidTr="00931A61">
        <w:trPr>
          <w:trHeight w:val="701"/>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A96B5E" w14:textId="4294896E" w:rsidR="00E95303" w:rsidRPr="0016717D" w:rsidRDefault="00E95303" w:rsidP="0016717D">
            <w:pPr>
              <w:pStyle w:val="ListParagraph"/>
              <w:ind w:left="0"/>
              <w:contextualSpacing w:val="0"/>
              <w:rPr>
                <w:rFonts w:ascii="Arial" w:hAnsi="Arial"/>
                <w:sz w:val="18"/>
                <w:lang w:val="es-ES"/>
              </w:rPr>
            </w:pPr>
            <w:r w:rsidRPr="009A05F7">
              <w:rPr>
                <w:rFonts w:ascii="Arial" w:hAnsi="Arial" w:cs="Arial"/>
                <w:sz w:val="18"/>
                <w:szCs w:val="18"/>
                <w:lang w:val="es-ES"/>
              </w:rPr>
              <w:t xml:space="preserve">1.4 Planta de tratamiento agua potable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8CE2A" w14:textId="57692630" w:rsidR="00E95303" w:rsidRPr="0016717D" w:rsidRDefault="00E95303" w:rsidP="00E70B4A">
            <w:pPr>
              <w:jc w:val="center"/>
              <w:rPr>
                <w:rFonts w:ascii="Arial" w:hAnsi="Arial"/>
                <w:sz w:val="18"/>
                <w:lang w:val="es-ES"/>
              </w:rPr>
            </w:pPr>
            <w:r w:rsidRPr="009A05F7">
              <w:rPr>
                <w:rFonts w:ascii="Arial" w:hAnsi="Arial" w:cs="Arial"/>
                <w:sz w:val="18"/>
                <w:szCs w:val="18"/>
                <w:lang w:val="es-ES"/>
              </w:rPr>
              <w:t xml:space="preserve">Planta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59F301" w14:textId="77777777" w:rsidR="00E95303" w:rsidRPr="0016717D" w:rsidRDefault="00E95303" w:rsidP="00E70B4A">
            <w:pPr>
              <w:jc w:val="center"/>
              <w:rPr>
                <w:rFonts w:ascii="Arial" w:eastAsia="Arial" w:hAnsi="Arial"/>
                <w:sz w:val="18"/>
                <w:lang w:val="es-ES"/>
              </w:rPr>
            </w:pPr>
            <w:r w:rsidRPr="0016717D">
              <w:rPr>
                <w:rFonts w:ascii="Arial" w:eastAsia="Arial" w:hAnsi="Arial"/>
                <w:sz w:val="18"/>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C4DB9" w14:textId="77EAE87C" w:rsidR="00E95303" w:rsidRPr="0016717D" w:rsidRDefault="00E95303" w:rsidP="00E70B4A">
            <w:pPr>
              <w:jc w:val="center"/>
              <w:rPr>
                <w:rFonts w:ascii="Arial" w:hAnsi="Arial"/>
                <w:sz w:val="18"/>
                <w:lang w:val="es-ES"/>
              </w:rPr>
            </w:pPr>
            <w:r w:rsidRPr="009A05F7">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E7C51" w14:textId="09E5D037" w:rsidR="00E95303" w:rsidRPr="0016717D" w:rsidRDefault="00E95303" w:rsidP="00E70B4A">
            <w:pPr>
              <w:jc w:val="center"/>
              <w:rPr>
                <w:rFonts w:ascii="Arial" w:hAnsi="Arial"/>
                <w:sz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83D531" w14:textId="77777777" w:rsidR="00E95303" w:rsidRPr="009A05F7" w:rsidRDefault="00E95303" w:rsidP="00E70B4A">
            <w:pPr>
              <w:jc w:val="center"/>
              <w:rPr>
                <w:rFonts w:ascii="Arial" w:hAnsi="Arial" w:cs="Arial"/>
                <w:sz w:val="18"/>
                <w:szCs w:val="18"/>
                <w:lang w:val="es-ES"/>
              </w:rPr>
            </w:pPr>
            <w:r w:rsidRPr="009A05F7">
              <w:rPr>
                <w:rFonts w:ascii="Arial" w:hAnsi="Arial" w:cs="Arial"/>
                <w:sz w:val="18"/>
                <w:szCs w:val="18"/>
                <w:lang w:val="es-ES"/>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968141"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98D42"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DCCD29"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74981"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BA8C3"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D63073"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D6147"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9AECC"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937EF5" w14:textId="77777777" w:rsidR="00E95303" w:rsidRPr="009A05F7" w:rsidRDefault="00E95303" w:rsidP="00E70B4A">
            <w:pPr>
              <w:jc w:val="center"/>
              <w:rPr>
                <w:rFonts w:ascii="Arial" w:hAnsi="Arial" w:cs="Arial"/>
                <w:sz w:val="18"/>
                <w:szCs w:val="18"/>
                <w:lang w:val="es-ES"/>
              </w:rPr>
            </w:pPr>
            <w:r>
              <w:rPr>
                <w:rFonts w:ascii="Arial" w:hAnsi="Arial" w:cs="Arial"/>
                <w:sz w:val="18"/>
                <w:szCs w:val="18"/>
                <w:lang w:val="es-ES"/>
              </w:rPr>
              <w:t>1</w:t>
            </w:r>
          </w:p>
        </w:tc>
        <w:tc>
          <w:tcPr>
            <w:tcW w:w="1170" w:type="dxa"/>
            <w:tcBorders>
              <w:left w:val="single" w:sz="4" w:space="0" w:color="000000" w:themeColor="text1"/>
              <w:right w:val="single" w:sz="4" w:space="0" w:color="000000" w:themeColor="text1"/>
            </w:tcBorders>
            <w:vAlign w:val="center"/>
          </w:tcPr>
          <w:p w14:paraId="2F7A5558" w14:textId="77777777" w:rsidR="00E95303" w:rsidRPr="009A05F7" w:rsidRDefault="00E95303" w:rsidP="00E70B4A">
            <w:pPr>
              <w:rPr>
                <w:rFonts w:ascii="Arial" w:eastAsia="Arial" w:hAnsi="Arial" w:cs="Arial"/>
                <w:sz w:val="18"/>
                <w:szCs w:val="18"/>
                <w:lang w:val="es-ES"/>
              </w:rPr>
            </w:pPr>
            <w:r w:rsidRPr="009A05F7">
              <w:rPr>
                <w:rFonts w:ascii="Arial" w:eastAsia="Arial,Arial,Times New Roman" w:hAnsi="Arial" w:cs="Arial"/>
                <w:spacing w:val="-3"/>
                <w:sz w:val="18"/>
                <w:szCs w:val="18"/>
                <w:lang w:val="es-ES"/>
              </w:rPr>
              <w:t>Informes de la unidad ejecutora</w:t>
            </w:r>
          </w:p>
        </w:tc>
        <w:tc>
          <w:tcPr>
            <w:tcW w:w="2972" w:type="dxa"/>
            <w:tcBorders>
              <w:left w:val="single" w:sz="4" w:space="0" w:color="000000" w:themeColor="text1"/>
              <w:right w:val="single" w:sz="4" w:space="0" w:color="000000" w:themeColor="text1"/>
            </w:tcBorders>
            <w:vAlign w:val="center"/>
          </w:tcPr>
          <w:p w14:paraId="0328F0BB" w14:textId="48499D29" w:rsidR="00E95303" w:rsidRPr="0016717D" w:rsidRDefault="00E73CF3" w:rsidP="00E70B4A">
            <w:pPr>
              <w:rPr>
                <w:rFonts w:ascii="Arial" w:eastAsia="Arial" w:hAnsi="Arial"/>
                <w:sz w:val="18"/>
                <w:lang w:val="es-ES"/>
              </w:rPr>
            </w:pPr>
            <w:r w:rsidRPr="00E73CF3">
              <w:rPr>
                <w:rFonts w:ascii="Arial" w:hAnsi="Arial" w:cs="Arial"/>
                <w:b/>
                <w:bCs/>
                <w:sz w:val="18"/>
                <w:szCs w:val="18"/>
                <w:lang w:val="es-ES"/>
              </w:rPr>
              <w:t>Nuevo Indicador</w:t>
            </w:r>
            <w:r>
              <w:rPr>
                <w:rFonts w:ascii="Arial" w:hAnsi="Arial" w:cs="Arial"/>
                <w:b/>
                <w:bCs/>
                <w:sz w:val="18"/>
                <w:szCs w:val="18"/>
                <w:lang w:val="es-ES"/>
              </w:rPr>
              <w:t xml:space="preserve">. </w:t>
            </w:r>
            <w:r w:rsidR="00E95303" w:rsidRPr="008250E2">
              <w:rPr>
                <w:rFonts w:ascii="Arial" w:hAnsi="Arial" w:cs="Arial"/>
                <w:color w:val="222222"/>
                <w:sz w:val="18"/>
                <w:szCs w:val="18"/>
                <w:lang w:val="es-ES"/>
              </w:rPr>
              <w:t xml:space="preserve">La </w:t>
            </w:r>
            <w:r w:rsidR="00E95303">
              <w:rPr>
                <w:rFonts w:ascii="Arial" w:hAnsi="Arial" w:cs="Arial"/>
                <w:color w:val="222222"/>
                <w:sz w:val="18"/>
                <w:szCs w:val="18"/>
                <w:lang w:val="es-ES"/>
              </w:rPr>
              <w:t>matriz</w:t>
            </w:r>
            <w:r w:rsidR="00E95303" w:rsidRPr="008250E2">
              <w:rPr>
                <w:rFonts w:ascii="Arial" w:hAnsi="Arial" w:cs="Arial"/>
                <w:color w:val="222222"/>
                <w:sz w:val="18"/>
                <w:szCs w:val="18"/>
                <w:lang w:val="es-ES"/>
              </w:rPr>
              <w:t xml:space="preserve"> original no consideró indicadores de </w:t>
            </w:r>
            <w:r w:rsidR="00E95303">
              <w:rPr>
                <w:rFonts w:ascii="Arial" w:hAnsi="Arial" w:cs="Arial"/>
                <w:color w:val="222222"/>
                <w:sz w:val="18"/>
                <w:szCs w:val="18"/>
                <w:lang w:val="es-ES"/>
              </w:rPr>
              <w:t xml:space="preserve">producto para la construcción de plantas de tratamiento de agua potable. </w:t>
            </w:r>
            <w:r w:rsidR="00E95303" w:rsidRPr="008250E2">
              <w:rPr>
                <w:rFonts w:ascii="Arial" w:hAnsi="Arial" w:cs="Arial"/>
                <w:color w:val="222222"/>
                <w:sz w:val="18"/>
                <w:szCs w:val="18"/>
                <w:lang w:val="es-ES"/>
              </w:rPr>
              <w:t xml:space="preserve">Se incluyó un indicador nuevo que mide </w:t>
            </w:r>
            <w:r w:rsidR="00E95303">
              <w:rPr>
                <w:rFonts w:ascii="Arial" w:hAnsi="Arial" w:cs="Arial"/>
                <w:color w:val="222222"/>
                <w:sz w:val="18"/>
                <w:szCs w:val="18"/>
                <w:lang w:val="es-ES"/>
              </w:rPr>
              <w:t>la construcción de estas plantas</w:t>
            </w:r>
            <w:r w:rsidR="00E95303" w:rsidRPr="008250E2">
              <w:rPr>
                <w:rFonts w:ascii="Arial" w:hAnsi="Arial" w:cs="Arial"/>
                <w:color w:val="222222"/>
                <w:sz w:val="18"/>
                <w:szCs w:val="18"/>
                <w:lang w:val="es-ES"/>
              </w:rPr>
              <w:t>.</w:t>
            </w:r>
          </w:p>
        </w:tc>
      </w:tr>
      <w:tr w:rsidR="00E95303" w:rsidRPr="00A74AE9" w14:paraId="1E9560AB" w14:textId="77777777" w:rsidTr="00E70B4A">
        <w:trPr>
          <w:trHeight w:val="64"/>
        </w:trPr>
        <w:tc>
          <w:tcPr>
            <w:tcW w:w="1512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97B69C4" w14:textId="77777777" w:rsidR="00E95303" w:rsidRPr="009A05F7" w:rsidRDefault="00E95303" w:rsidP="00E70B4A">
            <w:pPr>
              <w:rPr>
                <w:rFonts w:ascii="Arial" w:eastAsia="Arial" w:hAnsi="Arial" w:cs="Arial"/>
                <w:sz w:val="18"/>
                <w:szCs w:val="18"/>
                <w:lang w:val="es-ES"/>
              </w:rPr>
            </w:pPr>
            <w:r w:rsidRPr="009A05F7">
              <w:rPr>
                <w:rFonts w:ascii="Arial" w:hAnsi="Arial" w:cs="Arial"/>
                <w:b/>
                <w:bCs/>
                <w:sz w:val="18"/>
                <w:szCs w:val="18"/>
              </w:rPr>
              <w:t>Componente 2: Mejoramiento de la Gestión Operativa.</w:t>
            </w:r>
          </w:p>
        </w:tc>
      </w:tr>
      <w:tr w:rsidR="00931A61" w:rsidRPr="00A74AE9" w14:paraId="1BE39F12" w14:textId="77777777" w:rsidTr="00AD562F">
        <w:trPr>
          <w:trHeight w:val="1583"/>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C9EB8" w14:textId="77777777" w:rsidR="00931A61" w:rsidRPr="009A05F7" w:rsidRDefault="00931A61" w:rsidP="00931A61">
            <w:pPr>
              <w:pStyle w:val="ListParagraph"/>
              <w:ind w:left="0"/>
              <w:contextualSpacing w:val="0"/>
              <w:rPr>
                <w:rFonts w:ascii="Arial" w:hAnsi="Arial" w:cs="Arial"/>
                <w:sz w:val="18"/>
                <w:szCs w:val="18"/>
                <w:lang w:val="es-ES"/>
              </w:rPr>
            </w:pPr>
            <w:r w:rsidRPr="009A05F7">
              <w:rPr>
                <w:rFonts w:ascii="Arial" w:hAnsi="Arial" w:cs="Arial"/>
                <w:sz w:val="18"/>
                <w:szCs w:val="18"/>
                <w:lang w:val="es-ES"/>
              </w:rPr>
              <w:t xml:space="preserve">2.1. </w:t>
            </w:r>
            <w:proofErr w:type="spellStart"/>
            <w:r w:rsidRPr="009A05F7">
              <w:rPr>
                <w:rFonts w:ascii="Arial" w:hAnsi="Arial" w:cs="Arial"/>
                <w:sz w:val="18"/>
                <w:szCs w:val="18"/>
                <w:lang w:val="es-ES"/>
              </w:rPr>
              <w:t>Macromedidores</w:t>
            </w:r>
            <w:proofErr w:type="spellEnd"/>
            <w:r w:rsidRPr="009A05F7">
              <w:rPr>
                <w:rFonts w:ascii="Arial" w:hAnsi="Arial" w:cs="Arial"/>
                <w:sz w:val="18"/>
                <w:szCs w:val="18"/>
                <w:lang w:val="es-ES"/>
              </w:rPr>
              <w:t xml:space="preserve"> instalados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81E844" w14:textId="77777777" w:rsidR="00931A61" w:rsidRPr="00A74AE9" w:rsidRDefault="00931A61" w:rsidP="00931A61">
            <w:pPr>
              <w:jc w:val="center"/>
              <w:rPr>
                <w:rFonts w:ascii="Arial" w:eastAsia="Arial,Arial,Times New Roman" w:hAnsi="Arial" w:cs="Arial"/>
                <w:spacing w:val="-3"/>
                <w:sz w:val="16"/>
                <w:szCs w:val="16"/>
                <w:lang w:val="es-ES"/>
              </w:rPr>
            </w:pPr>
            <w:r w:rsidRPr="00A74AE9">
              <w:rPr>
                <w:rFonts w:ascii="Arial" w:eastAsia="Arial,Arial,Times New Roman" w:hAnsi="Arial" w:cs="Arial"/>
                <w:spacing w:val="-3"/>
                <w:sz w:val="16"/>
                <w:szCs w:val="16"/>
                <w:lang w:val="es-ES"/>
              </w:rPr>
              <w:t>Macro</w:t>
            </w:r>
          </w:p>
          <w:p w14:paraId="34B83000" w14:textId="77777777" w:rsidR="00931A61" w:rsidRPr="00A74AE9" w:rsidRDefault="00931A61" w:rsidP="00931A61">
            <w:pPr>
              <w:jc w:val="center"/>
              <w:rPr>
                <w:rFonts w:ascii="Arial" w:hAnsi="Arial" w:cs="Arial"/>
                <w:sz w:val="16"/>
                <w:szCs w:val="16"/>
                <w:lang w:val="es-ES"/>
              </w:rPr>
            </w:pPr>
            <w:r w:rsidRPr="00A74AE9">
              <w:rPr>
                <w:rFonts w:ascii="Arial" w:eastAsia="Arial,Arial,Times New Roman" w:hAnsi="Arial" w:cs="Arial"/>
                <w:spacing w:val="-3"/>
                <w:sz w:val="16"/>
                <w:szCs w:val="16"/>
                <w:lang w:val="es-ES"/>
              </w:rPr>
              <w:t>medidores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164BCA" w14:textId="77777777" w:rsidR="00931A61" w:rsidRPr="00A74AE9" w:rsidRDefault="00931A61" w:rsidP="00931A61">
            <w:pPr>
              <w:jc w:val="center"/>
              <w:rPr>
                <w:rFonts w:ascii="Arial" w:eastAsia="Arial" w:hAnsi="Arial" w:cs="Arial"/>
                <w:sz w:val="16"/>
                <w:szCs w:val="16"/>
                <w:lang w:val="es-ES"/>
              </w:rPr>
            </w:pPr>
            <w:r w:rsidRPr="00A74AE9">
              <w:rPr>
                <w:rFonts w:ascii="Arial" w:eastAsia="Arial,Arial,Times New Roman" w:hAnsi="Arial" w:cs="Arial"/>
                <w:spacing w:val="-3"/>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664B6B"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6802D6"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1CA13"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F1F7F9"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79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C2C05D"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5A5D0B"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03DBF"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3D9E8D"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88314"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C979D9"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543CAB"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A846DC"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80</w:t>
            </w:r>
          </w:p>
        </w:tc>
        <w:tc>
          <w:tcPr>
            <w:tcW w:w="1170" w:type="dxa"/>
            <w:tcBorders>
              <w:left w:val="single" w:sz="4" w:space="0" w:color="000000" w:themeColor="text1"/>
              <w:right w:val="single" w:sz="4" w:space="0" w:color="000000" w:themeColor="text1"/>
            </w:tcBorders>
            <w:vAlign w:val="center"/>
          </w:tcPr>
          <w:p w14:paraId="37B33E7D" w14:textId="77777777" w:rsidR="00931A61" w:rsidRPr="009A05F7" w:rsidRDefault="00931A61" w:rsidP="00931A61">
            <w:pPr>
              <w:jc w:val="center"/>
              <w:rPr>
                <w:rFonts w:ascii="Arial" w:eastAsia="Arial" w:hAnsi="Arial" w:cs="Arial"/>
                <w:sz w:val="18"/>
                <w:szCs w:val="18"/>
                <w:lang w:val="es-ES"/>
              </w:rPr>
            </w:pPr>
            <w:r w:rsidRPr="009A05F7">
              <w:rPr>
                <w:rFonts w:ascii="Arial" w:eastAsia="Arial,Arial,Times New Roman" w:hAnsi="Arial" w:cs="Arial"/>
                <w:spacing w:val="-3"/>
                <w:sz w:val="18"/>
                <w:szCs w:val="18"/>
                <w:lang w:val="es-ES"/>
              </w:rPr>
              <w:t>Informes de la unidad ejecutora</w:t>
            </w:r>
          </w:p>
        </w:tc>
        <w:tc>
          <w:tcPr>
            <w:tcW w:w="2972" w:type="dxa"/>
            <w:tcBorders>
              <w:left w:val="single" w:sz="4" w:space="0" w:color="000000" w:themeColor="text1"/>
              <w:right w:val="single" w:sz="4" w:space="0" w:color="000000" w:themeColor="text1"/>
            </w:tcBorders>
            <w:vAlign w:val="center"/>
          </w:tcPr>
          <w:p w14:paraId="025D1B62" w14:textId="77777777" w:rsidR="00931A61" w:rsidRDefault="00931A61" w:rsidP="00931A61">
            <w:pPr>
              <w:rPr>
                <w:rFonts w:ascii="Arial" w:eastAsia="Arial" w:hAnsi="Arial" w:cs="Arial"/>
                <w:b/>
                <w:bCs/>
                <w:sz w:val="18"/>
                <w:szCs w:val="18"/>
                <w:lang w:val="es-ES" w:eastAsia="zh-CN"/>
              </w:rPr>
            </w:pPr>
            <w:r w:rsidRPr="008250E2">
              <w:rPr>
                <w:rFonts w:ascii="Arial" w:eastAsia="Arial" w:hAnsi="Arial" w:cs="Arial"/>
                <w:b/>
                <w:bCs/>
                <w:sz w:val="18"/>
                <w:szCs w:val="18"/>
                <w:lang w:val="es-ES" w:eastAsia="zh-CN"/>
              </w:rPr>
              <w:t>Indicadores originales:</w:t>
            </w:r>
          </w:p>
          <w:p w14:paraId="48F03FA4" w14:textId="440B3F07" w:rsidR="00931A61" w:rsidRDefault="00931A61" w:rsidP="00931A61">
            <w:pPr>
              <w:jc w:val="both"/>
              <w:rPr>
                <w:rFonts w:ascii="Arial" w:hAnsi="Arial" w:cs="Arial"/>
                <w:sz w:val="18"/>
                <w:szCs w:val="18"/>
                <w:lang w:eastAsia="zh-CN"/>
              </w:rPr>
            </w:pPr>
            <w:r>
              <w:rPr>
                <w:rFonts w:ascii="Arial" w:hAnsi="Arial" w:cs="Arial"/>
                <w:sz w:val="18"/>
                <w:szCs w:val="18"/>
                <w:lang w:eastAsia="zh-CN"/>
              </w:rPr>
              <w:t xml:space="preserve">Los </w:t>
            </w:r>
            <w:r w:rsidRPr="00C30874">
              <w:rPr>
                <w:rFonts w:ascii="Arial" w:hAnsi="Arial" w:cs="Arial"/>
                <w:sz w:val="18"/>
                <w:szCs w:val="18"/>
                <w:lang w:eastAsia="zh-CN"/>
              </w:rPr>
              <w:t xml:space="preserve">indicadores </w:t>
            </w:r>
            <w:r>
              <w:rPr>
                <w:rFonts w:ascii="Arial" w:hAnsi="Arial" w:cs="Arial"/>
                <w:sz w:val="18"/>
                <w:szCs w:val="18"/>
                <w:lang w:eastAsia="zh-CN"/>
              </w:rPr>
              <w:t xml:space="preserve">originales estaban </w:t>
            </w:r>
            <w:r w:rsidRPr="00C30874">
              <w:rPr>
                <w:rFonts w:ascii="Arial" w:hAnsi="Arial" w:cs="Arial"/>
                <w:sz w:val="18"/>
                <w:szCs w:val="18"/>
                <w:lang w:eastAsia="zh-CN"/>
              </w:rPr>
              <w:t>referidos a los proyect</w:t>
            </w:r>
            <w:r>
              <w:rPr>
                <w:rFonts w:ascii="Arial" w:hAnsi="Arial" w:cs="Arial"/>
                <w:sz w:val="18"/>
                <w:szCs w:val="18"/>
                <w:lang w:eastAsia="zh-CN"/>
              </w:rPr>
              <w:t>os de la muestra que no fueron priorizados</w:t>
            </w:r>
          </w:p>
          <w:p w14:paraId="698484B2" w14:textId="3FDA942C" w:rsidR="00931A61" w:rsidRPr="00E73CF3" w:rsidRDefault="00931A61" w:rsidP="00931A61">
            <w:pPr>
              <w:rPr>
                <w:rFonts w:ascii="Arial" w:eastAsia="Arial" w:hAnsi="Arial" w:cs="Arial"/>
                <w:sz w:val="20"/>
                <w:lang w:val="es-ES"/>
              </w:rPr>
            </w:pPr>
            <w:r w:rsidRPr="009A05F7">
              <w:rPr>
                <w:rFonts w:ascii="Arial" w:hAnsi="Arial" w:cs="Arial"/>
                <w:b/>
                <w:bCs/>
                <w:sz w:val="18"/>
                <w:szCs w:val="18"/>
                <w:lang w:val="es-ES"/>
              </w:rPr>
              <w:t>Justificación de los cambios</w:t>
            </w:r>
            <w:r w:rsidRPr="009A05F7">
              <w:rPr>
                <w:rFonts w:ascii="Arial" w:hAnsi="Arial" w:cs="Arial"/>
                <w:sz w:val="18"/>
                <w:szCs w:val="18"/>
                <w:lang w:val="es-ES"/>
              </w:rPr>
              <w:t>: La matriz original presentaba indicadores de producto específicos para los proyectos</w:t>
            </w:r>
            <w:r>
              <w:rPr>
                <w:rFonts w:ascii="Arial" w:hAnsi="Arial" w:cs="Arial"/>
                <w:sz w:val="18"/>
                <w:szCs w:val="18"/>
                <w:lang w:val="es-ES"/>
              </w:rPr>
              <w:t xml:space="preserve"> de la muestra que no fueron priorizados. </w:t>
            </w:r>
            <w:r w:rsidRPr="009A05F7">
              <w:rPr>
                <w:rFonts w:ascii="Arial" w:hAnsi="Arial" w:cs="Arial"/>
                <w:sz w:val="18"/>
                <w:szCs w:val="18"/>
                <w:lang w:val="es-ES"/>
              </w:rPr>
              <w:t xml:space="preserve">Los nuevos indicadores permiten el monitoreo de todos los proyectos </w:t>
            </w:r>
            <w:r>
              <w:rPr>
                <w:rFonts w:ascii="Arial" w:hAnsi="Arial" w:cs="Arial"/>
                <w:sz w:val="18"/>
                <w:szCs w:val="18"/>
                <w:lang w:val="es-ES"/>
              </w:rPr>
              <w:t xml:space="preserve">financiados por </w:t>
            </w:r>
            <w:r w:rsidRPr="009A05F7">
              <w:rPr>
                <w:rFonts w:ascii="Arial" w:hAnsi="Arial" w:cs="Arial"/>
                <w:sz w:val="18"/>
                <w:szCs w:val="18"/>
                <w:lang w:val="es-ES"/>
              </w:rPr>
              <w:t xml:space="preserve">el programa asociados al </w:t>
            </w:r>
            <w:r w:rsidR="00F53CAD">
              <w:rPr>
                <w:rFonts w:ascii="Arial" w:hAnsi="Arial" w:cs="Arial"/>
                <w:sz w:val="18"/>
                <w:szCs w:val="18"/>
                <w:lang w:val="es-ES"/>
              </w:rPr>
              <w:t>C</w:t>
            </w:r>
            <w:r w:rsidRPr="009A05F7">
              <w:rPr>
                <w:rFonts w:ascii="Arial" w:hAnsi="Arial" w:cs="Arial"/>
                <w:sz w:val="18"/>
                <w:szCs w:val="18"/>
                <w:lang w:val="es-ES"/>
              </w:rPr>
              <w:t>omponente</w:t>
            </w:r>
            <w:r>
              <w:rPr>
                <w:rFonts w:ascii="Arial" w:hAnsi="Arial" w:cs="Arial"/>
                <w:sz w:val="18"/>
                <w:szCs w:val="18"/>
                <w:lang w:val="es-ES"/>
              </w:rPr>
              <w:t xml:space="preserve"> </w:t>
            </w:r>
            <w:r w:rsidR="000123F6">
              <w:rPr>
                <w:rFonts w:ascii="Arial" w:hAnsi="Arial" w:cs="Arial"/>
                <w:sz w:val="18"/>
                <w:szCs w:val="18"/>
                <w:lang w:val="es-ES"/>
              </w:rPr>
              <w:t>2</w:t>
            </w:r>
            <w:r>
              <w:rPr>
                <w:rFonts w:ascii="Arial" w:hAnsi="Arial" w:cs="Arial"/>
                <w:sz w:val="18"/>
                <w:szCs w:val="18"/>
                <w:lang w:val="es-ES"/>
              </w:rPr>
              <w:t>.</w:t>
            </w:r>
          </w:p>
        </w:tc>
      </w:tr>
      <w:tr w:rsidR="00931A61" w:rsidRPr="00A74AE9" w14:paraId="31FBAA52" w14:textId="77777777" w:rsidTr="006F1411">
        <w:trPr>
          <w:trHeight w:val="1295"/>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3B833F" w14:textId="4E59D3CD" w:rsidR="00931A61" w:rsidRPr="0016717D" w:rsidRDefault="00931A61" w:rsidP="00931A61">
            <w:pPr>
              <w:pStyle w:val="ListParagraph"/>
              <w:ind w:left="0"/>
              <w:contextualSpacing w:val="0"/>
              <w:rPr>
                <w:rFonts w:ascii="Arial" w:hAnsi="Arial"/>
                <w:sz w:val="18"/>
                <w:lang w:val="es-ES"/>
              </w:rPr>
            </w:pPr>
            <w:r w:rsidRPr="009A05F7">
              <w:rPr>
                <w:rFonts w:ascii="Arial" w:hAnsi="Arial" w:cs="Arial"/>
                <w:sz w:val="18"/>
                <w:szCs w:val="18"/>
                <w:lang w:val="es-ES"/>
              </w:rPr>
              <w:t>2.2 Micromedidores instalados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270219" w14:textId="671F4B11" w:rsidR="00931A61" w:rsidRPr="00A74AE9" w:rsidRDefault="00931A61" w:rsidP="00931A61">
            <w:pPr>
              <w:jc w:val="center"/>
              <w:rPr>
                <w:rFonts w:ascii="Arial" w:eastAsia="Arial" w:hAnsi="Arial" w:cs="Arial"/>
                <w:sz w:val="16"/>
                <w:szCs w:val="16"/>
                <w:lang w:val="es-ES" w:eastAsia="zh-CN"/>
              </w:rPr>
            </w:pPr>
            <w:r w:rsidRPr="00A74AE9">
              <w:rPr>
                <w:rFonts w:ascii="Arial" w:eastAsia="Arial" w:hAnsi="Arial" w:cs="Arial"/>
                <w:sz w:val="16"/>
                <w:szCs w:val="16"/>
                <w:lang w:val="es-ES" w:eastAsia="zh-CN"/>
              </w:rPr>
              <w:t>Micro</w:t>
            </w:r>
          </w:p>
          <w:p w14:paraId="58883672" w14:textId="77777777" w:rsidR="00931A61" w:rsidRPr="0016717D" w:rsidRDefault="00931A61" w:rsidP="00931A61">
            <w:pPr>
              <w:jc w:val="center"/>
              <w:rPr>
                <w:rFonts w:ascii="Arial" w:hAnsi="Arial"/>
                <w:sz w:val="16"/>
                <w:lang w:val="es-ES"/>
              </w:rPr>
            </w:pPr>
            <w:r w:rsidRPr="00A74AE9">
              <w:rPr>
                <w:rFonts w:ascii="Arial" w:eastAsia="Arial" w:hAnsi="Arial" w:cs="Arial"/>
                <w:sz w:val="16"/>
                <w:szCs w:val="16"/>
                <w:lang w:val="es-ES" w:eastAsia="zh-CN"/>
              </w:rPr>
              <w:t>medidores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9DAA8C" w14:textId="77777777" w:rsidR="00931A61" w:rsidRPr="0016717D" w:rsidRDefault="00931A61" w:rsidP="00931A61">
            <w:pPr>
              <w:jc w:val="center"/>
              <w:rPr>
                <w:rFonts w:ascii="Arial" w:eastAsia="Arial" w:hAnsi="Arial"/>
                <w:sz w:val="16"/>
                <w:lang w:val="es-ES"/>
              </w:rPr>
            </w:pPr>
            <w:r w:rsidRPr="0016717D">
              <w:rPr>
                <w:rFonts w:ascii="Arial" w:eastAsia="Arial" w:hAnsi="Arial"/>
                <w:sz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4B5B8" w14:textId="368FC516" w:rsidR="00931A61" w:rsidRPr="0016717D" w:rsidRDefault="00931A61" w:rsidP="00931A61">
            <w:pPr>
              <w:jc w:val="center"/>
              <w:rPr>
                <w:rFonts w:ascii="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C2D3C" w14:textId="4488A4C6" w:rsidR="00931A61" w:rsidRPr="0016717D" w:rsidRDefault="00931A61" w:rsidP="00931A61">
            <w:pPr>
              <w:jc w:val="center"/>
              <w:rPr>
                <w:rFonts w:ascii="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C02505"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922EF" w14:textId="5D27D1B9"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29</w:t>
            </w:r>
            <w:r>
              <w:rPr>
                <w:rFonts w:ascii="Arial" w:hAnsi="Arial" w:cs="Arial"/>
                <w:sz w:val="16"/>
                <w:szCs w:val="16"/>
                <w:lang w:val="es-ES"/>
              </w:rPr>
              <w:t>.</w:t>
            </w:r>
            <w:r w:rsidRPr="00A74AE9">
              <w:rPr>
                <w:rFonts w:ascii="Arial" w:hAnsi="Arial" w:cs="Arial"/>
                <w:sz w:val="16"/>
                <w:szCs w:val="16"/>
                <w:lang w:val="es-ES"/>
              </w:rPr>
              <w:t>000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DF6CE"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11F75C"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B3294"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E02D68"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AE03A"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B8C4B2"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EC045"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30E94" w14:textId="79CBDFE5"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29</w:t>
            </w:r>
            <w:r>
              <w:rPr>
                <w:rFonts w:ascii="Arial" w:hAnsi="Arial" w:cs="Arial"/>
                <w:sz w:val="16"/>
                <w:szCs w:val="16"/>
                <w:lang w:val="es-ES"/>
              </w:rPr>
              <w:t>.</w:t>
            </w:r>
            <w:r w:rsidRPr="00A74AE9">
              <w:rPr>
                <w:rFonts w:ascii="Arial" w:hAnsi="Arial" w:cs="Arial"/>
                <w:sz w:val="16"/>
                <w:szCs w:val="16"/>
                <w:lang w:val="es-ES"/>
              </w:rPr>
              <w:t>000</w:t>
            </w:r>
          </w:p>
        </w:tc>
        <w:tc>
          <w:tcPr>
            <w:tcW w:w="1170" w:type="dxa"/>
            <w:tcBorders>
              <w:left w:val="single" w:sz="4" w:space="0" w:color="000000" w:themeColor="text1"/>
              <w:right w:val="single" w:sz="4" w:space="0" w:color="000000" w:themeColor="text1"/>
            </w:tcBorders>
            <w:vAlign w:val="center"/>
          </w:tcPr>
          <w:p w14:paraId="685312D0" w14:textId="55C8AB76" w:rsidR="00931A61" w:rsidRPr="0016717D" w:rsidRDefault="00931A61" w:rsidP="00931A61">
            <w:pPr>
              <w:jc w:val="center"/>
              <w:rPr>
                <w:rFonts w:ascii="Arial" w:eastAsia="Arial" w:hAnsi="Arial"/>
                <w:sz w:val="18"/>
                <w:lang w:val="es-ES"/>
              </w:rPr>
            </w:pPr>
            <w:r w:rsidRPr="0016717D">
              <w:rPr>
                <w:rFonts w:ascii="Arial" w:eastAsia="Arial,Arial,Times New Roman" w:hAnsi="Arial"/>
                <w:spacing w:val="-3"/>
                <w:sz w:val="18"/>
                <w:lang w:val="es-ES"/>
              </w:rPr>
              <w:t xml:space="preserve">Informes de la </w:t>
            </w:r>
            <w:r w:rsidRPr="009A05F7">
              <w:rPr>
                <w:rFonts w:ascii="Arial" w:eastAsia="Arial,Arial,Times New Roman" w:hAnsi="Arial" w:cs="Arial"/>
                <w:spacing w:val="-3"/>
                <w:sz w:val="18"/>
                <w:szCs w:val="18"/>
                <w:lang w:val="es-ES"/>
              </w:rPr>
              <w:t>unidad ejecutora</w:t>
            </w:r>
          </w:p>
        </w:tc>
        <w:tc>
          <w:tcPr>
            <w:tcW w:w="2972" w:type="dxa"/>
            <w:tcBorders>
              <w:left w:val="single" w:sz="4" w:space="0" w:color="000000" w:themeColor="text1"/>
              <w:right w:val="single" w:sz="4" w:space="0" w:color="000000" w:themeColor="text1"/>
            </w:tcBorders>
            <w:vAlign w:val="center"/>
          </w:tcPr>
          <w:p w14:paraId="123D23F9" w14:textId="77777777" w:rsidR="00931A61" w:rsidRDefault="00931A61" w:rsidP="00931A61">
            <w:pPr>
              <w:rPr>
                <w:rFonts w:ascii="Arial" w:eastAsia="Arial" w:hAnsi="Arial" w:cs="Arial"/>
                <w:b/>
                <w:bCs/>
                <w:sz w:val="18"/>
                <w:szCs w:val="18"/>
                <w:lang w:val="es-ES" w:eastAsia="zh-CN"/>
              </w:rPr>
            </w:pPr>
            <w:r w:rsidRPr="008250E2">
              <w:rPr>
                <w:rFonts w:ascii="Arial" w:eastAsia="Arial" w:hAnsi="Arial" w:cs="Arial"/>
                <w:b/>
                <w:bCs/>
                <w:sz w:val="18"/>
                <w:szCs w:val="18"/>
                <w:lang w:val="es-ES" w:eastAsia="zh-CN"/>
              </w:rPr>
              <w:t>Indicadores originales:</w:t>
            </w:r>
          </w:p>
          <w:p w14:paraId="4E99BAEF" w14:textId="041B3FF0" w:rsidR="00931A61" w:rsidRDefault="00931A61" w:rsidP="00931A61">
            <w:pPr>
              <w:jc w:val="both"/>
              <w:rPr>
                <w:rFonts w:ascii="Arial" w:hAnsi="Arial" w:cs="Arial"/>
                <w:sz w:val="18"/>
                <w:szCs w:val="18"/>
                <w:lang w:eastAsia="zh-CN"/>
              </w:rPr>
            </w:pPr>
            <w:r>
              <w:rPr>
                <w:rFonts w:ascii="Arial" w:hAnsi="Arial" w:cs="Arial"/>
                <w:sz w:val="18"/>
                <w:szCs w:val="18"/>
                <w:lang w:eastAsia="zh-CN"/>
              </w:rPr>
              <w:t xml:space="preserve">Los </w:t>
            </w:r>
            <w:r w:rsidRPr="00C30874">
              <w:rPr>
                <w:rFonts w:ascii="Arial" w:hAnsi="Arial" w:cs="Arial"/>
                <w:sz w:val="18"/>
                <w:szCs w:val="18"/>
                <w:lang w:eastAsia="zh-CN"/>
              </w:rPr>
              <w:t xml:space="preserve">indicadores </w:t>
            </w:r>
            <w:r>
              <w:rPr>
                <w:rFonts w:ascii="Arial" w:hAnsi="Arial" w:cs="Arial"/>
                <w:sz w:val="18"/>
                <w:szCs w:val="18"/>
                <w:lang w:eastAsia="zh-CN"/>
              </w:rPr>
              <w:t xml:space="preserve">originales estaban </w:t>
            </w:r>
            <w:r w:rsidRPr="00C30874">
              <w:rPr>
                <w:rFonts w:ascii="Arial" w:hAnsi="Arial" w:cs="Arial"/>
                <w:sz w:val="18"/>
                <w:szCs w:val="18"/>
                <w:lang w:eastAsia="zh-CN"/>
              </w:rPr>
              <w:t>referidos a los proyect</w:t>
            </w:r>
            <w:r>
              <w:rPr>
                <w:rFonts w:ascii="Arial" w:hAnsi="Arial" w:cs="Arial"/>
                <w:sz w:val="18"/>
                <w:szCs w:val="18"/>
                <w:lang w:eastAsia="zh-CN"/>
              </w:rPr>
              <w:t>os de la muestra que no fueron priorizados</w:t>
            </w:r>
          </w:p>
          <w:p w14:paraId="5605A79A" w14:textId="4399AC0E" w:rsidR="00931A61" w:rsidRPr="009A05F7" w:rsidRDefault="00931A61" w:rsidP="00931A61">
            <w:pPr>
              <w:pStyle w:val="Default"/>
              <w:rPr>
                <w:rFonts w:ascii="Arial" w:eastAsia="Arial" w:hAnsi="Arial" w:cs="Arial"/>
                <w:sz w:val="18"/>
                <w:szCs w:val="18"/>
                <w:lang w:val="es-ES"/>
              </w:rPr>
            </w:pPr>
            <w:r w:rsidRPr="009A05F7">
              <w:rPr>
                <w:rFonts w:ascii="Arial" w:hAnsi="Arial" w:cs="Arial"/>
                <w:b/>
                <w:bCs/>
                <w:sz w:val="18"/>
                <w:szCs w:val="18"/>
                <w:lang w:val="es-ES"/>
              </w:rPr>
              <w:t>Justificación de los cambios</w:t>
            </w:r>
            <w:r w:rsidRPr="009A05F7">
              <w:rPr>
                <w:rFonts w:ascii="Arial" w:hAnsi="Arial" w:cs="Arial"/>
                <w:sz w:val="18"/>
                <w:szCs w:val="18"/>
                <w:lang w:val="es-ES"/>
              </w:rPr>
              <w:t>: La matriz original presentaba indicadores de producto específicos para los proyectos</w:t>
            </w:r>
            <w:r>
              <w:rPr>
                <w:rFonts w:ascii="Arial" w:hAnsi="Arial" w:cs="Arial"/>
                <w:sz w:val="18"/>
                <w:szCs w:val="18"/>
                <w:lang w:val="es-ES"/>
              </w:rPr>
              <w:t xml:space="preserve"> de </w:t>
            </w:r>
            <w:r>
              <w:rPr>
                <w:rFonts w:ascii="Arial" w:hAnsi="Arial" w:cs="Arial"/>
                <w:sz w:val="18"/>
                <w:szCs w:val="18"/>
                <w:lang w:val="es-ES"/>
              </w:rPr>
              <w:lastRenderedPageBreak/>
              <w:t xml:space="preserve">la muestra que no fueron priorizados. </w:t>
            </w:r>
            <w:r w:rsidRPr="009A05F7">
              <w:rPr>
                <w:rFonts w:ascii="Arial" w:hAnsi="Arial" w:cs="Arial"/>
                <w:sz w:val="18"/>
                <w:szCs w:val="18"/>
                <w:lang w:val="es-ES"/>
              </w:rPr>
              <w:t xml:space="preserve">Los nuevos indicadores permiten el monitoreo de todos los proyectos </w:t>
            </w:r>
            <w:r>
              <w:rPr>
                <w:rFonts w:ascii="Arial" w:hAnsi="Arial" w:cs="Arial"/>
                <w:sz w:val="18"/>
                <w:szCs w:val="18"/>
                <w:lang w:val="es-ES"/>
              </w:rPr>
              <w:t xml:space="preserve">financiados por </w:t>
            </w:r>
            <w:r w:rsidRPr="009A05F7">
              <w:rPr>
                <w:rFonts w:ascii="Arial" w:hAnsi="Arial" w:cs="Arial"/>
                <w:sz w:val="18"/>
                <w:szCs w:val="18"/>
                <w:lang w:val="es-ES"/>
              </w:rPr>
              <w:t xml:space="preserve">el programa asociados al </w:t>
            </w:r>
            <w:r w:rsidR="00F53CAD">
              <w:rPr>
                <w:rFonts w:ascii="Arial" w:hAnsi="Arial" w:cs="Arial"/>
                <w:sz w:val="18"/>
                <w:szCs w:val="18"/>
                <w:lang w:val="es-ES"/>
              </w:rPr>
              <w:t>C</w:t>
            </w:r>
            <w:r w:rsidRPr="009A05F7">
              <w:rPr>
                <w:rFonts w:ascii="Arial" w:hAnsi="Arial" w:cs="Arial"/>
                <w:sz w:val="18"/>
                <w:szCs w:val="18"/>
                <w:lang w:val="es-ES"/>
              </w:rPr>
              <w:t>omponente</w:t>
            </w:r>
            <w:r>
              <w:rPr>
                <w:rFonts w:ascii="Arial" w:hAnsi="Arial" w:cs="Arial"/>
                <w:sz w:val="18"/>
                <w:szCs w:val="18"/>
                <w:lang w:val="es-ES"/>
              </w:rPr>
              <w:t xml:space="preserve"> </w:t>
            </w:r>
            <w:r w:rsidR="000123F6">
              <w:rPr>
                <w:rFonts w:ascii="Arial" w:hAnsi="Arial" w:cs="Arial"/>
                <w:sz w:val="18"/>
                <w:szCs w:val="18"/>
                <w:lang w:val="es-ES"/>
              </w:rPr>
              <w:t>2</w:t>
            </w:r>
            <w:r>
              <w:rPr>
                <w:rFonts w:ascii="Arial" w:hAnsi="Arial" w:cs="Arial"/>
                <w:sz w:val="18"/>
                <w:szCs w:val="18"/>
                <w:lang w:val="es-ES"/>
              </w:rPr>
              <w:t>.</w:t>
            </w:r>
          </w:p>
        </w:tc>
      </w:tr>
      <w:tr w:rsidR="00931A61" w:rsidRPr="00A74AE9" w14:paraId="7DA85D16" w14:textId="77777777" w:rsidTr="00931A61">
        <w:trPr>
          <w:trHeight w:val="64"/>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1CA6E" w14:textId="0E66B4E6" w:rsidR="00931A61" w:rsidRPr="0016717D" w:rsidRDefault="00931A61" w:rsidP="00931A61">
            <w:pPr>
              <w:pStyle w:val="ListParagraph"/>
              <w:ind w:left="0"/>
              <w:contextualSpacing w:val="0"/>
              <w:rPr>
                <w:rFonts w:ascii="Arial" w:hAnsi="Arial"/>
                <w:sz w:val="18"/>
                <w:lang w:val="es-ES"/>
              </w:rPr>
            </w:pPr>
            <w:r w:rsidRPr="0016717D">
              <w:rPr>
                <w:rFonts w:ascii="Arial" w:hAnsi="Arial"/>
                <w:sz w:val="18"/>
                <w:lang w:val="es-ES"/>
              </w:rPr>
              <w:lastRenderedPageBreak/>
              <w:t>2.</w:t>
            </w:r>
            <w:r w:rsidRPr="009A05F7">
              <w:rPr>
                <w:rFonts w:ascii="Arial" w:hAnsi="Arial" w:cs="Arial"/>
                <w:sz w:val="18"/>
                <w:szCs w:val="18"/>
                <w:lang w:val="es-ES"/>
              </w:rPr>
              <w:t>3</w:t>
            </w:r>
            <w:r w:rsidRPr="0016717D">
              <w:rPr>
                <w:rFonts w:ascii="Arial" w:hAnsi="Arial"/>
                <w:sz w:val="18"/>
                <w:lang w:val="es-ES"/>
              </w:rPr>
              <w:t xml:space="preserve"> Talleres de capacitación a entes provinciales realizados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FB21C" w14:textId="153685AB" w:rsidR="00931A61" w:rsidRPr="0016717D" w:rsidRDefault="00931A61" w:rsidP="00931A61">
            <w:pPr>
              <w:jc w:val="center"/>
              <w:rPr>
                <w:rFonts w:ascii="Arial" w:hAnsi="Arial"/>
                <w:sz w:val="16"/>
                <w:lang w:val="es-ES"/>
              </w:rPr>
            </w:pPr>
            <w:r w:rsidRPr="00A74AE9">
              <w:rPr>
                <w:rFonts w:ascii="Arial" w:eastAsia="Arial" w:hAnsi="Arial" w:cs="Arial"/>
                <w:sz w:val="16"/>
                <w:szCs w:val="16"/>
                <w:lang w:val="es-ES" w:eastAsia="zh-CN"/>
              </w:rPr>
              <w:t>Talleres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08EF9" w14:textId="77777777" w:rsidR="00931A61" w:rsidRPr="0016717D" w:rsidRDefault="00931A61" w:rsidP="00931A61">
            <w:pPr>
              <w:jc w:val="center"/>
              <w:rPr>
                <w:rFonts w:ascii="Arial" w:eastAsia="Arial" w:hAnsi="Arial"/>
                <w:sz w:val="16"/>
                <w:lang w:val="es-ES"/>
              </w:rPr>
            </w:pPr>
            <w:r w:rsidRPr="0016717D">
              <w:rPr>
                <w:rFonts w:ascii="Arial" w:eastAsia="Arial" w:hAnsi="Arial"/>
                <w:sz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D9C625" w14:textId="511689FE" w:rsidR="00931A61" w:rsidRPr="0016717D" w:rsidRDefault="00931A61" w:rsidP="00931A61">
            <w:pPr>
              <w:jc w:val="center"/>
              <w:rPr>
                <w:rFonts w:ascii="Arial" w:hAnsi="Arial"/>
                <w:sz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932B31"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CE805"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8DCCFA"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D5F65"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4197F6"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6F6BEA"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8BEF02"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5D1B6F" w14:textId="77777777" w:rsidR="00931A61" w:rsidRPr="0016717D" w:rsidRDefault="00931A61" w:rsidP="00931A61">
            <w:pPr>
              <w:jc w:val="center"/>
              <w:rPr>
                <w:rFonts w:ascii="Arial" w:hAnsi="Arial"/>
                <w:sz w:val="16"/>
                <w:lang w:val="es-ES"/>
              </w:rPr>
            </w:pPr>
            <w:r w:rsidRPr="0016717D">
              <w:rPr>
                <w:rFonts w:ascii="Arial" w:hAnsi="Arial"/>
                <w:sz w:val="16"/>
                <w:lang w:val="es-ES"/>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F246E5"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96834D"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37FF14" w14:textId="77777777" w:rsidR="00931A61" w:rsidRPr="00A74AE9" w:rsidRDefault="00931A61" w:rsidP="00931A61">
            <w:pPr>
              <w:jc w:val="center"/>
              <w:rPr>
                <w:rFonts w:ascii="Arial" w:hAnsi="Arial" w:cs="Arial"/>
                <w:sz w:val="16"/>
                <w:szCs w:val="16"/>
                <w:lang w:val="es-ES"/>
              </w:rPr>
            </w:pPr>
            <w:r w:rsidRPr="00A74AE9">
              <w:rPr>
                <w:rFonts w:ascii="Arial" w:hAnsi="Arial" w:cs="Arial"/>
                <w:sz w:val="16"/>
                <w:szCs w:val="16"/>
                <w:lang w:val="es-ES"/>
              </w:rPr>
              <w:t>2</w:t>
            </w:r>
          </w:p>
        </w:tc>
        <w:tc>
          <w:tcPr>
            <w:tcW w:w="1170" w:type="dxa"/>
            <w:tcBorders>
              <w:left w:val="single" w:sz="4" w:space="0" w:color="000000" w:themeColor="text1"/>
              <w:right w:val="single" w:sz="4" w:space="0" w:color="000000" w:themeColor="text1"/>
            </w:tcBorders>
            <w:vAlign w:val="center"/>
          </w:tcPr>
          <w:p w14:paraId="0C41A7DE" w14:textId="4BDA0DD2" w:rsidR="00931A61" w:rsidRPr="0016717D" w:rsidRDefault="00931A61" w:rsidP="00931A61">
            <w:pPr>
              <w:jc w:val="center"/>
              <w:rPr>
                <w:rFonts w:ascii="Arial" w:eastAsia="Arial" w:hAnsi="Arial"/>
                <w:sz w:val="18"/>
                <w:lang w:val="es-ES"/>
              </w:rPr>
            </w:pPr>
            <w:r w:rsidRPr="0016717D">
              <w:rPr>
                <w:rFonts w:ascii="Arial" w:eastAsia="Arial,Arial,Times New Roman" w:hAnsi="Arial"/>
                <w:spacing w:val="-3"/>
                <w:sz w:val="18"/>
                <w:lang w:val="es-ES"/>
              </w:rPr>
              <w:t xml:space="preserve">Informes de la </w:t>
            </w:r>
            <w:r w:rsidRPr="009A05F7">
              <w:rPr>
                <w:rFonts w:ascii="Arial" w:eastAsia="Arial,Arial,Times New Roman" w:hAnsi="Arial" w:cs="Arial"/>
                <w:spacing w:val="-3"/>
                <w:sz w:val="18"/>
                <w:szCs w:val="18"/>
                <w:lang w:val="es-ES"/>
              </w:rPr>
              <w:t>unidad ejecutora</w:t>
            </w:r>
          </w:p>
        </w:tc>
        <w:tc>
          <w:tcPr>
            <w:tcW w:w="2972" w:type="dxa"/>
            <w:tcBorders>
              <w:left w:val="single" w:sz="4" w:space="0" w:color="000000" w:themeColor="text1"/>
              <w:right w:val="single" w:sz="4" w:space="0" w:color="000000" w:themeColor="text1"/>
            </w:tcBorders>
          </w:tcPr>
          <w:p w14:paraId="4DD19E07" w14:textId="66E6404C" w:rsidR="00931A61" w:rsidRPr="009A05F7" w:rsidRDefault="00931A61" w:rsidP="00931A61">
            <w:pPr>
              <w:rPr>
                <w:rFonts w:ascii="Arial" w:eastAsia="Arial" w:hAnsi="Arial" w:cs="Arial"/>
                <w:sz w:val="18"/>
                <w:szCs w:val="18"/>
                <w:lang w:val="es-ES"/>
              </w:rPr>
            </w:pPr>
            <w:r>
              <w:rPr>
                <w:rFonts w:ascii="Arial" w:hAnsi="Arial" w:cs="Arial"/>
                <w:b/>
                <w:bCs/>
                <w:sz w:val="18"/>
                <w:szCs w:val="18"/>
                <w:lang w:val="es-ES"/>
              </w:rPr>
              <w:t xml:space="preserve">Nuevo Indicador: </w:t>
            </w:r>
            <w:r w:rsidRPr="008250E2">
              <w:rPr>
                <w:rFonts w:ascii="Arial" w:hAnsi="Arial" w:cs="Arial"/>
                <w:color w:val="222222"/>
                <w:sz w:val="18"/>
                <w:szCs w:val="18"/>
                <w:lang w:val="es-ES"/>
              </w:rPr>
              <w:t xml:space="preserve">La </w:t>
            </w:r>
            <w:r>
              <w:rPr>
                <w:rFonts w:ascii="Arial" w:hAnsi="Arial" w:cs="Arial"/>
                <w:color w:val="222222"/>
                <w:sz w:val="18"/>
                <w:szCs w:val="18"/>
                <w:lang w:val="es-ES"/>
              </w:rPr>
              <w:t>matriz</w:t>
            </w:r>
            <w:r w:rsidRPr="008250E2">
              <w:rPr>
                <w:rFonts w:ascii="Arial" w:hAnsi="Arial" w:cs="Arial"/>
                <w:color w:val="222222"/>
                <w:sz w:val="18"/>
                <w:szCs w:val="18"/>
                <w:lang w:val="es-ES"/>
              </w:rPr>
              <w:t xml:space="preserve"> original no consideró indicadores de </w:t>
            </w:r>
            <w:r>
              <w:rPr>
                <w:rFonts w:ascii="Arial" w:hAnsi="Arial" w:cs="Arial"/>
                <w:color w:val="222222"/>
                <w:sz w:val="18"/>
                <w:szCs w:val="18"/>
                <w:lang w:val="es-ES"/>
              </w:rPr>
              <w:t>producto para el fortalecimiento de los entes provinciales. El nuevo indicador mide el número de capacitaciones realizadas a estos e</w:t>
            </w:r>
            <w:r w:rsidRPr="002721B9">
              <w:rPr>
                <w:rFonts w:ascii="Arial" w:hAnsi="Arial" w:cs="Arial"/>
                <w:color w:val="222222"/>
                <w:sz w:val="18"/>
                <w:szCs w:val="18"/>
                <w:lang w:val="es-ES"/>
              </w:rPr>
              <w:t>ntes asociadas a la gestión del sector agua y saneamiento</w:t>
            </w:r>
            <w:r>
              <w:rPr>
                <w:rFonts w:ascii="Arial" w:hAnsi="Arial" w:cs="Arial"/>
                <w:color w:val="222222"/>
                <w:sz w:val="18"/>
                <w:szCs w:val="18"/>
                <w:lang w:val="es-ES"/>
              </w:rPr>
              <w:t>.</w:t>
            </w:r>
          </w:p>
        </w:tc>
      </w:tr>
    </w:tbl>
    <w:p w14:paraId="3F08206F" w14:textId="77777777" w:rsidR="00E95303" w:rsidRPr="0016717D" w:rsidRDefault="00E95303" w:rsidP="0016717D">
      <w:pPr>
        <w:rPr>
          <w:rFonts w:ascii="Arial" w:hAnsi="Arial"/>
          <w:sz w:val="18"/>
          <w:lang w:val="es-ES"/>
        </w:rPr>
      </w:pPr>
    </w:p>
    <w:p w14:paraId="01FE1519" w14:textId="27D9099B" w:rsidR="003F609D" w:rsidRPr="007244A6" w:rsidRDefault="003F609D" w:rsidP="0016717D">
      <w:pPr>
        <w:rPr>
          <w:rFonts w:ascii="Arial" w:hAnsi="Arial" w:cs="Arial"/>
          <w:sz w:val="22"/>
          <w:szCs w:val="22"/>
          <w:lang w:val="es-ES"/>
        </w:rPr>
      </w:pPr>
    </w:p>
    <w:sectPr w:rsidR="003F609D" w:rsidRPr="007244A6" w:rsidSect="0016717D">
      <w:headerReference w:type="even" r:id="rId14"/>
      <w:headerReference w:type="default" r:id="rId15"/>
      <w:footerReference w:type="even" r:id="rId16"/>
      <w:footerReference w:type="default" r:id="rId17"/>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94A4E" w14:textId="77777777" w:rsidR="00915B65" w:rsidRDefault="00915B65" w:rsidP="009F0577">
      <w:r>
        <w:separator/>
      </w:r>
    </w:p>
  </w:endnote>
  <w:endnote w:type="continuationSeparator" w:id="0">
    <w:p w14:paraId="50425C0E" w14:textId="77777777" w:rsidR="00915B65" w:rsidRDefault="00915B65" w:rsidP="009F0577">
      <w:r>
        <w:continuationSeparator/>
      </w:r>
    </w:p>
  </w:endnote>
  <w:endnote w:type="continuationNotice" w:id="1">
    <w:p w14:paraId="4F56A756" w14:textId="77777777" w:rsidR="00915B65" w:rsidRDefault="00915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Arial,Times New Roman">
    <w:altName w:val="Arial"/>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3120"/>
      <w:gridCol w:w="3120"/>
      <w:gridCol w:w="3120"/>
    </w:tblGrid>
    <w:tr w:rsidR="00B162E9" w14:paraId="52B465BD" w14:textId="77777777" w:rsidTr="00E70B4A">
      <w:tc>
        <w:tcPr>
          <w:tcW w:w="4320" w:type="dxa"/>
        </w:tcPr>
        <w:p w14:paraId="15686B21" w14:textId="77777777" w:rsidR="00B162E9" w:rsidRDefault="00B162E9" w:rsidP="00E70B4A">
          <w:pPr>
            <w:pStyle w:val="Header"/>
            <w:ind w:left="-115"/>
          </w:pPr>
        </w:p>
      </w:tc>
      <w:tc>
        <w:tcPr>
          <w:tcW w:w="4320" w:type="dxa"/>
        </w:tcPr>
        <w:p w14:paraId="61E29B77" w14:textId="77777777" w:rsidR="00B162E9" w:rsidRDefault="00B162E9" w:rsidP="00E70B4A">
          <w:pPr>
            <w:pStyle w:val="Header"/>
            <w:jc w:val="center"/>
          </w:pPr>
        </w:p>
      </w:tc>
      <w:tc>
        <w:tcPr>
          <w:tcW w:w="4320" w:type="dxa"/>
        </w:tcPr>
        <w:p w14:paraId="4D731333" w14:textId="77777777" w:rsidR="00B162E9" w:rsidRDefault="00B162E9" w:rsidP="00E70B4A">
          <w:pPr>
            <w:pStyle w:val="Header"/>
            <w:ind w:right="-115"/>
            <w:jc w:val="right"/>
          </w:pPr>
        </w:p>
      </w:tc>
    </w:tr>
  </w:tbl>
  <w:p w14:paraId="6DAFF82C" w14:textId="77777777" w:rsidR="00B162E9" w:rsidRDefault="00B162E9" w:rsidP="00E70B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320"/>
      <w:gridCol w:w="4320"/>
      <w:gridCol w:w="4320"/>
    </w:tblGrid>
    <w:tr w:rsidR="00B162E9" w14:paraId="51A3AF9A" w14:textId="77777777" w:rsidTr="00E70B4A">
      <w:tc>
        <w:tcPr>
          <w:tcW w:w="4320" w:type="dxa"/>
        </w:tcPr>
        <w:p w14:paraId="67DC3799" w14:textId="77777777" w:rsidR="00B162E9" w:rsidRDefault="00B162E9" w:rsidP="00E70B4A">
          <w:pPr>
            <w:pStyle w:val="Header"/>
            <w:ind w:left="-115"/>
          </w:pPr>
        </w:p>
      </w:tc>
      <w:tc>
        <w:tcPr>
          <w:tcW w:w="4320" w:type="dxa"/>
        </w:tcPr>
        <w:p w14:paraId="064DD708" w14:textId="77777777" w:rsidR="00B162E9" w:rsidRDefault="00B162E9" w:rsidP="00E70B4A">
          <w:pPr>
            <w:pStyle w:val="Header"/>
            <w:jc w:val="center"/>
          </w:pPr>
        </w:p>
      </w:tc>
      <w:tc>
        <w:tcPr>
          <w:tcW w:w="4320" w:type="dxa"/>
        </w:tcPr>
        <w:p w14:paraId="733EF757" w14:textId="77777777" w:rsidR="00B162E9" w:rsidRDefault="00B162E9" w:rsidP="00E70B4A">
          <w:pPr>
            <w:pStyle w:val="Header"/>
            <w:ind w:right="-115"/>
            <w:jc w:val="right"/>
          </w:pPr>
        </w:p>
      </w:tc>
    </w:tr>
  </w:tbl>
  <w:p w14:paraId="0F948F79" w14:textId="77777777" w:rsidR="00B162E9" w:rsidRDefault="00B162E9" w:rsidP="00E70B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33CAF" w14:textId="77777777" w:rsidR="00915B65" w:rsidRDefault="00915B65" w:rsidP="009F0577">
      <w:r>
        <w:separator/>
      </w:r>
    </w:p>
  </w:footnote>
  <w:footnote w:type="continuationSeparator" w:id="0">
    <w:p w14:paraId="646F972E" w14:textId="77777777" w:rsidR="00915B65" w:rsidRDefault="00915B65" w:rsidP="009F0577">
      <w:r>
        <w:continuationSeparator/>
      </w:r>
    </w:p>
  </w:footnote>
  <w:footnote w:type="continuationNotice" w:id="1">
    <w:p w14:paraId="49A584D9" w14:textId="77777777" w:rsidR="00915B65" w:rsidRDefault="00915B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318336367"/>
      <w:docPartObj>
        <w:docPartGallery w:val="Page Numbers (Top of Page)"/>
        <w:docPartUnique/>
      </w:docPartObj>
    </w:sdtPr>
    <w:sdtEndPr/>
    <w:sdtContent>
      <w:p w14:paraId="49087831" w14:textId="6AA83E8B" w:rsidR="00B162E9" w:rsidRPr="00B22368" w:rsidRDefault="00B162E9">
        <w:pPr>
          <w:pStyle w:val="Header"/>
          <w:jc w:val="right"/>
          <w:rPr>
            <w:rFonts w:ascii="Arial" w:hAnsi="Arial" w:cs="Arial"/>
            <w:sz w:val="20"/>
            <w:lang w:val="pt-BR"/>
          </w:rPr>
        </w:pPr>
        <w:r>
          <w:rPr>
            <w:rFonts w:ascii="Arial" w:hAnsi="Arial" w:cs="Arial"/>
            <w:sz w:val="20"/>
            <w:lang w:val="pt-BR"/>
          </w:rPr>
          <w:t>EEO#9 – AR-L1136</w:t>
        </w:r>
      </w:p>
      <w:p w14:paraId="1D971966" w14:textId="5AAD13B7" w:rsidR="00B162E9" w:rsidRPr="00B22368" w:rsidRDefault="00B162E9">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30C278B4" w14:textId="12138C0B" w:rsidR="00B162E9" w:rsidRDefault="00B162E9">
    <w:pPr>
      <w:pStyle w:val="Header"/>
      <w:rPr>
        <w:rFonts w:ascii="Arial" w:hAnsi="Arial" w:cs="Arial"/>
        <w:sz w:val="20"/>
        <w:lang w:val="pt-BR"/>
      </w:rPr>
    </w:pPr>
  </w:p>
  <w:p w14:paraId="12F045CF" w14:textId="77777777" w:rsidR="00B162E9" w:rsidRPr="00B22368" w:rsidRDefault="00B162E9">
    <w:pPr>
      <w:pStyle w:val="Header"/>
      <w:rPr>
        <w:rFonts w:ascii="Arial" w:hAnsi="Arial" w:cs="Arial"/>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11D83" w14:textId="77777777" w:rsidR="00B162E9" w:rsidRPr="00205AC6" w:rsidRDefault="00B162E9" w:rsidP="00E70B4A">
    <w:pPr>
      <w:pStyle w:val="Header"/>
      <w:rPr>
        <w:rFonts w:ascii="Arial" w:eastAsia="Arial" w:hAnsi="Arial" w:cs="Arial"/>
        <w:sz w:val="18"/>
        <w:szCs w:val="18"/>
        <w:lang w:val="pt-BR"/>
      </w:rPr>
    </w:pPr>
    <w:r w:rsidRPr="4994D482">
      <w:rPr>
        <w:rFonts w:ascii="Arial" w:eastAsia="Arial" w:hAnsi="Arial" w:cs="Arial"/>
        <w:sz w:val="18"/>
        <w:szCs w:val="18"/>
        <w:lang w:val="pt-BR"/>
      </w:rPr>
      <w:t>Anexo II – AR-L1254</w:t>
    </w:r>
  </w:p>
  <w:p w14:paraId="3266069A" w14:textId="77777777" w:rsidR="00B162E9" w:rsidRPr="00B162E9" w:rsidRDefault="00B162E9" w:rsidP="00B162E9">
    <w:pPr>
      <w:pStyle w:val="Header"/>
      <w:spacing w:after="120"/>
      <w:rPr>
        <w:rFonts w:ascii="Arial" w:eastAsia="Arial" w:hAnsi="Arial"/>
        <w:sz w:val="18"/>
        <w:lang w:val="pt-BR"/>
      </w:rPr>
    </w:pPr>
    <w:r w:rsidRPr="4994D482">
      <w:rPr>
        <w:rFonts w:ascii="Arial" w:eastAsia="Arial" w:hAnsi="Arial" w:cs="Arial"/>
        <w:sz w:val="18"/>
        <w:szCs w:val="18"/>
        <w:lang w:val="pt-BR"/>
      </w:rPr>
      <w:t xml:space="preserve">Página </w:t>
    </w:r>
    <w:r w:rsidRPr="4994D482">
      <w:rPr>
        <w:rFonts w:ascii="Arial" w:eastAsia="Arial" w:hAnsi="Arial" w:cs="Arial"/>
        <w:noProof/>
        <w:sz w:val="18"/>
        <w:szCs w:val="18"/>
        <w:lang w:val="pt-BR"/>
      </w:rPr>
      <w:fldChar w:fldCharType="begin"/>
    </w:r>
    <w:r w:rsidRPr="4994D482">
      <w:rPr>
        <w:rFonts w:ascii="Arial" w:eastAsia="Arial" w:hAnsi="Arial" w:cs="Arial"/>
        <w:noProof/>
        <w:sz w:val="18"/>
        <w:szCs w:val="18"/>
        <w:lang w:val="pt-BR"/>
      </w:rPr>
      <w:instrText xml:space="preserve"> PAGE </w:instrText>
    </w:r>
    <w:r w:rsidRPr="4994D482">
      <w:rPr>
        <w:rFonts w:ascii="Arial" w:eastAsia="Arial" w:hAnsi="Arial" w:cs="Arial"/>
        <w:noProof/>
        <w:sz w:val="18"/>
        <w:szCs w:val="18"/>
        <w:lang w:val="pt-BR"/>
      </w:rPr>
      <w:fldChar w:fldCharType="separate"/>
    </w:r>
    <w:r>
      <w:rPr>
        <w:rFonts w:ascii="Arial" w:eastAsia="Arial" w:hAnsi="Arial" w:cs="Arial"/>
        <w:noProof/>
        <w:sz w:val="18"/>
        <w:szCs w:val="18"/>
        <w:lang w:val="pt-BR"/>
      </w:rPr>
      <w:t>2</w:t>
    </w:r>
    <w:r w:rsidRPr="4994D482">
      <w:rPr>
        <w:rFonts w:ascii="Arial" w:eastAsia="Arial" w:hAnsi="Arial" w:cs="Arial"/>
        <w:noProof/>
        <w:sz w:val="18"/>
        <w:szCs w:val="18"/>
        <w:lang w:val="pt-BR"/>
      </w:rPr>
      <w:fldChar w:fldCharType="end"/>
    </w:r>
    <w:r w:rsidRPr="4994D482">
      <w:rPr>
        <w:rFonts w:ascii="Arial" w:eastAsia="Arial" w:hAnsi="Arial" w:cs="Arial"/>
        <w:sz w:val="18"/>
        <w:szCs w:val="18"/>
        <w:lang w:val="pt-BR"/>
      </w:rPr>
      <w:t xml:space="preserve"> 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3CBBA" w14:textId="77777777" w:rsidR="00990CFC" w:rsidRPr="00B22368" w:rsidRDefault="00990CFC" w:rsidP="00990CFC">
    <w:pPr>
      <w:pStyle w:val="Header"/>
      <w:jc w:val="right"/>
      <w:rPr>
        <w:rFonts w:ascii="Arial" w:hAnsi="Arial" w:cs="Arial"/>
        <w:sz w:val="20"/>
        <w:lang w:val="pt-BR"/>
      </w:rPr>
    </w:pPr>
    <w:r>
      <w:rPr>
        <w:rFonts w:ascii="Arial" w:hAnsi="Arial" w:cs="Arial"/>
        <w:sz w:val="20"/>
        <w:lang w:val="pt-BR"/>
      </w:rPr>
      <w:t>EEO#9 – AR-L1136</w:t>
    </w:r>
  </w:p>
  <w:p w14:paraId="33F057A1" w14:textId="7BDE5F9A" w:rsidR="00B162E9" w:rsidRPr="00B162E9" w:rsidRDefault="00B162E9" w:rsidP="00B162E9">
    <w:pPr>
      <w:pStyle w:val="Header"/>
      <w:spacing w:after="120"/>
      <w:jc w:val="right"/>
      <w:rPr>
        <w:rFonts w:ascii="Arial" w:eastAsia="Arial" w:hAnsi="Arial"/>
        <w:sz w:val="18"/>
        <w:lang w:val="pt-BR"/>
      </w:rPr>
    </w:pPr>
    <w:r w:rsidRPr="4994D482">
      <w:rPr>
        <w:rFonts w:ascii="Arial" w:eastAsia="Arial" w:hAnsi="Arial" w:cs="Arial"/>
        <w:sz w:val="18"/>
        <w:szCs w:val="18"/>
        <w:lang w:val="pt-BR"/>
      </w:rPr>
      <w:t xml:space="preserve">Página </w:t>
    </w:r>
    <w:r w:rsidRPr="4994D482">
      <w:rPr>
        <w:rFonts w:ascii="Arial" w:eastAsia="Arial" w:hAnsi="Arial" w:cs="Arial"/>
        <w:noProof/>
        <w:sz w:val="18"/>
        <w:szCs w:val="18"/>
        <w:lang w:val="pt-BR"/>
      </w:rPr>
      <w:fldChar w:fldCharType="begin"/>
    </w:r>
    <w:r w:rsidRPr="4994D482">
      <w:rPr>
        <w:rFonts w:ascii="Arial" w:eastAsia="Arial" w:hAnsi="Arial" w:cs="Arial"/>
        <w:noProof/>
        <w:sz w:val="18"/>
        <w:szCs w:val="18"/>
        <w:lang w:val="pt-BR"/>
      </w:rPr>
      <w:instrText xml:space="preserve"> PAGE </w:instrText>
    </w:r>
    <w:r w:rsidRPr="4994D482">
      <w:rPr>
        <w:rFonts w:ascii="Arial" w:eastAsia="Arial" w:hAnsi="Arial" w:cs="Arial"/>
        <w:noProof/>
        <w:sz w:val="18"/>
        <w:szCs w:val="18"/>
        <w:lang w:val="pt-BR"/>
      </w:rPr>
      <w:fldChar w:fldCharType="separate"/>
    </w:r>
    <w:r>
      <w:rPr>
        <w:rFonts w:ascii="Arial" w:eastAsia="Arial" w:hAnsi="Arial" w:cs="Arial"/>
        <w:noProof/>
        <w:sz w:val="18"/>
        <w:szCs w:val="18"/>
        <w:lang w:val="pt-BR"/>
      </w:rPr>
      <w:t>1</w:t>
    </w:r>
    <w:r w:rsidRPr="4994D482">
      <w:rPr>
        <w:rFonts w:ascii="Arial" w:eastAsia="Arial" w:hAnsi="Arial" w:cs="Arial"/>
        <w:noProof/>
        <w:sz w:val="18"/>
        <w:szCs w:val="18"/>
        <w:lang w:val="pt-BR"/>
      </w:rPr>
      <w:fldChar w:fldCharType="end"/>
    </w:r>
    <w:r w:rsidRPr="4994D482">
      <w:rPr>
        <w:rFonts w:ascii="Arial" w:eastAsia="Arial" w:hAnsi="Arial" w:cs="Arial"/>
        <w:sz w:val="18"/>
        <w:szCs w:val="18"/>
        <w:lang w:val="pt-BR"/>
      </w:rPr>
      <w:t xml:space="preserve"> de </w:t>
    </w:r>
    <w:r w:rsidR="009137AF">
      <w:rPr>
        <w:rFonts w:ascii="Arial" w:eastAsia="Arial" w:hAnsi="Arial" w:cs="Arial"/>
        <w:sz w:val="18"/>
        <w:szCs w:val="18"/>
        <w:lang w:val="pt-BR"/>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0093"/>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9065C"/>
    <w:multiLevelType w:val="singleLevel"/>
    <w:tmpl w:val="0679065C"/>
    <w:lvl w:ilvl="0">
      <w:start w:val="1"/>
      <w:numFmt w:val="bullet"/>
      <w:pStyle w:val="Caption"/>
      <w:lvlText w:val=""/>
      <w:lvlJc w:val="left"/>
      <w:pPr>
        <w:tabs>
          <w:tab w:val="left" w:pos="432"/>
        </w:tabs>
        <w:ind w:left="432" w:hanging="432"/>
      </w:pPr>
      <w:rPr>
        <w:rFonts w:ascii="Wingdings" w:hAnsi="Wingdings" w:hint="default"/>
      </w:rPr>
    </w:lvl>
  </w:abstractNum>
  <w:abstractNum w:abstractNumId="2"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3" w15:restartNumberingAfterBreak="0">
    <w:nsid w:val="11CD0C23"/>
    <w:multiLevelType w:val="multilevel"/>
    <w:tmpl w:val="03BEEB9C"/>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12D5354E"/>
    <w:multiLevelType w:val="multilevel"/>
    <w:tmpl w:val="41BC59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FE781B"/>
    <w:multiLevelType w:val="multilevel"/>
    <w:tmpl w:val="E38C2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501D84"/>
    <w:multiLevelType w:val="hybridMultilevel"/>
    <w:tmpl w:val="5A8E6DB8"/>
    <w:lvl w:ilvl="0" w:tplc="1BE46AFA">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A2A7776"/>
    <w:multiLevelType w:val="multilevel"/>
    <w:tmpl w:val="1A2A7776"/>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E1C50"/>
    <w:multiLevelType w:val="hybridMultilevel"/>
    <w:tmpl w:val="BDC24756"/>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AC5375"/>
    <w:multiLevelType w:val="hybridMultilevel"/>
    <w:tmpl w:val="144E5C10"/>
    <w:lvl w:ilvl="0" w:tplc="1C58B73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6F35F53"/>
    <w:multiLevelType w:val="multilevel"/>
    <w:tmpl w:val="9760A8E8"/>
    <w:lvl w:ilvl="0">
      <w:start w:val="2"/>
      <w:numFmt w:val="decimal"/>
      <w:lvlText w:val="%1."/>
      <w:lvlJc w:val="left"/>
      <w:pPr>
        <w:ind w:left="360" w:hanging="36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75E0652"/>
    <w:multiLevelType w:val="hybridMultilevel"/>
    <w:tmpl w:val="7BA00B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A163D53"/>
    <w:multiLevelType w:val="multilevel"/>
    <w:tmpl w:val="985475DE"/>
    <w:lvl w:ilvl="0">
      <w:start w:val="3"/>
      <w:numFmt w:val="decimal"/>
      <w:lvlText w:val="%1"/>
      <w:lvlJc w:val="left"/>
      <w:pPr>
        <w:ind w:left="360" w:hanging="360"/>
      </w:pPr>
      <w:rPr>
        <w:rFonts w:hint="default"/>
      </w:rPr>
    </w:lvl>
    <w:lvl w:ilvl="1">
      <w:start w:val="1"/>
      <w:numFmt w:val="decimal"/>
      <w:lvlText w:val="2.%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14" w15:restartNumberingAfterBreak="0">
    <w:nsid w:val="2DFC6A3F"/>
    <w:multiLevelType w:val="hybridMultilevel"/>
    <w:tmpl w:val="C1E05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2B6CC1"/>
    <w:multiLevelType w:val="hybridMultilevel"/>
    <w:tmpl w:val="04E06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EE662D2"/>
    <w:multiLevelType w:val="hybridMultilevel"/>
    <w:tmpl w:val="144E5C10"/>
    <w:lvl w:ilvl="0" w:tplc="1C58B73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8" w15:restartNumberingAfterBreak="0">
    <w:nsid w:val="339B6D75"/>
    <w:multiLevelType w:val="hybridMultilevel"/>
    <w:tmpl w:val="CC0EC682"/>
    <w:lvl w:ilvl="0" w:tplc="33080762">
      <w:start w:val="1"/>
      <w:numFmt w:val="bullet"/>
      <w:lvlText w:val=""/>
      <w:lvlJc w:val="left"/>
      <w:pPr>
        <w:ind w:left="792" w:hanging="360"/>
      </w:pPr>
      <w:rPr>
        <w:rFonts w:ascii="Symbol" w:hAnsi="Symbol" w:hint="default"/>
        <w:u w:color="5B9BD5" w:themeColor="accent5"/>
      </w:rPr>
    </w:lvl>
    <w:lvl w:ilvl="1" w:tplc="0C0A0003" w:tentative="1">
      <w:start w:val="1"/>
      <w:numFmt w:val="bullet"/>
      <w:lvlText w:val="o"/>
      <w:lvlJc w:val="left"/>
      <w:pPr>
        <w:ind w:left="1512" w:hanging="360"/>
      </w:pPr>
      <w:rPr>
        <w:rFonts w:ascii="Courier New" w:hAnsi="Courier New" w:cs="Courier New" w:hint="default"/>
      </w:rPr>
    </w:lvl>
    <w:lvl w:ilvl="2" w:tplc="0C0A0005" w:tentative="1">
      <w:start w:val="1"/>
      <w:numFmt w:val="bullet"/>
      <w:lvlText w:val=""/>
      <w:lvlJc w:val="left"/>
      <w:pPr>
        <w:ind w:left="2232" w:hanging="360"/>
      </w:pPr>
      <w:rPr>
        <w:rFonts w:ascii="Wingdings" w:hAnsi="Wingdings" w:hint="default"/>
      </w:rPr>
    </w:lvl>
    <w:lvl w:ilvl="3" w:tplc="0C0A0001" w:tentative="1">
      <w:start w:val="1"/>
      <w:numFmt w:val="bullet"/>
      <w:lvlText w:val=""/>
      <w:lvlJc w:val="left"/>
      <w:pPr>
        <w:ind w:left="2952" w:hanging="360"/>
      </w:pPr>
      <w:rPr>
        <w:rFonts w:ascii="Symbol" w:hAnsi="Symbol" w:hint="default"/>
      </w:rPr>
    </w:lvl>
    <w:lvl w:ilvl="4" w:tplc="0C0A0003" w:tentative="1">
      <w:start w:val="1"/>
      <w:numFmt w:val="bullet"/>
      <w:lvlText w:val="o"/>
      <w:lvlJc w:val="left"/>
      <w:pPr>
        <w:ind w:left="3672" w:hanging="360"/>
      </w:pPr>
      <w:rPr>
        <w:rFonts w:ascii="Courier New" w:hAnsi="Courier New" w:cs="Courier New" w:hint="default"/>
      </w:rPr>
    </w:lvl>
    <w:lvl w:ilvl="5" w:tplc="0C0A0005" w:tentative="1">
      <w:start w:val="1"/>
      <w:numFmt w:val="bullet"/>
      <w:lvlText w:val=""/>
      <w:lvlJc w:val="left"/>
      <w:pPr>
        <w:ind w:left="4392" w:hanging="360"/>
      </w:pPr>
      <w:rPr>
        <w:rFonts w:ascii="Wingdings" w:hAnsi="Wingdings" w:hint="default"/>
      </w:rPr>
    </w:lvl>
    <w:lvl w:ilvl="6" w:tplc="0C0A0001" w:tentative="1">
      <w:start w:val="1"/>
      <w:numFmt w:val="bullet"/>
      <w:lvlText w:val=""/>
      <w:lvlJc w:val="left"/>
      <w:pPr>
        <w:ind w:left="5112" w:hanging="360"/>
      </w:pPr>
      <w:rPr>
        <w:rFonts w:ascii="Symbol" w:hAnsi="Symbol" w:hint="default"/>
      </w:rPr>
    </w:lvl>
    <w:lvl w:ilvl="7" w:tplc="0C0A0003" w:tentative="1">
      <w:start w:val="1"/>
      <w:numFmt w:val="bullet"/>
      <w:lvlText w:val="o"/>
      <w:lvlJc w:val="left"/>
      <w:pPr>
        <w:ind w:left="5832" w:hanging="360"/>
      </w:pPr>
      <w:rPr>
        <w:rFonts w:ascii="Courier New" w:hAnsi="Courier New" w:cs="Courier New" w:hint="default"/>
      </w:rPr>
    </w:lvl>
    <w:lvl w:ilvl="8" w:tplc="0C0A0005" w:tentative="1">
      <w:start w:val="1"/>
      <w:numFmt w:val="bullet"/>
      <w:lvlText w:val=""/>
      <w:lvlJc w:val="left"/>
      <w:pPr>
        <w:ind w:left="6552" w:hanging="360"/>
      </w:pPr>
      <w:rPr>
        <w:rFonts w:ascii="Wingdings" w:hAnsi="Wingdings" w:hint="default"/>
      </w:rPr>
    </w:lvl>
  </w:abstractNum>
  <w:abstractNum w:abstractNumId="19"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35D612B3"/>
    <w:multiLevelType w:val="hybridMultilevel"/>
    <w:tmpl w:val="0BE6D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FA1814"/>
    <w:multiLevelType w:val="hybridMultilevel"/>
    <w:tmpl w:val="1CE4B826"/>
    <w:lvl w:ilvl="0" w:tplc="EC3E8AEE">
      <w:start w:val="1"/>
      <w:numFmt w:val="decimal"/>
      <w:lvlText w:val="%1."/>
      <w:lvlJc w:val="left"/>
      <w:pPr>
        <w:ind w:left="720" w:hanging="360"/>
      </w:pPr>
      <w:rPr>
        <w:rFonts w:hint="default"/>
        <w:color w:val="auto"/>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4405493F"/>
    <w:multiLevelType w:val="multilevel"/>
    <w:tmpl w:val="60DAE384"/>
    <w:lvl w:ilvl="0">
      <w:start w:val="1"/>
      <w:numFmt w:val="decimal"/>
      <w:lvlText w:val="%1."/>
      <w:lvlJc w:val="left"/>
      <w:pPr>
        <w:ind w:left="360" w:hanging="360"/>
      </w:pPr>
      <w:rPr>
        <w:rFonts w:hint="default"/>
      </w:rPr>
    </w:lvl>
    <w:lvl w:ilvl="1">
      <w:start w:val="1"/>
      <w:numFmt w:val="decimal"/>
      <w:lvlText w:val="%1.%2."/>
      <w:lvlJc w:val="left"/>
      <w:pPr>
        <w:ind w:left="432" w:hanging="36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008"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23" w15:restartNumberingAfterBreak="0">
    <w:nsid w:val="44D201A4"/>
    <w:multiLevelType w:val="hybridMultilevel"/>
    <w:tmpl w:val="275E959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8B225C2"/>
    <w:multiLevelType w:val="multilevel"/>
    <w:tmpl w:val="7BC49562"/>
    <w:lvl w:ilvl="0">
      <w:start w:val="4"/>
      <w:numFmt w:val="decimal"/>
      <w:lvlText w:val="%1"/>
      <w:lvlJc w:val="left"/>
      <w:pPr>
        <w:ind w:left="360" w:hanging="360"/>
      </w:pPr>
      <w:rPr>
        <w:rFonts w:eastAsia="Calibri"/>
        <w:sz w:val="22"/>
      </w:rPr>
    </w:lvl>
    <w:lvl w:ilvl="1">
      <w:start w:val="1"/>
      <w:numFmt w:val="decimal"/>
      <w:lvlText w:val="%1.%2"/>
      <w:lvlJc w:val="left"/>
      <w:pPr>
        <w:ind w:left="360" w:hanging="360"/>
      </w:pPr>
      <w:rPr>
        <w:rFonts w:eastAsia="Calibri"/>
        <w:sz w:val="22"/>
      </w:rPr>
    </w:lvl>
    <w:lvl w:ilvl="2">
      <w:start w:val="1"/>
      <w:numFmt w:val="decimal"/>
      <w:lvlText w:val="%1.%2.%3"/>
      <w:lvlJc w:val="left"/>
      <w:pPr>
        <w:ind w:left="720" w:hanging="720"/>
      </w:pPr>
      <w:rPr>
        <w:rFonts w:eastAsia="Calibri"/>
        <w:sz w:val="22"/>
      </w:rPr>
    </w:lvl>
    <w:lvl w:ilvl="3">
      <w:start w:val="1"/>
      <w:numFmt w:val="decimal"/>
      <w:lvlText w:val="%1.%2.%3.%4"/>
      <w:lvlJc w:val="left"/>
      <w:pPr>
        <w:ind w:left="1080" w:hanging="1080"/>
      </w:pPr>
      <w:rPr>
        <w:rFonts w:eastAsia="Calibri"/>
        <w:sz w:val="22"/>
      </w:rPr>
    </w:lvl>
    <w:lvl w:ilvl="4">
      <w:start w:val="1"/>
      <w:numFmt w:val="decimal"/>
      <w:lvlText w:val="%1.%2.%3.%4.%5"/>
      <w:lvlJc w:val="left"/>
      <w:pPr>
        <w:ind w:left="1080" w:hanging="1080"/>
      </w:pPr>
      <w:rPr>
        <w:rFonts w:eastAsia="Calibri"/>
        <w:sz w:val="22"/>
      </w:rPr>
    </w:lvl>
    <w:lvl w:ilvl="5">
      <w:start w:val="1"/>
      <w:numFmt w:val="decimal"/>
      <w:lvlText w:val="%1.%2.%3.%4.%5.%6"/>
      <w:lvlJc w:val="left"/>
      <w:pPr>
        <w:ind w:left="1440" w:hanging="1440"/>
      </w:pPr>
      <w:rPr>
        <w:rFonts w:eastAsia="Calibri"/>
        <w:sz w:val="22"/>
      </w:rPr>
    </w:lvl>
    <w:lvl w:ilvl="6">
      <w:start w:val="1"/>
      <w:numFmt w:val="decimal"/>
      <w:lvlText w:val="%1.%2.%3.%4.%5.%6.%7"/>
      <w:lvlJc w:val="left"/>
      <w:pPr>
        <w:ind w:left="1440" w:hanging="1440"/>
      </w:pPr>
      <w:rPr>
        <w:rFonts w:eastAsia="Calibri"/>
        <w:sz w:val="22"/>
      </w:rPr>
    </w:lvl>
    <w:lvl w:ilvl="7">
      <w:start w:val="1"/>
      <w:numFmt w:val="decimal"/>
      <w:lvlText w:val="%1.%2.%3.%4.%5.%6.%7.%8"/>
      <w:lvlJc w:val="left"/>
      <w:pPr>
        <w:ind w:left="1800" w:hanging="1800"/>
      </w:pPr>
      <w:rPr>
        <w:rFonts w:eastAsia="Calibri"/>
        <w:sz w:val="22"/>
      </w:rPr>
    </w:lvl>
    <w:lvl w:ilvl="8">
      <w:start w:val="1"/>
      <w:numFmt w:val="decimal"/>
      <w:lvlText w:val="%1.%2.%3.%4.%5.%6.%7.%8.%9"/>
      <w:lvlJc w:val="left"/>
      <w:pPr>
        <w:ind w:left="1800" w:hanging="1800"/>
      </w:pPr>
      <w:rPr>
        <w:rFonts w:eastAsia="Calibri"/>
        <w:sz w:val="22"/>
      </w:rPr>
    </w:lvl>
  </w:abstractNum>
  <w:abstractNum w:abstractNumId="25" w15:restartNumberingAfterBreak="0">
    <w:nsid w:val="53733B96"/>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04227A"/>
    <w:multiLevelType w:val="hybridMultilevel"/>
    <w:tmpl w:val="2724F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510408"/>
    <w:multiLevelType w:val="multilevel"/>
    <w:tmpl w:val="BAEA2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7274E0"/>
    <w:multiLevelType w:val="hybridMultilevel"/>
    <w:tmpl w:val="FD46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CA41BC"/>
    <w:multiLevelType w:val="hybridMultilevel"/>
    <w:tmpl w:val="013A8A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64C43D3"/>
    <w:multiLevelType w:val="hybridMultilevel"/>
    <w:tmpl w:val="A4746480"/>
    <w:lvl w:ilvl="0" w:tplc="503EE2C8">
      <w:start w:val="1"/>
      <w:numFmt w:val="upperRoman"/>
      <w:lvlText w:val="%1."/>
      <w:lvlJc w:val="left"/>
      <w:pPr>
        <w:ind w:left="1080"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73815AFF"/>
    <w:multiLevelType w:val="hybridMultilevel"/>
    <w:tmpl w:val="28FCA60E"/>
    <w:lvl w:ilvl="0" w:tplc="580A000F">
      <w:start w:val="2"/>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 w15:restartNumberingAfterBreak="0">
    <w:nsid w:val="74EA7DE2"/>
    <w:multiLevelType w:val="hybridMultilevel"/>
    <w:tmpl w:val="7818C4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EF41913"/>
    <w:multiLevelType w:val="hybridMultilevel"/>
    <w:tmpl w:val="6422048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4" w15:restartNumberingAfterBreak="0">
    <w:nsid w:val="7FBC20C8"/>
    <w:multiLevelType w:val="multilevel"/>
    <w:tmpl w:val="28D82ED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9"/>
  </w:num>
  <w:num w:numId="3">
    <w:abstractNumId w:val="25"/>
  </w:num>
  <w:num w:numId="4">
    <w:abstractNumId w:val="1"/>
  </w:num>
  <w:num w:numId="5">
    <w:abstractNumId w:val="30"/>
  </w:num>
  <w:num w:numId="6">
    <w:abstractNumId w:val="13"/>
  </w:num>
  <w:num w:numId="7">
    <w:abstractNumId w:val="12"/>
  </w:num>
  <w:num w:numId="8">
    <w:abstractNumId w:val="23"/>
  </w:num>
  <w:num w:numId="9">
    <w:abstractNumId w:val="32"/>
  </w:num>
  <w:num w:numId="10">
    <w:abstractNumId w:val="34"/>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0"/>
  </w:num>
  <w:num w:numId="15">
    <w:abstractNumId w:val="2"/>
  </w:num>
  <w:num w:numId="16">
    <w:abstractNumId w:val="4"/>
  </w:num>
  <w:num w:numId="17">
    <w:abstractNumId w:val="8"/>
  </w:num>
  <w:num w:numId="18">
    <w:abstractNumId w:val="18"/>
  </w:num>
  <w:num w:numId="19">
    <w:abstractNumId w:val="7"/>
  </w:num>
  <w:num w:numId="20">
    <w:abstractNumId w:val="22"/>
  </w:num>
  <w:num w:numId="21">
    <w:abstractNumId w:val="27"/>
  </w:num>
  <w:num w:numId="22">
    <w:abstractNumId w:val="5"/>
  </w:num>
  <w:num w:numId="23">
    <w:abstractNumId w:val="3"/>
  </w:num>
  <w:num w:numId="24">
    <w:abstractNumId w:val="11"/>
  </w:num>
  <w:num w:numId="25">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1"/>
  </w:num>
  <w:num w:numId="28">
    <w:abstractNumId w:val="21"/>
  </w:num>
  <w:num w:numId="29">
    <w:abstractNumId w:val="0"/>
  </w:num>
  <w:num w:numId="30">
    <w:abstractNumId w:val="10"/>
  </w:num>
  <w:num w:numId="31">
    <w:abstractNumId w:val="16"/>
  </w:num>
  <w:num w:numId="32">
    <w:abstractNumId w:val="19"/>
  </w:num>
  <w:num w:numId="33">
    <w:abstractNumId w:val="29"/>
  </w:num>
  <w:num w:numId="34">
    <w:abstractNumId w:val="33"/>
  </w:num>
  <w:num w:numId="35">
    <w:abstractNumId w:val="26"/>
  </w:num>
  <w:num w:numId="36">
    <w:abstractNumId w:val="14"/>
  </w:num>
  <w:num w:numId="37">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HN"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HN" w:vendorID="64" w:dllVersion="0" w:nlCheck="1" w:checkStyle="0"/>
  <w:activeWritingStyle w:appName="MSWord" w:lang="es-MX" w:vendorID="64" w:dllVersion="0" w:nlCheck="1" w:checkStyle="0"/>
  <w:activeWritingStyle w:appName="MSWord" w:lang="es-419" w:vendorID="64" w:dllVersion="0" w:nlCheck="1" w:checkStyle="0"/>
  <w:activeWritingStyle w:appName="MSWord" w:lang="es-CO" w:vendorID="64" w:dllVersion="0" w:nlCheck="1" w:checkStyle="0"/>
  <w:activeWritingStyle w:appName="MSWord" w:lang="en-US" w:vendorID="64" w:dllVersion="0" w:nlCheck="1" w:checkStyle="0"/>
  <w:activeWritingStyle w:appName="MSWord" w:lang="es-BO"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5AC"/>
    <w:rsid w:val="0001147A"/>
    <w:rsid w:val="000123F6"/>
    <w:rsid w:val="000126F0"/>
    <w:rsid w:val="00014F89"/>
    <w:rsid w:val="0001556E"/>
    <w:rsid w:val="000172BB"/>
    <w:rsid w:val="000250D8"/>
    <w:rsid w:val="00025597"/>
    <w:rsid w:val="00026A45"/>
    <w:rsid w:val="00026BE7"/>
    <w:rsid w:val="0003057C"/>
    <w:rsid w:val="00034D8A"/>
    <w:rsid w:val="00035964"/>
    <w:rsid w:val="00041927"/>
    <w:rsid w:val="00042069"/>
    <w:rsid w:val="000431F3"/>
    <w:rsid w:val="00045C71"/>
    <w:rsid w:val="000477B7"/>
    <w:rsid w:val="0005411A"/>
    <w:rsid w:val="00062A81"/>
    <w:rsid w:val="0007031D"/>
    <w:rsid w:val="00072EB9"/>
    <w:rsid w:val="00073B89"/>
    <w:rsid w:val="00073D5D"/>
    <w:rsid w:val="00076222"/>
    <w:rsid w:val="0008126F"/>
    <w:rsid w:val="000831C1"/>
    <w:rsid w:val="00086F89"/>
    <w:rsid w:val="000914B2"/>
    <w:rsid w:val="00091B9A"/>
    <w:rsid w:val="000961B7"/>
    <w:rsid w:val="00097E75"/>
    <w:rsid w:val="000A1918"/>
    <w:rsid w:val="000A43F3"/>
    <w:rsid w:val="000A4493"/>
    <w:rsid w:val="000A54BA"/>
    <w:rsid w:val="000A7D33"/>
    <w:rsid w:val="000B012B"/>
    <w:rsid w:val="000B1C7E"/>
    <w:rsid w:val="000B2444"/>
    <w:rsid w:val="000B2794"/>
    <w:rsid w:val="000B3BFB"/>
    <w:rsid w:val="000B3FE7"/>
    <w:rsid w:val="000B612E"/>
    <w:rsid w:val="000C03CE"/>
    <w:rsid w:val="000C3553"/>
    <w:rsid w:val="000C522D"/>
    <w:rsid w:val="000C555C"/>
    <w:rsid w:val="000C6903"/>
    <w:rsid w:val="000D37C1"/>
    <w:rsid w:val="000E1554"/>
    <w:rsid w:val="000E1E48"/>
    <w:rsid w:val="000E7E6E"/>
    <w:rsid w:val="000F129E"/>
    <w:rsid w:val="000F5290"/>
    <w:rsid w:val="000F6D06"/>
    <w:rsid w:val="001054D5"/>
    <w:rsid w:val="001106AC"/>
    <w:rsid w:val="0011076B"/>
    <w:rsid w:val="00114375"/>
    <w:rsid w:val="00115952"/>
    <w:rsid w:val="00124E70"/>
    <w:rsid w:val="00141531"/>
    <w:rsid w:val="00153A63"/>
    <w:rsid w:val="00164F6D"/>
    <w:rsid w:val="0016717D"/>
    <w:rsid w:val="00167D24"/>
    <w:rsid w:val="001763A9"/>
    <w:rsid w:val="00182101"/>
    <w:rsid w:val="00185842"/>
    <w:rsid w:val="00190233"/>
    <w:rsid w:val="0019229D"/>
    <w:rsid w:val="001933F6"/>
    <w:rsid w:val="001A01BA"/>
    <w:rsid w:val="001A2210"/>
    <w:rsid w:val="001A5302"/>
    <w:rsid w:val="001A58B5"/>
    <w:rsid w:val="001A7801"/>
    <w:rsid w:val="001A7907"/>
    <w:rsid w:val="001A7DFC"/>
    <w:rsid w:val="001B0678"/>
    <w:rsid w:val="001B1DDB"/>
    <w:rsid w:val="001B6D64"/>
    <w:rsid w:val="001B718C"/>
    <w:rsid w:val="001B7B09"/>
    <w:rsid w:val="001C32A9"/>
    <w:rsid w:val="001C7225"/>
    <w:rsid w:val="001D29DF"/>
    <w:rsid w:val="001D5845"/>
    <w:rsid w:val="001D7DD4"/>
    <w:rsid w:val="001E02B6"/>
    <w:rsid w:val="001E148B"/>
    <w:rsid w:val="001E1A0C"/>
    <w:rsid w:val="001E673F"/>
    <w:rsid w:val="001E6E1F"/>
    <w:rsid w:val="001F009B"/>
    <w:rsid w:val="001F6387"/>
    <w:rsid w:val="001F773F"/>
    <w:rsid w:val="002000E1"/>
    <w:rsid w:val="0020207D"/>
    <w:rsid w:val="00210648"/>
    <w:rsid w:val="00212FE8"/>
    <w:rsid w:val="00213140"/>
    <w:rsid w:val="00225727"/>
    <w:rsid w:val="002272BF"/>
    <w:rsid w:val="002275A0"/>
    <w:rsid w:val="00233B9A"/>
    <w:rsid w:val="002365A6"/>
    <w:rsid w:val="00237529"/>
    <w:rsid w:val="002430BE"/>
    <w:rsid w:val="00250CCC"/>
    <w:rsid w:val="0025537A"/>
    <w:rsid w:val="00256E53"/>
    <w:rsid w:val="0026623A"/>
    <w:rsid w:val="00266476"/>
    <w:rsid w:val="00281DDB"/>
    <w:rsid w:val="00290A3D"/>
    <w:rsid w:val="002964C5"/>
    <w:rsid w:val="00296813"/>
    <w:rsid w:val="00296859"/>
    <w:rsid w:val="00296EAF"/>
    <w:rsid w:val="00297389"/>
    <w:rsid w:val="002A0CF5"/>
    <w:rsid w:val="002A1E1C"/>
    <w:rsid w:val="002A402A"/>
    <w:rsid w:val="002B18EB"/>
    <w:rsid w:val="002C0E54"/>
    <w:rsid w:val="002C3B62"/>
    <w:rsid w:val="002C6B4B"/>
    <w:rsid w:val="002C6CA7"/>
    <w:rsid w:val="002D17AC"/>
    <w:rsid w:val="002D3EC8"/>
    <w:rsid w:val="002D489A"/>
    <w:rsid w:val="002D48C8"/>
    <w:rsid w:val="002D7766"/>
    <w:rsid w:val="002D7865"/>
    <w:rsid w:val="002E5471"/>
    <w:rsid w:val="002F0789"/>
    <w:rsid w:val="002F7B3F"/>
    <w:rsid w:val="00303B3F"/>
    <w:rsid w:val="00307D96"/>
    <w:rsid w:val="003100CC"/>
    <w:rsid w:val="0031318A"/>
    <w:rsid w:val="00316750"/>
    <w:rsid w:val="00326B06"/>
    <w:rsid w:val="00337DB9"/>
    <w:rsid w:val="00346EE8"/>
    <w:rsid w:val="00352A49"/>
    <w:rsid w:val="00354E60"/>
    <w:rsid w:val="003551E9"/>
    <w:rsid w:val="00356CC1"/>
    <w:rsid w:val="00357AA1"/>
    <w:rsid w:val="00360FA5"/>
    <w:rsid w:val="00372D6C"/>
    <w:rsid w:val="00373002"/>
    <w:rsid w:val="0037345B"/>
    <w:rsid w:val="00373B76"/>
    <w:rsid w:val="00376BA1"/>
    <w:rsid w:val="00376DE1"/>
    <w:rsid w:val="003801DB"/>
    <w:rsid w:val="003858D7"/>
    <w:rsid w:val="00387BA9"/>
    <w:rsid w:val="0039284E"/>
    <w:rsid w:val="00396523"/>
    <w:rsid w:val="003A5805"/>
    <w:rsid w:val="003B09A5"/>
    <w:rsid w:val="003B0E93"/>
    <w:rsid w:val="003B1502"/>
    <w:rsid w:val="003B2ED1"/>
    <w:rsid w:val="003C68C6"/>
    <w:rsid w:val="003C6D8B"/>
    <w:rsid w:val="003C6E14"/>
    <w:rsid w:val="003C77CD"/>
    <w:rsid w:val="003C7A72"/>
    <w:rsid w:val="003D3BCA"/>
    <w:rsid w:val="003D5DA8"/>
    <w:rsid w:val="003E01FD"/>
    <w:rsid w:val="003E2057"/>
    <w:rsid w:val="003E2E6E"/>
    <w:rsid w:val="003F2A12"/>
    <w:rsid w:val="003F489F"/>
    <w:rsid w:val="003F609D"/>
    <w:rsid w:val="003F6809"/>
    <w:rsid w:val="003F6B95"/>
    <w:rsid w:val="00400591"/>
    <w:rsid w:val="00412536"/>
    <w:rsid w:val="004153CD"/>
    <w:rsid w:val="0042282E"/>
    <w:rsid w:val="004253B8"/>
    <w:rsid w:val="0042720C"/>
    <w:rsid w:val="004300A3"/>
    <w:rsid w:val="00430C27"/>
    <w:rsid w:val="00433143"/>
    <w:rsid w:val="00433369"/>
    <w:rsid w:val="00433C2F"/>
    <w:rsid w:val="00437492"/>
    <w:rsid w:val="00441F16"/>
    <w:rsid w:val="0044292B"/>
    <w:rsid w:val="00445949"/>
    <w:rsid w:val="004512B8"/>
    <w:rsid w:val="00452BFF"/>
    <w:rsid w:val="00452C5F"/>
    <w:rsid w:val="00453F17"/>
    <w:rsid w:val="004655A8"/>
    <w:rsid w:val="0046587C"/>
    <w:rsid w:val="0047469B"/>
    <w:rsid w:val="00477DE9"/>
    <w:rsid w:val="004876BB"/>
    <w:rsid w:val="00493D7F"/>
    <w:rsid w:val="00497245"/>
    <w:rsid w:val="004A245D"/>
    <w:rsid w:val="004A29F2"/>
    <w:rsid w:val="004A7ED2"/>
    <w:rsid w:val="004B1989"/>
    <w:rsid w:val="004B213E"/>
    <w:rsid w:val="004B22EA"/>
    <w:rsid w:val="004B517A"/>
    <w:rsid w:val="004B68FD"/>
    <w:rsid w:val="004C0550"/>
    <w:rsid w:val="004C405C"/>
    <w:rsid w:val="004C4C34"/>
    <w:rsid w:val="004C64B5"/>
    <w:rsid w:val="004C6D90"/>
    <w:rsid w:val="004D1328"/>
    <w:rsid w:val="004D18AE"/>
    <w:rsid w:val="004D3703"/>
    <w:rsid w:val="004E7D04"/>
    <w:rsid w:val="004F36F7"/>
    <w:rsid w:val="004F4253"/>
    <w:rsid w:val="00500FCC"/>
    <w:rsid w:val="005045DA"/>
    <w:rsid w:val="00507227"/>
    <w:rsid w:val="00510935"/>
    <w:rsid w:val="005173B2"/>
    <w:rsid w:val="00520DB7"/>
    <w:rsid w:val="00520F9F"/>
    <w:rsid w:val="005278D6"/>
    <w:rsid w:val="00531063"/>
    <w:rsid w:val="00532797"/>
    <w:rsid w:val="00535E73"/>
    <w:rsid w:val="00535FEB"/>
    <w:rsid w:val="00540CEA"/>
    <w:rsid w:val="00540DE3"/>
    <w:rsid w:val="005453B5"/>
    <w:rsid w:val="00546C55"/>
    <w:rsid w:val="00550B6E"/>
    <w:rsid w:val="0055608A"/>
    <w:rsid w:val="005577D4"/>
    <w:rsid w:val="00560C5B"/>
    <w:rsid w:val="005629FD"/>
    <w:rsid w:val="00563790"/>
    <w:rsid w:val="005715C9"/>
    <w:rsid w:val="00576476"/>
    <w:rsid w:val="0058314A"/>
    <w:rsid w:val="00591136"/>
    <w:rsid w:val="0059493C"/>
    <w:rsid w:val="00594A25"/>
    <w:rsid w:val="00594BCE"/>
    <w:rsid w:val="005967EA"/>
    <w:rsid w:val="005969C9"/>
    <w:rsid w:val="0059790C"/>
    <w:rsid w:val="005A3027"/>
    <w:rsid w:val="005B7463"/>
    <w:rsid w:val="005C1E19"/>
    <w:rsid w:val="005C2056"/>
    <w:rsid w:val="005C3461"/>
    <w:rsid w:val="005C7F0F"/>
    <w:rsid w:val="005D0275"/>
    <w:rsid w:val="005D0E08"/>
    <w:rsid w:val="005D37FE"/>
    <w:rsid w:val="005D50D1"/>
    <w:rsid w:val="005D6FAD"/>
    <w:rsid w:val="005E0609"/>
    <w:rsid w:val="005F1066"/>
    <w:rsid w:val="005F172A"/>
    <w:rsid w:val="005F614D"/>
    <w:rsid w:val="005F69DC"/>
    <w:rsid w:val="0060244B"/>
    <w:rsid w:val="00603499"/>
    <w:rsid w:val="0060634C"/>
    <w:rsid w:val="00613675"/>
    <w:rsid w:val="00614559"/>
    <w:rsid w:val="00621875"/>
    <w:rsid w:val="00636A10"/>
    <w:rsid w:val="006425B6"/>
    <w:rsid w:val="00645788"/>
    <w:rsid w:val="00651A23"/>
    <w:rsid w:val="00653E30"/>
    <w:rsid w:val="006616AA"/>
    <w:rsid w:val="00663EED"/>
    <w:rsid w:val="006749F9"/>
    <w:rsid w:val="0068095F"/>
    <w:rsid w:val="00681E39"/>
    <w:rsid w:val="00685B32"/>
    <w:rsid w:val="006874AB"/>
    <w:rsid w:val="006912E4"/>
    <w:rsid w:val="0069351F"/>
    <w:rsid w:val="00695D3E"/>
    <w:rsid w:val="00697594"/>
    <w:rsid w:val="006A4CCD"/>
    <w:rsid w:val="006B2B5E"/>
    <w:rsid w:val="006B5FFA"/>
    <w:rsid w:val="006B790A"/>
    <w:rsid w:val="006C1F15"/>
    <w:rsid w:val="006C22AC"/>
    <w:rsid w:val="006C2D93"/>
    <w:rsid w:val="006C37AF"/>
    <w:rsid w:val="006C3D47"/>
    <w:rsid w:val="006D16C0"/>
    <w:rsid w:val="006E172B"/>
    <w:rsid w:val="006E7C51"/>
    <w:rsid w:val="006E7E58"/>
    <w:rsid w:val="006F29CB"/>
    <w:rsid w:val="006F3356"/>
    <w:rsid w:val="006F41AC"/>
    <w:rsid w:val="006F453D"/>
    <w:rsid w:val="006F6296"/>
    <w:rsid w:val="007011B0"/>
    <w:rsid w:val="00701857"/>
    <w:rsid w:val="0070612B"/>
    <w:rsid w:val="00707A98"/>
    <w:rsid w:val="0071069D"/>
    <w:rsid w:val="007119E3"/>
    <w:rsid w:val="00713670"/>
    <w:rsid w:val="00714126"/>
    <w:rsid w:val="00716632"/>
    <w:rsid w:val="0072264E"/>
    <w:rsid w:val="007244A6"/>
    <w:rsid w:val="007250C7"/>
    <w:rsid w:val="00726829"/>
    <w:rsid w:val="00727BDB"/>
    <w:rsid w:val="007362DE"/>
    <w:rsid w:val="00741A10"/>
    <w:rsid w:val="00746B64"/>
    <w:rsid w:val="00747E65"/>
    <w:rsid w:val="00751878"/>
    <w:rsid w:val="00754B8C"/>
    <w:rsid w:val="00756562"/>
    <w:rsid w:val="00757FA0"/>
    <w:rsid w:val="007621DA"/>
    <w:rsid w:val="00767532"/>
    <w:rsid w:val="00767A0C"/>
    <w:rsid w:val="007723E2"/>
    <w:rsid w:val="00772B83"/>
    <w:rsid w:val="00773C5F"/>
    <w:rsid w:val="00775E13"/>
    <w:rsid w:val="007810B3"/>
    <w:rsid w:val="00793E64"/>
    <w:rsid w:val="007A02C2"/>
    <w:rsid w:val="007A6106"/>
    <w:rsid w:val="007B32F8"/>
    <w:rsid w:val="007B384E"/>
    <w:rsid w:val="007B739C"/>
    <w:rsid w:val="007D0790"/>
    <w:rsid w:val="007D184D"/>
    <w:rsid w:val="007D3FED"/>
    <w:rsid w:val="007D4581"/>
    <w:rsid w:val="007E0EF3"/>
    <w:rsid w:val="007E3CCB"/>
    <w:rsid w:val="007E5134"/>
    <w:rsid w:val="007E6C15"/>
    <w:rsid w:val="007F307E"/>
    <w:rsid w:val="0080428B"/>
    <w:rsid w:val="00804E30"/>
    <w:rsid w:val="0081116A"/>
    <w:rsid w:val="0081212F"/>
    <w:rsid w:val="00812C07"/>
    <w:rsid w:val="008220EF"/>
    <w:rsid w:val="008244BE"/>
    <w:rsid w:val="00835BE7"/>
    <w:rsid w:val="00836390"/>
    <w:rsid w:val="008415BF"/>
    <w:rsid w:val="00841E83"/>
    <w:rsid w:val="0084290C"/>
    <w:rsid w:val="00846618"/>
    <w:rsid w:val="0084717A"/>
    <w:rsid w:val="00857463"/>
    <w:rsid w:val="00860B38"/>
    <w:rsid w:val="00866756"/>
    <w:rsid w:val="00866A14"/>
    <w:rsid w:val="00870381"/>
    <w:rsid w:val="00870456"/>
    <w:rsid w:val="00875AF0"/>
    <w:rsid w:val="00876E25"/>
    <w:rsid w:val="00881315"/>
    <w:rsid w:val="008814BC"/>
    <w:rsid w:val="00891C6D"/>
    <w:rsid w:val="008923C5"/>
    <w:rsid w:val="00892D33"/>
    <w:rsid w:val="008934C7"/>
    <w:rsid w:val="00895FD8"/>
    <w:rsid w:val="008A186F"/>
    <w:rsid w:val="008A2104"/>
    <w:rsid w:val="008A55F7"/>
    <w:rsid w:val="008B2C54"/>
    <w:rsid w:val="008C5E03"/>
    <w:rsid w:val="008D4527"/>
    <w:rsid w:val="008E29F3"/>
    <w:rsid w:val="008E4FE3"/>
    <w:rsid w:val="008F4DBC"/>
    <w:rsid w:val="008F520D"/>
    <w:rsid w:val="00901375"/>
    <w:rsid w:val="0090782A"/>
    <w:rsid w:val="009137AF"/>
    <w:rsid w:val="009143FE"/>
    <w:rsid w:val="00915B65"/>
    <w:rsid w:val="009174CA"/>
    <w:rsid w:val="00917AEF"/>
    <w:rsid w:val="009214FA"/>
    <w:rsid w:val="00921FB4"/>
    <w:rsid w:val="00926C6D"/>
    <w:rsid w:val="009311A4"/>
    <w:rsid w:val="00931A61"/>
    <w:rsid w:val="00933EAF"/>
    <w:rsid w:val="00934E9F"/>
    <w:rsid w:val="009436F6"/>
    <w:rsid w:val="00947E91"/>
    <w:rsid w:val="00950176"/>
    <w:rsid w:val="00957013"/>
    <w:rsid w:val="009612BF"/>
    <w:rsid w:val="009625AE"/>
    <w:rsid w:val="00962724"/>
    <w:rsid w:val="00965C95"/>
    <w:rsid w:val="00967E6E"/>
    <w:rsid w:val="009714EC"/>
    <w:rsid w:val="009805AC"/>
    <w:rsid w:val="009810CC"/>
    <w:rsid w:val="009815D7"/>
    <w:rsid w:val="00985033"/>
    <w:rsid w:val="009852F6"/>
    <w:rsid w:val="00990CFC"/>
    <w:rsid w:val="009926AB"/>
    <w:rsid w:val="00994E4D"/>
    <w:rsid w:val="00997EF5"/>
    <w:rsid w:val="009A4FD0"/>
    <w:rsid w:val="009B320C"/>
    <w:rsid w:val="009B62E1"/>
    <w:rsid w:val="009B67F9"/>
    <w:rsid w:val="009C073A"/>
    <w:rsid w:val="009C3670"/>
    <w:rsid w:val="009C4853"/>
    <w:rsid w:val="009D2F9B"/>
    <w:rsid w:val="009D39C6"/>
    <w:rsid w:val="009D489C"/>
    <w:rsid w:val="009E279F"/>
    <w:rsid w:val="009E3B2D"/>
    <w:rsid w:val="009E3EB9"/>
    <w:rsid w:val="009E7E74"/>
    <w:rsid w:val="009F0577"/>
    <w:rsid w:val="009F1CB0"/>
    <w:rsid w:val="009F4437"/>
    <w:rsid w:val="00A0008D"/>
    <w:rsid w:val="00A010E5"/>
    <w:rsid w:val="00A01C23"/>
    <w:rsid w:val="00A02F57"/>
    <w:rsid w:val="00A05C02"/>
    <w:rsid w:val="00A06F08"/>
    <w:rsid w:val="00A108DB"/>
    <w:rsid w:val="00A141A8"/>
    <w:rsid w:val="00A21BF9"/>
    <w:rsid w:val="00A21DCC"/>
    <w:rsid w:val="00A23676"/>
    <w:rsid w:val="00A308F7"/>
    <w:rsid w:val="00A40288"/>
    <w:rsid w:val="00A441B8"/>
    <w:rsid w:val="00A56D7F"/>
    <w:rsid w:val="00A607C5"/>
    <w:rsid w:val="00A62CDE"/>
    <w:rsid w:val="00A639F1"/>
    <w:rsid w:val="00A6468F"/>
    <w:rsid w:val="00A659E0"/>
    <w:rsid w:val="00A67263"/>
    <w:rsid w:val="00A67700"/>
    <w:rsid w:val="00A67DC7"/>
    <w:rsid w:val="00A72A3A"/>
    <w:rsid w:val="00A72DEF"/>
    <w:rsid w:val="00A73D94"/>
    <w:rsid w:val="00A807E4"/>
    <w:rsid w:val="00A865A0"/>
    <w:rsid w:val="00A87EBB"/>
    <w:rsid w:val="00AA00C7"/>
    <w:rsid w:val="00AA1573"/>
    <w:rsid w:val="00AB4672"/>
    <w:rsid w:val="00AB4EAA"/>
    <w:rsid w:val="00AB5FF4"/>
    <w:rsid w:val="00AC0AF5"/>
    <w:rsid w:val="00AC39B3"/>
    <w:rsid w:val="00AC5D8C"/>
    <w:rsid w:val="00AD105B"/>
    <w:rsid w:val="00AD5985"/>
    <w:rsid w:val="00AE022F"/>
    <w:rsid w:val="00AE7E43"/>
    <w:rsid w:val="00AF452E"/>
    <w:rsid w:val="00B00E55"/>
    <w:rsid w:val="00B0589D"/>
    <w:rsid w:val="00B1628C"/>
    <w:rsid w:val="00B162E9"/>
    <w:rsid w:val="00B22368"/>
    <w:rsid w:val="00B23EB5"/>
    <w:rsid w:val="00B27A06"/>
    <w:rsid w:val="00B36C74"/>
    <w:rsid w:val="00B37A6D"/>
    <w:rsid w:val="00B37E1E"/>
    <w:rsid w:val="00B50707"/>
    <w:rsid w:val="00B66D45"/>
    <w:rsid w:val="00B724DC"/>
    <w:rsid w:val="00B74459"/>
    <w:rsid w:val="00B76BED"/>
    <w:rsid w:val="00B83372"/>
    <w:rsid w:val="00B83497"/>
    <w:rsid w:val="00B83831"/>
    <w:rsid w:val="00B85A24"/>
    <w:rsid w:val="00B87483"/>
    <w:rsid w:val="00B90C98"/>
    <w:rsid w:val="00B94292"/>
    <w:rsid w:val="00B96265"/>
    <w:rsid w:val="00BA02A4"/>
    <w:rsid w:val="00BA1002"/>
    <w:rsid w:val="00BA16FA"/>
    <w:rsid w:val="00BA52D1"/>
    <w:rsid w:val="00BA61B5"/>
    <w:rsid w:val="00BA6B56"/>
    <w:rsid w:val="00BB47E3"/>
    <w:rsid w:val="00BB6138"/>
    <w:rsid w:val="00BC334E"/>
    <w:rsid w:val="00BC41CB"/>
    <w:rsid w:val="00BC4A15"/>
    <w:rsid w:val="00BD0508"/>
    <w:rsid w:val="00BD3A7E"/>
    <w:rsid w:val="00BD58D1"/>
    <w:rsid w:val="00BE250B"/>
    <w:rsid w:val="00BE71C8"/>
    <w:rsid w:val="00BF01F8"/>
    <w:rsid w:val="00BF1203"/>
    <w:rsid w:val="00BF33C9"/>
    <w:rsid w:val="00BF3F31"/>
    <w:rsid w:val="00BF6935"/>
    <w:rsid w:val="00BF787D"/>
    <w:rsid w:val="00C0251E"/>
    <w:rsid w:val="00C02952"/>
    <w:rsid w:val="00C146F6"/>
    <w:rsid w:val="00C1602B"/>
    <w:rsid w:val="00C16077"/>
    <w:rsid w:val="00C27D5B"/>
    <w:rsid w:val="00C34926"/>
    <w:rsid w:val="00C350B3"/>
    <w:rsid w:val="00C37CA5"/>
    <w:rsid w:val="00C461BA"/>
    <w:rsid w:val="00C533F3"/>
    <w:rsid w:val="00C555D3"/>
    <w:rsid w:val="00C616AB"/>
    <w:rsid w:val="00C640AD"/>
    <w:rsid w:val="00C65538"/>
    <w:rsid w:val="00C66B45"/>
    <w:rsid w:val="00C702AE"/>
    <w:rsid w:val="00C71E9D"/>
    <w:rsid w:val="00C72E0D"/>
    <w:rsid w:val="00C7779F"/>
    <w:rsid w:val="00C82EC2"/>
    <w:rsid w:val="00C87B2B"/>
    <w:rsid w:val="00C95A9A"/>
    <w:rsid w:val="00C95C85"/>
    <w:rsid w:val="00CA1D0C"/>
    <w:rsid w:val="00CA5538"/>
    <w:rsid w:val="00CB134A"/>
    <w:rsid w:val="00CB2191"/>
    <w:rsid w:val="00CB480C"/>
    <w:rsid w:val="00CC06BB"/>
    <w:rsid w:val="00CC429B"/>
    <w:rsid w:val="00CC5569"/>
    <w:rsid w:val="00CD05AB"/>
    <w:rsid w:val="00CD0810"/>
    <w:rsid w:val="00CD3B1C"/>
    <w:rsid w:val="00CD5471"/>
    <w:rsid w:val="00CD7D7A"/>
    <w:rsid w:val="00CE09E8"/>
    <w:rsid w:val="00CE14C6"/>
    <w:rsid w:val="00CE41B7"/>
    <w:rsid w:val="00CE4754"/>
    <w:rsid w:val="00CE4B69"/>
    <w:rsid w:val="00CE7AAF"/>
    <w:rsid w:val="00CF2221"/>
    <w:rsid w:val="00CF2645"/>
    <w:rsid w:val="00CF4F6E"/>
    <w:rsid w:val="00CF6C80"/>
    <w:rsid w:val="00CF6DBB"/>
    <w:rsid w:val="00D11499"/>
    <w:rsid w:val="00D15D79"/>
    <w:rsid w:val="00D1616A"/>
    <w:rsid w:val="00D1657B"/>
    <w:rsid w:val="00D20E08"/>
    <w:rsid w:val="00D22DF4"/>
    <w:rsid w:val="00D24A2B"/>
    <w:rsid w:val="00D25D54"/>
    <w:rsid w:val="00D2605A"/>
    <w:rsid w:val="00D31AC6"/>
    <w:rsid w:val="00D33E77"/>
    <w:rsid w:val="00D4007B"/>
    <w:rsid w:val="00D4007D"/>
    <w:rsid w:val="00D42B3D"/>
    <w:rsid w:val="00D42C13"/>
    <w:rsid w:val="00D454F4"/>
    <w:rsid w:val="00D475FB"/>
    <w:rsid w:val="00D501C8"/>
    <w:rsid w:val="00D5065F"/>
    <w:rsid w:val="00D51AF5"/>
    <w:rsid w:val="00D54953"/>
    <w:rsid w:val="00D60D83"/>
    <w:rsid w:val="00D654C3"/>
    <w:rsid w:val="00D74CC4"/>
    <w:rsid w:val="00D777F8"/>
    <w:rsid w:val="00D81E5B"/>
    <w:rsid w:val="00D84C85"/>
    <w:rsid w:val="00D84F86"/>
    <w:rsid w:val="00D87130"/>
    <w:rsid w:val="00D8782D"/>
    <w:rsid w:val="00D9228A"/>
    <w:rsid w:val="00D92E4A"/>
    <w:rsid w:val="00D95B8A"/>
    <w:rsid w:val="00DA6B5C"/>
    <w:rsid w:val="00DB2367"/>
    <w:rsid w:val="00DB77B9"/>
    <w:rsid w:val="00DC1E08"/>
    <w:rsid w:val="00DC2EAA"/>
    <w:rsid w:val="00DD0017"/>
    <w:rsid w:val="00DD04D7"/>
    <w:rsid w:val="00DD32BB"/>
    <w:rsid w:val="00DD466E"/>
    <w:rsid w:val="00DE074D"/>
    <w:rsid w:val="00DE5675"/>
    <w:rsid w:val="00DE61FD"/>
    <w:rsid w:val="00DF096A"/>
    <w:rsid w:val="00DF184D"/>
    <w:rsid w:val="00DF1D48"/>
    <w:rsid w:val="00DF74AC"/>
    <w:rsid w:val="00E0079F"/>
    <w:rsid w:val="00E015DA"/>
    <w:rsid w:val="00E0161A"/>
    <w:rsid w:val="00E05740"/>
    <w:rsid w:val="00E07F8B"/>
    <w:rsid w:val="00E12DC1"/>
    <w:rsid w:val="00E14B5E"/>
    <w:rsid w:val="00E219A2"/>
    <w:rsid w:val="00E219E4"/>
    <w:rsid w:val="00E25F55"/>
    <w:rsid w:val="00E35017"/>
    <w:rsid w:val="00E3535E"/>
    <w:rsid w:val="00E35F48"/>
    <w:rsid w:val="00E45343"/>
    <w:rsid w:val="00E50538"/>
    <w:rsid w:val="00E531AA"/>
    <w:rsid w:val="00E535DA"/>
    <w:rsid w:val="00E56384"/>
    <w:rsid w:val="00E57AD1"/>
    <w:rsid w:val="00E61D32"/>
    <w:rsid w:val="00E66002"/>
    <w:rsid w:val="00E70B4A"/>
    <w:rsid w:val="00E73CF3"/>
    <w:rsid w:val="00E74EC7"/>
    <w:rsid w:val="00E7568E"/>
    <w:rsid w:val="00E829F4"/>
    <w:rsid w:val="00E8539E"/>
    <w:rsid w:val="00E86AE4"/>
    <w:rsid w:val="00E86BF3"/>
    <w:rsid w:val="00E95303"/>
    <w:rsid w:val="00E97868"/>
    <w:rsid w:val="00EA181A"/>
    <w:rsid w:val="00EA2691"/>
    <w:rsid w:val="00EA30B6"/>
    <w:rsid w:val="00EB3898"/>
    <w:rsid w:val="00EB4925"/>
    <w:rsid w:val="00EB53A5"/>
    <w:rsid w:val="00EC6C0F"/>
    <w:rsid w:val="00ED0604"/>
    <w:rsid w:val="00ED58A2"/>
    <w:rsid w:val="00ED6883"/>
    <w:rsid w:val="00EE378D"/>
    <w:rsid w:val="00EE4518"/>
    <w:rsid w:val="00EF06E6"/>
    <w:rsid w:val="00EF12DF"/>
    <w:rsid w:val="00F04944"/>
    <w:rsid w:val="00F07258"/>
    <w:rsid w:val="00F15209"/>
    <w:rsid w:val="00F2033F"/>
    <w:rsid w:val="00F206C3"/>
    <w:rsid w:val="00F23CB3"/>
    <w:rsid w:val="00F24160"/>
    <w:rsid w:val="00F2503F"/>
    <w:rsid w:val="00F32986"/>
    <w:rsid w:val="00F35DF0"/>
    <w:rsid w:val="00F4039B"/>
    <w:rsid w:val="00F504EB"/>
    <w:rsid w:val="00F53CAD"/>
    <w:rsid w:val="00F567D4"/>
    <w:rsid w:val="00F715E4"/>
    <w:rsid w:val="00F76B63"/>
    <w:rsid w:val="00F772B8"/>
    <w:rsid w:val="00F77A03"/>
    <w:rsid w:val="00F77B4D"/>
    <w:rsid w:val="00F87398"/>
    <w:rsid w:val="00F906E8"/>
    <w:rsid w:val="00F91BD4"/>
    <w:rsid w:val="00F933AB"/>
    <w:rsid w:val="00F93785"/>
    <w:rsid w:val="00F957F4"/>
    <w:rsid w:val="00F96CE0"/>
    <w:rsid w:val="00F9743E"/>
    <w:rsid w:val="00F97CBB"/>
    <w:rsid w:val="00F97D54"/>
    <w:rsid w:val="00FA613E"/>
    <w:rsid w:val="00FA678D"/>
    <w:rsid w:val="00FA6C07"/>
    <w:rsid w:val="00FA755D"/>
    <w:rsid w:val="00FB645C"/>
    <w:rsid w:val="00FB77E3"/>
    <w:rsid w:val="00FC00B4"/>
    <w:rsid w:val="00FC709F"/>
    <w:rsid w:val="00FC768D"/>
    <w:rsid w:val="00FD2DF3"/>
    <w:rsid w:val="00FD3CD1"/>
    <w:rsid w:val="00FD7CE1"/>
    <w:rsid w:val="00FE1966"/>
    <w:rsid w:val="00FF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7C7D"/>
  <w15:chartTrackingRefBased/>
  <w15:docId w15:val="{5BD8725A-DEC6-49D1-9521-EA66454E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594"/>
    <w:pPr>
      <w:spacing w:after="0" w:line="240" w:lineRule="auto"/>
    </w:pPr>
    <w:rPr>
      <w:rFonts w:ascii="Times New Roman" w:eastAsia="Times New Roman" w:hAnsi="Times New Roman" w:cs="Times New Roman"/>
      <w:sz w:val="24"/>
      <w:szCs w:val="20"/>
      <w:lang w:val="es-ES_tradnl"/>
    </w:rPr>
  </w:style>
  <w:style w:type="paragraph" w:styleId="Heading5">
    <w:name w:val="heading 5"/>
    <w:aliases w:val="Heading 5.(i)"/>
    <w:basedOn w:val="Normal"/>
    <w:next w:val="Normal"/>
    <w:link w:val="Heading5Char"/>
    <w:unhideWhenUsed/>
    <w:qFormat/>
    <w:rsid w:val="009805AC"/>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9805AC"/>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nhideWhenUsed/>
    <w:qFormat/>
    <w:rsid w:val="009805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805A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9805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9805AC"/>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805AC"/>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805AC"/>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805A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805AC"/>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9805AC"/>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9805AC"/>
    <w:pPr>
      <w:keepNext/>
      <w:numPr>
        <w:numId w:val="1"/>
      </w:numPr>
      <w:tabs>
        <w:tab w:val="left" w:pos="0"/>
        <w:tab w:val="left" w:pos="86"/>
      </w:tabs>
      <w:spacing w:before="120" w:after="120"/>
    </w:pPr>
    <w:rPr>
      <w:b/>
      <w:lang w:val="es-ES"/>
    </w:rPr>
  </w:style>
  <w:style w:type="paragraph" w:customStyle="1" w:styleId="Paragraph">
    <w:name w:val="Paragraph"/>
    <w:aliases w:val="paragraph,p,PARAGRAPH,PG,pa,at"/>
    <w:basedOn w:val="BodyTextIndent"/>
    <w:link w:val="ParagraphChar"/>
    <w:qFormat/>
    <w:rsid w:val="009805AC"/>
    <w:pPr>
      <w:numPr>
        <w:ilvl w:val="1"/>
        <w:numId w:val="2"/>
      </w:numPr>
      <w:spacing w:before="120"/>
      <w:jc w:val="both"/>
      <w:outlineLvl w:val="1"/>
    </w:pPr>
    <w:rPr>
      <w:lang w:val="es-ES"/>
    </w:rPr>
  </w:style>
  <w:style w:type="paragraph" w:customStyle="1" w:styleId="SecHeading">
    <w:name w:val="SecHeading"/>
    <w:basedOn w:val="Normal"/>
    <w:next w:val="Paragraph"/>
    <w:rsid w:val="009805AC"/>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9805AC"/>
    <w:pPr>
      <w:numPr>
        <w:ilvl w:val="2"/>
      </w:numPr>
      <w:tabs>
        <w:tab w:val="clear" w:pos="5976"/>
        <w:tab w:val="num" w:pos="1872"/>
      </w:tabs>
      <w:ind w:left="1872"/>
    </w:pPr>
  </w:style>
  <w:style w:type="paragraph" w:customStyle="1" w:styleId="Subheading2">
    <w:name w:val="Subheading2"/>
    <w:basedOn w:val="SecHeading"/>
    <w:rsid w:val="009805AC"/>
    <w:pPr>
      <w:numPr>
        <w:ilvl w:val="3"/>
      </w:numPr>
      <w:tabs>
        <w:tab w:val="clear" w:pos="6480"/>
        <w:tab w:val="num" w:pos="2376"/>
      </w:tabs>
      <w:ind w:left="2376"/>
    </w:pPr>
  </w:style>
  <w:style w:type="paragraph" w:customStyle="1" w:styleId="subpar">
    <w:name w:val="subpar"/>
    <w:basedOn w:val="BodyTextIndent3"/>
    <w:rsid w:val="009805AC"/>
    <w:pPr>
      <w:numPr>
        <w:ilvl w:val="2"/>
        <w:numId w:val="2"/>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rsid w:val="009805AC"/>
    <w:pPr>
      <w:numPr>
        <w:ilvl w:val="3"/>
      </w:numPr>
      <w:tabs>
        <w:tab w:val="clear" w:pos="2736"/>
        <w:tab w:val="left" w:pos="0"/>
        <w:tab w:val="num" w:pos="360"/>
        <w:tab w:val="num" w:pos="1152"/>
        <w:tab w:val="num" w:pos="1296"/>
      </w:tabs>
      <w:ind w:left="1296"/>
    </w:p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ListParagraphChar"/>
    <w:uiPriority w:val="34"/>
    <w:qFormat/>
    <w:rsid w:val="009805AC"/>
    <w:pPr>
      <w:ind w:left="720"/>
      <w:contextualSpacing/>
    </w:pPr>
  </w:style>
  <w:style w:type="character" w:customStyle="1" w:styleId="ParagraphChar">
    <w:name w:val="Paragraph Char"/>
    <w:link w:val="Paragraph"/>
    <w:locked/>
    <w:rsid w:val="009805AC"/>
    <w:rPr>
      <w:rFonts w:ascii="Times New Roman" w:eastAsia="Times New Roman" w:hAnsi="Times New Roman" w:cs="Times New Roman"/>
      <w:sz w:val="24"/>
      <w:szCs w:val="20"/>
      <w:lang w:val="es-E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9805A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805AC"/>
    <w:pPr>
      <w:spacing w:after="120"/>
      <w:ind w:left="360"/>
    </w:pPr>
  </w:style>
  <w:style w:type="character" w:customStyle="1" w:styleId="BodyTextIndentChar">
    <w:name w:val="Body Text Indent Char"/>
    <w:basedOn w:val="DefaultParagraphFont"/>
    <w:link w:val="BodyTextIndent"/>
    <w:uiPriority w:val="99"/>
    <w:semiHidden/>
    <w:rsid w:val="009805A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80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805AC"/>
    <w:rPr>
      <w:rFonts w:ascii="Times New Roman" w:eastAsia="Times New Roman" w:hAnsi="Times New Roman" w:cs="Times New Roman"/>
      <w:sz w:val="16"/>
      <w:szCs w:val="16"/>
      <w:lang w:val="es-ES_tradnl"/>
    </w:rPr>
  </w:style>
  <w:style w:type="paragraph" w:styleId="BalloonText">
    <w:name w:val="Balloon Text"/>
    <w:basedOn w:val="Normal"/>
    <w:link w:val="BalloonTextChar"/>
    <w:uiPriority w:val="99"/>
    <w:semiHidden/>
    <w:unhideWhenUsed/>
    <w:rsid w:val="00D26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05A"/>
    <w:rPr>
      <w:rFonts w:ascii="Segoe UI" w:eastAsia="Times New Roman" w:hAnsi="Segoe UI" w:cs="Segoe UI"/>
      <w:sz w:val="18"/>
      <w:szCs w:val="18"/>
      <w:lang w:val="es-ES_tradnl"/>
    </w:rPr>
  </w:style>
  <w:style w:type="paragraph" w:styleId="FootnoteText">
    <w:name w:val="footnote text"/>
    <w:aliases w:val="fn,footnote,single space,FOOTNOTES,Footnote Text Char Char,ADB,Footnote Text Char Char Char Char Char Char,Footnote Text1 Char,Footnote Text Char Char Char Char,Fußnotentextr,Char,foottextfra,f,tex,F,texto de nota al pie,FA Fu,ft,Footnote"/>
    <w:basedOn w:val="Normal"/>
    <w:link w:val="FootnoteTextChar"/>
    <w:uiPriority w:val="99"/>
    <w:qFormat/>
    <w:rsid w:val="009F0577"/>
    <w:pPr>
      <w:keepNext/>
      <w:keepLines/>
      <w:spacing w:after="120"/>
      <w:ind w:left="288" w:hanging="288"/>
      <w:jc w:val="both"/>
    </w:pPr>
    <w:rPr>
      <w:spacing w:val="-3"/>
      <w:sz w:val="20"/>
    </w:rPr>
  </w:style>
  <w:style w:type="character" w:customStyle="1" w:styleId="FootnoteTextChar">
    <w:name w:val="Footnote Text Char"/>
    <w:aliases w:val="fn Char,footnote Char,single space Char,FOOTNOTES Char,Footnote Text Char Char Char,ADB Char,Footnote Text Char Char Char Char Char Char Char,Footnote Text1 Char Char,Footnote Text Char Char Char Char Char,Fußnotentextr Char,Char Char"/>
    <w:basedOn w:val="DefaultParagraphFont"/>
    <w:link w:val="FootnoteText"/>
    <w:uiPriority w:val="99"/>
    <w:rsid w:val="009F0577"/>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BVIfnrCarCarCarCarChar"/>
    <w:uiPriority w:val="99"/>
    <w:qFormat/>
    <w:rsid w:val="009F0577"/>
    <w:rPr>
      <w:vertAlign w:val="superscript"/>
    </w:rPr>
  </w:style>
  <w:style w:type="character" w:customStyle="1" w:styleId="normaltextrun">
    <w:name w:val="normaltextrun"/>
    <w:basedOn w:val="DefaultParagraphFont"/>
    <w:rsid w:val="009F0577"/>
  </w:style>
  <w:style w:type="paragraph" w:customStyle="1" w:styleId="BVIfnrCarCarCarCarChar">
    <w:name w:val="BVI fnr Car Car Car Car Char"/>
    <w:aliases w:val="BVI fnr Car,BVI fnr Car Car Car Car Char תו תו Char Char,BVI fnr Car Car תו Char,BVI fnr Car תו Char,BVI fnr תו Char, BVI fnr Car Car Car Car Char"/>
    <w:basedOn w:val="Normal"/>
    <w:link w:val="FootnoteReference"/>
    <w:uiPriority w:val="99"/>
    <w:rsid w:val="009F0577"/>
    <w:pPr>
      <w:spacing w:after="160" w:line="240" w:lineRule="exact"/>
    </w:pPr>
    <w:rPr>
      <w:rFonts w:asciiTheme="minorHAnsi" w:eastAsiaTheme="minorHAnsi" w:hAnsiTheme="minorHAnsi" w:cstheme="minorBidi"/>
      <w:sz w:val="22"/>
      <w:szCs w:val="22"/>
      <w:vertAlign w:val="superscript"/>
      <w:lang w:val="en-US"/>
    </w:rPr>
  </w:style>
  <w:style w:type="character" w:styleId="CommentReference">
    <w:name w:val="annotation reference"/>
    <w:basedOn w:val="DefaultParagraphFont"/>
    <w:uiPriority w:val="99"/>
    <w:semiHidden/>
    <w:unhideWhenUsed/>
    <w:rsid w:val="00297389"/>
    <w:rPr>
      <w:sz w:val="16"/>
      <w:szCs w:val="16"/>
    </w:rPr>
  </w:style>
  <w:style w:type="paragraph" w:styleId="CommentText">
    <w:name w:val="annotation text"/>
    <w:basedOn w:val="Normal"/>
    <w:link w:val="CommentTextChar"/>
    <w:uiPriority w:val="99"/>
    <w:unhideWhenUsed/>
    <w:rsid w:val="00297389"/>
    <w:rPr>
      <w:sz w:val="20"/>
    </w:rPr>
  </w:style>
  <w:style w:type="character" w:customStyle="1" w:styleId="CommentTextChar">
    <w:name w:val="Comment Text Char"/>
    <w:basedOn w:val="DefaultParagraphFont"/>
    <w:link w:val="CommentText"/>
    <w:uiPriority w:val="99"/>
    <w:rsid w:val="0029738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297389"/>
    <w:rPr>
      <w:b/>
      <w:bCs/>
    </w:rPr>
  </w:style>
  <w:style w:type="character" w:customStyle="1" w:styleId="CommentSubjectChar">
    <w:name w:val="Comment Subject Char"/>
    <w:basedOn w:val="CommentTextChar"/>
    <w:link w:val="CommentSubject"/>
    <w:uiPriority w:val="99"/>
    <w:semiHidden/>
    <w:rsid w:val="00297389"/>
    <w:rPr>
      <w:rFonts w:ascii="Times New Roman" w:eastAsia="Times New Roman" w:hAnsi="Times New Roman" w:cs="Times New Roman"/>
      <w:b/>
      <w:bCs/>
      <w:sz w:val="20"/>
      <w:szCs w:val="20"/>
      <w:lang w:val="es-ES_tradnl"/>
    </w:rPr>
  </w:style>
  <w:style w:type="paragraph" w:styleId="Revision">
    <w:name w:val="Revision"/>
    <w:hidden/>
    <w:uiPriority w:val="99"/>
    <w:semiHidden/>
    <w:rsid w:val="00297389"/>
    <w:pPr>
      <w:spacing w:after="0" w:line="240" w:lineRule="auto"/>
    </w:pPr>
    <w:rPr>
      <w:rFonts w:ascii="Times New Roman" w:eastAsia="Times New Roman" w:hAnsi="Times New Roman" w:cs="Times New Roman"/>
      <w:sz w:val="24"/>
      <w:szCs w:val="20"/>
      <w:lang w:val="es-ES_tradnl"/>
    </w:rPr>
  </w:style>
  <w:style w:type="character" w:styleId="Hyperlink">
    <w:name w:val="Hyperlink"/>
    <w:basedOn w:val="DefaultParagraphFont"/>
    <w:uiPriority w:val="99"/>
    <w:semiHidden/>
    <w:unhideWhenUsed/>
    <w:rsid w:val="003C68C6"/>
    <w:rPr>
      <w:color w:val="0000FF"/>
      <w:u w:val="single"/>
    </w:rPr>
  </w:style>
  <w:style w:type="paragraph" w:styleId="TOC1">
    <w:name w:val="toc 1"/>
    <w:basedOn w:val="Normal"/>
    <w:next w:val="Normal"/>
    <w:uiPriority w:val="39"/>
    <w:unhideWhenUsed/>
    <w:rsid w:val="002D7865"/>
    <w:pPr>
      <w:spacing w:before="120" w:after="120" w:line="276" w:lineRule="auto"/>
    </w:pPr>
    <w:rPr>
      <w:rFonts w:asciiTheme="minorHAnsi" w:hAnsiTheme="minorHAnsi"/>
      <w:b/>
      <w:bCs/>
      <w:caps/>
      <w:sz w:val="20"/>
      <w:lang w:val="es-SV"/>
    </w:rPr>
  </w:style>
  <w:style w:type="paragraph" w:customStyle="1" w:styleId="Default">
    <w:name w:val="Default"/>
    <w:rsid w:val="002D78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qFormat/>
    <w:rsid w:val="002D7865"/>
    <w:pPr>
      <w:numPr>
        <w:numId w:val="4"/>
      </w:numPr>
      <w:tabs>
        <w:tab w:val="clear" w:pos="432"/>
      </w:tabs>
      <w:spacing w:before="120" w:after="120"/>
      <w:ind w:left="0" w:firstLine="0"/>
    </w:pPr>
    <w:rPr>
      <w:b/>
      <w:bCs/>
      <w:sz w:val="20"/>
      <w:lang w:val="en-GB"/>
    </w:rPr>
  </w:style>
  <w:style w:type="table" w:styleId="TableGrid">
    <w:name w:val="Table Grid"/>
    <w:basedOn w:val="TableNormal"/>
    <w:uiPriority w:val="39"/>
    <w:rsid w:val="00D8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964"/>
    <w:pPr>
      <w:tabs>
        <w:tab w:val="center" w:pos="4513"/>
        <w:tab w:val="right" w:pos="9026"/>
      </w:tabs>
    </w:pPr>
  </w:style>
  <w:style w:type="character" w:customStyle="1" w:styleId="HeaderChar">
    <w:name w:val="Header Char"/>
    <w:basedOn w:val="DefaultParagraphFont"/>
    <w:link w:val="Header"/>
    <w:uiPriority w:val="99"/>
    <w:rsid w:val="00035964"/>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035964"/>
    <w:pPr>
      <w:tabs>
        <w:tab w:val="center" w:pos="4513"/>
        <w:tab w:val="right" w:pos="9026"/>
      </w:tabs>
    </w:pPr>
  </w:style>
  <w:style w:type="character" w:customStyle="1" w:styleId="FooterChar">
    <w:name w:val="Footer Char"/>
    <w:basedOn w:val="DefaultParagraphFont"/>
    <w:link w:val="Footer"/>
    <w:uiPriority w:val="99"/>
    <w:rsid w:val="00035964"/>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94228">
      <w:bodyDiv w:val="1"/>
      <w:marLeft w:val="0"/>
      <w:marRight w:val="0"/>
      <w:marTop w:val="0"/>
      <w:marBottom w:val="0"/>
      <w:divBdr>
        <w:top w:val="none" w:sz="0" w:space="0" w:color="auto"/>
        <w:left w:val="none" w:sz="0" w:space="0" w:color="auto"/>
        <w:bottom w:val="none" w:sz="0" w:space="0" w:color="auto"/>
        <w:right w:val="none" w:sz="0" w:space="0" w:color="auto"/>
      </w:divBdr>
    </w:div>
    <w:div w:id="292104278">
      <w:bodyDiv w:val="1"/>
      <w:marLeft w:val="0"/>
      <w:marRight w:val="0"/>
      <w:marTop w:val="0"/>
      <w:marBottom w:val="0"/>
      <w:divBdr>
        <w:top w:val="none" w:sz="0" w:space="0" w:color="auto"/>
        <w:left w:val="none" w:sz="0" w:space="0" w:color="auto"/>
        <w:bottom w:val="none" w:sz="0" w:space="0" w:color="auto"/>
        <w:right w:val="none" w:sz="0" w:space="0" w:color="auto"/>
      </w:divBdr>
    </w:div>
    <w:div w:id="371419369">
      <w:bodyDiv w:val="1"/>
      <w:marLeft w:val="0"/>
      <w:marRight w:val="0"/>
      <w:marTop w:val="0"/>
      <w:marBottom w:val="0"/>
      <w:divBdr>
        <w:top w:val="none" w:sz="0" w:space="0" w:color="auto"/>
        <w:left w:val="none" w:sz="0" w:space="0" w:color="auto"/>
        <w:bottom w:val="none" w:sz="0" w:space="0" w:color="auto"/>
        <w:right w:val="none" w:sz="0" w:space="0" w:color="auto"/>
      </w:divBdr>
    </w:div>
    <w:div w:id="442114634">
      <w:bodyDiv w:val="1"/>
      <w:marLeft w:val="0"/>
      <w:marRight w:val="0"/>
      <w:marTop w:val="0"/>
      <w:marBottom w:val="0"/>
      <w:divBdr>
        <w:top w:val="none" w:sz="0" w:space="0" w:color="auto"/>
        <w:left w:val="none" w:sz="0" w:space="0" w:color="auto"/>
        <w:bottom w:val="none" w:sz="0" w:space="0" w:color="auto"/>
        <w:right w:val="none" w:sz="0" w:space="0" w:color="auto"/>
      </w:divBdr>
    </w:div>
    <w:div w:id="529801154">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70849467">
      <w:bodyDiv w:val="1"/>
      <w:marLeft w:val="0"/>
      <w:marRight w:val="0"/>
      <w:marTop w:val="0"/>
      <w:marBottom w:val="0"/>
      <w:divBdr>
        <w:top w:val="none" w:sz="0" w:space="0" w:color="auto"/>
        <w:left w:val="none" w:sz="0" w:space="0" w:color="auto"/>
        <w:bottom w:val="none" w:sz="0" w:space="0" w:color="auto"/>
        <w:right w:val="none" w:sz="0" w:space="0" w:color="auto"/>
      </w:divBdr>
    </w:div>
    <w:div w:id="622425923">
      <w:bodyDiv w:val="1"/>
      <w:marLeft w:val="0"/>
      <w:marRight w:val="0"/>
      <w:marTop w:val="0"/>
      <w:marBottom w:val="0"/>
      <w:divBdr>
        <w:top w:val="none" w:sz="0" w:space="0" w:color="auto"/>
        <w:left w:val="none" w:sz="0" w:space="0" w:color="auto"/>
        <w:bottom w:val="none" w:sz="0" w:space="0" w:color="auto"/>
        <w:right w:val="none" w:sz="0" w:space="0" w:color="auto"/>
      </w:divBdr>
      <w:divsChild>
        <w:div w:id="474102895">
          <w:marLeft w:val="0"/>
          <w:marRight w:val="0"/>
          <w:marTop w:val="0"/>
          <w:marBottom w:val="0"/>
          <w:divBdr>
            <w:top w:val="none" w:sz="0" w:space="0" w:color="auto"/>
            <w:left w:val="none" w:sz="0" w:space="0" w:color="auto"/>
            <w:bottom w:val="none" w:sz="0" w:space="0" w:color="auto"/>
            <w:right w:val="none" w:sz="0" w:space="0" w:color="auto"/>
          </w:divBdr>
        </w:div>
      </w:divsChild>
    </w:div>
    <w:div w:id="723024419">
      <w:bodyDiv w:val="1"/>
      <w:marLeft w:val="0"/>
      <w:marRight w:val="0"/>
      <w:marTop w:val="0"/>
      <w:marBottom w:val="0"/>
      <w:divBdr>
        <w:top w:val="none" w:sz="0" w:space="0" w:color="auto"/>
        <w:left w:val="none" w:sz="0" w:space="0" w:color="auto"/>
        <w:bottom w:val="none" w:sz="0" w:space="0" w:color="auto"/>
        <w:right w:val="none" w:sz="0" w:space="0" w:color="auto"/>
      </w:divBdr>
    </w:div>
    <w:div w:id="778529205">
      <w:bodyDiv w:val="1"/>
      <w:marLeft w:val="0"/>
      <w:marRight w:val="0"/>
      <w:marTop w:val="0"/>
      <w:marBottom w:val="0"/>
      <w:divBdr>
        <w:top w:val="none" w:sz="0" w:space="0" w:color="auto"/>
        <w:left w:val="none" w:sz="0" w:space="0" w:color="auto"/>
        <w:bottom w:val="none" w:sz="0" w:space="0" w:color="auto"/>
        <w:right w:val="none" w:sz="0" w:space="0" w:color="auto"/>
      </w:divBdr>
    </w:div>
    <w:div w:id="969088796">
      <w:bodyDiv w:val="1"/>
      <w:marLeft w:val="0"/>
      <w:marRight w:val="0"/>
      <w:marTop w:val="0"/>
      <w:marBottom w:val="0"/>
      <w:divBdr>
        <w:top w:val="none" w:sz="0" w:space="0" w:color="auto"/>
        <w:left w:val="none" w:sz="0" w:space="0" w:color="auto"/>
        <w:bottom w:val="none" w:sz="0" w:space="0" w:color="auto"/>
        <w:right w:val="none" w:sz="0" w:space="0" w:color="auto"/>
      </w:divBdr>
    </w:div>
    <w:div w:id="1202789160">
      <w:bodyDiv w:val="1"/>
      <w:marLeft w:val="0"/>
      <w:marRight w:val="0"/>
      <w:marTop w:val="0"/>
      <w:marBottom w:val="0"/>
      <w:divBdr>
        <w:top w:val="none" w:sz="0" w:space="0" w:color="auto"/>
        <w:left w:val="none" w:sz="0" w:space="0" w:color="auto"/>
        <w:bottom w:val="none" w:sz="0" w:space="0" w:color="auto"/>
        <w:right w:val="none" w:sz="0" w:space="0" w:color="auto"/>
      </w:divBdr>
    </w:div>
    <w:div w:id="1241062562">
      <w:bodyDiv w:val="1"/>
      <w:marLeft w:val="0"/>
      <w:marRight w:val="0"/>
      <w:marTop w:val="0"/>
      <w:marBottom w:val="0"/>
      <w:divBdr>
        <w:top w:val="none" w:sz="0" w:space="0" w:color="auto"/>
        <w:left w:val="none" w:sz="0" w:space="0" w:color="auto"/>
        <w:bottom w:val="none" w:sz="0" w:space="0" w:color="auto"/>
        <w:right w:val="none" w:sz="0" w:space="0" w:color="auto"/>
      </w:divBdr>
    </w:div>
    <w:div w:id="1242904875">
      <w:bodyDiv w:val="1"/>
      <w:marLeft w:val="0"/>
      <w:marRight w:val="0"/>
      <w:marTop w:val="0"/>
      <w:marBottom w:val="0"/>
      <w:divBdr>
        <w:top w:val="none" w:sz="0" w:space="0" w:color="auto"/>
        <w:left w:val="none" w:sz="0" w:space="0" w:color="auto"/>
        <w:bottom w:val="none" w:sz="0" w:space="0" w:color="auto"/>
        <w:right w:val="none" w:sz="0" w:space="0" w:color="auto"/>
      </w:divBdr>
    </w:div>
    <w:div w:id="1262687888">
      <w:bodyDiv w:val="1"/>
      <w:marLeft w:val="0"/>
      <w:marRight w:val="0"/>
      <w:marTop w:val="0"/>
      <w:marBottom w:val="0"/>
      <w:divBdr>
        <w:top w:val="none" w:sz="0" w:space="0" w:color="auto"/>
        <w:left w:val="none" w:sz="0" w:space="0" w:color="auto"/>
        <w:bottom w:val="none" w:sz="0" w:space="0" w:color="auto"/>
        <w:right w:val="none" w:sz="0" w:space="0" w:color="auto"/>
      </w:divBdr>
    </w:div>
    <w:div w:id="1513957707">
      <w:bodyDiv w:val="1"/>
      <w:marLeft w:val="0"/>
      <w:marRight w:val="0"/>
      <w:marTop w:val="0"/>
      <w:marBottom w:val="0"/>
      <w:divBdr>
        <w:top w:val="none" w:sz="0" w:space="0" w:color="auto"/>
        <w:left w:val="none" w:sz="0" w:space="0" w:color="auto"/>
        <w:bottom w:val="none" w:sz="0" w:space="0" w:color="auto"/>
        <w:right w:val="none" w:sz="0" w:space="0" w:color="auto"/>
      </w:divBdr>
    </w:div>
    <w:div w:id="1530333535">
      <w:bodyDiv w:val="1"/>
      <w:marLeft w:val="0"/>
      <w:marRight w:val="0"/>
      <w:marTop w:val="0"/>
      <w:marBottom w:val="0"/>
      <w:divBdr>
        <w:top w:val="none" w:sz="0" w:space="0" w:color="auto"/>
        <w:left w:val="none" w:sz="0" w:space="0" w:color="auto"/>
        <w:bottom w:val="none" w:sz="0" w:space="0" w:color="auto"/>
        <w:right w:val="none" w:sz="0" w:space="0" w:color="auto"/>
      </w:divBdr>
    </w:div>
    <w:div w:id="1588155907">
      <w:bodyDiv w:val="1"/>
      <w:marLeft w:val="0"/>
      <w:marRight w:val="0"/>
      <w:marTop w:val="0"/>
      <w:marBottom w:val="0"/>
      <w:divBdr>
        <w:top w:val="none" w:sz="0" w:space="0" w:color="auto"/>
        <w:left w:val="none" w:sz="0" w:space="0" w:color="auto"/>
        <w:bottom w:val="none" w:sz="0" w:space="0" w:color="auto"/>
        <w:right w:val="none" w:sz="0" w:space="0" w:color="auto"/>
      </w:divBdr>
    </w:div>
    <w:div w:id="1596596995">
      <w:bodyDiv w:val="1"/>
      <w:marLeft w:val="0"/>
      <w:marRight w:val="0"/>
      <w:marTop w:val="0"/>
      <w:marBottom w:val="0"/>
      <w:divBdr>
        <w:top w:val="none" w:sz="0" w:space="0" w:color="auto"/>
        <w:left w:val="none" w:sz="0" w:space="0" w:color="auto"/>
        <w:bottom w:val="none" w:sz="0" w:space="0" w:color="auto"/>
        <w:right w:val="none" w:sz="0" w:space="0" w:color="auto"/>
      </w:divBdr>
    </w:div>
    <w:div w:id="1724910249">
      <w:bodyDiv w:val="1"/>
      <w:marLeft w:val="0"/>
      <w:marRight w:val="0"/>
      <w:marTop w:val="0"/>
      <w:marBottom w:val="0"/>
      <w:divBdr>
        <w:top w:val="none" w:sz="0" w:space="0" w:color="auto"/>
        <w:left w:val="none" w:sz="0" w:space="0" w:color="auto"/>
        <w:bottom w:val="none" w:sz="0" w:space="0" w:color="auto"/>
        <w:right w:val="none" w:sz="0" w:space="0" w:color="auto"/>
      </w:divBdr>
    </w:div>
    <w:div w:id="1767069567">
      <w:bodyDiv w:val="1"/>
      <w:marLeft w:val="0"/>
      <w:marRight w:val="0"/>
      <w:marTop w:val="0"/>
      <w:marBottom w:val="0"/>
      <w:divBdr>
        <w:top w:val="none" w:sz="0" w:space="0" w:color="auto"/>
        <w:left w:val="none" w:sz="0" w:space="0" w:color="auto"/>
        <w:bottom w:val="none" w:sz="0" w:space="0" w:color="auto"/>
        <w:right w:val="none" w:sz="0" w:space="0" w:color="auto"/>
      </w:divBdr>
    </w:div>
    <w:div w:id="1777478827">
      <w:bodyDiv w:val="1"/>
      <w:marLeft w:val="0"/>
      <w:marRight w:val="0"/>
      <w:marTop w:val="0"/>
      <w:marBottom w:val="0"/>
      <w:divBdr>
        <w:top w:val="none" w:sz="0" w:space="0" w:color="auto"/>
        <w:left w:val="none" w:sz="0" w:space="0" w:color="auto"/>
        <w:bottom w:val="none" w:sz="0" w:space="0" w:color="auto"/>
        <w:right w:val="none" w:sz="0" w:space="0" w:color="auto"/>
      </w:divBdr>
    </w:div>
    <w:div w:id="19196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5057/OC-AR;</Approval_x0020_Number>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83</Value>
      <Value>82</Value>
      <Value>439</Value>
      <Value>328</Value>
      <Value>122</Value>
      <Value>1</Value>
    </TaxCatchAll>
    <Operation_x0020_Type xmlns="cdc7663a-08f0-4737-9e8c-148ce897a09c" xsi:nil="tru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EZSHARE-1677352023-11</_dlc_DocId>
    <_dlc_DocIdUrl xmlns="cdc7663a-08f0-4737-9e8c-148ce897a09c">
      <Url>https://idbg.sharepoint.com/teams/EZ-AR-LON/AR-L1328/_layouts/15/DocIdRedir.aspx?ID=EZSHARE-1677352023-11</Url>
      <Description>EZSHARE-1677352023-11</Description>
    </_dlc_DocIdUrl>
    <Disclosure_x0020_Activity xmlns="cdc7663a-08f0-4737-9e8c-148ce897a09c">Electronic Links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8C652C-1DA4-4A7C-A873-67E6A5F8D526}"/>
</file>

<file path=customXml/itemProps2.xml><?xml version="1.0" encoding="utf-8"?>
<ds:datastoreItem xmlns:ds="http://schemas.openxmlformats.org/officeDocument/2006/customXml" ds:itemID="{316C1F43-C9F2-4596-B46F-252BDA211DD3}">
  <ds:schemaRefs>
    <ds:schemaRef ds:uri="http://schemas.microsoft.com/sharepoint/v3/contenttype/forms"/>
  </ds:schemaRefs>
</ds:datastoreItem>
</file>

<file path=customXml/itemProps3.xml><?xml version="1.0" encoding="utf-8"?>
<ds:datastoreItem xmlns:ds="http://schemas.openxmlformats.org/officeDocument/2006/customXml" ds:itemID="{3A6544A2-D80C-43C6-86AD-A54CC1C1E8B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417104C-D95F-4FDD-AE66-18F6D7E71298}">
  <ds:schemaRefs>
    <ds:schemaRef ds:uri="http://schemas.microsoft.com/sharepoint/events"/>
  </ds:schemaRefs>
</ds:datastoreItem>
</file>

<file path=customXml/itemProps5.xml><?xml version="1.0" encoding="utf-8"?>
<ds:datastoreItem xmlns:ds="http://schemas.openxmlformats.org/officeDocument/2006/customXml" ds:itemID="{A17BDB6D-CE0F-4646-899C-BCFF9D01633D}"/>
</file>

<file path=customXml/itemProps6.xml><?xml version="1.0" encoding="utf-8"?>
<ds:datastoreItem xmlns:ds="http://schemas.openxmlformats.org/officeDocument/2006/customXml" ds:itemID="{C45E199F-11D0-420D-AAC0-F53AFD6BC412}">
  <ds:schemaRefs>
    <ds:schemaRef ds:uri="http://schemas.openxmlformats.org/officeDocument/2006/bibliography"/>
  </ds:schemaRefs>
</ds:datastoreItem>
</file>

<file path=customXml/itemProps7.xml><?xml version="1.0" encoding="utf-8"?>
<ds:datastoreItem xmlns:ds="http://schemas.openxmlformats.org/officeDocument/2006/customXml" ds:itemID="{DCF7CDEA-2A89-4ED3-AB01-8B7078154691}"/>
</file>

<file path=docProps/app.xml><?xml version="1.0" encoding="utf-8"?>
<Properties xmlns="http://schemas.openxmlformats.org/officeDocument/2006/extended-properties" xmlns:vt="http://schemas.openxmlformats.org/officeDocument/2006/docPropsVTypes">
  <Template>Normal</Template>
  <TotalTime>17</TotalTime>
  <Pages>8</Pages>
  <Words>2370</Words>
  <Characters>13512</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Romero Reyes, Bessy Lorena</dc:creator>
  <cp:keywords>Para DIR</cp:keywords>
  <dc:description/>
  <cp:lastModifiedBy>Lozano Miranda, Ana Lucia</cp:lastModifiedBy>
  <cp:revision>10</cp:revision>
  <dcterms:created xsi:type="dcterms:W3CDTF">2020-06-12T13:47:00Z</dcterms:created>
  <dcterms:modified xsi:type="dcterms:W3CDTF">2020-06-12T14:23:00Z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439;#Para DIR|7b047d7e-33c0-4de8-be6b-a35c7df914f1</vt:lpwstr>
  </property>
  <property fmtid="{D5CDD505-2E9C-101B-9397-08002B2CF9AE}" pid="3" name="TaxKeywordTaxHTField">
    <vt:lpwstr>Para DIR|7b047d7e-33c0-4de8-be6b-a35c7df914f1</vt:lpwstr>
  </property>
  <property fmtid="{D5CDD505-2E9C-101B-9397-08002B2CF9AE}" pid="4" name="Series Operations IDB">
    <vt:lpwstr/>
  </property>
  <property fmtid="{D5CDD505-2E9C-101B-9397-08002B2CF9AE}" pid="5" name="Sub-Sector">
    <vt:lpwstr>83;#HEALTH SERVICES|954571c6-7732-4e5c-9c2e-8e1b5204c894</vt:lpwstr>
  </property>
  <property fmtid="{D5CDD505-2E9C-101B-9397-08002B2CF9AE}" pid="6" name="Country">
    <vt:lpwstr>122;#Honduras|0dd9f989-602d-4742-8212-5c1b8b0b74d5</vt:lpwstr>
  </property>
  <property fmtid="{D5CDD505-2E9C-101B-9397-08002B2CF9AE}" pid="7" name="_dlc_DocIdItemGuid">
    <vt:lpwstr>c957fc97-bb78-492e-bdbb-c760bbef9380</vt:lpwstr>
  </property>
  <property fmtid="{D5CDD505-2E9C-101B-9397-08002B2CF9AE}" pid="8" name="Fund IDB">
    <vt:lpwstr>328;#BLD|60acb4c1-0ef3-40ba-9d70-f741cd9e6c23</vt:lpwstr>
  </property>
  <property fmtid="{D5CDD505-2E9C-101B-9397-08002B2CF9AE}" pid="9" name="Sector IDB">
    <vt:lpwstr>82;#HEALTH|e15154b4-8fa2-4f19-a924-5a9b44dc8218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7" name="Disclosed">
    <vt:bool>false</vt:bool>
  </property>
  <property fmtid="{D5CDD505-2E9C-101B-9397-08002B2CF9AE}" pid="18" name="ContentTypeId">
    <vt:lpwstr>0x0101001A458A224826124E8B45B1D613300CFC00F125A14E68A27241B19559FFBEBC8CBF</vt:lpwstr>
  </property>
</Properties>
</file>