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0A2D10" w14:textId="77777777" w:rsidR="007116B2" w:rsidRPr="001F731F" w:rsidRDefault="007116B2" w:rsidP="007116B2">
      <w:pPr>
        <w:pStyle w:val="SubSubPar"/>
        <w:numPr>
          <w:ilvl w:val="0"/>
          <w:numId w:val="0"/>
        </w:numPr>
        <w:spacing w:after="0"/>
        <w:jc w:val="center"/>
        <w:rPr>
          <w:rFonts w:ascii="Arial" w:hAnsi="Arial" w:cs="Arial"/>
          <w:smallCaps/>
          <w:sz w:val="22"/>
          <w:szCs w:val="22"/>
          <w:lang w:val="es-ES_tradnl"/>
        </w:rPr>
      </w:pPr>
      <w:bookmarkStart w:id="0" w:name="_Toc388249744"/>
      <w:bookmarkStart w:id="1" w:name="_Hlk36292361"/>
      <w:r w:rsidRPr="001F731F">
        <w:rPr>
          <w:rFonts w:ascii="Arial" w:hAnsi="Arial" w:cs="Arial"/>
          <w:smallCaps/>
          <w:sz w:val="22"/>
          <w:szCs w:val="22"/>
          <w:lang w:val="es-ES_tradnl"/>
        </w:rPr>
        <w:t>Documento del Banco Interamericano De Desarrollo</w:t>
      </w:r>
      <w:bookmarkEnd w:id="0"/>
    </w:p>
    <w:p w14:paraId="716F8AF0" w14:textId="77777777" w:rsidR="007116B2" w:rsidRPr="001F731F" w:rsidRDefault="007116B2" w:rsidP="007116B2">
      <w:pPr>
        <w:spacing w:before="120" w:after="120" w:line="240" w:lineRule="auto"/>
        <w:jc w:val="center"/>
        <w:rPr>
          <w:rFonts w:ascii="Arial" w:hAnsi="Arial" w:cs="Arial"/>
          <w:lang w:val="es-ES_tradnl"/>
        </w:rPr>
      </w:pPr>
    </w:p>
    <w:p w14:paraId="5F320801" w14:textId="77777777" w:rsidR="007116B2" w:rsidRPr="001F731F" w:rsidRDefault="007116B2" w:rsidP="007116B2">
      <w:pPr>
        <w:spacing w:before="120" w:after="120" w:line="240" w:lineRule="auto"/>
        <w:jc w:val="center"/>
        <w:rPr>
          <w:rFonts w:ascii="Arial" w:hAnsi="Arial" w:cs="Arial"/>
          <w:lang w:val="es-ES_tradnl"/>
        </w:rPr>
      </w:pPr>
    </w:p>
    <w:p w14:paraId="1D6A0115" w14:textId="77777777" w:rsidR="007116B2" w:rsidRPr="001F731F" w:rsidRDefault="007116B2" w:rsidP="007116B2">
      <w:pPr>
        <w:spacing w:before="120" w:after="120" w:line="240" w:lineRule="auto"/>
        <w:jc w:val="center"/>
        <w:rPr>
          <w:rFonts w:ascii="Arial" w:hAnsi="Arial" w:cs="Arial"/>
          <w:lang w:val="es-ES_tradnl"/>
        </w:rPr>
      </w:pPr>
    </w:p>
    <w:p w14:paraId="06B839A1" w14:textId="77777777" w:rsidR="007116B2" w:rsidRPr="001F731F" w:rsidRDefault="007116B2" w:rsidP="007116B2">
      <w:pPr>
        <w:spacing w:before="120" w:after="120" w:line="240" w:lineRule="auto"/>
        <w:jc w:val="center"/>
        <w:rPr>
          <w:rFonts w:ascii="Arial" w:hAnsi="Arial" w:cs="Arial"/>
          <w:lang w:val="es-ES_tradnl"/>
        </w:rPr>
      </w:pPr>
    </w:p>
    <w:p w14:paraId="64879566" w14:textId="3017F020" w:rsidR="007116B2" w:rsidRPr="001F731F" w:rsidRDefault="005B47D5" w:rsidP="007116B2">
      <w:pPr>
        <w:tabs>
          <w:tab w:val="left" w:pos="1440"/>
          <w:tab w:val="left" w:pos="3060"/>
        </w:tabs>
        <w:jc w:val="center"/>
        <w:rPr>
          <w:rFonts w:ascii="Arial" w:hAnsi="Arial" w:cs="Arial"/>
          <w:b/>
          <w:smallCaps/>
          <w:sz w:val="28"/>
          <w:szCs w:val="28"/>
          <w:lang w:val="es-ES_tradnl"/>
        </w:rPr>
      </w:pPr>
      <w:r>
        <w:rPr>
          <w:rFonts w:ascii="Arial" w:hAnsi="Arial" w:cs="Arial"/>
          <w:b/>
          <w:smallCaps/>
          <w:sz w:val="28"/>
          <w:szCs w:val="28"/>
          <w:lang w:val="es-ES_tradnl"/>
        </w:rPr>
        <w:t>Argentina</w:t>
      </w:r>
    </w:p>
    <w:p w14:paraId="407B67EF" w14:textId="77777777" w:rsidR="007116B2" w:rsidRPr="001F731F" w:rsidRDefault="007116B2" w:rsidP="007116B2">
      <w:pPr>
        <w:tabs>
          <w:tab w:val="left" w:pos="1440"/>
          <w:tab w:val="left" w:pos="3060"/>
        </w:tabs>
        <w:jc w:val="center"/>
        <w:rPr>
          <w:rFonts w:ascii="Arial" w:hAnsi="Arial" w:cs="Arial"/>
          <w:smallCaps/>
          <w:lang w:val="es-ES_tradnl"/>
        </w:rPr>
      </w:pPr>
    </w:p>
    <w:p w14:paraId="594F1BA8" w14:textId="77777777" w:rsidR="007116B2" w:rsidRPr="001F731F" w:rsidRDefault="007116B2" w:rsidP="007116B2">
      <w:pPr>
        <w:tabs>
          <w:tab w:val="left" w:pos="1440"/>
          <w:tab w:val="left" w:pos="3060"/>
        </w:tabs>
        <w:jc w:val="center"/>
        <w:rPr>
          <w:rFonts w:ascii="Arial" w:hAnsi="Arial" w:cs="Arial"/>
          <w:smallCaps/>
          <w:lang w:val="es-ES_tradnl"/>
        </w:rPr>
      </w:pPr>
    </w:p>
    <w:p w14:paraId="4AE4E215" w14:textId="77777777" w:rsidR="007116B2" w:rsidRPr="001F731F" w:rsidRDefault="007116B2" w:rsidP="007116B2">
      <w:pPr>
        <w:tabs>
          <w:tab w:val="left" w:pos="1440"/>
          <w:tab w:val="left" w:pos="3060"/>
        </w:tabs>
        <w:jc w:val="center"/>
        <w:rPr>
          <w:rFonts w:ascii="Arial" w:hAnsi="Arial" w:cs="Arial"/>
          <w:smallCaps/>
          <w:lang w:val="es-ES_tradnl"/>
        </w:rPr>
      </w:pPr>
    </w:p>
    <w:p w14:paraId="49C2289A" w14:textId="77777777" w:rsidR="007116B2" w:rsidRPr="001F731F" w:rsidRDefault="007116B2" w:rsidP="007116B2">
      <w:pPr>
        <w:tabs>
          <w:tab w:val="left" w:pos="1440"/>
          <w:tab w:val="left" w:pos="3060"/>
        </w:tabs>
        <w:jc w:val="center"/>
        <w:rPr>
          <w:rFonts w:ascii="Arial" w:hAnsi="Arial" w:cs="Arial"/>
          <w:smallCaps/>
          <w:lang w:val="es-ES_tradnl"/>
        </w:rPr>
      </w:pPr>
    </w:p>
    <w:p w14:paraId="389C8824" w14:textId="77777777" w:rsidR="007116B2" w:rsidRPr="001F731F" w:rsidRDefault="007116B2" w:rsidP="007116B2">
      <w:pPr>
        <w:tabs>
          <w:tab w:val="left" w:pos="1440"/>
          <w:tab w:val="left" w:pos="3060"/>
        </w:tabs>
        <w:jc w:val="center"/>
        <w:rPr>
          <w:rFonts w:ascii="Arial" w:hAnsi="Arial" w:cs="Arial"/>
          <w:smallCaps/>
          <w:lang w:val="es-ES_tradnl"/>
        </w:rPr>
      </w:pPr>
    </w:p>
    <w:p w14:paraId="681FB201" w14:textId="77777777" w:rsidR="007116B2" w:rsidRPr="001F731F" w:rsidRDefault="007116B2" w:rsidP="007116B2">
      <w:pPr>
        <w:tabs>
          <w:tab w:val="left" w:pos="1440"/>
          <w:tab w:val="left" w:pos="3060"/>
        </w:tabs>
        <w:jc w:val="center"/>
        <w:rPr>
          <w:rFonts w:ascii="Arial" w:hAnsi="Arial" w:cs="Arial"/>
          <w:smallCaps/>
          <w:lang w:val="es-ES_tradnl"/>
        </w:rPr>
      </w:pPr>
    </w:p>
    <w:p w14:paraId="22FCC3E8" w14:textId="7F06A61D" w:rsidR="007116B2" w:rsidRPr="001F731F" w:rsidRDefault="007116B2" w:rsidP="007116B2">
      <w:pPr>
        <w:pStyle w:val="Newpage"/>
        <w:rPr>
          <w:rFonts w:ascii="Arial" w:hAnsi="Arial" w:cs="Arial"/>
          <w:sz w:val="28"/>
          <w:szCs w:val="28"/>
          <w:lang w:val="es-ES_tradnl"/>
        </w:rPr>
      </w:pPr>
      <w:r w:rsidRPr="001F731F">
        <w:rPr>
          <w:rFonts w:ascii="Arial" w:hAnsi="Arial" w:cs="Arial"/>
          <w:sz w:val="28"/>
          <w:szCs w:val="28"/>
          <w:lang w:val="es-ES_tradnl"/>
        </w:rPr>
        <w:t xml:space="preserve">Programa </w:t>
      </w:r>
      <w:r w:rsidR="00C52729">
        <w:rPr>
          <w:rFonts w:ascii="Arial" w:hAnsi="Arial" w:cs="Arial"/>
          <w:sz w:val="28"/>
          <w:szCs w:val="28"/>
          <w:lang w:val="es-ES_tradnl"/>
        </w:rPr>
        <w:t xml:space="preserve">Global de Crédito para la </w:t>
      </w:r>
      <w:r w:rsidR="00925BF6" w:rsidRPr="00925BF6">
        <w:rPr>
          <w:rFonts w:ascii="Arial" w:hAnsi="Arial" w:cs="Arial"/>
          <w:sz w:val="28"/>
          <w:szCs w:val="28"/>
          <w:lang w:val="es-ES_tradnl"/>
        </w:rPr>
        <w:t>reactivación Sector Productivo</w:t>
      </w:r>
    </w:p>
    <w:p w14:paraId="55F45234" w14:textId="77777777" w:rsidR="007116B2" w:rsidRPr="001F731F" w:rsidRDefault="007116B2" w:rsidP="007116B2">
      <w:pPr>
        <w:pStyle w:val="Newpage"/>
        <w:rPr>
          <w:rFonts w:ascii="Arial" w:hAnsi="Arial" w:cs="Arial"/>
          <w:b w:val="0"/>
          <w:caps/>
          <w:smallCaps w:val="0"/>
          <w:sz w:val="22"/>
          <w:szCs w:val="22"/>
          <w:lang w:val="es-ES_tradnl"/>
        </w:rPr>
      </w:pPr>
    </w:p>
    <w:p w14:paraId="19027434" w14:textId="77777777" w:rsidR="007116B2" w:rsidRPr="001F731F" w:rsidRDefault="007116B2" w:rsidP="007116B2">
      <w:pPr>
        <w:pStyle w:val="Newpage"/>
        <w:rPr>
          <w:rFonts w:ascii="Arial" w:hAnsi="Arial" w:cs="Arial"/>
          <w:b w:val="0"/>
          <w:caps/>
          <w:smallCaps w:val="0"/>
          <w:sz w:val="22"/>
          <w:szCs w:val="22"/>
          <w:lang w:val="es-ES_tradnl"/>
        </w:rPr>
      </w:pPr>
    </w:p>
    <w:p w14:paraId="0E30A42B" w14:textId="1FC85B5A" w:rsidR="007116B2" w:rsidRPr="001F731F" w:rsidRDefault="007116B2" w:rsidP="007116B2">
      <w:pPr>
        <w:tabs>
          <w:tab w:val="left" w:pos="1440"/>
          <w:tab w:val="left" w:pos="3060"/>
        </w:tabs>
        <w:jc w:val="center"/>
        <w:rPr>
          <w:rFonts w:ascii="Arial" w:hAnsi="Arial" w:cs="Arial"/>
          <w:b/>
          <w:smallCaps/>
          <w:lang w:val="es-ES_tradnl"/>
        </w:rPr>
      </w:pPr>
      <w:r w:rsidRPr="001F731F">
        <w:rPr>
          <w:rFonts w:ascii="Arial" w:hAnsi="Arial" w:cs="Arial"/>
          <w:b/>
          <w:smallCaps/>
          <w:lang w:val="es-ES_tradnl"/>
        </w:rPr>
        <w:t>(</w:t>
      </w:r>
      <w:r w:rsidR="005B47D5">
        <w:rPr>
          <w:rFonts w:ascii="Arial" w:hAnsi="Arial" w:cs="Arial"/>
          <w:b/>
          <w:smallCaps/>
          <w:lang w:val="es-ES_tradnl"/>
        </w:rPr>
        <w:t>AR-L1328</w:t>
      </w:r>
      <w:r w:rsidRPr="001F731F">
        <w:rPr>
          <w:rFonts w:ascii="Arial" w:hAnsi="Arial" w:cs="Arial"/>
          <w:b/>
          <w:smallCaps/>
          <w:lang w:val="es-ES_tradnl"/>
        </w:rPr>
        <w:t>)</w:t>
      </w:r>
    </w:p>
    <w:p w14:paraId="7B16BEB7" w14:textId="77777777" w:rsidR="007116B2" w:rsidRPr="001F731F" w:rsidRDefault="007116B2" w:rsidP="007116B2">
      <w:pPr>
        <w:jc w:val="center"/>
        <w:outlineLvl w:val="0"/>
        <w:rPr>
          <w:rFonts w:ascii="Arial" w:hAnsi="Arial" w:cs="Arial"/>
          <w:b/>
          <w:bCs/>
          <w:smallCaps/>
          <w:sz w:val="24"/>
          <w:szCs w:val="24"/>
          <w:lang w:val="es-ES_tradnl"/>
        </w:rPr>
      </w:pPr>
    </w:p>
    <w:p w14:paraId="329F5C0E" w14:textId="77777777" w:rsidR="007116B2" w:rsidRPr="001F731F" w:rsidRDefault="007116B2" w:rsidP="007116B2">
      <w:pPr>
        <w:tabs>
          <w:tab w:val="left" w:pos="1440"/>
          <w:tab w:val="left" w:pos="3060"/>
        </w:tabs>
        <w:jc w:val="center"/>
        <w:outlineLvl w:val="0"/>
        <w:rPr>
          <w:rFonts w:ascii="Arial" w:hAnsi="Arial" w:cs="Arial"/>
          <w:b/>
          <w:smallCaps/>
          <w:sz w:val="24"/>
          <w:lang w:val="es-ES_tradnl"/>
        </w:rPr>
      </w:pPr>
    </w:p>
    <w:p w14:paraId="269B5C61" w14:textId="77777777" w:rsidR="007116B2" w:rsidRPr="001F731F" w:rsidRDefault="007116B2" w:rsidP="007116B2">
      <w:pPr>
        <w:tabs>
          <w:tab w:val="left" w:pos="1440"/>
          <w:tab w:val="left" w:pos="3060"/>
        </w:tabs>
        <w:jc w:val="center"/>
        <w:outlineLvl w:val="0"/>
        <w:rPr>
          <w:rFonts w:ascii="Arial" w:hAnsi="Arial" w:cs="Arial"/>
          <w:b/>
          <w:smallCaps/>
          <w:sz w:val="24"/>
          <w:lang w:val="es-ES_tradnl"/>
        </w:rPr>
      </w:pPr>
      <w:r w:rsidRPr="001F731F">
        <w:rPr>
          <w:rFonts w:ascii="Arial" w:hAnsi="Arial" w:cs="Arial"/>
          <w:b/>
          <w:smallCaps/>
          <w:sz w:val="24"/>
          <w:lang w:val="es-ES_tradnl"/>
        </w:rPr>
        <w:t>Plan de Monitoreo y Evaluación</w:t>
      </w:r>
    </w:p>
    <w:p w14:paraId="3133C02B" w14:textId="77777777" w:rsidR="007116B2" w:rsidRPr="001F731F" w:rsidRDefault="007116B2" w:rsidP="007116B2">
      <w:pPr>
        <w:spacing w:after="100" w:afterAutospacing="1" w:line="240" w:lineRule="auto"/>
        <w:jc w:val="center"/>
        <w:rPr>
          <w:rFonts w:ascii="Arial" w:hAnsi="Arial" w:cs="Arial"/>
          <w:b/>
          <w:lang w:val="es-ES_tradnl"/>
        </w:rPr>
      </w:pPr>
    </w:p>
    <w:p w14:paraId="295FFDAD" w14:textId="77777777" w:rsidR="007116B2" w:rsidRPr="001F731F" w:rsidRDefault="007116B2" w:rsidP="007116B2">
      <w:pPr>
        <w:pStyle w:val="TOC3"/>
        <w:rPr>
          <w:rFonts w:ascii="Arial" w:hAnsi="Arial" w:cs="Arial"/>
          <w:sz w:val="22"/>
          <w:lang w:val="es-ES_tradnl"/>
        </w:rPr>
      </w:pPr>
    </w:p>
    <w:p w14:paraId="62939755" w14:textId="77777777" w:rsidR="007116B2" w:rsidRPr="001F731F" w:rsidRDefault="007116B2" w:rsidP="007116B2">
      <w:pPr>
        <w:rPr>
          <w:rFonts w:ascii="Arial" w:hAnsi="Arial" w:cs="Arial"/>
          <w:lang w:val="es-ES_tradnl"/>
        </w:rPr>
      </w:pPr>
    </w:p>
    <w:p w14:paraId="53218EA4" w14:textId="09E38A3A" w:rsidR="007116B2" w:rsidRPr="001F731F" w:rsidRDefault="007116B2" w:rsidP="007116B2">
      <w:pPr>
        <w:rPr>
          <w:rFonts w:ascii="Arial" w:hAnsi="Arial" w:cs="Arial"/>
          <w:b/>
          <w:lang w:val="es-ES_tradnl"/>
        </w:rPr>
      </w:pPr>
    </w:p>
    <w:p w14:paraId="4969FF98" w14:textId="77777777" w:rsidR="007116B2" w:rsidRPr="001F731F" w:rsidRDefault="007116B2" w:rsidP="007116B2">
      <w:pPr>
        <w:rPr>
          <w:rFonts w:ascii="Arial" w:hAnsi="Arial" w:cs="Arial"/>
          <w:b/>
          <w:lang w:val="es-ES_tradnl"/>
        </w:rPr>
      </w:pPr>
    </w:p>
    <w:p w14:paraId="027F5825" w14:textId="793A9348" w:rsidR="007116B2" w:rsidRPr="001F731F" w:rsidRDefault="00925BF6" w:rsidP="007116B2">
      <w:pPr>
        <w:rPr>
          <w:rFonts w:ascii="Arial" w:hAnsi="Arial" w:cs="Arial"/>
          <w:b/>
          <w:lang w:val="es-ES_tradnl"/>
        </w:rPr>
      </w:pPr>
      <w:r w:rsidRPr="001F731F">
        <w:rPr>
          <w:rFonts w:ascii="Arial" w:hAnsi="Arial" w:cs="Arial"/>
          <w:noProof/>
          <w:lang w:val="es-ES_tradnl" w:eastAsia="es-ES"/>
        </w:rPr>
        <mc:AlternateContent>
          <mc:Choice Requires="wps">
            <w:drawing>
              <wp:anchor distT="0" distB="0" distL="114300" distR="114300" simplePos="0" relativeHeight="251658240" behindDoc="0" locked="0" layoutInCell="1" allowOverlap="1" wp14:anchorId="321CF101" wp14:editId="438D7FB9">
                <wp:simplePos x="0" y="0"/>
                <wp:positionH relativeFrom="column">
                  <wp:posOffset>-217170</wp:posOffset>
                </wp:positionH>
                <wp:positionV relativeFrom="paragraph">
                  <wp:posOffset>267970</wp:posOffset>
                </wp:positionV>
                <wp:extent cx="5734050" cy="430530"/>
                <wp:effectExtent l="0" t="0" r="19050" b="266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430530"/>
                        </a:xfrm>
                        <a:prstGeom prst="rect">
                          <a:avLst/>
                        </a:prstGeom>
                        <a:solidFill>
                          <a:srgbClr val="FFFFFF"/>
                        </a:solidFill>
                        <a:ln w="9525">
                          <a:solidFill>
                            <a:srgbClr val="000000"/>
                          </a:solidFill>
                          <a:miter lim="800000"/>
                          <a:headEnd/>
                          <a:tailEnd/>
                        </a:ln>
                      </wps:spPr>
                      <wps:txbx>
                        <w:txbxContent>
                          <w:p w14:paraId="5D017DC1" w14:textId="226CCE2D" w:rsidR="00AD6F21" w:rsidRPr="00486549" w:rsidRDefault="00AD6F21" w:rsidP="007116B2">
                            <w:pPr>
                              <w:spacing w:after="0" w:line="240" w:lineRule="auto"/>
                              <w:jc w:val="both"/>
                              <w:rPr>
                                <w:rFonts w:ascii="Arial" w:hAnsi="Arial" w:cs="Arial"/>
                                <w:sz w:val="20"/>
                                <w:lang w:val="es-ES_tradnl"/>
                              </w:rPr>
                            </w:pPr>
                            <w:bookmarkStart w:id="2" w:name="_Hlk20177833"/>
                            <w:r w:rsidRPr="00F9341C">
                              <w:rPr>
                                <w:rFonts w:ascii="Arial" w:hAnsi="Arial" w:cs="Arial"/>
                                <w:szCs w:val="24"/>
                                <w:lang w:val="es-419"/>
                              </w:rPr>
                              <w:t>Este documento fue preparado por</w:t>
                            </w:r>
                            <w:r>
                              <w:rPr>
                                <w:rFonts w:ascii="Arial" w:hAnsi="Arial" w:cs="Arial"/>
                                <w:szCs w:val="24"/>
                                <w:lang w:val="es-419"/>
                              </w:rPr>
                              <w:t>:</w:t>
                            </w:r>
                            <w:r w:rsidRPr="00F9341C">
                              <w:rPr>
                                <w:rFonts w:ascii="Arial" w:hAnsi="Arial" w:cs="Arial"/>
                                <w:szCs w:val="24"/>
                                <w:lang w:val="es-419"/>
                              </w:rPr>
                              <w:t xml:space="preserve"> </w:t>
                            </w:r>
                            <w:r>
                              <w:rPr>
                                <w:rFonts w:ascii="Arial" w:hAnsi="Arial" w:cs="Arial"/>
                                <w:szCs w:val="24"/>
                                <w:lang w:val="es-419"/>
                              </w:rPr>
                              <w:t>Daniel Fonseca, Manuel Fernandini, María Cabrera y Ana Lucía Lozano.</w:t>
                            </w:r>
                            <w:bookmarkStart w:id="3" w:name="_Hlk17983986"/>
                            <w:r w:rsidRPr="00F9341C">
                              <w:rPr>
                                <w:rFonts w:ascii="Arial" w:hAnsi="Arial" w:cs="Arial"/>
                                <w:szCs w:val="24"/>
                                <w:lang w:val="es-419"/>
                              </w:rPr>
                              <w:t xml:space="preserve">  </w:t>
                            </w:r>
                            <w:bookmarkEnd w:id="2"/>
                            <w:bookmarkEnd w:id="3"/>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21CF101" id="_x0000_t202" coordsize="21600,21600" o:spt="202" path="m,l,21600r21600,l21600,xe">
                <v:stroke joinstyle="miter"/>
                <v:path gradientshapeok="t" o:connecttype="rect"/>
              </v:shapetype>
              <v:shape id="Text Box 1" o:spid="_x0000_s1026" type="#_x0000_t202" style="position:absolute;margin-left:-17.1pt;margin-top:21.1pt;width:451.5pt;height:33.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">
                <v:textbox>
                  <w:txbxContent>
                    <w:p w14:paraId="5D017DC1" w14:textId="226CCE2D" w:rsidR="00AD6F21" w:rsidRPr="00486549" w:rsidRDefault="00AD6F21" w:rsidP="007116B2">
                      <w:pPr>
                        <w:spacing w:after="0" w:line="240" w:lineRule="auto"/>
                        <w:jc w:val="both"/>
                        <w:rPr>
                          <w:rFonts w:ascii="Arial" w:hAnsi="Arial" w:cs="Arial"/>
                          <w:sz w:val="20"/>
                          <w:lang w:val="es-ES_tradnl"/>
                        </w:rPr>
                      </w:pPr>
                      <w:bookmarkStart w:id="4" w:name="_Hlk20177833"/>
                      <w:r w:rsidRPr="00F9341C">
                        <w:rPr>
                          <w:rFonts w:ascii="Arial" w:hAnsi="Arial" w:cs="Arial"/>
                          <w:szCs w:val="24"/>
                          <w:lang w:val="es-419"/>
                        </w:rPr>
                        <w:t>Este documento fue preparado por</w:t>
                      </w:r>
                      <w:r>
                        <w:rPr>
                          <w:rFonts w:ascii="Arial" w:hAnsi="Arial" w:cs="Arial"/>
                          <w:szCs w:val="24"/>
                          <w:lang w:val="es-419"/>
                        </w:rPr>
                        <w:t>:</w:t>
                      </w:r>
                      <w:r w:rsidRPr="00F9341C">
                        <w:rPr>
                          <w:rFonts w:ascii="Arial" w:hAnsi="Arial" w:cs="Arial"/>
                          <w:szCs w:val="24"/>
                          <w:lang w:val="es-419"/>
                        </w:rPr>
                        <w:t xml:space="preserve"> </w:t>
                      </w:r>
                      <w:r>
                        <w:rPr>
                          <w:rFonts w:ascii="Arial" w:hAnsi="Arial" w:cs="Arial"/>
                          <w:szCs w:val="24"/>
                          <w:lang w:val="es-419"/>
                        </w:rPr>
                        <w:t>Daniel Fonseca, Manuel Fernandini, María Cabrera y Ana Lucía Lozano.</w:t>
                      </w:r>
                      <w:bookmarkStart w:id="5" w:name="_Hlk17983986"/>
                      <w:r w:rsidRPr="00F9341C">
                        <w:rPr>
                          <w:rFonts w:ascii="Arial" w:hAnsi="Arial" w:cs="Arial"/>
                          <w:szCs w:val="24"/>
                          <w:lang w:val="es-419"/>
                        </w:rPr>
                        <w:t xml:space="preserve">  </w:t>
                      </w:r>
                      <w:bookmarkEnd w:id="4"/>
                      <w:bookmarkEnd w:id="5"/>
                    </w:p>
                  </w:txbxContent>
                </v:textbox>
              </v:shape>
            </w:pict>
          </mc:Fallback>
        </mc:AlternateContent>
      </w:r>
    </w:p>
    <w:p w14:paraId="6A652276" w14:textId="77777777" w:rsidR="007116B2" w:rsidRPr="001F731F" w:rsidRDefault="007116B2" w:rsidP="007116B2">
      <w:pPr>
        <w:rPr>
          <w:rFonts w:ascii="Arial" w:hAnsi="Arial" w:cs="Arial"/>
          <w:b/>
          <w:lang w:val="es-ES_tradnl"/>
        </w:rPr>
        <w:sectPr w:rsidR="007116B2" w:rsidRPr="001F731F" w:rsidSect="00454CB5">
          <w:footerReference w:type="default" r:id="rId11"/>
          <w:pgSz w:w="12240" w:h="15840"/>
          <w:pgMar w:top="1440" w:right="1800" w:bottom="1440" w:left="1800" w:header="720" w:footer="720" w:gutter="0"/>
          <w:cols w:space="720"/>
          <w:titlePg/>
          <w:docGrid w:linePitch="360"/>
        </w:sectPr>
      </w:pPr>
    </w:p>
    <w:p w14:paraId="44E7EA5A" w14:textId="77777777" w:rsidR="007116B2" w:rsidRPr="001F731F" w:rsidRDefault="007116B2" w:rsidP="007116B2">
      <w:pPr>
        <w:jc w:val="center"/>
        <w:rPr>
          <w:rFonts w:ascii="Arial" w:hAnsi="Arial" w:cs="Arial"/>
          <w:b/>
          <w:bCs/>
          <w:smallCaps/>
          <w:spacing w:val="5"/>
          <w:lang w:val="es-ES_tradnl"/>
        </w:rPr>
      </w:pPr>
      <w:r w:rsidRPr="001F731F">
        <w:rPr>
          <w:rStyle w:val="BookTitle"/>
          <w:rFonts w:ascii="Arial" w:hAnsi="Arial" w:cs="Arial"/>
          <w:lang w:val="es-ES_tradnl"/>
        </w:rPr>
        <w:lastRenderedPageBreak/>
        <w:t>CONTENIDO</w:t>
      </w:r>
    </w:p>
    <w:p w14:paraId="2A0EC9EC" w14:textId="61D3299D" w:rsidR="002B5FBB" w:rsidRPr="004550C7" w:rsidRDefault="007116B2">
      <w:pPr>
        <w:pStyle w:val="TOC1"/>
        <w:rPr>
          <w:rFonts w:ascii="Arial" w:hAnsi="Arial" w:cs="Arial"/>
          <w:b w:val="0"/>
          <w:smallCaps w:val="0"/>
          <w:sz w:val="22"/>
          <w:lang w:val="es-ES" w:eastAsia="en-US"/>
        </w:rPr>
      </w:pPr>
      <w:r w:rsidRPr="0016237B">
        <w:rPr>
          <w:rFonts w:ascii="Arial" w:hAnsi="Arial" w:cs="Arial"/>
          <w:b w:val="0"/>
          <w:noProof w:val="0"/>
          <w:sz w:val="22"/>
          <w:lang w:val="es-ES_tradnl"/>
        </w:rPr>
        <w:fldChar w:fldCharType="begin"/>
      </w:r>
      <w:r w:rsidRPr="0016237B">
        <w:rPr>
          <w:rFonts w:ascii="Arial" w:hAnsi="Arial" w:cs="Arial"/>
          <w:b w:val="0"/>
          <w:noProof w:val="0"/>
          <w:sz w:val="22"/>
          <w:lang w:val="es-ES_tradnl"/>
        </w:rPr>
        <w:instrText xml:space="preserve"> TOC \f \t "Chapter,1,FirstHeading,2,SecHeading,3" </w:instrText>
      </w:r>
      <w:r w:rsidRPr="0016237B">
        <w:rPr>
          <w:rFonts w:ascii="Arial" w:hAnsi="Arial" w:cs="Arial"/>
          <w:b w:val="0"/>
          <w:noProof w:val="0"/>
          <w:sz w:val="22"/>
          <w:lang w:val="es-ES_tradnl"/>
        </w:rPr>
        <w:fldChar w:fldCharType="separate"/>
      </w:r>
      <w:r w:rsidR="002B5FBB" w:rsidRPr="004550C7">
        <w:rPr>
          <w:rFonts w:ascii="Arial" w:hAnsi="Arial" w:cs="Arial"/>
          <w:sz w:val="22"/>
          <w:lang w:val="es-ES_tradnl"/>
        </w:rPr>
        <w:t>I.</w:t>
      </w:r>
      <w:r w:rsidR="002B5FBB" w:rsidRPr="004550C7">
        <w:rPr>
          <w:rFonts w:ascii="Arial" w:hAnsi="Arial" w:cs="Arial"/>
          <w:b w:val="0"/>
          <w:smallCaps w:val="0"/>
          <w:sz w:val="22"/>
          <w:lang w:val="es-ES" w:eastAsia="en-US"/>
        </w:rPr>
        <w:tab/>
      </w:r>
      <w:r w:rsidR="002B5FBB" w:rsidRPr="004550C7">
        <w:rPr>
          <w:rFonts w:ascii="Arial" w:hAnsi="Arial" w:cs="Arial"/>
          <w:sz w:val="22"/>
          <w:lang w:val="es-ES_tradnl"/>
        </w:rPr>
        <w:t>Introducción</w:t>
      </w:r>
      <w:r w:rsidR="002B5FBB" w:rsidRPr="004550C7">
        <w:rPr>
          <w:rFonts w:ascii="Arial" w:hAnsi="Arial" w:cs="Arial"/>
          <w:sz w:val="22"/>
          <w:lang w:val="es-ES"/>
        </w:rPr>
        <w:tab/>
      </w:r>
      <w:r w:rsidR="002B5FBB" w:rsidRPr="004550C7">
        <w:rPr>
          <w:rFonts w:ascii="Arial" w:hAnsi="Arial" w:cs="Arial"/>
          <w:sz w:val="22"/>
        </w:rPr>
        <w:fldChar w:fldCharType="begin"/>
      </w:r>
      <w:r w:rsidR="002B5FBB" w:rsidRPr="004550C7">
        <w:rPr>
          <w:rFonts w:ascii="Arial" w:hAnsi="Arial" w:cs="Arial"/>
          <w:sz w:val="22"/>
          <w:lang w:val="es-ES"/>
        </w:rPr>
        <w:instrText xml:space="preserve"> PAGEREF _Toc40475102 \h </w:instrText>
      </w:r>
      <w:r w:rsidR="002B5FBB" w:rsidRPr="004550C7">
        <w:rPr>
          <w:rFonts w:ascii="Arial" w:hAnsi="Arial" w:cs="Arial"/>
          <w:sz w:val="22"/>
        </w:rPr>
      </w:r>
      <w:r w:rsidR="002B5FBB" w:rsidRPr="004550C7">
        <w:rPr>
          <w:rFonts w:ascii="Arial" w:hAnsi="Arial" w:cs="Arial"/>
          <w:sz w:val="22"/>
        </w:rPr>
        <w:fldChar w:fldCharType="separate"/>
      </w:r>
      <w:r w:rsidR="00CE7A1C">
        <w:rPr>
          <w:rFonts w:ascii="Arial" w:hAnsi="Arial" w:cs="Arial"/>
          <w:sz w:val="22"/>
          <w:lang w:val="es-ES"/>
        </w:rPr>
        <w:t>1</w:t>
      </w:r>
      <w:r w:rsidR="002B5FBB" w:rsidRPr="004550C7">
        <w:rPr>
          <w:rFonts w:ascii="Arial" w:hAnsi="Arial" w:cs="Arial"/>
          <w:sz w:val="22"/>
        </w:rPr>
        <w:fldChar w:fldCharType="end"/>
      </w:r>
    </w:p>
    <w:p w14:paraId="14653575" w14:textId="2A19E403" w:rsidR="002B5FBB" w:rsidRPr="004550C7" w:rsidRDefault="002B5FBB">
      <w:pPr>
        <w:pStyle w:val="TOC1"/>
        <w:rPr>
          <w:rFonts w:ascii="Arial" w:hAnsi="Arial" w:cs="Arial"/>
          <w:b w:val="0"/>
          <w:smallCaps w:val="0"/>
          <w:sz w:val="22"/>
          <w:lang w:val="es-ES" w:eastAsia="en-US"/>
        </w:rPr>
      </w:pPr>
      <w:r w:rsidRPr="004550C7">
        <w:rPr>
          <w:rFonts w:ascii="Arial" w:hAnsi="Arial" w:cs="Arial"/>
          <w:sz w:val="22"/>
          <w:lang w:val="es-ES_tradnl"/>
        </w:rPr>
        <w:t>II.</w:t>
      </w:r>
      <w:r w:rsidRPr="004550C7">
        <w:rPr>
          <w:rFonts w:ascii="Arial" w:hAnsi="Arial" w:cs="Arial"/>
          <w:b w:val="0"/>
          <w:smallCaps w:val="0"/>
          <w:sz w:val="22"/>
          <w:lang w:val="es-ES" w:eastAsia="en-US"/>
        </w:rPr>
        <w:tab/>
      </w:r>
      <w:r w:rsidRPr="004550C7">
        <w:rPr>
          <w:rFonts w:ascii="Arial" w:hAnsi="Arial" w:cs="Arial"/>
          <w:sz w:val="22"/>
          <w:lang w:val="es-ES_tradnl"/>
        </w:rPr>
        <w:t>Monitoreo</w:t>
      </w:r>
      <w:r w:rsidRPr="004550C7">
        <w:rPr>
          <w:rFonts w:ascii="Arial" w:hAnsi="Arial" w:cs="Arial"/>
          <w:sz w:val="22"/>
          <w:lang w:val="es-ES"/>
        </w:rPr>
        <w:tab/>
      </w:r>
      <w:r w:rsidRPr="004550C7">
        <w:rPr>
          <w:rFonts w:ascii="Arial" w:hAnsi="Arial" w:cs="Arial"/>
          <w:sz w:val="22"/>
        </w:rPr>
        <w:fldChar w:fldCharType="begin"/>
      </w:r>
      <w:r w:rsidRPr="004550C7">
        <w:rPr>
          <w:rFonts w:ascii="Arial" w:hAnsi="Arial" w:cs="Arial"/>
          <w:sz w:val="22"/>
          <w:lang w:val="es-ES"/>
        </w:rPr>
        <w:instrText xml:space="preserve"> PAGEREF _Toc40475103 \h </w:instrText>
      </w:r>
      <w:r w:rsidRPr="004550C7">
        <w:rPr>
          <w:rFonts w:ascii="Arial" w:hAnsi="Arial" w:cs="Arial"/>
          <w:sz w:val="22"/>
        </w:rPr>
      </w:r>
      <w:r w:rsidRPr="004550C7">
        <w:rPr>
          <w:rFonts w:ascii="Arial" w:hAnsi="Arial" w:cs="Arial"/>
          <w:sz w:val="22"/>
        </w:rPr>
        <w:fldChar w:fldCharType="separate"/>
      </w:r>
      <w:r w:rsidR="00CE7A1C">
        <w:rPr>
          <w:rFonts w:ascii="Arial" w:hAnsi="Arial" w:cs="Arial"/>
          <w:sz w:val="22"/>
          <w:lang w:val="es-ES"/>
        </w:rPr>
        <w:t>7</w:t>
      </w:r>
      <w:r w:rsidRPr="004550C7">
        <w:rPr>
          <w:rFonts w:ascii="Arial" w:hAnsi="Arial" w:cs="Arial"/>
          <w:sz w:val="22"/>
        </w:rPr>
        <w:fldChar w:fldCharType="end"/>
      </w:r>
    </w:p>
    <w:p w14:paraId="09C0915D" w14:textId="2E1231DC" w:rsidR="002B5FBB" w:rsidRPr="004550C7" w:rsidRDefault="002B5FBB">
      <w:pPr>
        <w:pStyle w:val="TOC3"/>
        <w:rPr>
          <w:rFonts w:ascii="Arial" w:hAnsi="Arial" w:cs="Arial"/>
          <w:noProof/>
          <w:sz w:val="22"/>
          <w:lang w:val="es-ES" w:eastAsia="en-US"/>
        </w:rPr>
      </w:pPr>
      <w:r w:rsidRPr="004550C7">
        <w:rPr>
          <w:rFonts w:ascii="Arial" w:hAnsi="Arial" w:cs="Arial"/>
          <w:noProof/>
          <w:sz w:val="22"/>
          <w:lang w:val="es-ES"/>
        </w:rPr>
        <w:t>1.</w:t>
      </w:r>
      <w:r w:rsidRPr="004550C7">
        <w:rPr>
          <w:rFonts w:ascii="Arial" w:hAnsi="Arial" w:cs="Arial"/>
          <w:noProof/>
          <w:sz w:val="22"/>
          <w:lang w:val="es-ES" w:eastAsia="en-US"/>
        </w:rPr>
        <w:tab/>
      </w:r>
      <w:r w:rsidRPr="004550C7">
        <w:rPr>
          <w:rFonts w:ascii="Arial" w:hAnsi="Arial" w:cs="Arial"/>
          <w:noProof/>
          <w:sz w:val="22"/>
          <w:lang w:val="es-ES"/>
        </w:rPr>
        <w:t>Indicadores</w:t>
      </w:r>
      <w:r w:rsidRPr="004550C7">
        <w:rPr>
          <w:rFonts w:ascii="Arial" w:hAnsi="Arial" w:cs="Arial"/>
          <w:noProof/>
          <w:sz w:val="22"/>
          <w:lang w:val="es-ES"/>
        </w:rPr>
        <w:tab/>
      </w:r>
      <w:r w:rsidRPr="004550C7">
        <w:rPr>
          <w:rFonts w:ascii="Arial" w:hAnsi="Arial" w:cs="Arial"/>
          <w:noProof/>
          <w:sz w:val="22"/>
        </w:rPr>
        <w:fldChar w:fldCharType="begin"/>
      </w:r>
      <w:r w:rsidRPr="004550C7">
        <w:rPr>
          <w:rFonts w:ascii="Arial" w:hAnsi="Arial" w:cs="Arial"/>
          <w:noProof/>
          <w:sz w:val="22"/>
          <w:lang w:val="es-ES"/>
        </w:rPr>
        <w:instrText xml:space="preserve"> PAGEREF _Toc40475104 \h </w:instrText>
      </w:r>
      <w:r w:rsidRPr="004550C7">
        <w:rPr>
          <w:rFonts w:ascii="Arial" w:hAnsi="Arial" w:cs="Arial"/>
          <w:noProof/>
          <w:sz w:val="22"/>
        </w:rPr>
      </w:r>
      <w:r w:rsidRPr="004550C7">
        <w:rPr>
          <w:rFonts w:ascii="Arial" w:hAnsi="Arial" w:cs="Arial"/>
          <w:noProof/>
          <w:sz w:val="22"/>
        </w:rPr>
        <w:fldChar w:fldCharType="separate"/>
      </w:r>
      <w:r w:rsidR="00CE7A1C">
        <w:rPr>
          <w:rFonts w:ascii="Arial" w:hAnsi="Arial" w:cs="Arial"/>
          <w:noProof/>
          <w:sz w:val="22"/>
          <w:lang w:val="es-ES"/>
        </w:rPr>
        <w:t>7</w:t>
      </w:r>
      <w:r w:rsidRPr="004550C7">
        <w:rPr>
          <w:rFonts w:ascii="Arial" w:hAnsi="Arial" w:cs="Arial"/>
          <w:noProof/>
          <w:sz w:val="22"/>
        </w:rPr>
        <w:fldChar w:fldCharType="end"/>
      </w:r>
    </w:p>
    <w:p w14:paraId="3B9557AE" w14:textId="717E2E2E" w:rsidR="002B5FBB" w:rsidRPr="004550C7" w:rsidRDefault="002B5FBB">
      <w:pPr>
        <w:pStyle w:val="TOC3"/>
        <w:rPr>
          <w:rFonts w:ascii="Arial" w:hAnsi="Arial" w:cs="Arial"/>
          <w:noProof/>
          <w:sz w:val="22"/>
          <w:lang w:val="es-ES" w:eastAsia="en-US"/>
        </w:rPr>
      </w:pPr>
      <w:r w:rsidRPr="004550C7">
        <w:rPr>
          <w:rFonts w:ascii="Arial" w:hAnsi="Arial" w:cs="Arial"/>
          <w:noProof/>
          <w:sz w:val="22"/>
          <w:lang w:val="es-ES"/>
        </w:rPr>
        <w:t>2.</w:t>
      </w:r>
      <w:r w:rsidRPr="004550C7">
        <w:rPr>
          <w:rFonts w:ascii="Arial" w:hAnsi="Arial" w:cs="Arial"/>
          <w:noProof/>
          <w:sz w:val="22"/>
          <w:lang w:val="es-ES" w:eastAsia="en-US"/>
        </w:rPr>
        <w:tab/>
      </w:r>
      <w:r w:rsidRPr="004550C7">
        <w:rPr>
          <w:rFonts w:ascii="Arial" w:hAnsi="Arial" w:cs="Arial"/>
          <w:noProof/>
          <w:sz w:val="22"/>
          <w:lang w:val="es-ES"/>
        </w:rPr>
        <w:t>Recolección de Información e Instrumentos</w:t>
      </w:r>
      <w:r w:rsidRPr="004550C7">
        <w:rPr>
          <w:rFonts w:ascii="Arial" w:hAnsi="Arial" w:cs="Arial"/>
          <w:noProof/>
          <w:sz w:val="22"/>
          <w:lang w:val="es-ES"/>
        </w:rPr>
        <w:tab/>
      </w:r>
      <w:r w:rsidRPr="004550C7">
        <w:rPr>
          <w:rFonts w:ascii="Arial" w:hAnsi="Arial" w:cs="Arial"/>
          <w:noProof/>
          <w:sz w:val="22"/>
        </w:rPr>
        <w:fldChar w:fldCharType="begin"/>
      </w:r>
      <w:r w:rsidRPr="004550C7">
        <w:rPr>
          <w:rFonts w:ascii="Arial" w:hAnsi="Arial" w:cs="Arial"/>
          <w:noProof/>
          <w:sz w:val="22"/>
          <w:lang w:val="es-ES"/>
        </w:rPr>
        <w:instrText xml:space="preserve"> PAGEREF _Toc40475105 \h </w:instrText>
      </w:r>
      <w:r w:rsidRPr="004550C7">
        <w:rPr>
          <w:rFonts w:ascii="Arial" w:hAnsi="Arial" w:cs="Arial"/>
          <w:noProof/>
          <w:sz w:val="22"/>
        </w:rPr>
      </w:r>
      <w:r w:rsidRPr="004550C7">
        <w:rPr>
          <w:rFonts w:ascii="Arial" w:hAnsi="Arial" w:cs="Arial"/>
          <w:noProof/>
          <w:sz w:val="22"/>
        </w:rPr>
        <w:fldChar w:fldCharType="separate"/>
      </w:r>
      <w:r w:rsidR="00CE7A1C">
        <w:rPr>
          <w:rFonts w:ascii="Arial" w:hAnsi="Arial" w:cs="Arial"/>
          <w:noProof/>
          <w:sz w:val="22"/>
          <w:lang w:val="es-ES"/>
        </w:rPr>
        <w:t>14</w:t>
      </w:r>
      <w:r w:rsidRPr="004550C7">
        <w:rPr>
          <w:rFonts w:ascii="Arial" w:hAnsi="Arial" w:cs="Arial"/>
          <w:noProof/>
          <w:sz w:val="22"/>
        </w:rPr>
        <w:fldChar w:fldCharType="end"/>
      </w:r>
    </w:p>
    <w:p w14:paraId="6B517F35" w14:textId="7B9A5121" w:rsidR="002B5FBB" w:rsidRPr="004550C7" w:rsidRDefault="002B5FBB">
      <w:pPr>
        <w:pStyle w:val="TOC3"/>
        <w:rPr>
          <w:rFonts w:ascii="Arial" w:hAnsi="Arial" w:cs="Arial"/>
          <w:noProof/>
          <w:sz w:val="22"/>
          <w:lang w:val="es-ES" w:eastAsia="en-US"/>
        </w:rPr>
      </w:pPr>
      <w:r w:rsidRPr="004550C7">
        <w:rPr>
          <w:rFonts w:ascii="Arial" w:hAnsi="Arial" w:cs="Arial"/>
          <w:noProof/>
          <w:sz w:val="22"/>
          <w:lang w:val="es-ES"/>
        </w:rPr>
        <w:t>3.</w:t>
      </w:r>
      <w:r w:rsidRPr="004550C7">
        <w:rPr>
          <w:rFonts w:ascii="Arial" w:hAnsi="Arial" w:cs="Arial"/>
          <w:noProof/>
          <w:sz w:val="22"/>
          <w:lang w:val="es-ES" w:eastAsia="en-US"/>
        </w:rPr>
        <w:tab/>
      </w:r>
      <w:r w:rsidRPr="004550C7">
        <w:rPr>
          <w:rFonts w:ascii="Arial" w:hAnsi="Arial" w:cs="Arial"/>
          <w:noProof/>
          <w:sz w:val="22"/>
          <w:lang w:val="es-ES"/>
        </w:rPr>
        <w:t>Presentación de Informes</w:t>
      </w:r>
      <w:r w:rsidRPr="004550C7">
        <w:rPr>
          <w:rFonts w:ascii="Arial" w:hAnsi="Arial" w:cs="Arial"/>
          <w:noProof/>
          <w:sz w:val="22"/>
          <w:lang w:val="es-ES"/>
        </w:rPr>
        <w:tab/>
      </w:r>
      <w:r w:rsidRPr="004550C7">
        <w:rPr>
          <w:rFonts w:ascii="Arial" w:hAnsi="Arial" w:cs="Arial"/>
          <w:noProof/>
          <w:sz w:val="22"/>
        </w:rPr>
        <w:fldChar w:fldCharType="begin"/>
      </w:r>
      <w:r w:rsidRPr="004550C7">
        <w:rPr>
          <w:rFonts w:ascii="Arial" w:hAnsi="Arial" w:cs="Arial"/>
          <w:noProof/>
          <w:sz w:val="22"/>
          <w:lang w:val="es-ES"/>
        </w:rPr>
        <w:instrText xml:space="preserve"> PAGEREF _Toc40475106 \h </w:instrText>
      </w:r>
      <w:r w:rsidRPr="004550C7">
        <w:rPr>
          <w:rFonts w:ascii="Arial" w:hAnsi="Arial" w:cs="Arial"/>
          <w:noProof/>
          <w:sz w:val="22"/>
        </w:rPr>
      </w:r>
      <w:r w:rsidRPr="004550C7">
        <w:rPr>
          <w:rFonts w:ascii="Arial" w:hAnsi="Arial" w:cs="Arial"/>
          <w:noProof/>
          <w:sz w:val="22"/>
        </w:rPr>
        <w:fldChar w:fldCharType="separate"/>
      </w:r>
      <w:r w:rsidR="00CE7A1C">
        <w:rPr>
          <w:rFonts w:ascii="Arial" w:hAnsi="Arial" w:cs="Arial"/>
          <w:noProof/>
          <w:sz w:val="22"/>
          <w:lang w:val="es-ES"/>
        </w:rPr>
        <w:t>14</w:t>
      </w:r>
      <w:r w:rsidRPr="004550C7">
        <w:rPr>
          <w:rFonts w:ascii="Arial" w:hAnsi="Arial" w:cs="Arial"/>
          <w:noProof/>
          <w:sz w:val="22"/>
        </w:rPr>
        <w:fldChar w:fldCharType="end"/>
      </w:r>
    </w:p>
    <w:p w14:paraId="3089FBA8" w14:textId="046A41E4" w:rsidR="002B5FBB" w:rsidRPr="004550C7" w:rsidRDefault="002B5FBB">
      <w:pPr>
        <w:pStyle w:val="TOC3"/>
        <w:rPr>
          <w:rFonts w:ascii="Arial" w:hAnsi="Arial" w:cs="Arial"/>
          <w:noProof/>
          <w:sz w:val="22"/>
          <w:lang w:val="es-ES" w:eastAsia="en-US"/>
        </w:rPr>
      </w:pPr>
      <w:r w:rsidRPr="004550C7">
        <w:rPr>
          <w:rFonts w:ascii="Arial" w:hAnsi="Arial" w:cs="Arial"/>
          <w:noProof/>
          <w:sz w:val="22"/>
          <w:lang w:val="es-ES"/>
        </w:rPr>
        <w:t>4.</w:t>
      </w:r>
      <w:r w:rsidRPr="004550C7">
        <w:rPr>
          <w:rFonts w:ascii="Arial" w:hAnsi="Arial" w:cs="Arial"/>
          <w:noProof/>
          <w:sz w:val="22"/>
          <w:lang w:val="es-ES" w:eastAsia="en-US"/>
        </w:rPr>
        <w:tab/>
      </w:r>
      <w:r w:rsidRPr="004550C7">
        <w:rPr>
          <w:rFonts w:ascii="Arial" w:hAnsi="Arial" w:cs="Arial"/>
          <w:noProof/>
          <w:sz w:val="22"/>
          <w:lang w:val="es-ES"/>
        </w:rPr>
        <w:t>Coordinación del Monitoreo, Plan de Trabajo y Presupuesto</w:t>
      </w:r>
      <w:r w:rsidRPr="004550C7">
        <w:rPr>
          <w:rFonts w:ascii="Arial" w:hAnsi="Arial" w:cs="Arial"/>
          <w:noProof/>
          <w:sz w:val="22"/>
          <w:lang w:val="es-ES"/>
        </w:rPr>
        <w:tab/>
      </w:r>
      <w:r w:rsidRPr="004550C7">
        <w:rPr>
          <w:rFonts w:ascii="Arial" w:hAnsi="Arial" w:cs="Arial"/>
          <w:noProof/>
          <w:sz w:val="22"/>
        </w:rPr>
        <w:fldChar w:fldCharType="begin"/>
      </w:r>
      <w:r w:rsidRPr="004550C7">
        <w:rPr>
          <w:rFonts w:ascii="Arial" w:hAnsi="Arial" w:cs="Arial"/>
          <w:noProof/>
          <w:sz w:val="22"/>
          <w:lang w:val="es-ES"/>
        </w:rPr>
        <w:instrText xml:space="preserve"> PAGEREF _Toc40475107 \h </w:instrText>
      </w:r>
      <w:r w:rsidRPr="004550C7">
        <w:rPr>
          <w:rFonts w:ascii="Arial" w:hAnsi="Arial" w:cs="Arial"/>
          <w:noProof/>
          <w:sz w:val="22"/>
        </w:rPr>
      </w:r>
      <w:r w:rsidRPr="004550C7">
        <w:rPr>
          <w:rFonts w:ascii="Arial" w:hAnsi="Arial" w:cs="Arial"/>
          <w:noProof/>
          <w:sz w:val="22"/>
        </w:rPr>
        <w:fldChar w:fldCharType="separate"/>
      </w:r>
      <w:r w:rsidR="00CE7A1C">
        <w:rPr>
          <w:rFonts w:ascii="Arial" w:hAnsi="Arial" w:cs="Arial"/>
          <w:noProof/>
          <w:sz w:val="22"/>
          <w:lang w:val="es-ES"/>
        </w:rPr>
        <w:t>15</w:t>
      </w:r>
      <w:r w:rsidRPr="004550C7">
        <w:rPr>
          <w:rFonts w:ascii="Arial" w:hAnsi="Arial" w:cs="Arial"/>
          <w:noProof/>
          <w:sz w:val="22"/>
        </w:rPr>
        <w:fldChar w:fldCharType="end"/>
      </w:r>
    </w:p>
    <w:p w14:paraId="388828FC" w14:textId="5AFE342B" w:rsidR="002B5FBB" w:rsidRPr="004550C7" w:rsidRDefault="002B5FBB">
      <w:pPr>
        <w:pStyle w:val="TOC1"/>
        <w:rPr>
          <w:rFonts w:ascii="Arial" w:hAnsi="Arial" w:cs="Arial"/>
          <w:b w:val="0"/>
          <w:smallCaps w:val="0"/>
          <w:sz w:val="22"/>
          <w:lang w:val="es-ES" w:eastAsia="en-US"/>
        </w:rPr>
      </w:pPr>
      <w:r w:rsidRPr="004550C7">
        <w:rPr>
          <w:rFonts w:ascii="Arial" w:hAnsi="Arial" w:cs="Arial"/>
          <w:sz w:val="22"/>
          <w:lang w:val="es-ES_tradnl"/>
        </w:rPr>
        <w:t>III.</w:t>
      </w:r>
      <w:r w:rsidRPr="004550C7">
        <w:rPr>
          <w:rFonts w:ascii="Arial" w:hAnsi="Arial" w:cs="Arial"/>
          <w:b w:val="0"/>
          <w:smallCaps w:val="0"/>
          <w:sz w:val="22"/>
          <w:lang w:val="es-ES" w:eastAsia="en-US"/>
        </w:rPr>
        <w:tab/>
      </w:r>
      <w:r w:rsidRPr="004550C7">
        <w:rPr>
          <w:rFonts w:ascii="Arial" w:hAnsi="Arial" w:cs="Arial"/>
          <w:sz w:val="22"/>
          <w:lang w:val="es-ES_tradnl"/>
        </w:rPr>
        <w:t>Evaluación</w:t>
      </w:r>
      <w:r w:rsidRPr="004550C7">
        <w:rPr>
          <w:rFonts w:ascii="Arial" w:hAnsi="Arial" w:cs="Arial"/>
          <w:sz w:val="22"/>
          <w:lang w:val="es-ES"/>
        </w:rPr>
        <w:tab/>
      </w:r>
      <w:r w:rsidRPr="004550C7">
        <w:rPr>
          <w:rFonts w:ascii="Arial" w:hAnsi="Arial" w:cs="Arial"/>
          <w:sz w:val="22"/>
        </w:rPr>
        <w:fldChar w:fldCharType="begin"/>
      </w:r>
      <w:r w:rsidRPr="004550C7">
        <w:rPr>
          <w:rFonts w:ascii="Arial" w:hAnsi="Arial" w:cs="Arial"/>
          <w:sz w:val="22"/>
          <w:lang w:val="es-ES"/>
        </w:rPr>
        <w:instrText xml:space="preserve"> PAGEREF _Toc40475108 \h </w:instrText>
      </w:r>
      <w:r w:rsidRPr="004550C7">
        <w:rPr>
          <w:rFonts w:ascii="Arial" w:hAnsi="Arial" w:cs="Arial"/>
          <w:sz w:val="22"/>
        </w:rPr>
      </w:r>
      <w:r w:rsidRPr="004550C7">
        <w:rPr>
          <w:rFonts w:ascii="Arial" w:hAnsi="Arial" w:cs="Arial"/>
          <w:sz w:val="22"/>
        </w:rPr>
        <w:fldChar w:fldCharType="separate"/>
      </w:r>
      <w:r w:rsidR="00CE7A1C">
        <w:rPr>
          <w:rFonts w:ascii="Arial" w:hAnsi="Arial" w:cs="Arial"/>
          <w:sz w:val="22"/>
          <w:lang w:val="es-ES"/>
        </w:rPr>
        <w:t>16</w:t>
      </w:r>
      <w:r w:rsidRPr="004550C7">
        <w:rPr>
          <w:rFonts w:ascii="Arial" w:hAnsi="Arial" w:cs="Arial"/>
          <w:sz w:val="22"/>
        </w:rPr>
        <w:fldChar w:fldCharType="end"/>
      </w:r>
    </w:p>
    <w:p w14:paraId="5A9913ED" w14:textId="38715136" w:rsidR="002B5FBB" w:rsidRPr="004550C7" w:rsidRDefault="002B5FBB">
      <w:pPr>
        <w:pStyle w:val="TOC1"/>
        <w:rPr>
          <w:rFonts w:ascii="Arial" w:hAnsi="Arial" w:cs="Arial"/>
          <w:b w:val="0"/>
          <w:smallCaps w:val="0"/>
          <w:sz w:val="22"/>
          <w:lang w:val="es-ES" w:eastAsia="en-US"/>
        </w:rPr>
      </w:pPr>
      <w:r w:rsidRPr="004550C7">
        <w:rPr>
          <w:rFonts w:ascii="Arial" w:hAnsi="Arial" w:cs="Arial"/>
          <w:sz w:val="22"/>
          <w:lang w:val="es-419"/>
        </w:rPr>
        <w:t>Anexo I: Definición del tamaño de empresa</w:t>
      </w:r>
      <w:r w:rsidRPr="004550C7">
        <w:rPr>
          <w:rFonts w:ascii="Arial" w:hAnsi="Arial" w:cs="Arial"/>
          <w:sz w:val="22"/>
          <w:lang w:val="es-ES"/>
        </w:rPr>
        <w:tab/>
      </w:r>
      <w:r w:rsidRPr="004550C7">
        <w:rPr>
          <w:rFonts w:ascii="Arial" w:hAnsi="Arial" w:cs="Arial"/>
          <w:sz w:val="22"/>
        </w:rPr>
        <w:fldChar w:fldCharType="begin"/>
      </w:r>
      <w:r w:rsidRPr="004550C7">
        <w:rPr>
          <w:rFonts w:ascii="Arial" w:hAnsi="Arial" w:cs="Arial"/>
          <w:sz w:val="22"/>
          <w:lang w:val="es-ES"/>
        </w:rPr>
        <w:instrText xml:space="preserve"> PAGEREF _Toc40475109 \h </w:instrText>
      </w:r>
      <w:r w:rsidRPr="004550C7">
        <w:rPr>
          <w:rFonts w:ascii="Arial" w:hAnsi="Arial" w:cs="Arial"/>
          <w:sz w:val="22"/>
        </w:rPr>
      </w:r>
      <w:r w:rsidRPr="004550C7">
        <w:rPr>
          <w:rFonts w:ascii="Arial" w:hAnsi="Arial" w:cs="Arial"/>
          <w:sz w:val="22"/>
        </w:rPr>
        <w:fldChar w:fldCharType="separate"/>
      </w:r>
      <w:r w:rsidR="00CE7A1C">
        <w:rPr>
          <w:rFonts w:ascii="Arial" w:hAnsi="Arial" w:cs="Arial"/>
          <w:sz w:val="22"/>
          <w:lang w:val="es-ES"/>
        </w:rPr>
        <w:t>21</w:t>
      </w:r>
      <w:r w:rsidRPr="004550C7">
        <w:rPr>
          <w:rFonts w:ascii="Arial" w:hAnsi="Arial" w:cs="Arial"/>
          <w:sz w:val="22"/>
        </w:rPr>
        <w:fldChar w:fldCharType="end"/>
      </w:r>
    </w:p>
    <w:p w14:paraId="4E2C68EB" w14:textId="3D9E56C5" w:rsidR="007116B2" w:rsidRPr="001F731F" w:rsidRDefault="007116B2" w:rsidP="007116B2">
      <w:pPr>
        <w:pStyle w:val="TOC3"/>
        <w:rPr>
          <w:rFonts w:ascii="Arial" w:hAnsi="Arial" w:cs="Arial"/>
          <w:sz w:val="22"/>
          <w:lang w:val="es-ES_tradnl"/>
        </w:rPr>
      </w:pPr>
      <w:r w:rsidRPr="0016237B">
        <w:rPr>
          <w:rFonts w:ascii="Arial" w:hAnsi="Arial" w:cs="Arial"/>
          <w:sz w:val="22"/>
          <w:lang w:val="es-ES_tradnl"/>
        </w:rPr>
        <w:fldChar w:fldCharType="end"/>
      </w:r>
    </w:p>
    <w:p w14:paraId="18C1DBAF" w14:textId="77777777" w:rsidR="007116B2" w:rsidRPr="001F731F" w:rsidRDefault="007116B2" w:rsidP="007116B2">
      <w:pPr>
        <w:rPr>
          <w:rFonts w:ascii="Arial" w:hAnsi="Arial" w:cs="Arial"/>
          <w:lang w:val="es-ES_tradnl"/>
        </w:rPr>
      </w:pPr>
    </w:p>
    <w:p w14:paraId="60159A05" w14:textId="77777777" w:rsidR="007116B2" w:rsidRPr="001F731F" w:rsidRDefault="007116B2" w:rsidP="007116B2">
      <w:pPr>
        <w:rPr>
          <w:rFonts w:ascii="Arial" w:hAnsi="Arial" w:cs="Arial"/>
          <w:lang w:val="es-ES_tradnl"/>
        </w:rPr>
      </w:pPr>
    </w:p>
    <w:p w14:paraId="37C29CAA" w14:textId="77777777" w:rsidR="007116B2" w:rsidRPr="001F731F" w:rsidRDefault="007116B2" w:rsidP="007116B2">
      <w:pPr>
        <w:rPr>
          <w:rFonts w:ascii="Arial" w:hAnsi="Arial" w:cs="Arial"/>
          <w:lang w:val="es-ES_tradnl"/>
        </w:rPr>
        <w:sectPr w:rsidR="007116B2" w:rsidRPr="001F731F" w:rsidSect="00454CB5">
          <w:footerReference w:type="default" r:id="rId12"/>
          <w:pgSz w:w="12240" w:h="15840"/>
          <w:pgMar w:top="1440" w:right="1800" w:bottom="1440" w:left="1800" w:header="720" w:footer="720" w:gutter="0"/>
          <w:pgNumType w:start="0"/>
          <w:cols w:space="720"/>
          <w:titlePg/>
          <w:docGrid w:linePitch="360"/>
        </w:sectPr>
      </w:pPr>
      <w:r w:rsidRPr="001F731F">
        <w:rPr>
          <w:rFonts w:ascii="Arial" w:hAnsi="Arial" w:cs="Arial"/>
          <w:lang w:val="es-ES_tradnl"/>
        </w:rPr>
        <w:br w:type="page"/>
      </w:r>
    </w:p>
    <w:p w14:paraId="40010059" w14:textId="1BC6CBB6" w:rsidR="007116B2" w:rsidRPr="001F731F" w:rsidRDefault="007116B2" w:rsidP="004F0A7D">
      <w:pPr>
        <w:pStyle w:val="Chapter"/>
        <w:numPr>
          <w:ilvl w:val="0"/>
          <w:numId w:val="29"/>
        </w:numPr>
        <w:spacing w:before="0"/>
        <w:rPr>
          <w:rFonts w:ascii="Arial" w:hAnsi="Arial" w:cs="Arial"/>
          <w:sz w:val="22"/>
          <w:szCs w:val="22"/>
          <w:lang w:val="es-ES_tradnl"/>
        </w:rPr>
      </w:pPr>
      <w:bookmarkStart w:id="4" w:name="_Toc352756751"/>
      <w:bookmarkStart w:id="5" w:name="_Toc40475102"/>
      <w:r w:rsidRPr="001F731F">
        <w:rPr>
          <w:rFonts w:ascii="Arial" w:hAnsi="Arial" w:cs="Arial"/>
          <w:sz w:val="22"/>
          <w:szCs w:val="22"/>
          <w:lang w:val="es-ES_tradnl"/>
        </w:rPr>
        <w:lastRenderedPageBreak/>
        <w:t>Introducción</w:t>
      </w:r>
      <w:bookmarkEnd w:id="4"/>
      <w:bookmarkEnd w:id="5"/>
    </w:p>
    <w:p w14:paraId="3E795880" w14:textId="46068509" w:rsidR="00FE370C" w:rsidRPr="00FE370C" w:rsidRDefault="00FE370C" w:rsidP="00454CB5">
      <w:pPr>
        <w:pStyle w:val="Paragraph"/>
        <w:numPr>
          <w:ilvl w:val="1"/>
          <w:numId w:val="4"/>
        </w:numPr>
        <w:ind w:left="630" w:hanging="630"/>
        <w:rPr>
          <w:rFonts w:ascii="Arial" w:hAnsi="Arial" w:cs="Arial"/>
          <w:sz w:val="22"/>
          <w:szCs w:val="22"/>
          <w:lang w:val="es-ES_tradnl"/>
        </w:rPr>
      </w:pPr>
      <w:r>
        <w:rPr>
          <w:rFonts w:ascii="Arial" w:hAnsi="Arial" w:cs="Arial"/>
          <w:b/>
          <w:bCs/>
          <w:sz w:val="22"/>
          <w:szCs w:val="22"/>
          <w:lang w:val="es-ES_tradnl"/>
        </w:rPr>
        <w:t xml:space="preserve">Reformulación. </w:t>
      </w:r>
      <w:r>
        <w:rPr>
          <w:rFonts w:ascii="Arial" w:hAnsi="Arial" w:cs="Arial"/>
          <w:sz w:val="22"/>
          <w:szCs w:val="22"/>
          <w:lang w:val="es-ES_tradnl"/>
        </w:rPr>
        <w:t xml:space="preserve">El presente documento recoge el Plan de Monitoreo y Evaluación correspondiente a la propuesta de reformulación que comprende, a solicitud del Gobierno de Argentina, la reorientación de recursos por un monto de US$500 millones de saldos y recursos disponibles y no comprometidos de nueve </w:t>
      </w:r>
      <w:r w:rsidR="00A16BDA">
        <w:rPr>
          <w:rFonts w:ascii="Arial" w:hAnsi="Arial" w:cs="Arial"/>
          <w:sz w:val="22"/>
          <w:szCs w:val="22"/>
          <w:lang w:val="es-ES_tradnl"/>
        </w:rPr>
        <w:t xml:space="preserve">(9) </w:t>
      </w:r>
      <w:r>
        <w:rPr>
          <w:rFonts w:ascii="Arial" w:hAnsi="Arial" w:cs="Arial"/>
          <w:sz w:val="22"/>
          <w:szCs w:val="22"/>
          <w:lang w:val="es-ES_tradnl"/>
        </w:rPr>
        <w:t>operaciones de préstamos de inversión aprobadas por el Directorio Ejecutivo y actualmente en ejecución. El documento principal recoge los detalles pertinentes referidos a la reformulación propuesta.</w:t>
      </w:r>
    </w:p>
    <w:p w14:paraId="255F09F1" w14:textId="5DF4582E" w:rsidR="00454CB5" w:rsidRPr="00A8655B" w:rsidRDefault="00454CB5" w:rsidP="00454CB5">
      <w:pPr>
        <w:pStyle w:val="Paragraph"/>
        <w:numPr>
          <w:ilvl w:val="1"/>
          <w:numId w:val="4"/>
        </w:numPr>
        <w:ind w:left="630" w:hanging="630"/>
        <w:rPr>
          <w:rFonts w:ascii="Arial" w:hAnsi="Arial" w:cs="Arial"/>
          <w:sz w:val="22"/>
          <w:szCs w:val="22"/>
          <w:lang w:val="es-ES_tradnl"/>
        </w:rPr>
      </w:pPr>
      <w:r w:rsidRPr="00454CB5">
        <w:rPr>
          <w:rFonts w:ascii="Arial" w:hAnsi="Arial" w:cs="Arial"/>
          <w:b/>
          <w:bCs/>
          <w:sz w:val="22"/>
          <w:szCs w:val="22"/>
          <w:lang w:val="es-ES_tradnl"/>
        </w:rPr>
        <w:t xml:space="preserve">Antecedentes de la intervención. </w:t>
      </w:r>
      <w:r w:rsidR="00BA5219" w:rsidRPr="00506016">
        <w:rPr>
          <w:rFonts w:ascii="Arial" w:hAnsi="Arial" w:cs="Arial"/>
          <w:sz w:val="22"/>
          <w:szCs w:val="22"/>
          <w:lang w:val="es-ES"/>
        </w:rPr>
        <w:t xml:space="preserve">El 11 de marzo de 2020, la Organización Mundial de la Salud (OMS) caracterizó como una pandemia a la enfermedad COVID-19, causada por el virus que afecta las vías respiratorias, novel-Coronavirus o nCoV2019. </w:t>
      </w:r>
      <w:r w:rsidR="005F1FE7" w:rsidRPr="005F1FE7">
        <w:rPr>
          <w:rFonts w:ascii="Arial" w:hAnsi="Arial" w:cs="Arial"/>
          <w:sz w:val="22"/>
          <w:szCs w:val="22"/>
          <w:lang w:val="es-ES"/>
        </w:rPr>
        <w:t>A la fecha 27 de mayo de 2020, según la OMS se registran más de 5,5 millones de casos confirmados en 217 países, que han resultado en más de 349 mil muertes</w:t>
      </w:r>
      <w:r w:rsidR="00725B30" w:rsidRPr="00506016">
        <w:rPr>
          <w:rFonts w:ascii="Arial" w:hAnsi="Arial" w:cs="Arial"/>
          <w:sz w:val="22"/>
          <w:szCs w:val="22"/>
          <w:vertAlign w:val="superscript"/>
          <w:lang w:val="es-ES"/>
        </w:rPr>
        <w:footnoteReference w:id="2"/>
      </w:r>
      <w:r w:rsidR="005F1FE7" w:rsidRPr="005F1FE7">
        <w:rPr>
          <w:rFonts w:ascii="Arial" w:hAnsi="Arial" w:cs="Arial"/>
          <w:sz w:val="22"/>
          <w:szCs w:val="22"/>
          <w:lang w:val="es-ES"/>
        </w:rPr>
        <w:t>. En América Latina y el Caribe (ALC) se han reportado cerca de 811 mil casos confirmados de COVID-19, en todos los países de la región de ALC, y 29 mil fallecidos, mientras que en Argentina se reportan 13 mil casos con 648 fallecidos</w:t>
      </w:r>
      <w:r w:rsidR="00E707A7" w:rsidRPr="00506016">
        <w:rPr>
          <w:rFonts w:ascii="Arial" w:hAnsi="Arial" w:cs="Arial"/>
          <w:sz w:val="22"/>
          <w:szCs w:val="22"/>
          <w:vertAlign w:val="superscript"/>
          <w:lang w:val="es-ES"/>
        </w:rPr>
        <w:footnoteReference w:id="3"/>
      </w:r>
      <w:r w:rsidR="005F1FE7" w:rsidRPr="005F1FE7">
        <w:rPr>
          <w:rFonts w:ascii="Arial" w:hAnsi="Arial" w:cs="Arial"/>
          <w:sz w:val="22"/>
          <w:szCs w:val="22"/>
          <w:lang w:val="es-ES"/>
        </w:rPr>
        <w:t>. Se espera que el número de casos, el número de muertes y el número de países afectados siga aumentando.</w:t>
      </w:r>
    </w:p>
    <w:p w14:paraId="0D69BEDF" w14:textId="7A3E3DCC" w:rsidR="00BA5219" w:rsidRPr="00BA5219" w:rsidRDefault="00BA5219" w:rsidP="00454CB5">
      <w:pPr>
        <w:pStyle w:val="Paragraph"/>
        <w:numPr>
          <w:ilvl w:val="1"/>
          <w:numId w:val="4"/>
        </w:numPr>
        <w:ind w:left="630" w:hanging="630"/>
        <w:rPr>
          <w:rFonts w:ascii="Arial" w:hAnsi="Arial" w:cs="Arial"/>
          <w:sz w:val="22"/>
          <w:szCs w:val="22"/>
          <w:lang w:val="es-ES_tradnl"/>
        </w:rPr>
      </w:pPr>
      <w:r>
        <w:rPr>
          <w:rFonts w:ascii="Arial" w:hAnsi="Arial" w:cs="Arial"/>
          <w:b/>
          <w:bCs/>
          <w:sz w:val="22"/>
          <w:szCs w:val="22"/>
          <w:lang w:val="es-ES_tradnl"/>
        </w:rPr>
        <w:t xml:space="preserve">Contexto macroeconómico y social. </w:t>
      </w:r>
      <w:r>
        <w:rPr>
          <w:rFonts w:ascii="Arial" w:hAnsi="Arial" w:cs="Arial"/>
          <w:sz w:val="22"/>
          <w:szCs w:val="22"/>
          <w:lang w:val="es-ES_tradnl"/>
        </w:rPr>
        <w:t>L</w:t>
      </w:r>
      <w:r w:rsidRPr="00A8655B">
        <w:rPr>
          <w:rFonts w:ascii="Arial" w:hAnsi="Arial" w:cs="Arial"/>
          <w:sz w:val="22"/>
          <w:szCs w:val="22"/>
          <w:lang w:val="es-ES_tradnl"/>
        </w:rPr>
        <w:t>o</w:t>
      </w:r>
      <w:r>
        <w:rPr>
          <w:rFonts w:ascii="Arial" w:hAnsi="Arial" w:cs="Arial"/>
          <w:sz w:val="22"/>
          <w:szCs w:val="22"/>
          <w:lang w:val="es-ES_tradnl"/>
        </w:rPr>
        <w:t>s</w:t>
      </w:r>
      <w:r w:rsidRPr="00A8655B">
        <w:rPr>
          <w:rFonts w:ascii="Arial" w:hAnsi="Arial" w:cs="Arial"/>
          <w:sz w:val="22"/>
          <w:szCs w:val="22"/>
          <w:lang w:val="es-ES_tradnl"/>
        </w:rPr>
        <w:t xml:space="preserve"> impactos económicos en distintos canales</w:t>
      </w:r>
      <w:r>
        <w:rPr>
          <w:rFonts w:ascii="Arial" w:hAnsi="Arial" w:cs="Arial"/>
          <w:sz w:val="22"/>
          <w:szCs w:val="22"/>
          <w:lang w:val="es-ES_tradnl"/>
        </w:rPr>
        <w:t xml:space="preserve"> que se derivan del COVID-19 se ha concretado, en </w:t>
      </w:r>
      <w:r w:rsidRPr="00BA5219">
        <w:rPr>
          <w:rFonts w:ascii="Arial" w:hAnsi="Arial" w:cs="Arial"/>
          <w:sz w:val="22"/>
          <w:szCs w:val="22"/>
          <w:lang w:val="es-ES"/>
        </w:rPr>
        <w:t>las proyecciones más recientes divulgadas por organismos internacionales y analistas de mercado</w:t>
      </w:r>
      <w:r w:rsidRPr="00A8655B">
        <w:rPr>
          <w:rFonts w:ascii="Arial" w:hAnsi="Arial" w:cs="Arial"/>
          <w:sz w:val="22"/>
          <w:szCs w:val="22"/>
          <w:lang w:val="es-ES_tradnl"/>
        </w:rPr>
        <w:t xml:space="preserve">, </w:t>
      </w:r>
      <w:r>
        <w:rPr>
          <w:rFonts w:ascii="Arial" w:hAnsi="Arial" w:cs="Arial"/>
          <w:sz w:val="22"/>
          <w:szCs w:val="22"/>
          <w:lang w:val="es-ES_tradnl"/>
        </w:rPr>
        <w:t xml:space="preserve">en una caída de </w:t>
      </w:r>
      <w:r w:rsidRPr="00BA5219">
        <w:rPr>
          <w:rFonts w:ascii="Arial" w:hAnsi="Arial" w:cs="Arial"/>
          <w:sz w:val="22"/>
          <w:szCs w:val="22"/>
          <w:lang w:val="es-ES"/>
        </w:rPr>
        <w:t xml:space="preserve">entre un </w:t>
      </w:r>
      <w:r w:rsidR="00246D61">
        <w:rPr>
          <w:rFonts w:ascii="Arial" w:hAnsi="Arial" w:cs="Arial"/>
          <w:sz w:val="22"/>
          <w:szCs w:val="22"/>
          <w:lang w:val="es-ES"/>
        </w:rPr>
        <w:t>10</w:t>
      </w:r>
      <w:r w:rsidRPr="00BA5219">
        <w:rPr>
          <w:rFonts w:ascii="Arial" w:hAnsi="Arial" w:cs="Arial"/>
          <w:sz w:val="22"/>
          <w:szCs w:val="22"/>
          <w:lang w:val="es-ES"/>
        </w:rPr>
        <w:t>% y un 1</w:t>
      </w:r>
      <w:r w:rsidR="00246D61">
        <w:rPr>
          <w:rFonts w:ascii="Arial" w:hAnsi="Arial" w:cs="Arial"/>
          <w:sz w:val="22"/>
          <w:szCs w:val="22"/>
          <w:lang w:val="es-ES"/>
        </w:rPr>
        <w:t>2</w:t>
      </w:r>
      <w:r w:rsidRPr="00BA5219">
        <w:rPr>
          <w:rFonts w:ascii="Arial" w:hAnsi="Arial" w:cs="Arial"/>
          <w:sz w:val="22"/>
          <w:szCs w:val="22"/>
          <w:lang w:val="es-ES"/>
        </w:rPr>
        <w:t xml:space="preserve">% </w:t>
      </w:r>
      <w:r>
        <w:rPr>
          <w:rFonts w:ascii="Arial" w:hAnsi="Arial" w:cs="Arial"/>
          <w:sz w:val="22"/>
          <w:szCs w:val="22"/>
          <w:lang w:val="es-ES"/>
        </w:rPr>
        <w:t xml:space="preserve">del </w:t>
      </w:r>
      <w:r w:rsidR="00A16BDA">
        <w:rPr>
          <w:rFonts w:ascii="Arial" w:hAnsi="Arial" w:cs="Arial"/>
          <w:sz w:val="22"/>
          <w:szCs w:val="22"/>
          <w:lang w:val="es-ES"/>
        </w:rPr>
        <w:t>Producto Bruto Interno (PBI)</w:t>
      </w:r>
      <w:r>
        <w:rPr>
          <w:rFonts w:ascii="Arial" w:hAnsi="Arial" w:cs="Arial"/>
          <w:sz w:val="22"/>
          <w:szCs w:val="22"/>
          <w:lang w:val="es-ES"/>
        </w:rPr>
        <w:t xml:space="preserve"> </w:t>
      </w:r>
      <w:r w:rsidRPr="00BA5219">
        <w:rPr>
          <w:rFonts w:ascii="Arial" w:hAnsi="Arial" w:cs="Arial"/>
          <w:sz w:val="22"/>
          <w:szCs w:val="22"/>
          <w:lang w:val="es-ES"/>
        </w:rPr>
        <w:t xml:space="preserve">en 2020, con riesgos adicionales a la baja, tras haber caído 2,2% en 2019. </w:t>
      </w:r>
      <w:r>
        <w:rPr>
          <w:rFonts w:ascii="Arial" w:hAnsi="Arial" w:cs="Arial"/>
          <w:sz w:val="22"/>
          <w:szCs w:val="22"/>
          <w:lang w:val="es-ES"/>
        </w:rPr>
        <w:t>En este contexto, l</w:t>
      </w:r>
      <w:r w:rsidRPr="00BA5219">
        <w:rPr>
          <w:rFonts w:ascii="Arial" w:hAnsi="Arial" w:cs="Arial"/>
          <w:sz w:val="22"/>
          <w:szCs w:val="22"/>
          <w:lang w:val="es-ES"/>
        </w:rPr>
        <w:t xml:space="preserve">as </w:t>
      </w:r>
      <w:r w:rsidR="00A16BDA">
        <w:rPr>
          <w:rFonts w:ascii="Arial" w:hAnsi="Arial" w:cs="Arial"/>
          <w:sz w:val="22"/>
          <w:szCs w:val="22"/>
          <w:lang w:val="es-ES"/>
        </w:rPr>
        <w:t>a</w:t>
      </w:r>
      <w:r w:rsidRPr="00BA5219">
        <w:rPr>
          <w:rFonts w:ascii="Arial" w:hAnsi="Arial" w:cs="Arial"/>
          <w:sz w:val="22"/>
          <w:szCs w:val="22"/>
          <w:lang w:val="es-ES"/>
        </w:rPr>
        <w:t xml:space="preserve">utoridades están buscando atenuar el impacto recesivo y regresivo del </w:t>
      </w:r>
      <w:r w:rsidRPr="00DD3FD0">
        <w:rPr>
          <w:rFonts w:ascii="Arial" w:hAnsi="Arial" w:cs="Arial"/>
          <w:i/>
          <w:iCs/>
          <w:sz w:val="22"/>
          <w:szCs w:val="22"/>
          <w:lang w:val="es-ES"/>
        </w:rPr>
        <w:t>shock</w:t>
      </w:r>
      <w:r w:rsidRPr="00BA5219">
        <w:rPr>
          <w:rFonts w:ascii="Arial" w:hAnsi="Arial" w:cs="Arial"/>
          <w:sz w:val="22"/>
          <w:szCs w:val="22"/>
          <w:lang w:val="es-ES"/>
        </w:rPr>
        <w:t xml:space="preserve"> con una batería de medidas para asistir a los segmentos más golpeados y a los grupos más vulnerables, pero el espacio fiscal es limitado. El COVID-19 implicará un importante deterioro fiscal a medida que la recesión afecte la recaudación impositiva y las medidas adoptadas expandan el gasto público. El déficit primario podría superar el 6% en 2020 si el paquete fiscal puesto en marcha para contener el impacto del virus no es compensando con recorte de otros gastos. Sumado a ello, el COVID-19 y la mayor aversión global al riesgo plantean desafíos importantes para una resolución rápida del proceso de renegociación de la deuda y la viabilidad financiera de varias provincias</w:t>
      </w:r>
      <w:r>
        <w:rPr>
          <w:rFonts w:ascii="Arial" w:hAnsi="Arial" w:cs="Arial"/>
          <w:sz w:val="22"/>
          <w:szCs w:val="22"/>
          <w:lang w:val="es-ES"/>
        </w:rPr>
        <w:t>.</w:t>
      </w:r>
    </w:p>
    <w:p w14:paraId="05F32126" w14:textId="451BB55E" w:rsidR="00A8655B" w:rsidRDefault="00A8655B" w:rsidP="00A8655B">
      <w:pPr>
        <w:pStyle w:val="Paragraph"/>
        <w:numPr>
          <w:ilvl w:val="1"/>
          <w:numId w:val="4"/>
        </w:numPr>
        <w:ind w:left="630" w:hanging="630"/>
        <w:rPr>
          <w:rFonts w:ascii="Arial" w:hAnsi="Arial" w:cs="Arial"/>
          <w:sz w:val="22"/>
          <w:szCs w:val="22"/>
          <w:lang w:val="es-ES_tradnl"/>
        </w:rPr>
      </w:pPr>
      <w:r w:rsidRPr="00A8655B">
        <w:rPr>
          <w:rFonts w:ascii="Arial" w:hAnsi="Arial" w:cs="Arial"/>
          <w:b/>
          <w:bCs/>
          <w:sz w:val="22"/>
          <w:szCs w:val="22"/>
          <w:lang w:val="es-ES_tradnl"/>
        </w:rPr>
        <w:t>La importancia de la M</w:t>
      </w:r>
      <w:r w:rsidR="00A16BDA">
        <w:rPr>
          <w:rFonts w:ascii="Arial" w:hAnsi="Arial" w:cs="Arial"/>
          <w:b/>
          <w:bCs/>
          <w:sz w:val="22"/>
          <w:szCs w:val="22"/>
          <w:lang w:val="es-ES_tradnl"/>
        </w:rPr>
        <w:t>icro, Pequeña y Mediana Empresa (M</w:t>
      </w:r>
      <w:r w:rsidRPr="00A8655B">
        <w:rPr>
          <w:rFonts w:ascii="Arial" w:hAnsi="Arial" w:cs="Arial"/>
          <w:b/>
          <w:bCs/>
          <w:sz w:val="22"/>
          <w:szCs w:val="22"/>
          <w:lang w:val="es-ES_tradnl"/>
        </w:rPr>
        <w:t>IPYME</w:t>
      </w:r>
      <w:r w:rsidR="00A16BDA">
        <w:rPr>
          <w:rFonts w:ascii="Arial" w:hAnsi="Arial" w:cs="Arial"/>
          <w:b/>
          <w:bCs/>
          <w:sz w:val="22"/>
          <w:szCs w:val="22"/>
          <w:lang w:val="es-ES_tradnl"/>
        </w:rPr>
        <w:t>)</w:t>
      </w:r>
      <w:r w:rsidRPr="00A8655B">
        <w:rPr>
          <w:rFonts w:ascii="Arial" w:hAnsi="Arial" w:cs="Arial"/>
          <w:b/>
          <w:bCs/>
          <w:sz w:val="22"/>
          <w:szCs w:val="22"/>
          <w:lang w:val="es-ES_tradnl"/>
        </w:rPr>
        <w:t xml:space="preserve"> en la economía</w:t>
      </w:r>
      <w:r w:rsidRPr="00DD3FD0">
        <w:rPr>
          <w:rFonts w:ascii="Arial" w:hAnsi="Arial" w:cs="Arial"/>
          <w:b/>
          <w:bCs/>
          <w:sz w:val="22"/>
          <w:szCs w:val="22"/>
          <w:lang w:val="es-ES_tradnl"/>
        </w:rPr>
        <w:t>.</w:t>
      </w:r>
      <w:r w:rsidRPr="00A8655B">
        <w:rPr>
          <w:rFonts w:ascii="Arial" w:hAnsi="Arial" w:cs="Arial"/>
          <w:sz w:val="22"/>
          <w:szCs w:val="22"/>
          <w:lang w:val="es-ES_tradnl"/>
        </w:rPr>
        <w:t xml:space="preserve"> </w:t>
      </w:r>
      <w:r w:rsidR="00657553" w:rsidRPr="00657553">
        <w:rPr>
          <w:rFonts w:ascii="Arial" w:hAnsi="Arial" w:cs="Arial"/>
          <w:sz w:val="22"/>
          <w:szCs w:val="22"/>
          <w:lang w:val="es-ES_tradnl"/>
        </w:rPr>
        <w:t xml:space="preserve">En el caso de Argentina, la MIPYME concentra el 77,3% del total del empleo privado registrado con 1.066.351 MIPYME, </w:t>
      </w:r>
      <w:r w:rsidR="00D50774">
        <w:rPr>
          <w:rFonts w:ascii="Arial" w:hAnsi="Arial" w:cs="Arial"/>
          <w:sz w:val="22"/>
          <w:szCs w:val="22"/>
          <w:lang w:val="es-ES_tradnl"/>
        </w:rPr>
        <w:t>591.000</w:t>
      </w:r>
      <w:r w:rsidR="00657553" w:rsidRPr="00657553">
        <w:rPr>
          <w:rFonts w:ascii="Arial" w:hAnsi="Arial" w:cs="Arial"/>
          <w:sz w:val="22"/>
          <w:szCs w:val="22"/>
          <w:lang w:val="es-ES_tradnl"/>
        </w:rPr>
        <w:t xml:space="preserve"> registradas (SEPYME, 2020), y contribuyen en un 30% del valor agregado. </w:t>
      </w:r>
      <w:r w:rsidR="00514234" w:rsidRPr="008F4D57">
        <w:rPr>
          <w:rFonts w:ascii="Arial" w:hAnsi="Arial" w:cs="Arial"/>
          <w:sz w:val="22"/>
          <w:szCs w:val="22"/>
          <w:lang w:val="es-ES"/>
        </w:rPr>
        <w:t>La ve</w:t>
      </w:r>
      <w:r w:rsidR="00514234" w:rsidRPr="00D64708">
        <w:rPr>
          <w:rFonts w:ascii="Arial" w:hAnsi="Arial" w:cs="Arial"/>
          <w:sz w:val="22"/>
          <w:szCs w:val="22"/>
          <w:lang w:val="es-ES"/>
        </w:rPr>
        <w:t>l</w:t>
      </w:r>
      <w:r w:rsidR="00514234" w:rsidRPr="006F3785">
        <w:rPr>
          <w:rFonts w:ascii="Arial" w:hAnsi="Arial" w:cs="Arial"/>
          <w:sz w:val="22"/>
          <w:szCs w:val="22"/>
          <w:lang w:val="es-ES"/>
        </w:rPr>
        <w:t>ocidad esperada de propagación</w:t>
      </w:r>
      <w:r w:rsidR="00514234" w:rsidRPr="00F413A0">
        <w:rPr>
          <w:rFonts w:ascii="Arial" w:hAnsi="Arial" w:cs="Arial"/>
          <w:sz w:val="22"/>
          <w:szCs w:val="22"/>
          <w:lang w:val="es-ES"/>
        </w:rPr>
        <w:t xml:space="preserve"> </w:t>
      </w:r>
      <w:r w:rsidR="00514234" w:rsidRPr="00B40281">
        <w:rPr>
          <w:rFonts w:ascii="Arial" w:hAnsi="Arial" w:cs="Arial"/>
          <w:sz w:val="22"/>
          <w:szCs w:val="22"/>
          <w:lang w:val="es-ES"/>
        </w:rPr>
        <w:t>de la recesión</w:t>
      </w:r>
      <w:r w:rsidR="00514234" w:rsidRPr="006249D6">
        <w:rPr>
          <w:rFonts w:ascii="Arial" w:hAnsi="Arial" w:cs="Arial"/>
          <w:sz w:val="22"/>
          <w:szCs w:val="22"/>
          <w:lang w:val="es-ES"/>
        </w:rPr>
        <w:t xml:space="preserve"> económica</w:t>
      </w:r>
      <w:r w:rsidR="00514234" w:rsidRPr="00502314">
        <w:rPr>
          <w:rFonts w:ascii="Arial" w:hAnsi="Arial" w:cs="Arial"/>
          <w:sz w:val="22"/>
          <w:szCs w:val="22"/>
          <w:lang w:val="es-ES"/>
        </w:rPr>
        <w:t xml:space="preserve"> a </w:t>
      </w:r>
      <w:r w:rsidR="00514234" w:rsidRPr="00B2623E">
        <w:rPr>
          <w:rFonts w:ascii="Arial" w:hAnsi="Arial" w:cs="Arial"/>
          <w:sz w:val="22"/>
          <w:szCs w:val="22"/>
          <w:lang w:val="es-ES"/>
        </w:rPr>
        <w:t xml:space="preserve">la </w:t>
      </w:r>
      <w:r w:rsidR="00514234" w:rsidRPr="009B7B46">
        <w:rPr>
          <w:rFonts w:ascii="Arial" w:hAnsi="Arial" w:cs="Arial"/>
          <w:sz w:val="22"/>
          <w:szCs w:val="22"/>
          <w:lang w:val="es-ES"/>
        </w:rPr>
        <w:t xml:space="preserve">MIPYME </w:t>
      </w:r>
      <w:r w:rsidR="00514234" w:rsidRPr="00AA1D42">
        <w:rPr>
          <w:rFonts w:ascii="Arial" w:hAnsi="Arial" w:cs="Arial"/>
          <w:sz w:val="22"/>
          <w:szCs w:val="22"/>
          <w:lang w:val="es-ES"/>
        </w:rPr>
        <w:t xml:space="preserve">es alta </w:t>
      </w:r>
      <w:r w:rsidR="00514234" w:rsidRPr="00787236">
        <w:rPr>
          <w:rFonts w:ascii="Arial" w:hAnsi="Arial" w:cs="Arial"/>
          <w:sz w:val="22"/>
          <w:szCs w:val="22"/>
          <w:lang w:val="es-ES"/>
        </w:rPr>
        <w:t>debido a que</w:t>
      </w:r>
      <w:r w:rsidR="00514234">
        <w:rPr>
          <w:rFonts w:ascii="Arial" w:hAnsi="Arial" w:cs="Arial"/>
          <w:sz w:val="22"/>
          <w:szCs w:val="22"/>
          <w:lang w:val="es-ES"/>
        </w:rPr>
        <w:t xml:space="preserve">: </w:t>
      </w:r>
      <w:r w:rsidR="00A16BDA">
        <w:rPr>
          <w:rFonts w:ascii="Arial" w:hAnsi="Arial" w:cs="Arial"/>
          <w:sz w:val="22"/>
          <w:szCs w:val="22"/>
          <w:lang w:val="es-ES"/>
        </w:rPr>
        <w:t>(</w:t>
      </w:r>
      <w:r w:rsidR="00514234">
        <w:rPr>
          <w:rFonts w:ascii="Arial" w:hAnsi="Arial" w:cs="Arial"/>
          <w:sz w:val="22"/>
          <w:szCs w:val="22"/>
          <w:lang w:val="es-ES"/>
        </w:rPr>
        <w:t xml:space="preserve">i) </w:t>
      </w:r>
      <w:r w:rsidR="00514234" w:rsidRPr="2EB4F83A">
        <w:rPr>
          <w:rFonts w:ascii="Arial" w:hAnsi="Arial" w:cs="Arial"/>
          <w:sz w:val="22"/>
          <w:szCs w:val="22"/>
          <w:lang w:val="es-ES"/>
        </w:rPr>
        <w:t>se encuentran integradas en muchas cadenas de valor que son fundamentales para la producción de bienes y servicios de primera necesidad para las economías y los ciudadanos de la región</w:t>
      </w:r>
      <w:r w:rsidR="00572EA2">
        <w:rPr>
          <w:rFonts w:ascii="Arial" w:hAnsi="Arial" w:cs="Arial"/>
          <w:sz w:val="22"/>
          <w:szCs w:val="22"/>
          <w:lang w:val="es-ES"/>
        </w:rPr>
        <w:t>;</w:t>
      </w:r>
      <w:r w:rsidR="00514234" w:rsidRPr="2EB4F83A">
        <w:rPr>
          <w:rFonts w:ascii="Arial" w:hAnsi="Arial" w:cs="Arial"/>
          <w:sz w:val="22"/>
          <w:szCs w:val="22"/>
          <w:lang w:val="es-ES"/>
        </w:rPr>
        <w:t xml:space="preserve"> </w:t>
      </w:r>
      <w:r w:rsidR="00514234">
        <w:rPr>
          <w:rFonts w:ascii="Arial" w:hAnsi="Arial" w:cs="Arial"/>
          <w:sz w:val="22"/>
          <w:szCs w:val="22"/>
          <w:lang w:val="es-ES"/>
        </w:rPr>
        <w:t xml:space="preserve">y </w:t>
      </w:r>
      <w:r w:rsidR="00A16BDA">
        <w:rPr>
          <w:rFonts w:ascii="Arial" w:hAnsi="Arial" w:cs="Arial"/>
          <w:sz w:val="22"/>
          <w:szCs w:val="22"/>
          <w:lang w:val="es-ES"/>
        </w:rPr>
        <w:t>(</w:t>
      </w:r>
      <w:r w:rsidR="00514234">
        <w:rPr>
          <w:rFonts w:ascii="Arial" w:hAnsi="Arial" w:cs="Arial"/>
          <w:sz w:val="22"/>
          <w:szCs w:val="22"/>
          <w:lang w:val="es-ES"/>
        </w:rPr>
        <w:t>ii) se</w:t>
      </w:r>
      <w:r w:rsidR="00514234" w:rsidRPr="00787236">
        <w:rPr>
          <w:rFonts w:ascii="Arial" w:hAnsi="Arial" w:cs="Arial"/>
          <w:sz w:val="22"/>
          <w:szCs w:val="22"/>
          <w:lang w:val="es-ES"/>
        </w:rPr>
        <w:t xml:space="preserve"> ven a</w:t>
      </w:r>
      <w:r w:rsidR="00514234" w:rsidRPr="00F622F4">
        <w:rPr>
          <w:rFonts w:ascii="Arial" w:hAnsi="Arial" w:cs="Arial"/>
          <w:sz w:val="22"/>
          <w:szCs w:val="22"/>
          <w:lang w:val="es-ES"/>
        </w:rPr>
        <w:t>fectadas por los cinco canales de transmisión de impactos</w:t>
      </w:r>
      <w:r w:rsidR="00514234">
        <w:rPr>
          <w:rFonts w:ascii="Arial" w:hAnsi="Arial" w:cs="Arial"/>
          <w:sz w:val="22"/>
          <w:szCs w:val="22"/>
          <w:lang w:val="es-ES"/>
        </w:rPr>
        <w:t xml:space="preserve">: </w:t>
      </w:r>
      <w:r w:rsidR="00514234" w:rsidRPr="00514234">
        <w:rPr>
          <w:rFonts w:ascii="Arial" w:hAnsi="Arial" w:cs="Arial"/>
          <w:sz w:val="22"/>
          <w:szCs w:val="22"/>
          <w:lang w:val="es-ES"/>
        </w:rPr>
        <w:t>(</w:t>
      </w:r>
      <w:r w:rsidR="00514234">
        <w:rPr>
          <w:rFonts w:ascii="Arial" w:hAnsi="Arial" w:cs="Arial"/>
          <w:sz w:val="22"/>
          <w:szCs w:val="22"/>
          <w:lang w:val="es-ES"/>
        </w:rPr>
        <w:t>a</w:t>
      </w:r>
      <w:r w:rsidR="00514234" w:rsidRPr="00514234">
        <w:rPr>
          <w:rFonts w:ascii="Arial" w:hAnsi="Arial" w:cs="Arial"/>
          <w:sz w:val="22"/>
          <w:szCs w:val="22"/>
          <w:lang w:val="es-ES"/>
        </w:rPr>
        <w:t>) disminución de la actividad económica de los principales socios comerciales que impactará las demanda por exportaciones; (</w:t>
      </w:r>
      <w:r w:rsidR="00514234">
        <w:rPr>
          <w:rFonts w:ascii="Arial" w:hAnsi="Arial" w:cs="Arial"/>
          <w:sz w:val="22"/>
          <w:szCs w:val="22"/>
          <w:lang w:val="es-ES"/>
        </w:rPr>
        <w:t>b</w:t>
      </w:r>
      <w:r w:rsidR="00514234" w:rsidRPr="00514234">
        <w:rPr>
          <w:rFonts w:ascii="Arial" w:hAnsi="Arial" w:cs="Arial"/>
          <w:sz w:val="22"/>
          <w:szCs w:val="22"/>
          <w:lang w:val="es-ES"/>
        </w:rPr>
        <w:t>) caída en la demanda por servicios de turismo; (</w:t>
      </w:r>
      <w:r w:rsidR="00514234">
        <w:rPr>
          <w:rFonts w:ascii="Arial" w:hAnsi="Arial" w:cs="Arial"/>
          <w:sz w:val="22"/>
          <w:szCs w:val="22"/>
          <w:lang w:val="es-ES"/>
        </w:rPr>
        <w:t>c</w:t>
      </w:r>
      <w:r w:rsidR="00514234" w:rsidRPr="00514234">
        <w:rPr>
          <w:rFonts w:ascii="Arial" w:hAnsi="Arial" w:cs="Arial"/>
          <w:sz w:val="22"/>
          <w:szCs w:val="22"/>
          <w:lang w:val="es-ES"/>
        </w:rPr>
        <w:t>)</w:t>
      </w:r>
      <w:r w:rsidR="00D31FFA">
        <w:rPr>
          <w:rFonts w:ascii="Arial" w:hAnsi="Arial" w:cs="Arial"/>
          <w:sz w:val="22"/>
          <w:szCs w:val="22"/>
          <w:lang w:val="es-ES"/>
        </w:rPr>
        <w:t> </w:t>
      </w:r>
      <w:r w:rsidR="00514234" w:rsidRPr="00514234">
        <w:rPr>
          <w:rFonts w:ascii="Arial" w:hAnsi="Arial" w:cs="Arial"/>
          <w:sz w:val="22"/>
          <w:szCs w:val="22"/>
          <w:lang w:val="es-ES"/>
        </w:rPr>
        <w:t>interrupción de las cadenas globales de valor; (</w:t>
      </w:r>
      <w:r w:rsidR="00514234">
        <w:rPr>
          <w:rFonts w:ascii="Arial" w:hAnsi="Arial" w:cs="Arial"/>
          <w:sz w:val="22"/>
          <w:szCs w:val="22"/>
          <w:lang w:val="es-ES"/>
        </w:rPr>
        <w:t>d</w:t>
      </w:r>
      <w:r w:rsidR="00514234" w:rsidRPr="00514234">
        <w:rPr>
          <w:rFonts w:ascii="Arial" w:hAnsi="Arial" w:cs="Arial"/>
          <w:sz w:val="22"/>
          <w:szCs w:val="22"/>
          <w:lang w:val="es-ES"/>
        </w:rPr>
        <w:t>) caída en precios de productos básicos; y (</w:t>
      </w:r>
      <w:r w:rsidR="00514234">
        <w:rPr>
          <w:rFonts w:ascii="Arial" w:hAnsi="Arial" w:cs="Arial"/>
          <w:sz w:val="22"/>
          <w:szCs w:val="22"/>
          <w:lang w:val="es-ES"/>
        </w:rPr>
        <w:t>e</w:t>
      </w:r>
      <w:r w:rsidR="00514234" w:rsidRPr="00514234">
        <w:rPr>
          <w:rFonts w:ascii="Arial" w:hAnsi="Arial" w:cs="Arial"/>
          <w:sz w:val="22"/>
          <w:szCs w:val="22"/>
          <w:lang w:val="es-ES"/>
        </w:rPr>
        <w:t>) empeoramiento de las condiciones financieras</w:t>
      </w:r>
      <w:r w:rsidR="00514234">
        <w:rPr>
          <w:rStyle w:val="FootnoteReference"/>
          <w:rFonts w:ascii="Arial" w:hAnsi="Arial" w:cs="Arial"/>
          <w:sz w:val="22"/>
          <w:szCs w:val="22"/>
          <w:lang w:val="es-ES"/>
        </w:rPr>
        <w:footnoteReference w:id="4"/>
      </w:r>
      <w:r w:rsidR="00514234" w:rsidRPr="00A3512E">
        <w:rPr>
          <w:rFonts w:ascii="Arial" w:hAnsi="Arial" w:cs="Arial"/>
          <w:sz w:val="22"/>
          <w:szCs w:val="22"/>
          <w:lang w:val="es-ES"/>
        </w:rPr>
        <w:t>, siendo los más críticos para ellas el descenso de la actividad económica y el empeoramiento de las condiciones financieras</w:t>
      </w:r>
      <w:r>
        <w:rPr>
          <w:rFonts w:ascii="Arial" w:hAnsi="Arial" w:cs="Arial"/>
          <w:sz w:val="22"/>
          <w:szCs w:val="22"/>
          <w:lang w:val="es-ES_tradnl"/>
        </w:rPr>
        <w:t xml:space="preserve">. </w:t>
      </w:r>
    </w:p>
    <w:p w14:paraId="3BD482FA" w14:textId="045D7B83" w:rsidR="00514234" w:rsidRPr="00514234" w:rsidRDefault="00A8655B" w:rsidP="00A8655B">
      <w:pPr>
        <w:pStyle w:val="Paragraph"/>
        <w:numPr>
          <w:ilvl w:val="1"/>
          <w:numId w:val="4"/>
        </w:numPr>
        <w:ind w:left="630" w:hanging="630"/>
        <w:rPr>
          <w:rFonts w:ascii="Arial" w:hAnsi="Arial" w:cs="Arial"/>
          <w:sz w:val="22"/>
          <w:szCs w:val="22"/>
          <w:lang w:val="es-ES_tradnl"/>
        </w:rPr>
      </w:pPr>
      <w:r>
        <w:rPr>
          <w:rFonts w:ascii="Arial" w:hAnsi="Arial" w:cs="Arial"/>
          <w:b/>
          <w:bCs/>
          <w:sz w:val="22"/>
          <w:szCs w:val="22"/>
          <w:lang w:val="es-ES_tradnl"/>
        </w:rPr>
        <w:lastRenderedPageBreak/>
        <w:t>Acceso al financiamiento</w:t>
      </w:r>
      <w:r w:rsidR="00657553">
        <w:rPr>
          <w:rFonts w:ascii="Arial" w:hAnsi="Arial" w:cs="Arial"/>
          <w:b/>
          <w:bCs/>
          <w:sz w:val="22"/>
          <w:szCs w:val="22"/>
          <w:lang w:val="es-ES_tradnl"/>
        </w:rPr>
        <w:t xml:space="preserve"> de la MIPYME en Argentina</w:t>
      </w:r>
      <w:r w:rsidRPr="00DD3FD0">
        <w:rPr>
          <w:rFonts w:ascii="Arial" w:hAnsi="Arial" w:cs="Arial"/>
          <w:b/>
          <w:bCs/>
          <w:sz w:val="22"/>
          <w:szCs w:val="22"/>
          <w:lang w:val="es-ES_tradnl"/>
        </w:rPr>
        <w:t>.</w:t>
      </w:r>
      <w:r w:rsidRPr="00A8655B">
        <w:rPr>
          <w:rFonts w:ascii="Arial" w:hAnsi="Arial" w:cs="Arial"/>
          <w:sz w:val="22"/>
          <w:szCs w:val="22"/>
          <w:lang w:val="es-ES_tradnl"/>
        </w:rPr>
        <w:t xml:space="preserve"> </w:t>
      </w:r>
      <w:r w:rsidR="00657553" w:rsidRPr="00657553">
        <w:rPr>
          <w:rFonts w:ascii="Arial" w:eastAsia="Arial" w:hAnsi="Arial" w:cs="Arial"/>
          <w:sz w:val="22"/>
          <w:szCs w:val="22"/>
          <w:lang w:val="es-ES"/>
        </w:rPr>
        <w:t>La dotación del financiamiento al sector privado es particularmente baja en Argentina, representando 14,8% del producto bruto interno (PBI) y clasificada en la posición 128 de los 141 países observados por el Foro Económico Mundial (FEM) al 2019</w:t>
      </w:r>
      <w:r w:rsidR="00657553">
        <w:rPr>
          <w:rStyle w:val="FootnoteReference"/>
          <w:rFonts w:ascii="Arial" w:eastAsia="Arial" w:hAnsi="Arial" w:cs="Arial"/>
          <w:sz w:val="22"/>
          <w:szCs w:val="22"/>
          <w:lang w:val="es-ES"/>
        </w:rPr>
        <w:footnoteReference w:id="5"/>
      </w:r>
      <w:r w:rsidR="00657553" w:rsidRPr="00657553">
        <w:rPr>
          <w:rFonts w:ascii="Arial" w:eastAsia="Arial" w:hAnsi="Arial" w:cs="Arial"/>
          <w:sz w:val="22"/>
          <w:szCs w:val="22"/>
          <w:lang w:val="es-ES"/>
        </w:rPr>
        <w:t>. Aún más acuciante es la situación de las</w:t>
      </w:r>
      <w:r w:rsidR="00D50774">
        <w:rPr>
          <w:rFonts w:ascii="Arial" w:eastAsia="Arial" w:hAnsi="Arial" w:cs="Arial"/>
          <w:sz w:val="22"/>
          <w:szCs w:val="22"/>
          <w:lang w:val="es-ES"/>
        </w:rPr>
        <w:t xml:space="preserve"> </w:t>
      </w:r>
      <w:r w:rsidR="00657553" w:rsidRPr="00657553">
        <w:rPr>
          <w:rFonts w:ascii="Arial" w:eastAsia="Arial" w:hAnsi="Arial" w:cs="Arial"/>
          <w:sz w:val="22"/>
          <w:szCs w:val="22"/>
          <w:lang w:val="es-ES"/>
        </w:rPr>
        <w:t>MIPYME</w:t>
      </w:r>
      <w:r w:rsidR="00657553">
        <w:rPr>
          <w:rStyle w:val="FootnoteReference"/>
          <w:rFonts w:ascii="Arial" w:eastAsia="Arial" w:hAnsi="Arial" w:cs="Arial"/>
          <w:sz w:val="22"/>
          <w:szCs w:val="22"/>
        </w:rPr>
        <w:footnoteReference w:id="6"/>
      </w:r>
      <w:r w:rsidR="00657553" w:rsidRPr="00657553">
        <w:rPr>
          <w:rFonts w:ascii="Arial" w:eastAsia="Arial" w:hAnsi="Arial" w:cs="Arial"/>
          <w:sz w:val="22"/>
          <w:szCs w:val="22"/>
          <w:lang w:val="es-ES"/>
        </w:rPr>
        <w:t>, que, representando 98% del tejido productivo</w:t>
      </w:r>
      <w:r w:rsidR="00D50774">
        <w:rPr>
          <w:rFonts w:ascii="Arial" w:eastAsia="Arial" w:hAnsi="Arial" w:cs="Arial"/>
          <w:sz w:val="22"/>
          <w:szCs w:val="22"/>
          <w:lang w:val="es-ES"/>
        </w:rPr>
        <w:t xml:space="preserve">, </w:t>
      </w:r>
      <w:r w:rsidR="00657553" w:rsidRPr="00657553">
        <w:rPr>
          <w:rFonts w:ascii="Arial" w:eastAsia="Arial" w:hAnsi="Arial" w:cs="Arial"/>
          <w:sz w:val="22"/>
          <w:szCs w:val="22"/>
          <w:lang w:val="es-ES"/>
        </w:rPr>
        <w:t>su acceso a crédito se limita a 2,7% del PBI al 2018. Según estimados de la Corporación Financiera Internacional (CFI), las MIPYME obtienen US$13 mil millones de financiamiento mientras que la brecha de financiamiento, es decir el monto no atendido de demanda por financiamiento de las MIPYME, es de US$86 mil millones al 2017, compuesto por US$66,6 mil millones de P</w:t>
      </w:r>
      <w:r w:rsidR="00A16BDA">
        <w:rPr>
          <w:rFonts w:ascii="Arial" w:eastAsia="Arial" w:hAnsi="Arial" w:cs="Arial"/>
          <w:sz w:val="22"/>
          <w:szCs w:val="22"/>
          <w:lang w:val="es-ES"/>
        </w:rPr>
        <w:t>equeñas y Medianas Empresas (P</w:t>
      </w:r>
      <w:r w:rsidR="00657553" w:rsidRPr="00657553">
        <w:rPr>
          <w:rFonts w:ascii="Arial" w:eastAsia="Arial" w:hAnsi="Arial" w:cs="Arial"/>
          <w:sz w:val="22"/>
          <w:szCs w:val="22"/>
          <w:lang w:val="es-ES"/>
        </w:rPr>
        <w:t>YME</w:t>
      </w:r>
      <w:r w:rsidR="00A16BDA">
        <w:rPr>
          <w:rFonts w:ascii="Arial" w:eastAsia="Arial" w:hAnsi="Arial" w:cs="Arial"/>
          <w:sz w:val="22"/>
          <w:szCs w:val="22"/>
          <w:lang w:val="es-ES"/>
        </w:rPr>
        <w:t>)</w:t>
      </w:r>
      <w:r w:rsidR="00657553" w:rsidRPr="00657553">
        <w:rPr>
          <w:rFonts w:ascii="Arial" w:eastAsia="Arial" w:hAnsi="Arial" w:cs="Arial"/>
          <w:sz w:val="22"/>
          <w:szCs w:val="22"/>
          <w:lang w:val="es-ES"/>
        </w:rPr>
        <w:t xml:space="preserve"> y 19,3 mil millones de microempresas y equivalente en su totalidad al 15% del PBI</w:t>
      </w:r>
      <w:r w:rsidR="00657553">
        <w:rPr>
          <w:rStyle w:val="FootnoteReference"/>
          <w:rFonts w:ascii="Arial" w:eastAsia="Arial" w:hAnsi="Arial" w:cs="Arial"/>
          <w:sz w:val="22"/>
          <w:szCs w:val="22"/>
          <w:lang w:val="es-ES"/>
        </w:rPr>
        <w:footnoteReference w:id="7"/>
      </w:r>
      <w:r w:rsidR="00A16BDA">
        <w:rPr>
          <w:rFonts w:ascii="Arial" w:eastAsia="Arial" w:hAnsi="Arial" w:cs="Arial"/>
          <w:sz w:val="22"/>
          <w:szCs w:val="22"/>
          <w:lang w:val="es-ES"/>
        </w:rPr>
        <w:t>.</w:t>
      </w:r>
      <w:r w:rsidR="00657553" w:rsidRPr="00657553">
        <w:rPr>
          <w:rFonts w:ascii="Arial" w:eastAsia="Arial" w:hAnsi="Arial" w:cs="Arial"/>
          <w:sz w:val="22"/>
          <w:szCs w:val="22"/>
          <w:lang w:val="es-ES"/>
        </w:rPr>
        <w:t xml:space="preserve"> Visto desde una perspectiva de demanda, 37,4% del total de MIPYME logran obtener financiamiento, principalmente de muy corto plazo y bajo figuras bastante restrictivas para su desarrollo como adelantos de cuentas corrientes y </w:t>
      </w:r>
      <w:r w:rsidR="00657553" w:rsidRPr="00657553">
        <w:rPr>
          <w:rFonts w:ascii="Arial" w:eastAsia="Arial" w:hAnsi="Arial" w:cs="Arial"/>
          <w:i/>
          <w:iCs/>
          <w:sz w:val="22"/>
          <w:szCs w:val="22"/>
          <w:lang w:val="es-ES"/>
        </w:rPr>
        <w:t>leasing</w:t>
      </w:r>
      <w:r w:rsidR="00657553" w:rsidRPr="00657553">
        <w:rPr>
          <w:rFonts w:ascii="Arial" w:eastAsia="Arial" w:hAnsi="Arial" w:cs="Arial"/>
          <w:sz w:val="22"/>
          <w:szCs w:val="22"/>
          <w:lang w:val="es-ES"/>
        </w:rPr>
        <w:t>. El problema se exacerba conforme al tamaño de la empresa, dónde 56,3% de las empresas medianas tienen acceso a crédito, gradualmente reduciéndose a 42,8% y 34,0% para las pequeñas y microempresas, respectivamente. Del lado de la oferta, los principales proveedores de crédito para la MIPYME son los bancos y financieras, distribuidos en 87% para capital de trabajo y 13% para inversión; sin embargo las restricciones son significativas desde la óptica de: (i) la percepción de riesgo de crédito considerando la asimetría de información e insuficiencia de colateral de los potenciales sujetos de crédito; (ii) la falta de fondeo para entidades especializadas que tienen mayor vocación para las MIPYME, particularmente de largo plazo; (iii) la viabilidad de esas mismas entidades especializadas considerando su reducida escala; y (iv) las asimetrías y distorsiones que presionan el costo de crédito a la alza</w:t>
      </w:r>
      <w:r w:rsidR="00D50774">
        <w:rPr>
          <w:rStyle w:val="FootnoteReference"/>
          <w:rFonts w:ascii="Arial" w:eastAsia="Arial" w:hAnsi="Arial" w:cs="Arial"/>
          <w:sz w:val="22"/>
          <w:szCs w:val="22"/>
          <w:lang w:val="es-ES"/>
        </w:rPr>
        <w:footnoteReference w:id="8"/>
      </w:r>
      <w:r w:rsidR="00A16BDA">
        <w:rPr>
          <w:rFonts w:ascii="Arial" w:eastAsia="Arial" w:hAnsi="Arial" w:cs="Arial"/>
          <w:sz w:val="22"/>
          <w:szCs w:val="22"/>
          <w:lang w:val="es-ES"/>
        </w:rPr>
        <w:t>.</w:t>
      </w:r>
    </w:p>
    <w:p w14:paraId="241C901B" w14:textId="1157FEAD" w:rsidR="00514234" w:rsidRPr="00514234" w:rsidRDefault="00C81657" w:rsidP="6373D895">
      <w:pPr>
        <w:pStyle w:val="Paragraph"/>
        <w:numPr>
          <w:ilvl w:val="1"/>
          <w:numId w:val="4"/>
        </w:numPr>
        <w:ind w:left="630" w:hanging="630"/>
        <w:rPr>
          <w:rFonts w:ascii="Arial" w:hAnsi="Arial" w:cs="Arial"/>
          <w:sz w:val="22"/>
          <w:szCs w:val="22"/>
          <w:lang w:val="es-ES"/>
        </w:rPr>
      </w:pPr>
      <w:r>
        <w:rPr>
          <w:rFonts w:ascii="Arial" w:hAnsi="Arial" w:cs="Arial"/>
          <w:sz w:val="22"/>
          <w:szCs w:val="22"/>
          <w:lang w:val="es-ES"/>
        </w:rPr>
        <w:t>Las comparativamente peores con</w:t>
      </w:r>
      <w:r w:rsidR="00514234" w:rsidRPr="00514234">
        <w:rPr>
          <w:rFonts w:ascii="Arial" w:hAnsi="Arial" w:cs="Arial"/>
          <w:sz w:val="22"/>
          <w:szCs w:val="22"/>
          <w:lang w:val="es-ES"/>
        </w:rPr>
        <w:t xml:space="preserve">diciones financieras para las MIPYME se </w:t>
      </w:r>
      <w:r w:rsidR="00F174E1">
        <w:rPr>
          <w:rFonts w:ascii="Arial" w:hAnsi="Arial" w:cs="Arial"/>
          <w:sz w:val="22"/>
          <w:szCs w:val="22"/>
          <w:lang w:val="es-ES"/>
        </w:rPr>
        <w:t>asocian</w:t>
      </w:r>
      <w:r w:rsidR="00514234" w:rsidRPr="00514234">
        <w:rPr>
          <w:rFonts w:ascii="Arial" w:hAnsi="Arial" w:cs="Arial"/>
          <w:sz w:val="22"/>
          <w:szCs w:val="22"/>
          <w:lang w:val="es-ES"/>
        </w:rPr>
        <w:t xml:space="preserve"> principalmente a que en contextos de contracción macroeconómica el sector financiero: </w:t>
      </w:r>
      <w:r w:rsidR="001D639A">
        <w:rPr>
          <w:rFonts w:ascii="Arial" w:hAnsi="Arial" w:cs="Arial"/>
          <w:sz w:val="22"/>
          <w:szCs w:val="22"/>
          <w:lang w:val="es-ES"/>
        </w:rPr>
        <w:t>(</w:t>
      </w:r>
      <w:r w:rsidR="00514234" w:rsidRPr="00514234">
        <w:rPr>
          <w:rFonts w:ascii="Arial" w:hAnsi="Arial" w:cs="Arial"/>
          <w:sz w:val="22"/>
          <w:szCs w:val="22"/>
          <w:lang w:val="es-ES"/>
        </w:rPr>
        <w:t>i)</w:t>
      </w:r>
      <w:r w:rsidR="001D639A">
        <w:rPr>
          <w:rFonts w:ascii="Arial" w:hAnsi="Arial" w:cs="Arial"/>
          <w:sz w:val="22"/>
          <w:szCs w:val="22"/>
          <w:lang w:val="es-ES"/>
        </w:rPr>
        <w:t> </w:t>
      </w:r>
      <w:r w:rsidR="00514234" w:rsidRPr="00514234">
        <w:rPr>
          <w:rFonts w:ascii="Arial" w:hAnsi="Arial" w:cs="Arial"/>
          <w:sz w:val="22"/>
          <w:szCs w:val="22"/>
          <w:lang w:val="es-ES"/>
        </w:rPr>
        <w:t>reduce su oferta de crédito</w:t>
      </w:r>
      <w:r w:rsidR="00514234">
        <w:rPr>
          <w:rStyle w:val="FootnoteReference"/>
          <w:rFonts w:ascii="Arial" w:hAnsi="Arial" w:cs="Arial"/>
          <w:sz w:val="22"/>
          <w:szCs w:val="22"/>
        </w:rPr>
        <w:footnoteReference w:id="9"/>
      </w:r>
      <w:r w:rsidR="00514234" w:rsidRPr="00514234">
        <w:rPr>
          <w:rFonts w:ascii="Arial" w:hAnsi="Arial" w:cs="Arial"/>
          <w:sz w:val="22"/>
          <w:szCs w:val="22"/>
          <w:lang w:val="es-ES"/>
        </w:rPr>
        <w:t xml:space="preserve">; y </w:t>
      </w:r>
      <w:r w:rsidR="001D639A">
        <w:rPr>
          <w:rFonts w:ascii="Arial" w:hAnsi="Arial" w:cs="Arial"/>
          <w:sz w:val="22"/>
          <w:szCs w:val="22"/>
          <w:lang w:val="es-ES"/>
        </w:rPr>
        <w:t>(</w:t>
      </w:r>
      <w:r w:rsidR="00514234" w:rsidRPr="00514234">
        <w:rPr>
          <w:rFonts w:ascii="Arial" w:hAnsi="Arial" w:cs="Arial"/>
          <w:sz w:val="22"/>
          <w:szCs w:val="22"/>
          <w:lang w:val="es-ES"/>
        </w:rPr>
        <w:t>ii) lo hace en una mayor proporción en el segmento de la MIPYME en comparación con empresas de mayor tamaño</w:t>
      </w:r>
      <w:r w:rsidR="00514234">
        <w:rPr>
          <w:rStyle w:val="FootnoteReference"/>
          <w:rFonts w:ascii="Arial" w:hAnsi="Arial" w:cs="Arial"/>
          <w:sz w:val="22"/>
          <w:szCs w:val="22"/>
        </w:rPr>
        <w:footnoteReference w:id="10"/>
      </w:r>
      <w:r w:rsidR="00514234" w:rsidRPr="00514234">
        <w:rPr>
          <w:rFonts w:ascii="Arial" w:hAnsi="Arial" w:cs="Arial"/>
          <w:sz w:val="22"/>
          <w:szCs w:val="22"/>
          <w:lang w:val="es-ES"/>
        </w:rPr>
        <w:t xml:space="preserve">, y </w:t>
      </w:r>
      <w:r w:rsidR="001D639A">
        <w:rPr>
          <w:rFonts w:ascii="Arial" w:hAnsi="Arial" w:cs="Arial"/>
          <w:sz w:val="22"/>
          <w:szCs w:val="22"/>
          <w:lang w:val="es-ES"/>
        </w:rPr>
        <w:t>(</w:t>
      </w:r>
      <w:r w:rsidR="00514234" w:rsidRPr="00514234">
        <w:rPr>
          <w:rFonts w:ascii="Arial" w:hAnsi="Arial" w:cs="Arial"/>
          <w:sz w:val="22"/>
          <w:szCs w:val="22"/>
          <w:lang w:val="es-ES"/>
        </w:rPr>
        <w:t>iii) se demora un tiempo en recuperar el nivel previo a la crisis</w:t>
      </w:r>
      <w:r w:rsidR="00514234">
        <w:rPr>
          <w:rStyle w:val="FootnoteReference"/>
          <w:rFonts w:ascii="Arial" w:hAnsi="Arial" w:cs="Arial"/>
          <w:sz w:val="22"/>
          <w:szCs w:val="22"/>
        </w:rPr>
        <w:footnoteReference w:id="11"/>
      </w:r>
      <w:r w:rsidR="00514234" w:rsidRPr="00514234">
        <w:rPr>
          <w:rFonts w:ascii="Arial" w:hAnsi="Arial" w:cs="Arial"/>
          <w:sz w:val="22"/>
          <w:szCs w:val="22"/>
          <w:lang w:val="es-ES"/>
        </w:rPr>
        <w:t xml:space="preserve">. Este empeoramiento de las condiciones de acceso a financiamiento en contexto de contracción económica se une a los obstáculos de </w:t>
      </w:r>
      <w:r w:rsidR="00514234" w:rsidRPr="00514234">
        <w:rPr>
          <w:rFonts w:ascii="Arial" w:eastAsia="Arial" w:hAnsi="Arial" w:cs="Arial"/>
          <w:sz w:val="22"/>
          <w:szCs w:val="22"/>
          <w:lang w:val="es-ES"/>
        </w:rPr>
        <w:t xml:space="preserve">acceso al financiamiento que ya de por si acumulan las MIPYME respecto a empresas de mayor tamaño como: </w:t>
      </w:r>
      <w:r w:rsidR="00514234" w:rsidRPr="00D14E04">
        <w:rPr>
          <w:rFonts w:ascii="Arial" w:eastAsia="Arial" w:hAnsi="Arial" w:cs="Arial"/>
          <w:sz w:val="22"/>
          <w:szCs w:val="22"/>
          <w:lang w:val="es"/>
        </w:rPr>
        <w:t>(i) ciclos comerciales más cortos con mayores necesidades de liquidez a corto plazo; (ii) carencia de instrumentos para la gestión del riesgo asociado a su ciclo de proyecto</w:t>
      </w:r>
      <w:r w:rsidR="00514234" w:rsidRPr="00D62BD9">
        <w:rPr>
          <w:rFonts w:ascii="Arial" w:eastAsia="Arial" w:hAnsi="Arial" w:cs="Arial"/>
          <w:sz w:val="22"/>
          <w:szCs w:val="22"/>
          <w:lang w:val="es"/>
        </w:rPr>
        <w:t xml:space="preserve">s; (iii) mayores limitaciones de colateral disponible y su ejecución, debido a la falta </w:t>
      </w:r>
      <w:r w:rsidR="00514234" w:rsidRPr="00D62BD9">
        <w:rPr>
          <w:rFonts w:ascii="Arial" w:eastAsia="Arial" w:hAnsi="Arial" w:cs="Arial"/>
          <w:sz w:val="22"/>
          <w:szCs w:val="22"/>
          <w:lang w:val="es"/>
        </w:rPr>
        <w:lastRenderedPageBreak/>
        <w:t>de capital existente; (iv) altos costos de operación para prestar a e</w:t>
      </w:r>
      <w:r w:rsidR="00514234" w:rsidRPr="00BA4070">
        <w:rPr>
          <w:rFonts w:ascii="Arial" w:eastAsia="Arial" w:hAnsi="Arial" w:cs="Arial"/>
          <w:sz w:val="22"/>
          <w:szCs w:val="22"/>
          <w:lang w:val="es"/>
        </w:rPr>
        <w:t>scalas pequeñas; y (v)</w:t>
      </w:r>
      <w:r w:rsidR="00A16BDA">
        <w:rPr>
          <w:rFonts w:ascii="Arial" w:eastAsia="Arial" w:hAnsi="Arial" w:cs="Arial"/>
          <w:sz w:val="22"/>
          <w:szCs w:val="22"/>
          <w:lang w:val="es"/>
        </w:rPr>
        <w:t> </w:t>
      </w:r>
      <w:r w:rsidR="00514234" w:rsidRPr="00F4339B">
        <w:rPr>
          <w:rFonts w:ascii="Arial" w:eastAsia="Arial" w:hAnsi="Arial" w:cs="Arial"/>
          <w:sz w:val="22"/>
          <w:szCs w:val="22"/>
          <w:lang w:val="es"/>
        </w:rPr>
        <w:t>me</w:t>
      </w:r>
      <w:r w:rsidR="00514234" w:rsidRPr="004942A0">
        <w:rPr>
          <w:rFonts w:ascii="Arial" w:eastAsia="Arial" w:hAnsi="Arial" w:cs="Arial"/>
          <w:sz w:val="22"/>
          <w:szCs w:val="22"/>
          <w:lang w:val="es"/>
        </w:rPr>
        <w:t>n</w:t>
      </w:r>
      <w:r w:rsidR="00514234" w:rsidRPr="00130218">
        <w:rPr>
          <w:rFonts w:ascii="Arial" w:eastAsia="Arial" w:hAnsi="Arial" w:cs="Arial"/>
          <w:sz w:val="22"/>
          <w:szCs w:val="22"/>
          <w:lang w:val="es"/>
        </w:rPr>
        <w:t xml:space="preserve">or </w:t>
      </w:r>
      <w:r w:rsidR="00514234" w:rsidRPr="00000951">
        <w:rPr>
          <w:rFonts w:ascii="Arial" w:eastAsia="Arial" w:hAnsi="Arial" w:cs="Arial"/>
          <w:sz w:val="22"/>
          <w:szCs w:val="22"/>
          <w:lang w:val="es"/>
        </w:rPr>
        <w:t>rentabilidad que otros segmentos empresariales</w:t>
      </w:r>
      <w:r w:rsidR="00514234">
        <w:rPr>
          <w:rStyle w:val="FootnoteReference"/>
          <w:rFonts w:ascii="Arial" w:eastAsia="Arial" w:hAnsi="Arial" w:cs="Arial"/>
          <w:sz w:val="22"/>
          <w:szCs w:val="22"/>
          <w:lang w:val="es"/>
        </w:rPr>
        <w:footnoteReference w:id="12"/>
      </w:r>
      <w:r w:rsidR="00514234">
        <w:rPr>
          <w:rFonts w:ascii="Arial" w:eastAsia="Arial" w:hAnsi="Arial" w:cs="Arial"/>
          <w:sz w:val="22"/>
          <w:szCs w:val="22"/>
          <w:lang w:val="es"/>
        </w:rPr>
        <w:t>.</w:t>
      </w:r>
    </w:p>
    <w:p w14:paraId="74F838F4" w14:textId="1111A097" w:rsidR="00514234" w:rsidRPr="00D50774" w:rsidRDefault="001A3369" w:rsidP="00A8655B">
      <w:pPr>
        <w:pStyle w:val="Paragraph"/>
        <w:numPr>
          <w:ilvl w:val="1"/>
          <w:numId w:val="4"/>
        </w:numPr>
        <w:ind w:left="630" w:hanging="630"/>
        <w:rPr>
          <w:rFonts w:ascii="Arial" w:hAnsi="Arial" w:cs="Arial"/>
          <w:sz w:val="22"/>
          <w:szCs w:val="22"/>
          <w:lang w:val="es-ES_tradnl"/>
        </w:rPr>
      </w:pPr>
      <w:r>
        <w:rPr>
          <w:rFonts w:ascii="Arial" w:eastAsia="Arial" w:hAnsi="Arial" w:cs="Arial"/>
          <w:sz w:val="22"/>
          <w:szCs w:val="22"/>
          <w:lang w:val="es-ES"/>
        </w:rPr>
        <w:t xml:space="preserve">Así pues, </w:t>
      </w:r>
      <w:r w:rsidR="008C6759">
        <w:rPr>
          <w:rFonts w:ascii="Arial" w:eastAsia="Arial" w:hAnsi="Arial" w:cs="Arial"/>
          <w:sz w:val="22"/>
          <w:szCs w:val="22"/>
          <w:lang w:val="es-ES"/>
        </w:rPr>
        <w:t>aunado a los</w:t>
      </w:r>
      <w:r w:rsidR="00514234">
        <w:rPr>
          <w:rFonts w:ascii="Arial" w:hAnsi="Arial" w:cs="Arial"/>
          <w:sz w:val="22"/>
          <w:szCs w:val="22"/>
          <w:lang w:val="es-ES_tradnl"/>
        </w:rPr>
        <w:t xml:space="preserve"> obstáculos que presentaban las MIPYME para acceder al financiamiento antes de la actual crisis</w:t>
      </w:r>
      <w:r w:rsidR="00514234">
        <w:rPr>
          <w:rStyle w:val="FootnoteReference"/>
          <w:rFonts w:ascii="Arial" w:hAnsi="Arial" w:cs="Arial"/>
          <w:sz w:val="22"/>
          <w:szCs w:val="22"/>
          <w:lang w:val="es-ES_tradnl"/>
        </w:rPr>
        <w:footnoteReference w:id="13"/>
      </w:r>
      <w:r w:rsidR="00514234">
        <w:rPr>
          <w:rFonts w:ascii="Arial" w:hAnsi="Arial" w:cs="Arial"/>
          <w:sz w:val="22"/>
          <w:szCs w:val="22"/>
          <w:lang w:val="es-ES_tradnl"/>
        </w:rPr>
        <w:t>, e</w:t>
      </w:r>
      <w:r w:rsidR="00514234" w:rsidRPr="00514234">
        <w:rPr>
          <w:rFonts w:ascii="Arial" w:eastAsia="Arial" w:hAnsi="Arial" w:cs="Arial"/>
          <w:sz w:val="22"/>
          <w:szCs w:val="22"/>
          <w:lang w:val="es-ES"/>
        </w:rPr>
        <w:t>l efecto dual de reducción de actividad económica y acceso a crédito del sector productivo puede poner en riesgo de supervivencia a muchas MIPYME de la región afectadas por la crisis del COVID-19</w:t>
      </w:r>
      <w:r w:rsidR="00514234">
        <w:rPr>
          <w:rFonts w:ascii="Arial" w:eastAsia="Arial" w:hAnsi="Arial" w:cs="Arial"/>
          <w:sz w:val="22"/>
          <w:szCs w:val="22"/>
          <w:lang w:val="es-ES"/>
        </w:rPr>
        <w:t xml:space="preserve">. </w:t>
      </w:r>
    </w:p>
    <w:p w14:paraId="58981CB8" w14:textId="63CEE2EC" w:rsidR="00D50774" w:rsidRPr="00D50774" w:rsidRDefault="00D50774" w:rsidP="00A8655B">
      <w:pPr>
        <w:pStyle w:val="Paragraph"/>
        <w:numPr>
          <w:ilvl w:val="1"/>
          <w:numId w:val="4"/>
        </w:numPr>
        <w:ind w:left="630" w:hanging="630"/>
        <w:rPr>
          <w:rFonts w:ascii="Arial" w:hAnsi="Arial" w:cs="Arial"/>
          <w:sz w:val="22"/>
          <w:szCs w:val="22"/>
          <w:lang w:val="es-ES_tradnl"/>
        </w:rPr>
      </w:pPr>
      <w:r>
        <w:rPr>
          <w:rFonts w:ascii="Arial" w:hAnsi="Arial" w:cs="Arial"/>
          <w:b/>
          <w:bCs/>
          <w:sz w:val="22"/>
          <w:szCs w:val="22"/>
          <w:lang w:val="es-ES_tradnl"/>
        </w:rPr>
        <w:t xml:space="preserve">Apoyo al desarrollo productivo en Argentina. </w:t>
      </w:r>
      <w:r w:rsidRPr="00D50774">
        <w:rPr>
          <w:rFonts w:ascii="Arial" w:eastAsia="Arial" w:hAnsi="Arial" w:cs="Arial"/>
          <w:sz w:val="22"/>
          <w:szCs w:val="22"/>
          <w:lang w:val="es-ES"/>
        </w:rPr>
        <w:t xml:space="preserve">El país ha promovido varias políticas públicas a través de los años, buscando apoyar el desarrollo productivo entre otros: (i) el </w:t>
      </w:r>
      <w:r w:rsidRPr="00D50774">
        <w:rPr>
          <w:rFonts w:ascii="Arial" w:hAnsi="Arial" w:cs="Arial"/>
          <w:sz w:val="22"/>
          <w:szCs w:val="22"/>
          <w:lang w:val="es-ES"/>
        </w:rPr>
        <w:t>Fondo de Desarrollo Productivo (FONDEP) del Ministerio de Desarrollo Productivo (MDP) a través de la Secretaría para la Pequeña y Mediana Empresa y los Emprendedores (SEPYME) con varias líneas de financiamiento y de aporte no rembolsable; (ii) el Fondo de Capital Emprendedor del MDP a través de la SEPYME destinado para emprendimientos dinámicos y ejecutado en conjunto con incubadoras especializadas en el apoyo y financiamiento de capital de riesgo; (iii) el Fondo Nacional de Agroindustria a través del Ministerio de Agricultura, Ganadería y Pesca</w:t>
      </w:r>
      <w:r w:rsidRPr="00D50774">
        <w:rPr>
          <w:lang w:val="es-ES"/>
        </w:rPr>
        <w:t xml:space="preserve"> </w:t>
      </w:r>
      <w:r w:rsidRPr="00D50774">
        <w:rPr>
          <w:rFonts w:ascii="Arial" w:hAnsi="Arial" w:cs="Arial"/>
          <w:sz w:val="22"/>
          <w:szCs w:val="22"/>
          <w:lang w:val="es-ES"/>
        </w:rPr>
        <w:t xml:space="preserve">para el financiamiento y aportes no rembolsables para el desarrollo del sector agroindustrial; (iv) la Comisión Nacional de Microcrédito a través del Ministerio de Desarrollo Social para impulsar el financiamiento de la economía social e inclusión financiera de emprendedores a través de líneas de microcrédito y mesocrédito; (v) </w:t>
      </w:r>
      <w:r w:rsidR="00A16BDA">
        <w:rPr>
          <w:rFonts w:ascii="Arial" w:hAnsi="Arial" w:cs="Arial"/>
          <w:sz w:val="22"/>
          <w:szCs w:val="22"/>
          <w:lang w:val="es-ES"/>
        </w:rPr>
        <w:t xml:space="preserve">el </w:t>
      </w:r>
      <w:r w:rsidR="00A16BDA" w:rsidRPr="00DD3FD0">
        <w:rPr>
          <w:rFonts w:ascii="Arial" w:hAnsi="Arial" w:cs="Arial"/>
          <w:color w:val="4D5156"/>
          <w:sz w:val="21"/>
          <w:szCs w:val="21"/>
          <w:shd w:val="clear" w:color="auto" w:fill="FFFFFF"/>
          <w:lang w:val="es-NI"/>
        </w:rPr>
        <w:t>Fondo Fiduciario de Capital Social</w:t>
      </w:r>
      <w:r w:rsidRPr="00D50774">
        <w:rPr>
          <w:rFonts w:ascii="Arial" w:hAnsi="Arial" w:cs="Arial"/>
          <w:sz w:val="22"/>
          <w:szCs w:val="22"/>
          <w:lang w:val="es-ES"/>
        </w:rPr>
        <w:t xml:space="preserve"> bajo la tutela del Ministerio de Economía para dar financiamiento de segundo piso a través de 30 instituciones de microfinanzas para el desarrollo de microempresas, así como investigaciones, apoyo financiero y de fortalecimiento, e impulso para la innovación y tecnologías; y (vi) los programas de financiamiento desarrollados mediante del Banco de la Nación, Banco de Inversiones y Comercio Exterior (BICE) y demás entidades soberanas y subnacionales</w:t>
      </w:r>
      <w:r w:rsidR="00CB5240">
        <w:rPr>
          <w:rStyle w:val="FootnoteReference"/>
          <w:rFonts w:ascii="Arial" w:hAnsi="Arial" w:cs="Arial"/>
          <w:sz w:val="22"/>
          <w:szCs w:val="22"/>
          <w:lang w:val="es-ES"/>
        </w:rPr>
        <w:footnoteReference w:id="14"/>
      </w:r>
      <w:r w:rsidRPr="00D50774">
        <w:rPr>
          <w:rFonts w:ascii="Arial" w:hAnsi="Arial" w:cs="Arial"/>
          <w:sz w:val="22"/>
          <w:szCs w:val="22"/>
          <w:lang w:val="es-ES"/>
        </w:rPr>
        <w:t>. Sin embargo, el contexto macroeconómico de los últimos años ha limitado la efectividad deseada de estos programas</w:t>
      </w:r>
      <w:r>
        <w:rPr>
          <w:rFonts w:ascii="Arial" w:hAnsi="Arial" w:cs="Arial"/>
          <w:sz w:val="22"/>
          <w:szCs w:val="22"/>
          <w:lang w:val="es-ES"/>
        </w:rPr>
        <w:t>.</w:t>
      </w:r>
    </w:p>
    <w:p w14:paraId="49AF9511" w14:textId="37306A1B" w:rsidR="00D50774" w:rsidRPr="00514234" w:rsidRDefault="00D50774" w:rsidP="00A8655B">
      <w:pPr>
        <w:pStyle w:val="Paragraph"/>
        <w:numPr>
          <w:ilvl w:val="1"/>
          <w:numId w:val="4"/>
        </w:numPr>
        <w:ind w:left="630" w:hanging="630"/>
        <w:rPr>
          <w:rFonts w:ascii="Arial" w:hAnsi="Arial" w:cs="Arial"/>
          <w:sz w:val="22"/>
          <w:szCs w:val="22"/>
          <w:lang w:val="es-ES_tradnl"/>
        </w:rPr>
      </w:pPr>
      <w:r w:rsidRPr="00000951">
        <w:rPr>
          <w:rFonts w:ascii="Arial" w:hAnsi="Arial" w:cs="Arial"/>
          <w:b/>
          <w:bCs/>
          <w:sz w:val="22"/>
          <w:szCs w:val="22"/>
          <w:lang w:val="es-ES"/>
        </w:rPr>
        <w:t>Retos y avances.</w:t>
      </w:r>
      <w:r w:rsidRPr="00000951">
        <w:rPr>
          <w:rFonts w:ascii="Arial" w:hAnsi="Arial" w:cs="Arial"/>
          <w:sz w:val="22"/>
          <w:szCs w:val="22"/>
          <w:lang w:val="es-ES"/>
        </w:rPr>
        <w:t xml:space="preserve"> </w:t>
      </w:r>
      <w:r w:rsidR="000073D0" w:rsidRPr="000073D0">
        <w:rPr>
          <w:rFonts w:ascii="Arial" w:hAnsi="Arial" w:cs="Arial"/>
          <w:sz w:val="22"/>
          <w:szCs w:val="22"/>
          <w:lang w:val="es-ES"/>
        </w:rPr>
        <w:t>El desafío, para defender el tejido productivo de Argentina afectado por las dificultades económicas asociadas a la crisis generada por la pandemia del COVID-19, es mantener operando al mayor número posible de MIPYME, que eran comercialmente viables precrisis, así como apoyar a las cadenas de valor donde se integran un gran número de estas MIPYME, para que puedan seguir funcionando con normalidad. En tal sentido, si se considera un monto aproximado de financiamiento total de US$13 mil millones a MIPYME y que el efecto de la crisis impacte aproximadamente 45% del total de empresas, se podría estimar indicativamente que US$5,8 mil millones de cartera estaría en riesgo para efectos de estimar el dimensionamiento del problema. Por lo tanto, se estima que la intervención propuesta de US$500 millones contribuiría a resolver 8,5% del total de las necesidades de las MIPYME</w:t>
      </w:r>
      <w:r>
        <w:rPr>
          <w:rFonts w:ascii="Arial" w:hAnsi="Arial" w:cs="Arial"/>
          <w:sz w:val="22"/>
          <w:szCs w:val="22"/>
          <w:lang w:val="es-ES"/>
        </w:rPr>
        <w:t>.</w:t>
      </w:r>
    </w:p>
    <w:p w14:paraId="7B122AD5" w14:textId="553FBE90" w:rsidR="007B0F04" w:rsidRPr="007B0F04" w:rsidRDefault="00454CB5" w:rsidP="00D50774">
      <w:pPr>
        <w:pStyle w:val="Paragraph"/>
        <w:numPr>
          <w:ilvl w:val="1"/>
          <w:numId w:val="4"/>
        </w:numPr>
        <w:ind w:left="630" w:hanging="630"/>
        <w:rPr>
          <w:rFonts w:ascii="Arial" w:hAnsi="Arial" w:cs="Arial"/>
          <w:sz w:val="22"/>
          <w:szCs w:val="22"/>
          <w:lang w:val="es-ES_tradnl"/>
        </w:rPr>
      </w:pPr>
      <w:r>
        <w:rPr>
          <w:rFonts w:ascii="Arial" w:hAnsi="Arial" w:cs="Arial"/>
          <w:b/>
          <w:bCs/>
          <w:sz w:val="22"/>
          <w:szCs w:val="22"/>
          <w:lang w:val="es-ES_tradnl"/>
        </w:rPr>
        <w:lastRenderedPageBreak/>
        <w:t xml:space="preserve">Priorización sectorial. </w:t>
      </w:r>
      <w:r w:rsidR="008A3E60">
        <w:rPr>
          <w:rFonts w:ascii="Arial" w:eastAsia="Calibri" w:hAnsi="Arial" w:cs="Arial"/>
          <w:sz w:val="22"/>
          <w:szCs w:val="22"/>
          <w:lang w:val="es-ES"/>
        </w:rPr>
        <w:t xml:space="preserve">Complementando </w:t>
      </w:r>
      <w:r w:rsidR="008A3E60" w:rsidRPr="00DB44E2">
        <w:rPr>
          <w:rFonts w:ascii="Arial" w:eastAsia="Calibri" w:hAnsi="Arial" w:cs="Arial"/>
          <w:sz w:val="22"/>
          <w:szCs w:val="22"/>
          <w:lang w:val="es-ES"/>
        </w:rPr>
        <w:t xml:space="preserve">las medidas de apoyo ya dispuestas por el </w:t>
      </w:r>
      <w:r w:rsidR="008A3E60">
        <w:rPr>
          <w:rFonts w:ascii="Arial" w:eastAsia="Calibri" w:hAnsi="Arial" w:cs="Arial"/>
          <w:sz w:val="22"/>
          <w:szCs w:val="22"/>
          <w:lang w:val="es-ES"/>
        </w:rPr>
        <w:t>g</w:t>
      </w:r>
      <w:r w:rsidR="008A3E60" w:rsidRPr="00DB44E2">
        <w:rPr>
          <w:rFonts w:ascii="Arial" w:eastAsia="Calibri" w:hAnsi="Arial" w:cs="Arial"/>
          <w:sz w:val="22"/>
          <w:szCs w:val="22"/>
          <w:lang w:val="es-ES"/>
        </w:rPr>
        <w:t xml:space="preserve">obierno, el programa buscará mantener el acceso al financiamiento a aquellas MIPYME afectadas por la coyuntura. Debido a que las necesidades son amplias y los recursos tienen un alcance limitado, el </w:t>
      </w:r>
      <w:r w:rsidR="008A3E60">
        <w:rPr>
          <w:rFonts w:ascii="Arial" w:eastAsia="Calibri" w:hAnsi="Arial" w:cs="Arial"/>
          <w:sz w:val="22"/>
          <w:szCs w:val="22"/>
          <w:lang w:val="es-ES"/>
        </w:rPr>
        <w:t>g</w:t>
      </w:r>
      <w:r w:rsidR="008A3E60" w:rsidRPr="00DB44E2">
        <w:rPr>
          <w:rFonts w:ascii="Arial" w:eastAsia="Calibri" w:hAnsi="Arial" w:cs="Arial"/>
          <w:sz w:val="22"/>
          <w:szCs w:val="22"/>
          <w:lang w:val="es-ES"/>
        </w:rPr>
        <w:t>obierno buscar</w:t>
      </w:r>
      <w:r w:rsidR="008A3E60">
        <w:rPr>
          <w:rFonts w:ascii="Arial" w:eastAsia="Calibri" w:hAnsi="Arial" w:cs="Arial"/>
          <w:sz w:val="22"/>
          <w:szCs w:val="22"/>
          <w:lang w:val="es-ES"/>
        </w:rPr>
        <w:t>á</w:t>
      </w:r>
      <w:r w:rsidR="008A3E60" w:rsidRPr="00DB44E2">
        <w:rPr>
          <w:rFonts w:ascii="Arial" w:eastAsia="Calibri" w:hAnsi="Arial" w:cs="Arial"/>
          <w:sz w:val="22"/>
          <w:szCs w:val="22"/>
          <w:lang w:val="es-ES"/>
        </w:rPr>
        <w:t xml:space="preserve"> priorizar </w:t>
      </w:r>
      <w:r w:rsidR="008A3E60">
        <w:rPr>
          <w:rFonts w:ascii="Arial" w:eastAsia="Calibri" w:hAnsi="Arial" w:cs="Arial"/>
          <w:sz w:val="22"/>
          <w:szCs w:val="22"/>
          <w:lang w:val="es-ES"/>
        </w:rPr>
        <w:t xml:space="preserve">mediante el programa </w:t>
      </w:r>
      <w:r w:rsidR="008A3E60" w:rsidRPr="00DB44E2">
        <w:rPr>
          <w:rFonts w:ascii="Arial" w:eastAsia="Calibri" w:hAnsi="Arial" w:cs="Arial"/>
          <w:sz w:val="22"/>
          <w:szCs w:val="22"/>
          <w:lang w:val="es-ES"/>
        </w:rPr>
        <w:t>las MIPYME industria</w:t>
      </w:r>
      <w:r w:rsidR="008A3E60">
        <w:rPr>
          <w:rFonts w:ascii="Arial" w:eastAsia="Calibri" w:hAnsi="Arial" w:cs="Arial"/>
          <w:sz w:val="22"/>
          <w:szCs w:val="22"/>
          <w:lang w:val="es-ES"/>
        </w:rPr>
        <w:t>les, particularmente</w:t>
      </w:r>
      <w:r w:rsidR="008A3E60" w:rsidRPr="00DB44E2">
        <w:rPr>
          <w:rFonts w:ascii="Arial" w:eastAsia="Calibri" w:hAnsi="Arial" w:cs="Arial"/>
          <w:sz w:val="22"/>
          <w:szCs w:val="22"/>
          <w:lang w:val="es-ES"/>
        </w:rPr>
        <w:t xml:space="preserve"> </w:t>
      </w:r>
      <w:r w:rsidR="008A3E60">
        <w:rPr>
          <w:rFonts w:ascii="Arial" w:eastAsia="Calibri" w:hAnsi="Arial" w:cs="Arial"/>
          <w:sz w:val="22"/>
          <w:szCs w:val="22"/>
          <w:lang w:val="es-ES"/>
        </w:rPr>
        <w:t xml:space="preserve">aquellas vinculadas </w:t>
      </w:r>
      <w:r w:rsidR="008A3E60" w:rsidRPr="00DB44E2">
        <w:rPr>
          <w:rFonts w:ascii="Arial" w:eastAsia="Calibri" w:hAnsi="Arial" w:cs="Arial"/>
          <w:sz w:val="22"/>
          <w:szCs w:val="22"/>
          <w:lang w:val="es-ES"/>
        </w:rPr>
        <w:t xml:space="preserve">en </w:t>
      </w:r>
      <w:r w:rsidR="008A3E60">
        <w:rPr>
          <w:rFonts w:ascii="Arial" w:eastAsia="Calibri" w:hAnsi="Arial" w:cs="Arial"/>
          <w:sz w:val="22"/>
          <w:szCs w:val="22"/>
          <w:lang w:val="es-ES"/>
        </w:rPr>
        <w:t>la cadena automotriz</w:t>
      </w:r>
      <w:r w:rsidR="00547546">
        <w:rPr>
          <w:rStyle w:val="FootnoteReference"/>
          <w:rFonts w:ascii="Arial" w:eastAsia="Calibri" w:hAnsi="Arial" w:cs="Arial"/>
          <w:sz w:val="22"/>
          <w:szCs w:val="22"/>
          <w:lang w:val="es-ES"/>
        </w:rPr>
        <w:footnoteReference w:id="15"/>
      </w:r>
      <w:r w:rsidR="008A3E60">
        <w:rPr>
          <w:rFonts w:ascii="Arial" w:eastAsia="Calibri" w:hAnsi="Arial" w:cs="Arial"/>
          <w:sz w:val="22"/>
          <w:szCs w:val="22"/>
          <w:lang w:val="es-ES"/>
        </w:rPr>
        <w:t xml:space="preserve">, maquinaria </w:t>
      </w:r>
      <w:r w:rsidR="008A3E60" w:rsidRPr="00DB44E2">
        <w:rPr>
          <w:rFonts w:ascii="Arial" w:eastAsia="Calibri" w:hAnsi="Arial" w:cs="Arial"/>
          <w:sz w:val="22"/>
          <w:szCs w:val="22"/>
          <w:lang w:val="es-ES"/>
        </w:rPr>
        <w:t>y equipos</w:t>
      </w:r>
      <w:r w:rsidR="008A3E60">
        <w:rPr>
          <w:rFonts w:ascii="Arial" w:eastAsia="Calibri" w:hAnsi="Arial" w:cs="Arial"/>
          <w:sz w:val="22"/>
          <w:szCs w:val="22"/>
          <w:lang w:val="es-ES"/>
        </w:rPr>
        <w:t>, e indumentaria y calzado</w:t>
      </w:r>
      <w:r w:rsidR="007B0F04">
        <w:rPr>
          <w:rFonts w:ascii="Arial" w:eastAsia="Calibri" w:hAnsi="Arial" w:cs="Arial"/>
          <w:sz w:val="22"/>
          <w:szCs w:val="22"/>
          <w:lang w:val="es-ES"/>
        </w:rPr>
        <w:t>.</w:t>
      </w:r>
    </w:p>
    <w:p w14:paraId="35442862" w14:textId="599E785B" w:rsidR="00D037DB" w:rsidRPr="00D037DB" w:rsidRDefault="00EB0A66" w:rsidP="00A16BDA">
      <w:pPr>
        <w:pStyle w:val="Paragraph"/>
        <w:numPr>
          <w:ilvl w:val="1"/>
          <w:numId w:val="4"/>
        </w:numPr>
        <w:ind w:left="630" w:hanging="630"/>
        <w:rPr>
          <w:rFonts w:ascii="Arial" w:hAnsi="Arial" w:cs="Arial"/>
          <w:sz w:val="22"/>
          <w:szCs w:val="22"/>
          <w:lang w:val="es-ES_tradnl"/>
        </w:rPr>
      </w:pPr>
      <w:r w:rsidRPr="00D037DB">
        <w:rPr>
          <w:rFonts w:ascii="Arial" w:eastAsia="Calibri" w:hAnsi="Arial" w:cs="Arial"/>
          <w:sz w:val="22"/>
          <w:szCs w:val="22"/>
          <w:lang w:val="es-ES"/>
        </w:rPr>
        <w:t xml:space="preserve">Todos estos sectores han sido también identificados como vulnerables en el análisis </w:t>
      </w:r>
      <w:r w:rsidR="008A3E60">
        <w:rPr>
          <w:rFonts w:ascii="Arial" w:eastAsia="Calibri" w:hAnsi="Arial" w:cs="Arial"/>
          <w:sz w:val="22"/>
          <w:szCs w:val="22"/>
          <w:lang w:val="es-ES"/>
        </w:rPr>
        <w:t xml:space="preserve">Estos sectores coinciden con el </w:t>
      </w:r>
      <w:hyperlink r:id="rId13" w:history="1">
        <w:r w:rsidR="008A3E60" w:rsidRPr="00D32208">
          <w:rPr>
            <w:rStyle w:val="Hyperlink"/>
            <w:rFonts w:ascii="Arial" w:eastAsia="Calibri" w:hAnsi="Arial" w:cs="Arial"/>
            <w:sz w:val="22"/>
            <w:szCs w:val="22"/>
            <w:lang w:val="es-ES"/>
          </w:rPr>
          <w:t>análisis de vulnerabilidad</w:t>
        </w:r>
      </w:hyperlink>
      <w:r w:rsidR="008A3E60">
        <w:rPr>
          <w:rFonts w:ascii="Arial" w:eastAsia="Calibri" w:hAnsi="Arial" w:cs="Arial"/>
          <w:sz w:val="22"/>
          <w:szCs w:val="22"/>
          <w:lang w:val="es-ES"/>
        </w:rPr>
        <w:t xml:space="preserve"> realizado por el Banco, en el cual </w:t>
      </w:r>
      <w:r w:rsidR="008A3E60" w:rsidRPr="00015F5C">
        <w:rPr>
          <w:rFonts w:ascii="Arial" w:eastAsia="Calibri" w:hAnsi="Arial" w:cs="Arial"/>
          <w:sz w:val="22"/>
          <w:szCs w:val="22"/>
          <w:lang w:val="es-ES"/>
        </w:rPr>
        <w:t xml:space="preserve">se concluye que la mayor severidad del impacto de COVID-19 se percibe en los sectores </w:t>
      </w:r>
      <w:r w:rsidR="008A3E60">
        <w:rPr>
          <w:rFonts w:ascii="Arial" w:eastAsia="Calibri" w:hAnsi="Arial" w:cs="Arial"/>
          <w:sz w:val="22"/>
          <w:szCs w:val="22"/>
          <w:lang w:val="es-ES"/>
        </w:rPr>
        <w:t>de turismo, cadena automotriz, transporte de pasajeros, agroalimentario, maquinaria y equipos, y textil y maquila</w:t>
      </w:r>
      <w:r w:rsidR="008A3E60" w:rsidRPr="00015F5C">
        <w:rPr>
          <w:rFonts w:ascii="Arial" w:eastAsia="Calibri" w:hAnsi="Arial" w:cs="Arial"/>
          <w:sz w:val="22"/>
          <w:szCs w:val="22"/>
          <w:lang w:val="es-ES"/>
        </w:rPr>
        <w:t>. El diagnóstico del Banco identifica los sectores que presentan una mayor probabilidad de verse afectado</w:t>
      </w:r>
      <w:r w:rsidR="008A3E60">
        <w:rPr>
          <w:rFonts w:ascii="Arial" w:eastAsia="Calibri" w:hAnsi="Arial" w:cs="Arial"/>
          <w:sz w:val="22"/>
          <w:szCs w:val="22"/>
          <w:lang w:val="es-ES"/>
        </w:rPr>
        <w:t>s</w:t>
      </w:r>
      <w:r w:rsidR="008A3E60" w:rsidRPr="00015F5C">
        <w:rPr>
          <w:rFonts w:ascii="Arial" w:eastAsia="Calibri" w:hAnsi="Arial" w:cs="Arial"/>
          <w:sz w:val="22"/>
          <w:szCs w:val="22"/>
          <w:lang w:val="es-ES"/>
        </w:rPr>
        <w:t xml:space="preserve"> en términos de pérdidas de empleo</w:t>
      </w:r>
      <w:r w:rsidR="008A3E60">
        <w:rPr>
          <w:rFonts w:ascii="Arial" w:eastAsia="Calibri" w:hAnsi="Arial" w:cs="Arial"/>
          <w:sz w:val="22"/>
          <w:szCs w:val="22"/>
          <w:lang w:val="es-ES"/>
        </w:rPr>
        <w:t>,</w:t>
      </w:r>
      <w:r w:rsidR="008A3E60" w:rsidRPr="00015F5C">
        <w:rPr>
          <w:rFonts w:ascii="Arial" w:eastAsia="Calibri" w:hAnsi="Arial" w:cs="Arial"/>
          <w:sz w:val="22"/>
          <w:szCs w:val="22"/>
          <w:lang w:val="es-ES"/>
        </w:rPr>
        <w:t xml:space="preserve"> en función de la posible materialización de riesgos en la contracción de oferta, contracción de la demanda, factores financieros y patrimoniales y otros riesgos sistémicos y del entorno regulatorio. El programa </w:t>
      </w:r>
      <w:r w:rsidR="008A3E60">
        <w:rPr>
          <w:rFonts w:ascii="Arial" w:eastAsia="Calibri" w:hAnsi="Arial" w:cs="Arial"/>
          <w:sz w:val="22"/>
          <w:szCs w:val="22"/>
          <w:lang w:val="es-ES"/>
        </w:rPr>
        <w:t xml:space="preserve">aquí propuesto </w:t>
      </w:r>
      <w:r w:rsidR="008A3E60" w:rsidRPr="00015F5C">
        <w:rPr>
          <w:rFonts w:ascii="Arial" w:eastAsia="Calibri" w:hAnsi="Arial" w:cs="Arial"/>
          <w:sz w:val="22"/>
          <w:szCs w:val="22"/>
          <w:lang w:val="es-ES"/>
        </w:rPr>
        <w:t xml:space="preserve">priorizará </w:t>
      </w:r>
      <w:r w:rsidR="008A3E60">
        <w:rPr>
          <w:rFonts w:ascii="Arial" w:eastAsia="Calibri" w:hAnsi="Arial" w:cs="Arial"/>
          <w:sz w:val="22"/>
          <w:szCs w:val="22"/>
          <w:lang w:val="es-ES"/>
        </w:rPr>
        <w:t xml:space="preserve">aquellos sectores vinculados con la industria, </w:t>
      </w:r>
      <w:r w:rsidR="008A3E60" w:rsidRPr="00015F5C">
        <w:rPr>
          <w:rFonts w:ascii="Arial" w:eastAsia="Calibri" w:hAnsi="Arial" w:cs="Arial"/>
          <w:sz w:val="22"/>
          <w:szCs w:val="22"/>
          <w:lang w:val="es-ES"/>
        </w:rPr>
        <w:t>debido a</w:t>
      </w:r>
      <w:r w:rsidR="008A3E60">
        <w:rPr>
          <w:rFonts w:ascii="Arial" w:eastAsia="Calibri" w:hAnsi="Arial" w:cs="Arial"/>
          <w:sz w:val="22"/>
          <w:szCs w:val="22"/>
          <w:lang w:val="es-ES"/>
        </w:rPr>
        <w:t xml:space="preserve"> que</w:t>
      </w:r>
      <w:r w:rsidR="008A3E60" w:rsidRPr="00015F5C">
        <w:rPr>
          <w:rFonts w:ascii="Arial" w:eastAsia="Calibri" w:hAnsi="Arial" w:cs="Arial"/>
          <w:sz w:val="22"/>
          <w:szCs w:val="22"/>
          <w:lang w:val="es-ES"/>
        </w:rPr>
        <w:t xml:space="preserve">: (i) </w:t>
      </w:r>
      <w:r w:rsidR="008A3E60">
        <w:rPr>
          <w:rFonts w:ascii="Arial" w:eastAsia="Calibri" w:hAnsi="Arial" w:cs="Arial"/>
          <w:sz w:val="22"/>
          <w:szCs w:val="22"/>
          <w:lang w:val="es-ES"/>
        </w:rPr>
        <w:t>cercano al 70% de la cartera de crédito del BICE se concentra en industria</w:t>
      </w:r>
      <w:r w:rsidR="008A3E60">
        <w:rPr>
          <w:rStyle w:val="FootnoteReference"/>
          <w:rFonts w:ascii="Arial" w:eastAsia="Calibri" w:hAnsi="Arial" w:cs="Arial"/>
          <w:sz w:val="22"/>
          <w:szCs w:val="22"/>
          <w:lang w:val="es-ES"/>
        </w:rPr>
        <w:footnoteReference w:id="16"/>
      </w:r>
      <w:r w:rsidR="008A3E60">
        <w:rPr>
          <w:rFonts w:ascii="Arial" w:eastAsia="Calibri" w:hAnsi="Arial" w:cs="Arial"/>
          <w:sz w:val="22"/>
          <w:szCs w:val="22"/>
          <w:lang w:val="es-ES"/>
        </w:rPr>
        <w:t xml:space="preserve">; (ii) el gobierno ha dispuesto otras intervenciones para apoyar a los </w:t>
      </w:r>
      <w:r w:rsidR="008A3E60" w:rsidRPr="00015F5C">
        <w:rPr>
          <w:rFonts w:ascii="Arial" w:eastAsia="Calibri" w:hAnsi="Arial" w:cs="Arial"/>
          <w:sz w:val="22"/>
          <w:szCs w:val="22"/>
          <w:lang w:val="es-ES"/>
        </w:rPr>
        <w:t>sector</w:t>
      </w:r>
      <w:r w:rsidR="008A3E60">
        <w:rPr>
          <w:rFonts w:ascii="Arial" w:eastAsia="Calibri" w:hAnsi="Arial" w:cs="Arial"/>
          <w:sz w:val="22"/>
          <w:szCs w:val="22"/>
          <w:lang w:val="es-ES"/>
        </w:rPr>
        <w:t>es</w:t>
      </w:r>
      <w:r w:rsidR="008A3E60" w:rsidRPr="00015F5C">
        <w:rPr>
          <w:rFonts w:ascii="Arial" w:eastAsia="Calibri" w:hAnsi="Arial" w:cs="Arial"/>
          <w:sz w:val="22"/>
          <w:szCs w:val="22"/>
          <w:lang w:val="es-ES"/>
        </w:rPr>
        <w:t xml:space="preserve"> agroalimentario</w:t>
      </w:r>
      <w:r w:rsidR="008A3E60">
        <w:rPr>
          <w:rFonts w:ascii="Arial" w:eastAsia="Calibri" w:hAnsi="Arial" w:cs="Arial"/>
          <w:sz w:val="22"/>
          <w:szCs w:val="22"/>
          <w:lang w:val="es-ES"/>
        </w:rPr>
        <w:t xml:space="preserve"> y de turismo</w:t>
      </w:r>
      <w:r w:rsidR="008A3E60" w:rsidRPr="00015F5C">
        <w:rPr>
          <w:rFonts w:ascii="Arial" w:eastAsia="Calibri" w:hAnsi="Arial" w:cs="Arial"/>
          <w:sz w:val="22"/>
          <w:szCs w:val="22"/>
          <w:lang w:val="es-ES"/>
        </w:rPr>
        <w:t xml:space="preserve">; </w:t>
      </w:r>
      <w:r w:rsidR="008A3E60">
        <w:rPr>
          <w:rFonts w:ascii="Arial" w:eastAsia="Calibri" w:hAnsi="Arial" w:cs="Arial"/>
          <w:sz w:val="22"/>
          <w:szCs w:val="22"/>
          <w:lang w:val="es-ES"/>
        </w:rPr>
        <w:t xml:space="preserve">y </w:t>
      </w:r>
      <w:r w:rsidR="008A3E60" w:rsidRPr="00015F5C">
        <w:rPr>
          <w:rFonts w:ascii="Arial" w:eastAsia="Calibri" w:hAnsi="Arial" w:cs="Arial"/>
          <w:sz w:val="22"/>
          <w:szCs w:val="22"/>
          <w:lang w:val="es-ES"/>
        </w:rPr>
        <w:t xml:space="preserve">(iii) </w:t>
      </w:r>
      <w:r w:rsidR="008A3E60">
        <w:rPr>
          <w:rFonts w:ascii="Arial" w:eastAsia="Calibri" w:hAnsi="Arial" w:cs="Arial"/>
          <w:sz w:val="22"/>
          <w:szCs w:val="22"/>
          <w:lang w:val="es-ES"/>
        </w:rPr>
        <w:t xml:space="preserve">ya hay una </w:t>
      </w:r>
      <w:r w:rsidR="008A3E60" w:rsidRPr="00015F5C">
        <w:rPr>
          <w:rFonts w:ascii="Arial" w:eastAsia="Calibri" w:hAnsi="Arial" w:cs="Arial"/>
          <w:sz w:val="22"/>
          <w:szCs w:val="22"/>
          <w:lang w:val="es-ES"/>
        </w:rPr>
        <w:t>alta incidencia de ayuda, subsidios en transporte de pasajeros, una actividad altamente regulada</w:t>
      </w:r>
      <w:r w:rsidR="008A3E60">
        <w:rPr>
          <w:rFonts w:ascii="Arial" w:hAnsi="Arial" w:cs="Arial"/>
          <w:sz w:val="22"/>
          <w:szCs w:val="22"/>
          <w:lang w:val="es-ES"/>
        </w:rPr>
        <w:t xml:space="preserve">. No obstante, dada la naturaleza cambiante en las condiciones futuras de la actividad sectorial como consecuencia de la crisis, no se descarta la posibilidad que el programa pueda apoyar demandas de otros sectores más allá de los priorizados. La </w:t>
      </w:r>
      <w:r w:rsidR="008A3E60" w:rsidRPr="00D05F44">
        <w:rPr>
          <w:rFonts w:ascii="Arial" w:hAnsi="Arial" w:cs="Arial"/>
          <w:sz w:val="22"/>
          <w:szCs w:val="22"/>
          <w:lang w:val="es-ES"/>
        </w:rPr>
        <w:t xml:space="preserve">la industria retrocedió en </w:t>
      </w:r>
      <w:r w:rsidR="008A3E60">
        <w:rPr>
          <w:rFonts w:ascii="Arial" w:hAnsi="Arial" w:cs="Arial"/>
          <w:sz w:val="22"/>
          <w:szCs w:val="22"/>
          <w:lang w:val="es-ES"/>
        </w:rPr>
        <w:noBreakHyphen/>
      </w:r>
      <w:r w:rsidR="008A3E60" w:rsidRPr="00D05F44">
        <w:rPr>
          <w:rFonts w:ascii="Arial" w:hAnsi="Arial" w:cs="Arial"/>
          <w:sz w:val="22"/>
          <w:szCs w:val="22"/>
          <w:lang w:val="es-ES"/>
        </w:rPr>
        <w:t>16,8% interanual de marzo 2019 a marzo 2020, con las caídas más significativas representadas en el complejo automotriz (-34,9%), maquinaria y equipos (-39,9%), e indumentaria y calzado (-37,9%). Se estima que la cadena automotriz se compone de más de 10 mil MIPYME, contribuyendo en 0,5% al PBI nacional y 1,2% al empleo total. Por su parte, la industria de maquinaria y equipos se compone de más de 4 mil MIPYME, contribuyendo en 1,1% al PBI nacional y 0,6% al empleo total, mientras que la indumentaria y calzado se compone de 8 mil MIPYME, con una participación del 0,9% del PBI y 1% del empleo.</w:t>
      </w:r>
      <w:r w:rsidR="008A3E60" w:rsidRPr="004F0A7D">
        <w:rPr>
          <w:lang w:val="es-ES"/>
        </w:rPr>
        <w:t xml:space="preserve"> </w:t>
      </w:r>
      <w:r w:rsidR="008A3E60" w:rsidRPr="00F0294A">
        <w:rPr>
          <w:rFonts w:ascii="Arial" w:hAnsi="Arial" w:cs="Arial"/>
          <w:sz w:val="22"/>
          <w:szCs w:val="22"/>
          <w:lang w:val="es-ES"/>
        </w:rPr>
        <w:t xml:space="preserve">El impacto en el sector servicios, en su conjunto, es muy significativo, por ser el sector que cuenta con </w:t>
      </w:r>
      <w:r w:rsidR="008A3E60">
        <w:rPr>
          <w:rFonts w:ascii="Arial" w:hAnsi="Arial" w:cs="Arial"/>
          <w:sz w:val="22"/>
          <w:szCs w:val="22"/>
          <w:lang w:val="es-ES"/>
        </w:rPr>
        <w:t xml:space="preserve">el </w:t>
      </w:r>
      <w:r w:rsidR="008A3E60" w:rsidRPr="00F0294A">
        <w:rPr>
          <w:rFonts w:ascii="Arial" w:hAnsi="Arial" w:cs="Arial"/>
          <w:sz w:val="22"/>
          <w:szCs w:val="22"/>
          <w:lang w:val="es-ES"/>
        </w:rPr>
        <w:t>mayor número de asalariados registrados dentro del sector privado, con aproximadamente 3 millones de personas</w:t>
      </w:r>
      <w:r w:rsidR="008A3E60">
        <w:rPr>
          <w:rFonts w:ascii="Arial" w:hAnsi="Arial" w:cs="Arial"/>
          <w:sz w:val="22"/>
          <w:szCs w:val="22"/>
          <w:lang w:val="es-ES"/>
        </w:rPr>
        <w:t xml:space="preserve">. </w:t>
      </w:r>
      <w:r w:rsidR="008A3E60" w:rsidRPr="00F0294A">
        <w:rPr>
          <w:rFonts w:ascii="Arial" w:hAnsi="Arial" w:cs="Arial"/>
          <w:sz w:val="22"/>
          <w:szCs w:val="22"/>
          <w:lang w:val="es-ES"/>
        </w:rPr>
        <w:t>El comercio también resultó fuertemente afectado. Según informes de la Confederación Argentina de la Mediana Empresa (CAME), las ventas en comercios minoristas P</w:t>
      </w:r>
      <w:r w:rsidR="008A3E60">
        <w:rPr>
          <w:rFonts w:ascii="Arial" w:hAnsi="Arial" w:cs="Arial"/>
          <w:sz w:val="22"/>
          <w:szCs w:val="22"/>
          <w:lang w:val="es-ES"/>
        </w:rPr>
        <w:t>Y</w:t>
      </w:r>
      <w:r w:rsidR="008A3E60" w:rsidRPr="00F0294A">
        <w:rPr>
          <w:rFonts w:ascii="Arial" w:hAnsi="Arial" w:cs="Arial"/>
          <w:sz w:val="22"/>
          <w:szCs w:val="22"/>
          <w:lang w:val="es-ES"/>
        </w:rPr>
        <w:t>ME cayeron 57,6% interanual en abril</w:t>
      </w:r>
      <w:r w:rsidR="008A3E60">
        <w:rPr>
          <w:rFonts w:ascii="Arial" w:hAnsi="Arial" w:cs="Arial"/>
          <w:sz w:val="22"/>
          <w:szCs w:val="22"/>
          <w:lang w:val="es-ES"/>
        </w:rPr>
        <w:t xml:space="preserve"> 2020.</w:t>
      </w:r>
    </w:p>
    <w:p w14:paraId="23BAF7F0" w14:textId="3887C8FF" w:rsidR="00D50774" w:rsidRPr="00454CB5" w:rsidRDefault="00D50774" w:rsidP="00D50774">
      <w:pPr>
        <w:pStyle w:val="Paragraph"/>
        <w:numPr>
          <w:ilvl w:val="1"/>
          <w:numId w:val="4"/>
        </w:numPr>
        <w:ind w:left="630" w:hanging="630"/>
        <w:rPr>
          <w:rFonts w:ascii="Arial" w:hAnsi="Arial" w:cs="Arial"/>
          <w:sz w:val="22"/>
          <w:szCs w:val="22"/>
          <w:lang w:val="es-ES_tradnl"/>
        </w:rPr>
      </w:pPr>
      <w:r w:rsidRPr="57B1F0B1">
        <w:rPr>
          <w:rFonts w:ascii="Arial" w:hAnsi="Arial" w:cs="Arial"/>
          <w:b/>
          <w:bCs/>
          <w:sz w:val="22"/>
          <w:szCs w:val="22"/>
          <w:lang w:val="es-ES"/>
        </w:rPr>
        <w:t xml:space="preserve">Género. </w:t>
      </w:r>
      <w:r w:rsidRPr="00D50774">
        <w:rPr>
          <w:rFonts w:ascii="Arial" w:hAnsi="Arial" w:cs="Arial"/>
          <w:sz w:val="22"/>
          <w:szCs w:val="22"/>
          <w:lang w:val="es-ES"/>
        </w:rPr>
        <w:t xml:space="preserve">Además de las dificultades sistémicas descritas para el acceso al financiamiento del tejido productivo de Argentina, las mujeres enfrentan un impacto más severo por la crisis generada por la pandemia del COVID-19. Desde el punto de vista productivo, las mujeres trabajadoras y empresarias están más presente en el sector servicios, que es uno de los más afectados por la crisis. En Argentina, se estima que el 21% de las MIPYME son lideradas o de propiedad de mujeres, encontrándose la mayoría en el sector micro: entre las PYME, solo el 8,5% está en manos de mujeres, pero la cifra asciende a 25,6% cuando se considera a las microempresas. Por otro lado, datos disponibles muestran importantes brechas de género en el acceso al financiamiento empresario en Argentina. Según datos de la </w:t>
      </w:r>
      <w:r w:rsidRPr="00D50774">
        <w:rPr>
          <w:rFonts w:ascii="Arial" w:hAnsi="Arial" w:cs="Arial"/>
          <w:i/>
          <w:iCs/>
          <w:sz w:val="22"/>
          <w:szCs w:val="22"/>
          <w:lang w:val="es-ES"/>
        </w:rPr>
        <w:t>Enterprise Survey</w:t>
      </w:r>
      <w:r w:rsidRPr="00D50774">
        <w:rPr>
          <w:rFonts w:ascii="Arial" w:hAnsi="Arial" w:cs="Arial"/>
          <w:sz w:val="22"/>
          <w:szCs w:val="22"/>
          <w:lang w:val="es-ES"/>
        </w:rPr>
        <w:t xml:space="preserve"> de 2017, el 42,6% de las PYME lideradas por hombres tienen una línea de crédito, frente al 36,5% de aquellas lideradas por mujeres. Asimismo, solo 20,5% de las empresas lideradas por mujeres financian su inversión con créditos bancarios frente </w:t>
      </w:r>
      <w:r w:rsidRPr="00D50774">
        <w:rPr>
          <w:rFonts w:ascii="Arial" w:hAnsi="Arial" w:cs="Arial"/>
          <w:sz w:val="22"/>
          <w:szCs w:val="22"/>
          <w:lang w:val="es-ES"/>
        </w:rPr>
        <w:lastRenderedPageBreak/>
        <w:t xml:space="preserve">al 42,9%, de los hombres, mostrando diferencias mucho mayores que para el promedio regional de 33,3% y 39,3%, respectivamente. En Argentina es además alto el porcentaje de firmas lideradas por mujeres cuyas solicitudes de crédito fueron rechazadas: 42,0% frente a 2,5%, mientras que esta diferencia en la región es de solo 7,4% y 2,9%. En general, y además de las importantes brechas de género, las PYME lideradas por mujeres, enfrentan importantes brechas de financiamiento, estimándose que el 60% de estas firmas están restringidas financieramente y que el monto de la brecha ascendería a los US$ 1,756 millones. Lo anterior se suma a una situación inicial de desigualdad en acceso a financiamiento que debe ser abordada y que resalta la necesidad de tener un enfoque de género en las posibles intervenciones. </w:t>
      </w:r>
      <w:r w:rsidR="003E0F7B" w:rsidRPr="003E0F7B">
        <w:rPr>
          <w:rFonts w:ascii="Arial" w:hAnsi="Arial" w:cs="Arial"/>
          <w:sz w:val="22"/>
          <w:szCs w:val="22"/>
          <w:lang w:val="es-ES_tradnl"/>
        </w:rPr>
        <w:t>Toma</w:t>
      </w:r>
      <w:r w:rsidR="003E0F7B">
        <w:rPr>
          <w:rFonts w:ascii="Arial" w:hAnsi="Arial" w:cs="Arial"/>
          <w:sz w:val="22"/>
          <w:szCs w:val="22"/>
          <w:lang w:val="es-ES_tradnl"/>
        </w:rPr>
        <w:t>n</w:t>
      </w:r>
      <w:r w:rsidR="003E0F7B" w:rsidRPr="003E0F7B">
        <w:rPr>
          <w:rFonts w:ascii="Arial" w:hAnsi="Arial" w:cs="Arial"/>
          <w:sz w:val="22"/>
          <w:szCs w:val="22"/>
          <w:lang w:val="es-ES_tradnl"/>
        </w:rPr>
        <w:t>do en cuenta la importancia que tiene el tema para el país, el programa incorpora una meta de 20% del total de financiamientos que serán destinados a MIPYME definidas como de mujer afectadas por la crisis.</w:t>
      </w:r>
    </w:p>
    <w:p w14:paraId="5E33C165" w14:textId="376CD40C" w:rsidR="000652FD" w:rsidRPr="00DD3FD0" w:rsidRDefault="00F8529B" w:rsidP="00DD3FD0">
      <w:pPr>
        <w:pStyle w:val="Paragraph"/>
        <w:numPr>
          <w:ilvl w:val="1"/>
          <w:numId w:val="4"/>
        </w:numPr>
        <w:ind w:left="630" w:hanging="630"/>
        <w:rPr>
          <w:rFonts w:ascii="Arial" w:hAnsi="Arial" w:cs="Arial"/>
          <w:sz w:val="22"/>
          <w:szCs w:val="22"/>
          <w:lang w:val="es-ES"/>
        </w:rPr>
      </w:pPr>
      <w:r w:rsidRPr="000652FD">
        <w:rPr>
          <w:rFonts w:ascii="Arial" w:hAnsi="Arial" w:cs="Arial"/>
          <w:b/>
          <w:bCs/>
          <w:sz w:val="22"/>
          <w:szCs w:val="22"/>
          <w:lang w:val="es-ES_tradnl"/>
        </w:rPr>
        <w:t>Objetivos del programa</w:t>
      </w:r>
      <w:r w:rsidRPr="00DD3FD0">
        <w:rPr>
          <w:rFonts w:ascii="Arial" w:hAnsi="Arial" w:cs="Arial"/>
          <w:b/>
          <w:bCs/>
          <w:sz w:val="22"/>
          <w:szCs w:val="22"/>
          <w:lang w:val="es-ES_tradnl"/>
        </w:rPr>
        <w:t>.</w:t>
      </w:r>
      <w:r w:rsidRPr="000652FD">
        <w:rPr>
          <w:rFonts w:ascii="Arial" w:hAnsi="Arial" w:cs="Arial"/>
          <w:sz w:val="22"/>
          <w:szCs w:val="22"/>
          <w:lang w:val="es-ES_tradnl"/>
        </w:rPr>
        <w:t xml:space="preserve"> </w:t>
      </w:r>
      <w:r w:rsidR="00D50774" w:rsidRPr="000652FD">
        <w:rPr>
          <w:rFonts w:ascii="Arial" w:hAnsi="Arial" w:cs="Arial"/>
          <w:sz w:val="22"/>
          <w:szCs w:val="22"/>
          <w:lang w:val="es-ES"/>
        </w:rPr>
        <w:t xml:space="preserve">El objetivo general de esta reformulación es apoyar la sostenibilidad de las MIPYME como sostén del empleo en Argentina en el contexto de crisis generada por la pandemia COVID-19. Los objetivos específicos son: (i) apoyar la sostenibilidad financiera de corto plazo de las MIPYME; y (ii) promover la recuperación económica de las MIPYME a través del acceso al financiamiento productivo. </w:t>
      </w:r>
    </w:p>
    <w:p w14:paraId="79B616FC" w14:textId="65ACDE90" w:rsidR="000652FD" w:rsidRPr="0008435C" w:rsidRDefault="000652FD" w:rsidP="00DD3FD0">
      <w:pPr>
        <w:pStyle w:val="Paragraph"/>
        <w:numPr>
          <w:ilvl w:val="1"/>
          <w:numId w:val="4"/>
        </w:numPr>
        <w:ind w:left="630" w:hanging="630"/>
        <w:rPr>
          <w:rFonts w:ascii="Arial" w:hAnsi="Arial" w:cs="Arial"/>
          <w:sz w:val="22"/>
          <w:szCs w:val="22"/>
          <w:lang w:val="es-ES"/>
        </w:rPr>
      </w:pPr>
      <w:r w:rsidRPr="00DD3FD0">
        <w:rPr>
          <w:rFonts w:ascii="Arial" w:hAnsi="Arial" w:cs="Arial"/>
          <w:b/>
          <w:bCs/>
          <w:sz w:val="22"/>
          <w:szCs w:val="22"/>
          <w:lang w:val="es-NI"/>
        </w:rPr>
        <w:t>Componente único.</w:t>
      </w:r>
      <w:r w:rsidRPr="00DD3FD0">
        <w:rPr>
          <w:rFonts w:ascii="Arial" w:hAnsi="Arial" w:cs="Arial"/>
          <w:sz w:val="22"/>
          <w:szCs w:val="22"/>
          <w:lang w:val="es-NI"/>
        </w:rPr>
        <w:t xml:space="preserve"> </w:t>
      </w:r>
      <w:r w:rsidRPr="00DD3FD0">
        <w:rPr>
          <w:rFonts w:ascii="Arial" w:hAnsi="Arial" w:cs="Arial"/>
          <w:b/>
          <w:bCs/>
          <w:sz w:val="22"/>
          <w:szCs w:val="22"/>
          <w:lang w:val="es-NI"/>
        </w:rPr>
        <w:t xml:space="preserve">Apoyo al financiamiento de la MIPYME (US$497 millones). </w:t>
      </w:r>
      <w:r w:rsidR="00766209" w:rsidRPr="00766209">
        <w:rPr>
          <w:rFonts w:ascii="Arial" w:hAnsi="Arial" w:cs="Arial"/>
          <w:sz w:val="22"/>
          <w:szCs w:val="22"/>
          <w:lang w:val="es-NI"/>
        </w:rPr>
        <w:t>Los recursos reorientados serán empleados para financiar las intervenciones que se describen en los siguientes subcomponentes</w:t>
      </w:r>
      <w:r w:rsidRPr="00DD3FD0">
        <w:rPr>
          <w:rFonts w:ascii="Arial" w:hAnsi="Arial" w:cs="Arial"/>
          <w:sz w:val="22"/>
          <w:szCs w:val="22"/>
          <w:lang w:val="es-NI"/>
        </w:rPr>
        <w:t>:</w:t>
      </w:r>
    </w:p>
    <w:p w14:paraId="55699FB8" w14:textId="079C859C" w:rsidR="00FD6D39" w:rsidRPr="000F23CF" w:rsidRDefault="00D50774" w:rsidP="00FD6D39">
      <w:pPr>
        <w:pStyle w:val="ListParagraph"/>
        <w:numPr>
          <w:ilvl w:val="1"/>
          <w:numId w:val="4"/>
        </w:numPr>
        <w:spacing w:before="120" w:after="120"/>
        <w:ind w:left="630" w:hanging="630"/>
        <w:contextualSpacing w:val="0"/>
        <w:jc w:val="both"/>
        <w:rPr>
          <w:rFonts w:ascii="Arial" w:hAnsi="Arial" w:cs="Arial"/>
          <w:sz w:val="22"/>
          <w:szCs w:val="22"/>
        </w:rPr>
      </w:pPr>
      <w:bookmarkStart w:id="6" w:name="_Hlk35459355"/>
      <w:r w:rsidRPr="57B1F0B1">
        <w:rPr>
          <w:rFonts w:ascii="Arial" w:hAnsi="Arial" w:cs="Arial"/>
          <w:b/>
          <w:bCs/>
          <w:sz w:val="22"/>
          <w:szCs w:val="22"/>
          <w:lang w:val="es-ES"/>
        </w:rPr>
        <w:t>Subcomponente 1. Apoyo a la mejora de las capacidades financieras a corto plazo</w:t>
      </w:r>
      <w:r>
        <w:rPr>
          <w:rFonts w:ascii="Arial" w:hAnsi="Arial" w:cs="Arial"/>
          <w:b/>
          <w:bCs/>
          <w:sz w:val="22"/>
          <w:szCs w:val="22"/>
          <w:lang w:val="es-ES"/>
        </w:rPr>
        <w:t xml:space="preserve"> </w:t>
      </w:r>
      <w:r w:rsidRPr="57B1F0B1">
        <w:rPr>
          <w:rFonts w:ascii="Arial" w:hAnsi="Arial" w:cs="Arial"/>
          <w:b/>
          <w:bCs/>
          <w:sz w:val="22"/>
          <w:szCs w:val="22"/>
          <w:lang w:val="es-ES"/>
        </w:rPr>
        <w:t>(US$</w:t>
      </w:r>
      <w:r w:rsidRPr="600985B2">
        <w:rPr>
          <w:rFonts w:ascii="Arial" w:hAnsi="Arial" w:cs="Arial"/>
          <w:b/>
          <w:bCs/>
          <w:sz w:val="22"/>
          <w:szCs w:val="22"/>
          <w:lang w:val="es-ES"/>
        </w:rPr>
        <w:t xml:space="preserve">407 </w:t>
      </w:r>
      <w:r w:rsidRPr="57B1F0B1">
        <w:rPr>
          <w:rFonts w:ascii="Arial" w:hAnsi="Arial" w:cs="Arial"/>
          <w:b/>
          <w:bCs/>
          <w:sz w:val="22"/>
          <w:szCs w:val="22"/>
          <w:lang w:val="es-ES"/>
        </w:rPr>
        <w:t xml:space="preserve">millones). </w:t>
      </w:r>
      <w:bookmarkEnd w:id="6"/>
      <w:r w:rsidR="00C65105" w:rsidRPr="00C65105">
        <w:rPr>
          <w:rFonts w:ascii="Arial" w:hAnsi="Arial" w:cs="Arial"/>
          <w:sz w:val="22"/>
          <w:szCs w:val="22"/>
        </w:rPr>
        <w:t xml:space="preserve">Los recursos de reorientados se destinarán para contribuir a que las MIPYME afectadas por la crisis generada por la pandemia del COVID-19 superen problemas temporales de liquidez y puedan cumplir con sus obligaciones comerciales y financieras, dando continuidad así a su operación a través de un financiamiento que permita normalizar su ciclo comercial. Para ello, se podrá financiar: (i) capital de trabajo; y (ii) refinanciamiento de créditos vigentes. </w:t>
      </w:r>
      <w:r w:rsidR="005414EE" w:rsidRPr="005414EE">
        <w:rPr>
          <w:rFonts w:ascii="Arial" w:hAnsi="Arial" w:cs="Arial"/>
          <w:sz w:val="22"/>
          <w:szCs w:val="22"/>
        </w:rPr>
        <w:t>Lo anterior se materializa mediante la mejora de las condiciones de financiamiento y el otorgamiento de créditos a través del Fondo de Desarrollo Productivo (FONDEP), y de la provisión de recursos para garantías para facilitar el acceso a créditos otorgados por Instituciones Financieras Intermediarias (IFI), a través del Fondo de Garantía</w:t>
      </w:r>
      <w:r w:rsidR="00752991">
        <w:rPr>
          <w:rFonts w:ascii="Arial" w:hAnsi="Arial" w:cs="Arial"/>
          <w:sz w:val="22"/>
          <w:szCs w:val="22"/>
        </w:rPr>
        <w:t>s</w:t>
      </w:r>
      <w:r w:rsidR="005414EE" w:rsidRPr="005414EE">
        <w:rPr>
          <w:rFonts w:ascii="Arial" w:hAnsi="Arial" w:cs="Arial"/>
          <w:sz w:val="22"/>
          <w:szCs w:val="22"/>
        </w:rPr>
        <w:t xml:space="preserve"> Argentin</w:t>
      </w:r>
      <w:r w:rsidR="006E10F2">
        <w:rPr>
          <w:rFonts w:ascii="Arial" w:hAnsi="Arial" w:cs="Arial"/>
          <w:sz w:val="22"/>
          <w:szCs w:val="22"/>
        </w:rPr>
        <w:t>o</w:t>
      </w:r>
      <w:r w:rsidR="005414EE" w:rsidRPr="005414EE">
        <w:rPr>
          <w:rFonts w:ascii="Arial" w:hAnsi="Arial" w:cs="Arial"/>
          <w:sz w:val="22"/>
          <w:szCs w:val="22"/>
        </w:rPr>
        <w:t xml:space="preserve"> (FOGAR), ambos administrados por </w:t>
      </w:r>
      <w:r w:rsidR="007B0B67">
        <w:rPr>
          <w:rFonts w:ascii="Arial" w:hAnsi="Arial" w:cs="Arial"/>
          <w:sz w:val="22"/>
          <w:szCs w:val="22"/>
        </w:rPr>
        <w:t>BICE Fideicomisos S.A. (BFSA)</w:t>
      </w:r>
      <w:r w:rsidR="005414EE" w:rsidRPr="005414EE">
        <w:rPr>
          <w:rFonts w:ascii="Arial" w:hAnsi="Arial" w:cs="Arial"/>
          <w:sz w:val="22"/>
          <w:szCs w:val="22"/>
        </w:rPr>
        <w:t>. En el caso del FONDEP se contempla: (i) financiamiento de créditos directos; (ii) financiamiento indirecto de créditos, a través de las IFI</w:t>
      </w:r>
      <w:r w:rsidR="00C15D84">
        <w:rPr>
          <w:rFonts w:ascii="Arial" w:hAnsi="Arial" w:cs="Arial"/>
          <w:sz w:val="22"/>
          <w:szCs w:val="22"/>
        </w:rPr>
        <w:t>;</w:t>
      </w:r>
      <w:r w:rsidR="005414EE" w:rsidRPr="005414EE">
        <w:rPr>
          <w:rFonts w:ascii="Arial" w:hAnsi="Arial" w:cs="Arial"/>
          <w:sz w:val="22"/>
          <w:szCs w:val="22"/>
        </w:rPr>
        <w:t xml:space="preserve"> y (iii)</w:t>
      </w:r>
      <w:r w:rsidR="00C15D84">
        <w:rPr>
          <w:rFonts w:ascii="Arial" w:hAnsi="Arial" w:cs="Arial"/>
          <w:sz w:val="22"/>
          <w:szCs w:val="22"/>
        </w:rPr>
        <w:t> </w:t>
      </w:r>
      <w:r w:rsidR="005414EE" w:rsidRPr="005414EE">
        <w:rPr>
          <w:rFonts w:ascii="Arial" w:hAnsi="Arial" w:cs="Arial"/>
          <w:sz w:val="22"/>
          <w:szCs w:val="22"/>
        </w:rPr>
        <w:t xml:space="preserve">financiamiento de créditos a empresas ancla en beneficio de MIPYME proveedoras que integran su cadena de valor. </w:t>
      </w:r>
      <w:r w:rsidR="003448DB" w:rsidRPr="003448DB">
        <w:rPr>
          <w:rFonts w:ascii="Arial" w:hAnsi="Arial" w:cs="Arial"/>
          <w:sz w:val="22"/>
          <w:szCs w:val="22"/>
        </w:rPr>
        <w:t>Asimismo, el FONDEP podrá financiar la bonificación de la tasa de interés de créditos otorgados por las IFI y que cuenten con la garantía de FOGAR</w:t>
      </w:r>
      <w:r w:rsidR="00D05D54">
        <w:rPr>
          <w:rStyle w:val="FootnoteReference"/>
          <w:rFonts w:ascii="Arial" w:hAnsi="Arial" w:cs="Arial"/>
          <w:sz w:val="22"/>
          <w:szCs w:val="22"/>
        </w:rPr>
        <w:footnoteReference w:id="17"/>
      </w:r>
      <w:r w:rsidR="00D05D54">
        <w:rPr>
          <w:rFonts w:ascii="Arial" w:hAnsi="Arial" w:cs="Arial"/>
          <w:sz w:val="22"/>
          <w:szCs w:val="22"/>
        </w:rPr>
        <w:t>.</w:t>
      </w:r>
      <w:r w:rsidR="003448DB" w:rsidRPr="003448DB">
        <w:rPr>
          <w:rFonts w:ascii="Arial" w:hAnsi="Arial" w:cs="Arial"/>
          <w:sz w:val="22"/>
          <w:szCs w:val="22"/>
        </w:rPr>
        <w:t xml:space="preserve"> </w:t>
      </w:r>
      <w:r w:rsidR="005414EE" w:rsidRPr="005414EE">
        <w:rPr>
          <w:rFonts w:ascii="Arial" w:hAnsi="Arial" w:cs="Arial"/>
          <w:sz w:val="22"/>
          <w:szCs w:val="22"/>
        </w:rPr>
        <w:t xml:space="preserve">En el caso del FOGAR, los recursos serán utilizados para </w:t>
      </w:r>
      <w:r w:rsidR="002C6846" w:rsidRPr="002C6846">
        <w:rPr>
          <w:rFonts w:ascii="Arial" w:hAnsi="Arial" w:cs="Arial"/>
          <w:sz w:val="22"/>
          <w:szCs w:val="22"/>
        </w:rPr>
        <w:t>para el fortalecimiento de FOGAR mediante el aporte de fondos que oportunamente serán destinados por FOGAR para otorgar garantías para mejorar el acceso al crédito de las</w:t>
      </w:r>
      <w:r w:rsidR="005414EE" w:rsidRPr="005414EE">
        <w:rPr>
          <w:rFonts w:ascii="Arial" w:hAnsi="Arial" w:cs="Arial"/>
          <w:sz w:val="22"/>
          <w:szCs w:val="22"/>
        </w:rPr>
        <w:t xml:space="preserve"> MIPYME elegibles</w:t>
      </w:r>
      <w:r w:rsidR="00C65105" w:rsidRPr="00C65105">
        <w:rPr>
          <w:rFonts w:ascii="Arial" w:hAnsi="Arial" w:cs="Arial"/>
          <w:sz w:val="22"/>
          <w:szCs w:val="22"/>
        </w:rPr>
        <w:t xml:space="preserve">. Se asegurará que al menos 20% de las operaciones sean destinadas a MIPYME lideradas o de propiedad de mujeres. Asimismo, se podrán financiar los gastos para administrar los recursos destinados a los créditos y garantías a través del FONDEP </w:t>
      </w:r>
      <w:r w:rsidR="002C6846">
        <w:rPr>
          <w:rFonts w:ascii="Arial" w:hAnsi="Arial" w:cs="Arial"/>
          <w:sz w:val="22"/>
          <w:szCs w:val="22"/>
        </w:rPr>
        <w:t>y</w:t>
      </w:r>
      <w:r w:rsidR="00C65105" w:rsidRPr="00C65105">
        <w:rPr>
          <w:rFonts w:ascii="Arial" w:hAnsi="Arial" w:cs="Arial"/>
          <w:sz w:val="22"/>
          <w:szCs w:val="22"/>
        </w:rPr>
        <w:t xml:space="preserve"> FOGAR, así como el sistema de monitoreo y la coordinación del subcomponente</w:t>
      </w:r>
      <w:r w:rsidR="00FD6D39" w:rsidRPr="2EB4F83A">
        <w:rPr>
          <w:rFonts w:ascii="Arial" w:hAnsi="Arial" w:cs="Arial"/>
          <w:sz w:val="22"/>
          <w:szCs w:val="22"/>
          <w:lang w:val="es-ES"/>
        </w:rPr>
        <w:t>.</w:t>
      </w:r>
    </w:p>
    <w:p w14:paraId="2DD00FB8" w14:textId="0180FDE4" w:rsidR="00FD6D39" w:rsidRDefault="00D50774" w:rsidP="00FD6D39">
      <w:pPr>
        <w:pStyle w:val="Paragraph"/>
        <w:numPr>
          <w:ilvl w:val="1"/>
          <w:numId w:val="4"/>
        </w:numPr>
        <w:ind w:left="630" w:hanging="630"/>
        <w:rPr>
          <w:rFonts w:ascii="Arial" w:hAnsi="Arial" w:cs="Arial"/>
          <w:sz w:val="22"/>
          <w:szCs w:val="22"/>
          <w:lang w:val="es-ES_tradnl"/>
        </w:rPr>
      </w:pPr>
      <w:r w:rsidRPr="600985B2">
        <w:rPr>
          <w:rFonts w:ascii="Arial" w:hAnsi="Arial" w:cs="Arial"/>
          <w:b/>
          <w:bCs/>
          <w:sz w:val="22"/>
          <w:szCs w:val="22"/>
          <w:lang w:val="es-ES"/>
        </w:rPr>
        <w:t xml:space="preserve">Subcomponente 2. </w:t>
      </w:r>
      <w:r w:rsidRPr="00D50774">
        <w:rPr>
          <w:rFonts w:ascii="Arial" w:hAnsi="Arial" w:cs="Arial"/>
          <w:b/>
          <w:bCs/>
          <w:sz w:val="22"/>
          <w:szCs w:val="22"/>
          <w:lang w:val="es-ES"/>
        </w:rPr>
        <w:t>Acceso al financiamiento productivo para la recuperación económica</w:t>
      </w:r>
      <w:r w:rsidRPr="600985B2">
        <w:rPr>
          <w:rFonts w:ascii="Arial" w:hAnsi="Arial" w:cs="Arial"/>
          <w:b/>
          <w:bCs/>
          <w:sz w:val="22"/>
          <w:szCs w:val="22"/>
          <w:lang w:val="es-ES"/>
        </w:rPr>
        <w:t xml:space="preserve"> (US$90 millones).</w:t>
      </w:r>
      <w:r w:rsidRPr="600985B2">
        <w:rPr>
          <w:rFonts w:ascii="Arial" w:hAnsi="Arial" w:cs="Arial"/>
          <w:sz w:val="22"/>
          <w:szCs w:val="22"/>
          <w:lang w:val="es-ES"/>
        </w:rPr>
        <w:t xml:space="preserve"> </w:t>
      </w:r>
      <w:r w:rsidR="00164C77" w:rsidRPr="00164C77">
        <w:rPr>
          <w:rFonts w:ascii="Arial" w:hAnsi="Arial" w:cs="Arial"/>
          <w:sz w:val="22"/>
          <w:szCs w:val="22"/>
          <w:lang w:val="es-ES"/>
        </w:rPr>
        <w:t xml:space="preserve">Los recursos reorientados serán destinados a apoyar la recuperación económica a través del financiamiento productivo de las MIPYME afectadas </w:t>
      </w:r>
      <w:r w:rsidR="00164C77" w:rsidRPr="00164C77">
        <w:rPr>
          <w:rFonts w:ascii="Arial" w:hAnsi="Arial" w:cs="Arial"/>
          <w:sz w:val="22"/>
          <w:szCs w:val="22"/>
          <w:lang w:val="es-ES"/>
        </w:rPr>
        <w:lastRenderedPageBreak/>
        <w:t>por la crisis generada por la pandemia del COVID-19, para lo cual se contempla dar acceso a la MIPYME a financiamiento a mediano plazo para: (i) apoyar el restablecimiento de la capacidad productiva; (ii) apoyar necesidades de reconversiones productivas y adaptaciones en el proceso de transformación digital por consecuencia de la crisis; y (iii)</w:t>
      </w:r>
      <w:r w:rsidR="00164C77">
        <w:rPr>
          <w:rFonts w:ascii="Arial" w:hAnsi="Arial" w:cs="Arial"/>
          <w:sz w:val="22"/>
          <w:szCs w:val="22"/>
          <w:lang w:val="es-ES"/>
        </w:rPr>
        <w:t> </w:t>
      </w:r>
      <w:r w:rsidR="00164C77" w:rsidRPr="00164C77">
        <w:rPr>
          <w:rFonts w:ascii="Arial" w:hAnsi="Arial" w:cs="Arial"/>
          <w:sz w:val="22"/>
          <w:szCs w:val="22"/>
          <w:lang w:val="es-ES"/>
        </w:rPr>
        <w:t xml:space="preserve">atender un incremento puntual en la demanda que se manifieste como consecuencia de la crisis. </w:t>
      </w:r>
      <w:r w:rsidR="00EB3F02" w:rsidRPr="00EB3F02">
        <w:rPr>
          <w:rFonts w:ascii="Arial" w:hAnsi="Arial" w:cs="Arial"/>
          <w:sz w:val="22"/>
          <w:szCs w:val="22"/>
          <w:lang w:val="es-ES"/>
        </w:rPr>
        <w:t xml:space="preserve">Lo anterior se materializa mediante la mejora de las condiciones de financiamiento a través del FONDEP, y de la provisión de recursos para garantías para facilitar el acceso a créditos otorgados por IFI, a través del FOGAR. En el caso del FONDEP se contempla: (i) financiamiento directo de créditos; (ii) financiamiento indirecto de créditos, a través de las IFI; y (iii) financiamiento a empresas ancla en beneficio de MIPYME proveedoras que integran su cadena de valor. </w:t>
      </w:r>
      <w:r w:rsidR="004A5616" w:rsidRPr="004A5616">
        <w:rPr>
          <w:rFonts w:ascii="Arial" w:hAnsi="Arial" w:cs="Arial"/>
          <w:sz w:val="22"/>
          <w:szCs w:val="22"/>
          <w:lang w:val="es-ES"/>
        </w:rPr>
        <w:t>Asimismo, el FONDEP podrá financiar la bonificación de la tasa de interés de créditos otorgados por las IFI y que cuenten con la garantía de FOGAR</w:t>
      </w:r>
      <w:r w:rsidR="004A5616">
        <w:rPr>
          <w:rFonts w:ascii="Arial" w:hAnsi="Arial" w:cs="Arial"/>
          <w:sz w:val="22"/>
          <w:szCs w:val="22"/>
          <w:lang w:val="es-ES"/>
        </w:rPr>
        <w:t>.</w:t>
      </w:r>
      <w:r w:rsidR="004A5616" w:rsidRPr="004A5616">
        <w:rPr>
          <w:rFonts w:ascii="Arial" w:hAnsi="Arial" w:cs="Arial"/>
          <w:sz w:val="22"/>
          <w:szCs w:val="22"/>
          <w:lang w:val="es-ES"/>
        </w:rPr>
        <w:t xml:space="preserve"> </w:t>
      </w:r>
      <w:r w:rsidR="00EB3F02" w:rsidRPr="00EB3F02">
        <w:rPr>
          <w:rFonts w:ascii="Arial" w:hAnsi="Arial" w:cs="Arial"/>
          <w:sz w:val="22"/>
          <w:szCs w:val="22"/>
          <w:lang w:val="es-ES"/>
        </w:rPr>
        <w:t>En el caso del FOGAR, los recursos serán utilizados para aportar a FOGAR fondos destinados a garantías para MIPYME elegibles</w:t>
      </w:r>
      <w:r w:rsidR="00164C77" w:rsidRPr="00164C77">
        <w:rPr>
          <w:rFonts w:ascii="Arial" w:hAnsi="Arial" w:cs="Arial"/>
          <w:sz w:val="22"/>
          <w:szCs w:val="22"/>
          <w:lang w:val="es-ES"/>
        </w:rPr>
        <w:t>. Se asegurará que al menos 20% de las operaciones sean destinadas a MIPYME lideradas o de propiedad de mujeres. Asimismo, se podrán financiar los gastos para administrar los recursos destinados a los créditos y garantías a través del FONDEP y FOGAR, como también el sistema de monitoreo y la coordinación del subcomponente</w:t>
      </w:r>
      <w:r w:rsidR="00FD6D39" w:rsidRPr="00FD6D39">
        <w:rPr>
          <w:rFonts w:ascii="Arial" w:hAnsi="Arial" w:cs="Arial"/>
          <w:sz w:val="22"/>
          <w:szCs w:val="22"/>
          <w:lang w:val="es-ES"/>
        </w:rPr>
        <w:t>.</w:t>
      </w:r>
    </w:p>
    <w:p w14:paraId="017720F7" w14:textId="74005C43" w:rsidR="007116B2" w:rsidRPr="001F731F" w:rsidRDefault="00F8529B" w:rsidP="007116B2">
      <w:pPr>
        <w:pStyle w:val="Paragraph"/>
        <w:numPr>
          <w:ilvl w:val="1"/>
          <w:numId w:val="4"/>
        </w:numPr>
        <w:ind w:left="630" w:hanging="630"/>
        <w:rPr>
          <w:rFonts w:ascii="Arial" w:hAnsi="Arial" w:cs="Arial"/>
          <w:sz w:val="22"/>
          <w:szCs w:val="22"/>
          <w:lang w:val="es-ES_tradnl"/>
        </w:rPr>
      </w:pPr>
      <w:r>
        <w:rPr>
          <w:rFonts w:ascii="Arial" w:hAnsi="Arial" w:cs="Arial"/>
          <w:sz w:val="22"/>
          <w:szCs w:val="22"/>
          <w:lang w:val="es-ES"/>
        </w:rPr>
        <w:t xml:space="preserve">El programa busca beneficiar a una población de </w:t>
      </w:r>
      <w:r w:rsidR="00D50774">
        <w:rPr>
          <w:rFonts w:ascii="Arial" w:hAnsi="Arial" w:cs="Arial"/>
          <w:sz w:val="22"/>
          <w:szCs w:val="22"/>
          <w:lang w:val="es-ES"/>
        </w:rPr>
        <w:t>al menos 30.0</w:t>
      </w:r>
      <w:r w:rsidR="00C16CFF">
        <w:rPr>
          <w:rFonts w:ascii="Arial" w:hAnsi="Arial" w:cs="Arial"/>
          <w:sz w:val="22"/>
          <w:szCs w:val="22"/>
          <w:lang w:val="es-ES"/>
        </w:rPr>
        <w:t>0</w:t>
      </w:r>
      <w:r w:rsidR="00D50774">
        <w:rPr>
          <w:rFonts w:ascii="Arial" w:hAnsi="Arial" w:cs="Arial"/>
          <w:sz w:val="22"/>
          <w:szCs w:val="22"/>
          <w:lang w:val="es-ES"/>
        </w:rPr>
        <w:t>0</w:t>
      </w:r>
      <w:r>
        <w:rPr>
          <w:rFonts w:ascii="Arial" w:hAnsi="Arial" w:cs="Arial"/>
          <w:sz w:val="22"/>
          <w:szCs w:val="22"/>
          <w:lang w:val="es-ES"/>
        </w:rPr>
        <w:t xml:space="preserve"> MIPYMES</w:t>
      </w:r>
      <w:r w:rsidR="00AC7689">
        <w:rPr>
          <w:rFonts w:ascii="Arial" w:hAnsi="Arial" w:cs="Arial"/>
          <w:sz w:val="22"/>
          <w:szCs w:val="22"/>
          <w:lang w:val="es-ES"/>
        </w:rPr>
        <w:t>.</w:t>
      </w:r>
    </w:p>
    <w:bookmarkEnd w:id="1"/>
    <w:p w14:paraId="5043E48A" w14:textId="7F12428E" w:rsidR="00132D0F" w:rsidRPr="00132D0F" w:rsidRDefault="00F8529B" w:rsidP="007116B2">
      <w:pPr>
        <w:pStyle w:val="Paragraph"/>
        <w:numPr>
          <w:ilvl w:val="1"/>
          <w:numId w:val="4"/>
        </w:numPr>
        <w:ind w:left="630" w:hanging="630"/>
        <w:rPr>
          <w:rFonts w:ascii="Arial" w:hAnsi="Arial" w:cs="Arial"/>
          <w:sz w:val="22"/>
          <w:szCs w:val="22"/>
          <w:lang w:val="es-ES_tradnl"/>
        </w:rPr>
      </w:pPr>
      <w:r w:rsidRPr="00F8529B">
        <w:rPr>
          <w:rFonts w:ascii="Arial" w:hAnsi="Arial" w:cs="Arial"/>
          <w:b/>
          <w:bCs/>
          <w:sz w:val="22"/>
          <w:szCs w:val="22"/>
          <w:lang w:val="es-ES_tradnl"/>
        </w:rPr>
        <w:t>Organismo ejecutor</w:t>
      </w:r>
      <w:r w:rsidRPr="00DD3FD0">
        <w:rPr>
          <w:rFonts w:ascii="Arial" w:hAnsi="Arial" w:cs="Arial"/>
          <w:b/>
          <w:bCs/>
          <w:sz w:val="22"/>
          <w:szCs w:val="22"/>
          <w:lang w:val="es-ES_tradnl"/>
        </w:rPr>
        <w:t xml:space="preserve">. </w:t>
      </w:r>
      <w:r w:rsidR="00132D0F" w:rsidRPr="00132D0F">
        <w:rPr>
          <w:rFonts w:ascii="Arial" w:hAnsi="Arial" w:cs="Arial"/>
          <w:sz w:val="22"/>
          <w:szCs w:val="22"/>
          <w:lang w:val="es-ES"/>
        </w:rPr>
        <w:t xml:space="preserve">El Organismo Ejecutor (OE) de las actividades financiadas con los recursos reorientados será el MDP mediante </w:t>
      </w:r>
      <w:r w:rsidR="00132D0F" w:rsidRPr="001B141E">
        <w:rPr>
          <w:rFonts w:ascii="Arial" w:hAnsi="Arial" w:cs="Arial"/>
          <w:sz w:val="22"/>
          <w:szCs w:val="22"/>
          <w:lang w:val="es-ES"/>
        </w:rPr>
        <w:t xml:space="preserve">la </w:t>
      </w:r>
      <w:r w:rsidR="00186383" w:rsidRPr="001B141E">
        <w:rPr>
          <w:rFonts w:ascii="Arial" w:hAnsi="Arial" w:cs="Arial"/>
          <w:sz w:val="22"/>
          <w:szCs w:val="22"/>
          <w:lang w:val="es-NI"/>
        </w:rPr>
        <w:t>Secretaría para la Pequeña y Mediana Empresa y los Emprendedores</w:t>
      </w:r>
      <w:r w:rsidR="00186383" w:rsidRPr="001B141E">
        <w:rPr>
          <w:rFonts w:ascii="Arial" w:hAnsi="Arial" w:cs="Arial"/>
          <w:sz w:val="22"/>
          <w:szCs w:val="22"/>
          <w:lang w:val="es-ES"/>
        </w:rPr>
        <w:t xml:space="preserve"> (</w:t>
      </w:r>
      <w:r w:rsidR="00132D0F" w:rsidRPr="001B141E">
        <w:rPr>
          <w:rFonts w:ascii="Arial" w:hAnsi="Arial" w:cs="Arial"/>
          <w:sz w:val="22"/>
          <w:szCs w:val="22"/>
          <w:lang w:val="es-ES"/>
        </w:rPr>
        <w:t>SEPYME</w:t>
      </w:r>
      <w:r w:rsidR="00186383" w:rsidRPr="001B141E">
        <w:rPr>
          <w:rFonts w:ascii="Arial" w:hAnsi="Arial" w:cs="Arial"/>
          <w:sz w:val="22"/>
          <w:szCs w:val="22"/>
          <w:lang w:val="es-ES"/>
        </w:rPr>
        <w:t>)</w:t>
      </w:r>
      <w:r w:rsidR="00132D0F" w:rsidRPr="001B141E">
        <w:rPr>
          <w:rFonts w:ascii="Arial" w:hAnsi="Arial" w:cs="Arial"/>
          <w:sz w:val="22"/>
          <w:szCs w:val="22"/>
          <w:lang w:val="es-ES"/>
        </w:rPr>
        <w:t>. La SEPYME se apoyará</w:t>
      </w:r>
      <w:r w:rsidR="00132D0F" w:rsidRPr="00132D0F">
        <w:rPr>
          <w:rFonts w:ascii="Arial" w:hAnsi="Arial" w:cs="Arial"/>
          <w:sz w:val="22"/>
          <w:szCs w:val="22"/>
          <w:lang w:val="es-ES"/>
        </w:rPr>
        <w:t xml:space="preserve"> en la</w:t>
      </w:r>
      <w:r w:rsidR="00205C46">
        <w:rPr>
          <w:rFonts w:ascii="Arial" w:hAnsi="Arial" w:cs="Arial"/>
          <w:sz w:val="22"/>
          <w:szCs w:val="22"/>
          <w:lang w:val="es-ES"/>
        </w:rPr>
        <w:t xml:space="preserve"> Dirección General de </w:t>
      </w:r>
      <w:r w:rsidR="00205C46" w:rsidRPr="00205C46">
        <w:rPr>
          <w:rFonts w:ascii="Arial" w:eastAsia="Arial" w:hAnsi="Arial" w:cs="Arial"/>
          <w:sz w:val="22"/>
          <w:szCs w:val="22"/>
          <w:lang w:val="es-ES"/>
        </w:rPr>
        <w:t>Programas y Proyectos Sectoriales y Especiales</w:t>
      </w:r>
      <w:r w:rsidR="00132D0F" w:rsidRPr="00132D0F">
        <w:rPr>
          <w:rFonts w:ascii="Arial" w:hAnsi="Arial" w:cs="Arial"/>
          <w:sz w:val="22"/>
          <w:szCs w:val="22"/>
          <w:lang w:val="es-ES"/>
        </w:rPr>
        <w:t xml:space="preserve"> </w:t>
      </w:r>
      <w:r w:rsidR="00205C46">
        <w:rPr>
          <w:rFonts w:ascii="Arial" w:hAnsi="Arial" w:cs="Arial"/>
          <w:sz w:val="22"/>
          <w:szCs w:val="22"/>
          <w:lang w:val="es-ES"/>
        </w:rPr>
        <w:t>(</w:t>
      </w:r>
      <w:r w:rsidR="00132D0F" w:rsidRPr="00132D0F">
        <w:rPr>
          <w:rFonts w:ascii="Arial" w:hAnsi="Arial" w:cs="Arial"/>
          <w:sz w:val="22"/>
          <w:szCs w:val="22"/>
          <w:lang w:val="es-ES"/>
        </w:rPr>
        <w:t>DGPPSE</w:t>
      </w:r>
      <w:r w:rsidR="00205C46">
        <w:rPr>
          <w:rFonts w:ascii="Arial" w:hAnsi="Arial" w:cs="Arial"/>
          <w:sz w:val="22"/>
          <w:szCs w:val="22"/>
          <w:lang w:val="es-ES"/>
        </w:rPr>
        <w:t>)</w:t>
      </w:r>
      <w:r w:rsidR="00132D0F" w:rsidRPr="00132D0F">
        <w:rPr>
          <w:rFonts w:ascii="Arial" w:hAnsi="Arial" w:cs="Arial"/>
          <w:sz w:val="22"/>
          <w:szCs w:val="22"/>
          <w:lang w:val="es-ES"/>
        </w:rPr>
        <w:t xml:space="preserve"> del MDP para la gestión administrativa y financiera de los recursos del </w:t>
      </w:r>
      <w:r w:rsidR="006306BC">
        <w:rPr>
          <w:rFonts w:ascii="Arial" w:hAnsi="Arial" w:cs="Arial"/>
          <w:sz w:val="22"/>
          <w:szCs w:val="22"/>
          <w:lang w:val="es-ES"/>
        </w:rPr>
        <w:t>p</w:t>
      </w:r>
      <w:r w:rsidR="00132D0F" w:rsidRPr="00132D0F">
        <w:rPr>
          <w:rFonts w:ascii="Arial" w:hAnsi="Arial" w:cs="Arial"/>
          <w:sz w:val="22"/>
          <w:szCs w:val="22"/>
          <w:lang w:val="es-ES"/>
        </w:rPr>
        <w:t xml:space="preserve">rograma. </w:t>
      </w:r>
      <w:r w:rsidR="00132D0F" w:rsidRPr="00D96F25">
        <w:rPr>
          <w:rFonts w:ascii="Arial" w:hAnsi="Arial" w:cs="Arial"/>
          <w:sz w:val="22"/>
          <w:szCs w:val="22"/>
          <w:lang w:val="es-ES"/>
        </w:rPr>
        <w:t xml:space="preserve">El </w:t>
      </w:r>
      <w:r w:rsidR="00132D0F">
        <w:rPr>
          <w:rFonts w:ascii="Arial" w:hAnsi="Arial" w:cs="Arial"/>
          <w:sz w:val="22"/>
          <w:szCs w:val="22"/>
          <w:lang w:val="es-ES"/>
        </w:rPr>
        <w:t>OE</w:t>
      </w:r>
      <w:r w:rsidR="00132D0F" w:rsidRPr="00D96F25">
        <w:rPr>
          <w:rFonts w:ascii="Arial" w:hAnsi="Arial" w:cs="Arial"/>
          <w:b/>
          <w:bCs/>
          <w:sz w:val="22"/>
          <w:szCs w:val="22"/>
          <w:lang w:val="es-ES"/>
        </w:rPr>
        <w:t xml:space="preserve"> </w:t>
      </w:r>
      <w:r w:rsidR="00132D0F" w:rsidRPr="00132D0F">
        <w:rPr>
          <w:rFonts w:ascii="Arial" w:hAnsi="Arial" w:cs="Arial"/>
          <w:sz w:val="22"/>
          <w:szCs w:val="22"/>
          <w:lang w:val="es-ES"/>
        </w:rPr>
        <w:t>podrá solicitar desembolsos al Banco y rendir cuentas del uso de los recursos de manera independiente de los otros organismos ejecutores de los préstamos comprendidos en la reformulación. Asimismo, el OE elaborará y presentará separadamente al Banco los planes de ejecución plurianual (y/o planes operativos anuales), planes de adquisiciones, informes semestrales de progreso, planes financieros, informes de evaluación, auditorias y otros instrumentos requeridos por el Banco para supervisar la ejecución de las actividades.</w:t>
      </w:r>
      <w:r w:rsidR="00132D0F" w:rsidRPr="00132D0F">
        <w:rPr>
          <w:lang w:val="es-ES"/>
        </w:rPr>
        <w:t xml:space="preserve"> </w:t>
      </w:r>
      <w:r w:rsidR="00132D0F" w:rsidRPr="00132D0F">
        <w:rPr>
          <w:rFonts w:ascii="Arial" w:hAnsi="Arial" w:cs="Arial"/>
          <w:sz w:val="22"/>
          <w:szCs w:val="22"/>
          <w:lang w:val="es-ES"/>
        </w:rPr>
        <w:t xml:space="preserve">El OE será responsable del cumplimiento de las salvaguardas ambientales y sociales, y del seguimiento y monitoreo de las actividades. </w:t>
      </w:r>
      <w:r w:rsidR="00791FAD" w:rsidRPr="00791FAD">
        <w:rPr>
          <w:rFonts w:ascii="Arial" w:hAnsi="Arial" w:cs="Arial"/>
          <w:sz w:val="22"/>
          <w:szCs w:val="22"/>
          <w:lang w:val="es-ES"/>
        </w:rPr>
        <w:t xml:space="preserve">Por su parte, la Secretaría de Asuntos Estratégicos </w:t>
      </w:r>
      <w:r w:rsidR="00791FAD" w:rsidRPr="00E86D28">
        <w:rPr>
          <w:rFonts w:ascii="Arial" w:hAnsi="Arial" w:cs="Arial"/>
          <w:sz w:val="22"/>
          <w:szCs w:val="22"/>
          <w:lang w:val="es-ES"/>
        </w:rPr>
        <w:t xml:space="preserve">(SAE) </w:t>
      </w:r>
      <w:r w:rsidR="00791FAD" w:rsidRPr="00791FAD">
        <w:rPr>
          <w:rFonts w:ascii="Arial" w:hAnsi="Arial" w:cs="Arial"/>
          <w:sz w:val="22"/>
          <w:szCs w:val="22"/>
          <w:lang w:val="es-ES"/>
        </w:rPr>
        <w:t>actuará como subejecutor, encargado de la contratación y coordinación de la evaluación del programa</w:t>
      </w:r>
      <w:r w:rsidR="00132D0F" w:rsidRPr="00132D0F">
        <w:rPr>
          <w:rFonts w:ascii="Arial" w:hAnsi="Arial" w:cs="Arial"/>
          <w:sz w:val="22"/>
          <w:szCs w:val="22"/>
          <w:lang w:val="es-ES_tradnl"/>
        </w:rPr>
        <w:t>.</w:t>
      </w:r>
    </w:p>
    <w:p w14:paraId="50F5209C" w14:textId="680D0331" w:rsidR="00132D0F" w:rsidRPr="00132D0F" w:rsidRDefault="00166D8E" w:rsidP="00376D49">
      <w:pPr>
        <w:pStyle w:val="Paragraph"/>
        <w:numPr>
          <w:ilvl w:val="1"/>
          <w:numId w:val="4"/>
        </w:numPr>
        <w:ind w:left="630" w:hanging="630"/>
        <w:rPr>
          <w:rFonts w:ascii="Arial" w:hAnsi="Arial" w:cs="Arial"/>
          <w:sz w:val="22"/>
          <w:szCs w:val="22"/>
          <w:lang w:val="es-ES_tradnl"/>
        </w:rPr>
      </w:pPr>
      <w:r w:rsidRPr="00166D8E">
        <w:rPr>
          <w:rFonts w:ascii="Arial" w:hAnsi="Arial" w:cs="Arial"/>
          <w:sz w:val="22"/>
          <w:szCs w:val="22"/>
          <w:lang w:val="es-ES"/>
        </w:rPr>
        <w:t xml:space="preserve">Para el financiamiento de las actividades previstas en el componente, el OE transferirá recursos a: (i) FONDEP para créditos que apoyen la mejora de las capacidades financieras a corto plazo y la recuperación económica; y (ii) FOGAR para garantías que apoyen el acceso al financiamiento. El OE suscribirá un </w:t>
      </w:r>
      <w:r w:rsidR="00355DE3">
        <w:rPr>
          <w:rFonts w:ascii="Arial" w:hAnsi="Arial" w:cs="Arial"/>
          <w:sz w:val="22"/>
          <w:szCs w:val="22"/>
          <w:lang w:val="es-ES"/>
        </w:rPr>
        <w:t>convenio</w:t>
      </w:r>
      <w:r w:rsidRPr="00166D8E">
        <w:rPr>
          <w:rFonts w:ascii="Arial" w:hAnsi="Arial" w:cs="Arial"/>
          <w:sz w:val="22"/>
          <w:szCs w:val="22"/>
          <w:lang w:val="es-ES"/>
        </w:rPr>
        <w:t xml:space="preserve"> de transferencia y ejecución de los recursos en forma y contenido satisfactorios para el Banco con el </w:t>
      </w:r>
      <w:r w:rsidR="00355DE3" w:rsidRPr="00166D8E">
        <w:rPr>
          <w:rFonts w:ascii="Arial" w:hAnsi="Arial" w:cs="Arial"/>
          <w:sz w:val="22"/>
          <w:szCs w:val="22"/>
          <w:lang w:val="es-ES"/>
        </w:rPr>
        <w:t>B</w:t>
      </w:r>
      <w:r w:rsidR="00355DE3">
        <w:rPr>
          <w:rFonts w:ascii="Arial" w:hAnsi="Arial" w:cs="Arial"/>
          <w:sz w:val="22"/>
          <w:szCs w:val="22"/>
          <w:lang w:val="es-ES"/>
        </w:rPr>
        <w:t>FSA</w:t>
      </w:r>
      <w:r w:rsidRPr="00166D8E">
        <w:rPr>
          <w:rFonts w:ascii="Arial" w:hAnsi="Arial" w:cs="Arial"/>
          <w:sz w:val="22"/>
          <w:szCs w:val="22"/>
          <w:lang w:val="es-ES"/>
        </w:rPr>
        <w:t>, en su calidad de gestor fiduciario de cada uno de los citados fideicomisos</w:t>
      </w:r>
      <w:r w:rsidR="00132D0F" w:rsidRPr="00132D0F">
        <w:rPr>
          <w:rFonts w:ascii="Arial" w:hAnsi="Arial" w:cs="Arial"/>
          <w:sz w:val="22"/>
          <w:szCs w:val="22"/>
          <w:lang w:val="es-ES"/>
        </w:rPr>
        <w:t xml:space="preserve">. </w:t>
      </w:r>
    </w:p>
    <w:p w14:paraId="79CCF114" w14:textId="4848BEC3" w:rsidR="00132D0F" w:rsidRPr="00132D0F" w:rsidRDefault="00873BE5" w:rsidP="00376D49">
      <w:pPr>
        <w:pStyle w:val="Paragraph"/>
        <w:numPr>
          <w:ilvl w:val="1"/>
          <w:numId w:val="4"/>
        </w:numPr>
        <w:ind w:left="630" w:hanging="630"/>
        <w:rPr>
          <w:rFonts w:ascii="Arial" w:hAnsi="Arial" w:cs="Arial"/>
          <w:sz w:val="22"/>
          <w:szCs w:val="22"/>
          <w:lang w:val="es-ES_tradnl"/>
        </w:rPr>
      </w:pPr>
      <w:r w:rsidRPr="00873BE5">
        <w:rPr>
          <w:rFonts w:ascii="Arial" w:hAnsi="Arial" w:cs="Arial"/>
          <w:sz w:val="22"/>
          <w:szCs w:val="22"/>
          <w:lang w:val="es-ES"/>
        </w:rPr>
        <w:t xml:space="preserve">El OE cuenta con amplia experiencia en la ejecución de programas del BID para el financiamiento de MIPYME a través de programas de primer y segundo piso del </w:t>
      </w:r>
      <w:r w:rsidR="00802882">
        <w:rPr>
          <w:rFonts w:ascii="Arial" w:hAnsi="Arial" w:cs="Arial"/>
          <w:sz w:val="22"/>
          <w:szCs w:val="22"/>
          <w:lang w:val="es-ES"/>
        </w:rPr>
        <w:t xml:space="preserve">Grupo </w:t>
      </w:r>
      <w:r w:rsidRPr="00873BE5">
        <w:rPr>
          <w:rFonts w:ascii="Arial" w:hAnsi="Arial" w:cs="Arial"/>
          <w:sz w:val="22"/>
          <w:szCs w:val="22"/>
          <w:lang w:val="es-ES"/>
        </w:rPr>
        <w:t>BICE y sus fideicomisos. El mandato de la SEPYME alcanza a todas las economías regionales del país, lo cual será estratégico para asegurar una eficiente intervención a través de este programa. El OE cuenta con experiencia satisfactoria en la ejecución de los Préstamos 2923/OC-AR (PACC) y 3174/OC AR (PROCER). El BICE es subejecutor de PROCER</w:t>
      </w:r>
      <w:r w:rsidR="00132D0F">
        <w:rPr>
          <w:rFonts w:ascii="Arial" w:hAnsi="Arial" w:cs="Arial"/>
          <w:sz w:val="22"/>
          <w:szCs w:val="22"/>
          <w:lang w:val="es-AR"/>
        </w:rPr>
        <w:t>.</w:t>
      </w:r>
    </w:p>
    <w:p w14:paraId="513AFB1C" w14:textId="4BA7A760" w:rsidR="00132D0F" w:rsidRPr="00132D0F" w:rsidRDefault="00132D0F" w:rsidP="00376D49">
      <w:pPr>
        <w:pStyle w:val="Paragraph"/>
        <w:numPr>
          <w:ilvl w:val="1"/>
          <w:numId w:val="4"/>
        </w:numPr>
        <w:ind w:left="630" w:hanging="630"/>
        <w:rPr>
          <w:rFonts w:ascii="Arial" w:hAnsi="Arial" w:cs="Arial"/>
          <w:sz w:val="22"/>
          <w:szCs w:val="22"/>
          <w:lang w:val="es-ES_tradnl"/>
        </w:rPr>
      </w:pPr>
      <w:r w:rsidRPr="00132D0F">
        <w:rPr>
          <w:rFonts w:ascii="Arial" w:eastAsiaTheme="minorEastAsia" w:hAnsi="Arial" w:cs="Arial"/>
          <w:sz w:val="22"/>
          <w:szCs w:val="22"/>
          <w:lang w:val="es-ES"/>
        </w:rPr>
        <w:lastRenderedPageBreak/>
        <w:t xml:space="preserve">FONDEP utilizará los recursos para otorgar créditos que beneficien las MIPYME en las siguientes modalidades: </w:t>
      </w:r>
      <w:r>
        <w:rPr>
          <w:rFonts w:ascii="Arial" w:hAnsi="Arial" w:cs="Arial"/>
          <w:sz w:val="22"/>
          <w:szCs w:val="22"/>
          <w:lang w:val="es-ES"/>
        </w:rPr>
        <w:t>(i) créditos directos para las MIPYME</w:t>
      </w:r>
      <w:r>
        <w:rPr>
          <w:rFonts w:ascii="Arial" w:hAnsi="Arial" w:cs="Arial"/>
          <w:sz w:val="22"/>
          <w:szCs w:val="22"/>
          <w:lang w:val="es-AR"/>
        </w:rPr>
        <w:t xml:space="preserve">; (ii) </w:t>
      </w:r>
      <w:r>
        <w:rPr>
          <w:rFonts w:ascii="Arial" w:hAnsi="Arial" w:cs="Arial"/>
          <w:sz w:val="22"/>
          <w:szCs w:val="22"/>
          <w:lang w:val="es-ES"/>
        </w:rPr>
        <w:t xml:space="preserve">financiamiento </w:t>
      </w:r>
      <w:r w:rsidRPr="007A5355">
        <w:rPr>
          <w:rFonts w:ascii="Arial" w:hAnsi="Arial" w:cs="Arial"/>
          <w:sz w:val="22"/>
          <w:szCs w:val="22"/>
          <w:lang w:val="es-ES"/>
        </w:rPr>
        <w:t>indirect</w:t>
      </w:r>
      <w:r>
        <w:rPr>
          <w:rFonts w:ascii="Arial" w:hAnsi="Arial" w:cs="Arial"/>
          <w:sz w:val="22"/>
          <w:szCs w:val="22"/>
          <w:lang w:val="es-ES"/>
        </w:rPr>
        <w:t>o</w:t>
      </w:r>
      <w:r w:rsidRPr="007A5355">
        <w:rPr>
          <w:rFonts w:ascii="Arial" w:hAnsi="Arial" w:cs="Arial"/>
          <w:sz w:val="22"/>
          <w:szCs w:val="22"/>
          <w:lang w:val="es-ES"/>
        </w:rPr>
        <w:t>,</w:t>
      </w:r>
      <w:r>
        <w:rPr>
          <w:rFonts w:ascii="Arial" w:hAnsi="Arial" w:cs="Arial"/>
          <w:sz w:val="22"/>
          <w:szCs w:val="22"/>
          <w:lang w:val="es-ES"/>
        </w:rPr>
        <w:t xml:space="preserve"> por medio de créditos a IFI para financiar créditos elegibles; y (iii)</w:t>
      </w:r>
      <w:r w:rsidRPr="00132D0F">
        <w:rPr>
          <w:lang w:val="es-ES"/>
        </w:rPr>
        <w:t xml:space="preserve"> </w:t>
      </w:r>
      <w:r w:rsidRPr="009D58B9">
        <w:rPr>
          <w:rFonts w:ascii="Arial" w:hAnsi="Arial" w:cs="Arial"/>
          <w:sz w:val="22"/>
          <w:szCs w:val="22"/>
          <w:lang w:val="es-ES"/>
        </w:rPr>
        <w:t xml:space="preserve">financiamiento a </w:t>
      </w:r>
      <w:r w:rsidRPr="00FA2D0F">
        <w:rPr>
          <w:rFonts w:ascii="Arial" w:hAnsi="Arial" w:cs="Arial"/>
          <w:sz w:val="22"/>
          <w:szCs w:val="22"/>
          <w:lang w:val="es-ES"/>
        </w:rPr>
        <w:t>empresas ancla</w:t>
      </w:r>
      <w:r>
        <w:rPr>
          <w:rFonts w:ascii="Arial" w:hAnsi="Arial" w:cs="Arial"/>
          <w:sz w:val="22"/>
          <w:szCs w:val="22"/>
          <w:lang w:val="es-ES"/>
        </w:rPr>
        <w:t xml:space="preserve">s </w:t>
      </w:r>
      <w:r w:rsidRPr="009D58B9">
        <w:rPr>
          <w:rFonts w:ascii="Arial" w:hAnsi="Arial" w:cs="Arial"/>
          <w:sz w:val="22"/>
          <w:szCs w:val="22"/>
          <w:lang w:val="es-ES"/>
        </w:rPr>
        <w:t>en beneficio de MIPYME que integran su cadena de valo</w:t>
      </w:r>
      <w:r>
        <w:rPr>
          <w:rFonts w:ascii="Arial" w:hAnsi="Arial" w:cs="Arial"/>
          <w:sz w:val="22"/>
          <w:szCs w:val="22"/>
          <w:lang w:val="es-ES"/>
        </w:rPr>
        <w:t xml:space="preserve">r. Por su parte, FOGAR </w:t>
      </w:r>
      <w:r w:rsidRPr="00132D0F">
        <w:rPr>
          <w:rFonts w:ascii="Arial" w:eastAsiaTheme="minorEastAsia" w:hAnsi="Arial" w:cs="Arial"/>
          <w:sz w:val="22"/>
          <w:szCs w:val="22"/>
          <w:lang w:val="es-ES"/>
        </w:rPr>
        <w:t>utilizará los recursos para otorgar garantías a favor de las IFI para apoyar el financiamiento de las MIPYME</w:t>
      </w:r>
      <w:r>
        <w:rPr>
          <w:rFonts w:ascii="Arial" w:eastAsiaTheme="minorEastAsia" w:hAnsi="Arial" w:cs="Arial"/>
          <w:sz w:val="22"/>
          <w:szCs w:val="22"/>
          <w:lang w:val="es-ES"/>
        </w:rPr>
        <w:t>.</w:t>
      </w:r>
    </w:p>
    <w:p w14:paraId="55F7E39E" w14:textId="77777777" w:rsidR="007116B2" w:rsidRPr="001F731F" w:rsidRDefault="007116B2" w:rsidP="007116B2">
      <w:pPr>
        <w:pStyle w:val="Paragraph"/>
        <w:numPr>
          <w:ilvl w:val="1"/>
          <w:numId w:val="4"/>
        </w:numPr>
        <w:ind w:left="630" w:hanging="630"/>
        <w:rPr>
          <w:rFonts w:ascii="Arial" w:hAnsi="Arial" w:cs="Arial"/>
          <w:sz w:val="22"/>
          <w:szCs w:val="22"/>
          <w:lang w:val="es-ES_tradnl"/>
        </w:rPr>
      </w:pPr>
      <w:r w:rsidRPr="001F731F">
        <w:rPr>
          <w:rFonts w:ascii="Arial" w:hAnsi="Arial" w:cs="Arial"/>
          <w:sz w:val="22"/>
          <w:szCs w:val="22"/>
          <w:lang w:val="es-ES_tradnl"/>
        </w:rPr>
        <w:t xml:space="preserve">Como parte de la ejecución del programa, se han identificado los siguientes instrumentos de monitoreo y evaluación: </w:t>
      </w:r>
    </w:p>
    <w:p w14:paraId="21E3FEC4" w14:textId="77777777" w:rsidR="007116B2" w:rsidRPr="001F731F" w:rsidRDefault="007116B2" w:rsidP="007116B2">
      <w:pPr>
        <w:pStyle w:val="subpar"/>
        <w:tabs>
          <w:tab w:val="num" w:pos="1440"/>
        </w:tabs>
        <w:spacing w:before="60" w:after="60"/>
        <w:ind w:left="1440" w:hanging="450"/>
        <w:rPr>
          <w:rFonts w:ascii="Arial" w:hAnsi="Arial" w:cs="Arial"/>
          <w:sz w:val="22"/>
          <w:szCs w:val="22"/>
          <w:lang w:val="es-ES_tradnl"/>
        </w:rPr>
      </w:pPr>
      <w:r w:rsidRPr="001F731F">
        <w:rPr>
          <w:rFonts w:ascii="Arial" w:hAnsi="Arial" w:cs="Arial"/>
          <w:sz w:val="22"/>
          <w:szCs w:val="22"/>
          <w:lang w:val="es-ES_tradnl"/>
        </w:rPr>
        <w:t xml:space="preserve">Informes semestrales de seguimiento del programa en el que el OE informa al Banco el progreso en la ejecución de las actividades programadas, incluyendo el cumplimiento de objetivos previamente acordados para los indicadores de producto y resultado que se describen en la matriz de resultados que se adjunta al programa propuesto (descritos en el Cuadro 1); </w:t>
      </w:r>
    </w:p>
    <w:p w14:paraId="42B15AED" w14:textId="77777777" w:rsidR="007116B2" w:rsidRPr="001F731F" w:rsidRDefault="007116B2" w:rsidP="007116B2">
      <w:pPr>
        <w:pStyle w:val="subpar"/>
        <w:tabs>
          <w:tab w:val="num" w:pos="1440"/>
        </w:tabs>
        <w:spacing w:before="60" w:after="60"/>
        <w:ind w:left="1440" w:hanging="450"/>
        <w:rPr>
          <w:rFonts w:ascii="Arial" w:hAnsi="Arial" w:cs="Arial"/>
          <w:sz w:val="22"/>
          <w:szCs w:val="22"/>
          <w:lang w:val="es-ES_tradnl"/>
        </w:rPr>
      </w:pPr>
      <w:r w:rsidRPr="001F731F">
        <w:rPr>
          <w:rFonts w:ascii="Arial" w:hAnsi="Arial" w:cs="Arial"/>
          <w:sz w:val="22"/>
          <w:szCs w:val="22"/>
          <w:lang w:val="es-ES_tradnl"/>
        </w:rPr>
        <w:t>Auditorías financieras anuales del programa;</w:t>
      </w:r>
    </w:p>
    <w:p w14:paraId="28FA1901" w14:textId="2707AF1E" w:rsidR="007116B2" w:rsidRPr="001F731F" w:rsidRDefault="007116B2" w:rsidP="007116B2">
      <w:pPr>
        <w:pStyle w:val="subpar"/>
        <w:tabs>
          <w:tab w:val="num" w:pos="1440"/>
        </w:tabs>
        <w:spacing w:before="60" w:after="60"/>
        <w:ind w:left="1440" w:hanging="450"/>
        <w:rPr>
          <w:rFonts w:ascii="Arial" w:hAnsi="Arial" w:cs="Arial"/>
          <w:sz w:val="22"/>
          <w:szCs w:val="22"/>
          <w:lang w:val="es-ES_tradnl"/>
        </w:rPr>
      </w:pPr>
      <w:r w:rsidRPr="001F731F">
        <w:rPr>
          <w:rFonts w:ascii="Arial" w:hAnsi="Arial" w:cs="Arial"/>
          <w:sz w:val="22"/>
          <w:szCs w:val="22"/>
          <w:lang w:val="es-ES_tradnl"/>
        </w:rPr>
        <w:t xml:space="preserve">Evaluaciones de cumplimiento de Sostenibilidad y Salvaguardas Ambientales (ESG, por sus siglas en inglés); </w:t>
      </w:r>
    </w:p>
    <w:p w14:paraId="2EB4E59D" w14:textId="464978FD" w:rsidR="00F8529B" w:rsidRDefault="007116B2" w:rsidP="007116B2">
      <w:pPr>
        <w:pStyle w:val="subpar"/>
        <w:tabs>
          <w:tab w:val="num" w:pos="1440"/>
        </w:tabs>
        <w:spacing w:before="60" w:after="60"/>
        <w:ind w:left="1440" w:hanging="450"/>
        <w:rPr>
          <w:rFonts w:ascii="Arial" w:hAnsi="Arial" w:cs="Arial"/>
          <w:sz w:val="22"/>
          <w:szCs w:val="22"/>
          <w:lang w:val="es-ES_tradnl"/>
        </w:rPr>
      </w:pPr>
      <w:r w:rsidRPr="001F731F">
        <w:rPr>
          <w:rFonts w:ascii="Arial" w:hAnsi="Arial" w:cs="Arial"/>
          <w:sz w:val="22"/>
          <w:szCs w:val="22"/>
          <w:lang w:val="es-ES_tradnl"/>
        </w:rPr>
        <w:t xml:space="preserve">Análisis costo-beneficio ex-post </w:t>
      </w:r>
      <w:r w:rsidR="00F8529B">
        <w:rPr>
          <w:rFonts w:ascii="Arial" w:hAnsi="Arial" w:cs="Arial"/>
          <w:sz w:val="22"/>
          <w:szCs w:val="22"/>
          <w:lang w:val="es-ES_tradnl"/>
        </w:rPr>
        <w:t>de los flujos de ingreso y egreso derivados de la intervención.</w:t>
      </w:r>
    </w:p>
    <w:p w14:paraId="0BB34AF8" w14:textId="439CEB8B" w:rsidR="00132D0F" w:rsidRDefault="00132D0F" w:rsidP="007116B2">
      <w:pPr>
        <w:pStyle w:val="subpar"/>
        <w:tabs>
          <w:tab w:val="num" w:pos="1440"/>
        </w:tabs>
        <w:spacing w:before="60" w:after="60"/>
        <w:ind w:left="1440" w:hanging="450"/>
        <w:rPr>
          <w:rFonts w:ascii="Arial" w:hAnsi="Arial" w:cs="Arial"/>
          <w:sz w:val="22"/>
          <w:szCs w:val="22"/>
          <w:lang w:val="es-ES_tradnl"/>
        </w:rPr>
      </w:pPr>
      <w:r>
        <w:rPr>
          <w:rFonts w:ascii="Arial" w:hAnsi="Arial" w:cs="Arial"/>
          <w:sz w:val="22"/>
          <w:szCs w:val="22"/>
          <w:lang w:val="es-ES_tradnl"/>
        </w:rPr>
        <w:t>Evaluación reflexiva, antes y después de la intervención.</w:t>
      </w:r>
    </w:p>
    <w:p w14:paraId="3AD7BF47" w14:textId="05D0CF8B" w:rsidR="00F8529B" w:rsidRDefault="00F40584" w:rsidP="007116B2">
      <w:pPr>
        <w:pStyle w:val="Paragraph"/>
        <w:numPr>
          <w:ilvl w:val="1"/>
          <w:numId w:val="4"/>
        </w:numPr>
        <w:ind w:left="630" w:hanging="630"/>
        <w:rPr>
          <w:rFonts w:ascii="Arial" w:hAnsi="Arial" w:cs="Arial"/>
          <w:sz w:val="22"/>
          <w:szCs w:val="22"/>
          <w:lang w:val="es-ES_tradnl"/>
        </w:rPr>
      </w:pPr>
      <w:r w:rsidRPr="00F40584">
        <w:rPr>
          <w:rFonts w:ascii="Arial" w:hAnsi="Arial" w:cs="Arial"/>
          <w:b/>
          <w:bCs/>
          <w:sz w:val="22"/>
          <w:szCs w:val="22"/>
          <w:lang w:val="es-ES"/>
        </w:rPr>
        <w:t>Costos de administración, evaluación y auditoría</w:t>
      </w:r>
      <w:r w:rsidRPr="00DD3FD0">
        <w:rPr>
          <w:rFonts w:ascii="Arial" w:hAnsi="Arial" w:cs="Arial"/>
          <w:b/>
          <w:bCs/>
          <w:sz w:val="22"/>
          <w:szCs w:val="22"/>
          <w:lang w:val="es-ES"/>
        </w:rPr>
        <w:t>.</w:t>
      </w:r>
      <w:r>
        <w:rPr>
          <w:rFonts w:ascii="Arial" w:hAnsi="Arial" w:cs="Arial"/>
          <w:sz w:val="22"/>
          <w:szCs w:val="22"/>
          <w:lang w:val="es-ES"/>
        </w:rPr>
        <w:t xml:space="preserve"> </w:t>
      </w:r>
      <w:r w:rsidR="00132D0F">
        <w:rPr>
          <w:rFonts w:ascii="Arial" w:hAnsi="Arial" w:cs="Arial"/>
          <w:sz w:val="22"/>
          <w:szCs w:val="22"/>
          <w:lang w:val="es-ES"/>
        </w:rPr>
        <w:t xml:space="preserve">El programa contempla un presupuesto de US$3 millones para cubrir los </w:t>
      </w:r>
      <w:r w:rsidRPr="00132D0F">
        <w:rPr>
          <w:rFonts w:ascii="Arial" w:hAnsi="Arial" w:cs="Arial"/>
          <w:sz w:val="22"/>
          <w:szCs w:val="22"/>
          <w:lang w:val="es-ES"/>
        </w:rPr>
        <w:t xml:space="preserve">costos de </w:t>
      </w:r>
      <w:r w:rsidR="00CF2E6E" w:rsidRPr="00CF2E6E">
        <w:rPr>
          <w:rFonts w:ascii="Arial" w:hAnsi="Arial" w:cs="Arial"/>
          <w:sz w:val="22"/>
          <w:szCs w:val="22"/>
          <w:lang w:val="es-ES"/>
        </w:rPr>
        <w:t>administración de las nuevas actividades previstas en la reformulación, incluyendo supervisión, evaluación y auditoría. El costo de administración, supervisión y auditoría será de hasta US$2 millones. El costo de evaluación de las actividades a ser financiadas con recursos de la reorientación será de hasta US$1 millón</w:t>
      </w:r>
      <w:r w:rsidRPr="00132D0F">
        <w:rPr>
          <w:rFonts w:ascii="Arial" w:hAnsi="Arial" w:cs="Arial"/>
          <w:sz w:val="22"/>
          <w:szCs w:val="22"/>
          <w:lang w:val="es-ES"/>
        </w:rPr>
        <w:t>.</w:t>
      </w:r>
      <w:r w:rsidR="00132D0F">
        <w:rPr>
          <w:rFonts w:ascii="Arial" w:hAnsi="Arial" w:cs="Arial"/>
          <w:sz w:val="22"/>
          <w:szCs w:val="22"/>
          <w:lang w:val="es-ES"/>
        </w:rPr>
        <w:t xml:space="preserve"> </w:t>
      </w:r>
    </w:p>
    <w:p w14:paraId="03FE8F1D" w14:textId="1EE1B655" w:rsidR="00F40584" w:rsidRPr="00F40584" w:rsidRDefault="00F40584" w:rsidP="007116B2">
      <w:pPr>
        <w:pStyle w:val="Paragraph"/>
        <w:numPr>
          <w:ilvl w:val="1"/>
          <w:numId w:val="4"/>
        </w:numPr>
        <w:ind w:left="630" w:hanging="630"/>
        <w:rPr>
          <w:rFonts w:ascii="Arial" w:hAnsi="Arial" w:cs="Arial"/>
          <w:sz w:val="22"/>
          <w:szCs w:val="22"/>
          <w:lang w:val="es-ES_tradnl"/>
        </w:rPr>
      </w:pPr>
      <w:r w:rsidRPr="00F40584">
        <w:rPr>
          <w:rFonts w:ascii="Arial" w:hAnsi="Arial" w:cs="Arial"/>
          <w:color w:val="000000"/>
          <w:sz w:val="22"/>
          <w:szCs w:val="22"/>
          <w:lang w:val="es-ES"/>
        </w:rPr>
        <w:t>El presente documente cuenta con dos secciones, además de esta sección introductoria. La sección</w:t>
      </w:r>
      <w:r>
        <w:rPr>
          <w:rFonts w:ascii="Arial" w:hAnsi="Arial" w:cs="Arial"/>
          <w:color w:val="000000"/>
          <w:sz w:val="22"/>
          <w:szCs w:val="22"/>
          <w:lang w:val="es-ES"/>
        </w:rPr>
        <w:t xml:space="preserve"> II</w:t>
      </w:r>
      <w:r w:rsidRPr="00F40584">
        <w:rPr>
          <w:rFonts w:ascii="Arial" w:hAnsi="Arial" w:cs="Arial"/>
          <w:color w:val="000000"/>
          <w:sz w:val="22"/>
          <w:szCs w:val="22"/>
          <w:lang w:val="es-ES"/>
        </w:rPr>
        <w:t xml:space="preserve"> se refiere al monitoreo del </w:t>
      </w:r>
      <w:r w:rsidR="00186383">
        <w:rPr>
          <w:rFonts w:ascii="Arial" w:hAnsi="Arial" w:cs="Arial"/>
          <w:color w:val="000000"/>
          <w:sz w:val="22"/>
          <w:szCs w:val="22"/>
          <w:lang w:val="es-ES"/>
        </w:rPr>
        <w:t>p</w:t>
      </w:r>
      <w:r w:rsidRPr="00F40584">
        <w:rPr>
          <w:rFonts w:ascii="Arial" w:hAnsi="Arial" w:cs="Arial"/>
          <w:color w:val="000000"/>
          <w:sz w:val="22"/>
          <w:szCs w:val="22"/>
          <w:lang w:val="es-ES"/>
        </w:rPr>
        <w:t xml:space="preserve">rograma, </w:t>
      </w:r>
      <w:r>
        <w:rPr>
          <w:rFonts w:ascii="Arial" w:hAnsi="Arial" w:cs="Arial"/>
          <w:color w:val="000000"/>
          <w:sz w:val="22"/>
          <w:szCs w:val="22"/>
          <w:lang w:val="es-ES"/>
        </w:rPr>
        <w:t>indicando los compromisos de información y reporte necesarios para el seguimiento del mismo</w:t>
      </w:r>
      <w:r w:rsidR="008521B3">
        <w:rPr>
          <w:rFonts w:ascii="Arial" w:hAnsi="Arial" w:cs="Arial"/>
          <w:color w:val="000000"/>
          <w:sz w:val="22"/>
          <w:szCs w:val="22"/>
          <w:lang w:val="es-ES"/>
        </w:rPr>
        <w:t xml:space="preserve"> y los recursos estimados a tales efectos</w:t>
      </w:r>
      <w:r>
        <w:rPr>
          <w:rFonts w:ascii="Arial" w:hAnsi="Arial" w:cs="Arial"/>
          <w:color w:val="000000"/>
          <w:sz w:val="22"/>
          <w:szCs w:val="22"/>
          <w:lang w:val="es-ES"/>
        </w:rPr>
        <w:t xml:space="preserve">. </w:t>
      </w:r>
      <w:r w:rsidRPr="00F40584">
        <w:rPr>
          <w:rFonts w:ascii="Arial" w:hAnsi="Arial" w:cs="Arial"/>
          <w:color w:val="000000"/>
          <w:sz w:val="22"/>
          <w:szCs w:val="22"/>
          <w:lang w:val="es-ES"/>
        </w:rPr>
        <w:t>La sección</w:t>
      </w:r>
      <w:r>
        <w:rPr>
          <w:rFonts w:ascii="Arial" w:hAnsi="Arial" w:cs="Arial"/>
          <w:color w:val="000000"/>
          <w:sz w:val="22"/>
          <w:szCs w:val="22"/>
          <w:lang w:val="es-ES"/>
        </w:rPr>
        <w:t xml:space="preserve"> III</w:t>
      </w:r>
      <w:r w:rsidRPr="00F40584">
        <w:rPr>
          <w:rFonts w:ascii="Arial" w:hAnsi="Arial" w:cs="Arial"/>
          <w:color w:val="000000"/>
          <w:sz w:val="22"/>
          <w:szCs w:val="22"/>
          <w:lang w:val="es-ES"/>
        </w:rPr>
        <w:t xml:space="preserve"> presenta la estrategia de evaluación del </w:t>
      </w:r>
      <w:r w:rsidR="00186383">
        <w:rPr>
          <w:rFonts w:ascii="Arial" w:hAnsi="Arial" w:cs="Arial"/>
          <w:color w:val="000000"/>
          <w:sz w:val="22"/>
          <w:szCs w:val="22"/>
          <w:lang w:val="es-ES"/>
        </w:rPr>
        <w:t>p</w:t>
      </w:r>
      <w:r w:rsidRPr="00F40584">
        <w:rPr>
          <w:rFonts w:ascii="Arial" w:hAnsi="Arial" w:cs="Arial"/>
          <w:color w:val="000000"/>
          <w:sz w:val="22"/>
          <w:szCs w:val="22"/>
          <w:lang w:val="es-ES"/>
        </w:rPr>
        <w:t>rograma</w:t>
      </w:r>
      <w:r w:rsidR="008521B3">
        <w:rPr>
          <w:rFonts w:ascii="Arial" w:hAnsi="Arial" w:cs="Arial"/>
          <w:color w:val="000000"/>
          <w:sz w:val="22"/>
          <w:szCs w:val="22"/>
          <w:lang w:val="es-ES"/>
        </w:rPr>
        <w:t xml:space="preserve"> y el cronograma y presupuesto </w:t>
      </w:r>
      <w:r w:rsidR="0093749A">
        <w:rPr>
          <w:rFonts w:ascii="Arial" w:hAnsi="Arial" w:cs="Arial"/>
          <w:color w:val="000000"/>
          <w:sz w:val="22"/>
          <w:szCs w:val="22"/>
          <w:lang w:val="es-ES"/>
        </w:rPr>
        <w:t>del mismo</w:t>
      </w:r>
      <w:r w:rsidRPr="00F40584">
        <w:rPr>
          <w:rFonts w:ascii="Arial" w:hAnsi="Arial" w:cs="Arial"/>
          <w:color w:val="000000"/>
          <w:sz w:val="22"/>
          <w:szCs w:val="22"/>
          <w:lang w:val="es-ES"/>
        </w:rPr>
        <w:t>.</w:t>
      </w:r>
    </w:p>
    <w:p w14:paraId="0DB06960" w14:textId="77777777" w:rsidR="007116B2" w:rsidRPr="001F731F" w:rsidRDefault="007116B2" w:rsidP="004F0A7D">
      <w:pPr>
        <w:pStyle w:val="Chapter"/>
        <w:numPr>
          <w:ilvl w:val="0"/>
          <w:numId w:val="29"/>
        </w:numPr>
        <w:spacing w:before="0"/>
        <w:rPr>
          <w:rFonts w:ascii="Arial" w:hAnsi="Arial" w:cs="Arial"/>
          <w:sz w:val="22"/>
          <w:szCs w:val="22"/>
          <w:lang w:val="es-ES_tradnl"/>
        </w:rPr>
      </w:pPr>
      <w:bookmarkStart w:id="7" w:name="_Toc40475103"/>
      <w:bookmarkStart w:id="8" w:name="_Toc352756752"/>
      <w:r w:rsidRPr="001F731F">
        <w:rPr>
          <w:rFonts w:ascii="Arial" w:hAnsi="Arial" w:cs="Arial"/>
          <w:sz w:val="22"/>
          <w:szCs w:val="22"/>
          <w:lang w:val="es-ES_tradnl"/>
        </w:rPr>
        <w:t>Monitoreo</w:t>
      </w:r>
      <w:bookmarkEnd w:id="7"/>
    </w:p>
    <w:p w14:paraId="43C747F0" w14:textId="56CA4E24" w:rsidR="007116B2" w:rsidRPr="001F731F" w:rsidRDefault="007116B2" w:rsidP="007116B2">
      <w:pPr>
        <w:pStyle w:val="Paragraph"/>
        <w:numPr>
          <w:ilvl w:val="1"/>
          <w:numId w:val="5"/>
        </w:numPr>
        <w:ind w:left="630" w:hanging="630"/>
        <w:rPr>
          <w:rFonts w:ascii="Arial" w:hAnsi="Arial" w:cs="Arial"/>
          <w:sz w:val="22"/>
          <w:szCs w:val="22"/>
          <w:lang w:val="es-ES_tradnl"/>
        </w:rPr>
      </w:pPr>
      <w:r w:rsidRPr="001F731F">
        <w:rPr>
          <w:rFonts w:ascii="Arial" w:hAnsi="Arial" w:cs="Arial"/>
          <w:sz w:val="22"/>
          <w:szCs w:val="22"/>
          <w:lang w:val="es-ES_tradnl"/>
        </w:rPr>
        <w:t xml:space="preserve">El objetivo de esta sección es describir el proceso de seguimiento que se aplicará a lo largo de la ejecución del programa para garantizar su correcto desarrollo y adecuada utilización de los recursos. </w:t>
      </w:r>
      <w:r w:rsidR="00F27BCF">
        <w:rPr>
          <w:rFonts w:ascii="Arial" w:hAnsi="Arial" w:cs="Arial"/>
          <w:sz w:val="22"/>
          <w:szCs w:val="22"/>
          <w:lang w:val="es-ES_tradnl"/>
        </w:rPr>
        <w:t>El OE</w:t>
      </w:r>
      <w:r w:rsidRPr="001F731F">
        <w:rPr>
          <w:rFonts w:ascii="Arial" w:hAnsi="Arial" w:cs="Arial"/>
          <w:sz w:val="22"/>
          <w:szCs w:val="22"/>
          <w:lang w:val="es-ES_tradnl"/>
        </w:rPr>
        <w:t xml:space="preserve"> el responsable de realizar el monitoreo del programa. </w:t>
      </w:r>
    </w:p>
    <w:p w14:paraId="4F1FA7A4" w14:textId="77777777" w:rsidR="007116B2" w:rsidRPr="001F731F" w:rsidRDefault="007116B2" w:rsidP="007116B2">
      <w:pPr>
        <w:pStyle w:val="SecHeading"/>
        <w:tabs>
          <w:tab w:val="clear" w:pos="5400"/>
          <w:tab w:val="num" w:pos="1260"/>
        </w:tabs>
        <w:ind w:hanging="4680"/>
        <w:rPr>
          <w:rFonts w:ascii="Arial" w:hAnsi="Arial" w:cs="Arial"/>
          <w:color w:val="auto"/>
          <w:sz w:val="22"/>
          <w:szCs w:val="22"/>
        </w:rPr>
      </w:pPr>
      <w:bookmarkStart w:id="9" w:name="_Toc352756753"/>
      <w:bookmarkStart w:id="10" w:name="_Toc40475104"/>
      <w:r w:rsidRPr="001F731F">
        <w:rPr>
          <w:rFonts w:ascii="Arial" w:hAnsi="Arial" w:cs="Arial"/>
          <w:color w:val="auto"/>
          <w:sz w:val="22"/>
          <w:szCs w:val="22"/>
        </w:rPr>
        <w:t>Indicadores</w:t>
      </w:r>
      <w:bookmarkEnd w:id="9"/>
      <w:bookmarkEnd w:id="10"/>
      <w:r w:rsidRPr="001F731F">
        <w:rPr>
          <w:rFonts w:ascii="Arial" w:hAnsi="Arial" w:cs="Arial"/>
          <w:color w:val="auto"/>
          <w:sz w:val="22"/>
          <w:szCs w:val="22"/>
        </w:rPr>
        <w:t xml:space="preserve"> </w:t>
      </w:r>
    </w:p>
    <w:p w14:paraId="0C6F162C" w14:textId="77777777" w:rsidR="007116B2" w:rsidRPr="001F731F" w:rsidRDefault="007116B2" w:rsidP="007116B2">
      <w:pPr>
        <w:pStyle w:val="Paragraph"/>
        <w:numPr>
          <w:ilvl w:val="1"/>
          <w:numId w:val="5"/>
        </w:numPr>
        <w:ind w:left="630" w:hanging="630"/>
        <w:rPr>
          <w:rFonts w:ascii="Arial" w:hAnsi="Arial" w:cs="Arial"/>
          <w:sz w:val="22"/>
          <w:szCs w:val="22"/>
          <w:lang w:val="es-ES_tradnl"/>
        </w:rPr>
      </w:pPr>
      <w:r w:rsidRPr="001F731F">
        <w:rPr>
          <w:rFonts w:ascii="Arial" w:hAnsi="Arial" w:cs="Arial"/>
          <w:sz w:val="22"/>
          <w:szCs w:val="22"/>
          <w:lang w:val="es-ES_tradnl"/>
        </w:rPr>
        <w:t>Los indicadores que serán monitoreados y registrados en el Informe de Seguimiento del Proyecto (PMR</w:t>
      </w:r>
      <w:r w:rsidRPr="001F731F">
        <w:rPr>
          <w:rFonts w:ascii="Arial" w:hAnsi="Arial" w:cs="Arial"/>
          <w:sz w:val="22"/>
          <w:szCs w:val="22"/>
          <w:vertAlign w:val="superscript"/>
          <w:lang w:val="es-ES_tradnl"/>
        </w:rPr>
        <w:footnoteReference w:id="18"/>
      </w:r>
      <w:r w:rsidRPr="001F731F">
        <w:rPr>
          <w:rFonts w:ascii="Arial" w:hAnsi="Arial" w:cs="Arial"/>
          <w:sz w:val="22"/>
          <w:szCs w:val="22"/>
          <w:lang w:val="es-ES_tradnl"/>
        </w:rPr>
        <w:t>) se encuentran descritos en la Matriz de Resultados del Programa</w:t>
      </w:r>
      <w:r w:rsidRPr="001F731F">
        <w:rPr>
          <w:rFonts w:ascii="Arial" w:hAnsi="Arial" w:cs="Arial"/>
          <w:sz w:val="22"/>
          <w:szCs w:val="22"/>
          <w:vertAlign w:val="superscript"/>
          <w:lang w:val="es-ES_tradnl"/>
        </w:rPr>
        <w:footnoteReference w:id="19"/>
      </w:r>
      <w:r w:rsidRPr="001F731F">
        <w:rPr>
          <w:rFonts w:ascii="Arial" w:hAnsi="Arial" w:cs="Arial"/>
          <w:sz w:val="22"/>
          <w:szCs w:val="22"/>
          <w:lang w:val="es-ES_tradnl"/>
        </w:rPr>
        <w:t xml:space="preserve"> acordada con el OE.</w:t>
      </w:r>
    </w:p>
    <w:p w14:paraId="1CB2566D" w14:textId="43EBD534" w:rsidR="007116B2" w:rsidRDefault="007116B2" w:rsidP="007116B2">
      <w:pPr>
        <w:pStyle w:val="Paragraph"/>
        <w:numPr>
          <w:ilvl w:val="1"/>
          <w:numId w:val="5"/>
        </w:numPr>
        <w:ind w:left="630" w:hanging="630"/>
        <w:rPr>
          <w:rFonts w:ascii="Arial" w:hAnsi="Arial" w:cs="Arial"/>
          <w:sz w:val="22"/>
          <w:szCs w:val="22"/>
          <w:lang w:val="es-ES_tradnl"/>
        </w:rPr>
      </w:pPr>
      <w:r w:rsidRPr="001F731F">
        <w:rPr>
          <w:rFonts w:ascii="Arial" w:hAnsi="Arial" w:cs="Arial"/>
          <w:sz w:val="22"/>
          <w:szCs w:val="22"/>
          <w:lang w:val="es-ES_tradnl"/>
        </w:rPr>
        <w:t xml:space="preserve">El monitoreo tendrá una frecuencia semestral y será actualizado en el Informe de Monitoreo y en el PMR del </w:t>
      </w:r>
      <w:r w:rsidR="00186383">
        <w:rPr>
          <w:rFonts w:ascii="Arial" w:hAnsi="Arial" w:cs="Arial"/>
          <w:sz w:val="22"/>
          <w:szCs w:val="22"/>
          <w:lang w:val="es-ES_tradnl"/>
        </w:rPr>
        <w:t>p</w:t>
      </w:r>
      <w:r w:rsidRPr="001F731F">
        <w:rPr>
          <w:rFonts w:ascii="Arial" w:hAnsi="Arial" w:cs="Arial"/>
          <w:sz w:val="22"/>
          <w:szCs w:val="22"/>
          <w:lang w:val="es-ES_tradnl"/>
        </w:rPr>
        <w:t>rograma. El Cuadro 1 muestra los indicadores que recibirán seguimiento y la frecuencia de medición.</w:t>
      </w:r>
    </w:p>
    <w:p w14:paraId="495EFE16" w14:textId="19E4EEAC" w:rsidR="00AD6F21" w:rsidRDefault="00AD6F21" w:rsidP="00AD6F21">
      <w:pPr>
        <w:pStyle w:val="Paragraph"/>
        <w:numPr>
          <w:ilvl w:val="0"/>
          <w:numId w:val="0"/>
        </w:numPr>
        <w:ind w:left="1476" w:hanging="1296"/>
        <w:rPr>
          <w:rFonts w:ascii="Arial" w:hAnsi="Arial" w:cs="Arial"/>
          <w:sz w:val="22"/>
          <w:szCs w:val="22"/>
          <w:lang w:val="es-ES_tradnl"/>
        </w:rPr>
      </w:pPr>
    </w:p>
    <w:p w14:paraId="2DA297CD" w14:textId="77777777" w:rsidR="00AD6F21" w:rsidRPr="001F731F" w:rsidRDefault="00AD6F21">
      <w:pPr>
        <w:pStyle w:val="Paragraph"/>
        <w:numPr>
          <w:ilvl w:val="0"/>
          <w:numId w:val="0"/>
        </w:numPr>
        <w:rPr>
          <w:rFonts w:ascii="Arial" w:hAnsi="Arial" w:cs="Arial"/>
          <w:sz w:val="22"/>
          <w:szCs w:val="22"/>
          <w:lang w:val="es-ES_tradnl"/>
        </w:rPr>
      </w:pPr>
    </w:p>
    <w:p w14:paraId="00AA4F2B" w14:textId="5E44726A" w:rsidR="007116B2" w:rsidRPr="00DD3FD0" w:rsidRDefault="00614B51" w:rsidP="007116B2">
      <w:pPr>
        <w:pStyle w:val="Default"/>
        <w:spacing w:before="120" w:after="120"/>
        <w:jc w:val="center"/>
        <w:rPr>
          <w:rFonts w:ascii="Arial" w:hAnsi="Arial" w:cs="Arial"/>
          <w:b/>
          <w:color w:val="auto"/>
          <w:sz w:val="18"/>
          <w:szCs w:val="18"/>
          <w:lang w:val="es-ES_tradnl"/>
        </w:rPr>
      </w:pPr>
      <w:r w:rsidRPr="00DD3FD0">
        <w:rPr>
          <w:rFonts w:ascii="Arial" w:hAnsi="Arial" w:cs="Arial"/>
          <w:b/>
          <w:color w:val="auto"/>
          <w:sz w:val="18"/>
          <w:szCs w:val="18"/>
          <w:lang w:val="es-ES_tradnl"/>
        </w:rPr>
        <w:t>Cuadro</w:t>
      </w:r>
      <w:r w:rsidR="007116B2" w:rsidRPr="00DD3FD0">
        <w:rPr>
          <w:rFonts w:ascii="Arial" w:hAnsi="Arial" w:cs="Arial"/>
          <w:b/>
          <w:color w:val="auto"/>
          <w:sz w:val="18"/>
          <w:szCs w:val="18"/>
          <w:lang w:val="es-ES_tradnl"/>
        </w:rPr>
        <w:t xml:space="preserve"> 1. Indicadores de Monitoreo</w:t>
      </w:r>
    </w:p>
    <w:tbl>
      <w:tblPr>
        <w:tblW w:w="8813" w:type="dxa"/>
        <w:jc w:val="center"/>
        <w:tblCellMar>
          <w:left w:w="70" w:type="dxa"/>
          <w:right w:w="70" w:type="dxa"/>
        </w:tblCellMar>
        <w:tblLook w:val="04A0" w:firstRow="1" w:lastRow="0" w:firstColumn="1" w:lastColumn="0" w:noHBand="0" w:noVBand="1"/>
      </w:tblPr>
      <w:tblGrid>
        <w:gridCol w:w="2102"/>
        <w:gridCol w:w="1562"/>
        <w:gridCol w:w="1497"/>
        <w:gridCol w:w="3652"/>
      </w:tblGrid>
      <w:tr w:rsidR="007116B2" w:rsidRPr="001F731F" w14:paraId="5379DDA4" w14:textId="77777777" w:rsidTr="00D31FFA">
        <w:trPr>
          <w:trHeight w:val="734"/>
          <w:tblHeader/>
          <w:jc w:val="center"/>
        </w:trPr>
        <w:tc>
          <w:tcPr>
            <w:tcW w:w="2102"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20ABE79C" w14:textId="77777777" w:rsidR="007116B2" w:rsidRPr="001F731F" w:rsidRDefault="007116B2" w:rsidP="00454CB5">
            <w:pPr>
              <w:spacing w:after="0" w:line="240" w:lineRule="auto"/>
              <w:jc w:val="center"/>
              <w:rPr>
                <w:rFonts w:ascii="Arial" w:eastAsia="Times New Roman" w:hAnsi="Arial" w:cs="Arial"/>
                <w:b/>
                <w:bCs/>
                <w:color w:val="000000"/>
                <w:sz w:val="20"/>
                <w:szCs w:val="18"/>
                <w:lang w:val="es-ES_tradnl" w:eastAsia="es-ES"/>
              </w:rPr>
            </w:pPr>
            <w:r w:rsidRPr="001F731F">
              <w:rPr>
                <w:rFonts w:ascii="Arial" w:eastAsia="Times New Roman" w:hAnsi="Arial" w:cs="Arial"/>
                <w:b/>
                <w:bCs/>
                <w:color w:val="000000"/>
                <w:sz w:val="20"/>
                <w:szCs w:val="18"/>
                <w:lang w:val="es-ES_tradnl" w:eastAsia="es-ES"/>
              </w:rPr>
              <w:t>Indicador</w:t>
            </w:r>
          </w:p>
        </w:tc>
        <w:tc>
          <w:tcPr>
            <w:tcW w:w="1562"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7DE10DFB" w14:textId="77777777" w:rsidR="007116B2" w:rsidRPr="001F731F" w:rsidRDefault="007116B2" w:rsidP="00454CB5">
            <w:pPr>
              <w:spacing w:after="0" w:line="240" w:lineRule="auto"/>
              <w:jc w:val="center"/>
              <w:rPr>
                <w:rFonts w:ascii="Arial" w:eastAsia="Times New Roman" w:hAnsi="Arial" w:cs="Arial"/>
                <w:b/>
                <w:color w:val="000000"/>
                <w:sz w:val="20"/>
                <w:szCs w:val="18"/>
                <w:lang w:val="es-ES_tradnl" w:eastAsia="es-ES"/>
              </w:rPr>
            </w:pPr>
            <w:r w:rsidRPr="001F731F">
              <w:rPr>
                <w:rFonts w:ascii="Arial" w:eastAsia="Times New Roman" w:hAnsi="Arial" w:cs="Arial"/>
                <w:b/>
                <w:color w:val="000000"/>
                <w:sz w:val="20"/>
                <w:szCs w:val="18"/>
                <w:lang w:val="es-ES_tradnl" w:eastAsia="es-ES"/>
              </w:rPr>
              <w:t>Unidad de Medida</w:t>
            </w:r>
          </w:p>
        </w:tc>
        <w:tc>
          <w:tcPr>
            <w:tcW w:w="149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3DE2585F" w14:textId="77777777" w:rsidR="007116B2" w:rsidRPr="001F731F" w:rsidRDefault="007116B2" w:rsidP="00454CB5">
            <w:pPr>
              <w:spacing w:after="0" w:line="240" w:lineRule="auto"/>
              <w:jc w:val="center"/>
              <w:rPr>
                <w:rFonts w:ascii="Arial" w:eastAsia="Times New Roman" w:hAnsi="Arial" w:cs="Arial"/>
                <w:b/>
                <w:color w:val="000000"/>
                <w:sz w:val="20"/>
                <w:szCs w:val="18"/>
                <w:lang w:val="es-ES_tradnl" w:eastAsia="es-ES"/>
              </w:rPr>
            </w:pPr>
            <w:r w:rsidRPr="001F731F">
              <w:rPr>
                <w:rFonts w:ascii="Arial" w:eastAsia="Times New Roman" w:hAnsi="Arial" w:cs="Arial"/>
                <w:b/>
                <w:color w:val="000000"/>
                <w:sz w:val="20"/>
                <w:szCs w:val="18"/>
                <w:lang w:val="es-ES_tradnl" w:eastAsia="es-ES"/>
              </w:rPr>
              <w:t>Medio de Verificación</w:t>
            </w:r>
          </w:p>
        </w:tc>
        <w:tc>
          <w:tcPr>
            <w:tcW w:w="3652"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2F651240" w14:textId="77777777" w:rsidR="007116B2" w:rsidRPr="001F731F" w:rsidRDefault="007116B2" w:rsidP="00454CB5">
            <w:pPr>
              <w:spacing w:after="0" w:line="240" w:lineRule="auto"/>
              <w:jc w:val="center"/>
              <w:rPr>
                <w:rFonts w:ascii="Arial" w:eastAsia="Times New Roman" w:hAnsi="Arial" w:cs="Arial"/>
                <w:b/>
                <w:color w:val="000000"/>
                <w:sz w:val="20"/>
                <w:szCs w:val="18"/>
                <w:lang w:val="es-ES_tradnl" w:eastAsia="es-ES"/>
              </w:rPr>
            </w:pPr>
            <w:r w:rsidRPr="001F731F">
              <w:rPr>
                <w:rFonts w:ascii="Arial" w:eastAsia="Times New Roman" w:hAnsi="Arial" w:cs="Arial"/>
                <w:b/>
                <w:color w:val="000000"/>
                <w:sz w:val="20"/>
                <w:szCs w:val="18"/>
                <w:lang w:val="es-ES_tradnl" w:eastAsia="es-ES"/>
              </w:rPr>
              <w:t>Comentarios</w:t>
            </w:r>
          </w:p>
        </w:tc>
      </w:tr>
      <w:tr w:rsidR="00F27BCF" w:rsidRPr="001F731F" w14:paraId="51E8AB41" w14:textId="77777777" w:rsidTr="006F1FF8">
        <w:trPr>
          <w:trHeight w:val="320"/>
          <w:jc w:val="center"/>
        </w:trPr>
        <w:tc>
          <w:tcPr>
            <w:tcW w:w="8813" w:type="dxa"/>
            <w:gridSpan w:val="4"/>
            <w:tcBorders>
              <w:top w:val="single" w:sz="4" w:space="0" w:color="auto"/>
              <w:left w:val="single" w:sz="8" w:space="0" w:color="000000"/>
              <w:bottom w:val="single" w:sz="8" w:space="0" w:color="000000"/>
              <w:right w:val="single" w:sz="8" w:space="0" w:color="000000"/>
            </w:tcBorders>
            <w:shd w:val="clear" w:color="000000" w:fill="D9D9D9"/>
            <w:vAlign w:val="center"/>
            <w:hideMark/>
          </w:tcPr>
          <w:p w14:paraId="74D60773" w14:textId="063C247C" w:rsidR="00F27BCF" w:rsidRPr="001F731F" w:rsidRDefault="00F27BCF" w:rsidP="00583FF5">
            <w:pPr>
              <w:spacing w:after="0" w:line="240" w:lineRule="auto"/>
              <w:jc w:val="center"/>
              <w:rPr>
                <w:rFonts w:ascii="Arial" w:eastAsia="Times New Roman" w:hAnsi="Arial" w:cs="Arial"/>
                <w:b/>
                <w:bCs/>
                <w:color w:val="000000"/>
                <w:sz w:val="18"/>
                <w:szCs w:val="18"/>
                <w:lang w:val="es-ES_tradnl" w:eastAsia="es-ES"/>
              </w:rPr>
            </w:pPr>
            <w:r w:rsidRPr="001F731F">
              <w:rPr>
                <w:rFonts w:ascii="Arial" w:eastAsia="Times New Roman" w:hAnsi="Arial" w:cs="Arial"/>
                <w:b/>
                <w:bCs/>
                <w:color w:val="000000"/>
                <w:sz w:val="18"/>
                <w:szCs w:val="18"/>
                <w:lang w:val="es-ES_tradnl" w:eastAsia="es-ES"/>
              </w:rPr>
              <w:t xml:space="preserve">Indicadores de </w:t>
            </w:r>
            <w:r>
              <w:rPr>
                <w:rFonts w:ascii="Arial" w:eastAsia="Times New Roman" w:hAnsi="Arial" w:cs="Arial"/>
                <w:b/>
                <w:bCs/>
                <w:color w:val="000000"/>
                <w:sz w:val="18"/>
                <w:szCs w:val="18"/>
                <w:lang w:val="es-ES_tradnl" w:eastAsia="es-ES"/>
              </w:rPr>
              <w:t>Impacto</w:t>
            </w:r>
          </w:p>
        </w:tc>
      </w:tr>
      <w:tr w:rsidR="00F27BCF" w:rsidRPr="005336A4" w14:paraId="7B02EB45" w14:textId="77777777" w:rsidTr="006F1FF8">
        <w:trPr>
          <w:trHeight w:val="320"/>
          <w:jc w:val="center"/>
        </w:trPr>
        <w:tc>
          <w:tcPr>
            <w:tcW w:w="8813" w:type="dxa"/>
            <w:gridSpan w:val="4"/>
            <w:tcBorders>
              <w:top w:val="single" w:sz="8" w:space="0" w:color="000000"/>
              <w:left w:val="single" w:sz="8" w:space="0" w:color="000000"/>
              <w:bottom w:val="single" w:sz="4" w:space="0" w:color="auto"/>
              <w:right w:val="single" w:sz="8" w:space="0" w:color="000000"/>
            </w:tcBorders>
            <w:shd w:val="clear" w:color="auto" w:fill="auto"/>
            <w:vAlign w:val="center"/>
            <w:hideMark/>
          </w:tcPr>
          <w:p w14:paraId="65FECCC7" w14:textId="4A2146EB" w:rsidR="00F27BCF" w:rsidRPr="001F731F" w:rsidRDefault="00F27BCF" w:rsidP="00583FF5">
            <w:pPr>
              <w:spacing w:after="0" w:line="240" w:lineRule="auto"/>
              <w:jc w:val="both"/>
              <w:rPr>
                <w:rFonts w:ascii="Arial" w:eastAsia="Times New Roman" w:hAnsi="Arial" w:cs="Arial"/>
                <w:b/>
                <w:bCs/>
                <w:color w:val="000000"/>
                <w:sz w:val="18"/>
                <w:szCs w:val="18"/>
                <w:u w:val="single"/>
                <w:lang w:val="es-ES_tradnl" w:eastAsia="es-ES"/>
              </w:rPr>
            </w:pPr>
            <w:r>
              <w:rPr>
                <w:rFonts w:ascii="Arial" w:eastAsia="Times New Roman" w:hAnsi="Arial" w:cs="Arial"/>
                <w:b/>
                <w:bCs/>
                <w:color w:val="000000"/>
                <w:sz w:val="18"/>
                <w:szCs w:val="18"/>
                <w:u w:val="single"/>
                <w:lang w:val="es-ES_tradnl" w:eastAsia="es-ES"/>
              </w:rPr>
              <w:t>Objetivo general: A</w:t>
            </w:r>
            <w:r w:rsidRPr="00F27BCF">
              <w:rPr>
                <w:rFonts w:ascii="Arial" w:eastAsia="Times New Roman" w:hAnsi="Arial" w:cs="Arial"/>
                <w:b/>
                <w:bCs/>
                <w:color w:val="000000"/>
                <w:sz w:val="18"/>
                <w:szCs w:val="18"/>
                <w:u w:val="single"/>
                <w:lang w:val="es-ES_tradnl" w:eastAsia="es-ES"/>
              </w:rPr>
              <w:t>poyar la sostenibilidad</w:t>
            </w:r>
            <w:r w:rsidR="00D27B51">
              <w:rPr>
                <w:rFonts w:ascii="Arial" w:eastAsia="Times New Roman" w:hAnsi="Arial" w:cs="Arial"/>
                <w:b/>
                <w:bCs/>
                <w:color w:val="000000"/>
                <w:sz w:val="18"/>
                <w:szCs w:val="18"/>
                <w:u w:val="single"/>
                <w:lang w:val="es-ES_tradnl" w:eastAsia="es-ES"/>
              </w:rPr>
              <w:t xml:space="preserve"> de las MIPYME como sostén del empleo en Argentina</w:t>
            </w:r>
            <w:r w:rsidR="00186383">
              <w:rPr>
                <w:rFonts w:ascii="Arial" w:eastAsia="Times New Roman" w:hAnsi="Arial" w:cs="Arial"/>
                <w:b/>
                <w:bCs/>
                <w:color w:val="000000"/>
                <w:sz w:val="18"/>
                <w:szCs w:val="18"/>
                <w:u w:val="single"/>
                <w:lang w:val="es-ES_tradnl" w:eastAsia="es-ES"/>
              </w:rPr>
              <w:t xml:space="preserve"> </w:t>
            </w:r>
            <w:r w:rsidR="00D27B51">
              <w:rPr>
                <w:rFonts w:ascii="Arial" w:eastAsia="Times New Roman" w:hAnsi="Arial" w:cs="Arial"/>
                <w:b/>
                <w:bCs/>
                <w:color w:val="000000"/>
                <w:sz w:val="18"/>
                <w:szCs w:val="18"/>
                <w:u w:val="single"/>
                <w:lang w:val="es-ES_tradnl" w:eastAsia="es-ES"/>
              </w:rPr>
              <w:t>en el contexto de crisis generada por la pandemia COVID</w:t>
            </w:r>
            <w:r w:rsidRPr="00F27BCF">
              <w:rPr>
                <w:rFonts w:ascii="Arial" w:eastAsia="Times New Roman" w:hAnsi="Arial" w:cs="Arial"/>
                <w:b/>
                <w:bCs/>
                <w:color w:val="000000"/>
                <w:sz w:val="18"/>
                <w:szCs w:val="18"/>
                <w:u w:val="single"/>
                <w:lang w:val="es-ES_tradnl" w:eastAsia="es-ES"/>
              </w:rPr>
              <w:t xml:space="preserve">-19 </w:t>
            </w:r>
            <w:r w:rsidRPr="001F731F">
              <w:rPr>
                <w:rFonts w:ascii="Arial" w:eastAsia="Times New Roman" w:hAnsi="Arial" w:cs="Arial"/>
                <w:b/>
                <w:bCs/>
                <w:color w:val="000000"/>
                <w:sz w:val="18"/>
                <w:szCs w:val="18"/>
                <w:u w:val="single"/>
                <w:lang w:val="es-ES_tradnl" w:eastAsia="es-ES"/>
              </w:rPr>
              <w:t xml:space="preserve"> </w:t>
            </w:r>
          </w:p>
        </w:tc>
      </w:tr>
      <w:tr w:rsidR="00495862" w:rsidRPr="005336A4" w14:paraId="189F2A29" w14:textId="77777777" w:rsidTr="006F1FF8">
        <w:trPr>
          <w:trHeight w:val="1760"/>
          <w:jc w:val="center"/>
        </w:trPr>
        <w:tc>
          <w:tcPr>
            <w:tcW w:w="2102" w:type="dxa"/>
            <w:tcBorders>
              <w:top w:val="single" w:sz="4" w:space="0" w:color="auto"/>
              <w:left w:val="single" w:sz="8" w:space="0" w:color="000000"/>
              <w:bottom w:val="single" w:sz="4" w:space="0" w:color="auto"/>
              <w:right w:val="single" w:sz="8" w:space="0" w:color="000000"/>
            </w:tcBorders>
            <w:shd w:val="clear" w:color="auto" w:fill="auto"/>
            <w:vAlign w:val="center"/>
            <w:hideMark/>
          </w:tcPr>
          <w:p w14:paraId="3F404361" w14:textId="77777777" w:rsidR="00495862" w:rsidRPr="00D27B51" w:rsidRDefault="00495862" w:rsidP="00495862">
            <w:pPr>
              <w:pBdr>
                <w:top w:val="nil"/>
                <w:left w:val="nil"/>
                <w:bottom w:val="nil"/>
                <w:right w:val="nil"/>
                <w:between w:val="nil"/>
              </w:pBdr>
              <w:spacing w:after="0" w:line="240" w:lineRule="auto"/>
              <w:rPr>
                <w:rFonts w:ascii="Arial" w:eastAsia="Arial" w:hAnsi="Arial" w:cs="Arial"/>
                <w:b/>
                <w:color w:val="000000"/>
                <w:sz w:val="18"/>
                <w:szCs w:val="18"/>
                <w:lang w:val="es-ES"/>
              </w:rPr>
            </w:pPr>
            <w:r w:rsidRPr="00D27B51">
              <w:rPr>
                <w:rFonts w:ascii="Arial" w:eastAsia="Arial" w:hAnsi="Arial" w:cs="Arial"/>
                <w:b/>
                <w:color w:val="000000"/>
                <w:sz w:val="18"/>
                <w:szCs w:val="18"/>
                <w:lang w:val="es-ES"/>
              </w:rPr>
              <w:t>Indicador 1:</w:t>
            </w:r>
          </w:p>
          <w:p w14:paraId="57CF3A4F" w14:textId="72B22161" w:rsidR="00495862" w:rsidRPr="001F731F" w:rsidRDefault="00495862" w:rsidP="00DD3FD0">
            <w:pPr>
              <w:pStyle w:val="ListParagraph"/>
              <w:spacing w:after="120"/>
              <w:ind w:left="0"/>
              <w:jc w:val="both"/>
              <w:rPr>
                <w:rFonts w:ascii="Arial" w:hAnsi="Arial" w:cs="Arial"/>
                <w:b/>
                <w:bCs/>
                <w:color w:val="000000"/>
                <w:sz w:val="18"/>
                <w:szCs w:val="18"/>
                <w:lang w:eastAsia="es-ES"/>
              </w:rPr>
            </w:pPr>
            <w:r>
              <w:rPr>
                <w:rFonts w:ascii="Arial" w:eastAsia="Arial" w:hAnsi="Arial" w:cs="Arial"/>
                <w:color w:val="000000"/>
                <w:sz w:val="18"/>
                <w:szCs w:val="18"/>
              </w:rPr>
              <w:t>Ingreso</w:t>
            </w:r>
            <w:r w:rsidR="00065E50">
              <w:rPr>
                <w:rFonts w:ascii="Arial" w:eastAsia="Arial" w:hAnsi="Arial" w:cs="Arial"/>
                <w:color w:val="000000"/>
                <w:sz w:val="18"/>
                <w:szCs w:val="18"/>
              </w:rPr>
              <w:t>s</w:t>
            </w:r>
            <w:r>
              <w:rPr>
                <w:rFonts w:ascii="Arial" w:eastAsia="Arial" w:hAnsi="Arial" w:cs="Arial"/>
                <w:color w:val="000000"/>
                <w:sz w:val="18"/>
                <w:szCs w:val="18"/>
              </w:rPr>
              <w:t xml:space="preserve"> anuales por ventas en las MIPYME apoyadas con el programa.</w:t>
            </w:r>
          </w:p>
        </w:tc>
        <w:tc>
          <w:tcPr>
            <w:tcW w:w="1562" w:type="dxa"/>
            <w:tcBorders>
              <w:top w:val="single" w:sz="4" w:space="0" w:color="auto"/>
              <w:left w:val="nil"/>
              <w:bottom w:val="single" w:sz="4" w:space="0" w:color="auto"/>
              <w:right w:val="single" w:sz="8" w:space="0" w:color="000000"/>
            </w:tcBorders>
            <w:shd w:val="clear" w:color="auto" w:fill="auto"/>
            <w:vAlign w:val="center"/>
            <w:hideMark/>
          </w:tcPr>
          <w:p w14:paraId="43FCCF0D" w14:textId="7F8DE609" w:rsidR="00495862" w:rsidRPr="001F731F" w:rsidRDefault="00495862" w:rsidP="00495862">
            <w:pPr>
              <w:spacing w:after="0" w:line="240" w:lineRule="auto"/>
              <w:jc w:val="center"/>
              <w:rPr>
                <w:rFonts w:ascii="Arial" w:eastAsia="Times New Roman" w:hAnsi="Arial" w:cs="Arial"/>
                <w:color w:val="000000"/>
                <w:sz w:val="18"/>
                <w:szCs w:val="18"/>
                <w:lang w:val="es-ES_tradnl" w:eastAsia="es-ES"/>
              </w:rPr>
            </w:pPr>
            <w:r>
              <w:rPr>
                <w:rFonts w:ascii="Arial" w:eastAsia="Arial" w:hAnsi="Arial" w:cs="Arial"/>
                <w:sz w:val="18"/>
                <w:szCs w:val="18"/>
              </w:rPr>
              <w:t>Miles de US$</w:t>
            </w:r>
          </w:p>
        </w:tc>
        <w:tc>
          <w:tcPr>
            <w:tcW w:w="1497" w:type="dxa"/>
            <w:tcBorders>
              <w:top w:val="single" w:sz="4" w:space="0" w:color="auto"/>
              <w:left w:val="nil"/>
              <w:bottom w:val="single" w:sz="4" w:space="0" w:color="auto"/>
              <w:right w:val="single" w:sz="8" w:space="0" w:color="000000"/>
            </w:tcBorders>
            <w:shd w:val="clear" w:color="auto" w:fill="auto"/>
            <w:vAlign w:val="center"/>
            <w:hideMark/>
          </w:tcPr>
          <w:p w14:paraId="145DEF9F" w14:textId="77777777" w:rsidR="00495862" w:rsidRPr="00D27B51" w:rsidRDefault="00495862" w:rsidP="00DD3FD0">
            <w:pPr>
              <w:spacing w:after="120" w:line="240" w:lineRule="auto"/>
              <w:jc w:val="both"/>
              <w:rPr>
                <w:rFonts w:ascii="Arial" w:eastAsia="Arial" w:hAnsi="Arial" w:cs="Arial"/>
                <w:sz w:val="18"/>
                <w:szCs w:val="18"/>
                <w:lang w:val="es-ES"/>
              </w:rPr>
            </w:pPr>
            <w:r w:rsidRPr="00D27B51">
              <w:rPr>
                <w:rFonts w:ascii="Arial" w:eastAsia="Arial" w:hAnsi="Arial" w:cs="Arial"/>
                <w:color w:val="000000"/>
                <w:sz w:val="18"/>
                <w:szCs w:val="18"/>
                <w:lang w:val="es-ES"/>
              </w:rPr>
              <w:t>Información de seguimiento y monitoreo del programa recolectada por el OE</w:t>
            </w:r>
            <w:r w:rsidRPr="00D27B51">
              <w:rPr>
                <w:rFonts w:ascii="Arial" w:eastAsia="Arial" w:hAnsi="Arial" w:cs="Arial"/>
                <w:sz w:val="18"/>
                <w:szCs w:val="18"/>
                <w:lang w:val="es-ES"/>
              </w:rPr>
              <w:t>; Secretaría de Emprendedores y PyME (SEPYME); y Secretaría de Asuntos Estratégicos (SAE).</w:t>
            </w:r>
          </w:p>
          <w:p w14:paraId="72BE55E4" w14:textId="77777777" w:rsidR="00495862" w:rsidRDefault="00495862" w:rsidP="00495862">
            <w:pPr>
              <w:spacing w:after="120" w:line="240" w:lineRule="auto"/>
              <w:rPr>
                <w:rFonts w:ascii="Arial" w:eastAsia="Arial" w:hAnsi="Arial" w:cs="Arial"/>
                <w:sz w:val="18"/>
                <w:szCs w:val="18"/>
              </w:rPr>
            </w:pPr>
            <w:r w:rsidRPr="008B530F">
              <w:rPr>
                <w:rFonts w:ascii="Arial" w:eastAsia="Arial" w:hAnsi="Arial" w:cs="Arial"/>
                <w:sz w:val="18"/>
                <w:szCs w:val="18"/>
                <w:lang w:val="es-AR"/>
              </w:rPr>
              <w:t>Evaluaciones</w:t>
            </w:r>
            <w:r>
              <w:rPr>
                <w:rFonts w:ascii="Arial" w:eastAsia="Arial" w:hAnsi="Arial" w:cs="Arial"/>
                <w:sz w:val="18"/>
                <w:szCs w:val="18"/>
              </w:rPr>
              <w:t xml:space="preserve"> intermedia y final.</w:t>
            </w:r>
          </w:p>
          <w:p w14:paraId="54A00435" w14:textId="44A8A20F" w:rsidR="00495862" w:rsidRPr="001F731F" w:rsidRDefault="00495862" w:rsidP="00495862">
            <w:pPr>
              <w:spacing w:after="0" w:line="240" w:lineRule="auto"/>
              <w:rPr>
                <w:rFonts w:ascii="Arial" w:eastAsia="Times New Roman" w:hAnsi="Arial" w:cs="Arial"/>
                <w:color w:val="000000"/>
                <w:sz w:val="18"/>
                <w:szCs w:val="18"/>
                <w:lang w:val="es-ES_tradnl" w:eastAsia="es-ES"/>
              </w:rPr>
            </w:pPr>
          </w:p>
        </w:tc>
        <w:tc>
          <w:tcPr>
            <w:tcW w:w="3652" w:type="dxa"/>
            <w:tcBorders>
              <w:top w:val="single" w:sz="4" w:space="0" w:color="auto"/>
              <w:left w:val="nil"/>
              <w:bottom w:val="single" w:sz="4" w:space="0" w:color="auto"/>
              <w:right w:val="single" w:sz="8" w:space="0" w:color="000000"/>
            </w:tcBorders>
            <w:shd w:val="clear" w:color="auto" w:fill="auto"/>
            <w:vAlign w:val="center"/>
            <w:hideMark/>
          </w:tcPr>
          <w:p w14:paraId="4C6817A9" w14:textId="77777777" w:rsidR="00495862" w:rsidRPr="00495862" w:rsidRDefault="00495862" w:rsidP="00495862">
            <w:pPr>
              <w:spacing w:after="0" w:line="240" w:lineRule="auto"/>
              <w:jc w:val="both"/>
              <w:rPr>
                <w:rFonts w:ascii="Arial" w:eastAsia="Arial" w:hAnsi="Arial" w:cs="Arial"/>
                <w:sz w:val="18"/>
                <w:szCs w:val="18"/>
                <w:lang w:val="es-ES"/>
              </w:rPr>
            </w:pPr>
            <w:r w:rsidRPr="00495862">
              <w:rPr>
                <w:rFonts w:ascii="Arial" w:eastAsia="Arial" w:hAnsi="Arial" w:cs="Arial"/>
                <w:sz w:val="18"/>
                <w:szCs w:val="18"/>
                <w:lang w:val="es-ES"/>
              </w:rPr>
              <w:t xml:space="preserve">Mide la variación en los ingresos por ventas esperados de las MIPYME identificadas por el programa como vulnerables. </w:t>
            </w:r>
          </w:p>
          <w:p w14:paraId="7B000B81" w14:textId="77777777" w:rsidR="002C012A" w:rsidRPr="00692370" w:rsidRDefault="002C012A" w:rsidP="002C012A">
            <w:pPr>
              <w:spacing w:after="0" w:line="240" w:lineRule="auto"/>
              <w:jc w:val="both"/>
              <w:rPr>
                <w:rFonts w:ascii="Arial" w:eastAsia="Arial" w:hAnsi="Arial" w:cs="Arial"/>
                <w:color w:val="000000"/>
                <w:sz w:val="18"/>
                <w:szCs w:val="18"/>
                <w:lang w:val="es-NI"/>
              </w:rPr>
            </w:pPr>
            <w:r w:rsidRPr="002C012A">
              <w:rPr>
                <w:rFonts w:ascii="Arial" w:eastAsia="Arial" w:hAnsi="Arial" w:cs="Arial"/>
                <w:sz w:val="18"/>
                <w:szCs w:val="18"/>
                <w:lang w:val="es-ES"/>
              </w:rPr>
              <w:t xml:space="preserve">La línea de base se calculó basada en </w:t>
            </w:r>
            <w:r w:rsidRPr="002C012A">
              <w:rPr>
                <w:rFonts w:ascii="Arial" w:eastAsia="Arial" w:hAnsi="Arial" w:cs="Arial"/>
                <w:color w:val="000000"/>
                <w:sz w:val="18"/>
                <w:szCs w:val="18"/>
                <w:lang w:val="es-ES"/>
              </w:rPr>
              <w:t xml:space="preserve">estimaciones de caída acumulada de ventas en 2020 con respecto al año 2019. La Confederación Argentina de la Mediana Empresa (CAME) reporta que en abril 2020 ya se registra una pérdida acumulada del 46,6% de las ventas de la MIPYME para el año 2020 con respecto a los datos de 2019, en el que se alcanzaron unos ingresos por ventas anuales promedio de US$658.717 (conversión a US$ aplicando un tipo de cambio de 68,25 pesos argentinos por dólar). </w:t>
            </w:r>
            <w:r w:rsidRPr="00692370">
              <w:rPr>
                <w:rFonts w:ascii="Arial" w:eastAsia="Arial" w:hAnsi="Arial" w:cs="Arial"/>
                <w:color w:val="000000"/>
                <w:sz w:val="18"/>
                <w:szCs w:val="18"/>
                <w:lang w:val="es-NI"/>
              </w:rPr>
              <w:t xml:space="preserve">Fuente: </w:t>
            </w:r>
            <w:r w:rsidRPr="002C012A">
              <w:rPr>
                <w:rFonts w:ascii="Arial" w:eastAsia="Arial" w:hAnsi="Arial" w:cs="Arial"/>
                <w:color w:val="000000"/>
                <w:sz w:val="18"/>
                <w:szCs w:val="18"/>
                <w:lang w:val="es-AR"/>
              </w:rPr>
              <w:t>Registro</w:t>
            </w:r>
            <w:r w:rsidRPr="00692370">
              <w:rPr>
                <w:rFonts w:ascii="Arial" w:eastAsia="Arial" w:hAnsi="Arial" w:cs="Arial"/>
                <w:color w:val="000000"/>
                <w:sz w:val="18"/>
                <w:szCs w:val="18"/>
                <w:lang w:val="es-NI"/>
              </w:rPr>
              <w:t xml:space="preserve"> de SEPYME.</w:t>
            </w:r>
          </w:p>
          <w:p w14:paraId="615F857C" w14:textId="77777777" w:rsidR="00495862" w:rsidRPr="00495862" w:rsidRDefault="00495862" w:rsidP="00495862">
            <w:pPr>
              <w:spacing w:after="0" w:line="240" w:lineRule="auto"/>
              <w:jc w:val="both"/>
              <w:rPr>
                <w:rFonts w:ascii="Arial" w:eastAsia="Arial" w:hAnsi="Arial" w:cs="Arial"/>
                <w:color w:val="000000"/>
                <w:sz w:val="18"/>
                <w:szCs w:val="18"/>
                <w:lang w:val="es-ES"/>
              </w:rPr>
            </w:pPr>
            <w:r w:rsidRPr="00495862">
              <w:rPr>
                <w:rFonts w:ascii="Arial" w:eastAsia="Arial" w:hAnsi="Arial" w:cs="Arial"/>
                <w:color w:val="000000"/>
                <w:sz w:val="18"/>
                <w:szCs w:val="18"/>
                <w:lang w:val="es-ES"/>
              </w:rPr>
              <w:t>El detalle de ventas anuales por tamaño de MIPYME en 2019 fue, en millones de AR$: Microempresa: 7,1; pequeña empresa: 60,2; mediana empresa tipo 1 (M1): 317,7; y mediana empresa tipo 2 (M2): 1.320.</w:t>
            </w:r>
            <w:r>
              <w:rPr>
                <w:rStyle w:val="FootnoteReference"/>
                <w:rFonts w:ascii="Arial" w:eastAsia="Arial" w:hAnsi="Arial" w:cs="Arial"/>
                <w:sz w:val="18"/>
                <w:szCs w:val="18"/>
              </w:rPr>
              <w:footnoteReference w:id="20"/>
            </w:r>
          </w:p>
          <w:p w14:paraId="19CE40F8" w14:textId="661FF2B6" w:rsidR="00495862" w:rsidRPr="001F731F" w:rsidRDefault="00495862" w:rsidP="00495862">
            <w:pPr>
              <w:spacing w:after="0" w:line="240" w:lineRule="auto"/>
              <w:jc w:val="both"/>
              <w:rPr>
                <w:rFonts w:ascii="Arial" w:eastAsia="Times New Roman" w:hAnsi="Arial" w:cs="Arial"/>
                <w:color w:val="000000"/>
                <w:sz w:val="18"/>
                <w:szCs w:val="18"/>
                <w:lang w:val="es-ES_tradnl" w:eastAsia="es-ES"/>
              </w:rPr>
            </w:pPr>
            <w:r w:rsidRPr="00495862">
              <w:rPr>
                <w:rFonts w:ascii="Arial" w:eastAsia="Arial" w:hAnsi="Arial" w:cs="Arial"/>
                <w:color w:val="000000"/>
                <w:sz w:val="18"/>
                <w:szCs w:val="18"/>
                <w:lang w:val="es-ES"/>
              </w:rPr>
              <w:t xml:space="preserve">Con el apoyo del proyecto se espera exista recuperación parcial de las </w:t>
            </w:r>
            <w:r w:rsidR="002C012A">
              <w:rPr>
                <w:rFonts w:ascii="Arial" w:eastAsia="Arial" w:hAnsi="Arial" w:cs="Arial"/>
                <w:color w:val="000000"/>
                <w:sz w:val="18"/>
                <w:szCs w:val="18"/>
                <w:lang w:val="es-ES"/>
              </w:rPr>
              <w:t>ventas</w:t>
            </w:r>
            <w:r w:rsidRPr="00495862">
              <w:rPr>
                <w:rFonts w:ascii="Arial" w:eastAsia="Arial" w:hAnsi="Arial" w:cs="Arial"/>
                <w:color w:val="000000"/>
                <w:sz w:val="18"/>
                <w:szCs w:val="18"/>
                <w:lang w:val="es-ES"/>
              </w:rPr>
              <w:t>, pero que seguirán siendo, al final del programa un 15% menores con respecto a las cifras de 2019.</w:t>
            </w:r>
          </w:p>
        </w:tc>
      </w:tr>
      <w:tr w:rsidR="00D27B51" w:rsidRPr="005B47D5" w14:paraId="07258B26" w14:textId="77777777" w:rsidTr="00CF38ED">
        <w:trPr>
          <w:trHeight w:val="1320"/>
          <w:jc w:val="center"/>
        </w:trPr>
        <w:tc>
          <w:tcPr>
            <w:tcW w:w="2102" w:type="dxa"/>
            <w:tcBorders>
              <w:top w:val="single" w:sz="4" w:space="0" w:color="auto"/>
              <w:left w:val="single" w:sz="8" w:space="0" w:color="000000"/>
              <w:bottom w:val="nil"/>
              <w:right w:val="single" w:sz="8" w:space="0" w:color="000000"/>
            </w:tcBorders>
            <w:shd w:val="clear" w:color="auto" w:fill="auto"/>
            <w:vAlign w:val="center"/>
            <w:hideMark/>
          </w:tcPr>
          <w:p w14:paraId="2403A16D" w14:textId="77777777" w:rsidR="00D27B51" w:rsidRPr="00D27B51" w:rsidRDefault="00D27B51" w:rsidP="00D27B51">
            <w:pPr>
              <w:pBdr>
                <w:top w:val="nil"/>
                <w:left w:val="nil"/>
                <w:bottom w:val="nil"/>
                <w:right w:val="nil"/>
                <w:between w:val="nil"/>
              </w:pBdr>
              <w:spacing w:after="0" w:line="240" w:lineRule="auto"/>
              <w:rPr>
                <w:rFonts w:ascii="Arial" w:eastAsia="Arial" w:hAnsi="Arial" w:cs="Arial"/>
                <w:b/>
                <w:color w:val="000000"/>
                <w:sz w:val="18"/>
                <w:szCs w:val="18"/>
                <w:lang w:val="es-ES"/>
              </w:rPr>
            </w:pPr>
            <w:r w:rsidRPr="00D27B51">
              <w:rPr>
                <w:rFonts w:ascii="Arial" w:eastAsia="Arial" w:hAnsi="Arial" w:cs="Arial"/>
                <w:b/>
                <w:color w:val="000000"/>
                <w:sz w:val="18"/>
                <w:szCs w:val="18"/>
                <w:lang w:val="es-ES"/>
              </w:rPr>
              <w:t>Indicador 2:</w:t>
            </w:r>
          </w:p>
          <w:p w14:paraId="3356591B" w14:textId="3A5499DB" w:rsidR="00D27B51" w:rsidRPr="001F731F" w:rsidRDefault="00D27B51" w:rsidP="00DD3FD0">
            <w:pPr>
              <w:spacing w:after="0" w:line="240" w:lineRule="auto"/>
              <w:jc w:val="both"/>
              <w:rPr>
                <w:rFonts w:ascii="Arial" w:eastAsia="Times New Roman" w:hAnsi="Arial" w:cs="Arial"/>
                <w:b/>
                <w:bCs/>
                <w:color w:val="000000"/>
                <w:sz w:val="18"/>
                <w:szCs w:val="18"/>
                <w:lang w:val="es-ES_tradnl" w:eastAsia="es-ES"/>
              </w:rPr>
            </w:pPr>
            <w:bookmarkStart w:id="11" w:name="_gjdgxs" w:colFirst="0" w:colLast="0"/>
            <w:bookmarkEnd w:id="11"/>
            <w:r w:rsidRPr="00D27B51">
              <w:rPr>
                <w:rFonts w:ascii="Arial" w:eastAsia="Arial" w:hAnsi="Arial" w:cs="Arial"/>
                <w:color w:val="000000"/>
                <w:sz w:val="18"/>
                <w:szCs w:val="18"/>
                <w:lang w:val="es-ES"/>
              </w:rPr>
              <w:t>Porcentaje del empleo registrado en MIPYME sobre el total del empleo registrado en el país.</w:t>
            </w:r>
          </w:p>
        </w:tc>
        <w:tc>
          <w:tcPr>
            <w:tcW w:w="1562" w:type="dxa"/>
            <w:tcBorders>
              <w:top w:val="single" w:sz="4" w:space="0" w:color="auto"/>
              <w:left w:val="nil"/>
              <w:bottom w:val="nil"/>
              <w:right w:val="single" w:sz="8" w:space="0" w:color="000000"/>
            </w:tcBorders>
            <w:shd w:val="clear" w:color="auto" w:fill="auto"/>
            <w:vAlign w:val="center"/>
            <w:hideMark/>
          </w:tcPr>
          <w:p w14:paraId="12A532A2" w14:textId="0050FE21" w:rsidR="00D27B51" w:rsidRPr="001F731F" w:rsidRDefault="00D27B51" w:rsidP="00D27B51">
            <w:pPr>
              <w:spacing w:after="0" w:line="240" w:lineRule="auto"/>
              <w:jc w:val="center"/>
              <w:rPr>
                <w:rFonts w:ascii="Arial" w:eastAsia="Times New Roman" w:hAnsi="Arial" w:cs="Arial"/>
                <w:color w:val="000000"/>
                <w:sz w:val="18"/>
                <w:szCs w:val="18"/>
                <w:lang w:val="es-ES_tradnl" w:eastAsia="es-ES"/>
              </w:rPr>
            </w:pPr>
            <w:r>
              <w:rPr>
                <w:rFonts w:ascii="Arial" w:eastAsia="Times New Roman" w:hAnsi="Arial" w:cs="Arial"/>
                <w:color w:val="000000"/>
                <w:sz w:val="18"/>
                <w:szCs w:val="18"/>
                <w:lang w:val="es-ES_tradnl" w:eastAsia="es-ES"/>
              </w:rPr>
              <w:t>%</w:t>
            </w:r>
          </w:p>
        </w:tc>
        <w:tc>
          <w:tcPr>
            <w:tcW w:w="1497" w:type="dxa"/>
            <w:tcBorders>
              <w:top w:val="single" w:sz="4" w:space="0" w:color="auto"/>
              <w:left w:val="nil"/>
              <w:bottom w:val="nil"/>
              <w:right w:val="single" w:sz="8" w:space="0" w:color="000000"/>
            </w:tcBorders>
            <w:shd w:val="clear" w:color="auto" w:fill="auto"/>
            <w:vAlign w:val="center"/>
            <w:hideMark/>
          </w:tcPr>
          <w:p w14:paraId="2B0582A0" w14:textId="77777777" w:rsidR="00D27B51" w:rsidRPr="00D27B51" w:rsidRDefault="00D27B51" w:rsidP="00D27B51">
            <w:pPr>
              <w:spacing w:after="120" w:line="240" w:lineRule="auto"/>
              <w:rPr>
                <w:rFonts w:ascii="Arial" w:eastAsia="Arial" w:hAnsi="Arial" w:cs="Arial"/>
                <w:sz w:val="18"/>
                <w:szCs w:val="18"/>
                <w:lang w:val="es-ES"/>
              </w:rPr>
            </w:pPr>
            <w:r w:rsidRPr="00D27B51">
              <w:rPr>
                <w:rFonts w:ascii="Arial" w:eastAsia="Arial" w:hAnsi="Arial" w:cs="Arial"/>
                <w:color w:val="000000"/>
                <w:sz w:val="18"/>
                <w:szCs w:val="18"/>
                <w:lang w:val="es-ES"/>
              </w:rPr>
              <w:t>Información de seguimiento y monitoreo del programa recolectada por el OE; SEPYME; y SAE</w:t>
            </w:r>
            <w:r w:rsidRPr="00D27B51">
              <w:rPr>
                <w:rFonts w:ascii="Arial" w:eastAsia="Arial" w:hAnsi="Arial" w:cs="Arial"/>
                <w:sz w:val="18"/>
                <w:szCs w:val="18"/>
                <w:lang w:val="es-ES"/>
              </w:rPr>
              <w:t>.</w:t>
            </w:r>
          </w:p>
          <w:p w14:paraId="669431D0" w14:textId="0D7107E6" w:rsidR="00D27B51" w:rsidRPr="001F731F" w:rsidRDefault="00D27B51" w:rsidP="00D27B51">
            <w:pPr>
              <w:spacing w:after="0" w:line="240" w:lineRule="auto"/>
              <w:rPr>
                <w:rFonts w:ascii="Arial" w:eastAsia="Times New Roman" w:hAnsi="Arial" w:cs="Arial"/>
                <w:color w:val="000000"/>
                <w:sz w:val="18"/>
                <w:szCs w:val="18"/>
                <w:lang w:val="es-ES_tradnl" w:eastAsia="es-ES"/>
              </w:rPr>
            </w:pPr>
            <w:r w:rsidRPr="008B530F">
              <w:rPr>
                <w:rFonts w:ascii="Arial" w:eastAsia="Arial" w:hAnsi="Arial" w:cs="Arial"/>
                <w:sz w:val="18"/>
                <w:szCs w:val="18"/>
                <w:lang w:val="es-AR"/>
              </w:rPr>
              <w:t>Evaluaciones</w:t>
            </w:r>
            <w:r>
              <w:rPr>
                <w:rFonts w:ascii="Arial" w:eastAsia="Arial" w:hAnsi="Arial" w:cs="Arial"/>
                <w:sz w:val="18"/>
                <w:szCs w:val="18"/>
              </w:rPr>
              <w:t xml:space="preserve"> intermedia y final.</w:t>
            </w:r>
          </w:p>
        </w:tc>
        <w:tc>
          <w:tcPr>
            <w:tcW w:w="3652" w:type="dxa"/>
            <w:tcBorders>
              <w:top w:val="single" w:sz="4" w:space="0" w:color="auto"/>
              <w:left w:val="nil"/>
              <w:bottom w:val="nil"/>
              <w:right w:val="single" w:sz="8" w:space="0" w:color="000000"/>
            </w:tcBorders>
            <w:shd w:val="clear" w:color="auto" w:fill="auto"/>
            <w:hideMark/>
          </w:tcPr>
          <w:p w14:paraId="5AFFDF9F" w14:textId="45B84425" w:rsidR="00D27B51" w:rsidRPr="00D27B51" w:rsidRDefault="002C012A" w:rsidP="00D27B51">
            <w:pPr>
              <w:spacing w:after="0" w:line="240" w:lineRule="auto"/>
              <w:jc w:val="both"/>
              <w:rPr>
                <w:rFonts w:ascii="Arial" w:eastAsia="Arial" w:hAnsi="Arial" w:cs="Arial"/>
                <w:sz w:val="18"/>
                <w:szCs w:val="18"/>
                <w:lang w:val="es-ES"/>
              </w:rPr>
            </w:pPr>
            <w:r>
              <w:rPr>
                <w:rFonts w:ascii="Arial" w:eastAsia="Arial" w:hAnsi="Arial" w:cs="Arial"/>
                <w:sz w:val="18"/>
                <w:szCs w:val="18"/>
                <w:lang w:val="es-ES"/>
              </w:rPr>
              <w:t xml:space="preserve">Se </w:t>
            </w:r>
            <w:r w:rsidR="00D27B51" w:rsidRPr="00D27B51">
              <w:rPr>
                <w:rFonts w:ascii="Arial" w:eastAsia="Arial" w:hAnsi="Arial" w:cs="Arial"/>
                <w:sz w:val="18"/>
                <w:szCs w:val="18"/>
                <w:lang w:val="es-ES"/>
              </w:rPr>
              <w:t>espera que el programa contribuya a mantener la participación de las MIPYME sobre el total de trabajadores registrados en el país.</w:t>
            </w:r>
          </w:p>
          <w:p w14:paraId="2532AA75" w14:textId="77777777" w:rsidR="00D27B51" w:rsidRPr="00D27B51" w:rsidRDefault="00D27B51" w:rsidP="00D27B51">
            <w:pPr>
              <w:spacing w:after="0" w:line="240" w:lineRule="auto"/>
              <w:jc w:val="both"/>
              <w:rPr>
                <w:rFonts w:ascii="Arial" w:eastAsia="Arial" w:hAnsi="Arial" w:cs="Arial"/>
                <w:sz w:val="18"/>
                <w:szCs w:val="18"/>
                <w:lang w:val="es-ES"/>
              </w:rPr>
            </w:pPr>
          </w:p>
          <w:p w14:paraId="5E47E4E8" w14:textId="23C22039" w:rsidR="00D27B51" w:rsidRPr="001F731F" w:rsidRDefault="00D27B51" w:rsidP="00D27B51">
            <w:pPr>
              <w:spacing w:after="0" w:line="240" w:lineRule="auto"/>
              <w:jc w:val="both"/>
              <w:rPr>
                <w:rFonts w:ascii="Arial" w:eastAsia="Times New Roman" w:hAnsi="Arial" w:cs="Arial"/>
                <w:color w:val="000000"/>
                <w:sz w:val="18"/>
                <w:szCs w:val="18"/>
                <w:lang w:val="es-ES_tradnl" w:eastAsia="es-ES"/>
              </w:rPr>
            </w:pPr>
            <w:r w:rsidRPr="00536034">
              <w:rPr>
                <w:rFonts w:ascii="Arial" w:eastAsia="Arial" w:hAnsi="Arial" w:cs="Arial"/>
                <w:sz w:val="18"/>
                <w:szCs w:val="18"/>
              </w:rPr>
              <w:t xml:space="preserve">Fuente: </w:t>
            </w:r>
            <w:r w:rsidRPr="008B530F">
              <w:rPr>
                <w:rFonts w:ascii="Arial" w:eastAsia="Arial" w:hAnsi="Arial" w:cs="Arial"/>
                <w:sz w:val="18"/>
                <w:szCs w:val="18"/>
                <w:lang w:val="es-AR"/>
              </w:rPr>
              <w:t>Registro</w:t>
            </w:r>
            <w:r w:rsidRPr="00536034">
              <w:rPr>
                <w:rFonts w:ascii="Arial" w:eastAsia="Arial" w:hAnsi="Arial" w:cs="Arial"/>
                <w:sz w:val="18"/>
                <w:szCs w:val="18"/>
              </w:rPr>
              <w:t xml:space="preserve"> de SEPYME</w:t>
            </w:r>
          </w:p>
        </w:tc>
      </w:tr>
      <w:tr w:rsidR="007116B2" w:rsidRPr="001F731F" w14:paraId="6E0B1DE6" w14:textId="77777777" w:rsidTr="00D31FFA">
        <w:trPr>
          <w:trHeight w:val="320"/>
          <w:jc w:val="center"/>
        </w:trPr>
        <w:tc>
          <w:tcPr>
            <w:tcW w:w="8813" w:type="dxa"/>
            <w:gridSpan w:val="4"/>
            <w:tcBorders>
              <w:top w:val="single" w:sz="4" w:space="0" w:color="auto"/>
              <w:left w:val="single" w:sz="8" w:space="0" w:color="000000"/>
              <w:bottom w:val="single" w:sz="8" w:space="0" w:color="000000"/>
              <w:right w:val="single" w:sz="8" w:space="0" w:color="000000"/>
            </w:tcBorders>
            <w:shd w:val="clear" w:color="000000" w:fill="D9D9D9"/>
            <w:vAlign w:val="center"/>
            <w:hideMark/>
          </w:tcPr>
          <w:p w14:paraId="0538C5DB" w14:textId="77777777" w:rsidR="007116B2" w:rsidRPr="001F731F" w:rsidRDefault="007116B2" w:rsidP="00454CB5">
            <w:pPr>
              <w:spacing w:after="0" w:line="240" w:lineRule="auto"/>
              <w:jc w:val="center"/>
              <w:rPr>
                <w:rFonts w:ascii="Arial" w:eastAsia="Times New Roman" w:hAnsi="Arial" w:cs="Arial"/>
                <w:b/>
                <w:bCs/>
                <w:color w:val="000000"/>
                <w:sz w:val="18"/>
                <w:szCs w:val="18"/>
                <w:lang w:val="es-ES_tradnl" w:eastAsia="es-ES"/>
              </w:rPr>
            </w:pPr>
            <w:r w:rsidRPr="001F731F">
              <w:rPr>
                <w:rFonts w:ascii="Arial" w:eastAsia="Times New Roman" w:hAnsi="Arial" w:cs="Arial"/>
                <w:b/>
                <w:bCs/>
                <w:color w:val="000000"/>
                <w:sz w:val="18"/>
                <w:szCs w:val="18"/>
                <w:lang w:val="es-ES_tradnl" w:eastAsia="es-ES"/>
              </w:rPr>
              <w:t>Indicadores de Resultado</w:t>
            </w:r>
          </w:p>
        </w:tc>
      </w:tr>
      <w:tr w:rsidR="007116B2" w:rsidRPr="005336A4" w14:paraId="4465ED89" w14:textId="77777777" w:rsidTr="00D31FFA">
        <w:trPr>
          <w:trHeight w:val="320"/>
          <w:jc w:val="center"/>
        </w:trPr>
        <w:tc>
          <w:tcPr>
            <w:tcW w:w="8813" w:type="dxa"/>
            <w:gridSpan w:val="4"/>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B86FB5D" w14:textId="3586A2DD" w:rsidR="007116B2" w:rsidRPr="001F731F" w:rsidRDefault="0072599C" w:rsidP="00454CB5">
            <w:pPr>
              <w:spacing w:after="0" w:line="240" w:lineRule="auto"/>
              <w:jc w:val="both"/>
              <w:rPr>
                <w:rFonts w:ascii="Arial" w:eastAsia="Times New Roman" w:hAnsi="Arial" w:cs="Arial"/>
                <w:b/>
                <w:bCs/>
                <w:color w:val="000000"/>
                <w:sz w:val="18"/>
                <w:szCs w:val="18"/>
                <w:u w:val="single"/>
                <w:lang w:val="es-ES_tradnl" w:eastAsia="es-ES"/>
              </w:rPr>
            </w:pPr>
            <w:r>
              <w:rPr>
                <w:rFonts w:ascii="Arial" w:eastAsia="Times New Roman" w:hAnsi="Arial" w:cs="Arial"/>
                <w:b/>
                <w:bCs/>
                <w:color w:val="000000"/>
                <w:sz w:val="18"/>
                <w:szCs w:val="18"/>
                <w:u w:val="single"/>
                <w:lang w:val="es-ES_tradnl" w:eastAsia="es-ES"/>
              </w:rPr>
              <w:t>Objetivo específico 1</w:t>
            </w:r>
            <w:r w:rsidR="007116B2" w:rsidRPr="001F731F">
              <w:rPr>
                <w:rFonts w:ascii="Arial" w:eastAsia="Times New Roman" w:hAnsi="Arial" w:cs="Arial"/>
                <w:b/>
                <w:bCs/>
                <w:color w:val="000000"/>
                <w:sz w:val="18"/>
                <w:szCs w:val="18"/>
                <w:u w:val="single"/>
                <w:lang w:val="es-ES_tradnl" w:eastAsia="es-ES"/>
              </w:rPr>
              <w:t xml:space="preserve">: </w:t>
            </w:r>
            <w:r w:rsidR="007116B2">
              <w:rPr>
                <w:rFonts w:ascii="Arial" w:eastAsia="Times New Roman" w:hAnsi="Arial" w:cs="Arial"/>
                <w:b/>
                <w:bCs/>
                <w:color w:val="000000"/>
                <w:sz w:val="18"/>
                <w:szCs w:val="18"/>
                <w:u w:val="single"/>
                <w:lang w:val="es-ES_tradnl" w:eastAsia="es-ES"/>
              </w:rPr>
              <w:t>A</w:t>
            </w:r>
            <w:r>
              <w:rPr>
                <w:rFonts w:ascii="Arial" w:eastAsia="Times New Roman" w:hAnsi="Arial" w:cs="Arial"/>
                <w:b/>
                <w:bCs/>
                <w:color w:val="000000"/>
                <w:sz w:val="18"/>
                <w:szCs w:val="18"/>
                <w:u w:val="single"/>
                <w:lang w:val="es-ES_tradnl" w:eastAsia="es-ES"/>
              </w:rPr>
              <w:t>poyar la sostenibilidad financiera de corto plazo de las MIPYME</w:t>
            </w:r>
            <w:r w:rsidR="007116B2" w:rsidRPr="001F731F">
              <w:rPr>
                <w:rFonts w:ascii="Arial" w:eastAsia="Times New Roman" w:hAnsi="Arial" w:cs="Arial"/>
                <w:b/>
                <w:bCs/>
                <w:color w:val="000000"/>
                <w:sz w:val="18"/>
                <w:szCs w:val="18"/>
                <w:u w:val="single"/>
                <w:lang w:val="es-ES_tradnl" w:eastAsia="es-ES"/>
              </w:rPr>
              <w:t xml:space="preserve"> </w:t>
            </w:r>
          </w:p>
        </w:tc>
      </w:tr>
      <w:tr w:rsidR="00D27B51" w:rsidRPr="005336A4" w14:paraId="089FDA9F" w14:textId="77777777" w:rsidTr="00D27B51">
        <w:trPr>
          <w:trHeight w:val="320"/>
          <w:jc w:val="center"/>
        </w:trPr>
        <w:tc>
          <w:tcPr>
            <w:tcW w:w="8813"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78E51D3E" w14:textId="491B1EFA" w:rsidR="00D27B51" w:rsidRPr="00D27B51" w:rsidRDefault="00D27B51" w:rsidP="00D27B51">
            <w:pPr>
              <w:spacing w:after="0" w:line="240" w:lineRule="auto"/>
              <w:rPr>
                <w:rFonts w:ascii="Arial" w:eastAsia="Times New Roman" w:hAnsi="Arial" w:cs="Arial"/>
                <w:b/>
                <w:bCs/>
                <w:color w:val="000000"/>
                <w:sz w:val="18"/>
                <w:szCs w:val="18"/>
                <w:lang w:val="es-ES_tradnl" w:eastAsia="es-ES"/>
              </w:rPr>
            </w:pPr>
            <w:r w:rsidRPr="00D27B51">
              <w:rPr>
                <w:rFonts w:ascii="Arial" w:eastAsia="Arial" w:hAnsi="Arial" w:cs="Arial"/>
                <w:b/>
                <w:sz w:val="18"/>
                <w:szCs w:val="18"/>
                <w:lang w:val="es-ES"/>
              </w:rPr>
              <w:t>Apoyar la sostenibilidad financiera de corto plazo de las MIPYME a través de FONDEP</w:t>
            </w:r>
          </w:p>
        </w:tc>
      </w:tr>
      <w:tr w:rsidR="005164F8" w:rsidRPr="005336A4" w14:paraId="53F9F2FA" w14:textId="77777777" w:rsidTr="00D31FFA">
        <w:trPr>
          <w:trHeight w:val="1760"/>
          <w:jc w:val="center"/>
        </w:trPr>
        <w:tc>
          <w:tcPr>
            <w:tcW w:w="2102" w:type="dxa"/>
            <w:tcBorders>
              <w:top w:val="nil"/>
              <w:left w:val="single" w:sz="8" w:space="0" w:color="000000"/>
              <w:bottom w:val="single" w:sz="8" w:space="0" w:color="000000"/>
              <w:right w:val="single" w:sz="8" w:space="0" w:color="000000"/>
            </w:tcBorders>
            <w:shd w:val="clear" w:color="auto" w:fill="auto"/>
            <w:vAlign w:val="center"/>
          </w:tcPr>
          <w:p w14:paraId="155676F1" w14:textId="4227D0FC" w:rsidR="005164F8" w:rsidRPr="001F731F" w:rsidRDefault="005164F8" w:rsidP="00DD3FD0">
            <w:pPr>
              <w:spacing w:after="0" w:line="240" w:lineRule="auto"/>
              <w:jc w:val="both"/>
              <w:rPr>
                <w:rFonts w:ascii="Arial" w:eastAsia="Times New Roman" w:hAnsi="Arial" w:cs="Arial"/>
                <w:b/>
                <w:bCs/>
                <w:color w:val="000000"/>
                <w:sz w:val="18"/>
                <w:szCs w:val="18"/>
                <w:lang w:val="es-ES_tradnl" w:eastAsia="es-ES"/>
              </w:rPr>
            </w:pPr>
            <w:r w:rsidRPr="005164F8">
              <w:rPr>
                <w:rFonts w:ascii="Arial" w:eastAsia="Arial" w:hAnsi="Arial" w:cs="Arial"/>
                <w:b/>
                <w:sz w:val="18"/>
                <w:szCs w:val="18"/>
                <w:lang w:val="es-ES"/>
              </w:rPr>
              <w:lastRenderedPageBreak/>
              <w:t xml:space="preserve">Indicador 1. </w:t>
            </w:r>
            <w:r w:rsidRPr="005164F8">
              <w:rPr>
                <w:rFonts w:ascii="Arial" w:eastAsia="Arial" w:hAnsi="Arial" w:cs="Arial"/>
                <w:sz w:val="18"/>
                <w:szCs w:val="18"/>
                <w:lang w:val="es-ES"/>
              </w:rPr>
              <w:t xml:space="preserve">Tasa de mora relativa, a los 12 meses de comenzar el programa, en la cartera de financiamiento o garantía de capital de trabajo </w:t>
            </w:r>
            <w:r w:rsidR="002C012A">
              <w:rPr>
                <w:rFonts w:ascii="Arial" w:eastAsia="Arial" w:hAnsi="Arial" w:cs="Arial"/>
                <w:sz w:val="18"/>
                <w:szCs w:val="18"/>
                <w:lang w:val="es-ES"/>
              </w:rPr>
              <w:t xml:space="preserve">a la MIPYME </w:t>
            </w:r>
            <w:r w:rsidRPr="005164F8">
              <w:rPr>
                <w:rFonts w:ascii="Arial" w:eastAsia="Arial" w:hAnsi="Arial" w:cs="Arial"/>
                <w:sz w:val="18"/>
                <w:szCs w:val="18"/>
                <w:lang w:val="es-ES"/>
              </w:rPr>
              <w:t xml:space="preserve">frente a la tasa de mora de la banca pública. </w:t>
            </w:r>
          </w:p>
        </w:tc>
        <w:tc>
          <w:tcPr>
            <w:tcW w:w="1562" w:type="dxa"/>
            <w:tcBorders>
              <w:top w:val="nil"/>
              <w:left w:val="nil"/>
              <w:bottom w:val="single" w:sz="8" w:space="0" w:color="000000"/>
              <w:right w:val="single" w:sz="8" w:space="0" w:color="000000"/>
            </w:tcBorders>
            <w:shd w:val="clear" w:color="auto" w:fill="auto"/>
            <w:vAlign w:val="center"/>
          </w:tcPr>
          <w:p w14:paraId="311DAAAF" w14:textId="6F2B5851" w:rsidR="005164F8" w:rsidRPr="001F731F" w:rsidRDefault="004A0441" w:rsidP="005164F8">
            <w:pPr>
              <w:spacing w:after="0" w:line="240" w:lineRule="auto"/>
              <w:jc w:val="center"/>
              <w:rPr>
                <w:rFonts w:ascii="Arial" w:eastAsia="Times New Roman" w:hAnsi="Arial" w:cs="Arial"/>
                <w:color w:val="000000"/>
                <w:sz w:val="18"/>
                <w:szCs w:val="18"/>
                <w:lang w:val="es-ES_tradnl" w:eastAsia="es-ES"/>
              </w:rPr>
            </w:pPr>
            <w:r>
              <w:rPr>
                <w:rFonts w:ascii="Arial" w:eastAsia="Arial" w:hAnsi="Arial" w:cs="Arial"/>
                <w:sz w:val="18"/>
                <w:szCs w:val="18"/>
              </w:rPr>
              <w:t>Porcentaje</w:t>
            </w:r>
          </w:p>
        </w:tc>
        <w:tc>
          <w:tcPr>
            <w:tcW w:w="1497" w:type="dxa"/>
            <w:tcBorders>
              <w:top w:val="nil"/>
              <w:left w:val="nil"/>
              <w:bottom w:val="single" w:sz="8" w:space="0" w:color="000000"/>
              <w:right w:val="single" w:sz="8" w:space="0" w:color="000000"/>
            </w:tcBorders>
            <w:shd w:val="clear" w:color="auto" w:fill="auto"/>
            <w:vAlign w:val="center"/>
          </w:tcPr>
          <w:p w14:paraId="5A29B8B7" w14:textId="5939DB1C" w:rsidR="005164F8" w:rsidRPr="001F731F" w:rsidRDefault="005164F8" w:rsidP="00DD3FD0">
            <w:pPr>
              <w:spacing w:after="0" w:line="240" w:lineRule="auto"/>
              <w:jc w:val="both"/>
              <w:rPr>
                <w:rFonts w:ascii="Arial" w:eastAsia="Times New Roman" w:hAnsi="Arial" w:cs="Arial"/>
                <w:color w:val="000000"/>
                <w:sz w:val="18"/>
                <w:szCs w:val="18"/>
                <w:lang w:val="es-ES_tradnl" w:eastAsia="es-ES"/>
              </w:rPr>
            </w:pPr>
            <w:r w:rsidRPr="005164F8">
              <w:rPr>
                <w:rFonts w:ascii="Arial" w:eastAsia="Arial" w:hAnsi="Arial" w:cs="Arial"/>
                <w:color w:val="000000"/>
                <w:sz w:val="18"/>
                <w:szCs w:val="18"/>
                <w:lang w:val="es-ES"/>
              </w:rPr>
              <w:t>Información de seguimiento y monitoreo del programa recolectada por el OE; información de cartera de FONDEP; y Banco Central de la República Argentina (BCRA)</w:t>
            </w:r>
          </w:p>
        </w:tc>
        <w:tc>
          <w:tcPr>
            <w:tcW w:w="3652" w:type="dxa"/>
            <w:tcBorders>
              <w:top w:val="nil"/>
              <w:left w:val="nil"/>
              <w:bottom w:val="single" w:sz="8" w:space="0" w:color="000000"/>
              <w:right w:val="single" w:sz="8" w:space="0" w:color="000000"/>
            </w:tcBorders>
            <w:shd w:val="clear" w:color="auto" w:fill="auto"/>
            <w:vAlign w:val="center"/>
          </w:tcPr>
          <w:p w14:paraId="1F23B22A" w14:textId="07D6E080" w:rsidR="002C012A" w:rsidRDefault="002C012A" w:rsidP="005164F8">
            <w:pPr>
              <w:spacing w:after="0" w:line="240" w:lineRule="auto"/>
              <w:jc w:val="both"/>
              <w:rPr>
                <w:rFonts w:ascii="Arial" w:eastAsia="Arial" w:hAnsi="Arial" w:cs="Arial"/>
                <w:sz w:val="18"/>
                <w:szCs w:val="18"/>
                <w:lang w:val="es-ES"/>
              </w:rPr>
            </w:pPr>
            <w:r w:rsidRPr="002C012A">
              <w:rPr>
                <w:rFonts w:ascii="Arial" w:eastAsia="Arial" w:hAnsi="Arial" w:cs="Arial"/>
                <w:sz w:val="18"/>
                <w:szCs w:val="18"/>
                <w:lang w:val="es-ES"/>
              </w:rPr>
              <w:t>El ratio entre la mora de la cartera mencionada de FONDEP y la mora de la cartera total de la banca pública es de 1</w:t>
            </w:r>
            <w:r w:rsidR="004A0441">
              <w:rPr>
                <w:rFonts w:ascii="Arial" w:eastAsia="Arial" w:hAnsi="Arial" w:cs="Arial"/>
                <w:sz w:val="18"/>
                <w:szCs w:val="18"/>
                <w:lang w:val="es-ES"/>
              </w:rPr>
              <w:t>,</w:t>
            </w:r>
            <w:r w:rsidRPr="002C012A">
              <w:rPr>
                <w:rFonts w:ascii="Arial" w:eastAsia="Arial" w:hAnsi="Arial" w:cs="Arial"/>
                <w:sz w:val="18"/>
                <w:szCs w:val="18"/>
                <w:lang w:val="es-ES"/>
              </w:rPr>
              <w:t>06</w:t>
            </w:r>
            <w:r w:rsidR="004A0441">
              <w:rPr>
                <w:rFonts w:ascii="Arial" w:eastAsia="Arial" w:hAnsi="Arial" w:cs="Arial"/>
                <w:sz w:val="18"/>
                <w:szCs w:val="18"/>
                <w:lang w:val="es-ES"/>
              </w:rPr>
              <w:t>%</w:t>
            </w:r>
            <w:r w:rsidRPr="002C012A">
              <w:rPr>
                <w:rFonts w:ascii="Arial" w:eastAsia="Arial" w:hAnsi="Arial" w:cs="Arial"/>
                <w:sz w:val="18"/>
                <w:szCs w:val="18"/>
                <w:lang w:val="es-ES"/>
              </w:rPr>
              <w:t xml:space="preserve">. </w:t>
            </w:r>
            <w:r w:rsidR="001E6FF7" w:rsidRPr="001E6FF7">
              <w:rPr>
                <w:rFonts w:ascii="Arial" w:eastAsia="Arial" w:hAnsi="Arial" w:cs="Arial"/>
                <w:sz w:val="18"/>
                <w:szCs w:val="18"/>
                <w:lang w:val="es-ES"/>
              </w:rPr>
              <w:t>El numerador es la tasa de mora de la cartera de financiamiento de capital de trabajo de FONDEP y el denominador es la tasa de mora de la cartera total de la banca pública.</w:t>
            </w:r>
          </w:p>
          <w:p w14:paraId="0DA026B7" w14:textId="1BBF90D3" w:rsidR="005164F8" w:rsidRPr="001F731F" w:rsidRDefault="005164F8" w:rsidP="005164F8">
            <w:pPr>
              <w:spacing w:after="0" w:line="240" w:lineRule="auto"/>
              <w:jc w:val="both"/>
              <w:rPr>
                <w:rFonts w:ascii="Arial" w:eastAsia="Times New Roman" w:hAnsi="Arial" w:cs="Arial"/>
                <w:color w:val="000000"/>
                <w:sz w:val="18"/>
                <w:szCs w:val="18"/>
                <w:lang w:val="es-ES_tradnl" w:eastAsia="es-ES"/>
              </w:rPr>
            </w:pPr>
            <w:r w:rsidRPr="005164F8">
              <w:rPr>
                <w:rFonts w:ascii="Arial" w:eastAsia="Arial" w:hAnsi="Arial" w:cs="Arial"/>
                <w:sz w:val="18"/>
                <w:szCs w:val="18"/>
                <w:lang w:val="es-ES"/>
              </w:rPr>
              <w:t>Se espera mantener la relación observada en la situación precrisis.</w:t>
            </w:r>
          </w:p>
        </w:tc>
      </w:tr>
      <w:tr w:rsidR="005164F8" w:rsidRPr="005336A4" w14:paraId="0AC98F6D" w14:textId="77777777" w:rsidTr="00D31FFA">
        <w:trPr>
          <w:trHeight w:val="1320"/>
          <w:jc w:val="center"/>
        </w:trPr>
        <w:tc>
          <w:tcPr>
            <w:tcW w:w="2102" w:type="dxa"/>
            <w:tcBorders>
              <w:top w:val="single" w:sz="8" w:space="0" w:color="000000"/>
              <w:left w:val="single" w:sz="8" w:space="0" w:color="000000"/>
              <w:bottom w:val="single" w:sz="12" w:space="0" w:color="000000"/>
              <w:right w:val="single" w:sz="8" w:space="0" w:color="000000"/>
            </w:tcBorders>
            <w:shd w:val="clear" w:color="auto" w:fill="auto"/>
            <w:vAlign w:val="center"/>
          </w:tcPr>
          <w:p w14:paraId="36EB3903" w14:textId="3E5FEB21" w:rsidR="005164F8" w:rsidRPr="001F731F" w:rsidRDefault="005164F8" w:rsidP="00DD3FD0">
            <w:pPr>
              <w:spacing w:after="0" w:line="240" w:lineRule="auto"/>
              <w:jc w:val="both"/>
              <w:rPr>
                <w:rFonts w:ascii="Arial" w:eastAsia="Times New Roman" w:hAnsi="Arial" w:cs="Arial"/>
                <w:b/>
                <w:bCs/>
                <w:color w:val="000000"/>
                <w:sz w:val="18"/>
                <w:szCs w:val="18"/>
                <w:lang w:val="es-ES_tradnl" w:eastAsia="es-ES"/>
              </w:rPr>
            </w:pPr>
            <w:r w:rsidRPr="005164F8">
              <w:rPr>
                <w:rFonts w:ascii="Arial" w:eastAsia="Arial" w:hAnsi="Arial" w:cs="Arial"/>
                <w:b/>
                <w:sz w:val="18"/>
                <w:szCs w:val="18"/>
                <w:lang w:val="es-ES"/>
              </w:rPr>
              <w:t>Indicador 2</w:t>
            </w:r>
            <w:r w:rsidRPr="00DD3FD0">
              <w:rPr>
                <w:rFonts w:ascii="Arial" w:eastAsia="Arial" w:hAnsi="Arial" w:cs="Arial"/>
                <w:b/>
                <w:bCs/>
                <w:sz w:val="18"/>
                <w:szCs w:val="18"/>
                <w:lang w:val="es-ES"/>
              </w:rPr>
              <w:t>.</w:t>
            </w:r>
            <w:r w:rsidRPr="005164F8">
              <w:rPr>
                <w:rFonts w:ascii="Arial" w:eastAsia="Arial" w:hAnsi="Arial" w:cs="Arial"/>
                <w:sz w:val="18"/>
                <w:szCs w:val="18"/>
                <w:lang w:val="es-ES"/>
              </w:rPr>
              <w:t xml:space="preserve"> Tasa de mora relativa, a los 12 meses de comenzar el programa, de la cartera de deuda restructurada de MIPYME frente a la tasa de mora de la banca pública.</w:t>
            </w:r>
          </w:p>
        </w:tc>
        <w:tc>
          <w:tcPr>
            <w:tcW w:w="1562" w:type="dxa"/>
            <w:tcBorders>
              <w:top w:val="single" w:sz="8" w:space="0" w:color="000000"/>
              <w:left w:val="nil"/>
              <w:bottom w:val="single" w:sz="12" w:space="0" w:color="000000"/>
              <w:right w:val="single" w:sz="8" w:space="0" w:color="000000"/>
            </w:tcBorders>
            <w:shd w:val="clear" w:color="auto" w:fill="auto"/>
            <w:vAlign w:val="center"/>
          </w:tcPr>
          <w:p w14:paraId="78F6F9E9" w14:textId="1AE9B5BE" w:rsidR="005164F8" w:rsidRPr="001F731F" w:rsidRDefault="004A0441" w:rsidP="005164F8">
            <w:pPr>
              <w:spacing w:after="0" w:line="240" w:lineRule="auto"/>
              <w:jc w:val="center"/>
              <w:rPr>
                <w:rFonts w:ascii="Arial" w:eastAsia="Times New Roman" w:hAnsi="Arial" w:cs="Arial"/>
                <w:color w:val="000000"/>
                <w:sz w:val="18"/>
                <w:szCs w:val="18"/>
                <w:lang w:val="es-ES_tradnl" w:eastAsia="es-ES"/>
              </w:rPr>
            </w:pPr>
            <w:r>
              <w:rPr>
                <w:rFonts w:ascii="Arial" w:eastAsia="Arial" w:hAnsi="Arial" w:cs="Arial"/>
                <w:sz w:val="18"/>
                <w:szCs w:val="18"/>
              </w:rPr>
              <w:t>Porcentaje</w:t>
            </w:r>
          </w:p>
        </w:tc>
        <w:tc>
          <w:tcPr>
            <w:tcW w:w="1497" w:type="dxa"/>
            <w:tcBorders>
              <w:top w:val="single" w:sz="8" w:space="0" w:color="000000"/>
              <w:left w:val="nil"/>
              <w:bottom w:val="single" w:sz="12" w:space="0" w:color="000000"/>
              <w:right w:val="single" w:sz="8" w:space="0" w:color="000000"/>
            </w:tcBorders>
            <w:shd w:val="clear" w:color="auto" w:fill="auto"/>
            <w:vAlign w:val="center"/>
          </w:tcPr>
          <w:p w14:paraId="35DE46F9" w14:textId="12380F62" w:rsidR="005164F8" w:rsidRPr="001F731F" w:rsidRDefault="005164F8" w:rsidP="00DD3FD0">
            <w:pPr>
              <w:spacing w:after="0" w:line="240" w:lineRule="auto"/>
              <w:jc w:val="both"/>
              <w:rPr>
                <w:rFonts w:ascii="Arial" w:eastAsia="Times New Roman" w:hAnsi="Arial" w:cs="Arial"/>
                <w:color w:val="000000"/>
                <w:sz w:val="18"/>
                <w:szCs w:val="18"/>
                <w:lang w:val="es-ES_tradnl" w:eastAsia="es-ES"/>
              </w:rPr>
            </w:pPr>
            <w:r w:rsidRPr="005164F8">
              <w:rPr>
                <w:rFonts w:ascii="Arial" w:eastAsia="Arial" w:hAnsi="Arial" w:cs="Arial"/>
                <w:color w:val="000000"/>
                <w:sz w:val="18"/>
                <w:szCs w:val="18"/>
                <w:lang w:val="es-ES"/>
              </w:rPr>
              <w:t>Información de seguimiento y monitoreo del programa recolectada por el OE; información de cartera de FONDEP; y BCRA.</w:t>
            </w:r>
          </w:p>
        </w:tc>
        <w:tc>
          <w:tcPr>
            <w:tcW w:w="3652" w:type="dxa"/>
            <w:tcBorders>
              <w:top w:val="single" w:sz="8" w:space="0" w:color="000000"/>
              <w:left w:val="nil"/>
              <w:bottom w:val="single" w:sz="12" w:space="0" w:color="000000"/>
              <w:right w:val="single" w:sz="8" w:space="0" w:color="000000"/>
            </w:tcBorders>
            <w:shd w:val="clear" w:color="auto" w:fill="auto"/>
            <w:vAlign w:val="center"/>
          </w:tcPr>
          <w:p w14:paraId="5BF66E91" w14:textId="753F9F53" w:rsidR="002C012A" w:rsidRDefault="002C012A" w:rsidP="005164F8">
            <w:pPr>
              <w:spacing w:after="0" w:line="240" w:lineRule="auto"/>
              <w:jc w:val="both"/>
              <w:rPr>
                <w:rFonts w:ascii="Arial" w:eastAsia="Arial" w:hAnsi="Arial" w:cs="Arial"/>
                <w:sz w:val="18"/>
                <w:szCs w:val="18"/>
                <w:lang w:val="es-ES"/>
              </w:rPr>
            </w:pPr>
            <w:r w:rsidRPr="002C012A">
              <w:rPr>
                <w:rFonts w:ascii="Arial" w:eastAsia="Arial" w:hAnsi="Arial" w:cs="Arial"/>
                <w:sz w:val="18"/>
                <w:szCs w:val="18"/>
                <w:lang w:val="es-ES"/>
              </w:rPr>
              <w:t>El ratio entre la mora de la cartera mencionada de FONDEP y la mora de la cartera total de la banca pública es de 1</w:t>
            </w:r>
            <w:r w:rsidR="004A0441">
              <w:rPr>
                <w:rFonts w:ascii="Arial" w:eastAsia="Arial" w:hAnsi="Arial" w:cs="Arial"/>
                <w:sz w:val="18"/>
                <w:szCs w:val="18"/>
                <w:lang w:val="es-ES"/>
              </w:rPr>
              <w:t>,</w:t>
            </w:r>
            <w:r w:rsidRPr="002C012A">
              <w:rPr>
                <w:rFonts w:ascii="Arial" w:eastAsia="Arial" w:hAnsi="Arial" w:cs="Arial"/>
                <w:sz w:val="18"/>
                <w:szCs w:val="18"/>
                <w:lang w:val="es-ES"/>
              </w:rPr>
              <w:t>90</w:t>
            </w:r>
            <w:r w:rsidR="004A0441">
              <w:rPr>
                <w:rFonts w:ascii="Arial" w:eastAsia="Arial" w:hAnsi="Arial" w:cs="Arial"/>
                <w:sz w:val="18"/>
                <w:szCs w:val="18"/>
                <w:lang w:val="es-ES"/>
              </w:rPr>
              <w:t>%</w:t>
            </w:r>
            <w:r>
              <w:rPr>
                <w:rFonts w:ascii="Arial" w:eastAsia="Arial" w:hAnsi="Arial" w:cs="Arial"/>
                <w:sz w:val="18"/>
                <w:szCs w:val="18"/>
                <w:lang w:val="es-ES"/>
              </w:rPr>
              <w:t>.</w:t>
            </w:r>
            <w:r w:rsidR="001E6FF7">
              <w:rPr>
                <w:rFonts w:ascii="Arial" w:eastAsia="Arial" w:hAnsi="Arial" w:cs="Arial"/>
                <w:sz w:val="18"/>
                <w:szCs w:val="18"/>
                <w:lang w:val="es-ES"/>
              </w:rPr>
              <w:t xml:space="preserve"> </w:t>
            </w:r>
            <w:r w:rsidR="001E6FF7" w:rsidRPr="001E6FF7">
              <w:rPr>
                <w:rFonts w:ascii="Arial" w:eastAsia="Arial" w:hAnsi="Arial" w:cs="Arial"/>
                <w:sz w:val="18"/>
                <w:szCs w:val="18"/>
                <w:lang w:val="es-ES"/>
              </w:rPr>
              <w:t>El numerador es la tasa de mora de la cartera de financiamiento de deuda restructurada de FONDEP y el denominador es la tasa de mora de la cartera total de la banca pública.</w:t>
            </w:r>
          </w:p>
          <w:p w14:paraId="2B558484" w14:textId="4E638BC9" w:rsidR="005164F8" w:rsidRPr="001F731F" w:rsidRDefault="005164F8" w:rsidP="005164F8">
            <w:pPr>
              <w:spacing w:after="0" w:line="240" w:lineRule="auto"/>
              <w:jc w:val="both"/>
              <w:rPr>
                <w:rFonts w:ascii="Arial" w:eastAsia="Times New Roman" w:hAnsi="Arial" w:cs="Arial"/>
                <w:color w:val="000000"/>
                <w:sz w:val="18"/>
                <w:szCs w:val="18"/>
                <w:lang w:val="es-ES_tradnl" w:eastAsia="es-ES"/>
              </w:rPr>
            </w:pPr>
            <w:r w:rsidRPr="005164F8">
              <w:rPr>
                <w:rFonts w:ascii="Arial" w:eastAsia="Arial" w:hAnsi="Arial" w:cs="Arial"/>
                <w:sz w:val="18"/>
                <w:szCs w:val="18"/>
                <w:lang w:val="es-ES"/>
              </w:rPr>
              <w:t>Se espera mantener la relación observada en la situación precrisis.</w:t>
            </w:r>
          </w:p>
        </w:tc>
      </w:tr>
      <w:tr w:rsidR="005164F8" w:rsidRPr="005336A4" w14:paraId="35027F0B" w14:textId="77777777" w:rsidTr="00DD3FD0">
        <w:trPr>
          <w:trHeight w:val="672"/>
          <w:jc w:val="center"/>
        </w:trPr>
        <w:tc>
          <w:tcPr>
            <w:tcW w:w="2102" w:type="dxa"/>
            <w:tcBorders>
              <w:top w:val="single" w:sz="12" w:space="0" w:color="000000"/>
              <w:left w:val="single" w:sz="8" w:space="0" w:color="000000"/>
              <w:bottom w:val="nil"/>
              <w:right w:val="single" w:sz="8" w:space="0" w:color="000000"/>
            </w:tcBorders>
            <w:shd w:val="clear" w:color="auto" w:fill="auto"/>
            <w:vAlign w:val="center"/>
          </w:tcPr>
          <w:p w14:paraId="71900968" w14:textId="72005C4D" w:rsidR="005164F8" w:rsidRPr="001F731F" w:rsidRDefault="005164F8" w:rsidP="00DD3FD0">
            <w:pPr>
              <w:spacing w:after="0" w:line="240" w:lineRule="auto"/>
              <w:jc w:val="both"/>
              <w:rPr>
                <w:rFonts w:ascii="Arial" w:eastAsia="Times New Roman" w:hAnsi="Arial" w:cs="Arial"/>
                <w:b/>
                <w:bCs/>
                <w:color w:val="000000"/>
                <w:sz w:val="18"/>
                <w:szCs w:val="18"/>
                <w:lang w:val="es-ES_tradnl" w:eastAsia="es-ES"/>
              </w:rPr>
            </w:pPr>
            <w:r w:rsidRPr="005164F8">
              <w:rPr>
                <w:rFonts w:ascii="Arial" w:eastAsia="Arial" w:hAnsi="Arial" w:cs="Arial"/>
                <w:b/>
                <w:sz w:val="18"/>
                <w:szCs w:val="18"/>
                <w:lang w:val="es-ES"/>
              </w:rPr>
              <w:t xml:space="preserve">Indicador 3. </w:t>
            </w:r>
            <w:r w:rsidRPr="005164F8">
              <w:rPr>
                <w:rFonts w:ascii="Arial" w:eastAsia="Arial" w:hAnsi="Arial" w:cs="Arial"/>
                <w:sz w:val="18"/>
                <w:szCs w:val="18"/>
                <w:lang w:val="es-ES"/>
              </w:rPr>
              <w:t>Tasa de supervivencia de empresas apoyadas con instrumentos de financiamiento a corto plazo hasta 24 meses después de la declaración de pandemia por enfermedad del COVID-19.</w:t>
            </w:r>
          </w:p>
        </w:tc>
        <w:tc>
          <w:tcPr>
            <w:tcW w:w="1562" w:type="dxa"/>
            <w:tcBorders>
              <w:top w:val="single" w:sz="12" w:space="0" w:color="000000"/>
              <w:left w:val="nil"/>
              <w:bottom w:val="nil"/>
              <w:right w:val="single" w:sz="8" w:space="0" w:color="000000"/>
            </w:tcBorders>
            <w:shd w:val="clear" w:color="auto" w:fill="auto"/>
            <w:vAlign w:val="center"/>
          </w:tcPr>
          <w:p w14:paraId="3DC5DF8E" w14:textId="3E0E0780" w:rsidR="005164F8" w:rsidRPr="001F731F" w:rsidRDefault="005164F8" w:rsidP="005164F8">
            <w:pPr>
              <w:spacing w:after="0" w:line="240" w:lineRule="auto"/>
              <w:jc w:val="center"/>
              <w:rPr>
                <w:rFonts w:ascii="Arial" w:eastAsia="Times New Roman" w:hAnsi="Arial" w:cs="Arial"/>
                <w:color w:val="000000"/>
                <w:sz w:val="18"/>
                <w:szCs w:val="18"/>
                <w:lang w:val="es-ES_tradnl" w:eastAsia="es-ES"/>
              </w:rPr>
            </w:pPr>
            <w:r>
              <w:rPr>
                <w:rFonts w:ascii="Arial" w:hAnsi="Arial" w:cs="Arial"/>
                <w:sz w:val="18"/>
                <w:szCs w:val="18"/>
                <w:lang w:val="es-ES"/>
              </w:rPr>
              <w:t>%</w:t>
            </w:r>
          </w:p>
        </w:tc>
        <w:tc>
          <w:tcPr>
            <w:tcW w:w="1497" w:type="dxa"/>
            <w:tcBorders>
              <w:top w:val="single" w:sz="12" w:space="0" w:color="000000"/>
              <w:left w:val="nil"/>
              <w:bottom w:val="nil"/>
              <w:right w:val="single" w:sz="8" w:space="0" w:color="000000"/>
            </w:tcBorders>
            <w:shd w:val="clear" w:color="auto" w:fill="auto"/>
            <w:vAlign w:val="center"/>
          </w:tcPr>
          <w:p w14:paraId="6B1E1F54" w14:textId="59A4FA5A" w:rsidR="005164F8" w:rsidRPr="001F731F" w:rsidRDefault="005164F8" w:rsidP="00DD3FD0">
            <w:pPr>
              <w:spacing w:after="0" w:line="240" w:lineRule="auto"/>
              <w:jc w:val="both"/>
              <w:rPr>
                <w:rFonts w:ascii="Arial" w:eastAsia="Times New Roman" w:hAnsi="Arial" w:cs="Arial"/>
                <w:color w:val="000000"/>
                <w:sz w:val="18"/>
                <w:szCs w:val="18"/>
                <w:lang w:val="es-ES_tradnl" w:eastAsia="es-ES"/>
              </w:rPr>
            </w:pPr>
            <w:r w:rsidRPr="001F731F">
              <w:rPr>
                <w:rFonts w:ascii="Arial" w:eastAsia="Times New Roman" w:hAnsi="Arial" w:cs="Arial"/>
                <w:color w:val="000000"/>
                <w:sz w:val="18"/>
                <w:szCs w:val="18"/>
                <w:lang w:val="es-ES_tradnl" w:eastAsia="es-ES"/>
              </w:rPr>
              <w:t xml:space="preserve">Información de seguimiento y monitoreo </w:t>
            </w:r>
            <w:r>
              <w:rPr>
                <w:rFonts w:ascii="Arial" w:eastAsia="Times New Roman" w:hAnsi="Arial" w:cs="Arial"/>
                <w:color w:val="000000"/>
                <w:sz w:val="18"/>
                <w:szCs w:val="18"/>
                <w:lang w:val="es-ES_tradnl" w:eastAsia="es-ES"/>
              </w:rPr>
              <w:t>del programa recolectada po</w:t>
            </w:r>
            <w:r w:rsidRPr="001F731F">
              <w:rPr>
                <w:rFonts w:ascii="Arial" w:eastAsia="Times New Roman" w:hAnsi="Arial" w:cs="Arial"/>
                <w:color w:val="000000"/>
                <w:sz w:val="18"/>
                <w:szCs w:val="18"/>
                <w:lang w:val="es-ES_tradnl" w:eastAsia="es-ES"/>
              </w:rPr>
              <w:t xml:space="preserve">r </w:t>
            </w:r>
            <w:r>
              <w:rPr>
                <w:rFonts w:ascii="Arial" w:eastAsia="Times New Roman" w:hAnsi="Arial" w:cs="Arial"/>
                <w:color w:val="000000"/>
                <w:sz w:val="18"/>
                <w:szCs w:val="18"/>
                <w:lang w:val="es-ES_tradnl" w:eastAsia="es-ES"/>
              </w:rPr>
              <w:t>el OE</w:t>
            </w:r>
          </w:p>
        </w:tc>
        <w:tc>
          <w:tcPr>
            <w:tcW w:w="3652" w:type="dxa"/>
            <w:tcBorders>
              <w:top w:val="single" w:sz="12" w:space="0" w:color="000000"/>
              <w:left w:val="nil"/>
              <w:bottom w:val="nil"/>
              <w:right w:val="single" w:sz="8" w:space="0" w:color="000000"/>
            </w:tcBorders>
            <w:shd w:val="clear" w:color="auto" w:fill="auto"/>
            <w:vAlign w:val="center"/>
          </w:tcPr>
          <w:p w14:paraId="40416048" w14:textId="3C454D0A" w:rsidR="005164F8" w:rsidRPr="005164F8" w:rsidRDefault="005164F8" w:rsidP="005164F8">
            <w:pPr>
              <w:spacing w:before="120" w:after="120" w:line="240" w:lineRule="auto"/>
              <w:jc w:val="both"/>
              <w:rPr>
                <w:rFonts w:ascii="Arial" w:eastAsia="Arial" w:hAnsi="Arial" w:cs="Arial"/>
                <w:sz w:val="18"/>
                <w:szCs w:val="18"/>
                <w:lang w:val="es-ES"/>
              </w:rPr>
            </w:pPr>
            <w:r w:rsidRPr="005164F8">
              <w:rPr>
                <w:rFonts w:ascii="Arial" w:eastAsia="Arial" w:hAnsi="Arial" w:cs="Arial"/>
                <w:sz w:val="18"/>
                <w:szCs w:val="18"/>
                <w:lang w:val="es-ES"/>
              </w:rPr>
              <w:t xml:space="preserve">Medido como las empresas que, recibiendo apoyo del programa, permanecen </w:t>
            </w:r>
            <w:r w:rsidR="002C012A">
              <w:rPr>
                <w:rFonts w:ascii="Arial" w:eastAsia="Arial" w:hAnsi="Arial" w:cs="Arial"/>
                <w:sz w:val="18"/>
                <w:szCs w:val="18"/>
                <w:lang w:val="es-ES"/>
              </w:rPr>
              <w:t>en situación de alta</w:t>
            </w:r>
            <w:r w:rsidR="002C012A" w:rsidRPr="005164F8">
              <w:rPr>
                <w:rFonts w:ascii="Arial" w:eastAsia="Arial" w:hAnsi="Arial" w:cs="Arial"/>
                <w:sz w:val="18"/>
                <w:szCs w:val="18"/>
                <w:lang w:val="es-ES"/>
              </w:rPr>
              <w:t xml:space="preserve"> </w:t>
            </w:r>
            <w:r w:rsidRPr="005164F8">
              <w:rPr>
                <w:rFonts w:ascii="Arial" w:eastAsia="Arial" w:hAnsi="Arial" w:cs="Arial"/>
                <w:sz w:val="18"/>
                <w:szCs w:val="18"/>
                <w:lang w:val="es-ES"/>
              </w:rPr>
              <w:t xml:space="preserve">en la AFIP 24 meses después de la declaración de pandemia por enfermedad del COVID-19 sobre el total de las empresas apoyadas. El seguimiento se hará excluyendo monotributistas por la posible falta de comparabilidad en criterios de actividad con el resto de MIPYME. </w:t>
            </w:r>
            <w:r w:rsidR="002C012A" w:rsidRPr="002C012A">
              <w:rPr>
                <w:rFonts w:ascii="Arial" w:eastAsia="Arial" w:hAnsi="Arial" w:cs="Arial"/>
                <w:sz w:val="18"/>
                <w:szCs w:val="18"/>
                <w:lang w:val="es-ES"/>
              </w:rPr>
              <w:t>En caso de estar disponible la información se hará seguimiento de este indicador de manera separada para monotributistas.</w:t>
            </w:r>
          </w:p>
          <w:p w14:paraId="0DBCAD44" w14:textId="106A37E9" w:rsidR="00A74B65" w:rsidRPr="005164F8" w:rsidRDefault="00A74B65" w:rsidP="001E6FF7">
            <w:pPr>
              <w:spacing w:before="120" w:after="120" w:line="240" w:lineRule="auto"/>
              <w:jc w:val="both"/>
              <w:rPr>
                <w:rFonts w:ascii="Arial" w:eastAsia="Arial" w:hAnsi="Arial" w:cs="Arial"/>
                <w:sz w:val="18"/>
                <w:szCs w:val="18"/>
                <w:lang w:val="es-ES"/>
              </w:rPr>
            </w:pPr>
            <w:r w:rsidRPr="00A74B65">
              <w:rPr>
                <w:rFonts w:ascii="Arial" w:eastAsia="Arial" w:hAnsi="Arial" w:cs="Arial"/>
                <w:sz w:val="18"/>
                <w:szCs w:val="18"/>
                <w:lang w:val="es-ES"/>
              </w:rPr>
              <w:t>La línea de base se corresponde con los datos relevados a mayo 2020 en el contexto de crisis del COVID-19 según el último informe de la Fundación Observatorio PYME sobre las empresas en riesgo de cierre permanente. Se espera que con el apoyo del programa se vuelva al nivel de riesgo de quiebra observado precrisis, es decir, que se vuelva a una tasa de supervivencia del 9</w:t>
            </w:r>
            <w:r w:rsidR="001E6FF7">
              <w:rPr>
                <w:rFonts w:ascii="Arial" w:eastAsia="Arial" w:hAnsi="Arial" w:cs="Arial"/>
                <w:sz w:val="18"/>
                <w:szCs w:val="18"/>
                <w:lang w:val="es-ES"/>
              </w:rPr>
              <w:t>7</w:t>
            </w:r>
            <w:r w:rsidRPr="00A74B65">
              <w:rPr>
                <w:rFonts w:ascii="Arial" w:eastAsia="Arial" w:hAnsi="Arial" w:cs="Arial"/>
                <w:sz w:val="18"/>
                <w:szCs w:val="18"/>
                <w:lang w:val="es-ES"/>
              </w:rPr>
              <w:t>% cercano a lo observado para el periodo 2015-2019 según datos de la AFIP</w:t>
            </w:r>
            <w:r>
              <w:rPr>
                <w:rFonts w:ascii="Arial" w:eastAsia="Arial" w:hAnsi="Arial" w:cs="Arial"/>
                <w:sz w:val="18"/>
                <w:szCs w:val="18"/>
                <w:lang w:val="es-ES"/>
              </w:rPr>
              <w:t>.</w:t>
            </w:r>
          </w:p>
          <w:p w14:paraId="7DA4C40F" w14:textId="67756208" w:rsidR="005164F8" w:rsidRPr="005164F8" w:rsidRDefault="005164F8" w:rsidP="005164F8">
            <w:pPr>
              <w:spacing w:after="0" w:line="240" w:lineRule="auto"/>
              <w:jc w:val="both"/>
              <w:rPr>
                <w:rFonts w:ascii="Arial" w:eastAsia="Times New Roman" w:hAnsi="Arial" w:cs="Arial"/>
                <w:color w:val="000000"/>
                <w:sz w:val="18"/>
                <w:szCs w:val="18"/>
                <w:lang w:val="es-ES" w:eastAsia="es-ES"/>
              </w:rPr>
            </w:pPr>
          </w:p>
        </w:tc>
      </w:tr>
      <w:tr w:rsidR="005164F8" w:rsidRPr="005336A4" w14:paraId="2BADBB76" w14:textId="77777777" w:rsidTr="00376D49">
        <w:trPr>
          <w:trHeight w:val="320"/>
          <w:jc w:val="center"/>
        </w:trPr>
        <w:tc>
          <w:tcPr>
            <w:tcW w:w="8813"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38D7037E" w14:textId="674F198C" w:rsidR="005164F8" w:rsidRPr="00D27B51" w:rsidRDefault="005164F8" w:rsidP="00376D49">
            <w:pPr>
              <w:spacing w:after="0" w:line="240" w:lineRule="auto"/>
              <w:rPr>
                <w:rFonts w:ascii="Arial" w:eastAsia="Times New Roman" w:hAnsi="Arial" w:cs="Arial"/>
                <w:b/>
                <w:bCs/>
                <w:color w:val="000000"/>
                <w:sz w:val="18"/>
                <w:szCs w:val="18"/>
                <w:lang w:val="es-ES_tradnl" w:eastAsia="es-ES"/>
              </w:rPr>
            </w:pPr>
            <w:r w:rsidRPr="00D27B51">
              <w:rPr>
                <w:rFonts w:ascii="Arial" w:eastAsia="Arial" w:hAnsi="Arial" w:cs="Arial"/>
                <w:b/>
                <w:sz w:val="18"/>
                <w:szCs w:val="18"/>
                <w:lang w:val="es-ES"/>
              </w:rPr>
              <w:t xml:space="preserve">Apoyar la sostenibilidad financiera de corto plazo de las MIPYME a través de </w:t>
            </w:r>
            <w:r>
              <w:rPr>
                <w:rFonts w:ascii="Arial" w:eastAsia="Arial" w:hAnsi="Arial" w:cs="Arial"/>
                <w:b/>
                <w:sz w:val="18"/>
                <w:szCs w:val="18"/>
                <w:lang w:val="es-ES"/>
              </w:rPr>
              <w:t>FOGAR</w:t>
            </w:r>
          </w:p>
        </w:tc>
      </w:tr>
      <w:tr w:rsidR="005164F8" w:rsidRPr="005336A4" w14:paraId="6A3B5830" w14:textId="77777777" w:rsidTr="00D31FFA">
        <w:trPr>
          <w:trHeight w:val="2100"/>
          <w:jc w:val="center"/>
        </w:trPr>
        <w:tc>
          <w:tcPr>
            <w:tcW w:w="2102" w:type="dxa"/>
            <w:tcBorders>
              <w:top w:val="single" w:sz="8" w:space="0" w:color="000000"/>
              <w:left w:val="single" w:sz="8" w:space="0" w:color="000000"/>
              <w:bottom w:val="nil"/>
              <w:right w:val="single" w:sz="8" w:space="0" w:color="000000"/>
            </w:tcBorders>
            <w:shd w:val="clear" w:color="auto" w:fill="auto"/>
            <w:vAlign w:val="center"/>
          </w:tcPr>
          <w:p w14:paraId="12531766" w14:textId="60B38332" w:rsidR="005164F8" w:rsidRPr="001F731F" w:rsidRDefault="005164F8" w:rsidP="00DD3FD0">
            <w:pPr>
              <w:spacing w:after="0" w:line="240" w:lineRule="auto"/>
              <w:jc w:val="both"/>
              <w:rPr>
                <w:rFonts w:ascii="Arial" w:eastAsia="Times New Roman" w:hAnsi="Arial" w:cs="Arial"/>
                <w:b/>
                <w:bCs/>
                <w:color w:val="000000"/>
                <w:sz w:val="18"/>
                <w:szCs w:val="18"/>
                <w:lang w:val="es-ES_tradnl" w:eastAsia="es-ES"/>
              </w:rPr>
            </w:pPr>
            <w:r w:rsidRPr="005164F8">
              <w:rPr>
                <w:rFonts w:ascii="Arial" w:eastAsia="Arial" w:hAnsi="Arial" w:cs="Arial"/>
                <w:b/>
                <w:sz w:val="18"/>
                <w:szCs w:val="18"/>
                <w:lang w:val="es-ES"/>
              </w:rPr>
              <w:lastRenderedPageBreak/>
              <w:t xml:space="preserve">Indicador 4. </w:t>
            </w:r>
            <w:r w:rsidRPr="005164F8">
              <w:rPr>
                <w:rFonts w:ascii="Arial" w:eastAsia="Arial" w:hAnsi="Arial" w:cs="Arial"/>
                <w:sz w:val="18"/>
                <w:szCs w:val="18"/>
                <w:lang w:val="es-ES"/>
              </w:rPr>
              <w:t xml:space="preserve">Tasa de mora relativa, a los 12 meses de comenzar el programa, en la cartera de financiamiento o garantía de capital de trabajo </w:t>
            </w:r>
            <w:r w:rsidR="002C012A">
              <w:rPr>
                <w:rFonts w:ascii="Arial" w:eastAsia="Arial" w:hAnsi="Arial" w:cs="Arial"/>
                <w:sz w:val="18"/>
                <w:szCs w:val="18"/>
                <w:lang w:val="es-ES"/>
              </w:rPr>
              <w:t xml:space="preserve">a la MIPYME </w:t>
            </w:r>
            <w:r w:rsidRPr="005164F8">
              <w:rPr>
                <w:rFonts w:ascii="Arial" w:eastAsia="Arial" w:hAnsi="Arial" w:cs="Arial"/>
                <w:sz w:val="18"/>
                <w:szCs w:val="18"/>
                <w:lang w:val="es-ES"/>
              </w:rPr>
              <w:t>frente a la tasa de mora de las sociedades de garantía recíproca.</w:t>
            </w:r>
          </w:p>
        </w:tc>
        <w:tc>
          <w:tcPr>
            <w:tcW w:w="1562" w:type="dxa"/>
            <w:tcBorders>
              <w:top w:val="single" w:sz="8" w:space="0" w:color="000000"/>
              <w:left w:val="nil"/>
              <w:bottom w:val="nil"/>
              <w:right w:val="single" w:sz="8" w:space="0" w:color="000000"/>
            </w:tcBorders>
            <w:shd w:val="clear" w:color="auto" w:fill="auto"/>
            <w:vAlign w:val="center"/>
          </w:tcPr>
          <w:p w14:paraId="18B54E3E" w14:textId="5140A52F" w:rsidR="005164F8" w:rsidRPr="001F731F" w:rsidRDefault="004A0441" w:rsidP="005164F8">
            <w:pPr>
              <w:spacing w:after="0" w:line="240" w:lineRule="auto"/>
              <w:jc w:val="center"/>
              <w:rPr>
                <w:rFonts w:ascii="Arial" w:eastAsia="Times New Roman" w:hAnsi="Arial" w:cs="Arial"/>
                <w:color w:val="000000"/>
                <w:sz w:val="18"/>
                <w:szCs w:val="18"/>
                <w:lang w:val="es-ES_tradnl" w:eastAsia="es-ES"/>
              </w:rPr>
            </w:pPr>
            <w:r>
              <w:rPr>
                <w:rFonts w:ascii="Arial" w:eastAsia="Arial" w:hAnsi="Arial" w:cs="Arial"/>
                <w:sz w:val="18"/>
                <w:szCs w:val="18"/>
              </w:rPr>
              <w:t>Porcentaje</w:t>
            </w:r>
          </w:p>
        </w:tc>
        <w:tc>
          <w:tcPr>
            <w:tcW w:w="1497" w:type="dxa"/>
            <w:tcBorders>
              <w:top w:val="single" w:sz="8" w:space="0" w:color="000000"/>
              <w:left w:val="nil"/>
              <w:bottom w:val="nil"/>
              <w:right w:val="single" w:sz="8" w:space="0" w:color="000000"/>
            </w:tcBorders>
            <w:shd w:val="clear" w:color="auto" w:fill="auto"/>
            <w:vAlign w:val="center"/>
          </w:tcPr>
          <w:p w14:paraId="7E875E1C" w14:textId="04B6DF6C" w:rsidR="005164F8" w:rsidRPr="001F731F" w:rsidRDefault="005164F8" w:rsidP="00DD3FD0">
            <w:pPr>
              <w:spacing w:after="0" w:line="240" w:lineRule="auto"/>
              <w:jc w:val="both"/>
              <w:rPr>
                <w:rFonts w:ascii="Arial" w:eastAsia="Times New Roman" w:hAnsi="Arial" w:cs="Arial"/>
                <w:color w:val="000000"/>
                <w:sz w:val="18"/>
                <w:szCs w:val="18"/>
                <w:lang w:val="es-ES_tradnl" w:eastAsia="es-ES"/>
              </w:rPr>
            </w:pPr>
            <w:r w:rsidRPr="005164F8">
              <w:rPr>
                <w:rFonts w:ascii="Arial" w:eastAsia="Arial" w:hAnsi="Arial" w:cs="Arial"/>
                <w:color w:val="000000"/>
                <w:sz w:val="18"/>
                <w:szCs w:val="18"/>
                <w:lang w:val="es-ES"/>
              </w:rPr>
              <w:t>Información de seguimiento y monitoreo del programa recolectada por el OE; información de cartera de FOGAR; y BCRA.</w:t>
            </w:r>
          </w:p>
        </w:tc>
        <w:tc>
          <w:tcPr>
            <w:tcW w:w="3652" w:type="dxa"/>
            <w:tcBorders>
              <w:top w:val="single" w:sz="8" w:space="0" w:color="000000"/>
              <w:left w:val="nil"/>
              <w:bottom w:val="nil"/>
              <w:right w:val="single" w:sz="8" w:space="0" w:color="000000"/>
            </w:tcBorders>
            <w:shd w:val="clear" w:color="auto" w:fill="auto"/>
            <w:vAlign w:val="center"/>
          </w:tcPr>
          <w:p w14:paraId="24C9F2CF" w14:textId="77777777" w:rsidR="001E6FF7" w:rsidRDefault="001E6FF7" w:rsidP="005164F8">
            <w:pPr>
              <w:spacing w:after="0" w:line="240" w:lineRule="auto"/>
              <w:jc w:val="both"/>
              <w:rPr>
                <w:rFonts w:ascii="Arial" w:eastAsia="Arial" w:hAnsi="Arial" w:cs="Arial"/>
                <w:sz w:val="18"/>
                <w:szCs w:val="18"/>
                <w:lang w:val="es-ES"/>
              </w:rPr>
            </w:pPr>
            <w:r w:rsidRPr="001E6FF7">
              <w:rPr>
                <w:rFonts w:ascii="Arial" w:eastAsia="Arial" w:hAnsi="Arial" w:cs="Arial"/>
                <w:sz w:val="18"/>
                <w:szCs w:val="18"/>
                <w:lang w:val="es-ES"/>
              </w:rPr>
              <w:t>El numerador es la tasa de mora de la cartera garantizada de capital de trabajo por FOGAR y el denominador es la tasa de mora de la cartera total de la banca pública.</w:t>
            </w:r>
            <w:r>
              <w:rPr>
                <w:rFonts w:ascii="Arial" w:eastAsia="Arial" w:hAnsi="Arial" w:cs="Arial"/>
                <w:sz w:val="18"/>
                <w:szCs w:val="18"/>
                <w:lang w:val="es-ES"/>
              </w:rPr>
              <w:t xml:space="preserve"> </w:t>
            </w:r>
          </w:p>
          <w:p w14:paraId="2A326437" w14:textId="3F4A69CF" w:rsidR="005164F8" w:rsidRPr="001F731F" w:rsidRDefault="005164F8" w:rsidP="005164F8">
            <w:pPr>
              <w:spacing w:after="0" w:line="240" w:lineRule="auto"/>
              <w:jc w:val="both"/>
              <w:rPr>
                <w:rFonts w:ascii="Arial" w:eastAsia="Times New Roman" w:hAnsi="Arial" w:cs="Arial"/>
                <w:color w:val="000000"/>
                <w:sz w:val="18"/>
                <w:szCs w:val="18"/>
                <w:lang w:val="es-ES_tradnl" w:eastAsia="es-ES"/>
              </w:rPr>
            </w:pPr>
            <w:r w:rsidRPr="005164F8">
              <w:rPr>
                <w:rFonts w:ascii="Arial" w:eastAsia="Arial" w:hAnsi="Arial" w:cs="Arial"/>
                <w:sz w:val="18"/>
                <w:szCs w:val="18"/>
                <w:lang w:val="es-ES"/>
              </w:rPr>
              <w:t>Se espera mantener la relación observada en la situación precrisis entre la tasa de mora de la cartera relevante del FOGAR y la de las Sociedades de Garantía Recíproca (SGR).</w:t>
            </w:r>
          </w:p>
        </w:tc>
      </w:tr>
      <w:tr w:rsidR="005164F8" w:rsidRPr="005336A4" w14:paraId="5F12FD3A" w14:textId="77777777" w:rsidTr="00D31FFA">
        <w:trPr>
          <w:trHeight w:val="2100"/>
          <w:jc w:val="center"/>
        </w:trPr>
        <w:tc>
          <w:tcPr>
            <w:tcW w:w="2102" w:type="dxa"/>
            <w:tcBorders>
              <w:top w:val="single" w:sz="8" w:space="0" w:color="000000"/>
              <w:left w:val="single" w:sz="8" w:space="0" w:color="000000"/>
              <w:bottom w:val="nil"/>
              <w:right w:val="single" w:sz="8" w:space="0" w:color="000000"/>
            </w:tcBorders>
            <w:shd w:val="clear" w:color="auto" w:fill="auto"/>
            <w:vAlign w:val="center"/>
          </w:tcPr>
          <w:p w14:paraId="01B30AD9" w14:textId="0423372E" w:rsidR="005164F8" w:rsidRPr="001F731F" w:rsidRDefault="005164F8" w:rsidP="00DD3FD0">
            <w:pPr>
              <w:spacing w:after="0" w:line="240" w:lineRule="auto"/>
              <w:jc w:val="both"/>
              <w:rPr>
                <w:rFonts w:ascii="Arial" w:eastAsia="Times New Roman" w:hAnsi="Arial" w:cs="Arial"/>
                <w:b/>
                <w:bCs/>
                <w:color w:val="000000"/>
                <w:sz w:val="18"/>
                <w:szCs w:val="18"/>
                <w:lang w:val="es-ES_tradnl" w:eastAsia="es-ES"/>
              </w:rPr>
            </w:pPr>
            <w:r w:rsidRPr="005164F8">
              <w:rPr>
                <w:rFonts w:ascii="Arial" w:eastAsia="Arial" w:hAnsi="Arial" w:cs="Arial"/>
                <w:b/>
                <w:sz w:val="18"/>
                <w:szCs w:val="18"/>
                <w:lang w:val="es-ES"/>
              </w:rPr>
              <w:t>Indicador 5</w:t>
            </w:r>
            <w:r w:rsidRPr="00DD3FD0">
              <w:rPr>
                <w:rFonts w:ascii="Arial" w:eastAsia="Arial" w:hAnsi="Arial" w:cs="Arial"/>
                <w:b/>
                <w:bCs/>
                <w:sz w:val="18"/>
                <w:szCs w:val="18"/>
                <w:lang w:val="es-ES"/>
              </w:rPr>
              <w:t>.</w:t>
            </w:r>
            <w:r w:rsidRPr="005164F8">
              <w:rPr>
                <w:rFonts w:ascii="Arial" w:eastAsia="Arial" w:hAnsi="Arial" w:cs="Arial"/>
                <w:sz w:val="18"/>
                <w:szCs w:val="18"/>
                <w:lang w:val="es-ES"/>
              </w:rPr>
              <w:t xml:space="preserve"> Tasa de mora relativa, a los 12 meses de comenzar el programa, de la cartera de deuda restructurada de MIPYME frente a la tasa de mora de las sociedades de garantía recíproca.</w:t>
            </w:r>
          </w:p>
        </w:tc>
        <w:tc>
          <w:tcPr>
            <w:tcW w:w="1562" w:type="dxa"/>
            <w:tcBorders>
              <w:top w:val="single" w:sz="8" w:space="0" w:color="000000"/>
              <w:left w:val="nil"/>
              <w:bottom w:val="nil"/>
              <w:right w:val="single" w:sz="8" w:space="0" w:color="000000"/>
            </w:tcBorders>
            <w:shd w:val="clear" w:color="auto" w:fill="auto"/>
            <w:vAlign w:val="center"/>
          </w:tcPr>
          <w:p w14:paraId="4CB3DF67" w14:textId="380DCE6C" w:rsidR="005164F8" w:rsidRPr="001F731F" w:rsidRDefault="004A0441" w:rsidP="005164F8">
            <w:pPr>
              <w:spacing w:after="0" w:line="240" w:lineRule="auto"/>
              <w:jc w:val="center"/>
              <w:rPr>
                <w:rFonts w:ascii="Arial" w:eastAsia="Times New Roman" w:hAnsi="Arial" w:cs="Arial"/>
                <w:color w:val="000000"/>
                <w:sz w:val="18"/>
                <w:szCs w:val="18"/>
                <w:lang w:val="es-ES_tradnl" w:eastAsia="es-ES"/>
              </w:rPr>
            </w:pPr>
            <w:r>
              <w:rPr>
                <w:rFonts w:ascii="Arial" w:eastAsia="Arial" w:hAnsi="Arial" w:cs="Arial"/>
                <w:sz w:val="18"/>
                <w:szCs w:val="18"/>
              </w:rPr>
              <w:t>Porcentaje</w:t>
            </w:r>
          </w:p>
        </w:tc>
        <w:tc>
          <w:tcPr>
            <w:tcW w:w="1497" w:type="dxa"/>
            <w:tcBorders>
              <w:top w:val="single" w:sz="8" w:space="0" w:color="000000"/>
              <w:left w:val="nil"/>
              <w:bottom w:val="nil"/>
              <w:right w:val="single" w:sz="8" w:space="0" w:color="000000"/>
            </w:tcBorders>
            <w:shd w:val="clear" w:color="auto" w:fill="auto"/>
            <w:vAlign w:val="center"/>
          </w:tcPr>
          <w:p w14:paraId="2B8E5195" w14:textId="010FC9F3" w:rsidR="005164F8" w:rsidRPr="001F731F" w:rsidRDefault="005164F8" w:rsidP="00DD3FD0">
            <w:pPr>
              <w:spacing w:after="0" w:line="240" w:lineRule="auto"/>
              <w:jc w:val="both"/>
              <w:rPr>
                <w:rFonts w:ascii="Arial" w:eastAsia="Times New Roman" w:hAnsi="Arial" w:cs="Arial"/>
                <w:color w:val="000000"/>
                <w:sz w:val="18"/>
                <w:szCs w:val="18"/>
                <w:lang w:val="es-ES_tradnl" w:eastAsia="es-ES"/>
              </w:rPr>
            </w:pPr>
            <w:r w:rsidRPr="005164F8">
              <w:rPr>
                <w:rFonts w:ascii="Arial" w:eastAsia="Arial" w:hAnsi="Arial" w:cs="Arial"/>
                <w:color w:val="000000"/>
                <w:sz w:val="18"/>
                <w:szCs w:val="18"/>
                <w:lang w:val="es-ES"/>
              </w:rPr>
              <w:t>Información de seguimiento y monitoreo del programa recolectada por el OE; información de cartera de FOGAR; y BCRA.</w:t>
            </w:r>
          </w:p>
        </w:tc>
        <w:tc>
          <w:tcPr>
            <w:tcW w:w="3652" w:type="dxa"/>
            <w:tcBorders>
              <w:top w:val="single" w:sz="8" w:space="0" w:color="000000"/>
              <w:left w:val="nil"/>
              <w:bottom w:val="nil"/>
              <w:right w:val="single" w:sz="8" w:space="0" w:color="000000"/>
            </w:tcBorders>
            <w:shd w:val="clear" w:color="auto" w:fill="auto"/>
            <w:vAlign w:val="center"/>
          </w:tcPr>
          <w:p w14:paraId="2658FF64" w14:textId="77777777" w:rsidR="001E6FF7" w:rsidRDefault="001E6FF7" w:rsidP="005164F8">
            <w:pPr>
              <w:spacing w:after="0" w:line="240" w:lineRule="auto"/>
              <w:jc w:val="both"/>
              <w:rPr>
                <w:rFonts w:ascii="Arial" w:eastAsia="Arial" w:hAnsi="Arial" w:cs="Arial"/>
                <w:sz w:val="18"/>
                <w:szCs w:val="18"/>
                <w:lang w:val="es-ES"/>
              </w:rPr>
            </w:pPr>
            <w:r w:rsidRPr="001E6FF7">
              <w:rPr>
                <w:rFonts w:ascii="Arial" w:eastAsia="Arial" w:hAnsi="Arial" w:cs="Arial"/>
                <w:sz w:val="18"/>
                <w:szCs w:val="18"/>
                <w:lang w:val="es-ES"/>
              </w:rPr>
              <w:t>El numerador es la tasa de mora de la cartera garantizada de deuda restructurada por FOGAR y el denominador es la tasa de mora de la cartera total de la banca pública.</w:t>
            </w:r>
          </w:p>
          <w:p w14:paraId="0DDC7F79" w14:textId="147D4F54" w:rsidR="005164F8" w:rsidRPr="001F731F" w:rsidRDefault="005164F8" w:rsidP="005164F8">
            <w:pPr>
              <w:spacing w:after="0" w:line="240" w:lineRule="auto"/>
              <w:jc w:val="both"/>
              <w:rPr>
                <w:rFonts w:ascii="Arial" w:eastAsia="Times New Roman" w:hAnsi="Arial" w:cs="Arial"/>
                <w:color w:val="000000"/>
                <w:sz w:val="18"/>
                <w:szCs w:val="18"/>
                <w:lang w:val="es-ES_tradnl" w:eastAsia="es-ES"/>
              </w:rPr>
            </w:pPr>
            <w:r w:rsidRPr="005164F8">
              <w:rPr>
                <w:rFonts w:ascii="Arial" w:eastAsia="Arial" w:hAnsi="Arial" w:cs="Arial"/>
                <w:sz w:val="18"/>
                <w:szCs w:val="18"/>
                <w:lang w:val="es-ES"/>
              </w:rPr>
              <w:t>Se espera mantener la relación observada en la situación precrisis entre la tasa de mora de la cartera relevante del FOGAR y la de las SGR.</w:t>
            </w:r>
          </w:p>
        </w:tc>
      </w:tr>
      <w:tr w:rsidR="005164F8" w:rsidRPr="005336A4" w14:paraId="62A69BAB" w14:textId="77777777" w:rsidTr="00D31FFA">
        <w:trPr>
          <w:trHeight w:val="2100"/>
          <w:jc w:val="center"/>
        </w:trPr>
        <w:tc>
          <w:tcPr>
            <w:tcW w:w="2102" w:type="dxa"/>
            <w:tcBorders>
              <w:top w:val="single" w:sz="8" w:space="0" w:color="000000"/>
              <w:left w:val="single" w:sz="8" w:space="0" w:color="000000"/>
              <w:bottom w:val="nil"/>
              <w:right w:val="single" w:sz="8" w:space="0" w:color="000000"/>
            </w:tcBorders>
            <w:shd w:val="clear" w:color="auto" w:fill="auto"/>
            <w:vAlign w:val="center"/>
          </w:tcPr>
          <w:p w14:paraId="768983B7" w14:textId="6D98B63F" w:rsidR="005164F8" w:rsidRPr="001F731F" w:rsidRDefault="005164F8" w:rsidP="00DD3FD0">
            <w:pPr>
              <w:spacing w:after="0" w:line="240" w:lineRule="auto"/>
              <w:jc w:val="both"/>
              <w:rPr>
                <w:rFonts w:ascii="Arial" w:eastAsia="Times New Roman" w:hAnsi="Arial" w:cs="Arial"/>
                <w:b/>
                <w:bCs/>
                <w:color w:val="000000"/>
                <w:sz w:val="18"/>
                <w:szCs w:val="18"/>
                <w:lang w:val="es-ES_tradnl" w:eastAsia="es-ES"/>
              </w:rPr>
            </w:pPr>
            <w:r w:rsidRPr="005164F8">
              <w:rPr>
                <w:rFonts w:ascii="Arial" w:eastAsia="Arial" w:hAnsi="Arial" w:cs="Arial"/>
                <w:b/>
                <w:sz w:val="18"/>
                <w:szCs w:val="18"/>
                <w:lang w:val="es-ES"/>
              </w:rPr>
              <w:t xml:space="preserve">Indicador 6. </w:t>
            </w:r>
            <w:r w:rsidRPr="005164F8">
              <w:rPr>
                <w:rFonts w:ascii="Arial" w:eastAsia="Arial" w:hAnsi="Arial" w:cs="Arial"/>
                <w:sz w:val="18"/>
                <w:szCs w:val="18"/>
                <w:lang w:val="es-ES"/>
              </w:rPr>
              <w:t>Tasa de supervivencia de empresas apoyadas con instrumentos de financiamiento a corto plazo hasta 24 meses después de recibir apoyos asociados a la crisis del COVID-19.</w:t>
            </w:r>
          </w:p>
        </w:tc>
        <w:tc>
          <w:tcPr>
            <w:tcW w:w="1562" w:type="dxa"/>
            <w:tcBorders>
              <w:top w:val="single" w:sz="8" w:space="0" w:color="000000"/>
              <w:left w:val="nil"/>
              <w:bottom w:val="nil"/>
              <w:right w:val="single" w:sz="8" w:space="0" w:color="000000"/>
            </w:tcBorders>
            <w:shd w:val="clear" w:color="auto" w:fill="auto"/>
            <w:vAlign w:val="center"/>
          </w:tcPr>
          <w:p w14:paraId="148F0808" w14:textId="5812076A" w:rsidR="005164F8" w:rsidRPr="001F731F" w:rsidRDefault="005164F8" w:rsidP="005164F8">
            <w:pPr>
              <w:spacing w:after="0" w:line="240" w:lineRule="auto"/>
              <w:jc w:val="center"/>
              <w:rPr>
                <w:rFonts w:ascii="Arial" w:eastAsia="Times New Roman" w:hAnsi="Arial" w:cs="Arial"/>
                <w:color w:val="000000"/>
                <w:sz w:val="18"/>
                <w:szCs w:val="18"/>
                <w:lang w:val="es-ES_tradnl" w:eastAsia="es-ES"/>
              </w:rPr>
            </w:pPr>
            <w:r>
              <w:rPr>
                <w:rFonts w:ascii="Arial" w:eastAsia="Arial" w:hAnsi="Arial" w:cs="Arial"/>
                <w:sz w:val="18"/>
                <w:szCs w:val="18"/>
              </w:rPr>
              <w:t>%</w:t>
            </w:r>
          </w:p>
        </w:tc>
        <w:tc>
          <w:tcPr>
            <w:tcW w:w="1497" w:type="dxa"/>
            <w:tcBorders>
              <w:top w:val="single" w:sz="8" w:space="0" w:color="000000"/>
              <w:left w:val="nil"/>
              <w:bottom w:val="nil"/>
              <w:right w:val="single" w:sz="8" w:space="0" w:color="000000"/>
            </w:tcBorders>
            <w:shd w:val="clear" w:color="auto" w:fill="auto"/>
            <w:vAlign w:val="center"/>
          </w:tcPr>
          <w:p w14:paraId="4E33DAD2" w14:textId="78A40300" w:rsidR="005164F8" w:rsidRPr="001F731F" w:rsidRDefault="005164F8" w:rsidP="005164F8">
            <w:pPr>
              <w:spacing w:after="0" w:line="240" w:lineRule="auto"/>
              <w:rPr>
                <w:rFonts w:ascii="Arial" w:eastAsia="Times New Roman" w:hAnsi="Arial" w:cs="Arial"/>
                <w:color w:val="000000"/>
                <w:sz w:val="18"/>
                <w:szCs w:val="18"/>
                <w:lang w:val="es-ES_tradnl" w:eastAsia="es-ES"/>
              </w:rPr>
            </w:pPr>
            <w:r w:rsidRPr="005164F8">
              <w:rPr>
                <w:rFonts w:ascii="Arial" w:eastAsia="Arial" w:hAnsi="Arial" w:cs="Arial"/>
                <w:color w:val="000000"/>
                <w:sz w:val="18"/>
                <w:szCs w:val="18"/>
                <w:lang w:val="es-ES"/>
              </w:rPr>
              <w:t>Información de seguimiento y monitoreo del programa recolectada por el OE; información de cartera de FOGAR; y datos públicos de la AFIP.</w:t>
            </w:r>
          </w:p>
        </w:tc>
        <w:tc>
          <w:tcPr>
            <w:tcW w:w="3652" w:type="dxa"/>
            <w:tcBorders>
              <w:top w:val="single" w:sz="8" w:space="0" w:color="000000"/>
              <w:left w:val="nil"/>
              <w:bottom w:val="nil"/>
              <w:right w:val="single" w:sz="8" w:space="0" w:color="000000"/>
            </w:tcBorders>
            <w:shd w:val="clear" w:color="auto" w:fill="auto"/>
            <w:vAlign w:val="center"/>
          </w:tcPr>
          <w:p w14:paraId="117A3916" w14:textId="77777777" w:rsidR="002C012A" w:rsidRPr="002C012A" w:rsidRDefault="002C012A" w:rsidP="002C012A">
            <w:pPr>
              <w:spacing w:before="120" w:after="120" w:line="240" w:lineRule="auto"/>
              <w:jc w:val="both"/>
              <w:rPr>
                <w:rFonts w:ascii="Arial" w:eastAsia="Arial" w:hAnsi="Arial" w:cs="Arial"/>
                <w:sz w:val="18"/>
                <w:szCs w:val="18"/>
                <w:lang w:val="es-ES"/>
              </w:rPr>
            </w:pPr>
            <w:r w:rsidRPr="002C012A">
              <w:rPr>
                <w:rFonts w:ascii="Arial" w:eastAsia="Arial" w:hAnsi="Arial" w:cs="Arial"/>
                <w:sz w:val="18"/>
                <w:szCs w:val="18"/>
                <w:lang w:val="es-ES"/>
              </w:rPr>
              <w:t>Medido como las empresas que, recibiendo apoyo del programa, permanecen en situación de alta en la AFIP 24 meses después de la declaración de pandemia por enfermedad del COVID-19 sobre el total de las empresas apoyadas. El seguimiento se hará excluyendo monotributistas por la posible falta de comparabilidad en criterios de actividad con el resto de MIPYME. En caso de estar disponible la información se hará seguimiento de este indicador de manera separada para monotributistas.</w:t>
            </w:r>
          </w:p>
          <w:p w14:paraId="365E81CE" w14:textId="6A09E8E4" w:rsidR="005164F8" w:rsidRPr="001F731F" w:rsidRDefault="002C012A" w:rsidP="005164F8">
            <w:pPr>
              <w:spacing w:after="0" w:line="240" w:lineRule="auto"/>
              <w:jc w:val="both"/>
              <w:rPr>
                <w:rFonts w:ascii="Arial" w:eastAsia="Times New Roman" w:hAnsi="Arial" w:cs="Arial"/>
                <w:color w:val="000000"/>
                <w:sz w:val="18"/>
                <w:szCs w:val="18"/>
                <w:lang w:val="es-ES_tradnl" w:eastAsia="es-ES"/>
              </w:rPr>
            </w:pPr>
            <w:r w:rsidRPr="002C012A">
              <w:rPr>
                <w:rFonts w:ascii="Arial" w:eastAsia="Arial" w:hAnsi="Arial" w:cs="Arial"/>
                <w:sz w:val="18"/>
                <w:szCs w:val="18"/>
                <w:lang w:val="es-ES"/>
              </w:rPr>
              <w:t>La línea de base se corresponde con los datos relevados a mayo 2020 en el contexto de crisis del COVID-19 según el último informe de la Fundación Observatorio PYME sobre las empresas en riesgo de cierre permanente. Se espera que con el apoyo del programa se vuelva al nivel de riesgo de quiebra observado precrisis, es decir, que se vuelva a una tasa de supervivencia del el 97% observado para el periodo 2015-2019 según datos de la AFIP</w:t>
            </w:r>
            <w:r w:rsidR="00A74B65">
              <w:rPr>
                <w:rFonts w:ascii="Arial" w:eastAsia="Arial" w:hAnsi="Arial" w:cs="Arial"/>
                <w:sz w:val="18"/>
                <w:szCs w:val="18"/>
                <w:lang w:val="es-ES"/>
              </w:rPr>
              <w:t>.</w:t>
            </w:r>
          </w:p>
        </w:tc>
      </w:tr>
      <w:tr w:rsidR="00494070" w:rsidRPr="005336A4" w14:paraId="13B79F93" w14:textId="77777777" w:rsidTr="00D31FFA">
        <w:trPr>
          <w:trHeight w:val="320"/>
          <w:jc w:val="center"/>
        </w:trPr>
        <w:tc>
          <w:tcPr>
            <w:tcW w:w="8813" w:type="dxa"/>
            <w:gridSpan w:val="4"/>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D835DF0" w14:textId="2774CB5A" w:rsidR="00494070" w:rsidRPr="001F731F" w:rsidRDefault="00494070" w:rsidP="00494070">
            <w:pPr>
              <w:spacing w:after="0" w:line="240" w:lineRule="auto"/>
              <w:jc w:val="both"/>
              <w:rPr>
                <w:rFonts w:ascii="Arial" w:eastAsia="Times New Roman" w:hAnsi="Arial" w:cs="Arial"/>
                <w:b/>
                <w:bCs/>
                <w:color w:val="000000"/>
                <w:sz w:val="18"/>
                <w:szCs w:val="18"/>
                <w:u w:val="single"/>
                <w:lang w:val="es-ES_tradnl" w:eastAsia="es-ES"/>
              </w:rPr>
            </w:pPr>
            <w:r>
              <w:rPr>
                <w:rFonts w:ascii="Arial" w:eastAsia="Times New Roman" w:hAnsi="Arial" w:cs="Arial"/>
                <w:b/>
                <w:bCs/>
                <w:color w:val="000000"/>
                <w:sz w:val="18"/>
                <w:szCs w:val="18"/>
                <w:u w:val="single"/>
                <w:lang w:val="es-ES_tradnl" w:eastAsia="es-ES"/>
              </w:rPr>
              <w:t>Objetivo específico</w:t>
            </w:r>
            <w:r w:rsidRPr="001F731F">
              <w:rPr>
                <w:rFonts w:ascii="Arial" w:eastAsia="Times New Roman" w:hAnsi="Arial" w:cs="Arial"/>
                <w:b/>
                <w:bCs/>
                <w:color w:val="000000"/>
                <w:sz w:val="18"/>
                <w:szCs w:val="18"/>
                <w:u w:val="single"/>
                <w:lang w:val="es-ES_tradnl" w:eastAsia="es-ES"/>
              </w:rPr>
              <w:t xml:space="preserve"> 2: </w:t>
            </w:r>
            <w:r>
              <w:rPr>
                <w:rFonts w:ascii="Arial" w:eastAsia="Times New Roman" w:hAnsi="Arial" w:cs="Arial"/>
                <w:b/>
                <w:bCs/>
                <w:color w:val="000000"/>
                <w:sz w:val="18"/>
                <w:szCs w:val="18"/>
                <w:u w:val="single"/>
                <w:lang w:val="es-ES_tradnl" w:eastAsia="es-ES"/>
              </w:rPr>
              <w:t>Promover la recuperación económica de las MIPYME a través del acceso al financiamiento productivo</w:t>
            </w:r>
            <w:r w:rsidR="005164F8">
              <w:rPr>
                <w:rFonts w:ascii="Arial" w:eastAsia="Times New Roman" w:hAnsi="Arial" w:cs="Arial"/>
                <w:b/>
                <w:bCs/>
                <w:color w:val="000000"/>
                <w:sz w:val="18"/>
                <w:szCs w:val="18"/>
                <w:u w:val="single"/>
                <w:lang w:val="es-ES_tradnl" w:eastAsia="es-ES"/>
              </w:rPr>
              <w:t xml:space="preserve"> a través de FONDEP y FOGAR</w:t>
            </w:r>
            <w:r w:rsidRPr="001F731F">
              <w:rPr>
                <w:rFonts w:ascii="Calibri" w:eastAsia="Times New Roman" w:hAnsi="Calibri" w:cs="Arial"/>
                <w:color w:val="000000"/>
                <w:sz w:val="16"/>
                <w:szCs w:val="16"/>
                <w:lang w:val="es-ES_tradnl" w:eastAsia="es-ES"/>
              </w:rPr>
              <w:t>  </w:t>
            </w:r>
          </w:p>
        </w:tc>
      </w:tr>
      <w:tr w:rsidR="005164F8" w:rsidRPr="005336A4" w14:paraId="2C96E4B3" w14:textId="77777777" w:rsidTr="00D31FFA">
        <w:trPr>
          <w:trHeight w:val="2640"/>
          <w:jc w:val="center"/>
        </w:trPr>
        <w:tc>
          <w:tcPr>
            <w:tcW w:w="210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15964C9" w14:textId="1A4BCA75" w:rsidR="005164F8" w:rsidRPr="001F731F" w:rsidRDefault="005164F8" w:rsidP="00DD3FD0">
            <w:pPr>
              <w:spacing w:after="0" w:line="240" w:lineRule="auto"/>
              <w:jc w:val="both"/>
              <w:rPr>
                <w:rFonts w:ascii="Arial" w:eastAsia="Times New Roman" w:hAnsi="Arial" w:cs="Arial"/>
                <w:b/>
                <w:bCs/>
                <w:color w:val="000000"/>
                <w:sz w:val="18"/>
                <w:szCs w:val="18"/>
                <w:lang w:val="es-ES_tradnl" w:eastAsia="es-ES"/>
              </w:rPr>
            </w:pPr>
            <w:r w:rsidRPr="005164F8">
              <w:rPr>
                <w:rFonts w:ascii="Arial" w:eastAsia="Arial" w:hAnsi="Arial" w:cs="Arial"/>
                <w:b/>
                <w:sz w:val="18"/>
                <w:szCs w:val="18"/>
                <w:lang w:val="es-ES"/>
              </w:rPr>
              <w:lastRenderedPageBreak/>
              <w:t>Indicador 7:</w:t>
            </w:r>
            <w:r w:rsidRPr="005164F8">
              <w:rPr>
                <w:rFonts w:ascii="Arial" w:eastAsia="Arial" w:hAnsi="Arial" w:cs="Arial"/>
                <w:sz w:val="18"/>
                <w:szCs w:val="18"/>
                <w:lang w:val="es-ES"/>
              </w:rPr>
              <w:t xml:space="preserve"> Tasa de mora relativa de la cartera de financiamiento de mediano plazo </w:t>
            </w:r>
            <w:r w:rsidR="002C012A">
              <w:rPr>
                <w:rFonts w:ascii="Arial" w:eastAsia="Arial" w:hAnsi="Arial" w:cs="Arial"/>
                <w:sz w:val="18"/>
                <w:szCs w:val="18"/>
                <w:lang w:val="es-ES"/>
              </w:rPr>
              <w:t xml:space="preserve">a la MIPYME </w:t>
            </w:r>
            <w:r w:rsidRPr="005164F8">
              <w:rPr>
                <w:rFonts w:ascii="Arial" w:eastAsia="Arial" w:hAnsi="Arial" w:cs="Arial"/>
                <w:sz w:val="18"/>
                <w:szCs w:val="18"/>
                <w:lang w:val="es-ES"/>
              </w:rPr>
              <w:t>apoyada con recursos del programa frente a la tasa de mora de la banca pública.</w:t>
            </w:r>
          </w:p>
        </w:tc>
        <w:tc>
          <w:tcPr>
            <w:tcW w:w="1562" w:type="dxa"/>
            <w:tcBorders>
              <w:top w:val="single" w:sz="8" w:space="0" w:color="000000"/>
              <w:left w:val="nil"/>
              <w:bottom w:val="single" w:sz="8" w:space="0" w:color="000000"/>
              <w:right w:val="single" w:sz="8" w:space="0" w:color="000000"/>
            </w:tcBorders>
            <w:shd w:val="clear" w:color="auto" w:fill="auto"/>
            <w:vAlign w:val="center"/>
          </w:tcPr>
          <w:p w14:paraId="7D7C4344" w14:textId="04B4D09E" w:rsidR="005164F8" w:rsidRPr="001F731F" w:rsidRDefault="004A0441" w:rsidP="005164F8">
            <w:pPr>
              <w:spacing w:after="0" w:line="240" w:lineRule="auto"/>
              <w:jc w:val="center"/>
              <w:rPr>
                <w:rFonts w:ascii="Arial" w:eastAsia="Times New Roman" w:hAnsi="Arial" w:cs="Arial"/>
                <w:color w:val="000000"/>
                <w:sz w:val="18"/>
                <w:szCs w:val="18"/>
                <w:lang w:val="es-ES_tradnl" w:eastAsia="es-ES"/>
              </w:rPr>
            </w:pPr>
            <w:r>
              <w:rPr>
                <w:rFonts w:ascii="Arial" w:eastAsia="Arial" w:hAnsi="Arial" w:cs="Arial"/>
                <w:sz w:val="18"/>
                <w:szCs w:val="18"/>
              </w:rPr>
              <w:t>Porcentaje</w:t>
            </w:r>
          </w:p>
        </w:tc>
        <w:tc>
          <w:tcPr>
            <w:tcW w:w="1497" w:type="dxa"/>
            <w:tcBorders>
              <w:top w:val="single" w:sz="8" w:space="0" w:color="000000"/>
              <w:left w:val="nil"/>
              <w:bottom w:val="single" w:sz="8" w:space="0" w:color="000000"/>
              <w:right w:val="single" w:sz="8" w:space="0" w:color="000000"/>
            </w:tcBorders>
            <w:shd w:val="clear" w:color="auto" w:fill="auto"/>
            <w:vAlign w:val="center"/>
          </w:tcPr>
          <w:p w14:paraId="232D7626" w14:textId="178ADFC4" w:rsidR="005164F8" w:rsidRPr="001F731F" w:rsidRDefault="005164F8" w:rsidP="00DD3FD0">
            <w:pPr>
              <w:spacing w:after="0" w:line="240" w:lineRule="auto"/>
              <w:jc w:val="both"/>
              <w:rPr>
                <w:rFonts w:ascii="Arial" w:eastAsia="Times New Roman" w:hAnsi="Arial" w:cs="Arial"/>
                <w:color w:val="000000"/>
                <w:sz w:val="18"/>
                <w:szCs w:val="18"/>
                <w:lang w:val="es-ES_tradnl" w:eastAsia="es-ES"/>
              </w:rPr>
            </w:pPr>
            <w:r w:rsidRPr="005164F8">
              <w:rPr>
                <w:rFonts w:ascii="Arial" w:eastAsia="Arial" w:hAnsi="Arial" w:cs="Arial"/>
                <w:color w:val="000000"/>
                <w:sz w:val="18"/>
                <w:szCs w:val="18"/>
                <w:lang w:val="es-ES"/>
              </w:rPr>
              <w:t>Información de seguimiento y monitoreo del programa recolectada por el OE; información de cartera de FONDEP; y BCRA.</w:t>
            </w:r>
          </w:p>
        </w:tc>
        <w:tc>
          <w:tcPr>
            <w:tcW w:w="3652" w:type="dxa"/>
            <w:tcBorders>
              <w:top w:val="single" w:sz="8" w:space="0" w:color="000000"/>
              <w:left w:val="nil"/>
              <w:bottom w:val="single" w:sz="8" w:space="0" w:color="000000"/>
              <w:right w:val="single" w:sz="8" w:space="0" w:color="000000"/>
            </w:tcBorders>
            <w:shd w:val="clear" w:color="auto" w:fill="auto"/>
            <w:vAlign w:val="center"/>
          </w:tcPr>
          <w:p w14:paraId="1E3469F3" w14:textId="7F9FF7DF" w:rsidR="005164F8" w:rsidRDefault="005164F8" w:rsidP="005164F8">
            <w:pPr>
              <w:spacing w:before="120" w:after="120" w:line="240" w:lineRule="auto"/>
              <w:jc w:val="both"/>
              <w:rPr>
                <w:rFonts w:ascii="Arial" w:eastAsia="Arial" w:hAnsi="Arial" w:cs="Arial"/>
                <w:sz w:val="18"/>
                <w:szCs w:val="18"/>
                <w:lang w:val="es-ES"/>
              </w:rPr>
            </w:pPr>
            <w:r w:rsidRPr="005164F8">
              <w:rPr>
                <w:rFonts w:ascii="Arial" w:eastAsia="Arial" w:hAnsi="Arial" w:cs="Arial"/>
                <w:sz w:val="18"/>
                <w:szCs w:val="18"/>
                <w:lang w:val="es-ES"/>
              </w:rPr>
              <w:t xml:space="preserve">La línea de base se ha calculado utilizando las últimas mediciones disponibles, con fecha de diciembre de 2019, y considerando un periodo de 12 meses. La meta igualmente se calculará con las mediciones de mora que comprendan los 12 meses anteriores al cierre del programa.  </w:t>
            </w:r>
          </w:p>
          <w:p w14:paraId="36F5113C" w14:textId="6203BB82" w:rsidR="001E6FF7" w:rsidRPr="005164F8" w:rsidRDefault="001E6FF7" w:rsidP="005164F8">
            <w:pPr>
              <w:spacing w:before="120" w:after="120" w:line="240" w:lineRule="auto"/>
              <w:jc w:val="both"/>
              <w:rPr>
                <w:rFonts w:ascii="Arial" w:eastAsia="Arial" w:hAnsi="Arial" w:cs="Arial"/>
                <w:sz w:val="18"/>
                <w:szCs w:val="18"/>
                <w:lang w:val="es-ES"/>
              </w:rPr>
            </w:pPr>
            <w:r w:rsidRPr="001E6FF7">
              <w:rPr>
                <w:rFonts w:ascii="Arial" w:eastAsia="Arial" w:hAnsi="Arial" w:cs="Arial"/>
                <w:sz w:val="18"/>
                <w:szCs w:val="18"/>
                <w:lang w:val="es-ES"/>
              </w:rPr>
              <w:t>El numerador es la tasa de mora de la cartera financiada a mediano plazo por FONDEP y garantizada por FOGAR y el denominador es la tasa de mora de la cartera total de la banca pública.</w:t>
            </w:r>
          </w:p>
          <w:p w14:paraId="5BD160DF" w14:textId="1D3EADCA" w:rsidR="005164F8" w:rsidRPr="005164F8" w:rsidRDefault="005164F8" w:rsidP="005164F8">
            <w:pPr>
              <w:spacing w:before="120" w:after="120" w:line="240" w:lineRule="auto"/>
              <w:jc w:val="both"/>
              <w:rPr>
                <w:rFonts w:ascii="Arial" w:eastAsia="Arial" w:hAnsi="Arial" w:cs="Arial"/>
                <w:sz w:val="18"/>
                <w:szCs w:val="18"/>
                <w:lang w:val="es-ES"/>
              </w:rPr>
            </w:pPr>
            <w:r w:rsidRPr="005164F8">
              <w:rPr>
                <w:rFonts w:ascii="Arial" w:eastAsia="Arial" w:hAnsi="Arial" w:cs="Arial"/>
                <w:sz w:val="18"/>
                <w:szCs w:val="18"/>
                <w:lang w:val="es-ES"/>
              </w:rPr>
              <w:t>Ante las dificultades de colocación de crédito de mediano plazo a través de las IFI del sistema financiero argentino por las percepciones de riesgo asociado al mismo, el FONDEP estará proveyendo directamente estos créditos a través de su estructura de primer piso. En este sentido, se espera que el FONDEP, al asumir mayores riesgos, vea deteriorada la calidad de su cartera de primer piso en términos de morosidad en una proporción superior a la esperada en la morosidad de la banca pública</w:t>
            </w:r>
            <w:r w:rsidR="002C012A">
              <w:rPr>
                <w:rStyle w:val="FootnoteReference"/>
                <w:rFonts w:ascii="Arial" w:eastAsia="Arial" w:hAnsi="Arial" w:cs="Arial"/>
                <w:sz w:val="18"/>
                <w:szCs w:val="18"/>
              </w:rPr>
              <w:footnoteReference w:id="21"/>
            </w:r>
            <w:r w:rsidR="008276FB">
              <w:rPr>
                <w:rFonts w:ascii="Arial" w:eastAsia="Arial" w:hAnsi="Arial" w:cs="Arial"/>
                <w:sz w:val="18"/>
                <w:szCs w:val="18"/>
                <w:lang w:val="es-ES"/>
              </w:rPr>
              <w:t>.</w:t>
            </w:r>
          </w:p>
          <w:p w14:paraId="3EDFD90F" w14:textId="7548EF49" w:rsidR="005164F8" w:rsidRPr="001F731F" w:rsidRDefault="001E6FF7" w:rsidP="005164F8">
            <w:pPr>
              <w:spacing w:after="0" w:line="240" w:lineRule="auto"/>
              <w:jc w:val="both"/>
              <w:rPr>
                <w:rFonts w:ascii="Arial" w:eastAsia="Times New Roman" w:hAnsi="Arial" w:cs="Arial"/>
                <w:color w:val="000000"/>
                <w:sz w:val="18"/>
                <w:szCs w:val="18"/>
                <w:lang w:val="es-ES_tradnl" w:eastAsia="es-ES"/>
              </w:rPr>
            </w:pPr>
            <w:r w:rsidRPr="001E6FF7">
              <w:rPr>
                <w:rFonts w:ascii="Arial" w:eastAsia="Arial" w:hAnsi="Arial" w:cs="Arial"/>
                <w:sz w:val="18"/>
                <w:szCs w:val="18"/>
                <w:lang w:val="es-ES"/>
              </w:rPr>
              <w:t>A diciembre de 2019 la tasa de mora del FOGAR para la cartera garantizada fue del 4%.</w:t>
            </w:r>
          </w:p>
        </w:tc>
      </w:tr>
      <w:tr w:rsidR="005164F8" w:rsidRPr="005336A4" w14:paraId="5FE95906" w14:textId="77777777" w:rsidTr="00D31FFA">
        <w:trPr>
          <w:trHeight w:val="1560"/>
          <w:jc w:val="center"/>
        </w:trPr>
        <w:tc>
          <w:tcPr>
            <w:tcW w:w="2102" w:type="dxa"/>
            <w:tcBorders>
              <w:top w:val="single" w:sz="8" w:space="0" w:color="000000"/>
              <w:left w:val="single" w:sz="8" w:space="0" w:color="000000"/>
              <w:bottom w:val="nil"/>
              <w:right w:val="single" w:sz="8" w:space="0" w:color="000000"/>
            </w:tcBorders>
            <w:shd w:val="clear" w:color="auto" w:fill="auto"/>
            <w:vAlign w:val="center"/>
          </w:tcPr>
          <w:p w14:paraId="714C2AD7" w14:textId="1B9711AC" w:rsidR="005164F8" w:rsidRPr="001F731F" w:rsidRDefault="005164F8" w:rsidP="00DD3FD0">
            <w:pPr>
              <w:spacing w:after="0" w:line="240" w:lineRule="auto"/>
              <w:jc w:val="both"/>
              <w:rPr>
                <w:rFonts w:ascii="Arial" w:eastAsia="Times New Roman" w:hAnsi="Arial" w:cs="Arial"/>
                <w:b/>
                <w:bCs/>
                <w:color w:val="000000"/>
                <w:sz w:val="18"/>
                <w:szCs w:val="18"/>
                <w:lang w:val="es-ES_tradnl" w:eastAsia="es-ES"/>
              </w:rPr>
            </w:pPr>
            <w:r w:rsidRPr="005164F8">
              <w:rPr>
                <w:rFonts w:ascii="Arial" w:eastAsia="Arial" w:hAnsi="Arial" w:cs="Arial"/>
                <w:b/>
                <w:sz w:val="18"/>
                <w:szCs w:val="18"/>
                <w:lang w:val="es-ES"/>
              </w:rPr>
              <w:t>Indicador 8:</w:t>
            </w:r>
            <w:r w:rsidRPr="005164F8">
              <w:rPr>
                <w:rFonts w:ascii="Arial" w:eastAsia="Arial" w:hAnsi="Arial" w:cs="Arial"/>
                <w:sz w:val="18"/>
                <w:szCs w:val="18"/>
                <w:lang w:val="es-ES"/>
              </w:rPr>
              <w:t xml:space="preserve"> Proporción del crédito de mediano plazo (más de 24 meses) en la cartera de financiamiento o garantía a la MIPYME.</w:t>
            </w:r>
          </w:p>
        </w:tc>
        <w:tc>
          <w:tcPr>
            <w:tcW w:w="1562" w:type="dxa"/>
            <w:tcBorders>
              <w:top w:val="single" w:sz="8" w:space="0" w:color="000000"/>
              <w:left w:val="nil"/>
              <w:bottom w:val="nil"/>
              <w:right w:val="single" w:sz="8" w:space="0" w:color="000000"/>
            </w:tcBorders>
            <w:shd w:val="clear" w:color="auto" w:fill="auto"/>
            <w:vAlign w:val="center"/>
          </w:tcPr>
          <w:p w14:paraId="121461F6" w14:textId="1044E648" w:rsidR="005164F8" w:rsidRPr="001F731F" w:rsidRDefault="005164F8" w:rsidP="005164F8">
            <w:pPr>
              <w:spacing w:after="0" w:line="240" w:lineRule="auto"/>
              <w:jc w:val="center"/>
              <w:rPr>
                <w:rFonts w:ascii="Arial" w:eastAsia="Times New Roman" w:hAnsi="Arial" w:cs="Arial"/>
                <w:color w:val="000000"/>
                <w:sz w:val="18"/>
                <w:szCs w:val="18"/>
                <w:lang w:val="es-ES_tradnl" w:eastAsia="es-ES"/>
              </w:rPr>
            </w:pPr>
            <w:r>
              <w:rPr>
                <w:rFonts w:ascii="Arial" w:eastAsia="Arial" w:hAnsi="Arial" w:cs="Arial"/>
                <w:sz w:val="18"/>
                <w:szCs w:val="18"/>
              </w:rPr>
              <w:t>%</w:t>
            </w:r>
          </w:p>
        </w:tc>
        <w:tc>
          <w:tcPr>
            <w:tcW w:w="1497" w:type="dxa"/>
            <w:tcBorders>
              <w:top w:val="single" w:sz="8" w:space="0" w:color="000000"/>
              <w:left w:val="nil"/>
              <w:bottom w:val="nil"/>
              <w:right w:val="single" w:sz="8" w:space="0" w:color="000000"/>
            </w:tcBorders>
            <w:shd w:val="clear" w:color="auto" w:fill="auto"/>
            <w:vAlign w:val="center"/>
          </w:tcPr>
          <w:p w14:paraId="32FEC48E" w14:textId="2B230214" w:rsidR="005164F8" w:rsidRPr="001F731F" w:rsidRDefault="005164F8" w:rsidP="00DD3FD0">
            <w:pPr>
              <w:spacing w:after="0" w:line="240" w:lineRule="auto"/>
              <w:jc w:val="both"/>
              <w:rPr>
                <w:rFonts w:ascii="Arial" w:eastAsia="Times New Roman" w:hAnsi="Arial" w:cs="Arial"/>
                <w:color w:val="000000"/>
                <w:sz w:val="18"/>
                <w:szCs w:val="18"/>
                <w:lang w:val="es-ES_tradnl" w:eastAsia="es-ES"/>
              </w:rPr>
            </w:pPr>
            <w:r w:rsidRPr="005164F8">
              <w:rPr>
                <w:rFonts w:ascii="Arial" w:eastAsia="Arial" w:hAnsi="Arial" w:cs="Arial"/>
                <w:color w:val="000000"/>
                <w:sz w:val="18"/>
                <w:szCs w:val="18"/>
                <w:lang w:val="es-ES"/>
              </w:rPr>
              <w:t>Información de seguimiento y monitoreo del programa recolectada por el OE e información de cartera de FONDEP.</w:t>
            </w:r>
          </w:p>
        </w:tc>
        <w:tc>
          <w:tcPr>
            <w:tcW w:w="3652" w:type="dxa"/>
            <w:tcBorders>
              <w:top w:val="single" w:sz="8" w:space="0" w:color="000000"/>
              <w:left w:val="nil"/>
              <w:bottom w:val="nil"/>
              <w:right w:val="single" w:sz="8" w:space="0" w:color="000000"/>
            </w:tcBorders>
            <w:shd w:val="clear" w:color="auto" w:fill="auto"/>
            <w:vAlign w:val="center"/>
          </w:tcPr>
          <w:p w14:paraId="7AAF7623" w14:textId="77777777" w:rsidR="005164F8" w:rsidRPr="005164F8" w:rsidRDefault="005164F8" w:rsidP="005164F8">
            <w:pPr>
              <w:spacing w:before="120" w:after="120" w:line="240" w:lineRule="auto"/>
              <w:jc w:val="both"/>
              <w:rPr>
                <w:rFonts w:ascii="Arial" w:eastAsia="Arial" w:hAnsi="Arial" w:cs="Arial"/>
                <w:sz w:val="18"/>
                <w:szCs w:val="18"/>
                <w:lang w:val="es-ES"/>
              </w:rPr>
            </w:pPr>
            <w:r w:rsidRPr="005164F8">
              <w:rPr>
                <w:rFonts w:ascii="Arial" w:eastAsia="Arial" w:hAnsi="Arial" w:cs="Arial"/>
                <w:sz w:val="18"/>
                <w:szCs w:val="18"/>
                <w:lang w:val="es-ES"/>
              </w:rPr>
              <w:t>Se considerará mediano plazo el superior a 24 meses.</w:t>
            </w:r>
          </w:p>
          <w:p w14:paraId="38542636" w14:textId="0A10B4BD" w:rsidR="005164F8" w:rsidRPr="005164F8" w:rsidRDefault="005164F8" w:rsidP="005164F8">
            <w:pPr>
              <w:spacing w:before="120" w:after="120" w:line="240" w:lineRule="auto"/>
              <w:jc w:val="both"/>
              <w:rPr>
                <w:rFonts w:ascii="Arial" w:eastAsia="Arial" w:hAnsi="Arial" w:cs="Arial"/>
                <w:sz w:val="18"/>
                <w:szCs w:val="18"/>
                <w:lang w:val="es-ES"/>
              </w:rPr>
            </w:pPr>
            <w:r w:rsidRPr="005164F8">
              <w:rPr>
                <w:rFonts w:ascii="Arial" w:eastAsia="Arial" w:hAnsi="Arial" w:cs="Arial"/>
                <w:sz w:val="18"/>
                <w:szCs w:val="18"/>
                <w:lang w:val="es-ES"/>
              </w:rPr>
              <w:t>Se espera mantener con el apoyo del programa la proporción de créditos de mediano plazo en la cartera de financiamiento a la MIPYME</w:t>
            </w:r>
            <w:r w:rsidR="00B37FEC" w:rsidRPr="00B37FEC">
              <w:rPr>
                <w:rFonts w:ascii="Arial" w:eastAsia="Arial" w:hAnsi="Arial" w:cs="Arial"/>
                <w:sz w:val="18"/>
                <w:szCs w:val="18"/>
                <w:vertAlign w:val="superscript"/>
                <w:lang w:val="es-ES"/>
              </w:rPr>
              <w:t>18</w:t>
            </w:r>
            <w:r w:rsidR="0021139F" w:rsidRPr="005164F8">
              <w:rPr>
                <w:rFonts w:ascii="Arial" w:eastAsia="Arial" w:hAnsi="Arial" w:cs="Arial"/>
                <w:sz w:val="18"/>
                <w:szCs w:val="18"/>
                <w:lang w:val="es-ES"/>
              </w:rPr>
              <w:t>.</w:t>
            </w:r>
          </w:p>
          <w:p w14:paraId="72C7392D" w14:textId="1A84F3DE" w:rsidR="005164F8" w:rsidRPr="001F731F" w:rsidRDefault="005164F8" w:rsidP="005164F8">
            <w:pPr>
              <w:spacing w:after="0" w:line="240" w:lineRule="auto"/>
              <w:jc w:val="both"/>
              <w:rPr>
                <w:rFonts w:ascii="Arial" w:eastAsia="Times New Roman" w:hAnsi="Arial" w:cs="Arial"/>
                <w:color w:val="000000"/>
                <w:sz w:val="18"/>
                <w:szCs w:val="18"/>
                <w:lang w:val="es-ES_tradnl" w:eastAsia="es-ES"/>
              </w:rPr>
            </w:pPr>
            <w:r w:rsidRPr="005164F8">
              <w:rPr>
                <w:rFonts w:ascii="Arial" w:eastAsia="Arial" w:hAnsi="Arial" w:cs="Arial"/>
                <w:sz w:val="18"/>
                <w:szCs w:val="18"/>
                <w:lang w:val="es-ES"/>
              </w:rPr>
              <w:t xml:space="preserve">Se señala que, a diciembre de 2019, </w:t>
            </w:r>
            <w:r w:rsidR="00B37FEC">
              <w:rPr>
                <w:rFonts w:ascii="Arial" w:eastAsia="Arial" w:hAnsi="Arial" w:cs="Arial"/>
                <w:sz w:val="18"/>
                <w:szCs w:val="18"/>
                <w:lang w:val="es-ES"/>
              </w:rPr>
              <w:t>el porcentaje</w:t>
            </w:r>
            <w:r w:rsidR="00B37FEC" w:rsidRPr="005164F8">
              <w:rPr>
                <w:rFonts w:ascii="Arial" w:eastAsia="Arial" w:hAnsi="Arial" w:cs="Arial"/>
                <w:sz w:val="18"/>
                <w:szCs w:val="18"/>
                <w:lang w:val="es-ES"/>
              </w:rPr>
              <w:t xml:space="preserve"> </w:t>
            </w:r>
            <w:r w:rsidRPr="005164F8">
              <w:rPr>
                <w:rFonts w:ascii="Arial" w:eastAsia="Arial" w:hAnsi="Arial" w:cs="Arial"/>
                <w:sz w:val="18"/>
                <w:szCs w:val="18"/>
                <w:lang w:val="es-ES"/>
              </w:rPr>
              <w:t>de garantías a mediano plazo del FOGAR es del 26%.</w:t>
            </w:r>
          </w:p>
        </w:tc>
      </w:tr>
      <w:tr w:rsidR="005164F8" w:rsidRPr="005336A4" w14:paraId="5968ACE6" w14:textId="77777777" w:rsidTr="00D31FFA">
        <w:trPr>
          <w:trHeight w:val="1340"/>
          <w:jc w:val="center"/>
        </w:trPr>
        <w:tc>
          <w:tcPr>
            <w:tcW w:w="2102" w:type="dxa"/>
            <w:tcBorders>
              <w:top w:val="single" w:sz="8" w:space="0" w:color="000000"/>
              <w:left w:val="single" w:sz="8" w:space="0" w:color="000000"/>
              <w:bottom w:val="nil"/>
              <w:right w:val="single" w:sz="8" w:space="0" w:color="000000"/>
            </w:tcBorders>
            <w:shd w:val="clear" w:color="auto" w:fill="auto"/>
            <w:vAlign w:val="center"/>
          </w:tcPr>
          <w:p w14:paraId="160927C1" w14:textId="1AB450B7" w:rsidR="005164F8" w:rsidRPr="001F731F" w:rsidRDefault="005164F8" w:rsidP="00DD3FD0">
            <w:pPr>
              <w:spacing w:after="0" w:line="240" w:lineRule="auto"/>
              <w:jc w:val="both"/>
              <w:rPr>
                <w:rFonts w:ascii="Arial" w:eastAsia="Times New Roman" w:hAnsi="Arial" w:cs="Arial"/>
                <w:b/>
                <w:bCs/>
                <w:color w:val="000000"/>
                <w:sz w:val="18"/>
                <w:szCs w:val="18"/>
                <w:lang w:val="es-ES_tradnl" w:eastAsia="es-ES"/>
              </w:rPr>
            </w:pPr>
            <w:r w:rsidRPr="005164F8">
              <w:rPr>
                <w:rFonts w:ascii="Arial" w:eastAsia="Arial" w:hAnsi="Arial" w:cs="Arial"/>
                <w:b/>
                <w:sz w:val="18"/>
                <w:szCs w:val="18"/>
                <w:lang w:val="es-ES"/>
              </w:rPr>
              <w:t>Indicador 9:</w:t>
            </w:r>
            <w:r w:rsidR="001B64EA">
              <w:rPr>
                <w:lang w:val="es-ES"/>
              </w:rPr>
              <w:t xml:space="preserve"> </w:t>
            </w:r>
            <w:r w:rsidRPr="005164F8">
              <w:rPr>
                <w:rFonts w:ascii="Arial" w:eastAsia="Arial" w:hAnsi="Arial" w:cs="Arial"/>
                <w:sz w:val="18"/>
                <w:szCs w:val="18"/>
                <w:lang w:val="es-ES"/>
              </w:rPr>
              <w:t>Apalancamiento total de recursos de financiamiento de mediano plazo alcanzado gracias al apoyo del programa.</w:t>
            </w:r>
          </w:p>
        </w:tc>
        <w:tc>
          <w:tcPr>
            <w:tcW w:w="1562" w:type="dxa"/>
            <w:tcBorders>
              <w:top w:val="single" w:sz="8" w:space="0" w:color="000000"/>
              <w:left w:val="nil"/>
              <w:bottom w:val="nil"/>
              <w:right w:val="single" w:sz="8" w:space="0" w:color="000000"/>
            </w:tcBorders>
            <w:shd w:val="clear" w:color="auto" w:fill="auto"/>
            <w:vAlign w:val="center"/>
          </w:tcPr>
          <w:p w14:paraId="7846D227" w14:textId="279E2E48" w:rsidR="005164F8" w:rsidRPr="001F731F" w:rsidRDefault="005164F8" w:rsidP="005164F8">
            <w:pPr>
              <w:spacing w:after="0" w:line="240" w:lineRule="auto"/>
              <w:jc w:val="center"/>
              <w:rPr>
                <w:rFonts w:ascii="Arial" w:eastAsia="Times New Roman" w:hAnsi="Arial" w:cs="Arial"/>
                <w:color w:val="000000"/>
                <w:sz w:val="18"/>
                <w:szCs w:val="18"/>
                <w:lang w:val="es-ES_tradnl" w:eastAsia="es-ES"/>
              </w:rPr>
            </w:pPr>
            <w:r w:rsidRPr="00CC5C07">
              <w:rPr>
                <w:rFonts w:ascii="Arial" w:eastAsia="Arial" w:hAnsi="Arial" w:cs="Arial"/>
                <w:sz w:val="18"/>
                <w:szCs w:val="18"/>
                <w:lang w:val="es-AR"/>
              </w:rPr>
              <w:t>Millones</w:t>
            </w:r>
            <w:r>
              <w:rPr>
                <w:rFonts w:ascii="Arial" w:eastAsia="Arial" w:hAnsi="Arial" w:cs="Arial"/>
                <w:sz w:val="18"/>
                <w:szCs w:val="18"/>
              </w:rPr>
              <w:t xml:space="preserve"> de US$</w:t>
            </w:r>
          </w:p>
        </w:tc>
        <w:tc>
          <w:tcPr>
            <w:tcW w:w="1497" w:type="dxa"/>
            <w:tcBorders>
              <w:top w:val="single" w:sz="8" w:space="0" w:color="000000"/>
              <w:left w:val="nil"/>
              <w:bottom w:val="nil"/>
              <w:right w:val="single" w:sz="8" w:space="0" w:color="000000"/>
            </w:tcBorders>
            <w:shd w:val="clear" w:color="auto" w:fill="auto"/>
            <w:vAlign w:val="center"/>
          </w:tcPr>
          <w:p w14:paraId="4FF92777" w14:textId="0757A73A" w:rsidR="005164F8" w:rsidRPr="001F731F" w:rsidRDefault="005164F8" w:rsidP="005164F8">
            <w:pPr>
              <w:spacing w:after="0" w:line="240" w:lineRule="auto"/>
              <w:rPr>
                <w:rFonts w:ascii="Arial" w:eastAsia="Times New Roman" w:hAnsi="Arial" w:cs="Arial"/>
                <w:color w:val="000000"/>
                <w:sz w:val="18"/>
                <w:szCs w:val="18"/>
                <w:lang w:val="es-ES_tradnl" w:eastAsia="es-ES"/>
              </w:rPr>
            </w:pPr>
            <w:r w:rsidRPr="005164F8">
              <w:rPr>
                <w:rFonts w:ascii="Arial" w:eastAsia="Arial" w:hAnsi="Arial" w:cs="Arial"/>
                <w:color w:val="000000"/>
                <w:sz w:val="18"/>
                <w:szCs w:val="18"/>
                <w:lang w:val="es-ES"/>
              </w:rPr>
              <w:t>Información de seguimiento y monitoreo del programa recolectada por el OE e información de cartera de FONDEP.</w:t>
            </w:r>
          </w:p>
        </w:tc>
        <w:tc>
          <w:tcPr>
            <w:tcW w:w="3652" w:type="dxa"/>
            <w:tcBorders>
              <w:top w:val="single" w:sz="8" w:space="0" w:color="000000"/>
              <w:left w:val="nil"/>
              <w:bottom w:val="nil"/>
              <w:right w:val="single" w:sz="8" w:space="0" w:color="000000"/>
            </w:tcBorders>
            <w:shd w:val="clear" w:color="auto" w:fill="auto"/>
            <w:vAlign w:val="center"/>
          </w:tcPr>
          <w:p w14:paraId="335A8E55" w14:textId="18079624" w:rsidR="005164F8" w:rsidRPr="005164F8" w:rsidRDefault="005164F8" w:rsidP="005164F8">
            <w:pPr>
              <w:pBdr>
                <w:top w:val="nil"/>
                <w:left w:val="nil"/>
                <w:bottom w:val="nil"/>
                <w:right w:val="nil"/>
                <w:between w:val="nil"/>
              </w:pBdr>
              <w:spacing w:before="120" w:after="120"/>
              <w:jc w:val="both"/>
              <w:rPr>
                <w:rFonts w:ascii="Arial" w:hAnsi="Arial" w:cs="Arial"/>
                <w:color w:val="000000"/>
                <w:sz w:val="18"/>
                <w:szCs w:val="18"/>
                <w:lang w:val="es-ES"/>
              </w:rPr>
            </w:pPr>
            <w:r w:rsidRPr="005164F8">
              <w:rPr>
                <w:rFonts w:ascii="Arial" w:eastAsia="Arial" w:hAnsi="Arial" w:cs="Arial"/>
                <w:color w:val="000000"/>
                <w:sz w:val="18"/>
                <w:szCs w:val="18"/>
                <w:lang w:val="es-ES"/>
              </w:rPr>
              <w:t xml:space="preserve">Se estima que en cada inversión se otorgará un </w:t>
            </w:r>
            <w:r w:rsidRPr="005164F8">
              <w:rPr>
                <w:rFonts w:ascii="Arial" w:eastAsia="Arial" w:hAnsi="Arial" w:cs="Arial"/>
                <w:sz w:val="18"/>
                <w:szCs w:val="18"/>
                <w:lang w:val="es-ES"/>
              </w:rPr>
              <w:t>9</w:t>
            </w:r>
            <w:r w:rsidRPr="005164F8">
              <w:rPr>
                <w:rFonts w:ascii="Arial" w:eastAsia="Arial" w:hAnsi="Arial" w:cs="Arial"/>
                <w:color w:val="000000"/>
                <w:sz w:val="18"/>
                <w:szCs w:val="18"/>
                <w:lang w:val="es-ES"/>
              </w:rPr>
              <w:t xml:space="preserve">0% de financiamiento con recursos del programa para cada crédito, con el </w:t>
            </w:r>
            <w:r w:rsidRPr="005164F8">
              <w:rPr>
                <w:rFonts w:ascii="Arial" w:eastAsia="Arial" w:hAnsi="Arial" w:cs="Arial"/>
                <w:sz w:val="18"/>
                <w:szCs w:val="18"/>
                <w:lang w:val="es-ES"/>
              </w:rPr>
              <w:t>1</w:t>
            </w:r>
            <w:r w:rsidRPr="005164F8">
              <w:rPr>
                <w:rFonts w:ascii="Arial" w:eastAsia="Arial" w:hAnsi="Arial" w:cs="Arial"/>
                <w:color w:val="000000"/>
                <w:sz w:val="18"/>
                <w:szCs w:val="18"/>
                <w:lang w:val="es-ES"/>
              </w:rPr>
              <w:t>0% restante como contrapartida de la empresa</w:t>
            </w:r>
            <w:r w:rsidR="00B37FEC" w:rsidRPr="007B4258">
              <w:rPr>
                <w:rFonts w:ascii="Arial" w:eastAsia="Arial" w:hAnsi="Arial" w:cs="Arial"/>
                <w:sz w:val="18"/>
                <w:szCs w:val="18"/>
                <w:vertAlign w:val="superscript"/>
                <w:lang w:val="es-ES"/>
              </w:rPr>
              <w:t>18</w:t>
            </w:r>
            <w:r w:rsidR="00A74B65" w:rsidRPr="009C352D">
              <w:rPr>
                <w:rFonts w:ascii="Arial" w:eastAsia="Arial" w:hAnsi="Arial" w:cs="Arial"/>
                <w:sz w:val="18"/>
                <w:szCs w:val="18"/>
                <w:lang w:val="es-ES"/>
              </w:rPr>
              <w:t>.</w:t>
            </w:r>
          </w:p>
          <w:p w14:paraId="246BDF77" w14:textId="34132141" w:rsidR="005164F8" w:rsidRPr="001F731F" w:rsidRDefault="005164F8" w:rsidP="005164F8">
            <w:pPr>
              <w:spacing w:after="0" w:line="240" w:lineRule="auto"/>
              <w:jc w:val="both"/>
              <w:rPr>
                <w:rFonts w:ascii="Arial" w:eastAsia="Times New Roman" w:hAnsi="Arial" w:cs="Arial"/>
                <w:color w:val="000000"/>
                <w:sz w:val="18"/>
                <w:szCs w:val="18"/>
                <w:lang w:val="es-ES_tradnl" w:eastAsia="es-ES"/>
              </w:rPr>
            </w:pPr>
            <w:r w:rsidRPr="005164F8">
              <w:rPr>
                <w:rFonts w:ascii="Arial" w:hAnsi="Arial" w:cs="Arial"/>
                <w:color w:val="000000"/>
                <w:sz w:val="18"/>
                <w:szCs w:val="18"/>
                <w:lang w:val="es-ES"/>
              </w:rPr>
              <w:t xml:space="preserve">Se señala que, </w:t>
            </w:r>
            <w:r w:rsidRPr="005164F8">
              <w:rPr>
                <w:rFonts w:ascii="Arial" w:eastAsia="Arial" w:hAnsi="Arial" w:cs="Arial"/>
                <w:sz w:val="18"/>
                <w:szCs w:val="18"/>
                <w:lang w:val="es-ES"/>
              </w:rPr>
              <w:t xml:space="preserve">de acuerdo a la normativa del BCRA para los Fondos de Garantía </w:t>
            </w:r>
            <w:r w:rsidRPr="005164F8">
              <w:rPr>
                <w:rFonts w:ascii="Arial" w:eastAsia="Arial" w:hAnsi="Arial" w:cs="Arial"/>
                <w:sz w:val="18"/>
                <w:szCs w:val="18"/>
                <w:lang w:val="es-ES"/>
              </w:rPr>
              <w:lastRenderedPageBreak/>
              <w:t>Públicos, el apalancamiento permitido es de hasta 8 veces.</w:t>
            </w:r>
          </w:p>
        </w:tc>
      </w:tr>
      <w:tr w:rsidR="005164F8" w:rsidRPr="005336A4" w14:paraId="1CB9FF20" w14:textId="77777777" w:rsidTr="00D31FFA">
        <w:trPr>
          <w:trHeight w:val="133"/>
          <w:jc w:val="center"/>
        </w:trPr>
        <w:tc>
          <w:tcPr>
            <w:tcW w:w="2102" w:type="dxa"/>
            <w:tcBorders>
              <w:top w:val="single" w:sz="8" w:space="0" w:color="000000"/>
              <w:left w:val="single" w:sz="8" w:space="0" w:color="000000"/>
              <w:bottom w:val="nil"/>
              <w:right w:val="single" w:sz="8" w:space="0" w:color="000000"/>
            </w:tcBorders>
            <w:shd w:val="clear" w:color="auto" w:fill="auto"/>
            <w:vAlign w:val="center"/>
          </w:tcPr>
          <w:p w14:paraId="1FBDD723" w14:textId="28DBAC0E" w:rsidR="005164F8" w:rsidRPr="001F731F" w:rsidRDefault="005164F8" w:rsidP="00DD3FD0">
            <w:pPr>
              <w:spacing w:after="0" w:line="240" w:lineRule="auto"/>
              <w:jc w:val="both"/>
              <w:rPr>
                <w:rFonts w:ascii="Arial" w:eastAsia="Times New Roman" w:hAnsi="Arial" w:cs="Arial"/>
                <w:b/>
                <w:bCs/>
                <w:color w:val="000000"/>
                <w:sz w:val="18"/>
                <w:szCs w:val="18"/>
                <w:lang w:val="es-ES_tradnl" w:eastAsia="es-ES"/>
              </w:rPr>
            </w:pPr>
            <w:r w:rsidRPr="005164F8">
              <w:rPr>
                <w:rFonts w:ascii="Arial" w:eastAsia="Arial" w:hAnsi="Arial" w:cs="Arial"/>
                <w:b/>
                <w:sz w:val="18"/>
                <w:szCs w:val="18"/>
                <w:lang w:val="es-ES"/>
              </w:rPr>
              <w:lastRenderedPageBreak/>
              <w:t>Indicador 10:</w:t>
            </w:r>
            <w:r w:rsidRPr="005164F8">
              <w:rPr>
                <w:rFonts w:ascii="Arial" w:eastAsia="Arial" w:hAnsi="Arial" w:cs="Arial"/>
                <w:sz w:val="18"/>
                <w:szCs w:val="18"/>
                <w:lang w:val="es-ES"/>
              </w:rPr>
              <w:t xml:space="preserve"> </w:t>
            </w:r>
            <w:r w:rsidRPr="005164F8">
              <w:rPr>
                <w:lang w:val="es-ES"/>
              </w:rPr>
              <w:t xml:space="preserve"> </w:t>
            </w:r>
            <w:r w:rsidRPr="005164F8">
              <w:rPr>
                <w:rFonts w:ascii="Arial" w:eastAsia="Arial" w:hAnsi="Arial" w:cs="Arial"/>
                <w:sz w:val="18"/>
                <w:szCs w:val="18"/>
                <w:lang w:val="es-ES"/>
              </w:rPr>
              <w:t>Monto total de la cartera</w:t>
            </w:r>
            <w:r w:rsidRPr="005164F8">
              <w:rPr>
                <w:lang w:val="es-ES"/>
              </w:rPr>
              <w:t xml:space="preserve"> </w:t>
            </w:r>
            <w:r w:rsidRPr="005164F8">
              <w:rPr>
                <w:rFonts w:ascii="Arial" w:eastAsia="Arial" w:hAnsi="Arial" w:cs="Arial"/>
                <w:sz w:val="18"/>
                <w:szCs w:val="18"/>
                <w:lang w:val="es-ES"/>
              </w:rPr>
              <w:t>de financiamiento de mediano plazo a la MIPYME apoyada con el programa.</w:t>
            </w:r>
          </w:p>
        </w:tc>
        <w:tc>
          <w:tcPr>
            <w:tcW w:w="1562" w:type="dxa"/>
            <w:tcBorders>
              <w:top w:val="single" w:sz="8" w:space="0" w:color="000000"/>
              <w:left w:val="nil"/>
              <w:bottom w:val="nil"/>
              <w:right w:val="single" w:sz="8" w:space="0" w:color="000000"/>
            </w:tcBorders>
            <w:shd w:val="clear" w:color="auto" w:fill="auto"/>
            <w:vAlign w:val="center"/>
          </w:tcPr>
          <w:p w14:paraId="50F31C8D" w14:textId="39997E77" w:rsidR="005164F8" w:rsidRPr="001F731F" w:rsidRDefault="005164F8" w:rsidP="005164F8">
            <w:pPr>
              <w:spacing w:after="0" w:line="240" w:lineRule="auto"/>
              <w:jc w:val="center"/>
              <w:rPr>
                <w:rFonts w:ascii="Arial" w:eastAsia="Times New Roman" w:hAnsi="Arial" w:cs="Arial"/>
                <w:color w:val="000000"/>
                <w:sz w:val="18"/>
                <w:szCs w:val="18"/>
                <w:lang w:val="es-ES_tradnl" w:eastAsia="es-ES"/>
              </w:rPr>
            </w:pPr>
            <w:r w:rsidRPr="00CC5C07">
              <w:rPr>
                <w:rFonts w:ascii="Arial" w:eastAsia="Arial" w:hAnsi="Arial" w:cs="Arial"/>
                <w:sz w:val="18"/>
                <w:szCs w:val="18"/>
                <w:lang w:val="es-AR"/>
              </w:rPr>
              <w:t>Millones</w:t>
            </w:r>
            <w:r>
              <w:rPr>
                <w:rFonts w:ascii="Arial" w:eastAsia="Arial" w:hAnsi="Arial" w:cs="Arial"/>
                <w:sz w:val="18"/>
                <w:szCs w:val="18"/>
              </w:rPr>
              <w:t xml:space="preserve"> de US$</w:t>
            </w:r>
          </w:p>
        </w:tc>
        <w:tc>
          <w:tcPr>
            <w:tcW w:w="1497" w:type="dxa"/>
            <w:tcBorders>
              <w:top w:val="single" w:sz="8" w:space="0" w:color="000000"/>
              <w:left w:val="nil"/>
              <w:bottom w:val="nil"/>
              <w:right w:val="single" w:sz="8" w:space="0" w:color="000000"/>
            </w:tcBorders>
            <w:shd w:val="clear" w:color="auto" w:fill="auto"/>
            <w:vAlign w:val="center"/>
          </w:tcPr>
          <w:p w14:paraId="199B27F7" w14:textId="6E193812" w:rsidR="005164F8" w:rsidRPr="001F731F" w:rsidRDefault="005164F8" w:rsidP="005164F8">
            <w:pPr>
              <w:spacing w:after="0" w:line="240" w:lineRule="auto"/>
              <w:rPr>
                <w:rFonts w:ascii="Arial" w:eastAsia="Times New Roman" w:hAnsi="Arial" w:cs="Arial"/>
                <w:color w:val="000000"/>
                <w:sz w:val="18"/>
                <w:szCs w:val="18"/>
                <w:lang w:val="es-ES_tradnl" w:eastAsia="es-ES"/>
              </w:rPr>
            </w:pPr>
            <w:r w:rsidRPr="005164F8">
              <w:rPr>
                <w:rFonts w:ascii="Arial" w:eastAsia="Arial" w:hAnsi="Arial" w:cs="Arial"/>
                <w:color w:val="000000"/>
                <w:sz w:val="18"/>
                <w:szCs w:val="18"/>
                <w:lang w:val="es-ES"/>
              </w:rPr>
              <w:t>Información de seguimiento y monitoreo del programa recolectada por el OE e información de cartera de FONDEP.</w:t>
            </w:r>
          </w:p>
        </w:tc>
        <w:tc>
          <w:tcPr>
            <w:tcW w:w="3652" w:type="dxa"/>
            <w:tcBorders>
              <w:top w:val="single" w:sz="8" w:space="0" w:color="000000"/>
              <w:left w:val="nil"/>
              <w:bottom w:val="nil"/>
              <w:right w:val="single" w:sz="8" w:space="0" w:color="000000"/>
            </w:tcBorders>
            <w:shd w:val="clear" w:color="auto" w:fill="auto"/>
            <w:vAlign w:val="center"/>
          </w:tcPr>
          <w:p w14:paraId="17D9218A" w14:textId="01C99955" w:rsidR="005164F8" w:rsidRPr="00B37FEC" w:rsidRDefault="005164F8" w:rsidP="005164F8">
            <w:pPr>
              <w:spacing w:before="120" w:after="120" w:line="240" w:lineRule="auto"/>
              <w:jc w:val="both"/>
              <w:rPr>
                <w:rFonts w:ascii="Arial" w:eastAsia="Arial" w:hAnsi="Arial" w:cs="Arial"/>
                <w:sz w:val="18"/>
                <w:szCs w:val="18"/>
                <w:lang w:val="es-ES"/>
              </w:rPr>
            </w:pPr>
            <w:r w:rsidRPr="005164F8">
              <w:rPr>
                <w:rFonts w:ascii="Arial" w:eastAsia="Arial" w:hAnsi="Arial" w:cs="Arial"/>
                <w:sz w:val="18"/>
                <w:szCs w:val="18"/>
                <w:lang w:val="es-ES"/>
              </w:rPr>
              <w:t>La cartera activa del FONDEP es de 2.200 millones de pesos argentinos</w:t>
            </w:r>
            <w:r w:rsidR="00B37FEC">
              <w:rPr>
                <w:rFonts w:ascii="Arial" w:eastAsia="Arial" w:hAnsi="Arial" w:cs="Arial"/>
                <w:sz w:val="18"/>
                <w:szCs w:val="18"/>
                <w:lang w:val="es-ES"/>
              </w:rPr>
              <w:t xml:space="preserve"> a diciembre de 2019</w:t>
            </w:r>
            <w:r w:rsidRPr="005164F8">
              <w:rPr>
                <w:rFonts w:ascii="Arial" w:eastAsia="Arial" w:hAnsi="Arial" w:cs="Arial"/>
                <w:sz w:val="18"/>
                <w:szCs w:val="18"/>
                <w:lang w:val="es-ES"/>
              </w:rPr>
              <w:t>. Para la conversión se tomó un tipo de cambio de 68,25 pesos argentinos por dólar.</w:t>
            </w:r>
            <w:r w:rsidR="00B37FEC" w:rsidRPr="00B37FEC">
              <w:rPr>
                <w:rFonts w:ascii="Arial" w:eastAsia="Arial" w:hAnsi="Arial" w:cs="Arial"/>
                <w:sz w:val="18"/>
                <w:szCs w:val="18"/>
                <w:lang w:val="es-ES"/>
              </w:rPr>
              <w:t xml:space="preserve"> La meta agrega los recursos del programa para el financiamiento de mediano plazo a la MIPYME del programa a la cartera ya existente en FONDEP</w:t>
            </w:r>
            <w:r w:rsidR="00B37FEC" w:rsidRPr="007B4258">
              <w:rPr>
                <w:rFonts w:ascii="Arial" w:eastAsia="Arial" w:hAnsi="Arial" w:cs="Arial"/>
                <w:sz w:val="18"/>
                <w:szCs w:val="18"/>
                <w:vertAlign w:val="superscript"/>
                <w:lang w:val="es-ES"/>
              </w:rPr>
              <w:t>18</w:t>
            </w:r>
            <w:r w:rsidR="00A74B65" w:rsidRPr="004B411B">
              <w:rPr>
                <w:rFonts w:ascii="Arial" w:eastAsia="Arial" w:hAnsi="Arial" w:cs="Arial"/>
                <w:sz w:val="18"/>
                <w:szCs w:val="18"/>
                <w:lang w:val="es-ES"/>
              </w:rPr>
              <w:t>.</w:t>
            </w:r>
          </w:p>
          <w:p w14:paraId="7058E0EE" w14:textId="7FE85E88" w:rsidR="005164F8" w:rsidRPr="001F731F" w:rsidRDefault="005164F8" w:rsidP="005164F8">
            <w:pPr>
              <w:spacing w:after="0" w:line="240" w:lineRule="auto"/>
              <w:jc w:val="both"/>
              <w:rPr>
                <w:rFonts w:ascii="Arial" w:eastAsia="Times New Roman" w:hAnsi="Arial" w:cs="Arial"/>
                <w:color w:val="000000"/>
                <w:sz w:val="18"/>
                <w:szCs w:val="18"/>
                <w:lang w:val="es-ES_tradnl" w:eastAsia="es-ES"/>
              </w:rPr>
            </w:pPr>
            <w:r w:rsidRPr="005164F8">
              <w:rPr>
                <w:rFonts w:ascii="Arial" w:eastAsia="Arial" w:hAnsi="Arial" w:cs="Arial"/>
                <w:sz w:val="18"/>
                <w:szCs w:val="18"/>
                <w:lang w:val="es-ES"/>
              </w:rPr>
              <w:t>Se señala que el monto de la cartera de FOGAR para garantías de mediano plazo asciende a US$4,75 millones, utilizando un tipo de cambio de 68,25 pesos argentinos por dólar.</w:t>
            </w:r>
          </w:p>
        </w:tc>
      </w:tr>
      <w:tr w:rsidR="005164F8" w:rsidRPr="005336A4" w14:paraId="03A9074D" w14:textId="77777777" w:rsidTr="00D31FFA">
        <w:trPr>
          <w:trHeight w:val="133"/>
          <w:jc w:val="center"/>
        </w:trPr>
        <w:tc>
          <w:tcPr>
            <w:tcW w:w="2102" w:type="dxa"/>
            <w:tcBorders>
              <w:top w:val="single" w:sz="8" w:space="0" w:color="000000"/>
              <w:left w:val="single" w:sz="8" w:space="0" w:color="000000"/>
              <w:bottom w:val="nil"/>
              <w:right w:val="single" w:sz="8" w:space="0" w:color="000000"/>
            </w:tcBorders>
            <w:shd w:val="clear" w:color="auto" w:fill="auto"/>
            <w:vAlign w:val="center"/>
          </w:tcPr>
          <w:p w14:paraId="11E428BA" w14:textId="2CD2E64D" w:rsidR="005164F8" w:rsidRPr="005164F8" w:rsidRDefault="005164F8" w:rsidP="00DD3FD0">
            <w:pPr>
              <w:spacing w:after="0" w:line="240" w:lineRule="auto"/>
              <w:jc w:val="both"/>
              <w:rPr>
                <w:rFonts w:ascii="Arial" w:eastAsia="Arial" w:hAnsi="Arial" w:cs="Arial"/>
                <w:b/>
                <w:sz w:val="18"/>
                <w:szCs w:val="18"/>
                <w:lang w:val="es-ES"/>
              </w:rPr>
            </w:pPr>
            <w:r w:rsidRPr="005164F8">
              <w:rPr>
                <w:rFonts w:ascii="Arial" w:eastAsia="Arial" w:hAnsi="Arial" w:cs="Arial"/>
                <w:b/>
                <w:sz w:val="18"/>
                <w:szCs w:val="18"/>
                <w:lang w:val="es-ES"/>
              </w:rPr>
              <w:t>Indicador 11:</w:t>
            </w:r>
            <w:r w:rsidRPr="005164F8">
              <w:rPr>
                <w:rFonts w:ascii="Arial" w:eastAsia="Arial" w:hAnsi="Arial" w:cs="Arial"/>
                <w:sz w:val="18"/>
                <w:szCs w:val="18"/>
                <w:lang w:val="es-ES"/>
              </w:rPr>
              <w:t xml:space="preserve"> </w:t>
            </w:r>
            <w:r w:rsidRPr="005164F8">
              <w:rPr>
                <w:lang w:val="es-ES"/>
              </w:rPr>
              <w:t xml:space="preserve"> </w:t>
            </w:r>
            <w:r w:rsidRPr="005164F8">
              <w:rPr>
                <w:rFonts w:ascii="Arial" w:eastAsia="Arial" w:hAnsi="Arial" w:cs="Arial"/>
                <w:sz w:val="18"/>
                <w:szCs w:val="18"/>
                <w:lang w:val="es-ES"/>
              </w:rPr>
              <w:t xml:space="preserve">Proporción de crédito a MIPYME de mujeres en la cartera de financiamiento </w:t>
            </w:r>
            <w:r w:rsidR="00B37FEC">
              <w:rPr>
                <w:rFonts w:ascii="Arial" w:eastAsia="Arial" w:hAnsi="Arial" w:cs="Arial"/>
                <w:sz w:val="18"/>
                <w:szCs w:val="18"/>
                <w:lang w:val="es-ES"/>
              </w:rPr>
              <w:t>a la</w:t>
            </w:r>
            <w:r w:rsidRPr="005164F8">
              <w:rPr>
                <w:rFonts w:ascii="Arial" w:eastAsia="Arial" w:hAnsi="Arial" w:cs="Arial"/>
                <w:sz w:val="18"/>
                <w:szCs w:val="18"/>
                <w:lang w:val="es-ES"/>
              </w:rPr>
              <w:t xml:space="preserve"> MIPYME.</w:t>
            </w:r>
          </w:p>
        </w:tc>
        <w:tc>
          <w:tcPr>
            <w:tcW w:w="1562" w:type="dxa"/>
            <w:tcBorders>
              <w:top w:val="single" w:sz="8" w:space="0" w:color="000000"/>
              <w:left w:val="nil"/>
              <w:bottom w:val="nil"/>
              <w:right w:val="single" w:sz="8" w:space="0" w:color="000000"/>
            </w:tcBorders>
            <w:shd w:val="clear" w:color="auto" w:fill="auto"/>
            <w:vAlign w:val="center"/>
          </w:tcPr>
          <w:p w14:paraId="78FB1CB1" w14:textId="7BAF16D9" w:rsidR="005164F8" w:rsidRDefault="005164F8" w:rsidP="005164F8">
            <w:pPr>
              <w:spacing w:after="0" w:line="240" w:lineRule="auto"/>
              <w:jc w:val="center"/>
              <w:rPr>
                <w:rFonts w:ascii="Arial" w:eastAsia="Arial" w:hAnsi="Arial" w:cs="Arial"/>
                <w:sz w:val="18"/>
                <w:szCs w:val="18"/>
              </w:rPr>
            </w:pPr>
            <w:r>
              <w:rPr>
                <w:rFonts w:ascii="Arial" w:eastAsia="Arial" w:hAnsi="Arial" w:cs="Arial"/>
                <w:sz w:val="18"/>
                <w:szCs w:val="18"/>
              </w:rPr>
              <w:t>%</w:t>
            </w:r>
          </w:p>
        </w:tc>
        <w:tc>
          <w:tcPr>
            <w:tcW w:w="1497" w:type="dxa"/>
            <w:tcBorders>
              <w:top w:val="single" w:sz="8" w:space="0" w:color="000000"/>
              <w:left w:val="nil"/>
              <w:bottom w:val="nil"/>
              <w:right w:val="single" w:sz="8" w:space="0" w:color="000000"/>
            </w:tcBorders>
            <w:shd w:val="clear" w:color="auto" w:fill="auto"/>
            <w:vAlign w:val="center"/>
          </w:tcPr>
          <w:p w14:paraId="5488AA2F" w14:textId="1D4045D2" w:rsidR="005164F8" w:rsidRPr="005164F8" w:rsidRDefault="005164F8" w:rsidP="005164F8">
            <w:pPr>
              <w:spacing w:after="0" w:line="240" w:lineRule="auto"/>
              <w:rPr>
                <w:rFonts w:ascii="Arial" w:eastAsia="Arial" w:hAnsi="Arial" w:cs="Arial"/>
                <w:color w:val="000000"/>
                <w:sz w:val="18"/>
                <w:szCs w:val="18"/>
                <w:lang w:val="es-ES"/>
              </w:rPr>
            </w:pPr>
            <w:r w:rsidRPr="005164F8">
              <w:rPr>
                <w:rFonts w:ascii="Arial" w:eastAsia="Arial" w:hAnsi="Arial" w:cs="Arial"/>
                <w:color w:val="000000"/>
                <w:sz w:val="18"/>
                <w:szCs w:val="18"/>
                <w:lang w:val="es-ES"/>
              </w:rPr>
              <w:t>Información de seguimiento y monitoreo del programa recolectada por el OE e información de cartera de FONDEP.</w:t>
            </w:r>
          </w:p>
        </w:tc>
        <w:tc>
          <w:tcPr>
            <w:tcW w:w="3652" w:type="dxa"/>
            <w:tcBorders>
              <w:top w:val="single" w:sz="8" w:space="0" w:color="000000"/>
              <w:left w:val="nil"/>
              <w:bottom w:val="nil"/>
              <w:right w:val="single" w:sz="8" w:space="0" w:color="000000"/>
            </w:tcBorders>
            <w:shd w:val="clear" w:color="auto" w:fill="auto"/>
            <w:vAlign w:val="center"/>
          </w:tcPr>
          <w:p w14:paraId="45C33A24" w14:textId="31D9D27E" w:rsidR="005164F8" w:rsidRPr="005164F8" w:rsidRDefault="00B37FEC" w:rsidP="005164F8">
            <w:pPr>
              <w:spacing w:before="120" w:after="120" w:line="240" w:lineRule="auto"/>
              <w:jc w:val="both"/>
              <w:rPr>
                <w:rFonts w:ascii="Arial" w:eastAsia="Arial" w:hAnsi="Arial" w:cs="Arial"/>
                <w:sz w:val="18"/>
                <w:szCs w:val="18"/>
                <w:lang w:val="es-ES"/>
              </w:rPr>
            </w:pPr>
            <w:r>
              <w:rPr>
                <w:rFonts w:ascii="Arial" w:eastAsia="Arial" w:hAnsi="Arial" w:cs="Arial"/>
                <w:sz w:val="18"/>
                <w:szCs w:val="18"/>
                <w:lang w:val="es-ES"/>
              </w:rPr>
              <w:t>Seguimiento de género.</w:t>
            </w:r>
          </w:p>
          <w:p w14:paraId="6D9A6166" w14:textId="77777777" w:rsidR="005164F8" w:rsidRPr="005164F8" w:rsidRDefault="005164F8" w:rsidP="005164F8">
            <w:pPr>
              <w:spacing w:before="120" w:after="120" w:line="240" w:lineRule="auto"/>
              <w:jc w:val="both"/>
              <w:rPr>
                <w:rFonts w:ascii="Arial" w:eastAsia="Arial" w:hAnsi="Arial" w:cs="Arial"/>
                <w:sz w:val="18"/>
                <w:szCs w:val="18"/>
                <w:lang w:val="es-ES"/>
              </w:rPr>
            </w:pPr>
            <w:r w:rsidRPr="005164F8">
              <w:rPr>
                <w:rFonts w:ascii="Arial" w:eastAsia="Arial" w:hAnsi="Arial" w:cs="Arial"/>
                <w:sz w:val="18"/>
                <w:szCs w:val="18"/>
                <w:lang w:val="es-ES"/>
              </w:rPr>
              <w:t>Se entiende por MIPYME de mujeres, aquellas empresas lideradas o de propiedad de mujeres (con más del 50% del paquete accionario en manos de mujeres o con al menos el 25% del paquete accionario en mano de mujeres y al menos una mujer en un puesto de decisión).</w:t>
            </w:r>
          </w:p>
          <w:p w14:paraId="56977C97" w14:textId="3FAA11DE" w:rsidR="005164F8" w:rsidRPr="005164F8" w:rsidRDefault="005164F8" w:rsidP="005164F8">
            <w:pPr>
              <w:spacing w:before="120" w:after="120" w:line="240" w:lineRule="auto"/>
              <w:jc w:val="both"/>
              <w:rPr>
                <w:rFonts w:ascii="Arial" w:eastAsia="Arial" w:hAnsi="Arial" w:cs="Arial"/>
                <w:sz w:val="18"/>
                <w:szCs w:val="18"/>
                <w:lang w:val="es-ES"/>
              </w:rPr>
            </w:pPr>
            <w:r w:rsidRPr="005164F8">
              <w:rPr>
                <w:rFonts w:ascii="Arial" w:eastAsia="Arial" w:hAnsi="Arial" w:cs="Arial"/>
                <w:sz w:val="18"/>
                <w:szCs w:val="18"/>
                <w:lang w:val="es-ES"/>
              </w:rPr>
              <w:t xml:space="preserve">Se toma como línea de base el valor observado para la cartera del Banco de Inversión y Comercio Exterior (BICE), fideicomiso para este programa, como proxy de la estructura de cartera de FONDEP. Hasta la fecha, FONDEP no recogía esta información que sí se comenzará a medir con el </w:t>
            </w:r>
            <w:r w:rsidR="00E4473B">
              <w:rPr>
                <w:rFonts w:ascii="Arial" w:eastAsia="Arial" w:hAnsi="Arial" w:cs="Arial"/>
                <w:sz w:val="18"/>
                <w:szCs w:val="18"/>
                <w:lang w:val="es-ES"/>
              </w:rPr>
              <w:t>p</w:t>
            </w:r>
            <w:r w:rsidRPr="005164F8">
              <w:rPr>
                <w:rFonts w:ascii="Arial" w:eastAsia="Arial" w:hAnsi="Arial" w:cs="Arial"/>
                <w:sz w:val="18"/>
                <w:szCs w:val="18"/>
                <w:lang w:val="es-ES"/>
              </w:rPr>
              <w:t>rograma. Se señala que la definición de MIPYME de mujeres para el monitoreo es consistente con la adoptada por el BICE para la medición de la línea de base.</w:t>
            </w:r>
          </w:p>
          <w:p w14:paraId="19F5BEE5" w14:textId="58A0C4D0" w:rsidR="005164F8" w:rsidRPr="005164F8" w:rsidRDefault="00A74B65" w:rsidP="005164F8">
            <w:pPr>
              <w:spacing w:before="120" w:after="120" w:line="240" w:lineRule="auto"/>
              <w:jc w:val="both"/>
              <w:rPr>
                <w:rFonts w:ascii="Arial" w:eastAsia="Arial" w:hAnsi="Arial" w:cs="Arial"/>
                <w:sz w:val="18"/>
                <w:szCs w:val="18"/>
                <w:lang w:val="es-ES"/>
              </w:rPr>
            </w:pPr>
            <w:r w:rsidRPr="00A74B65">
              <w:rPr>
                <w:rFonts w:ascii="Arial" w:eastAsia="Arial" w:hAnsi="Arial" w:cs="Arial"/>
                <w:sz w:val="18"/>
                <w:szCs w:val="18"/>
                <w:lang w:val="es-ES"/>
              </w:rPr>
              <w:t>El programa indica que se dedicará al menos el 20% de los recursos al financiamiento de la MIPYME de mujeres.</w:t>
            </w:r>
          </w:p>
        </w:tc>
      </w:tr>
      <w:tr w:rsidR="00494070" w:rsidRPr="001F731F" w14:paraId="50537562" w14:textId="77777777" w:rsidTr="00D31FFA">
        <w:trPr>
          <w:trHeight w:val="320"/>
          <w:jc w:val="center"/>
        </w:trPr>
        <w:tc>
          <w:tcPr>
            <w:tcW w:w="8813" w:type="dxa"/>
            <w:gridSpan w:val="4"/>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5CFC263A" w14:textId="77777777" w:rsidR="00494070" w:rsidRPr="001F731F" w:rsidRDefault="00494070" w:rsidP="00494070">
            <w:pPr>
              <w:spacing w:after="0" w:line="240" w:lineRule="auto"/>
              <w:jc w:val="center"/>
              <w:rPr>
                <w:rFonts w:ascii="Arial" w:eastAsia="Times New Roman" w:hAnsi="Arial" w:cs="Arial"/>
                <w:b/>
                <w:bCs/>
                <w:color w:val="000000"/>
                <w:sz w:val="18"/>
                <w:szCs w:val="18"/>
                <w:lang w:val="es-ES_tradnl" w:eastAsia="es-ES"/>
              </w:rPr>
            </w:pPr>
            <w:r w:rsidRPr="001F731F">
              <w:rPr>
                <w:rFonts w:ascii="Arial" w:eastAsia="Times New Roman" w:hAnsi="Arial" w:cs="Arial"/>
                <w:b/>
                <w:bCs/>
                <w:color w:val="000000"/>
                <w:sz w:val="18"/>
                <w:szCs w:val="18"/>
                <w:lang w:val="es-ES_tradnl" w:eastAsia="es-ES"/>
              </w:rPr>
              <w:t>Indicadores de Producto</w:t>
            </w:r>
          </w:p>
        </w:tc>
      </w:tr>
      <w:tr w:rsidR="00122A84" w:rsidRPr="005336A4" w14:paraId="6ACF28AF" w14:textId="77777777" w:rsidTr="00376D49">
        <w:trPr>
          <w:trHeight w:val="320"/>
          <w:jc w:val="center"/>
        </w:trPr>
        <w:tc>
          <w:tcPr>
            <w:tcW w:w="8813" w:type="dxa"/>
            <w:gridSpan w:val="4"/>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4D5FAF26" w14:textId="24420275" w:rsidR="00122A84" w:rsidRPr="001F731F" w:rsidRDefault="00122A84" w:rsidP="00376D49">
            <w:pPr>
              <w:spacing w:after="0" w:line="240" w:lineRule="auto"/>
              <w:jc w:val="both"/>
              <w:rPr>
                <w:rFonts w:ascii="Arial" w:eastAsia="Times New Roman" w:hAnsi="Arial" w:cs="Arial"/>
                <w:b/>
                <w:bCs/>
                <w:color w:val="000000"/>
                <w:sz w:val="18"/>
                <w:szCs w:val="18"/>
                <w:u w:val="single"/>
                <w:lang w:val="es-ES_tradnl" w:eastAsia="es-ES"/>
              </w:rPr>
            </w:pPr>
            <w:r>
              <w:rPr>
                <w:rFonts w:ascii="Arial" w:eastAsia="Times New Roman" w:hAnsi="Arial" w:cs="Arial"/>
                <w:b/>
                <w:bCs/>
                <w:color w:val="000000"/>
                <w:sz w:val="18"/>
                <w:szCs w:val="18"/>
                <w:u w:val="single"/>
                <w:lang w:val="es-ES_tradnl" w:eastAsia="es-ES"/>
              </w:rPr>
              <w:t>Componente Único</w:t>
            </w:r>
            <w:r w:rsidRPr="001F731F">
              <w:rPr>
                <w:rFonts w:ascii="Arial" w:eastAsia="Times New Roman" w:hAnsi="Arial" w:cs="Arial"/>
                <w:b/>
                <w:bCs/>
                <w:color w:val="000000"/>
                <w:sz w:val="18"/>
                <w:szCs w:val="18"/>
                <w:u w:val="single"/>
                <w:lang w:val="es-ES_tradnl" w:eastAsia="es-ES"/>
              </w:rPr>
              <w:t xml:space="preserve">: </w:t>
            </w:r>
            <w:r w:rsidRPr="003A3078">
              <w:rPr>
                <w:rFonts w:ascii="Arial" w:hAnsi="Arial" w:cs="Arial"/>
                <w:b/>
                <w:sz w:val="18"/>
                <w:szCs w:val="18"/>
                <w:u w:val="single"/>
                <w:lang w:val="es-ES" w:eastAsia="zh-CN"/>
              </w:rPr>
              <w:t>Apoyo a</w:t>
            </w:r>
            <w:r>
              <w:rPr>
                <w:rFonts w:ascii="Arial" w:hAnsi="Arial" w:cs="Arial"/>
                <w:b/>
                <w:sz w:val="18"/>
                <w:szCs w:val="18"/>
                <w:u w:val="single"/>
                <w:lang w:val="es-ES" w:eastAsia="zh-CN"/>
              </w:rPr>
              <w:t>l financiamiento de la MIPYME</w:t>
            </w:r>
            <w:r w:rsidRPr="003A3078">
              <w:rPr>
                <w:rFonts w:ascii="Arial" w:hAnsi="Arial" w:cs="Arial"/>
                <w:b/>
                <w:sz w:val="18"/>
                <w:szCs w:val="18"/>
                <w:u w:val="single"/>
                <w:lang w:val="es-ES" w:eastAsia="zh-CN"/>
              </w:rPr>
              <w:t xml:space="preserve"> </w:t>
            </w:r>
            <w:r w:rsidRPr="00865DAC">
              <w:rPr>
                <w:rFonts w:ascii="Arial" w:hAnsi="Arial" w:cs="Arial"/>
                <w:b/>
                <w:smallCaps/>
                <w:sz w:val="18"/>
                <w:szCs w:val="18"/>
                <w:u w:val="single"/>
                <w:lang w:val="es-ES"/>
              </w:rPr>
              <w:t>(</w:t>
            </w:r>
            <w:r>
              <w:rPr>
                <w:rFonts w:ascii="Arial" w:hAnsi="Arial" w:cs="Arial"/>
                <w:b/>
                <w:smallCaps/>
                <w:sz w:val="18"/>
                <w:szCs w:val="18"/>
                <w:u w:val="single"/>
                <w:lang w:val="es-ES"/>
              </w:rPr>
              <w:t xml:space="preserve">US$497 </w:t>
            </w:r>
            <w:r w:rsidRPr="000C6DDB">
              <w:rPr>
                <w:rFonts w:ascii="Arial" w:hAnsi="Arial" w:cs="Arial"/>
                <w:b/>
                <w:sz w:val="18"/>
                <w:szCs w:val="18"/>
                <w:u w:val="single"/>
                <w:lang w:val="es-ES" w:eastAsia="zh-CN"/>
              </w:rPr>
              <w:t>millones</w:t>
            </w:r>
            <w:r>
              <w:rPr>
                <w:rFonts w:ascii="Arial" w:hAnsi="Arial" w:cs="Arial"/>
                <w:b/>
                <w:smallCaps/>
                <w:sz w:val="18"/>
                <w:szCs w:val="18"/>
                <w:u w:val="single"/>
                <w:lang w:val="es-ES"/>
              </w:rPr>
              <w:t>)</w:t>
            </w:r>
          </w:p>
        </w:tc>
      </w:tr>
      <w:tr w:rsidR="00122A84" w:rsidRPr="005336A4" w14:paraId="6B09DAC5" w14:textId="77777777" w:rsidTr="00376D49">
        <w:trPr>
          <w:trHeight w:val="320"/>
          <w:jc w:val="center"/>
        </w:trPr>
        <w:tc>
          <w:tcPr>
            <w:tcW w:w="8813" w:type="dxa"/>
            <w:gridSpan w:val="4"/>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2858A049" w14:textId="2F0EA437" w:rsidR="00122A84" w:rsidRPr="001F731F" w:rsidRDefault="00122A84" w:rsidP="00376D49">
            <w:pPr>
              <w:spacing w:after="0" w:line="240" w:lineRule="auto"/>
              <w:jc w:val="both"/>
              <w:rPr>
                <w:rFonts w:ascii="Arial" w:eastAsia="Times New Roman" w:hAnsi="Arial" w:cs="Arial"/>
                <w:b/>
                <w:bCs/>
                <w:color w:val="000000"/>
                <w:sz w:val="18"/>
                <w:szCs w:val="18"/>
                <w:u w:val="single"/>
                <w:lang w:val="es-ES_tradnl" w:eastAsia="es-ES"/>
              </w:rPr>
            </w:pPr>
            <w:r>
              <w:rPr>
                <w:rFonts w:ascii="Arial" w:eastAsia="Times New Roman" w:hAnsi="Arial" w:cs="Arial"/>
                <w:b/>
                <w:bCs/>
                <w:color w:val="000000"/>
                <w:sz w:val="18"/>
                <w:szCs w:val="18"/>
                <w:u w:val="single"/>
                <w:lang w:val="es-ES_tradnl" w:eastAsia="es-ES"/>
              </w:rPr>
              <w:t>Subc</w:t>
            </w:r>
            <w:r w:rsidRPr="001F731F">
              <w:rPr>
                <w:rFonts w:ascii="Arial" w:eastAsia="Times New Roman" w:hAnsi="Arial" w:cs="Arial"/>
                <w:b/>
                <w:bCs/>
                <w:color w:val="000000"/>
                <w:sz w:val="18"/>
                <w:szCs w:val="18"/>
                <w:u w:val="single"/>
                <w:lang w:val="es-ES_tradnl" w:eastAsia="es-ES"/>
              </w:rPr>
              <w:t xml:space="preserve">omponente 1: </w:t>
            </w:r>
            <w:r w:rsidRPr="003A3078">
              <w:rPr>
                <w:rFonts w:ascii="Arial" w:hAnsi="Arial" w:cs="Arial"/>
                <w:b/>
                <w:sz w:val="18"/>
                <w:szCs w:val="18"/>
                <w:u w:val="single"/>
                <w:lang w:val="es-ES" w:eastAsia="zh-CN"/>
              </w:rPr>
              <w:t xml:space="preserve">Apoyo a la mejora de las capacidades financieras a corto plazo </w:t>
            </w:r>
            <w:r w:rsidRPr="00865DAC">
              <w:rPr>
                <w:rFonts w:ascii="Arial" w:hAnsi="Arial" w:cs="Arial"/>
                <w:b/>
                <w:smallCaps/>
                <w:sz w:val="18"/>
                <w:szCs w:val="18"/>
                <w:u w:val="single"/>
                <w:lang w:val="es-ES"/>
              </w:rPr>
              <w:t>(</w:t>
            </w:r>
            <w:r>
              <w:rPr>
                <w:rFonts w:ascii="Arial" w:hAnsi="Arial" w:cs="Arial"/>
                <w:b/>
                <w:smallCaps/>
                <w:sz w:val="18"/>
                <w:szCs w:val="18"/>
                <w:u w:val="single"/>
                <w:lang w:val="es-ES"/>
              </w:rPr>
              <w:t xml:space="preserve">US$407 </w:t>
            </w:r>
            <w:r w:rsidRPr="000C6DDB">
              <w:rPr>
                <w:rFonts w:ascii="Arial" w:hAnsi="Arial" w:cs="Arial"/>
                <w:b/>
                <w:sz w:val="18"/>
                <w:szCs w:val="18"/>
                <w:u w:val="single"/>
                <w:lang w:val="es-ES" w:eastAsia="zh-CN"/>
              </w:rPr>
              <w:t>millones</w:t>
            </w:r>
            <w:r>
              <w:rPr>
                <w:rFonts w:ascii="Arial" w:hAnsi="Arial" w:cs="Arial"/>
                <w:b/>
                <w:smallCaps/>
                <w:sz w:val="18"/>
                <w:szCs w:val="18"/>
                <w:u w:val="single"/>
                <w:lang w:val="es-ES"/>
              </w:rPr>
              <w:t>)</w:t>
            </w:r>
          </w:p>
        </w:tc>
      </w:tr>
      <w:tr w:rsidR="00494070" w:rsidRPr="005336A4" w14:paraId="03458F45" w14:textId="77777777" w:rsidTr="00D31FFA">
        <w:trPr>
          <w:trHeight w:val="320"/>
          <w:jc w:val="center"/>
        </w:trPr>
        <w:tc>
          <w:tcPr>
            <w:tcW w:w="8813" w:type="dxa"/>
            <w:gridSpan w:val="4"/>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2CCB032D" w14:textId="402E7FE8" w:rsidR="00494070" w:rsidRPr="001F731F" w:rsidRDefault="00494070" w:rsidP="00494070">
            <w:pPr>
              <w:spacing w:after="0" w:line="240" w:lineRule="auto"/>
              <w:jc w:val="both"/>
              <w:rPr>
                <w:rFonts w:ascii="Arial" w:eastAsia="Times New Roman" w:hAnsi="Arial" w:cs="Arial"/>
                <w:b/>
                <w:bCs/>
                <w:color w:val="000000"/>
                <w:sz w:val="18"/>
                <w:szCs w:val="18"/>
                <w:u w:val="single"/>
                <w:lang w:val="es-ES_tradnl" w:eastAsia="es-ES"/>
              </w:rPr>
            </w:pPr>
            <w:bookmarkStart w:id="12" w:name="_Hlk36295470"/>
            <w:r w:rsidRPr="003A3078">
              <w:rPr>
                <w:rFonts w:ascii="Arial" w:hAnsi="Arial" w:cs="Arial"/>
                <w:b/>
                <w:sz w:val="18"/>
                <w:szCs w:val="18"/>
                <w:u w:val="single"/>
                <w:lang w:val="es-ES" w:eastAsia="zh-CN"/>
              </w:rPr>
              <w:t>Apoyo a la mejora de las capacidades financieras a corto plazo</w:t>
            </w:r>
            <w:r w:rsidR="00122A84">
              <w:rPr>
                <w:rFonts w:ascii="Arial" w:hAnsi="Arial" w:cs="Arial"/>
                <w:b/>
                <w:sz w:val="18"/>
                <w:szCs w:val="18"/>
                <w:u w:val="single"/>
                <w:lang w:val="es-ES" w:eastAsia="zh-CN"/>
              </w:rPr>
              <w:t xml:space="preserve"> </w:t>
            </w:r>
            <w:r w:rsidR="00122A84" w:rsidRPr="00122A84">
              <w:rPr>
                <w:rFonts w:ascii="Arial" w:hAnsi="Arial" w:cs="Arial"/>
                <w:b/>
                <w:sz w:val="18"/>
                <w:szCs w:val="18"/>
                <w:u w:val="single"/>
                <w:lang w:val="es-ES" w:eastAsia="zh-CN"/>
              </w:rPr>
              <w:t>mediante capital de trabajo y refinanciación de deudas a través de FONDEP</w:t>
            </w:r>
            <w:r w:rsidRPr="003A3078">
              <w:rPr>
                <w:rFonts w:ascii="Arial" w:hAnsi="Arial" w:cs="Arial"/>
                <w:b/>
                <w:sz w:val="18"/>
                <w:szCs w:val="18"/>
                <w:u w:val="single"/>
                <w:lang w:val="es-ES" w:eastAsia="zh-CN"/>
              </w:rPr>
              <w:t xml:space="preserve"> </w:t>
            </w:r>
            <w:bookmarkEnd w:id="12"/>
            <w:r w:rsidRPr="00865DAC">
              <w:rPr>
                <w:rFonts w:ascii="Arial" w:hAnsi="Arial" w:cs="Arial"/>
                <w:b/>
                <w:smallCaps/>
                <w:sz w:val="18"/>
                <w:szCs w:val="18"/>
                <w:u w:val="single"/>
                <w:lang w:val="es-ES"/>
              </w:rPr>
              <w:t>(</w:t>
            </w:r>
            <w:r>
              <w:rPr>
                <w:rFonts w:ascii="Arial" w:hAnsi="Arial" w:cs="Arial"/>
                <w:b/>
                <w:smallCaps/>
                <w:sz w:val="18"/>
                <w:szCs w:val="18"/>
                <w:u w:val="single"/>
                <w:lang w:val="es-ES"/>
              </w:rPr>
              <w:t>US$</w:t>
            </w:r>
            <w:r w:rsidR="00D209DB">
              <w:rPr>
                <w:rFonts w:ascii="Arial" w:hAnsi="Arial" w:cs="Arial"/>
                <w:b/>
                <w:smallCaps/>
                <w:sz w:val="18"/>
                <w:szCs w:val="18"/>
                <w:u w:val="single"/>
                <w:lang w:val="es-ES"/>
              </w:rPr>
              <w:t>289</w:t>
            </w:r>
            <w:r w:rsidR="000C6DDB">
              <w:rPr>
                <w:rFonts w:ascii="Arial" w:hAnsi="Arial" w:cs="Arial"/>
                <w:b/>
                <w:smallCaps/>
                <w:sz w:val="18"/>
                <w:szCs w:val="18"/>
                <w:u w:val="single"/>
                <w:lang w:val="es-ES"/>
              </w:rPr>
              <w:t xml:space="preserve"> </w:t>
            </w:r>
            <w:r w:rsidR="000C6DDB" w:rsidRPr="000C6DDB">
              <w:rPr>
                <w:rFonts w:ascii="Arial" w:hAnsi="Arial" w:cs="Arial"/>
                <w:b/>
                <w:sz w:val="18"/>
                <w:szCs w:val="18"/>
                <w:u w:val="single"/>
                <w:lang w:val="es-ES" w:eastAsia="zh-CN"/>
              </w:rPr>
              <w:t>millones</w:t>
            </w:r>
            <w:r w:rsidR="000C6DDB">
              <w:rPr>
                <w:rFonts w:ascii="Arial" w:hAnsi="Arial" w:cs="Arial"/>
                <w:b/>
                <w:smallCaps/>
                <w:sz w:val="18"/>
                <w:szCs w:val="18"/>
                <w:u w:val="single"/>
                <w:lang w:val="es-ES"/>
              </w:rPr>
              <w:t>)</w:t>
            </w:r>
          </w:p>
        </w:tc>
      </w:tr>
      <w:tr w:rsidR="00122A84" w:rsidRPr="005336A4" w14:paraId="6AB21307" w14:textId="77777777" w:rsidTr="00D31FFA">
        <w:trPr>
          <w:trHeight w:val="2077"/>
          <w:jc w:val="center"/>
        </w:trPr>
        <w:tc>
          <w:tcPr>
            <w:tcW w:w="2102" w:type="dxa"/>
            <w:tcBorders>
              <w:top w:val="nil"/>
              <w:left w:val="single" w:sz="8" w:space="0" w:color="000000"/>
              <w:bottom w:val="single" w:sz="8" w:space="0" w:color="000000"/>
              <w:right w:val="single" w:sz="8" w:space="0" w:color="000000"/>
            </w:tcBorders>
            <w:shd w:val="clear" w:color="auto" w:fill="auto"/>
            <w:vAlign w:val="center"/>
            <w:hideMark/>
          </w:tcPr>
          <w:p w14:paraId="52B675A9" w14:textId="15D19E95" w:rsidR="00122A84" w:rsidRPr="001F731F" w:rsidRDefault="00122A84" w:rsidP="00DD3FD0">
            <w:pPr>
              <w:spacing w:after="0" w:line="240" w:lineRule="auto"/>
              <w:jc w:val="both"/>
              <w:rPr>
                <w:rFonts w:ascii="Arial" w:eastAsia="Times New Roman" w:hAnsi="Arial" w:cs="Arial"/>
                <w:b/>
                <w:bCs/>
                <w:color w:val="000000"/>
                <w:sz w:val="18"/>
                <w:szCs w:val="18"/>
                <w:lang w:val="es-ES_tradnl" w:eastAsia="es-ES"/>
              </w:rPr>
            </w:pPr>
            <w:r w:rsidRPr="00122A84">
              <w:rPr>
                <w:rFonts w:ascii="Arial" w:eastAsia="Arial" w:hAnsi="Arial" w:cs="Arial"/>
                <w:b/>
                <w:sz w:val="18"/>
                <w:szCs w:val="18"/>
                <w:lang w:val="es-ES"/>
              </w:rPr>
              <w:lastRenderedPageBreak/>
              <w:t>Producto 1:</w:t>
            </w:r>
            <w:r w:rsidRPr="00122A84">
              <w:rPr>
                <w:rFonts w:ascii="Arial" w:eastAsia="Arial" w:hAnsi="Arial" w:cs="Arial"/>
                <w:sz w:val="18"/>
                <w:szCs w:val="18"/>
                <w:lang w:val="es-ES"/>
              </w:rPr>
              <w:t xml:space="preserve"> Monto otorgado para el financiamiento de capital de trabajo para MIPYME con recursos del programa.</w:t>
            </w:r>
          </w:p>
        </w:tc>
        <w:tc>
          <w:tcPr>
            <w:tcW w:w="1562" w:type="dxa"/>
            <w:tcBorders>
              <w:top w:val="nil"/>
              <w:left w:val="nil"/>
              <w:bottom w:val="single" w:sz="8" w:space="0" w:color="000000"/>
              <w:right w:val="single" w:sz="8" w:space="0" w:color="000000"/>
            </w:tcBorders>
            <w:shd w:val="clear" w:color="auto" w:fill="auto"/>
            <w:vAlign w:val="center"/>
            <w:hideMark/>
          </w:tcPr>
          <w:p w14:paraId="3CCCC011" w14:textId="0BB844DE" w:rsidR="00122A84" w:rsidRPr="001F731F" w:rsidRDefault="00122A84" w:rsidP="00122A84">
            <w:pPr>
              <w:spacing w:after="0" w:line="240" w:lineRule="auto"/>
              <w:jc w:val="center"/>
              <w:rPr>
                <w:rFonts w:ascii="Arial" w:eastAsia="Times New Roman" w:hAnsi="Arial" w:cs="Arial"/>
                <w:color w:val="000000"/>
                <w:sz w:val="18"/>
                <w:szCs w:val="18"/>
                <w:lang w:val="es-ES_tradnl" w:eastAsia="es-ES"/>
              </w:rPr>
            </w:pPr>
            <w:r w:rsidRPr="00CC5C07">
              <w:rPr>
                <w:rFonts w:ascii="Arial" w:eastAsia="Arial" w:hAnsi="Arial" w:cs="Arial"/>
                <w:sz w:val="18"/>
                <w:szCs w:val="18"/>
                <w:lang w:val="es-AR"/>
              </w:rPr>
              <w:t>Millones</w:t>
            </w:r>
            <w:r w:rsidR="003B7A67">
              <w:rPr>
                <w:rFonts w:ascii="Arial" w:eastAsia="Arial" w:hAnsi="Arial" w:cs="Arial"/>
                <w:sz w:val="18"/>
                <w:szCs w:val="18"/>
              </w:rPr>
              <w:t xml:space="preserve"> </w:t>
            </w:r>
            <w:r>
              <w:rPr>
                <w:rFonts w:ascii="Arial" w:eastAsia="Arial" w:hAnsi="Arial" w:cs="Arial"/>
                <w:sz w:val="18"/>
                <w:szCs w:val="18"/>
              </w:rPr>
              <w:t>de US$</w:t>
            </w:r>
          </w:p>
        </w:tc>
        <w:tc>
          <w:tcPr>
            <w:tcW w:w="1497" w:type="dxa"/>
            <w:tcBorders>
              <w:top w:val="nil"/>
              <w:left w:val="nil"/>
              <w:bottom w:val="single" w:sz="8" w:space="0" w:color="000000"/>
              <w:right w:val="single" w:sz="8" w:space="0" w:color="000000"/>
            </w:tcBorders>
            <w:shd w:val="clear" w:color="auto" w:fill="auto"/>
            <w:vAlign w:val="center"/>
          </w:tcPr>
          <w:p w14:paraId="15F126B1" w14:textId="47A40A59" w:rsidR="00122A84" w:rsidRPr="001F731F" w:rsidRDefault="00122A84" w:rsidP="00DD3FD0">
            <w:pPr>
              <w:spacing w:after="0" w:line="240" w:lineRule="auto"/>
              <w:jc w:val="both"/>
              <w:rPr>
                <w:rFonts w:ascii="Arial" w:eastAsia="Times New Roman" w:hAnsi="Arial" w:cs="Arial"/>
                <w:color w:val="000000"/>
                <w:sz w:val="18"/>
                <w:szCs w:val="18"/>
                <w:lang w:val="es-ES_tradnl" w:eastAsia="es-ES"/>
              </w:rPr>
            </w:pPr>
            <w:r w:rsidRPr="00122A84">
              <w:rPr>
                <w:rFonts w:ascii="Arial" w:eastAsia="Arial" w:hAnsi="Arial" w:cs="Arial"/>
                <w:color w:val="000000"/>
                <w:sz w:val="18"/>
                <w:szCs w:val="18"/>
                <w:lang w:val="es-ES"/>
              </w:rPr>
              <w:t>Información de seguimiento y monitoreo procesada por el OE.</w:t>
            </w:r>
          </w:p>
        </w:tc>
        <w:tc>
          <w:tcPr>
            <w:tcW w:w="3652" w:type="dxa"/>
            <w:tcBorders>
              <w:top w:val="nil"/>
              <w:left w:val="nil"/>
              <w:bottom w:val="single" w:sz="8" w:space="0" w:color="000000"/>
              <w:right w:val="single" w:sz="8" w:space="0" w:color="000000"/>
            </w:tcBorders>
            <w:shd w:val="clear" w:color="auto" w:fill="auto"/>
            <w:vAlign w:val="center"/>
          </w:tcPr>
          <w:p w14:paraId="5F6617F6" w14:textId="128943BE" w:rsidR="00122A84" w:rsidRPr="001F731F" w:rsidRDefault="00122A84" w:rsidP="00DD3FD0">
            <w:pPr>
              <w:spacing w:after="0" w:line="240" w:lineRule="auto"/>
              <w:jc w:val="both"/>
              <w:rPr>
                <w:rFonts w:ascii="Arial" w:eastAsia="Times New Roman" w:hAnsi="Arial" w:cs="Arial"/>
                <w:color w:val="000000"/>
                <w:sz w:val="18"/>
                <w:szCs w:val="18"/>
                <w:lang w:val="es-ES_tradnl" w:eastAsia="es-ES"/>
              </w:rPr>
            </w:pPr>
            <w:r w:rsidRPr="00122A84">
              <w:rPr>
                <w:rFonts w:ascii="Arial" w:eastAsia="Arial" w:hAnsi="Arial" w:cs="Arial"/>
                <w:sz w:val="18"/>
                <w:szCs w:val="18"/>
                <w:lang w:val="es-ES"/>
              </w:rPr>
              <w:t xml:space="preserve">Puede incluir a empresas ancla de cadenas de valor estratégicas como recoge el Reglamento de </w:t>
            </w:r>
            <w:r w:rsidR="007441A0">
              <w:rPr>
                <w:rFonts w:ascii="Arial" w:eastAsia="Arial" w:hAnsi="Arial" w:cs="Arial"/>
                <w:sz w:val="18"/>
                <w:szCs w:val="18"/>
                <w:lang w:val="es-ES"/>
              </w:rPr>
              <w:t>C</w:t>
            </w:r>
            <w:r w:rsidRPr="00122A84">
              <w:rPr>
                <w:rFonts w:ascii="Arial" w:eastAsia="Arial" w:hAnsi="Arial" w:cs="Arial"/>
                <w:sz w:val="18"/>
                <w:szCs w:val="18"/>
                <w:lang w:val="es-ES"/>
              </w:rPr>
              <w:t>rédito</w:t>
            </w:r>
            <w:r w:rsidR="007441A0">
              <w:rPr>
                <w:rFonts w:ascii="Arial" w:eastAsia="Arial" w:hAnsi="Arial" w:cs="Arial"/>
                <w:sz w:val="18"/>
                <w:szCs w:val="18"/>
                <w:lang w:val="es-ES"/>
              </w:rPr>
              <w:t xml:space="preserve"> (RC)</w:t>
            </w:r>
            <w:r w:rsidRPr="00122A84">
              <w:rPr>
                <w:rFonts w:ascii="Arial" w:eastAsia="Arial" w:hAnsi="Arial" w:cs="Arial"/>
                <w:sz w:val="18"/>
                <w:szCs w:val="18"/>
                <w:lang w:val="es-ES"/>
              </w:rPr>
              <w:t xml:space="preserve">. En este caso, se hará seguimiento de la dispersión del crédito entre las MIPYME de la cadena a la que pertenezca la empresa ancla en cada caso. </w:t>
            </w:r>
          </w:p>
        </w:tc>
      </w:tr>
      <w:tr w:rsidR="00122A84" w:rsidRPr="005336A4" w14:paraId="5B037BE9" w14:textId="77777777" w:rsidTr="00DD3FD0">
        <w:trPr>
          <w:trHeight w:val="1402"/>
          <w:jc w:val="center"/>
        </w:trPr>
        <w:tc>
          <w:tcPr>
            <w:tcW w:w="2102" w:type="dxa"/>
            <w:tcBorders>
              <w:top w:val="nil"/>
              <w:left w:val="single" w:sz="8" w:space="0" w:color="000000"/>
              <w:bottom w:val="single" w:sz="8" w:space="0" w:color="000000"/>
              <w:right w:val="single" w:sz="8" w:space="0" w:color="000000"/>
            </w:tcBorders>
            <w:shd w:val="clear" w:color="auto" w:fill="auto"/>
            <w:vAlign w:val="center"/>
          </w:tcPr>
          <w:p w14:paraId="4C90EB81" w14:textId="3ABD0D94" w:rsidR="00122A84" w:rsidRPr="001F731F" w:rsidRDefault="00122A84" w:rsidP="00DD3FD0">
            <w:pPr>
              <w:spacing w:after="0" w:line="240" w:lineRule="auto"/>
              <w:jc w:val="both"/>
              <w:rPr>
                <w:rFonts w:ascii="Arial" w:eastAsia="Times New Roman" w:hAnsi="Arial" w:cs="Arial"/>
                <w:b/>
                <w:bCs/>
                <w:color w:val="000000"/>
                <w:sz w:val="18"/>
                <w:szCs w:val="18"/>
                <w:lang w:val="es-ES_tradnl" w:eastAsia="es-ES"/>
              </w:rPr>
            </w:pPr>
            <w:r w:rsidRPr="00122A84">
              <w:rPr>
                <w:rFonts w:ascii="Arial" w:eastAsia="Arial" w:hAnsi="Arial" w:cs="Arial"/>
                <w:b/>
                <w:sz w:val="18"/>
                <w:szCs w:val="18"/>
                <w:lang w:val="es-ES"/>
              </w:rPr>
              <w:t>Producto 2:</w:t>
            </w:r>
            <w:r w:rsidRPr="00122A84">
              <w:rPr>
                <w:rFonts w:ascii="Arial" w:eastAsia="Arial" w:hAnsi="Arial" w:cs="Arial"/>
                <w:sz w:val="18"/>
                <w:szCs w:val="18"/>
                <w:lang w:val="es-ES"/>
              </w:rPr>
              <w:t xml:space="preserve"> Monto otorgado para el financiamiento de la restructuración de la deuda de MIPYME con recursos del programa.</w:t>
            </w:r>
          </w:p>
        </w:tc>
        <w:tc>
          <w:tcPr>
            <w:tcW w:w="1562" w:type="dxa"/>
            <w:tcBorders>
              <w:top w:val="nil"/>
              <w:left w:val="nil"/>
              <w:bottom w:val="single" w:sz="8" w:space="0" w:color="000000"/>
              <w:right w:val="single" w:sz="8" w:space="0" w:color="000000"/>
            </w:tcBorders>
            <w:shd w:val="clear" w:color="auto" w:fill="auto"/>
            <w:vAlign w:val="center"/>
          </w:tcPr>
          <w:p w14:paraId="6EA78648" w14:textId="0D4073DF" w:rsidR="00122A84" w:rsidRPr="001F731F" w:rsidRDefault="00122A84" w:rsidP="00122A84">
            <w:pPr>
              <w:spacing w:after="0" w:line="240" w:lineRule="auto"/>
              <w:jc w:val="center"/>
              <w:rPr>
                <w:rFonts w:ascii="Arial" w:eastAsia="Times New Roman" w:hAnsi="Arial" w:cs="Arial"/>
                <w:color w:val="000000"/>
                <w:sz w:val="18"/>
                <w:szCs w:val="18"/>
                <w:lang w:val="es-ES_tradnl" w:eastAsia="es-ES"/>
              </w:rPr>
            </w:pPr>
            <w:r w:rsidRPr="00CC5C07">
              <w:rPr>
                <w:rFonts w:ascii="Arial" w:eastAsia="Arial" w:hAnsi="Arial" w:cs="Arial"/>
                <w:sz w:val="18"/>
                <w:szCs w:val="18"/>
                <w:lang w:val="es-AR"/>
              </w:rPr>
              <w:t>Millones</w:t>
            </w:r>
            <w:r>
              <w:rPr>
                <w:rFonts w:ascii="Arial" w:eastAsia="Arial" w:hAnsi="Arial" w:cs="Arial"/>
                <w:sz w:val="18"/>
                <w:szCs w:val="18"/>
              </w:rPr>
              <w:t xml:space="preserve"> de US$</w:t>
            </w:r>
          </w:p>
        </w:tc>
        <w:tc>
          <w:tcPr>
            <w:tcW w:w="1497" w:type="dxa"/>
            <w:tcBorders>
              <w:top w:val="nil"/>
              <w:left w:val="nil"/>
              <w:bottom w:val="single" w:sz="8" w:space="0" w:color="000000"/>
              <w:right w:val="single" w:sz="8" w:space="0" w:color="000000"/>
            </w:tcBorders>
            <w:shd w:val="clear" w:color="auto" w:fill="auto"/>
            <w:vAlign w:val="center"/>
          </w:tcPr>
          <w:p w14:paraId="2BD770DE" w14:textId="68C8DCA2" w:rsidR="00122A84" w:rsidRPr="001F731F" w:rsidRDefault="00122A84" w:rsidP="00122A84">
            <w:pPr>
              <w:spacing w:after="0" w:line="240" w:lineRule="auto"/>
              <w:rPr>
                <w:rFonts w:ascii="Arial" w:eastAsia="Times New Roman" w:hAnsi="Arial" w:cs="Arial"/>
                <w:color w:val="000000"/>
                <w:sz w:val="18"/>
                <w:szCs w:val="18"/>
                <w:lang w:val="es-ES_tradnl" w:eastAsia="es-ES"/>
              </w:rPr>
            </w:pPr>
            <w:r w:rsidRPr="00122A84">
              <w:rPr>
                <w:rFonts w:ascii="Arial" w:eastAsia="Arial" w:hAnsi="Arial" w:cs="Arial"/>
                <w:color w:val="000000"/>
                <w:sz w:val="18"/>
                <w:szCs w:val="18"/>
                <w:lang w:val="es-ES"/>
              </w:rPr>
              <w:t>Información de seguimiento y monitoreo procesada por el OE.</w:t>
            </w:r>
          </w:p>
        </w:tc>
        <w:tc>
          <w:tcPr>
            <w:tcW w:w="3652" w:type="dxa"/>
            <w:tcBorders>
              <w:top w:val="nil"/>
              <w:left w:val="nil"/>
              <w:bottom w:val="single" w:sz="8" w:space="0" w:color="000000"/>
              <w:right w:val="single" w:sz="8" w:space="0" w:color="000000"/>
            </w:tcBorders>
            <w:shd w:val="clear" w:color="auto" w:fill="auto"/>
            <w:vAlign w:val="center"/>
          </w:tcPr>
          <w:p w14:paraId="0311C01B" w14:textId="36F87989" w:rsidR="00122A84" w:rsidRPr="001F731F" w:rsidRDefault="00122A84" w:rsidP="00DD3FD0">
            <w:pPr>
              <w:spacing w:after="0" w:line="240" w:lineRule="auto"/>
              <w:jc w:val="both"/>
              <w:rPr>
                <w:rFonts w:ascii="Arial" w:eastAsia="Times New Roman" w:hAnsi="Arial" w:cs="Arial"/>
                <w:color w:val="000000"/>
                <w:sz w:val="18"/>
                <w:szCs w:val="18"/>
                <w:lang w:val="es-ES_tradnl" w:eastAsia="es-ES"/>
              </w:rPr>
            </w:pPr>
            <w:r w:rsidRPr="00122A84">
              <w:rPr>
                <w:rFonts w:ascii="Arial" w:eastAsia="Arial" w:hAnsi="Arial" w:cs="Arial"/>
                <w:sz w:val="18"/>
                <w:szCs w:val="18"/>
                <w:lang w:val="es-ES"/>
              </w:rPr>
              <w:t xml:space="preserve">Puede incluir a empresas ancla de cadenas de valor estratégicas como recoge el </w:t>
            </w:r>
            <w:r w:rsidR="007441A0">
              <w:rPr>
                <w:rFonts w:ascii="Arial" w:eastAsia="Arial" w:hAnsi="Arial" w:cs="Arial"/>
                <w:sz w:val="18"/>
                <w:szCs w:val="18"/>
                <w:lang w:val="es-ES"/>
              </w:rPr>
              <w:t>RC</w:t>
            </w:r>
            <w:r w:rsidRPr="00122A84">
              <w:rPr>
                <w:rFonts w:ascii="Arial" w:eastAsia="Arial" w:hAnsi="Arial" w:cs="Arial"/>
                <w:sz w:val="18"/>
                <w:szCs w:val="18"/>
                <w:lang w:val="es-ES"/>
              </w:rPr>
              <w:t xml:space="preserve">. En este caso, se hará seguimiento de la dispersión del crédito entre las MIPYME de la cadena a la que pertenezca la empresa ancla en cada caso. </w:t>
            </w:r>
          </w:p>
        </w:tc>
      </w:tr>
      <w:tr w:rsidR="00D209DB" w:rsidRPr="005336A4" w14:paraId="1C4855B5" w14:textId="77777777" w:rsidTr="00FD0799">
        <w:trPr>
          <w:trHeight w:val="320"/>
          <w:jc w:val="center"/>
        </w:trPr>
        <w:tc>
          <w:tcPr>
            <w:tcW w:w="8813" w:type="dxa"/>
            <w:gridSpan w:val="4"/>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294A23B3" w14:textId="3973487B" w:rsidR="00D209DB" w:rsidRPr="00CC5C07" w:rsidRDefault="00D209DB" w:rsidP="00376D49">
            <w:pPr>
              <w:spacing w:after="0" w:line="240" w:lineRule="auto"/>
              <w:jc w:val="both"/>
              <w:rPr>
                <w:rFonts w:ascii="Arial" w:eastAsia="Times New Roman" w:hAnsi="Arial" w:cs="Arial"/>
                <w:b/>
                <w:bCs/>
                <w:color w:val="000000"/>
                <w:sz w:val="18"/>
                <w:szCs w:val="18"/>
                <w:u w:val="single"/>
                <w:lang w:val="es-AR" w:eastAsia="es-ES"/>
              </w:rPr>
            </w:pPr>
            <w:r w:rsidRPr="00CC5C07">
              <w:rPr>
                <w:rFonts w:ascii="Arial" w:hAnsi="Arial" w:cs="Arial"/>
                <w:b/>
                <w:sz w:val="18"/>
                <w:szCs w:val="18"/>
                <w:u w:val="single"/>
                <w:lang w:val="es-AR" w:eastAsia="zh-CN"/>
              </w:rPr>
              <w:t xml:space="preserve">Apoyo a la mejora de las capacidades financieras a corto plazo mediante capital de trabajo y refinanciación de deudas a través de FOGAR </w:t>
            </w:r>
            <w:r w:rsidRPr="00CC5C07">
              <w:rPr>
                <w:rFonts w:ascii="Arial" w:hAnsi="Arial" w:cs="Arial"/>
                <w:b/>
                <w:smallCaps/>
                <w:sz w:val="18"/>
                <w:szCs w:val="18"/>
                <w:u w:val="single"/>
                <w:lang w:val="es-AR"/>
              </w:rPr>
              <w:t>(US$</w:t>
            </w:r>
            <w:r w:rsidR="00DD0104" w:rsidRPr="00CC5C07">
              <w:rPr>
                <w:rFonts w:ascii="Arial" w:hAnsi="Arial" w:cs="Arial"/>
                <w:b/>
                <w:smallCaps/>
                <w:sz w:val="18"/>
                <w:szCs w:val="18"/>
                <w:u w:val="single"/>
                <w:lang w:val="es-AR"/>
              </w:rPr>
              <w:t>118</w:t>
            </w:r>
            <w:r w:rsidRPr="00CC5C07">
              <w:rPr>
                <w:rFonts w:ascii="Arial" w:hAnsi="Arial" w:cs="Arial"/>
                <w:b/>
                <w:smallCaps/>
                <w:sz w:val="18"/>
                <w:szCs w:val="18"/>
                <w:u w:val="single"/>
                <w:lang w:val="es-AR"/>
              </w:rPr>
              <w:t xml:space="preserve"> </w:t>
            </w:r>
            <w:r w:rsidRPr="00CC5C07">
              <w:rPr>
                <w:rFonts w:ascii="Arial" w:hAnsi="Arial" w:cs="Arial"/>
                <w:b/>
                <w:sz w:val="18"/>
                <w:szCs w:val="18"/>
                <w:u w:val="single"/>
                <w:lang w:val="es-AR" w:eastAsia="zh-CN"/>
              </w:rPr>
              <w:t>millones</w:t>
            </w:r>
            <w:r w:rsidRPr="00CC5C07">
              <w:rPr>
                <w:rFonts w:ascii="Arial" w:hAnsi="Arial" w:cs="Arial"/>
                <w:b/>
                <w:smallCaps/>
                <w:sz w:val="18"/>
                <w:szCs w:val="18"/>
                <w:u w:val="single"/>
                <w:lang w:val="es-AR"/>
              </w:rPr>
              <w:t>)</w:t>
            </w:r>
          </w:p>
        </w:tc>
      </w:tr>
      <w:tr w:rsidR="00D209DB" w:rsidRPr="005336A4" w14:paraId="783AD30B" w14:textId="77777777" w:rsidTr="00DD3FD0">
        <w:trPr>
          <w:trHeight w:val="1348"/>
          <w:jc w:val="center"/>
        </w:trPr>
        <w:tc>
          <w:tcPr>
            <w:tcW w:w="2102" w:type="dxa"/>
            <w:tcBorders>
              <w:top w:val="nil"/>
              <w:left w:val="single" w:sz="8" w:space="0" w:color="000000"/>
              <w:bottom w:val="single" w:sz="8" w:space="0" w:color="000000"/>
              <w:right w:val="single" w:sz="8" w:space="0" w:color="000000"/>
            </w:tcBorders>
            <w:shd w:val="clear" w:color="auto" w:fill="auto"/>
            <w:vAlign w:val="center"/>
          </w:tcPr>
          <w:p w14:paraId="2FB58B04" w14:textId="3E41D636" w:rsidR="00D209DB" w:rsidRPr="00CC5C07" w:rsidRDefault="00D209DB" w:rsidP="00DD3FD0">
            <w:pPr>
              <w:spacing w:after="0" w:line="240" w:lineRule="auto"/>
              <w:jc w:val="both"/>
              <w:rPr>
                <w:rFonts w:ascii="Arial" w:eastAsia="Times New Roman" w:hAnsi="Arial" w:cs="Arial"/>
                <w:b/>
                <w:bCs/>
                <w:color w:val="000000"/>
                <w:sz w:val="18"/>
                <w:szCs w:val="18"/>
                <w:lang w:val="es-AR" w:eastAsia="es-ES"/>
              </w:rPr>
            </w:pPr>
            <w:r w:rsidRPr="00CC5C07">
              <w:rPr>
                <w:rFonts w:ascii="Arial" w:eastAsia="Arial" w:hAnsi="Arial" w:cs="Arial"/>
                <w:b/>
                <w:sz w:val="18"/>
                <w:szCs w:val="18"/>
                <w:lang w:val="es-AR"/>
              </w:rPr>
              <w:t>Producto 3:</w:t>
            </w:r>
            <w:r w:rsidRPr="00CC5C07">
              <w:rPr>
                <w:rFonts w:ascii="Arial" w:eastAsia="Arial" w:hAnsi="Arial" w:cs="Arial"/>
                <w:sz w:val="18"/>
                <w:szCs w:val="18"/>
                <w:lang w:val="es-AR"/>
              </w:rPr>
              <w:t xml:space="preserve"> Monto garantizado para el financiamiento de capital de trabajo para MIPYME con recursos del programa. </w:t>
            </w:r>
          </w:p>
        </w:tc>
        <w:tc>
          <w:tcPr>
            <w:tcW w:w="1562" w:type="dxa"/>
            <w:tcBorders>
              <w:top w:val="nil"/>
              <w:left w:val="nil"/>
              <w:bottom w:val="single" w:sz="8" w:space="0" w:color="000000"/>
              <w:right w:val="single" w:sz="8" w:space="0" w:color="000000"/>
            </w:tcBorders>
            <w:shd w:val="clear" w:color="auto" w:fill="auto"/>
            <w:vAlign w:val="center"/>
          </w:tcPr>
          <w:p w14:paraId="62A2DC1D" w14:textId="62DE77B6" w:rsidR="00D209DB" w:rsidRPr="00CC5C07" w:rsidRDefault="00D209DB" w:rsidP="00D209DB">
            <w:pPr>
              <w:spacing w:after="0" w:line="240" w:lineRule="auto"/>
              <w:jc w:val="center"/>
              <w:rPr>
                <w:rFonts w:ascii="Arial" w:eastAsia="Times New Roman" w:hAnsi="Arial" w:cs="Arial"/>
                <w:color w:val="000000"/>
                <w:sz w:val="18"/>
                <w:szCs w:val="18"/>
                <w:lang w:val="es-AR" w:eastAsia="es-ES"/>
              </w:rPr>
            </w:pPr>
            <w:r w:rsidRPr="00CC5C07">
              <w:rPr>
                <w:rFonts w:ascii="Arial" w:eastAsia="Arial" w:hAnsi="Arial" w:cs="Arial"/>
                <w:sz w:val="18"/>
                <w:szCs w:val="18"/>
                <w:lang w:val="es-AR"/>
              </w:rPr>
              <w:t>Millones</w:t>
            </w:r>
            <w:r w:rsidR="005A7DFB" w:rsidRPr="00CC5C07">
              <w:rPr>
                <w:rFonts w:ascii="Arial" w:eastAsia="Arial" w:hAnsi="Arial" w:cs="Arial"/>
                <w:sz w:val="18"/>
                <w:szCs w:val="18"/>
                <w:lang w:val="es-AR"/>
              </w:rPr>
              <w:t xml:space="preserve"> </w:t>
            </w:r>
            <w:r w:rsidRPr="00CC5C07">
              <w:rPr>
                <w:rFonts w:ascii="Arial" w:eastAsia="Arial" w:hAnsi="Arial" w:cs="Arial"/>
                <w:sz w:val="18"/>
                <w:szCs w:val="18"/>
                <w:lang w:val="es-AR"/>
              </w:rPr>
              <w:t>de US$</w:t>
            </w:r>
          </w:p>
        </w:tc>
        <w:tc>
          <w:tcPr>
            <w:tcW w:w="1497" w:type="dxa"/>
            <w:tcBorders>
              <w:top w:val="nil"/>
              <w:left w:val="nil"/>
              <w:bottom w:val="single" w:sz="8" w:space="0" w:color="000000"/>
              <w:right w:val="single" w:sz="8" w:space="0" w:color="000000"/>
            </w:tcBorders>
            <w:shd w:val="clear" w:color="auto" w:fill="auto"/>
            <w:vAlign w:val="center"/>
          </w:tcPr>
          <w:p w14:paraId="1CE31F33" w14:textId="25182DBB" w:rsidR="00D209DB" w:rsidRPr="00CC5C07" w:rsidRDefault="00D209DB" w:rsidP="00DD3FD0">
            <w:pPr>
              <w:spacing w:after="0" w:line="240" w:lineRule="auto"/>
              <w:jc w:val="both"/>
              <w:rPr>
                <w:rFonts w:ascii="Arial" w:eastAsia="Times New Roman" w:hAnsi="Arial" w:cs="Arial"/>
                <w:color w:val="000000"/>
                <w:sz w:val="18"/>
                <w:szCs w:val="18"/>
                <w:lang w:val="es-AR" w:eastAsia="es-ES"/>
              </w:rPr>
            </w:pPr>
            <w:r w:rsidRPr="00CC5C07">
              <w:rPr>
                <w:rFonts w:ascii="Arial" w:eastAsia="Arial" w:hAnsi="Arial" w:cs="Arial"/>
                <w:color w:val="000000"/>
                <w:sz w:val="18"/>
                <w:szCs w:val="18"/>
                <w:lang w:val="es-AR"/>
              </w:rPr>
              <w:t>Información de seguimiento y monitoreo procesada por el OE.</w:t>
            </w:r>
          </w:p>
        </w:tc>
        <w:tc>
          <w:tcPr>
            <w:tcW w:w="3652" w:type="dxa"/>
            <w:tcBorders>
              <w:top w:val="nil"/>
              <w:left w:val="nil"/>
              <w:bottom w:val="single" w:sz="8" w:space="0" w:color="000000"/>
              <w:right w:val="single" w:sz="8" w:space="0" w:color="000000"/>
            </w:tcBorders>
            <w:shd w:val="clear" w:color="auto" w:fill="auto"/>
            <w:vAlign w:val="center"/>
          </w:tcPr>
          <w:p w14:paraId="5030B920" w14:textId="49F448EA" w:rsidR="00D209DB" w:rsidRPr="00CC5C07" w:rsidRDefault="00D209DB" w:rsidP="00DD3FD0">
            <w:pPr>
              <w:spacing w:after="0" w:line="240" w:lineRule="auto"/>
              <w:jc w:val="both"/>
              <w:rPr>
                <w:rFonts w:ascii="Arial" w:eastAsia="Times New Roman" w:hAnsi="Arial" w:cs="Arial"/>
                <w:color w:val="000000"/>
                <w:sz w:val="18"/>
                <w:szCs w:val="18"/>
                <w:lang w:val="es-AR" w:eastAsia="es-ES"/>
              </w:rPr>
            </w:pPr>
            <w:r w:rsidRPr="00CC5C07">
              <w:rPr>
                <w:rFonts w:ascii="Arial" w:eastAsia="Arial" w:hAnsi="Arial" w:cs="Arial"/>
                <w:sz w:val="18"/>
                <w:szCs w:val="18"/>
                <w:lang w:val="es-AR"/>
              </w:rPr>
              <w:t xml:space="preserve">Puede incluir a empresas ancla de cadenas de valor estratégicas como recoge el </w:t>
            </w:r>
            <w:r w:rsidR="007441A0">
              <w:rPr>
                <w:rFonts w:ascii="Arial" w:eastAsia="Arial" w:hAnsi="Arial" w:cs="Arial"/>
                <w:sz w:val="18"/>
                <w:szCs w:val="18"/>
                <w:lang w:val="es-AR"/>
              </w:rPr>
              <w:t>RC</w:t>
            </w:r>
            <w:r w:rsidRPr="00CC5C07">
              <w:rPr>
                <w:rFonts w:ascii="Arial" w:eastAsia="Arial" w:hAnsi="Arial" w:cs="Arial"/>
                <w:sz w:val="18"/>
                <w:szCs w:val="18"/>
                <w:lang w:val="es-AR"/>
              </w:rPr>
              <w:t xml:space="preserve">. En este caso, se hará seguimiento de la dispersión del crédito entre las MIPYME de la cadena a la que pertenezca la empresa ancla en cada caso. </w:t>
            </w:r>
          </w:p>
        </w:tc>
      </w:tr>
      <w:tr w:rsidR="00D209DB" w:rsidRPr="005336A4" w14:paraId="1BEA09A4" w14:textId="77777777" w:rsidTr="00DD3FD0">
        <w:trPr>
          <w:trHeight w:val="1870"/>
          <w:jc w:val="center"/>
        </w:trPr>
        <w:tc>
          <w:tcPr>
            <w:tcW w:w="2102" w:type="dxa"/>
            <w:tcBorders>
              <w:top w:val="nil"/>
              <w:left w:val="single" w:sz="8" w:space="0" w:color="000000"/>
              <w:bottom w:val="single" w:sz="8" w:space="0" w:color="000000"/>
              <w:right w:val="single" w:sz="8" w:space="0" w:color="000000"/>
            </w:tcBorders>
            <w:shd w:val="clear" w:color="auto" w:fill="auto"/>
            <w:vAlign w:val="center"/>
          </w:tcPr>
          <w:p w14:paraId="03BF45B6" w14:textId="7A7C4D22" w:rsidR="00D209DB" w:rsidRPr="00CC5C07" w:rsidRDefault="00D209DB" w:rsidP="00DD3FD0">
            <w:pPr>
              <w:spacing w:after="0" w:line="240" w:lineRule="auto"/>
              <w:jc w:val="both"/>
              <w:rPr>
                <w:rFonts w:ascii="Arial" w:eastAsia="Times New Roman" w:hAnsi="Arial" w:cs="Arial"/>
                <w:b/>
                <w:bCs/>
                <w:color w:val="000000"/>
                <w:sz w:val="18"/>
                <w:szCs w:val="18"/>
                <w:lang w:val="es-AR" w:eastAsia="es-ES"/>
              </w:rPr>
            </w:pPr>
            <w:r w:rsidRPr="00CC5C07">
              <w:rPr>
                <w:rFonts w:ascii="Arial" w:eastAsia="Arial" w:hAnsi="Arial" w:cs="Arial"/>
                <w:b/>
                <w:sz w:val="18"/>
                <w:szCs w:val="18"/>
                <w:lang w:val="es-AR"/>
              </w:rPr>
              <w:t>Producto 4:</w:t>
            </w:r>
            <w:r w:rsidRPr="00CC5C07">
              <w:rPr>
                <w:rFonts w:ascii="Arial" w:eastAsia="Arial" w:hAnsi="Arial" w:cs="Arial"/>
                <w:sz w:val="18"/>
                <w:szCs w:val="18"/>
                <w:lang w:val="es-AR"/>
              </w:rPr>
              <w:t xml:space="preserve"> Monto garantizado para el financiamiento de la restructuración de la deuda de MIPYME en sectores y cadenas identificados como vulnerables por el programa</w:t>
            </w:r>
            <w:r w:rsidR="00E4473B">
              <w:rPr>
                <w:rFonts w:ascii="Arial" w:eastAsia="Arial" w:hAnsi="Arial" w:cs="Arial"/>
                <w:sz w:val="18"/>
                <w:szCs w:val="18"/>
                <w:lang w:val="es-AR"/>
              </w:rPr>
              <w:t>.</w:t>
            </w:r>
          </w:p>
        </w:tc>
        <w:tc>
          <w:tcPr>
            <w:tcW w:w="1562" w:type="dxa"/>
            <w:tcBorders>
              <w:top w:val="nil"/>
              <w:left w:val="nil"/>
              <w:bottom w:val="single" w:sz="8" w:space="0" w:color="000000"/>
              <w:right w:val="single" w:sz="8" w:space="0" w:color="000000"/>
            </w:tcBorders>
            <w:shd w:val="clear" w:color="auto" w:fill="auto"/>
            <w:vAlign w:val="center"/>
          </w:tcPr>
          <w:p w14:paraId="5BE1FC35" w14:textId="40DB3720" w:rsidR="00D209DB" w:rsidRPr="00CC5C07" w:rsidRDefault="00D209DB" w:rsidP="00D209DB">
            <w:pPr>
              <w:spacing w:after="0" w:line="240" w:lineRule="auto"/>
              <w:jc w:val="center"/>
              <w:rPr>
                <w:rFonts w:ascii="Arial" w:eastAsia="Times New Roman" w:hAnsi="Arial" w:cs="Arial"/>
                <w:color w:val="000000"/>
                <w:sz w:val="18"/>
                <w:szCs w:val="18"/>
                <w:lang w:val="es-AR" w:eastAsia="es-ES"/>
              </w:rPr>
            </w:pPr>
            <w:r w:rsidRPr="00CC5C07">
              <w:rPr>
                <w:rFonts w:ascii="Arial" w:eastAsia="Arial" w:hAnsi="Arial" w:cs="Arial"/>
                <w:sz w:val="18"/>
                <w:szCs w:val="18"/>
                <w:lang w:val="es-AR"/>
              </w:rPr>
              <w:t>Millones de US$</w:t>
            </w:r>
          </w:p>
        </w:tc>
        <w:tc>
          <w:tcPr>
            <w:tcW w:w="1497" w:type="dxa"/>
            <w:tcBorders>
              <w:top w:val="nil"/>
              <w:left w:val="nil"/>
              <w:bottom w:val="single" w:sz="8" w:space="0" w:color="000000"/>
              <w:right w:val="single" w:sz="8" w:space="0" w:color="000000"/>
            </w:tcBorders>
            <w:shd w:val="clear" w:color="auto" w:fill="auto"/>
            <w:vAlign w:val="center"/>
          </w:tcPr>
          <w:p w14:paraId="079553BA" w14:textId="2E70425E" w:rsidR="00D209DB" w:rsidRPr="00CC5C07" w:rsidRDefault="00D209DB" w:rsidP="00DD3FD0">
            <w:pPr>
              <w:spacing w:after="0" w:line="240" w:lineRule="auto"/>
              <w:jc w:val="both"/>
              <w:rPr>
                <w:rFonts w:ascii="Arial" w:eastAsia="Times New Roman" w:hAnsi="Arial" w:cs="Arial"/>
                <w:color w:val="000000"/>
                <w:sz w:val="18"/>
                <w:szCs w:val="18"/>
                <w:lang w:val="es-AR" w:eastAsia="es-ES"/>
              </w:rPr>
            </w:pPr>
            <w:r w:rsidRPr="00CC5C07">
              <w:rPr>
                <w:rFonts w:ascii="Arial" w:eastAsia="Arial" w:hAnsi="Arial" w:cs="Arial"/>
                <w:color w:val="000000"/>
                <w:sz w:val="18"/>
                <w:szCs w:val="18"/>
                <w:lang w:val="es-AR"/>
              </w:rPr>
              <w:t>Información de seguimiento y monitoreo procesada por el OE.</w:t>
            </w:r>
          </w:p>
        </w:tc>
        <w:tc>
          <w:tcPr>
            <w:tcW w:w="3652" w:type="dxa"/>
            <w:tcBorders>
              <w:top w:val="nil"/>
              <w:left w:val="nil"/>
              <w:bottom w:val="single" w:sz="8" w:space="0" w:color="000000"/>
              <w:right w:val="single" w:sz="8" w:space="0" w:color="000000"/>
            </w:tcBorders>
            <w:shd w:val="clear" w:color="auto" w:fill="auto"/>
            <w:vAlign w:val="center"/>
          </w:tcPr>
          <w:p w14:paraId="06B9AB37" w14:textId="3B9E2222" w:rsidR="00D209DB" w:rsidRPr="00CC5C07" w:rsidRDefault="00D209DB" w:rsidP="00DD3FD0">
            <w:pPr>
              <w:spacing w:after="0" w:line="240" w:lineRule="auto"/>
              <w:jc w:val="both"/>
              <w:rPr>
                <w:rFonts w:ascii="Arial" w:eastAsia="Times New Roman" w:hAnsi="Arial" w:cs="Arial"/>
                <w:color w:val="000000"/>
                <w:sz w:val="18"/>
                <w:szCs w:val="18"/>
                <w:lang w:val="es-AR" w:eastAsia="es-ES"/>
              </w:rPr>
            </w:pPr>
            <w:r w:rsidRPr="00CC5C07">
              <w:rPr>
                <w:rFonts w:ascii="Arial" w:eastAsia="Arial" w:hAnsi="Arial" w:cs="Arial"/>
                <w:sz w:val="18"/>
                <w:szCs w:val="18"/>
                <w:lang w:val="es-AR"/>
              </w:rPr>
              <w:t xml:space="preserve">Puede incluir a empresas ancla de cadenas de valor estratégicas como recoge el </w:t>
            </w:r>
            <w:r w:rsidR="007441A0">
              <w:rPr>
                <w:rFonts w:ascii="Arial" w:eastAsia="Arial" w:hAnsi="Arial" w:cs="Arial"/>
                <w:sz w:val="18"/>
                <w:szCs w:val="18"/>
                <w:lang w:val="es-AR"/>
              </w:rPr>
              <w:t>RC</w:t>
            </w:r>
            <w:r w:rsidRPr="00CC5C07">
              <w:rPr>
                <w:rFonts w:ascii="Arial" w:eastAsia="Arial" w:hAnsi="Arial" w:cs="Arial"/>
                <w:sz w:val="18"/>
                <w:szCs w:val="18"/>
                <w:lang w:val="es-AR"/>
              </w:rPr>
              <w:t xml:space="preserve">. En este caso, se hará seguimiento de la dispersión del crédito entre las MIPYME de la cadena a la que pertenezca la empresa ancla en cada caso. </w:t>
            </w:r>
          </w:p>
        </w:tc>
      </w:tr>
      <w:tr w:rsidR="001B6C9E" w:rsidRPr="005336A4" w14:paraId="4F9FE8F8" w14:textId="77777777" w:rsidTr="00FD0799">
        <w:trPr>
          <w:trHeight w:val="320"/>
          <w:jc w:val="center"/>
        </w:trPr>
        <w:tc>
          <w:tcPr>
            <w:tcW w:w="8813" w:type="dxa"/>
            <w:gridSpan w:val="4"/>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10E8D77F" w14:textId="0006288E" w:rsidR="001B6C9E" w:rsidRPr="00CC5C07" w:rsidRDefault="00132793" w:rsidP="001B6C9E">
            <w:pPr>
              <w:spacing w:after="0" w:line="240" w:lineRule="auto"/>
              <w:jc w:val="both"/>
              <w:rPr>
                <w:rFonts w:ascii="Arial" w:eastAsia="Times New Roman" w:hAnsi="Arial" w:cs="Arial"/>
                <w:b/>
                <w:bCs/>
                <w:color w:val="000000"/>
                <w:sz w:val="18"/>
                <w:szCs w:val="18"/>
                <w:u w:val="single"/>
                <w:lang w:val="es-AR" w:eastAsia="es-ES"/>
              </w:rPr>
            </w:pPr>
            <w:r w:rsidRPr="00CC5C07">
              <w:rPr>
                <w:rFonts w:ascii="Arial" w:eastAsia="Times New Roman" w:hAnsi="Arial" w:cs="Arial"/>
                <w:b/>
                <w:bCs/>
                <w:color w:val="000000"/>
                <w:sz w:val="18"/>
                <w:szCs w:val="18"/>
                <w:u w:val="single"/>
                <w:lang w:val="es-AR" w:eastAsia="es-ES"/>
              </w:rPr>
              <w:t>Subc</w:t>
            </w:r>
            <w:r w:rsidR="001B6C9E" w:rsidRPr="00CC5C07">
              <w:rPr>
                <w:rFonts w:ascii="Arial" w:eastAsia="Times New Roman" w:hAnsi="Arial" w:cs="Arial"/>
                <w:b/>
                <w:bCs/>
                <w:color w:val="000000"/>
                <w:sz w:val="18"/>
                <w:szCs w:val="18"/>
                <w:u w:val="single"/>
                <w:lang w:val="es-AR" w:eastAsia="es-ES"/>
              </w:rPr>
              <w:t xml:space="preserve">omponente 2: </w:t>
            </w:r>
            <w:r w:rsidR="00773350">
              <w:rPr>
                <w:rFonts w:ascii="Arial" w:eastAsia="Times New Roman" w:hAnsi="Arial" w:cs="Arial"/>
                <w:b/>
                <w:bCs/>
                <w:color w:val="000000"/>
                <w:sz w:val="18"/>
                <w:szCs w:val="18"/>
                <w:u w:val="single"/>
                <w:lang w:val="es-AR" w:eastAsia="es-ES"/>
              </w:rPr>
              <w:t>A</w:t>
            </w:r>
            <w:r w:rsidR="001B6C9E" w:rsidRPr="00CC5C07">
              <w:rPr>
                <w:rFonts w:ascii="Arial" w:eastAsia="Times New Roman" w:hAnsi="Arial" w:cs="Arial"/>
                <w:b/>
                <w:bCs/>
                <w:color w:val="000000"/>
                <w:sz w:val="18"/>
                <w:szCs w:val="18"/>
                <w:u w:val="single"/>
                <w:lang w:val="es-AR" w:eastAsia="es-ES"/>
              </w:rPr>
              <w:t>cceso al financiamiento productivo para la recuperación económica (US$</w:t>
            </w:r>
            <w:r w:rsidR="000C6DDB" w:rsidRPr="00CC5C07">
              <w:rPr>
                <w:rFonts w:ascii="Arial" w:eastAsia="Times New Roman" w:hAnsi="Arial" w:cs="Arial"/>
                <w:b/>
                <w:bCs/>
                <w:color w:val="000000"/>
                <w:sz w:val="18"/>
                <w:szCs w:val="18"/>
                <w:u w:val="single"/>
                <w:lang w:val="es-AR" w:eastAsia="es-ES"/>
              </w:rPr>
              <w:t>90 millones</w:t>
            </w:r>
            <w:r w:rsidR="001B6C9E" w:rsidRPr="00CC5C07">
              <w:rPr>
                <w:rFonts w:ascii="Arial" w:eastAsia="Times New Roman" w:hAnsi="Arial" w:cs="Arial"/>
                <w:b/>
                <w:bCs/>
                <w:color w:val="000000"/>
                <w:sz w:val="18"/>
                <w:szCs w:val="18"/>
                <w:u w:val="single"/>
                <w:lang w:val="es-AR" w:eastAsia="es-ES"/>
              </w:rPr>
              <w:t>)</w:t>
            </w:r>
          </w:p>
        </w:tc>
      </w:tr>
      <w:tr w:rsidR="00860C54" w:rsidRPr="005336A4" w14:paraId="7B84F86D" w14:textId="77777777" w:rsidTr="00DD3FD0">
        <w:trPr>
          <w:trHeight w:val="1429"/>
          <w:jc w:val="center"/>
        </w:trPr>
        <w:tc>
          <w:tcPr>
            <w:tcW w:w="2102" w:type="dxa"/>
            <w:tcBorders>
              <w:top w:val="nil"/>
              <w:left w:val="single" w:sz="8" w:space="0" w:color="000000"/>
              <w:bottom w:val="single" w:sz="8" w:space="0" w:color="000000"/>
              <w:right w:val="single" w:sz="8" w:space="0" w:color="000000"/>
            </w:tcBorders>
            <w:shd w:val="clear" w:color="auto" w:fill="auto"/>
            <w:vAlign w:val="center"/>
          </w:tcPr>
          <w:p w14:paraId="44B95706" w14:textId="011C248C" w:rsidR="00860C54" w:rsidRPr="00CC5C07" w:rsidRDefault="00860C54" w:rsidP="00DD3FD0">
            <w:pPr>
              <w:spacing w:after="0" w:line="240" w:lineRule="auto"/>
              <w:jc w:val="both"/>
              <w:rPr>
                <w:rFonts w:ascii="Arial" w:eastAsia="Times New Roman" w:hAnsi="Arial" w:cs="Arial"/>
                <w:b/>
                <w:bCs/>
                <w:color w:val="000000"/>
                <w:sz w:val="18"/>
                <w:szCs w:val="18"/>
                <w:lang w:val="es-AR" w:eastAsia="es-ES"/>
              </w:rPr>
            </w:pPr>
            <w:r w:rsidRPr="00CC5C07">
              <w:rPr>
                <w:rFonts w:ascii="Arial" w:eastAsia="Arial" w:hAnsi="Arial" w:cs="Arial"/>
                <w:b/>
                <w:sz w:val="18"/>
                <w:szCs w:val="18"/>
                <w:lang w:val="es-AR"/>
              </w:rPr>
              <w:t>Producto 5:</w:t>
            </w:r>
            <w:r w:rsidRPr="00CC5C07">
              <w:rPr>
                <w:rFonts w:ascii="Arial" w:eastAsia="Arial" w:hAnsi="Arial" w:cs="Arial"/>
                <w:sz w:val="18"/>
                <w:szCs w:val="18"/>
                <w:lang w:val="es-AR"/>
              </w:rPr>
              <w:t xml:space="preserve"> Monto otorgado para el financiamiento productivo a empresas MIPYME con recursos del programa.</w:t>
            </w:r>
          </w:p>
        </w:tc>
        <w:tc>
          <w:tcPr>
            <w:tcW w:w="1562" w:type="dxa"/>
            <w:tcBorders>
              <w:top w:val="nil"/>
              <w:left w:val="nil"/>
              <w:bottom w:val="single" w:sz="8" w:space="0" w:color="000000"/>
              <w:right w:val="single" w:sz="8" w:space="0" w:color="000000"/>
            </w:tcBorders>
            <w:shd w:val="clear" w:color="auto" w:fill="auto"/>
            <w:vAlign w:val="center"/>
          </w:tcPr>
          <w:p w14:paraId="154C4E5C" w14:textId="77662AF4" w:rsidR="00860C54" w:rsidRPr="00CC5C07" w:rsidRDefault="00860C54" w:rsidP="00860C54">
            <w:pPr>
              <w:spacing w:after="0" w:line="240" w:lineRule="auto"/>
              <w:jc w:val="center"/>
              <w:rPr>
                <w:rFonts w:ascii="Arial" w:eastAsia="Times New Roman" w:hAnsi="Arial" w:cs="Arial"/>
                <w:color w:val="000000"/>
                <w:sz w:val="18"/>
                <w:szCs w:val="18"/>
                <w:lang w:val="es-AR" w:eastAsia="es-ES"/>
              </w:rPr>
            </w:pPr>
            <w:r w:rsidRPr="00CC5C07">
              <w:rPr>
                <w:rFonts w:ascii="Arial" w:eastAsia="Arial" w:hAnsi="Arial" w:cs="Arial"/>
                <w:sz w:val="18"/>
                <w:szCs w:val="18"/>
                <w:lang w:val="es-AR"/>
              </w:rPr>
              <w:t>Millones de US$</w:t>
            </w:r>
          </w:p>
        </w:tc>
        <w:tc>
          <w:tcPr>
            <w:tcW w:w="1497" w:type="dxa"/>
            <w:tcBorders>
              <w:top w:val="nil"/>
              <w:left w:val="nil"/>
              <w:bottom w:val="single" w:sz="8" w:space="0" w:color="000000"/>
              <w:right w:val="single" w:sz="8" w:space="0" w:color="000000"/>
            </w:tcBorders>
            <w:shd w:val="clear" w:color="auto" w:fill="auto"/>
            <w:vAlign w:val="center"/>
          </w:tcPr>
          <w:p w14:paraId="2B66D659" w14:textId="29189D15" w:rsidR="00860C54" w:rsidRPr="00CC5C07" w:rsidRDefault="00860C54" w:rsidP="00860C54">
            <w:pPr>
              <w:spacing w:after="0" w:line="240" w:lineRule="auto"/>
              <w:rPr>
                <w:rFonts w:ascii="Arial" w:eastAsia="Times New Roman" w:hAnsi="Arial" w:cs="Arial"/>
                <w:color w:val="000000"/>
                <w:sz w:val="18"/>
                <w:szCs w:val="18"/>
                <w:lang w:val="es-AR" w:eastAsia="es-ES"/>
              </w:rPr>
            </w:pPr>
            <w:r w:rsidRPr="00CC5C07">
              <w:rPr>
                <w:rFonts w:ascii="Arial" w:eastAsia="Arial" w:hAnsi="Arial" w:cs="Arial"/>
                <w:color w:val="000000"/>
                <w:sz w:val="18"/>
                <w:szCs w:val="18"/>
                <w:lang w:val="es-AR"/>
              </w:rPr>
              <w:t>Información de seguimiento y monitoreo procesada por el OE.</w:t>
            </w:r>
          </w:p>
        </w:tc>
        <w:tc>
          <w:tcPr>
            <w:tcW w:w="3652" w:type="dxa"/>
            <w:tcBorders>
              <w:top w:val="nil"/>
              <w:left w:val="nil"/>
              <w:bottom w:val="single" w:sz="8" w:space="0" w:color="000000"/>
              <w:right w:val="single" w:sz="8" w:space="0" w:color="000000"/>
            </w:tcBorders>
            <w:shd w:val="clear" w:color="auto" w:fill="auto"/>
            <w:vAlign w:val="center"/>
          </w:tcPr>
          <w:p w14:paraId="2339CD48" w14:textId="3C90461F" w:rsidR="00860C54" w:rsidRPr="00CC5C07" w:rsidRDefault="00860C54" w:rsidP="00DD3FD0">
            <w:pPr>
              <w:spacing w:after="0" w:line="240" w:lineRule="auto"/>
              <w:jc w:val="both"/>
              <w:rPr>
                <w:rFonts w:ascii="Arial" w:eastAsia="Times New Roman" w:hAnsi="Arial" w:cs="Arial"/>
                <w:color w:val="000000"/>
                <w:sz w:val="18"/>
                <w:szCs w:val="18"/>
                <w:lang w:val="es-AR" w:eastAsia="es-ES"/>
              </w:rPr>
            </w:pPr>
            <w:r w:rsidRPr="00CC5C07">
              <w:rPr>
                <w:rFonts w:ascii="Arial" w:eastAsia="Arial" w:hAnsi="Arial" w:cs="Arial"/>
                <w:sz w:val="18"/>
                <w:szCs w:val="18"/>
                <w:lang w:val="es-AR"/>
              </w:rPr>
              <w:t xml:space="preserve">Puede incluir a empresas ancla de cadenas de valor estratégicas como recoge el </w:t>
            </w:r>
            <w:r w:rsidR="007441A0">
              <w:rPr>
                <w:rFonts w:ascii="Arial" w:eastAsia="Arial" w:hAnsi="Arial" w:cs="Arial"/>
                <w:sz w:val="18"/>
                <w:szCs w:val="18"/>
                <w:lang w:val="es-AR"/>
              </w:rPr>
              <w:t>RC</w:t>
            </w:r>
            <w:r w:rsidRPr="00CC5C07">
              <w:rPr>
                <w:rFonts w:ascii="Arial" w:eastAsia="Arial" w:hAnsi="Arial" w:cs="Arial"/>
                <w:sz w:val="18"/>
                <w:szCs w:val="18"/>
                <w:lang w:val="es-AR"/>
              </w:rPr>
              <w:t xml:space="preserve">. En este caso, se hará seguimiento de la dispersión del crédito entre las MIPYME de la cadena a la que pertenezca la empresa ancla en cada caso. </w:t>
            </w:r>
          </w:p>
        </w:tc>
      </w:tr>
      <w:tr w:rsidR="00860C54" w:rsidRPr="005336A4" w14:paraId="61146319" w14:textId="77777777" w:rsidTr="00DD3FD0">
        <w:trPr>
          <w:trHeight w:val="1609"/>
          <w:jc w:val="center"/>
        </w:trPr>
        <w:tc>
          <w:tcPr>
            <w:tcW w:w="2102" w:type="dxa"/>
            <w:tcBorders>
              <w:top w:val="nil"/>
              <w:left w:val="single" w:sz="8" w:space="0" w:color="000000"/>
              <w:bottom w:val="single" w:sz="8" w:space="0" w:color="000000"/>
              <w:right w:val="single" w:sz="8" w:space="0" w:color="000000"/>
            </w:tcBorders>
            <w:shd w:val="clear" w:color="auto" w:fill="E7E6E6" w:themeFill="background2"/>
          </w:tcPr>
          <w:p w14:paraId="17A91ECF" w14:textId="5692CF19" w:rsidR="00860C54" w:rsidRPr="00CC5C07" w:rsidRDefault="00860C54" w:rsidP="00DD3FD0">
            <w:pPr>
              <w:spacing w:after="0" w:line="240" w:lineRule="auto"/>
              <w:jc w:val="both"/>
              <w:rPr>
                <w:rFonts w:ascii="Arial" w:eastAsia="Times New Roman" w:hAnsi="Arial" w:cs="Arial"/>
                <w:b/>
                <w:bCs/>
                <w:color w:val="000000"/>
                <w:sz w:val="18"/>
                <w:szCs w:val="18"/>
                <w:lang w:val="es-AR" w:eastAsia="es-ES"/>
              </w:rPr>
            </w:pPr>
            <w:r w:rsidRPr="00CC5C07">
              <w:rPr>
                <w:rFonts w:ascii="Arial" w:eastAsia="Arial" w:hAnsi="Arial" w:cs="Arial"/>
                <w:sz w:val="18"/>
                <w:szCs w:val="18"/>
                <w:lang w:val="es-AR"/>
              </w:rPr>
              <w:t>Hito 1: Monto otorgado para el financiamiento productivo a empresas MIPYME con recursos del programa a través de FONDEP.</w:t>
            </w:r>
          </w:p>
        </w:tc>
        <w:tc>
          <w:tcPr>
            <w:tcW w:w="1562" w:type="dxa"/>
            <w:tcBorders>
              <w:top w:val="nil"/>
              <w:left w:val="nil"/>
              <w:bottom w:val="single" w:sz="8" w:space="0" w:color="000000"/>
              <w:right w:val="single" w:sz="8" w:space="0" w:color="000000"/>
            </w:tcBorders>
            <w:shd w:val="clear" w:color="auto" w:fill="E7E6E6" w:themeFill="background2"/>
            <w:vAlign w:val="center"/>
          </w:tcPr>
          <w:p w14:paraId="4E0FACC3" w14:textId="382BDCE0" w:rsidR="00860C54" w:rsidRPr="00CC5C07" w:rsidRDefault="00860C54" w:rsidP="00860C54">
            <w:pPr>
              <w:spacing w:after="0" w:line="240" w:lineRule="auto"/>
              <w:jc w:val="center"/>
              <w:rPr>
                <w:rFonts w:ascii="Arial" w:eastAsia="Times New Roman" w:hAnsi="Arial" w:cs="Arial"/>
                <w:color w:val="000000"/>
                <w:sz w:val="18"/>
                <w:szCs w:val="18"/>
                <w:lang w:val="es-AR" w:eastAsia="es-ES"/>
              </w:rPr>
            </w:pPr>
            <w:r w:rsidRPr="00CC5C07">
              <w:rPr>
                <w:rFonts w:ascii="Arial" w:eastAsia="Arial" w:hAnsi="Arial" w:cs="Arial"/>
                <w:sz w:val="18"/>
                <w:szCs w:val="18"/>
                <w:lang w:val="es-AR"/>
              </w:rPr>
              <w:t>Millones de US$</w:t>
            </w:r>
          </w:p>
        </w:tc>
        <w:tc>
          <w:tcPr>
            <w:tcW w:w="1497" w:type="dxa"/>
            <w:tcBorders>
              <w:top w:val="nil"/>
              <w:left w:val="nil"/>
              <w:bottom w:val="single" w:sz="8" w:space="0" w:color="000000"/>
              <w:right w:val="single" w:sz="8" w:space="0" w:color="000000"/>
            </w:tcBorders>
            <w:shd w:val="clear" w:color="auto" w:fill="E7E6E6" w:themeFill="background2"/>
            <w:vAlign w:val="center"/>
          </w:tcPr>
          <w:p w14:paraId="4A638C35" w14:textId="617DC6DA" w:rsidR="00860C54" w:rsidRPr="00CC5C07" w:rsidRDefault="00860C54" w:rsidP="00860C54">
            <w:pPr>
              <w:spacing w:after="0" w:line="240" w:lineRule="auto"/>
              <w:rPr>
                <w:rFonts w:ascii="Arial" w:eastAsia="Times New Roman" w:hAnsi="Arial" w:cs="Arial"/>
                <w:color w:val="000000"/>
                <w:sz w:val="18"/>
                <w:szCs w:val="18"/>
                <w:lang w:val="es-AR" w:eastAsia="es-ES"/>
              </w:rPr>
            </w:pPr>
          </w:p>
        </w:tc>
        <w:tc>
          <w:tcPr>
            <w:tcW w:w="3652" w:type="dxa"/>
            <w:tcBorders>
              <w:top w:val="nil"/>
              <w:left w:val="nil"/>
              <w:bottom w:val="single" w:sz="8" w:space="0" w:color="000000"/>
              <w:right w:val="single" w:sz="8" w:space="0" w:color="000000"/>
            </w:tcBorders>
            <w:shd w:val="clear" w:color="auto" w:fill="E7E6E6" w:themeFill="background2"/>
            <w:vAlign w:val="center"/>
          </w:tcPr>
          <w:p w14:paraId="68069F26" w14:textId="2AAB3E59" w:rsidR="00860C54" w:rsidRPr="00CC5C07" w:rsidRDefault="00860C54" w:rsidP="00DD3FD0">
            <w:pPr>
              <w:spacing w:after="0" w:line="240" w:lineRule="auto"/>
              <w:jc w:val="both"/>
              <w:rPr>
                <w:rFonts w:ascii="Arial" w:eastAsia="Times New Roman" w:hAnsi="Arial" w:cs="Arial"/>
                <w:color w:val="000000"/>
                <w:sz w:val="18"/>
                <w:szCs w:val="18"/>
                <w:lang w:val="es-AR" w:eastAsia="es-ES"/>
              </w:rPr>
            </w:pPr>
            <w:r w:rsidRPr="00CC5C07">
              <w:rPr>
                <w:rFonts w:ascii="Arial" w:eastAsia="Arial" w:hAnsi="Arial" w:cs="Arial"/>
                <w:sz w:val="18"/>
                <w:szCs w:val="18"/>
                <w:lang w:val="es-AR"/>
              </w:rPr>
              <w:t>En el caso del crédito a través de FONDEP se contemplan las siguientes modalidades: (i) financiamiento directo; (ii) financiamiento indirecto a través de instituciones financieras intermediarias (IFI); y (iii)</w:t>
            </w:r>
            <w:r w:rsidR="00A74B65">
              <w:rPr>
                <w:rFonts w:ascii="Arial" w:eastAsia="Arial" w:hAnsi="Arial" w:cs="Arial"/>
                <w:sz w:val="18"/>
                <w:szCs w:val="18"/>
                <w:lang w:val="es-AR"/>
              </w:rPr>
              <w:t> </w:t>
            </w:r>
            <w:r w:rsidRPr="00CC5C07">
              <w:rPr>
                <w:rFonts w:ascii="Arial" w:eastAsia="Arial" w:hAnsi="Arial" w:cs="Arial"/>
                <w:sz w:val="18"/>
                <w:szCs w:val="18"/>
                <w:lang w:val="es-AR"/>
              </w:rPr>
              <w:t xml:space="preserve">financiamiento a empresas ancla en beneficio de MIPYME que integran su cadena de valor. </w:t>
            </w:r>
          </w:p>
        </w:tc>
      </w:tr>
      <w:tr w:rsidR="00860C54" w:rsidRPr="005336A4" w14:paraId="351D4938" w14:textId="77777777" w:rsidTr="00DD3FD0">
        <w:trPr>
          <w:trHeight w:val="1006"/>
          <w:jc w:val="center"/>
        </w:trPr>
        <w:tc>
          <w:tcPr>
            <w:tcW w:w="2102" w:type="dxa"/>
            <w:tcBorders>
              <w:top w:val="nil"/>
              <w:left w:val="single" w:sz="8" w:space="0" w:color="000000"/>
              <w:bottom w:val="single" w:sz="8" w:space="0" w:color="000000"/>
              <w:right w:val="single" w:sz="8" w:space="0" w:color="000000"/>
            </w:tcBorders>
            <w:shd w:val="clear" w:color="auto" w:fill="E7E6E6" w:themeFill="background2"/>
          </w:tcPr>
          <w:p w14:paraId="662A9E4E" w14:textId="2EFB9DA8" w:rsidR="00860C54" w:rsidRPr="00CC5C07" w:rsidRDefault="00860C54" w:rsidP="00DD3FD0">
            <w:pPr>
              <w:spacing w:after="0" w:line="240" w:lineRule="auto"/>
              <w:jc w:val="both"/>
              <w:rPr>
                <w:rFonts w:ascii="Arial" w:eastAsia="Times New Roman" w:hAnsi="Arial" w:cs="Arial"/>
                <w:b/>
                <w:bCs/>
                <w:color w:val="000000"/>
                <w:sz w:val="18"/>
                <w:szCs w:val="18"/>
                <w:lang w:val="es-AR" w:eastAsia="es-ES"/>
              </w:rPr>
            </w:pPr>
            <w:r w:rsidRPr="00CC5C07">
              <w:rPr>
                <w:rFonts w:ascii="Arial" w:eastAsia="Arial" w:hAnsi="Arial" w:cs="Arial"/>
                <w:sz w:val="18"/>
                <w:szCs w:val="18"/>
                <w:lang w:val="es-AR"/>
              </w:rPr>
              <w:t>Hito 2: Monto otorgado para el financiamiento productivo a empresas MIPYME con recursos del programa a través de FOGAR.</w:t>
            </w:r>
          </w:p>
        </w:tc>
        <w:tc>
          <w:tcPr>
            <w:tcW w:w="1562" w:type="dxa"/>
            <w:tcBorders>
              <w:top w:val="nil"/>
              <w:left w:val="nil"/>
              <w:bottom w:val="single" w:sz="8" w:space="0" w:color="000000"/>
              <w:right w:val="single" w:sz="8" w:space="0" w:color="000000"/>
            </w:tcBorders>
            <w:shd w:val="clear" w:color="auto" w:fill="E7E6E6" w:themeFill="background2"/>
            <w:vAlign w:val="center"/>
          </w:tcPr>
          <w:p w14:paraId="0C080994" w14:textId="635FF1F4" w:rsidR="00860C54" w:rsidRPr="00CC5C07" w:rsidRDefault="00860C54" w:rsidP="00860C54">
            <w:pPr>
              <w:spacing w:after="0" w:line="240" w:lineRule="auto"/>
              <w:jc w:val="center"/>
              <w:rPr>
                <w:rFonts w:ascii="Arial" w:eastAsia="Times New Roman" w:hAnsi="Arial" w:cs="Arial"/>
                <w:color w:val="000000"/>
                <w:sz w:val="18"/>
                <w:szCs w:val="18"/>
                <w:lang w:val="es-AR" w:eastAsia="es-ES"/>
              </w:rPr>
            </w:pPr>
            <w:r w:rsidRPr="00CC5C07">
              <w:rPr>
                <w:rFonts w:ascii="Arial" w:eastAsia="Arial" w:hAnsi="Arial" w:cs="Arial"/>
                <w:sz w:val="18"/>
                <w:szCs w:val="18"/>
                <w:lang w:val="es-AR"/>
              </w:rPr>
              <w:t>Millones de US$</w:t>
            </w:r>
          </w:p>
        </w:tc>
        <w:tc>
          <w:tcPr>
            <w:tcW w:w="1497" w:type="dxa"/>
            <w:tcBorders>
              <w:top w:val="nil"/>
              <w:left w:val="nil"/>
              <w:bottom w:val="single" w:sz="8" w:space="0" w:color="000000"/>
              <w:right w:val="single" w:sz="8" w:space="0" w:color="000000"/>
            </w:tcBorders>
            <w:shd w:val="clear" w:color="auto" w:fill="E7E6E6" w:themeFill="background2"/>
            <w:vAlign w:val="center"/>
          </w:tcPr>
          <w:p w14:paraId="2B64342E" w14:textId="60B38A5E" w:rsidR="00860C54" w:rsidRPr="00CC5C07" w:rsidRDefault="00860C54" w:rsidP="00860C54">
            <w:pPr>
              <w:spacing w:after="0" w:line="240" w:lineRule="auto"/>
              <w:rPr>
                <w:rFonts w:ascii="Arial" w:eastAsia="Times New Roman" w:hAnsi="Arial" w:cs="Arial"/>
                <w:color w:val="000000"/>
                <w:sz w:val="18"/>
                <w:szCs w:val="18"/>
                <w:lang w:val="es-AR" w:eastAsia="es-ES"/>
              </w:rPr>
            </w:pPr>
          </w:p>
        </w:tc>
        <w:tc>
          <w:tcPr>
            <w:tcW w:w="3652" w:type="dxa"/>
            <w:tcBorders>
              <w:top w:val="nil"/>
              <w:left w:val="nil"/>
              <w:bottom w:val="single" w:sz="8" w:space="0" w:color="000000"/>
              <w:right w:val="single" w:sz="8" w:space="0" w:color="000000"/>
            </w:tcBorders>
            <w:shd w:val="clear" w:color="auto" w:fill="E7E6E6" w:themeFill="background2"/>
            <w:vAlign w:val="center"/>
          </w:tcPr>
          <w:p w14:paraId="3E329224" w14:textId="62D0167B" w:rsidR="00860C54" w:rsidRPr="00CC5C07" w:rsidRDefault="00860C54" w:rsidP="00DD3FD0">
            <w:pPr>
              <w:spacing w:after="0" w:line="240" w:lineRule="auto"/>
              <w:jc w:val="both"/>
              <w:rPr>
                <w:rFonts w:ascii="Arial" w:eastAsia="Times New Roman" w:hAnsi="Arial" w:cs="Arial"/>
                <w:color w:val="000000"/>
                <w:sz w:val="18"/>
                <w:szCs w:val="18"/>
                <w:lang w:val="es-AR" w:eastAsia="es-ES"/>
              </w:rPr>
            </w:pPr>
            <w:r w:rsidRPr="00CC5C07">
              <w:rPr>
                <w:rFonts w:ascii="Arial" w:eastAsia="Arial" w:hAnsi="Arial" w:cs="Arial"/>
                <w:sz w:val="18"/>
                <w:szCs w:val="18"/>
                <w:lang w:val="es-AR"/>
              </w:rPr>
              <w:t>Si bien a la fecha no se prevé el uso de garantías, se podría utilizar el instrumento bajo la estructura de FOGAR si las necesidades así lo dictaran.</w:t>
            </w:r>
          </w:p>
        </w:tc>
      </w:tr>
      <w:tr w:rsidR="00860C54" w:rsidRPr="005336A4" w14:paraId="7834F948" w14:textId="77777777" w:rsidTr="00DD3FD0">
        <w:trPr>
          <w:trHeight w:val="520"/>
          <w:jc w:val="center"/>
        </w:trPr>
        <w:tc>
          <w:tcPr>
            <w:tcW w:w="2102" w:type="dxa"/>
            <w:tcBorders>
              <w:top w:val="nil"/>
              <w:left w:val="single" w:sz="8" w:space="0" w:color="000000"/>
              <w:bottom w:val="single" w:sz="8" w:space="0" w:color="000000"/>
              <w:right w:val="single" w:sz="8" w:space="0" w:color="000000"/>
            </w:tcBorders>
            <w:shd w:val="clear" w:color="auto" w:fill="E7E6E6" w:themeFill="background2"/>
          </w:tcPr>
          <w:p w14:paraId="647A4518" w14:textId="7EADBD38" w:rsidR="00860C54" w:rsidRPr="00CC5C07" w:rsidRDefault="00860C54" w:rsidP="00DD3FD0">
            <w:pPr>
              <w:spacing w:after="0" w:line="240" w:lineRule="auto"/>
              <w:jc w:val="both"/>
              <w:rPr>
                <w:rFonts w:ascii="Arial" w:eastAsia="Times New Roman" w:hAnsi="Arial" w:cs="Arial"/>
                <w:b/>
                <w:bCs/>
                <w:color w:val="000000"/>
                <w:sz w:val="18"/>
                <w:szCs w:val="18"/>
                <w:lang w:val="es-AR" w:eastAsia="es-ES"/>
              </w:rPr>
            </w:pPr>
            <w:r w:rsidRPr="00CC5C07">
              <w:rPr>
                <w:rFonts w:ascii="Arial" w:eastAsia="Arial" w:hAnsi="Arial" w:cs="Arial"/>
                <w:sz w:val="18"/>
                <w:szCs w:val="18"/>
                <w:lang w:val="es-AR"/>
              </w:rPr>
              <w:lastRenderedPageBreak/>
              <w:t>Hito 3: Monto otorgado para el financiamiento productivo a empresas MIPYME de mujeres con recursos del programa través de FONDEP.</w:t>
            </w:r>
          </w:p>
        </w:tc>
        <w:tc>
          <w:tcPr>
            <w:tcW w:w="1562" w:type="dxa"/>
            <w:tcBorders>
              <w:top w:val="nil"/>
              <w:left w:val="nil"/>
              <w:bottom w:val="single" w:sz="8" w:space="0" w:color="000000"/>
              <w:right w:val="single" w:sz="8" w:space="0" w:color="000000"/>
            </w:tcBorders>
            <w:shd w:val="clear" w:color="auto" w:fill="E7E6E6" w:themeFill="background2"/>
            <w:vAlign w:val="center"/>
          </w:tcPr>
          <w:p w14:paraId="41B990D2" w14:textId="5C780831" w:rsidR="00860C54" w:rsidRPr="00CC5C07" w:rsidRDefault="00860C54" w:rsidP="00860C54">
            <w:pPr>
              <w:spacing w:after="0" w:line="240" w:lineRule="auto"/>
              <w:jc w:val="center"/>
              <w:rPr>
                <w:rFonts w:ascii="Arial" w:eastAsia="Times New Roman" w:hAnsi="Arial" w:cs="Arial"/>
                <w:color w:val="000000"/>
                <w:sz w:val="18"/>
                <w:szCs w:val="18"/>
                <w:lang w:val="es-AR" w:eastAsia="es-ES"/>
              </w:rPr>
            </w:pPr>
            <w:r w:rsidRPr="00CC5C07">
              <w:rPr>
                <w:rFonts w:ascii="Arial" w:eastAsia="Arial" w:hAnsi="Arial" w:cs="Arial"/>
                <w:sz w:val="18"/>
                <w:szCs w:val="18"/>
                <w:lang w:val="es-AR"/>
              </w:rPr>
              <w:t>Millones de US$</w:t>
            </w:r>
          </w:p>
        </w:tc>
        <w:tc>
          <w:tcPr>
            <w:tcW w:w="1497" w:type="dxa"/>
            <w:tcBorders>
              <w:top w:val="nil"/>
              <w:left w:val="nil"/>
              <w:bottom w:val="single" w:sz="8" w:space="0" w:color="000000"/>
              <w:right w:val="single" w:sz="8" w:space="0" w:color="000000"/>
            </w:tcBorders>
            <w:shd w:val="clear" w:color="auto" w:fill="E7E6E6" w:themeFill="background2"/>
            <w:vAlign w:val="center"/>
          </w:tcPr>
          <w:p w14:paraId="06F59FBC" w14:textId="63FB60D2" w:rsidR="00860C54" w:rsidRPr="00CC5C07" w:rsidRDefault="00860C54" w:rsidP="00860C54">
            <w:pPr>
              <w:spacing w:after="0" w:line="240" w:lineRule="auto"/>
              <w:rPr>
                <w:rFonts w:ascii="Arial" w:eastAsia="Times New Roman" w:hAnsi="Arial" w:cs="Arial"/>
                <w:color w:val="000000"/>
                <w:sz w:val="18"/>
                <w:szCs w:val="18"/>
                <w:lang w:val="es-AR" w:eastAsia="es-ES"/>
              </w:rPr>
            </w:pPr>
          </w:p>
        </w:tc>
        <w:tc>
          <w:tcPr>
            <w:tcW w:w="3652" w:type="dxa"/>
            <w:tcBorders>
              <w:top w:val="nil"/>
              <w:left w:val="nil"/>
              <w:bottom w:val="single" w:sz="8" w:space="0" w:color="000000"/>
              <w:right w:val="single" w:sz="8" w:space="0" w:color="000000"/>
            </w:tcBorders>
            <w:shd w:val="clear" w:color="auto" w:fill="E7E6E6" w:themeFill="background2"/>
            <w:vAlign w:val="center"/>
          </w:tcPr>
          <w:p w14:paraId="3DBE46F5" w14:textId="77777777" w:rsidR="00860C54" w:rsidRPr="00CC5C07" w:rsidRDefault="00860C54" w:rsidP="00860C54">
            <w:pPr>
              <w:spacing w:before="60" w:after="60" w:line="240" w:lineRule="auto"/>
              <w:jc w:val="both"/>
              <w:rPr>
                <w:rFonts w:ascii="Arial" w:eastAsia="Arial" w:hAnsi="Arial" w:cs="Arial"/>
                <w:sz w:val="18"/>
                <w:szCs w:val="18"/>
                <w:lang w:val="es-AR"/>
              </w:rPr>
            </w:pPr>
            <w:r w:rsidRPr="00CC5C07">
              <w:rPr>
                <w:rFonts w:ascii="Arial" w:eastAsia="Arial" w:hAnsi="Arial" w:cs="Arial"/>
                <w:sz w:val="18"/>
                <w:szCs w:val="18"/>
                <w:lang w:val="es-AR"/>
              </w:rPr>
              <w:t>20% del monto total</w:t>
            </w:r>
          </w:p>
          <w:p w14:paraId="17FDA1CD" w14:textId="47B509B5" w:rsidR="00860C54" w:rsidRPr="00CC5C07" w:rsidRDefault="00860C54" w:rsidP="00DD3FD0">
            <w:pPr>
              <w:spacing w:after="0" w:line="240" w:lineRule="auto"/>
              <w:jc w:val="both"/>
              <w:rPr>
                <w:rFonts w:ascii="Arial" w:eastAsia="Times New Roman" w:hAnsi="Arial" w:cs="Arial"/>
                <w:color w:val="000000"/>
                <w:sz w:val="18"/>
                <w:szCs w:val="18"/>
                <w:lang w:val="es-AR" w:eastAsia="es-ES"/>
              </w:rPr>
            </w:pPr>
            <w:r w:rsidRPr="00CC5C07">
              <w:rPr>
                <w:rFonts w:ascii="Arial" w:eastAsia="Arial" w:hAnsi="Arial" w:cs="Arial"/>
                <w:sz w:val="18"/>
                <w:szCs w:val="18"/>
                <w:lang w:val="es-AR"/>
              </w:rPr>
              <w:t>Se entiende por MIPYME de mujeres, aquellas empresas lideradas o de propiedad de mujeres (con más del 50% del paquete accionario en manos de mujeres o con al menos el 25% del paquete accionario en mano de mujeres y al menos una mujer en un puesto de decisión).</w:t>
            </w:r>
          </w:p>
        </w:tc>
      </w:tr>
      <w:tr w:rsidR="00860C54" w:rsidRPr="005336A4" w14:paraId="70E3E6E1" w14:textId="77777777" w:rsidTr="00DD3FD0">
        <w:trPr>
          <w:trHeight w:val="1312"/>
          <w:jc w:val="center"/>
        </w:trPr>
        <w:tc>
          <w:tcPr>
            <w:tcW w:w="2102" w:type="dxa"/>
            <w:tcBorders>
              <w:top w:val="nil"/>
              <w:left w:val="single" w:sz="8" w:space="0" w:color="000000"/>
              <w:bottom w:val="single" w:sz="8" w:space="0" w:color="000000"/>
              <w:right w:val="single" w:sz="8" w:space="0" w:color="000000"/>
            </w:tcBorders>
            <w:shd w:val="clear" w:color="auto" w:fill="E7E6E6" w:themeFill="background2"/>
          </w:tcPr>
          <w:p w14:paraId="373B736C" w14:textId="22BC052C" w:rsidR="00860C54" w:rsidRPr="00CC5C07" w:rsidRDefault="00860C54" w:rsidP="00DD3FD0">
            <w:pPr>
              <w:spacing w:after="0" w:line="240" w:lineRule="auto"/>
              <w:jc w:val="both"/>
              <w:rPr>
                <w:rFonts w:ascii="Arial" w:eastAsia="Times New Roman" w:hAnsi="Arial" w:cs="Arial"/>
                <w:b/>
                <w:bCs/>
                <w:color w:val="000000"/>
                <w:sz w:val="18"/>
                <w:szCs w:val="18"/>
                <w:lang w:val="es-AR" w:eastAsia="es-ES"/>
              </w:rPr>
            </w:pPr>
            <w:r w:rsidRPr="00CC5C07">
              <w:rPr>
                <w:rFonts w:ascii="Arial" w:eastAsia="Arial" w:hAnsi="Arial" w:cs="Arial"/>
                <w:sz w:val="18"/>
                <w:szCs w:val="18"/>
                <w:lang w:val="es-AR"/>
              </w:rPr>
              <w:t>Hito 4: Monto otorgado para el financiamiento productivo a empresas MIPYME de mujeres con recursos del programa través de FOGAR.</w:t>
            </w:r>
          </w:p>
        </w:tc>
        <w:tc>
          <w:tcPr>
            <w:tcW w:w="1562" w:type="dxa"/>
            <w:tcBorders>
              <w:top w:val="nil"/>
              <w:left w:val="nil"/>
              <w:bottom w:val="single" w:sz="8" w:space="0" w:color="000000"/>
              <w:right w:val="single" w:sz="8" w:space="0" w:color="000000"/>
            </w:tcBorders>
            <w:shd w:val="clear" w:color="auto" w:fill="E7E6E6" w:themeFill="background2"/>
            <w:vAlign w:val="center"/>
          </w:tcPr>
          <w:p w14:paraId="7EC7B997" w14:textId="2153ECDB" w:rsidR="00860C54" w:rsidRPr="00CC5C07" w:rsidRDefault="00860C54" w:rsidP="00860C54">
            <w:pPr>
              <w:spacing w:after="0" w:line="240" w:lineRule="auto"/>
              <w:jc w:val="center"/>
              <w:rPr>
                <w:rFonts w:ascii="Arial" w:eastAsia="Times New Roman" w:hAnsi="Arial" w:cs="Arial"/>
                <w:color w:val="000000"/>
                <w:sz w:val="18"/>
                <w:szCs w:val="18"/>
                <w:lang w:val="es-AR" w:eastAsia="es-ES"/>
              </w:rPr>
            </w:pPr>
            <w:r w:rsidRPr="00CC5C07">
              <w:rPr>
                <w:rFonts w:ascii="Arial" w:eastAsia="Arial" w:hAnsi="Arial" w:cs="Arial"/>
                <w:sz w:val="18"/>
                <w:szCs w:val="18"/>
                <w:lang w:val="es-AR"/>
              </w:rPr>
              <w:t>Millones de US$</w:t>
            </w:r>
          </w:p>
        </w:tc>
        <w:tc>
          <w:tcPr>
            <w:tcW w:w="1497" w:type="dxa"/>
            <w:tcBorders>
              <w:top w:val="nil"/>
              <w:left w:val="nil"/>
              <w:bottom w:val="single" w:sz="8" w:space="0" w:color="000000"/>
              <w:right w:val="single" w:sz="8" w:space="0" w:color="000000"/>
            </w:tcBorders>
            <w:shd w:val="clear" w:color="auto" w:fill="E7E6E6" w:themeFill="background2"/>
            <w:vAlign w:val="center"/>
          </w:tcPr>
          <w:p w14:paraId="4F27E15F" w14:textId="07424364" w:rsidR="00860C54" w:rsidRPr="00CC5C07" w:rsidRDefault="00860C54" w:rsidP="00860C54">
            <w:pPr>
              <w:spacing w:after="0" w:line="240" w:lineRule="auto"/>
              <w:rPr>
                <w:rFonts w:ascii="Arial" w:eastAsia="Times New Roman" w:hAnsi="Arial" w:cs="Arial"/>
                <w:color w:val="000000"/>
                <w:sz w:val="18"/>
                <w:szCs w:val="18"/>
                <w:lang w:val="es-AR" w:eastAsia="es-ES"/>
              </w:rPr>
            </w:pPr>
          </w:p>
        </w:tc>
        <w:tc>
          <w:tcPr>
            <w:tcW w:w="3652" w:type="dxa"/>
            <w:tcBorders>
              <w:top w:val="nil"/>
              <w:left w:val="nil"/>
              <w:bottom w:val="single" w:sz="8" w:space="0" w:color="000000"/>
              <w:right w:val="single" w:sz="8" w:space="0" w:color="000000"/>
            </w:tcBorders>
            <w:shd w:val="clear" w:color="auto" w:fill="E7E6E6" w:themeFill="background2"/>
            <w:vAlign w:val="center"/>
          </w:tcPr>
          <w:p w14:paraId="1420169E" w14:textId="77777777" w:rsidR="00860C54" w:rsidRPr="00CC5C07" w:rsidRDefault="00860C54" w:rsidP="00860C54">
            <w:pPr>
              <w:spacing w:before="60" w:after="60" w:line="240" w:lineRule="auto"/>
              <w:jc w:val="both"/>
              <w:rPr>
                <w:rFonts w:ascii="Arial" w:eastAsia="Arial" w:hAnsi="Arial" w:cs="Arial"/>
                <w:sz w:val="18"/>
                <w:szCs w:val="18"/>
                <w:lang w:val="es-AR"/>
              </w:rPr>
            </w:pPr>
            <w:r w:rsidRPr="00CC5C07">
              <w:rPr>
                <w:rFonts w:ascii="Arial" w:eastAsia="Arial" w:hAnsi="Arial" w:cs="Arial"/>
                <w:sz w:val="18"/>
                <w:szCs w:val="18"/>
                <w:lang w:val="es-AR"/>
              </w:rPr>
              <w:t>20% del monto total</w:t>
            </w:r>
          </w:p>
          <w:p w14:paraId="47FDDBBE" w14:textId="2E106339" w:rsidR="00860C54" w:rsidRPr="00CC5C07" w:rsidRDefault="00860C54" w:rsidP="00DD3FD0">
            <w:pPr>
              <w:spacing w:after="0" w:line="240" w:lineRule="auto"/>
              <w:jc w:val="both"/>
              <w:rPr>
                <w:rFonts w:ascii="Arial" w:eastAsia="Times New Roman" w:hAnsi="Arial" w:cs="Arial"/>
                <w:color w:val="000000"/>
                <w:sz w:val="18"/>
                <w:szCs w:val="18"/>
                <w:lang w:val="es-AR" w:eastAsia="es-ES"/>
              </w:rPr>
            </w:pPr>
            <w:r w:rsidRPr="00CC5C07">
              <w:rPr>
                <w:rFonts w:ascii="Arial" w:eastAsia="Arial" w:hAnsi="Arial" w:cs="Arial"/>
                <w:sz w:val="18"/>
                <w:szCs w:val="18"/>
                <w:lang w:val="es-AR"/>
              </w:rPr>
              <w:t>Se entiende por MIPYME de mujeres, aquellas empresas lideradas o de propiedad de mujeres (con más del 50% del paquete accionario en manos de mujeres o con al menos el 25% del paquete accionario en mano de mujeres y al menos una mujer en un puesto de decisión).</w:t>
            </w:r>
          </w:p>
        </w:tc>
      </w:tr>
    </w:tbl>
    <w:p w14:paraId="22EF9CE8" w14:textId="77777777" w:rsidR="007116B2" w:rsidRPr="001F731F" w:rsidRDefault="007116B2" w:rsidP="00614B51">
      <w:pPr>
        <w:pStyle w:val="SecHeading"/>
        <w:tabs>
          <w:tab w:val="clear" w:pos="5400"/>
          <w:tab w:val="num" w:pos="1260"/>
        </w:tabs>
        <w:spacing w:before="240"/>
        <w:ind w:hanging="4680"/>
        <w:rPr>
          <w:rFonts w:ascii="Arial" w:hAnsi="Arial" w:cs="Arial"/>
          <w:color w:val="auto"/>
          <w:sz w:val="22"/>
          <w:szCs w:val="22"/>
        </w:rPr>
      </w:pPr>
      <w:bookmarkStart w:id="13" w:name="_Toc352756754"/>
      <w:bookmarkStart w:id="14" w:name="_Toc40475105"/>
      <w:bookmarkEnd w:id="8"/>
      <w:r w:rsidRPr="001F731F">
        <w:rPr>
          <w:rFonts w:ascii="Arial" w:hAnsi="Arial" w:cs="Arial"/>
          <w:color w:val="auto"/>
          <w:sz w:val="22"/>
          <w:szCs w:val="22"/>
        </w:rPr>
        <w:t>Recolección de Información e Instrumentos</w:t>
      </w:r>
      <w:bookmarkEnd w:id="13"/>
      <w:bookmarkEnd w:id="14"/>
    </w:p>
    <w:p w14:paraId="5D63483F" w14:textId="68C30F43" w:rsidR="007116B2" w:rsidRPr="001F731F" w:rsidRDefault="006B6990" w:rsidP="007116B2">
      <w:pPr>
        <w:pStyle w:val="Paragraph"/>
        <w:numPr>
          <w:ilvl w:val="1"/>
          <w:numId w:val="5"/>
        </w:numPr>
        <w:ind w:left="630" w:hanging="630"/>
        <w:rPr>
          <w:rFonts w:ascii="Arial" w:hAnsi="Arial" w:cs="Arial"/>
          <w:sz w:val="22"/>
          <w:szCs w:val="22"/>
          <w:lang w:val="es-ES_tradnl"/>
        </w:rPr>
      </w:pPr>
      <w:r>
        <w:rPr>
          <w:rFonts w:ascii="Arial" w:hAnsi="Arial" w:cs="Arial"/>
          <w:sz w:val="22"/>
          <w:szCs w:val="22"/>
          <w:lang w:val="es-ES_tradnl"/>
        </w:rPr>
        <w:t xml:space="preserve">El OE y el Banco </w:t>
      </w:r>
      <w:r w:rsidR="007116B2" w:rsidRPr="001F731F">
        <w:rPr>
          <w:rFonts w:ascii="Arial" w:hAnsi="Arial" w:cs="Arial"/>
          <w:sz w:val="22"/>
          <w:szCs w:val="22"/>
          <w:lang w:val="es-ES_tradnl"/>
        </w:rPr>
        <w:t xml:space="preserve">han acordado usar la Matriz de Resultados del programa recogida en este Plan de Monitoreo y Evaluación a los efectos de monitorear el progreso en su ejecución. Dicho monitoreo descansará en la información administrativa recolectada y mantenida durante la vida del </w:t>
      </w:r>
      <w:r>
        <w:rPr>
          <w:rFonts w:ascii="Arial" w:hAnsi="Arial" w:cs="Arial"/>
          <w:sz w:val="22"/>
          <w:szCs w:val="22"/>
          <w:lang w:val="es-ES_tradnl"/>
        </w:rPr>
        <w:t>programa</w:t>
      </w:r>
      <w:r w:rsidR="007116B2" w:rsidRPr="001F731F">
        <w:rPr>
          <w:rFonts w:ascii="Arial" w:hAnsi="Arial" w:cs="Arial"/>
          <w:sz w:val="22"/>
          <w:szCs w:val="22"/>
          <w:lang w:val="es-ES_tradnl"/>
        </w:rPr>
        <w:t xml:space="preserve"> por el OE</w:t>
      </w:r>
      <w:r>
        <w:rPr>
          <w:rFonts w:ascii="Arial" w:hAnsi="Arial" w:cs="Arial"/>
          <w:sz w:val="22"/>
          <w:szCs w:val="22"/>
          <w:lang w:val="es-ES_tradnl"/>
        </w:rPr>
        <w:t>.</w:t>
      </w:r>
      <w:r w:rsidR="007116B2" w:rsidRPr="001F731F">
        <w:rPr>
          <w:rFonts w:ascii="Arial" w:hAnsi="Arial" w:cs="Arial"/>
          <w:sz w:val="22"/>
          <w:szCs w:val="22"/>
          <w:lang w:val="es-ES_tradnl"/>
        </w:rPr>
        <w:t xml:space="preserve"> </w:t>
      </w:r>
      <w:r>
        <w:rPr>
          <w:rFonts w:ascii="Arial" w:hAnsi="Arial" w:cs="Arial"/>
          <w:sz w:val="22"/>
          <w:szCs w:val="22"/>
          <w:lang w:val="es-ES_tradnl"/>
        </w:rPr>
        <w:t>El OE m</w:t>
      </w:r>
      <w:r w:rsidR="007116B2" w:rsidRPr="001F731F">
        <w:rPr>
          <w:rFonts w:ascii="Arial" w:hAnsi="Arial" w:cs="Arial"/>
          <w:sz w:val="22"/>
          <w:szCs w:val="22"/>
          <w:lang w:val="es-ES_tradnl"/>
        </w:rPr>
        <w:t xml:space="preserve">antendrá un sistema de registros que podrá incluir información sobre las características del </w:t>
      </w:r>
      <w:r>
        <w:rPr>
          <w:rFonts w:ascii="Arial" w:hAnsi="Arial" w:cs="Arial"/>
          <w:sz w:val="22"/>
          <w:szCs w:val="22"/>
          <w:lang w:val="es-ES_tradnl"/>
        </w:rPr>
        <w:t>financiamiento y/o garantía</w:t>
      </w:r>
      <w:r w:rsidR="007116B2" w:rsidRPr="001F731F">
        <w:rPr>
          <w:rFonts w:ascii="Arial" w:hAnsi="Arial" w:cs="Arial"/>
          <w:sz w:val="22"/>
          <w:szCs w:val="22"/>
          <w:lang w:val="es-ES_tradnl"/>
        </w:rPr>
        <w:t xml:space="preserve"> otorgado a los prestatarios y/o destinatarios </w:t>
      </w:r>
      <w:r>
        <w:rPr>
          <w:rFonts w:ascii="Arial" w:hAnsi="Arial" w:cs="Arial"/>
          <w:sz w:val="22"/>
          <w:szCs w:val="22"/>
          <w:lang w:val="es-ES_tradnl"/>
        </w:rPr>
        <w:t>finales,</w:t>
      </w:r>
      <w:r w:rsidR="007116B2" w:rsidRPr="001F731F">
        <w:rPr>
          <w:rFonts w:ascii="Arial" w:hAnsi="Arial" w:cs="Arial"/>
          <w:sz w:val="22"/>
          <w:szCs w:val="22"/>
          <w:lang w:val="es-ES_tradnl"/>
        </w:rPr>
        <w:t xml:space="preserve"> como monto, tasa de interés, sector de actividad, destino de la inversión, plazos y cartera vencida.</w:t>
      </w:r>
      <w:r w:rsidR="00A35A95">
        <w:rPr>
          <w:rFonts w:ascii="Arial" w:hAnsi="Arial" w:cs="Arial"/>
          <w:sz w:val="22"/>
          <w:szCs w:val="22"/>
          <w:lang w:val="es-ES_tradnl"/>
        </w:rPr>
        <w:t xml:space="preserve"> Adicionalmente, el OE recogerá los datos </w:t>
      </w:r>
      <w:r w:rsidR="00DC6D58">
        <w:rPr>
          <w:rFonts w:ascii="Arial" w:hAnsi="Arial" w:cs="Arial"/>
          <w:sz w:val="22"/>
          <w:szCs w:val="22"/>
          <w:lang w:val="es-ES_tradnl"/>
        </w:rPr>
        <w:t xml:space="preserve">inicial -antes de recibir recursos del programa- y final -tras recibir los recursos del programa por última vez- </w:t>
      </w:r>
      <w:r w:rsidR="00A35A95">
        <w:rPr>
          <w:rFonts w:ascii="Arial" w:hAnsi="Arial" w:cs="Arial"/>
          <w:sz w:val="22"/>
          <w:szCs w:val="22"/>
          <w:lang w:val="es-ES_tradnl"/>
        </w:rPr>
        <w:t xml:space="preserve">de monto </w:t>
      </w:r>
      <w:r w:rsidR="00DC6D58">
        <w:rPr>
          <w:rFonts w:ascii="Arial" w:hAnsi="Arial" w:cs="Arial"/>
          <w:sz w:val="22"/>
          <w:szCs w:val="22"/>
          <w:lang w:val="es-ES_tradnl"/>
        </w:rPr>
        <w:t>total de la cartera y cartera vencida</w:t>
      </w:r>
      <w:r w:rsidR="00A35A95">
        <w:rPr>
          <w:rFonts w:ascii="Arial" w:hAnsi="Arial" w:cs="Arial"/>
          <w:sz w:val="22"/>
          <w:szCs w:val="22"/>
          <w:lang w:val="es-ES_tradnl"/>
        </w:rPr>
        <w:t xml:space="preserve"> </w:t>
      </w:r>
      <w:r w:rsidR="00DC6D58">
        <w:rPr>
          <w:rFonts w:ascii="Arial" w:hAnsi="Arial" w:cs="Arial"/>
          <w:sz w:val="22"/>
          <w:szCs w:val="22"/>
          <w:lang w:val="es-ES_tradnl"/>
        </w:rPr>
        <w:t>para</w:t>
      </w:r>
      <w:r w:rsidR="00A35A95">
        <w:rPr>
          <w:rFonts w:ascii="Arial" w:hAnsi="Arial" w:cs="Arial"/>
          <w:sz w:val="22"/>
          <w:szCs w:val="22"/>
          <w:lang w:val="es-ES_tradnl"/>
        </w:rPr>
        <w:t xml:space="preserve"> </w:t>
      </w:r>
      <w:r w:rsidR="00DC6D58">
        <w:rPr>
          <w:rFonts w:ascii="Arial" w:hAnsi="Arial" w:cs="Arial"/>
          <w:sz w:val="22"/>
          <w:szCs w:val="22"/>
          <w:lang w:val="es-ES_tradnl"/>
        </w:rPr>
        <w:t xml:space="preserve">la cartera de </w:t>
      </w:r>
      <w:r w:rsidR="00A35A95">
        <w:rPr>
          <w:rFonts w:ascii="Arial" w:hAnsi="Arial" w:cs="Arial"/>
          <w:sz w:val="22"/>
          <w:szCs w:val="22"/>
          <w:lang w:val="es-ES_tradnl"/>
        </w:rPr>
        <w:t>financiamiento a MIPYME de las instituciones financieras de primer piso con las que se</w:t>
      </w:r>
      <w:r w:rsidR="00DC6D58">
        <w:rPr>
          <w:rFonts w:ascii="Arial" w:hAnsi="Arial" w:cs="Arial"/>
          <w:sz w:val="22"/>
          <w:szCs w:val="22"/>
          <w:lang w:val="es-ES_tradnl"/>
        </w:rPr>
        <w:t xml:space="preserve"> trabaje en el contexto de este programa.</w:t>
      </w:r>
    </w:p>
    <w:p w14:paraId="19C34AF3" w14:textId="7893F1B6" w:rsidR="007116B2" w:rsidRPr="001F731F" w:rsidRDefault="00376D49" w:rsidP="007116B2">
      <w:pPr>
        <w:pStyle w:val="Paragraph"/>
        <w:numPr>
          <w:ilvl w:val="1"/>
          <w:numId w:val="5"/>
        </w:numPr>
        <w:ind w:left="630" w:hanging="630"/>
        <w:rPr>
          <w:rFonts w:ascii="Arial" w:hAnsi="Arial" w:cs="Arial"/>
          <w:sz w:val="22"/>
          <w:szCs w:val="22"/>
          <w:lang w:val="es-ES_tradnl"/>
        </w:rPr>
      </w:pPr>
      <w:r w:rsidRPr="00376D49">
        <w:rPr>
          <w:rFonts w:ascii="Arial" w:hAnsi="Arial" w:cs="Arial"/>
          <w:sz w:val="22"/>
          <w:szCs w:val="22"/>
          <w:lang w:val="es-ES"/>
        </w:rPr>
        <w:t>La SEPYME se apoyará en la DGPYPSE del MDP para la gestión administrativa y financiera de los recursos del Programa</w:t>
      </w:r>
      <w:r>
        <w:rPr>
          <w:rFonts w:ascii="Arial" w:hAnsi="Arial" w:cs="Arial"/>
          <w:sz w:val="22"/>
          <w:szCs w:val="22"/>
          <w:lang w:val="es-ES"/>
        </w:rPr>
        <w:t>.</w:t>
      </w:r>
    </w:p>
    <w:p w14:paraId="741F1122" w14:textId="15B92AED" w:rsidR="007116B2" w:rsidRPr="001F731F" w:rsidRDefault="007116B2" w:rsidP="007116B2">
      <w:pPr>
        <w:pStyle w:val="Paragraph"/>
        <w:numPr>
          <w:ilvl w:val="1"/>
          <w:numId w:val="5"/>
        </w:numPr>
        <w:ind w:left="630" w:hanging="630"/>
        <w:rPr>
          <w:rFonts w:ascii="Arial" w:hAnsi="Arial" w:cs="Arial"/>
          <w:sz w:val="22"/>
          <w:szCs w:val="22"/>
          <w:lang w:val="es-ES_tradnl"/>
        </w:rPr>
      </w:pPr>
      <w:r w:rsidRPr="001F731F">
        <w:rPr>
          <w:rFonts w:ascii="Arial" w:hAnsi="Arial" w:cs="Arial"/>
          <w:sz w:val="22"/>
          <w:szCs w:val="22"/>
          <w:lang w:val="es-ES_tradnl"/>
        </w:rPr>
        <w:t>Los usuarios de los informes semestrales de seguimiento serán el organismo financiador del Programa (BID), más concretamente la División de Conectividad, Mercados y Finanzas (IFD/CMF), las instituciones colaboradoras en cada proyecto, y las auditorías que trabajen en la supervisión del Programa.</w:t>
      </w:r>
    </w:p>
    <w:p w14:paraId="66E142C8" w14:textId="77777777" w:rsidR="007116B2" w:rsidRPr="001F731F" w:rsidRDefault="007116B2" w:rsidP="007116B2">
      <w:pPr>
        <w:pStyle w:val="SecHeading"/>
        <w:tabs>
          <w:tab w:val="clear" w:pos="5400"/>
          <w:tab w:val="num" w:pos="1260"/>
        </w:tabs>
        <w:ind w:left="5398" w:hanging="4678"/>
        <w:rPr>
          <w:rFonts w:ascii="Arial" w:hAnsi="Arial" w:cs="Arial"/>
          <w:color w:val="auto"/>
          <w:sz w:val="22"/>
          <w:szCs w:val="22"/>
        </w:rPr>
      </w:pPr>
      <w:bookmarkStart w:id="15" w:name="_Toc352756755"/>
      <w:bookmarkStart w:id="16" w:name="_Toc40475106"/>
      <w:r w:rsidRPr="001F731F">
        <w:rPr>
          <w:rFonts w:ascii="Arial" w:hAnsi="Arial" w:cs="Arial"/>
          <w:color w:val="auto"/>
          <w:sz w:val="22"/>
          <w:szCs w:val="22"/>
        </w:rPr>
        <w:t xml:space="preserve">Presentación de </w:t>
      </w:r>
      <w:bookmarkEnd w:id="15"/>
      <w:r w:rsidRPr="001F731F">
        <w:rPr>
          <w:rFonts w:ascii="Arial" w:hAnsi="Arial" w:cs="Arial"/>
          <w:color w:val="auto"/>
          <w:sz w:val="22"/>
          <w:szCs w:val="22"/>
        </w:rPr>
        <w:t>Informes</w:t>
      </w:r>
      <w:bookmarkEnd w:id="16"/>
      <w:r w:rsidRPr="001F731F">
        <w:rPr>
          <w:rFonts w:ascii="Arial" w:hAnsi="Arial" w:cs="Arial"/>
          <w:color w:val="auto"/>
          <w:sz w:val="22"/>
          <w:szCs w:val="22"/>
        </w:rPr>
        <w:t xml:space="preserve"> </w:t>
      </w:r>
    </w:p>
    <w:p w14:paraId="6ACBCF31" w14:textId="1B205EC4" w:rsidR="007116B2" w:rsidRPr="001F731F" w:rsidRDefault="007116B2" w:rsidP="007116B2">
      <w:pPr>
        <w:pStyle w:val="Paragraph"/>
        <w:numPr>
          <w:ilvl w:val="1"/>
          <w:numId w:val="5"/>
        </w:numPr>
        <w:ind w:left="630" w:hanging="630"/>
        <w:rPr>
          <w:rFonts w:ascii="Arial" w:hAnsi="Arial" w:cs="Arial"/>
          <w:sz w:val="22"/>
          <w:szCs w:val="22"/>
          <w:lang w:val="es-ES_tradnl"/>
        </w:rPr>
      </w:pPr>
      <w:r w:rsidRPr="001F731F">
        <w:rPr>
          <w:rFonts w:ascii="Arial" w:hAnsi="Arial" w:cs="Arial"/>
          <w:sz w:val="22"/>
          <w:szCs w:val="22"/>
          <w:lang w:val="es-ES_tradnl"/>
        </w:rPr>
        <w:t xml:space="preserve">La ejecución del programa será monitoreada a través de los PMR. </w:t>
      </w:r>
      <w:r w:rsidR="006B6990">
        <w:rPr>
          <w:rFonts w:ascii="Arial" w:hAnsi="Arial" w:cs="Arial"/>
          <w:sz w:val="22"/>
          <w:szCs w:val="22"/>
          <w:lang w:val="es-ES_tradnl"/>
        </w:rPr>
        <w:t xml:space="preserve">El OE en coordinación con </w:t>
      </w:r>
      <w:r w:rsidR="004175DB">
        <w:rPr>
          <w:rFonts w:ascii="Arial" w:hAnsi="Arial" w:cs="Arial"/>
          <w:sz w:val="22"/>
          <w:szCs w:val="22"/>
          <w:lang w:val="es-ES_tradnl"/>
        </w:rPr>
        <w:t>el Banc</w:t>
      </w:r>
      <w:r w:rsidR="00790E17">
        <w:rPr>
          <w:rFonts w:ascii="Arial" w:hAnsi="Arial" w:cs="Arial"/>
          <w:sz w:val="22"/>
          <w:szCs w:val="22"/>
          <w:lang w:val="es-ES_tradnl"/>
        </w:rPr>
        <w:t>o -y, en su caso,</w:t>
      </w:r>
      <w:r w:rsidR="004175DB">
        <w:rPr>
          <w:rFonts w:ascii="Arial" w:hAnsi="Arial" w:cs="Arial"/>
          <w:sz w:val="22"/>
          <w:szCs w:val="22"/>
          <w:lang w:val="es-ES_tradnl"/>
        </w:rPr>
        <w:t xml:space="preserve"> </w:t>
      </w:r>
      <w:r w:rsidR="00790E17">
        <w:rPr>
          <w:rFonts w:ascii="Arial" w:hAnsi="Arial" w:cs="Arial"/>
          <w:sz w:val="22"/>
          <w:szCs w:val="22"/>
          <w:lang w:val="es-ES_tradnl"/>
        </w:rPr>
        <w:t xml:space="preserve">con la SAE- </w:t>
      </w:r>
      <w:r w:rsidRPr="001F731F">
        <w:rPr>
          <w:rFonts w:ascii="Arial" w:hAnsi="Arial" w:cs="Arial"/>
          <w:sz w:val="22"/>
          <w:szCs w:val="22"/>
          <w:lang w:val="es-ES_tradnl"/>
        </w:rPr>
        <w:t>será responsable de entregar dichos informes al BID dentro de los plazos especificados en las condiciones contractuales (a más tardar 60 días después del fin de cada semestre). Estos informes incluyen: (i) Informes de Monitoreo semestrales; (ii) el Informe de Evaluación Final; (iii) Auditorías; y (iv) Evaluaciones de Cumplimiento ESG.</w:t>
      </w:r>
    </w:p>
    <w:p w14:paraId="27D87128" w14:textId="77777777" w:rsidR="007116B2" w:rsidRPr="001F731F" w:rsidRDefault="007116B2" w:rsidP="007116B2">
      <w:pPr>
        <w:pStyle w:val="Paragraph"/>
        <w:numPr>
          <w:ilvl w:val="1"/>
          <w:numId w:val="5"/>
        </w:numPr>
        <w:ind w:left="630" w:hanging="630"/>
        <w:rPr>
          <w:rFonts w:ascii="Arial" w:hAnsi="Arial" w:cs="Arial"/>
          <w:sz w:val="22"/>
          <w:szCs w:val="22"/>
          <w:lang w:val="es-ES_tradnl"/>
        </w:rPr>
      </w:pPr>
      <w:r w:rsidRPr="001F731F">
        <w:rPr>
          <w:rFonts w:ascii="Arial" w:hAnsi="Arial" w:cs="Arial"/>
          <w:sz w:val="22"/>
          <w:szCs w:val="22"/>
          <w:lang w:val="es-ES_tradnl"/>
        </w:rPr>
        <w:t xml:space="preserve">Los informes de monitoreo semestral deberán incluir (i) el estado de la ejecución de las actividades del programa, sus productos y efectos directos conforme se vayan realizando, los problemas de ejecución y/o riesgos identificados, y las acciones propuestas para mitigarlos; así como (ii) la consecución de los productos e hitos tal y como se establecen en la Matriz de Resultados. </w:t>
      </w:r>
    </w:p>
    <w:p w14:paraId="3579C3CE" w14:textId="77777777" w:rsidR="007116B2" w:rsidRPr="001F731F" w:rsidRDefault="007116B2" w:rsidP="007116B2">
      <w:pPr>
        <w:pStyle w:val="Paragraph"/>
        <w:numPr>
          <w:ilvl w:val="1"/>
          <w:numId w:val="5"/>
        </w:numPr>
        <w:ind w:left="630" w:hanging="630"/>
        <w:rPr>
          <w:rFonts w:ascii="Arial" w:hAnsi="Arial" w:cs="Arial"/>
          <w:sz w:val="22"/>
          <w:szCs w:val="22"/>
          <w:lang w:val="es-ES_tradnl"/>
        </w:rPr>
      </w:pPr>
      <w:r w:rsidRPr="001F731F">
        <w:rPr>
          <w:rFonts w:ascii="Arial" w:hAnsi="Arial" w:cs="Arial"/>
          <w:sz w:val="22"/>
          <w:szCs w:val="22"/>
          <w:lang w:val="es-ES_tradnl"/>
        </w:rPr>
        <w:lastRenderedPageBreak/>
        <w:t>Por su parte, el informe de evaluación final deberá incluir el agregado de la información contenida en los informes de monitoreo semestrales, así como un análisis final de logros sobre los indicadores de producto y resultados y de los problemas de ejecución detectados durante la ejecución del programa y el efecto final de las acciones de mitigación que se implementaron. Se deberá incluir y documentar en el máximo de las posibilidades otros efectos imprevistos del programa. Además, deberá contener la información cualitativa que se considere relevante para entender el progreso de la ejecución del programa en términos de coordinación, efectos exógenos e implementación.</w:t>
      </w:r>
    </w:p>
    <w:p w14:paraId="1B597920" w14:textId="77777777" w:rsidR="007116B2" w:rsidRPr="001F731F" w:rsidRDefault="007116B2" w:rsidP="007116B2">
      <w:pPr>
        <w:pStyle w:val="Paragraph"/>
        <w:numPr>
          <w:ilvl w:val="1"/>
          <w:numId w:val="5"/>
        </w:numPr>
        <w:ind w:left="630" w:hanging="630"/>
        <w:rPr>
          <w:rFonts w:ascii="Arial" w:hAnsi="Arial" w:cs="Arial"/>
          <w:sz w:val="22"/>
          <w:szCs w:val="22"/>
          <w:lang w:val="es-ES_tradnl"/>
        </w:rPr>
      </w:pPr>
      <w:r w:rsidRPr="001F731F">
        <w:rPr>
          <w:rFonts w:ascii="Arial" w:hAnsi="Arial" w:cs="Arial"/>
          <w:sz w:val="22"/>
          <w:szCs w:val="22"/>
          <w:lang w:val="es-ES_tradnl"/>
        </w:rPr>
        <w:t>Las auditorías deberán ser completadas por auditores independiente aceptables y seleccionados según los procedimientos del BID, tal y como establecen las directrices previstas para este fin. Los estados financieros anuales auditados del programa se presentarán dentro de los 120 días siguientes al cierre de cada ejercicio económico, comenzando con el ejercicio en que se inicia la ejecución del programa. Los mismos estados financieros, pero referentes al cierre del programa, serán presentados dentro de los 120 días posteriores al último desembolso.</w:t>
      </w:r>
    </w:p>
    <w:p w14:paraId="52887872" w14:textId="027CD70A" w:rsidR="007116B2" w:rsidRPr="001F731F" w:rsidRDefault="007116B2" w:rsidP="007116B2">
      <w:pPr>
        <w:pStyle w:val="Paragraph"/>
        <w:numPr>
          <w:ilvl w:val="1"/>
          <w:numId w:val="5"/>
        </w:numPr>
        <w:ind w:left="630" w:hanging="630"/>
        <w:rPr>
          <w:rFonts w:ascii="Arial" w:hAnsi="Arial" w:cs="Arial"/>
          <w:sz w:val="22"/>
          <w:szCs w:val="22"/>
          <w:lang w:val="es-ES_tradnl"/>
        </w:rPr>
      </w:pPr>
      <w:r w:rsidRPr="001F731F">
        <w:rPr>
          <w:rFonts w:ascii="Arial" w:hAnsi="Arial" w:cs="Arial"/>
          <w:sz w:val="22"/>
          <w:szCs w:val="22"/>
          <w:lang w:val="es-ES_tradnl"/>
        </w:rPr>
        <w:t>Por último, los informes de evaluación de cumplimiento con las políticas de ESG del BID deberán reflejar el grado de cumplimiento de los requisitos sociales y medioambientales con el sustento necesario y suficiente para su comprobación.</w:t>
      </w:r>
    </w:p>
    <w:p w14:paraId="5881939D" w14:textId="77777777" w:rsidR="007116B2" w:rsidRPr="007C7054" w:rsidRDefault="007116B2" w:rsidP="007116B2">
      <w:pPr>
        <w:pStyle w:val="SecHeading"/>
        <w:tabs>
          <w:tab w:val="clear" w:pos="5400"/>
          <w:tab w:val="num" w:pos="1260"/>
        </w:tabs>
        <w:ind w:hanging="4680"/>
        <w:rPr>
          <w:rFonts w:ascii="Arial" w:hAnsi="Arial" w:cs="Arial"/>
        </w:rPr>
      </w:pPr>
      <w:bookmarkStart w:id="17" w:name="_Toc40475107"/>
      <w:r w:rsidRPr="007C7054">
        <w:rPr>
          <w:rFonts w:ascii="Arial" w:hAnsi="Arial" w:cs="Arial"/>
          <w:sz w:val="22"/>
          <w:szCs w:val="22"/>
        </w:rPr>
        <w:t>Coordinación del Monitoreo, Plan de Trabajo y Presupuesto</w:t>
      </w:r>
      <w:bookmarkEnd w:id="17"/>
      <w:r w:rsidRPr="007C7054">
        <w:rPr>
          <w:rFonts w:ascii="Arial" w:hAnsi="Arial" w:cs="Arial"/>
          <w:sz w:val="22"/>
          <w:szCs w:val="22"/>
        </w:rPr>
        <w:t xml:space="preserve"> </w:t>
      </w:r>
    </w:p>
    <w:p w14:paraId="7E08E4F1" w14:textId="69496C7A" w:rsidR="007116B2" w:rsidRPr="001F731F" w:rsidRDefault="00EB70D1" w:rsidP="007116B2">
      <w:pPr>
        <w:pStyle w:val="Paragraph"/>
        <w:numPr>
          <w:ilvl w:val="1"/>
          <w:numId w:val="5"/>
        </w:numPr>
        <w:ind w:left="630" w:hanging="630"/>
        <w:rPr>
          <w:rFonts w:ascii="Arial" w:hAnsi="Arial" w:cs="Arial"/>
          <w:sz w:val="22"/>
          <w:szCs w:val="22"/>
          <w:lang w:val="es-ES_tradnl"/>
        </w:rPr>
      </w:pPr>
      <w:bookmarkStart w:id="18" w:name="_Toc352755939"/>
      <w:bookmarkStart w:id="19" w:name="_Toc387738398"/>
      <w:r>
        <w:rPr>
          <w:rFonts w:ascii="Arial" w:hAnsi="Arial" w:cs="Arial"/>
          <w:sz w:val="22"/>
          <w:szCs w:val="22"/>
          <w:lang w:val="es-ES_tradnl"/>
        </w:rPr>
        <w:t>El OE</w:t>
      </w:r>
      <w:r w:rsidR="007116B2" w:rsidRPr="001F731F">
        <w:rPr>
          <w:rFonts w:ascii="Arial" w:hAnsi="Arial" w:cs="Arial"/>
          <w:sz w:val="22"/>
          <w:szCs w:val="22"/>
          <w:lang w:val="es-ES_tradnl"/>
        </w:rPr>
        <w:t xml:space="preserve"> será responsable de la supervisión y coordinación operacional y administrativa del programa. Sus funciones administrativas incluirán, entre otras: (i) la planificación de la ejecución del programa; (ii) sus desembolsos; (iii) sus controles internos; (iv) su auditoria; (v) el mantenimiento y continua actualización de todas las informaciones necesarias para generar los indicadores de producto y resultados; y (vi) la generación de reportes periódicos sobre su desempeño.</w:t>
      </w:r>
      <w:bookmarkEnd w:id="18"/>
      <w:bookmarkEnd w:id="19"/>
      <w:r w:rsidR="000529D5">
        <w:rPr>
          <w:rFonts w:ascii="Arial" w:hAnsi="Arial" w:cs="Arial"/>
          <w:sz w:val="22"/>
          <w:szCs w:val="22"/>
          <w:lang w:val="es-ES_tradnl"/>
        </w:rPr>
        <w:t xml:space="preserve"> En su caso, el OE se coordinará con la SAE para la presentación de los informes indicados anteriormente.</w:t>
      </w:r>
    </w:p>
    <w:p w14:paraId="3643FBDF" w14:textId="385E1DF1" w:rsidR="007116B2" w:rsidRPr="00EB70D1" w:rsidRDefault="007116B2" w:rsidP="007116B2">
      <w:pPr>
        <w:ind w:left="630" w:hanging="630"/>
        <w:jc w:val="both"/>
        <w:rPr>
          <w:b/>
          <w:sz w:val="18"/>
          <w:szCs w:val="20"/>
          <w:lang w:val="es-ES_tradnl"/>
        </w:rPr>
      </w:pPr>
      <w:r w:rsidRPr="000529D5">
        <w:rPr>
          <w:rFonts w:ascii="Arial" w:eastAsia="Times New Roman" w:hAnsi="Arial" w:cs="Arial"/>
          <w:szCs w:val="18"/>
          <w:lang w:val="es-ES_tradnl"/>
        </w:rPr>
        <w:t>2.14</w:t>
      </w:r>
      <w:r w:rsidRPr="000529D5">
        <w:rPr>
          <w:rFonts w:ascii="Arial" w:eastAsia="Times New Roman" w:hAnsi="Arial" w:cs="Arial"/>
          <w:szCs w:val="18"/>
          <w:lang w:val="es-ES_tradnl"/>
        </w:rPr>
        <w:tab/>
      </w:r>
      <w:r w:rsidR="000529D5" w:rsidRPr="000529D5">
        <w:rPr>
          <w:rFonts w:ascii="Arial" w:hAnsi="Arial"/>
          <w:lang w:val="es-ES"/>
        </w:rPr>
        <w:t xml:space="preserve">Los costos de monitoreo estarán a cargo del OE; costos asimismo </w:t>
      </w:r>
      <w:r w:rsidRPr="000529D5">
        <w:rPr>
          <w:rFonts w:ascii="Arial" w:eastAsia="Times New Roman" w:hAnsi="Arial" w:cs="Arial"/>
          <w:szCs w:val="18"/>
          <w:lang w:val="es-ES_tradnl"/>
        </w:rPr>
        <w:t>imputables a la ejecución del proyecto</w:t>
      </w:r>
      <w:r w:rsidR="000529D5" w:rsidRPr="000529D5">
        <w:rPr>
          <w:rFonts w:ascii="Arial" w:eastAsia="Times New Roman" w:hAnsi="Arial" w:cs="Arial"/>
          <w:szCs w:val="18"/>
          <w:lang w:val="es-ES_tradnl"/>
        </w:rPr>
        <w:t xml:space="preserve"> dentro de lo establecido en la partida presupuestaria de US$3</w:t>
      </w:r>
      <w:r w:rsidR="00CE1A2E">
        <w:rPr>
          <w:rFonts w:ascii="Arial" w:eastAsia="Times New Roman" w:hAnsi="Arial" w:cs="Arial"/>
          <w:szCs w:val="18"/>
          <w:lang w:val="es-ES_tradnl"/>
        </w:rPr>
        <w:t> </w:t>
      </w:r>
      <w:r w:rsidR="000529D5" w:rsidRPr="000529D5">
        <w:rPr>
          <w:rFonts w:ascii="Arial" w:eastAsia="Times New Roman" w:hAnsi="Arial" w:cs="Arial"/>
          <w:szCs w:val="18"/>
          <w:lang w:val="es-ES_tradnl"/>
        </w:rPr>
        <w:t>millones prevista en el programa a tales efectos.</w:t>
      </w:r>
    </w:p>
    <w:p w14:paraId="69225979" w14:textId="0A525934" w:rsidR="007116B2" w:rsidRPr="00DD3FD0" w:rsidRDefault="00614B51" w:rsidP="007116B2">
      <w:pPr>
        <w:spacing w:before="120" w:after="120" w:line="240" w:lineRule="auto"/>
        <w:jc w:val="center"/>
        <w:rPr>
          <w:rFonts w:ascii="Arial" w:hAnsi="Arial" w:cs="Arial"/>
          <w:b/>
          <w:sz w:val="18"/>
          <w:szCs w:val="18"/>
          <w:lang w:val="es-ES_tradnl"/>
        </w:rPr>
      </w:pPr>
      <w:r w:rsidRPr="00DD3FD0">
        <w:rPr>
          <w:rFonts w:ascii="Arial" w:hAnsi="Arial" w:cs="Arial"/>
          <w:b/>
          <w:sz w:val="18"/>
          <w:szCs w:val="18"/>
          <w:lang w:val="es-ES_tradnl"/>
        </w:rPr>
        <w:t>Cuadro</w:t>
      </w:r>
      <w:r w:rsidR="007116B2" w:rsidRPr="00DD3FD0">
        <w:rPr>
          <w:rFonts w:ascii="Arial" w:hAnsi="Arial" w:cs="Arial"/>
          <w:b/>
          <w:sz w:val="18"/>
          <w:szCs w:val="18"/>
          <w:lang w:val="es-ES_tradnl"/>
        </w:rPr>
        <w:t xml:space="preserve"> 2. Plan de Trabajo y Presupuesto de Monitoreo</w:t>
      </w:r>
    </w:p>
    <w:tbl>
      <w:tblPr>
        <w:tblW w:w="4668" w:type="pct"/>
        <w:jc w:val="center"/>
        <w:tblCellMar>
          <w:left w:w="70" w:type="dxa"/>
          <w:right w:w="70" w:type="dxa"/>
        </w:tblCellMar>
        <w:tblLook w:val="04A0" w:firstRow="1" w:lastRow="0" w:firstColumn="1" w:lastColumn="0" w:noHBand="0" w:noVBand="1"/>
      </w:tblPr>
      <w:tblGrid>
        <w:gridCol w:w="1561"/>
        <w:gridCol w:w="288"/>
        <w:gridCol w:w="286"/>
        <w:gridCol w:w="326"/>
        <w:gridCol w:w="268"/>
        <w:gridCol w:w="286"/>
        <w:gridCol w:w="311"/>
        <w:gridCol w:w="1081"/>
        <w:gridCol w:w="2411"/>
        <w:gridCol w:w="1889"/>
        <w:gridCol w:w="13"/>
      </w:tblGrid>
      <w:tr w:rsidR="00581248" w:rsidRPr="00CE1A2E" w14:paraId="30F89DFF" w14:textId="77777777" w:rsidTr="00251116">
        <w:trPr>
          <w:gridAfter w:val="1"/>
          <w:wAfter w:w="10" w:type="pct"/>
          <w:trHeight w:val="450"/>
          <w:jc w:val="center"/>
        </w:trPr>
        <w:tc>
          <w:tcPr>
            <w:tcW w:w="89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5CF7163" w14:textId="77777777" w:rsidR="00581248" w:rsidRPr="00DD3FD0" w:rsidRDefault="00581248" w:rsidP="00454CB5">
            <w:pPr>
              <w:spacing w:after="0" w:line="240" w:lineRule="auto"/>
              <w:rPr>
                <w:rFonts w:ascii="Arial" w:eastAsia="Times New Roman" w:hAnsi="Arial" w:cs="Arial"/>
                <w:b/>
                <w:bCs/>
                <w:color w:val="000000"/>
                <w:sz w:val="18"/>
                <w:szCs w:val="18"/>
                <w:lang w:val="es-ES_tradnl" w:eastAsia="es-ES"/>
              </w:rPr>
            </w:pPr>
            <w:r w:rsidRPr="00DD3FD0">
              <w:rPr>
                <w:rFonts w:ascii="Arial" w:eastAsia="Times New Roman" w:hAnsi="Arial" w:cs="Arial"/>
                <w:b/>
                <w:bCs/>
                <w:color w:val="000000"/>
                <w:sz w:val="18"/>
                <w:szCs w:val="18"/>
                <w:lang w:val="es-ES_tradnl" w:eastAsia="es-ES"/>
              </w:rPr>
              <w:t xml:space="preserve">Actividades Claves de Monitoreo </w:t>
            </w:r>
          </w:p>
        </w:tc>
        <w:tc>
          <w:tcPr>
            <w:tcW w:w="331" w:type="pct"/>
            <w:gridSpan w:val="2"/>
            <w:tcBorders>
              <w:top w:val="single" w:sz="8" w:space="0" w:color="auto"/>
              <w:left w:val="nil"/>
              <w:bottom w:val="single" w:sz="8" w:space="0" w:color="auto"/>
              <w:right w:val="single" w:sz="8" w:space="0" w:color="000000"/>
            </w:tcBorders>
            <w:shd w:val="clear" w:color="auto" w:fill="auto"/>
            <w:vAlign w:val="center"/>
            <w:hideMark/>
          </w:tcPr>
          <w:p w14:paraId="623DDB86" w14:textId="77777777" w:rsidR="00581248" w:rsidRPr="00DD3FD0" w:rsidRDefault="00581248" w:rsidP="00454CB5">
            <w:pPr>
              <w:spacing w:after="0" w:line="240" w:lineRule="auto"/>
              <w:jc w:val="right"/>
              <w:rPr>
                <w:rFonts w:ascii="Arial" w:eastAsia="Times New Roman" w:hAnsi="Arial" w:cs="Arial"/>
                <w:b/>
                <w:bCs/>
                <w:color w:val="000000"/>
                <w:sz w:val="18"/>
                <w:szCs w:val="18"/>
                <w:lang w:val="es-ES_tradnl" w:eastAsia="es-ES"/>
              </w:rPr>
            </w:pPr>
            <w:r w:rsidRPr="00DD3FD0">
              <w:rPr>
                <w:rFonts w:ascii="Arial" w:eastAsia="Times New Roman" w:hAnsi="Arial" w:cs="Arial"/>
                <w:b/>
                <w:bCs/>
                <w:color w:val="000000"/>
                <w:sz w:val="18"/>
                <w:szCs w:val="18"/>
                <w:lang w:val="es-ES_tradnl" w:eastAsia="es-ES"/>
              </w:rPr>
              <w:t>2020</w:t>
            </w:r>
          </w:p>
        </w:tc>
        <w:tc>
          <w:tcPr>
            <w:tcW w:w="343" w:type="pct"/>
            <w:gridSpan w:val="2"/>
            <w:tcBorders>
              <w:top w:val="single" w:sz="8" w:space="0" w:color="auto"/>
              <w:left w:val="nil"/>
              <w:bottom w:val="single" w:sz="8" w:space="0" w:color="auto"/>
              <w:right w:val="single" w:sz="8" w:space="0" w:color="000000"/>
            </w:tcBorders>
            <w:shd w:val="clear" w:color="auto" w:fill="auto"/>
            <w:vAlign w:val="center"/>
            <w:hideMark/>
          </w:tcPr>
          <w:p w14:paraId="7A1B877B" w14:textId="77777777" w:rsidR="00581248" w:rsidRPr="00DD3FD0" w:rsidRDefault="00581248" w:rsidP="00454CB5">
            <w:pPr>
              <w:spacing w:after="0" w:line="240" w:lineRule="auto"/>
              <w:jc w:val="center"/>
              <w:rPr>
                <w:rFonts w:ascii="Arial" w:eastAsia="Times New Roman" w:hAnsi="Arial" w:cs="Arial"/>
                <w:b/>
                <w:bCs/>
                <w:color w:val="000000"/>
                <w:sz w:val="18"/>
                <w:szCs w:val="18"/>
                <w:lang w:val="es-ES_tradnl" w:eastAsia="es-ES"/>
              </w:rPr>
            </w:pPr>
            <w:r w:rsidRPr="00DD3FD0">
              <w:rPr>
                <w:rFonts w:ascii="Arial" w:eastAsia="Times New Roman" w:hAnsi="Arial" w:cs="Arial"/>
                <w:b/>
                <w:bCs/>
                <w:color w:val="000000"/>
                <w:sz w:val="18"/>
                <w:szCs w:val="18"/>
                <w:lang w:val="es-ES_tradnl" w:eastAsia="es-ES"/>
              </w:rPr>
              <w:t>2021</w:t>
            </w:r>
          </w:p>
        </w:tc>
        <w:tc>
          <w:tcPr>
            <w:tcW w:w="332" w:type="pct"/>
            <w:gridSpan w:val="2"/>
            <w:tcBorders>
              <w:top w:val="single" w:sz="8" w:space="0" w:color="auto"/>
              <w:left w:val="nil"/>
              <w:bottom w:val="single" w:sz="8" w:space="0" w:color="auto"/>
              <w:right w:val="single" w:sz="8" w:space="0" w:color="000000"/>
            </w:tcBorders>
            <w:shd w:val="clear" w:color="auto" w:fill="auto"/>
            <w:vAlign w:val="center"/>
            <w:hideMark/>
          </w:tcPr>
          <w:p w14:paraId="0D2977CB" w14:textId="77777777" w:rsidR="00581248" w:rsidRPr="00DD3FD0" w:rsidRDefault="00581248" w:rsidP="00454CB5">
            <w:pPr>
              <w:spacing w:after="0" w:line="240" w:lineRule="auto"/>
              <w:jc w:val="center"/>
              <w:rPr>
                <w:rFonts w:ascii="Arial" w:eastAsia="Times New Roman" w:hAnsi="Arial" w:cs="Arial"/>
                <w:b/>
                <w:bCs/>
                <w:color w:val="000000"/>
                <w:sz w:val="18"/>
                <w:szCs w:val="18"/>
                <w:lang w:val="es-ES_tradnl" w:eastAsia="es-ES"/>
              </w:rPr>
            </w:pPr>
            <w:r w:rsidRPr="00DD3FD0">
              <w:rPr>
                <w:rFonts w:ascii="Arial" w:eastAsia="Times New Roman" w:hAnsi="Arial" w:cs="Arial"/>
                <w:b/>
                <w:bCs/>
                <w:color w:val="000000"/>
                <w:sz w:val="18"/>
                <w:szCs w:val="18"/>
                <w:lang w:val="es-ES_tradnl" w:eastAsia="es-ES"/>
              </w:rPr>
              <w:t>2022</w:t>
            </w:r>
          </w:p>
        </w:tc>
        <w:tc>
          <w:tcPr>
            <w:tcW w:w="621"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B3C9940" w14:textId="5F63FF65" w:rsidR="00581248" w:rsidRPr="00DD3FD0" w:rsidRDefault="00581248" w:rsidP="00454CB5">
            <w:pPr>
              <w:spacing w:after="0" w:line="240" w:lineRule="auto"/>
              <w:jc w:val="center"/>
              <w:rPr>
                <w:rFonts w:ascii="Arial" w:eastAsia="Times New Roman" w:hAnsi="Arial" w:cs="Arial"/>
                <w:b/>
                <w:bCs/>
                <w:color w:val="000000"/>
                <w:sz w:val="18"/>
                <w:szCs w:val="18"/>
                <w:lang w:val="es-ES_tradnl" w:eastAsia="es-ES"/>
              </w:rPr>
            </w:pPr>
            <w:r w:rsidRPr="00DD3FD0">
              <w:rPr>
                <w:rFonts w:ascii="Arial" w:eastAsia="Times New Roman" w:hAnsi="Arial" w:cs="Arial"/>
                <w:b/>
                <w:bCs/>
                <w:color w:val="000000"/>
                <w:sz w:val="18"/>
                <w:szCs w:val="18"/>
                <w:lang w:val="es-ES_tradnl" w:eastAsia="es-ES"/>
              </w:rPr>
              <w:t>Costo (US$)</w:t>
            </w:r>
          </w:p>
        </w:tc>
        <w:tc>
          <w:tcPr>
            <w:tcW w:w="1383"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ECFE7E4" w14:textId="77777777" w:rsidR="00581248" w:rsidRPr="00DD3FD0" w:rsidRDefault="00581248" w:rsidP="00454CB5">
            <w:pPr>
              <w:spacing w:after="0" w:line="240" w:lineRule="auto"/>
              <w:jc w:val="center"/>
              <w:rPr>
                <w:rFonts w:ascii="Arial" w:eastAsia="Times New Roman" w:hAnsi="Arial" w:cs="Arial"/>
                <w:b/>
                <w:bCs/>
                <w:color w:val="000000"/>
                <w:sz w:val="18"/>
                <w:szCs w:val="18"/>
                <w:lang w:val="es-ES_tradnl" w:eastAsia="es-ES"/>
              </w:rPr>
            </w:pPr>
            <w:r w:rsidRPr="00DD3FD0">
              <w:rPr>
                <w:rFonts w:ascii="Arial" w:eastAsia="Times New Roman" w:hAnsi="Arial" w:cs="Arial"/>
                <w:b/>
                <w:bCs/>
                <w:color w:val="000000"/>
                <w:sz w:val="18"/>
                <w:szCs w:val="18"/>
                <w:lang w:val="es-ES_tradnl" w:eastAsia="es-ES"/>
              </w:rPr>
              <w:t>Responsable</w:t>
            </w:r>
          </w:p>
        </w:tc>
        <w:tc>
          <w:tcPr>
            <w:tcW w:w="1084"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9000626" w14:textId="77777777" w:rsidR="00581248" w:rsidRPr="00DD3FD0" w:rsidRDefault="00581248" w:rsidP="00454CB5">
            <w:pPr>
              <w:spacing w:after="0" w:line="240" w:lineRule="auto"/>
              <w:jc w:val="center"/>
              <w:rPr>
                <w:rFonts w:ascii="Arial" w:eastAsia="Times New Roman" w:hAnsi="Arial" w:cs="Arial"/>
                <w:b/>
                <w:bCs/>
                <w:color w:val="000000"/>
                <w:sz w:val="18"/>
                <w:szCs w:val="18"/>
                <w:lang w:val="es-ES_tradnl" w:eastAsia="es-ES"/>
              </w:rPr>
            </w:pPr>
            <w:r w:rsidRPr="00DD3FD0">
              <w:rPr>
                <w:rFonts w:ascii="Arial" w:eastAsia="Times New Roman" w:hAnsi="Arial" w:cs="Arial"/>
                <w:b/>
                <w:bCs/>
                <w:color w:val="000000"/>
                <w:sz w:val="18"/>
                <w:szCs w:val="18"/>
                <w:lang w:val="es-ES_tradnl" w:eastAsia="es-ES"/>
              </w:rPr>
              <w:t>Fuente de fondeo</w:t>
            </w:r>
          </w:p>
        </w:tc>
      </w:tr>
      <w:tr w:rsidR="00581248" w:rsidRPr="00CE1A2E" w14:paraId="2ABD9F65" w14:textId="77777777" w:rsidTr="00251116">
        <w:trPr>
          <w:gridAfter w:val="1"/>
          <w:wAfter w:w="10" w:type="pct"/>
          <w:trHeight w:val="315"/>
          <w:jc w:val="center"/>
        </w:trPr>
        <w:tc>
          <w:tcPr>
            <w:tcW w:w="896" w:type="pct"/>
            <w:vMerge/>
            <w:tcBorders>
              <w:top w:val="single" w:sz="8" w:space="0" w:color="auto"/>
              <w:left w:val="single" w:sz="8" w:space="0" w:color="auto"/>
              <w:bottom w:val="single" w:sz="8" w:space="0" w:color="000000"/>
              <w:right w:val="single" w:sz="8" w:space="0" w:color="auto"/>
            </w:tcBorders>
            <w:vAlign w:val="center"/>
            <w:hideMark/>
          </w:tcPr>
          <w:p w14:paraId="4CD21056" w14:textId="77777777" w:rsidR="00581248" w:rsidRPr="00DD3FD0" w:rsidRDefault="00581248" w:rsidP="00454CB5">
            <w:pPr>
              <w:spacing w:after="0" w:line="240" w:lineRule="auto"/>
              <w:rPr>
                <w:rFonts w:ascii="Arial" w:eastAsia="Times New Roman" w:hAnsi="Arial" w:cs="Arial"/>
                <w:b/>
                <w:bCs/>
                <w:color w:val="000000"/>
                <w:sz w:val="18"/>
                <w:szCs w:val="18"/>
                <w:lang w:val="es-ES_tradnl" w:eastAsia="es-ES"/>
              </w:rPr>
            </w:pPr>
          </w:p>
        </w:tc>
        <w:tc>
          <w:tcPr>
            <w:tcW w:w="166" w:type="pct"/>
            <w:tcBorders>
              <w:top w:val="nil"/>
              <w:left w:val="nil"/>
              <w:bottom w:val="single" w:sz="8" w:space="0" w:color="auto"/>
              <w:right w:val="single" w:sz="8" w:space="0" w:color="auto"/>
            </w:tcBorders>
            <w:shd w:val="clear" w:color="auto" w:fill="auto"/>
            <w:vAlign w:val="center"/>
            <w:hideMark/>
          </w:tcPr>
          <w:p w14:paraId="31C97EC5" w14:textId="77777777" w:rsidR="00581248" w:rsidRPr="00DD3FD0" w:rsidRDefault="00581248" w:rsidP="00454CB5">
            <w:pPr>
              <w:spacing w:after="0" w:line="240" w:lineRule="auto"/>
              <w:jc w:val="center"/>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1</w:t>
            </w:r>
          </w:p>
        </w:tc>
        <w:tc>
          <w:tcPr>
            <w:tcW w:w="165" w:type="pct"/>
            <w:tcBorders>
              <w:top w:val="nil"/>
              <w:left w:val="nil"/>
              <w:bottom w:val="single" w:sz="8" w:space="0" w:color="auto"/>
              <w:right w:val="single" w:sz="8" w:space="0" w:color="auto"/>
            </w:tcBorders>
            <w:shd w:val="clear" w:color="auto" w:fill="auto"/>
            <w:vAlign w:val="center"/>
            <w:hideMark/>
          </w:tcPr>
          <w:p w14:paraId="1A112901" w14:textId="77777777" w:rsidR="00581248" w:rsidRPr="00DD3FD0" w:rsidRDefault="00581248" w:rsidP="00454CB5">
            <w:pPr>
              <w:spacing w:after="0" w:line="240" w:lineRule="auto"/>
              <w:jc w:val="center"/>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2</w:t>
            </w:r>
          </w:p>
        </w:tc>
        <w:tc>
          <w:tcPr>
            <w:tcW w:w="188" w:type="pct"/>
            <w:tcBorders>
              <w:top w:val="nil"/>
              <w:left w:val="nil"/>
              <w:bottom w:val="single" w:sz="8" w:space="0" w:color="auto"/>
              <w:right w:val="single" w:sz="8" w:space="0" w:color="auto"/>
            </w:tcBorders>
            <w:shd w:val="clear" w:color="auto" w:fill="auto"/>
            <w:vAlign w:val="center"/>
            <w:hideMark/>
          </w:tcPr>
          <w:p w14:paraId="1F5ED23F" w14:textId="77777777" w:rsidR="00581248" w:rsidRPr="00DD3FD0" w:rsidRDefault="00581248" w:rsidP="00454CB5">
            <w:pPr>
              <w:spacing w:after="0" w:line="240" w:lineRule="auto"/>
              <w:jc w:val="center"/>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1</w:t>
            </w:r>
          </w:p>
        </w:tc>
        <w:tc>
          <w:tcPr>
            <w:tcW w:w="155" w:type="pct"/>
            <w:tcBorders>
              <w:top w:val="nil"/>
              <w:left w:val="nil"/>
              <w:bottom w:val="single" w:sz="8" w:space="0" w:color="auto"/>
              <w:right w:val="single" w:sz="8" w:space="0" w:color="auto"/>
            </w:tcBorders>
            <w:shd w:val="clear" w:color="auto" w:fill="auto"/>
            <w:vAlign w:val="center"/>
            <w:hideMark/>
          </w:tcPr>
          <w:p w14:paraId="13B48E49" w14:textId="77777777" w:rsidR="00581248" w:rsidRPr="00DD3FD0" w:rsidRDefault="00581248" w:rsidP="00454CB5">
            <w:pPr>
              <w:spacing w:after="0" w:line="240" w:lineRule="auto"/>
              <w:jc w:val="center"/>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2</w:t>
            </w:r>
          </w:p>
        </w:tc>
        <w:tc>
          <w:tcPr>
            <w:tcW w:w="165" w:type="pct"/>
            <w:tcBorders>
              <w:top w:val="nil"/>
              <w:left w:val="nil"/>
              <w:bottom w:val="single" w:sz="8" w:space="0" w:color="auto"/>
              <w:right w:val="single" w:sz="8" w:space="0" w:color="auto"/>
            </w:tcBorders>
            <w:shd w:val="clear" w:color="auto" w:fill="auto"/>
            <w:vAlign w:val="center"/>
            <w:hideMark/>
          </w:tcPr>
          <w:p w14:paraId="10C3405E" w14:textId="77777777" w:rsidR="00581248" w:rsidRPr="00DD3FD0" w:rsidRDefault="00581248" w:rsidP="00454CB5">
            <w:pPr>
              <w:spacing w:after="0" w:line="240" w:lineRule="auto"/>
              <w:jc w:val="center"/>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1</w:t>
            </w:r>
          </w:p>
        </w:tc>
        <w:tc>
          <w:tcPr>
            <w:tcW w:w="167" w:type="pct"/>
            <w:tcBorders>
              <w:top w:val="nil"/>
              <w:left w:val="nil"/>
              <w:bottom w:val="single" w:sz="8" w:space="0" w:color="auto"/>
              <w:right w:val="single" w:sz="8" w:space="0" w:color="auto"/>
            </w:tcBorders>
            <w:shd w:val="clear" w:color="auto" w:fill="auto"/>
            <w:vAlign w:val="center"/>
            <w:hideMark/>
          </w:tcPr>
          <w:p w14:paraId="2D891251" w14:textId="77777777" w:rsidR="00581248" w:rsidRPr="00DD3FD0" w:rsidRDefault="00581248" w:rsidP="00454CB5">
            <w:pPr>
              <w:spacing w:after="0" w:line="240" w:lineRule="auto"/>
              <w:jc w:val="center"/>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2</w:t>
            </w:r>
          </w:p>
        </w:tc>
        <w:tc>
          <w:tcPr>
            <w:tcW w:w="621" w:type="pct"/>
            <w:vMerge/>
            <w:tcBorders>
              <w:top w:val="nil"/>
              <w:left w:val="nil"/>
              <w:bottom w:val="single" w:sz="8" w:space="0" w:color="auto"/>
              <w:right w:val="single" w:sz="8" w:space="0" w:color="auto"/>
            </w:tcBorders>
            <w:vAlign w:val="center"/>
            <w:hideMark/>
          </w:tcPr>
          <w:p w14:paraId="0FA8192C" w14:textId="77777777" w:rsidR="00581248" w:rsidRPr="00DD3FD0" w:rsidRDefault="00581248" w:rsidP="00454CB5">
            <w:pPr>
              <w:spacing w:after="0" w:line="240" w:lineRule="auto"/>
              <w:rPr>
                <w:rFonts w:ascii="Arial" w:eastAsia="Times New Roman" w:hAnsi="Arial" w:cs="Arial"/>
                <w:b/>
                <w:bCs/>
                <w:color w:val="000000"/>
                <w:sz w:val="18"/>
                <w:szCs w:val="18"/>
                <w:lang w:val="es-ES_tradnl" w:eastAsia="es-ES"/>
              </w:rPr>
            </w:pPr>
          </w:p>
        </w:tc>
        <w:tc>
          <w:tcPr>
            <w:tcW w:w="1383" w:type="pct"/>
            <w:vMerge/>
            <w:tcBorders>
              <w:top w:val="nil"/>
              <w:left w:val="nil"/>
              <w:bottom w:val="single" w:sz="8" w:space="0" w:color="auto"/>
              <w:right w:val="single" w:sz="8" w:space="0" w:color="auto"/>
            </w:tcBorders>
            <w:vAlign w:val="center"/>
            <w:hideMark/>
          </w:tcPr>
          <w:p w14:paraId="3EDA5B11" w14:textId="77777777" w:rsidR="00581248" w:rsidRPr="00DD3FD0" w:rsidRDefault="00581248" w:rsidP="00454CB5">
            <w:pPr>
              <w:spacing w:after="0" w:line="240" w:lineRule="auto"/>
              <w:rPr>
                <w:rFonts w:ascii="Arial" w:eastAsia="Times New Roman" w:hAnsi="Arial" w:cs="Arial"/>
                <w:b/>
                <w:bCs/>
                <w:color w:val="000000"/>
                <w:sz w:val="18"/>
                <w:szCs w:val="18"/>
                <w:lang w:val="es-ES_tradnl" w:eastAsia="es-ES"/>
              </w:rPr>
            </w:pPr>
          </w:p>
        </w:tc>
        <w:tc>
          <w:tcPr>
            <w:tcW w:w="1084" w:type="pct"/>
            <w:vMerge/>
            <w:tcBorders>
              <w:top w:val="nil"/>
              <w:left w:val="nil"/>
              <w:bottom w:val="single" w:sz="8" w:space="0" w:color="auto"/>
              <w:right w:val="single" w:sz="8" w:space="0" w:color="auto"/>
            </w:tcBorders>
            <w:vAlign w:val="center"/>
            <w:hideMark/>
          </w:tcPr>
          <w:p w14:paraId="59E469D9" w14:textId="77777777" w:rsidR="00581248" w:rsidRPr="00DD3FD0" w:rsidRDefault="00581248" w:rsidP="00454CB5">
            <w:pPr>
              <w:spacing w:after="0" w:line="240" w:lineRule="auto"/>
              <w:rPr>
                <w:rFonts w:ascii="Arial" w:eastAsia="Times New Roman" w:hAnsi="Arial" w:cs="Arial"/>
                <w:b/>
                <w:bCs/>
                <w:color w:val="000000"/>
                <w:sz w:val="18"/>
                <w:szCs w:val="18"/>
                <w:lang w:val="es-ES_tradnl" w:eastAsia="es-ES"/>
              </w:rPr>
            </w:pPr>
          </w:p>
        </w:tc>
      </w:tr>
      <w:tr w:rsidR="00581248" w:rsidRPr="00CE1A2E" w14:paraId="18F0D3BA" w14:textId="77777777" w:rsidTr="00251116">
        <w:trPr>
          <w:gridAfter w:val="1"/>
          <w:wAfter w:w="10" w:type="pct"/>
          <w:trHeight w:hRule="exact" w:val="780"/>
          <w:jc w:val="center"/>
        </w:trPr>
        <w:tc>
          <w:tcPr>
            <w:tcW w:w="896" w:type="pct"/>
            <w:tcBorders>
              <w:top w:val="nil"/>
              <w:left w:val="single" w:sz="8" w:space="0" w:color="auto"/>
              <w:bottom w:val="single" w:sz="8" w:space="0" w:color="auto"/>
              <w:right w:val="single" w:sz="8" w:space="0" w:color="auto"/>
            </w:tcBorders>
            <w:shd w:val="clear" w:color="auto" w:fill="auto"/>
            <w:vAlign w:val="center"/>
            <w:hideMark/>
          </w:tcPr>
          <w:p w14:paraId="4798BF4E" w14:textId="77777777" w:rsidR="00581248" w:rsidRPr="00DD3FD0" w:rsidRDefault="00581248" w:rsidP="00B93FB1">
            <w:pPr>
              <w:spacing w:after="0" w:line="240" w:lineRule="auto"/>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Reportes de Monitoreo Semestrales</w:t>
            </w:r>
          </w:p>
        </w:tc>
        <w:tc>
          <w:tcPr>
            <w:tcW w:w="166" w:type="pct"/>
            <w:tcBorders>
              <w:top w:val="nil"/>
              <w:left w:val="nil"/>
              <w:bottom w:val="single" w:sz="8" w:space="0" w:color="auto"/>
              <w:right w:val="single" w:sz="8" w:space="0" w:color="auto"/>
            </w:tcBorders>
            <w:shd w:val="clear" w:color="auto" w:fill="auto"/>
            <w:vAlign w:val="center"/>
            <w:hideMark/>
          </w:tcPr>
          <w:p w14:paraId="49EFF677" w14:textId="77777777" w:rsidR="00581248" w:rsidRPr="00DD3FD0" w:rsidRDefault="00581248" w:rsidP="00B93FB1">
            <w:pPr>
              <w:spacing w:after="0" w:line="240" w:lineRule="auto"/>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 </w:t>
            </w:r>
          </w:p>
        </w:tc>
        <w:tc>
          <w:tcPr>
            <w:tcW w:w="165" w:type="pct"/>
            <w:tcBorders>
              <w:top w:val="nil"/>
              <w:left w:val="nil"/>
              <w:bottom w:val="single" w:sz="8" w:space="0" w:color="auto"/>
              <w:right w:val="single" w:sz="8" w:space="0" w:color="auto"/>
            </w:tcBorders>
            <w:shd w:val="clear" w:color="auto" w:fill="auto"/>
            <w:vAlign w:val="center"/>
            <w:hideMark/>
          </w:tcPr>
          <w:p w14:paraId="15CF18FC" w14:textId="77777777" w:rsidR="00581248" w:rsidRPr="00DD3FD0" w:rsidRDefault="00581248" w:rsidP="00B93FB1">
            <w:pPr>
              <w:spacing w:after="0" w:line="240" w:lineRule="auto"/>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X</w:t>
            </w:r>
          </w:p>
        </w:tc>
        <w:tc>
          <w:tcPr>
            <w:tcW w:w="188" w:type="pct"/>
            <w:tcBorders>
              <w:top w:val="nil"/>
              <w:left w:val="nil"/>
              <w:bottom w:val="single" w:sz="8" w:space="0" w:color="auto"/>
              <w:right w:val="single" w:sz="8" w:space="0" w:color="auto"/>
            </w:tcBorders>
            <w:shd w:val="clear" w:color="auto" w:fill="auto"/>
            <w:vAlign w:val="center"/>
            <w:hideMark/>
          </w:tcPr>
          <w:p w14:paraId="44FE48A6" w14:textId="77777777" w:rsidR="00581248" w:rsidRPr="00DD3FD0" w:rsidRDefault="00581248" w:rsidP="00B93FB1">
            <w:pPr>
              <w:spacing w:after="0" w:line="240" w:lineRule="auto"/>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X</w:t>
            </w:r>
          </w:p>
        </w:tc>
        <w:tc>
          <w:tcPr>
            <w:tcW w:w="155" w:type="pct"/>
            <w:tcBorders>
              <w:top w:val="nil"/>
              <w:left w:val="nil"/>
              <w:bottom w:val="single" w:sz="8" w:space="0" w:color="auto"/>
              <w:right w:val="single" w:sz="8" w:space="0" w:color="auto"/>
            </w:tcBorders>
            <w:shd w:val="clear" w:color="auto" w:fill="auto"/>
            <w:vAlign w:val="center"/>
            <w:hideMark/>
          </w:tcPr>
          <w:p w14:paraId="6A35DE9F" w14:textId="77777777" w:rsidR="00581248" w:rsidRPr="00DD3FD0" w:rsidRDefault="00581248" w:rsidP="00B93FB1">
            <w:pPr>
              <w:spacing w:after="0" w:line="240" w:lineRule="auto"/>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X</w:t>
            </w:r>
          </w:p>
        </w:tc>
        <w:tc>
          <w:tcPr>
            <w:tcW w:w="165" w:type="pct"/>
            <w:tcBorders>
              <w:top w:val="nil"/>
              <w:left w:val="nil"/>
              <w:bottom w:val="single" w:sz="8" w:space="0" w:color="auto"/>
              <w:right w:val="single" w:sz="8" w:space="0" w:color="auto"/>
            </w:tcBorders>
            <w:shd w:val="clear" w:color="auto" w:fill="auto"/>
            <w:vAlign w:val="center"/>
            <w:hideMark/>
          </w:tcPr>
          <w:p w14:paraId="2FAA5D31" w14:textId="77777777" w:rsidR="00581248" w:rsidRPr="00DD3FD0" w:rsidRDefault="00581248" w:rsidP="00B93FB1">
            <w:pPr>
              <w:spacing w:after="0" w:line="240" w:lineRule="auto"/>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X</w:t>
            </w:r>
          </w:p>
        </w:tc>
        <w:tc>
          <w:tcPr>
            <w:tcW w:w="167" w:type="pct"/>
            <w:tcBorders>
              <w:top w:val="nil"/>
              <w:left w:val="nil"/>
              <w:bottom w:val="single" w:sz="8" w:space="0" w:color="auto"/>
              <w:right w:val="single" w:sz="8" w:space="0" w:color="auto"/>
            </w:tcBorders>
            <w:shd w:val="clear" w:color="auto" w:fill="auto"/>
            <w:vAlign w:val="center"/>
            <w:hideMark/>
          </w:tcPr>
          <w:p w14:paraId="35C5FC10" w14:textId="77777777" w:rsidR="00581248" w:rsidRPr="00DD3FD0" w:rsidRDefault="00581248" w:rsidP="00B93FB1">
            <w:pPr>
              <w:spacing w:after="0" w:line="240" w:lineRule="auto"/>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X</w:t>
            </w:r>
          </w:p>
        </w:tc>
        <w:tc>
          <w:tcPr>
            <w:tcW w:w="621" w:type="pct"/>
            <w:tcBorders>
              <w:top w:val="single" w:sz="8" w:space="0" w:color="auto"/>
              <w:left w:val="nil"/>
              <w:bottom w:val="single" w:sz="8" w:space="0" w:color="auto"/>
              <w:right w:val="single" w:sz="8" w:space="0" w:color="000000"/>
            </w:tcBorders>
            <w:shd w:val="clear" w:color="auto" w:fill="auto"/>
            <w:vAlign w:val="center"/>
            <w:hideMark/>
          </w:tcPr>
          <w:p w14:paraId="68C4660E" w14:textId="2A352050" w:rsidR="00581248" w:rsidRPr="00DD3FD0" w:rsidRDefault="00581248" w:rsidP="002D730B">
            <w:pPr>
              <w:spacing w:after="0" w:line="240" w:lineRule="auto"/>
              <w:jc w:val="right"/>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7.000</w:t>
            </w:r>
          </w:p>
        </w:tc>
        <w:tc>
          <w:tcPr>
            <w:tcW w:w="1383" w:type="pct"/>
            <w:tcBorders>
              <w:top w:val="single" w:sz="8" w:space="0" w:color="auto"/>
              <w:left w:val="nil"/>
              <w:bottom w:val="single" w:sz="8" w:space="0" w:color="auto"/>
              <w:right w:val="single" w:sz="8" w:space="0" w:color="000000"/>
            </w:tcBorders>
            <w:shd w:val="clear" w:color="auto" w:fill="auto"/>
            <w:vAlign w:val="center"/>
            <w:hideMark/>
          </w:tcPr>
          <w:p w14:paraId="518C0532" w14:textId="118E8046" w:rsidR="00581248" w:rsidRPr="00DD3FD0" w:rsidRDefault="00581248" w:rsidP="00B93FB1">
            <w:pPr>
              <w:spacing w:after="0" w:line="240" w:lineRule="auto"/>
              <w:jc w:val="center"/>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OE</w:t>
            </w:r>
          </w:p>
        </w:tc>
        <w:tc>
          <w:tcPr>
            <w:tcW w:w="1084" w:type="pct"/>
            <w:tcBorders>
              <w:top w:val="single" w:sz="8" w:space="0" w:color="auto"/>
              <w:left w:val="nil"/>
              <w:bottom w:val="single" w:sz="8" w:space="0" w:color="auto"/>
              <w:right w:val="single" w:sz="8" w:space="0" w:color="000000"/>
            </w:tcBorders>
            <w:shd w:val="clear" w:color="auto" w:fill="auto"/>
            <w:vAlign w:val="center"/>
          </w:tcPr>
          <w:p w14:paraId="03B02E67" w14:textId="6C424354" w:rsidR="00581248" w:rsidRPr="00DD3FD0" w:rsidRDefault="00581248" w:rsidP="00B93FB1">
            <w:pPr>
              <w:spacing w:after="0" w:line="240" w:lineRule="auto"/>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OE/Imputable al programa</w:t>
            </w:r>
          </w:p>
        </w:tc>
      </w:tr>
      <w:tr w:rsidR="00581248" w:rsidRPr="005336A4" w14:paraId="059B3458" w14:textId="77777777" w:rsidTr="00251116">
        <w:trPr>
          <w:gridAfter w:val="1"/>
          <w:wAfter w:w="10" w:type="pct"/>
          <w:trHeight w:hRule="exact" w:val="1064"/>
          <w:jc w:val="center"/>
        </w:trPr>
        <w:tc>
          <w:tcPr>
            <w:tcW w:w="896" w:type="pct"/>
            <w:tcBorders>
              <w:top w:val="nil"/>
              <w:left w:val="single" w:sz="8" w:space="0" w:color="auto"/>
              <w:bottom w:val="single" w:sz="8" w:space="0" w:color="auto"/>
              <w:right w:val="single" w:sz="8" w:space="0" w:color="auto"/>
            </w:tcBorders>
            <w:shd w:val="clear" w:color="auto" w:fill="auto"/>
            <w:vAlign w:val="center"/>
            <w:hideMark/>
          </w:tcPr>
          <w:p w14:paraId="69F743C9" w14:textId="77777777" w:rsidR="00581248" w:rsidRPr="00DD3FD0" w:rsidRDefault="00581248" w:rsidP="00B93FB1">
            <w:pPr>
              <w:spacing w:after="0" w:line="240" w:lineRule="auto"/>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Reporte Final</w:t>
            </w:r>
          </w:p>
        </w:tc>
        <w:tc>
          <w:tcPr>
            <w:tcW w:w="166" w:type="pct"/>
            <w:tcBorders>
              <w:top w:val="nil"/>
              <w:left w:val="nil"/>
              <w:bottom w:val="single" w:sz="8" w:space="0" w:color="auto"/>
              <w:right w:val="single" w:sz="8" w:space="0" w:color="auto"/>
            </w:tcBorders>
            <w:shd w:val="clear" w:color="auto" w:fill="auto"/>
            <w:vAlign w:val="center"/>
            <w:hideMark/>
          </w:tcPr>
          <w:p w14:paraId="4DF05F38" w14:textId="77777777" w:rsidR="00581248" w:rsidRPr="00DD3FD0" w:rsidRDefault="00581248" w:rsidP="00B93FB1">
            <w:pPr>
              <w:spacing w:after="0" w:line="240" w:lineRule="auto"/>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 </w:t>
            </w:r>
          </w:p>
        </w:tc>
        <w:tc>
          <w:tcPr>
            <w:tcW w:w="165" w:type="pct"/>
            <w:tcBorders>
              <w:top w:val="nil"/>
              <w:left w:val="nil"/>
              <w:bottom w:val="single" w:sz="8" w:space="0" w:color="auto"/>
              <w:right w:val="single" w:sz="8" w:space="0" w:color="auto"/>
            </w:tcBorders>
            <w:shd w:val="clear" w:color="auto" w:fill="auto"/>
            <w:vAlign w:val="center"/>
            <w:hideMark/>
          </w:tcPr>
          <w:p w14:paraId="1981C216" w14:textId="77777777" w:rsidR="00581248" w:rsidRPr="00DD3FD0" w:rsidRDefault="00581248" w:rsidP="00B93FB1">
            <w:pPr>
              <w:spacing w:after="0" w:line="240" w:lineRule="auto"/>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 </w:t>
            </w:r>
          </w:p>
        </w:tc>
        <w:tc>
          <w:tcPr>
            <w:tcW w:w="188" w:type="pct"/>
            <w:tcBorders>
              <w:top w:val="nil"/>
              <w:left w:val="nil"/>
              <w:bottom w:val="single" w:sz="8" w:space="0" w:color="auto"/>
              <w:right w:val="single" w:sz="8" w:space="0" w:color="auto"/>
            </w:tcBorders>
            <w:shd w:val="clear" w:color="auto" w:fill="auto"/>
            <w:vAlign w:val="center"/>
            <w:hideMark/>
          </w:tcPr>
          <w:p w14:paraId="21FF7832" w14:textId="77777777" w:rsidR="00581248" w:rsidRPr="00DD3FD0" w:rsidRDefault="00581248" w:rsidP="00B93FB1">
            <w:pPr>
              <w:spacing w:after="0" w:line="240" w:lineRule="auto"/>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 </w:t>
            </w:r>
          </w:p>
        </w:tc>
        <w:tc>
          <w:tcPr>
            <w:tcW w:w="155" w:type="pct"/>
            <w:tcBorders>
              <w:top w:val="nil"/>
              <w:left w:val="nil"/>
              <w:bottom w:val="single" w:sz="8" w:space="0" w:color="auto"/>
              <w:right w:val="single" w:sz="8" w:space="0" w:color="auto"/>
            </w:tcBorders>
            <w:shd w:val="clear" w:color="auto" w:fill="auto"/>
            <w:vAlign w:val="center"/>
            <w:hideMark/>
          </w:tcPr>
          <w:p w14:paraId="60B2E476" w14:textId="77777777" w:rsidR="00581248" w:rsidRPr="00DD3FD0" w:rsidRDefault="00581248" w:rsidP="00B93FB1">
            <w:pPr>
              <w:spacing w:after="0" w:line="240" w:lineRule="auto"/>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 </w:t>
            </w:r>
          </w:p>
        </w:tc>
        <w:tc>
          <w:tcPr>
            <w:tcW w:w="165" w:type="pct"/>
            <w:tcBorders>
              <w:top w:val="nil"/>
              <w:left w:val="nil"/>
              <w:bottom w:val="single" w:sz="8" w:space="0" w:color="auto"/>
              <w:right w:val="single" w:sz="8" w:space="0" w:color="auto"/>
            </w:tcBorders>
            <w:shd w:val="clear" w:color="auto" w:fill="auto"/>
            <w:vAlign w:val="center"/>
            <w:hideMark/>
          </w:tcPr>
          <w:p w14:paraId="49F37BF3" w14:textId="77777777" w:rsidR="00581248" w:rsidRPr="00DD3FD0" w:rsidRDefault="00581248" w:rsidP="00B93FB1">
            <w:pPr>
              <w:spacing w:after="0" w:line="240" w:lineRule="auto"/>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 </w:t>
            </w:r>
          </w:p>
        </w:tc>
        <w:tc>
          <w:tcPr>
            <w:tcW w:w="167" w:type="pct"/>
            <w:tcBorders>
              <w:top w:val="nil"/>
              <w:left w:val="nil"/>
              <w:bottom w:val="single" w:sz="8" w:space="0" w:color="auto"/>
              <w:right w:val="single" w:sz="8" w:space="0" w:color="auto"/>
            </w:tcBorders>
            <w:shd w:val="clear" w:color="auto" w:fill="auto"/>
            <w:vAlign w:val="center"/>
            <w:hideMark/>
          </w:tcPr>
          <w:p w14:paraId="1CE70780" w14:textId="07416554" w:rsidR="00581248" w:rsidRPr="00DD3FD0" w:rsidRDefault="00581248" w:rsidP="00B93FB1">
            <w:pPr>
              <w:spacing w:after="0" w:line="240" w:lineRule="auto"/>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 </w:t>
            </w:r>
            <w:r w:rsidR="00251116">
              <w:rPr>
                <w:rFonts w:ascii="Arial" w:eastAsia="Times New Roman" w:hAnsi="Arial" w:cs="Arial"/>
                <w:color w:val="000000"/>
                <w:sz w:val="18"/>
                <w:szCs w:val="18"/>
                <w:lang w:val="es-ES_tradnl" w:eastAsia="es-ES"/>
              </w:rPr>
              <w:t>X</w:t>
            </w:r>
          </w:p>
        </w:tc>
        <w:tc>
          <w:tcPr>
            <w:tcW w:w="621" w:type="pct"/>
            <w:tcBorders>
              <w:top w:val="single" w:sz="8" w:space="0" w:color="auto"/>
              <w:left w:val="nil"/>
              <w:bottom w:val="single" w:sz="8" w:space="0" w:color="auto"/>
              <w:right w:val="single" w:sz="8" w:space="0" w:color="000000"/>
            </w:tcBorders>
            <w:shd w:val="clear" w:color="auto" w:fill="auto"/>
            <w:vAlign w:val="center"/>
            <w:hideMark/>
          </w:tcPr>
          <w:p w14:paraId="208B5057" w14:textId="51CE506D" w:rsidR="00581248" w:rsidRPr="00DD3FD0" w:rsidRDefault="00581248" w:rsidP="002D730B">
            <w:pPr>
              <w:spacing w:after="0" w:line="240" w:lineRule="auto"/>
              <w:jc w:val="right"/>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7.000</w:t>
            </w:r>
          </w:p>
        </w:tc>
        <w:tc>
          <w:tcPr>
            <w:tcW w:w="1383" w:type="pct"/>
            <w:tcBorders>
              <w:top w:val="single" w:sz="8" w:space="0" w:color="auto"/>
              <w:left w:val="nil"/>
              <w:bottom w:val="single" w:sz="8" w:space="0" w:color="auto"/>
              <w:right w:val="single" w:sz="8" w:space="0" w:color="000000"/>
            </w:tcBorders>
            <w:shd w:val="clear" w:color="auto" w:fill="auto"/>
            <w:vAlign w:val="center"/>
            <w:hideMark/>
          </w:tcPr>
          <w:p w14:paraId="1B95DBB2" w14:textId="1610B022" w:rsidR="00581248" w:rsidRPr="00DD3FD0" w:rsidRDefault="00581248" w:rsidP="00B93FB1">
            <w:pPr>
              <w:spacing w:after="0" w:line="240" w:lineRule="auto"/>
              <w:jc w:val="center"/>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OE en coordinación con SAE</w:t>
            </w:r>
          </w:p>
        </w:tc>
        <w:tc>
          <w:tcPr>
            <w:tcW w:w="1084" w:type="pct"/>
            <w:tcBorders>
              <w:top w:val="single" w:sz="8" w:space="0" w:color="auto"/>
              <w:left w:val="nil"/>
              <w:bottom w:val="single" w:sz="8" w:space="0" w:color="auto"/>
              <w:right w:val="single" w:sz="8" w:space="0" w:color="000000"/>
            </w:tcBorders>
            <w:shd w:val="clear" w:color="auto" w:fill="auto"/>
            <w:vAlign w:val="center"/>
          </w:tcPr>
          <w:p w14:paraId="5F1A0E15" w14:textId="698BAC2E" w:rsidR="00581248" w:rsidRPr="00DD3FD0" w:rsidRDefault="00581248" w:rsidP="00B93FB1">
            <w:pPr>
              <w:spacing w:after="0" w:line="240" w:lineRule="auto"/>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OE en coordinación con SAE/Imputable al programa</w:t>
            </w:r>
          </w:p>
        </w:tc>
      </w:tr>
      <w:tr w:rsidR="00581248" w:rsidRPr="00CE1A2E" w14:paraId="664B37CF" w14:textId="77777777" w:rsidTr="00251116">
        <w:trPr>
          <w:gridAfter w:val="1"/>
          <w:wAfter w:w="10" w:type="pct"/>
          <w:trHeight w:hRule="exact" w:val="692"/>
          <w:jc w:val="center"/>
        </w:trPr>
        <w:tc>
          <w:tcPr>
            <w:tcW w:w="896" w:type="pct"/>
            <w:tcBorders>
              <w:top w:val="nil"/>
              <w:left w:val="single" w:sz="8" w:space="0" w:color="auto"/>
              <w:bottom w:val="single" w:sz="8" w:space="0" w:color="auto"/>
              <w:right w:val="single" w:sz="8" w:space="0" w:color="auto"/>
            </w:tcBorders>
            <w:shd w:val="clear" w:color="auto" w:fill="auto"/>
            <w:vAlign w:val="center"/>
          </w:tcPr>
          <w:p w14:paraId="2E33B8FC" w14:textId="77777777" w:rsidR="00581248" w:rsidRPr="00DD3FD0" w:rsidRDefault="00581248" w:rsidP="00B93FB1">
            <w:pPr>
              <w:spacing w:after="0" w:line="240" w:lineRule="auto"/>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Informes de cumplimiento ESG</w:t>
            </w:r>
          </w:p>
        </w:tc>
        <w:tc>
          <w:tcPr>
            <w:tcW w:w="166" w:type="pct"/>
            <w:tcBorders>
              <w:top w:val="nil"/>
              <w:left w:val="nil"/>
              <w:bottom w:val="single" w:sz="8" w:space="0" w:color="auto"/>
              <w:right w:val="single" w:sz="8" w:space="0" w:color="auto"/>
            </w:tcBorders>
            <w:shd w:val="clear" w:color="auto" w:fill="auto"/>
            <w:vAlign w:val="center"/>
          </w:tcPr>
          <w:p w14:paraId="114C6B0D" w14:textId="77777777" w:rsidR="00581248" w:rsidRPr="00DD3FD0" w:rsidRDefault="00581248" w:rsidP="00B93FB1">
            <w:pPr>
              <w:spacing w:after="0" w:line="240" w:lineRule="auto"/>
              <w:rPr>
                <w:rFonts w:ascii="Arial" w:eastAsia="Times New Roman" w:hAnsi="Arial" w:cs="Arial"/>
                <w:color w:val="000000"/>
                <w:sz w:val="18"/>
                <w:szCs w:val="18"/>
                <w:lang w:val="es-ES_tradnl" w:eastAsia="es-ES"/>
              </w:rPr>
            </w:pPr>
          </w:p>
        </w:tc>
        <w:tc>
          <w:tcPr>
            <w:tcW w:w="165" w:type="pct"/>
            <w:tcBorders>
              <w:top w:val="nil"/>
              <w:left w:val="nil"/>
              <w:bottom w:val="single" w:sz="8" w:space="0" w:color="auto"/>
              <w:right w:val="single" w:sz="8" w:space="0" w:color="auto"/>
            </w:tcBorders>
            <w:shd w:val="clear" w:color="auto" w:fill="auto"/>
            <w:vAlign w:val="center"/>
          </w:tcPr>
          <w:p w14:paraId="3BB37A7C" w14:textId="77777777" w:rsidR="00581248" w:rsidRPr="00DD3FD0" w:rsidRDefault="00581248" w:rsidP="00B93FB1">
            <w:pPr>
              <w:spacing w:after="0" w:line="240" w:lineRule="auto"/>
              <w:rPr>
                <w:rFonts w:ascii="Arial" w:eastAsia="Times New Roman" w:hAnsi="Arial" w:cs="Arial"/>
                <w:color w:val="000000"/>
                <w:sz w:val="18"/>
                <w:szCs w:val="18"/>
                <w:lang w:val="es-ES_tradnl" w:eastAsia="es-ES"/>
              </w:rPr>
            </w:pPr>
          </w:p>
        </w:tc>
        <w:tc>
          <w:tcPr>
            <w:tcW w:w="188" w:type="pct"/>
            <w:tcBorders>
              <w:top w:val="nil"/>
              <w:left w:val="nil"/>
              <w:bottom w:val="single" w:sz="8" w:space="0" w:color="auto"/>
              <w:right w:val="single" w:sz="8" w:space="0" w:color="auto"/>
            </w:tcBorders>
            <w:shd w:val="clear" w:color="auto" w:fill="auto"/>
            <w:vAlign w:val="center"/>
          </w:tcPr>
          <w:p w14:paraId="6F6EB9B1" w14:textId="66AFDFA5" w:rsidR="00581248" w:rsidRPr="00DD3FD0" w:rsidRDefault="00581248" w:rsidP="00B93FB1">
            <w:pPr>
              <w:spacing w:after="0" w:line="240" w:lineRule="auto"/>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X</w:t>
            </w:r>
          </w:p>
        </w:tc>
        <w:tc>
          <w:tcPr>
            <w:tcW w:w="155" w:type="pct"/>
            <w:tcBorders>
              <w:top w:val="nil"/>
              <w:left w:val="nil"/>
              <w:bottom w:val="single" w:sz="8" w:space="0" w:color="auto"/>
              <w:right w:val="single" w:sz="8" w:space="0" w:color="auto"/>
            </w:tcBorders>
            <w:shd w:val="clear" w:color="auto" w:fill="auto"/>
            <w:vAlign w:val="center"/>
          </w:tcPr>
          <w:p w14:paraId="05D6A28E" w14:textId="62788791" w:rsidR="00581248" w:rsidRPr="00DD3FD0" w:rsidRDefault="00581248" w:rsidP="00B93FB1">
            <w:pPr>
              <w:spacing w:after="0" w:line="240" w:lineRule="auto"/>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X</w:t>
            </w:r>
          </w:p>
        </w:tc>
        <w:tc>
          <w:tcPr>
            <w:tcW w:w="165" w:type="pct"/>
            <w:tcBorders>
              <w:top w:val="nil"/>
              <w:left w:val="nil"/>
              <w:bottom w:val="single" w:sz="8" w:space="0" w:color="auto"/>
              <w:right w:val="single" w:sz="8" w:space="0" w:color="auto"/>
            </w:tcBorders>
            <w:shd w:val="clear" w:color="auto" w:fill="auto"/>
            <w:vAlign w:val="center"/>
          </w:tcPr>
          <w:p w14:paraId="1626E0C1" w14:textId="77777777" w:rsidR="00581248" w:rsidRPr="00DD3FD0" w:rsidRDefault="00581248" w:rsidP="00B93FB1">
            <w:pPr>
              <w:spacing w:after="0" w:line="240" w:lineRule="auto"/>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X</w:t>
            </w:r>
          </w:p>
        </w:tc>
        <w:tc>
          <w:tcPr>
            <w:tcW w:w="167" w:type="pct"/>
            <w:tcBorders>
              <w:top w:val="nil"/>
              <w:left w:val="nil"/>
              <w:bottom w:val="single" w:sz="8" w:space="0" w:color="auto"/>
              <w:right w:val="single" w:sz="8" w:space="0" w:color="auto"/>
            </w:tcBorders>
            <w:shd w:val="clear" w:color="auto" w:fill="auto"/>
            <w:vAlign w:val="center"/>
          </w:tcPr>
          <w:p w14:paraId="6C89044F" w14:textId="44F5B339" w:rsidR="00581248" w:rsidRPr="00DD3FD0" w:rsidRDefault="00581248" w:rsidP="00B93FB1">
            <w:pPr>
              <w:spacing w:after="0" w:line="240" w:lineRule="auto"/>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X</w:t>
            </w:r>
          </w:p>
        </w:tc>
        <w:tc>
          <w:tcPr>
            <w:tcW w:w="621" w:type="pct"/>
            <w:tcBorders>
              <w:top w:val="single" w:sz="8" w:space="0" w:color="auto"/>
              <w:left w:val="nil"/>
              <w:bottom w:val="single" w:sz="8" w:space="0" w:color="auto"/>
              <w:right w:val="single" w:sz="8" w:space="0" w:color="000000"/>
            </w:tcBorders>
            <w:shd w:val="clear" w:color="auto" w:fill="auto"/>
            <w:vAlign w:val="center"/>
          </w:tcPr>
          <w:p w14:paraId="57FC3F1B" w14:textId="38A0F4A5" w:rsidR="00581248" w:rsidRPr="00DD3FD0" w:rsidRDefault="00581248" w:rsidP="002D730B">
            <w:pPr>
              <w:spacing w:after="0" w:line="240" w:lineRule="auto"/>
              <w:jc w:val="right"/>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6.000</w:t>
            </w:r>
          </w:p>
        </w:tc>
        <w:tc>
          <w:tcPr>
            <w:tcW w:w="1383" w:type="pct"/>
            <w:tcBorders>
              <w:top w:val="single" w:sz="8" w:space="0" w:color="auto"/>
              <w:left w:val="nil"/>
              <w:bottom w:val="single" w:sz="8" w:space="0" w:color="auto"/>
              <w:right w:val="single" w:sz="8" w:space="0" w:color="000000"/>
            </w:tcBorders>
            <w:shd w:val="clear" w:color="auto" w:fill="auto"/>
            <w:vAlign w:val="center"/>
          </w:tcPr>
          <w:p w14:paraId="030DCF18" w14:textId="1927D014" w:rsidR="00581248" w:rsidRPr="00DD3FD0" w:rsidRDefault="00581248" w:rsidP="00B93FB1">
            <w:pPr>
              <w:spacing w:after="0" w:line="240" w:lineRule="auto"/>
              <w:jc w:val="center"/>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OE</w:t>
            </w:r>
          </w:p>
        </w:tc>
        <w:tc>
          <w:tcPr>
            <w:tcW w:w="1084" w:type="pct"/>
            <w:tcBorders>
              <w:top w:val="single" w:sz="8" w:space="0" w:color="auto"/>
              <w:left w:val="nil"/>
              <w:bottom w:val="single" w:sz="8" w:space="0" w:color="auto"/>
              <w:right w:val="single" w:sz="8" w:space="0" w:color="000000"/>
            </w:tcBorders>
            <w:shd w:val="clear" w:color="auto" w:fill="auto"/>
            <w:vAlign w:val="center"/>
          </w:tcPr>
          <w:p w14:paraId="43CE8EDB" w14:textId="57AE1CA8" w:rsidR="00581248" w:rsidRPr="00DD3FD0" w:rsidRDefault="00581248" w:rsidP="00B93FB1">
            <w:pPr>
              <w:spacing w:after="0" w:line="240" w:lineRule="auto"/>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OE/Imputable al programa</w:t>
            </w:r>
          </w:p>
        </w:tc>
      </w:tr>
      <w:tr w:rsidR="00581248" w:rsidRPr="00CE1A2E" w14:paraId="4F0738B7" w14:textId="77777777" w:rsidTr="00251116">
        <w:trPr>
          <w:gridAfter w:val="1"/>
          <w:wAfter w:w="10" w:type="pct"/>
          <w:trHeight w:val="901"/>
          <w:jc w:val="center"/>
        </w:trPr>
        <w:tc>
          <w:tcPr>
            <w:tcW w:w="896" w:type="pct"/>
            <w:tcBorders>
              <w:top w:val="nil"/>
              <w:left w:val="single" w:sz="8" w:space="0" w:color="auto"/>
              <w:bottom w:val="single" w:sz="8" w:space="0" w:color="000000"/>
              <w:right w:val="single" w:sz="8" w:space="0" w:color="auto"/>
            </w:tcBorders>
            <w:shd w:val="clear" w:color="auto" w:fill="auto"/>
            <w:vAlign w:val="center"/>
            <w:hideMark/>
          </w:tcPr>
          <w:p w14:paraId="6EA8DF48" w14:textId="09D38FF2" w:rsidR="00581248" w:rsidRPr="00DD3FD0" w:rsidRDefault="00581248" w:rsidP="00B93FB1">
            <w:pPr>
              <w:spacing w:after="0" w:line="240" w:lineRule="auto"/>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Auditor</w:t>
            </w:r>
            <w:r w:rsidR="00251116">
              <w:rPr>
                <w:rFonts w:ascii="Arial" w:eastAsia="Times New Roman" w:hAnsi="Arial" w:cs="Arial"/>
                <w:color w:val="000000"/>
                <w:sz w:val="18"/>
                <w:szCs w:val="18"/>
                <w:lang w:val="es-ES_tradnl" w:eastAsia="es-ES"/>
              </w:rPr>
              <w:t>í</w:t>
            </w:r>
            <w:r w:rsidRPr="00DD3FD0">
              <w:rPr>
                <w:rFonts w:ascii="Arial" w:eastAsia="Times New Roman" w:hAnsi="Arial" w:cs="Arial"/>
                <w:color w:val="000000"/>
                <w:sz w:val="18"/>
                <w:szCs w:val="18"/>
                <w:lang w:val="es-ES_tradnl" w:eastAsia="es-ES"/>
              </w:rPr>
              <w:t>as</w:t>
            </w:r>
          </w:p>
        </w:tc>
        <w:tc>
          <w:tcPr>
            <w:tcW w:w="166" w:type="pct"/>
            <w:tcBorders>
              <w:top w:val="nil"/>
              <w:left w:val="single" w:sz="8" w:space="0" w:color="auto"/>
              <w:bottom w:val="single" w:sz="8" w:space="0" w:color="000000"/>
              <w:right w:val="single" w:sz="8" w:space="0" w:color="auto"/>
            </w:tcBorders>
            <w:shd w:val="clear" w:color="auto" w:fill="auto"/>
            <w:vAlign w:val="center"/>
            <w:hideMark/>
          </w:tcPr>
          <w:p w14:paraId="5F8ABA40" w14:textId="77777777" w:rsidR="00581248" w:rsidRPr="00DD3FD0" w:rsidRDefault="00581248" w:rsidP="00B93FB1">
            <w:pPr>
              <w:spacing w:after="0" w:line="240" w:lineRule="auto"/>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 </w:t>
            </w:r>
          </w:p>
        </w:tc>
        <w:tc>
          <w:tcPr>
            <w:tcW w:w="165" w:type="pct"/>
            <w:tcBorders>
              <w:top w:val="nil"/>
              <w:left w:val="single" w:sz="8" w:space="0" w:color="auto"/>
              <w:bottom w:val="single" w:sz="8" w:space="0" w:color="000000"/>
              <w:right w:val="single" w:sz="8" w:space="0" w:color="auto"/>
            </w:tcBorders>
            <w:shd w:val="clear" w:color="auto" w:fill="auto"/>
            <w:vAlign w:val="center"/>
            <w:hideMark/>
          </w:tcPr>
          <w:p w14:paraId="68181512" w14:textId="77777777" w:rsidR="00581248" w:rsidRPr="00DD3FD0" w:rsidRDefault="00581248" w:rsidP="00B93FB1">
            <w:pPr>
              <w:spacing w:after="0" w:line="240" w:lineRule="auto"/>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 </w:t>
            </w:r>
          </w:p>
        </w:tc>
        <w:tc>
          <w:tcPr>
            <w:tcW w:w="188" w:type="pct"/>
            <w:tcBorders>
              <w:top w:val="nil"/>
              <w:left w:val="single" w:sz="8" w:space="0" w:color="auto"/>
              <w:bottom w:val="single" w:sz="8" w:space="0" w:color="000000"/>
              <w:right w:val="single" w:sz="8" w:space="0" w:color="auto"/>
            </w:tcBorders>
            <w:shd w:val="clear" w:color="auto" w:fill="auto"/>
            <w:vAlign w:val="center"/>
            <w:hideMark/>
          </w:tcPr>
          <w:p w14:paraId="7EED3BFC" w14:textId="713252ED" w:rsidR="00581248" w:rsidRPr="00DD3FD0" w:rsidRDefault="00581248" w:rsidP="00B93FB1">
            <w:pPr>
              <w:spacing w:after="0" w:line="240" w:lineRule="auto"/>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 X</w:t>
            </w:r>
          </w:p>
        </w:tc>
        <w:tc>
          <w:tcPr>
            <w:tcW w:w="155" w:type="pct"/>
            <w:tcBorders>
              <w:top w:val="nil"/>
              <w:left w:val="single" w:sz="8" w:space="0" w:color="auto"/>
              <w:bottom w:val="single" w:sz="8" w:space="0" w:color="000000"/>
              <w:right w:val="single" w:sz="8" w:space="0" w:color="auto"/>
            </w:tcBorders>
            <w:shd w:val="clear" w:color="auto" w:fill="auto"/>
            <w:vAlign w:val="center"/>
            <w:hideMark/>
          </w:tcPr>
          <w:p w14:paraId="6E233AB0" w14:textId="77777777" w:rsidR="00581248" w:rsidRPr="00DD3FD0" w:rsidRDefault="00581248" w:rsidP="00B93FB1">
            <w:pPr>
              <w:spacing w:after="0" w:line="240" w:lineRule="auto"/>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 </w:t>
            </w:r>
          </w:p>
        </w:tc>
        <w:tc>
          <w:tcPr>
            <w:tcW w:w="165" w:type="pct"/>
            <w:tcBorders>
              <w:top w:val="nil"/>
              <w:left w:val="single" w:sz="8" w:space="0" w:color="auto"/>
              <w:bottom w:val="single" w:sz="8" w:space="0" w:color="000000"/>
              <w:right w:val="single" w:sz="8" w:space="0" w:color="auto"/>
            </w:tcBorders>
            <w:shd w:val="clear" w:color="auto" w:fill="auto"/>
            <w:vAlign w:val="center"/>
            <w:hideMark/>
          </w:tcPr>
          <w:p w14:paraId="588F73C9" w14:textId="77777777" w:rsidR="00581248" w:rsidRPr="00DD3FD0" w:rsidRDefault="00581248" w:rsidP="00B93FB1">
            <w:pPr>
              <w:spacing w:after="0" w:line="240" w:lineRule="auto"/>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X</w:t>
            </w:r>
          </w:p>
        </w:tc>
        <w:tc>
          <w:tcPr>
            <w:tcW w:w="167" w:type="pct"/>
            <w:tcBorders>
              <w:top w:val="nil"/>
              <w:left w:val="single" w:sz="8" w:space="0" w:color="auto"/>
              <w:bottom w:val="single" w:sz="8" w:space="0" w:color="000000"/>
              <w:right w:val="single" w:sz="8" w:space="0" w:color="auto"/>
            </w:tcBorders>
            <w:shd w:val="clear" w:color="auto" w:fill="auto"/>
            <w:vAlign w:val="center"/>
            <w:hideMark/>
          </w:tcPr>
          <w:p w14:paraId="1259DDFC" w14:textId="77777777" w:rsidR="00581248" w:rsidRPr="00DD3FD0" w:rsidRDefault="00581248" w:rsidP="00B93FB1">
            <w:pPr>
              <w:spacing w:after="0" w:line="240" w:lineRule="auto"/>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 </w:t>
            </w:r>
          </w:p>
        </w:tc>
        <w:tc>
          <w:tcPr>
            <w:tcW w:w="621" w:type="pct"/>
            <w:tcBorders>
              <w:top w:val="single" w:sz="8" w:space="0" w:color="auto"/>
              <w:left w:val="nil"/>
              <w:bottom w:val="single" w:sz="8" w:space="0" w:color="auto"/>
              <w:right w:val="single" w:sz="8" w:space="0" w:color="000000"/>
            </w:tcBorders>
            <w:shd w:val="clear" w:color="auto" w:fill="auto"/>
            <w:vAlign w:val="center"/>
            <w:hideMark/>
          </w:tcPr>
          <w:p w14:paraId="37753424" w14:textId="1E2FC7A0" w:rsidR="00581248" w:rsidRPr="00DD3FD0" w:rsidRDefault="00581248" w:rsidP="002D730B">
            <w:pPr>
              <w:spacing w:after="0" w:line="240" w:lineRule="auto"/>
              <w:jc w:val="right"/>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80.000</w:t>
            </w:r>
          </w:p>
        </w:tc>
        <w:tc>
          <w:tcPr>
            <w:tcW w:w="1383" w:type="pct"/>
            <w:tcBorders>
              <w:top w:val="single" w:sz="8" w:space="0" w:color="auto"/>
              <w:left w:val="single" w:sz="8" w:space="0" w:color="auto"/>
              <w:bottom w:val="single" w:sz="8" w:space="0" w:color="000000"/>
              <w:right w:val="single" w:sz="8" w:space="0" w:color="000000"/>
            </w:tcBorders>
            <w:shd w:val="clear" w:color="auto" w:fill="auto"/>
            <w:vAlign w:val="center"/>
            <w:hideMark/>
          </w:tcPr>
          <w:p w14:paraId="265E22B2" w14:textId="72DEA060" w:rsidR="00581248" w:rsidRPr="00DD3FD0" w:rsidRDefault="00581248" w:rsidP="00B93FB1">
            <w:pPr>
              <w:spacing w:after="0" w:line="240" w:lineRule="auto"/>
              <w:jc w:val="center"/>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OE</w:t>
            </w:r>
          </w:p>
        </w:tc>
        <w:tc>
          <w:tcPr>
            <w:tcW w:w="1084" w:type="pct"/>
            <w:tcBorders>
              <w:top w:val="single" w:sz="8" w:space="0" w:color="auto"/>
              <w:left w:val="single" w:sz="8" w:space="0" w:color="auto"/>
              <w:bottom w:val="single" w:sz="8" w:space="0" w:color="000000"/>
              <w:right w:val="single" w:sz="8" w:space="0" w:color="000000"/>
            </w:tcBorders>
            <w:shd w:val="clear" w:color="auto" w:fill="auto"/>
            <w:vAlign w:val="center"/>
          </w:tcPr>
          <w:p w14:paraId="0465C36F" w14:textId="65F167C6" w:rsidR="00581248" w:rsidRPr="00DD3FD0" w:rsidRDefault="00581248" w:rsidP="00B93FB1">
            <w:pPr>
              <w:spacing w:after="0" w:line="240" w:lineRule="auto"/>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OE/Imputable al programa</w:t>
            </w:r>
          </w:p>
        </w:tc>
      </w:tr>
      <w:tr w:rsidR="00581248" w:rsidRPr="00CE1A2E" w14:paraId="01101D8C" w14:textId="77777777" w:rsidTr="00251116">
        <w:trPr>
          <w:trHeight w:val="469"/>
          <w:jc w:val="center"/>
        </w:trPr>
        <w:tc>
          <w:tcPr>
            <w:tcW w:w="1904" w:type="pct"/>
            <w:gridSpan w:val="7"/>
            <w:tcBorders>
              <w:top w:val="single" w:sz="8" w:space="0" w:color="auto"/>
              <w:left w:val="single" w:sz="8" w:space="0" w:color="auto"/>
              <w:bottom w:val="single" w:sz="8" w:space="0" w:color="000000"/>
              <w:right w:val="single" w:sz="8" w:space="0" w:color="000000"/>
            </w:tcBorders>
            <w:shd w:val="clear" w:color="auto" w:fill="auto"/>
            <w:vAlign w:val="center"/>
            <w:hideMark/>
          </w:tcPr>
          <w:p w14:paraId="7E987903" w14:textId="7EAEA479" w:rsidR="00581248" w:rsidRPr="00DD3FD0" w:rsidRDefault="00581248" w:rsidP="00B93FB1">
            <w:pPr>
              <w:spacing w:after="0" w:line="240" w:lineRule="auto"/>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lastRenderedPageBreak/>
              <w:t>Costo Total</w:t>
            </w:r>
          </w:p>
        </w:tc>
        <w:tc>
          <w:tcPr>
            <w:tcW w:w="620" w:type="pct"/>
            <w:tcBorders>
              <w:top w:val="single" w:sz="8" w:space="0" w:color="auto"/>
              <w:left w:val="single" w:sz="8" w:space="0" w:color="auto"/>
              <w:bottom w:val="single" w:sz="8" w:space="0" w:color="000000"/>
              <w:right w:val="single" w:sz="8" w:space="0" w:color="000000"/>
            </w:tcBorders>
            <w:shd w:val="clear" w:color="auto" w:fill="auto"/>
            <w:vAlign w:val="center"/>
            <w:hideMark/>
          </w:tcPr>
          <w:p w14:paraId="23829C71" w14:textId="607168D1" w:rsidR="00581248" w:rsidRPr="00DD3FD0" w:rsidRDefault="00581248" w:rsidP="002D730B">
            <w:pPr>
              <w:spacing w:after="0" w:line="240" w:lineRule="auto"/>
              <w:jc w:val="right"/>
              <w:rPr>
                <w:rFonts w:ascii="Arial" w:eastAsia="Times New Roman" w:hAnsi="Arial" w:cs="Arial"/>
                <w:color w:val="000000"/>
                <w:sz w:val="18"/>
                <w:szCs w:val="18"/>
                <w:lang w:val="es-ES_tradnl" w:eastAsia="es-ES"/>
              </w:rPr>
            </w:pPr>
            <w:r w:rsidRPr="00DD3FD0">
              <w:rPr>
                <w:rFonts w:ascii="Arial" w:eastAsia="Times New Roman" w:hAnsi="Arial" w:cs="Arial"/>
                <w:color w:val="000000"/>
                <w:sz w:val="18"/>
                <w:szCs w:val="18"/>
                <w:lang w:val="es-ES_tradnl" w:eastAsia="es-ES"/>
              </w:rPr>
              <w:t>100.000</w:t>
            </w:r>
          </w:p>
        </w:tc>
        <w:tc>
          <w:tcPr>
            <w:tcW w:w="2476" w:type="pct"/>
            <w:gridSpan w:val="3"/>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center"/>
          </w:tcPr>
          <w:p w14:paraId="0DB20255" w14:textId="7926FCD4" w:rsidR="00581248" w:rsidRPr="00DD3FD0" w:rsidRDefault="00581248" w:rsidP="00B93FB1">
            <w:pPr>
              <w:spacing w:after="0" w:line="240" w:lineRule="auto"/>
              <w:jc w:val="center"/>
              <w:rPr>
                <w:rFonts w:ascii="Arial" w:eastAsia="Times New Roman" w:hAnsi="Arial" w:cs="Arial"/>
                <w:color w:val="000000"/>
                <w:sz w:val="18"/>
                <w:szCs w:val="18"/>
                <w:lang w:val="es-ES_tradnl" w:eastAsia="es-ES"/>
              </w:rPr>
            </w:pPr>
          </w:p>
        </w:tc>
      </w:tr>
    </w:tbl>
    <w:p w14:paraId="24903343" w14:textId="77777777" w:rsidR="00AC14F5" w:rsidRDefault="00692370" w:rsidP="00AC14F5">
      <w:pPr>
        <w:pStyle w:val="Chapter"/>
        <w:numPr>
          <w:ilvl w:val="0"/>
          <w:numId w:val="0"/>
        </w:numPr>
        <w:spacing w:before="0"/>
        <w:ind w:left="1080"/>
        <w:jc w:val="left"/>
        <w:rPr>
          <w:rFonts w:ascii="Arial" w:hAnsi="Arial" w:cs="Arial"/>
          <w:sz w:val="22"/>
          <w:szCs w:val="22"/>
          <w:lang w:val="es-ES_tradnl"/>
        </w:rPr>
      </w:pPr>
      <w:bookmarkStart w:id="20" w:name="_Toc346643520"/>
      <w:bookmarkStart w:id="21" w:name="_Toc352755941"/>
      <w:bookmarkStart w:id="22" w:name="_Toc352756757"/>
      <w:r>
        <w:rPr>
          <w:rFonts w:ascii="Arial" w:hAnsi="Arial" w:cs="Arial"/>
          <w:sz w:val="22"/>
          <w:szCs w:val="22"/>
          <w:lang w:val="es-ES_tradnl"/>
        </w:rPr>
        <w:t xml:space="preserve"> </w:t>
      </w:r>
      <w:bookmarkStart w:id="23" w:name="_Toc40475108"/>
    </w:p>
    <w:p w14:paraId="7DF1FD1C" w14:textId="06206A07" w:rsidR="007116B2" w:rsidRPr="001F731F" w:rsidRDefault="007116B2" w:rsidP="00AC14F5">
      <w:pPr>
        <w:pStyle w:val="Chapter"/>
        <w:numPr>
          <w:ilvl w:val="0"/>
          <w:numId w:val="29"/>
        </w:numPr>
        <w:spacing w:before="0"/>
        <w:rPr>
          <w:rFonts w:ascii="Arial" w:hAnsi="Arial" w:cs="Arial"/>
          <w:sz w:val="22"/>
          <w:szCs w:val="22"/>
          <w:lang w:val="es-ES_tradnl"/>
        </w:rPr>
      </w:pPr>
      <w:r w:rsidRPr="00692370">
        <w:rPr>
          <w:rFonts w:ascii="Arial" w:hAnsi="Arial" w:cs="Arial"/>
          <w:sz w:val="22"/>
          <w:szCs w:val="22"/>
          <w:lang w:val="es-ES_tradnl"/>
        </w:rPr>
        <w:t>Evaluación</w:t>
      </w:r>
      <w:bookmarkEnd w:id="20"/>
      <w:bookmarkEnd w:id="21"/>
      <w:bookmarkEnd w:id="22"/>
      <w:bookmarkEnd w:id="23"/>
    </w:p>
    <w:p w14:paraId="7751F253" w14:textId="49219FC6" w:rsidR="00501E93" w:rsidRPr="00522B95" w:rsidRDefault="007116B2" w:rsidP="009A5E71">
      <w:pPr>
        <w:pStyle w:val="Paragraph"/>
        <w:numPr>
          <w:ilvl w:val="1"/>
          <w:numId w:val="6"/>
        </w:numPr>
        <w:ind w:hanging="540"/>
        <w:rPr>
          <w:rFonts w:ascii="Arial" w:hAnsi="Arial" w:cs="Arial"/>
          <w:b/>
          <w:bCs/>
          <w:sz w:val="22"/>
          <w:szCs w:val="22"/>
          <w:lang w:val="es-ES_tradnl"/>
        </w:rPr>
      </w:pPr>
      <w:r w:rsidRPr="001F731F">
        <w:rPr>
          <w:rFonts w:ascii="Arial" w:hAnsi="Arial" w:cs="Arial"/>
          <w:b/>
          <w:bCs/>
          <w:sz w:val="22"/>
          <w:szCs w:val="22"/>
          <w:lang w:val="es-ES_tradnl"/>
        </w:rPr>
        <w:t>Justificación de la metodología</w:t>
      </w:r>
      <w:r w:rsidR="00501E93">
        <w:rPr>
          <w:rFonts w:ascii="Arial" w:hAnsi="Arial" w:cs="Arial"/>
          <w:b/>
          <w:bCs/>
          <w:sz w:val="22"/>
          <w:szCs w:val="22"/>
          <w:lang w:val="es-ES_tradnl"/>
        </w:rPr>
        <w:t xml:space="preserve">. </w:t>
      </w:r>
      <w:r w:rsidR="00501E93" w:rsidRPr="00522B95">
        <w:rPr>
          <w:rFonts w:ascii="Arial" w:hAnsi="Arial" w:cs="Arial"/>
          <w:sz w:val="22"/>
          <w:szCs w:val="22"/>
          <w:lang w:val="es-ES_tradnl"/>
        </w:rPr>
        <w:t>La estrategia de evaluación de los resultados del programa seguirá varios enfoques: (i) la realización de una evaluación reflexiva, antes y después del programa, que muestre el alcance de los resultados e impactos; (ii) la realización de un análisis costo beneficio ex post de los flujos de beneficios y costos derivados del programa, siguiendo una estrategia similar a la realizada para el análisis costo beneficio ex ante</w:t>
      </w:r>
      <w:r w:rsidR="00217203">
        <w:rPr>
          <w:rFonts w:ascii="Arial" w:hAnsi="Arial" w:cs="Arial"/>
          <w:sz w:val="22"/>
          <w:szCs w:val="22"/>
          <w:lang w:val="es-ES_tradnl"/>
        </w:rPr>
        <w:t>. En adición a lo anterior, se está trabajando para la realización de una evaluación de impacto</w:t>
      </w:r>
      <w:r w:rsidR="00501E93" w:rsidRPr="00522B95">
        <w:rPr>
          <w:rFonts w:ascii="Arial" w:hAnsi="Arial" w:cs="Arial"/>
          <w:sz w:val="22"/>
          <w:szCs w:val="22"/>
          <w:lang w:val="es-ES_tradnl"/>
        </w:rPr>
        <w:t>.</w:t>
      </w:r>
      <w:r w:rsidR="00F44F83">
        <w:rPr>
          <w:rFonts w:ascii="Arial" w:hAnsi="Arial" w:cs="Arial"/>
          <w:sz w:val="22"/>
          <w:szCs w:val="22"/>
          <w:lang w:val="es-ES_tradnl"/>
        </w:rPr>
        <w:t xml:space="preserve"> </w:t>
      </w:r>
      <w:r w:rsidR="00501E93" w:rsidRPr="00522B95">
        <w:rPr>
          <w:rFonts w:ascii="Arial" w:hAnsi="Arial" w:cs="Arial"/>
          <w:sz w:val="22"/>
          <w:szCs w:val="22"/>
          <w:lang w:val="es-ES_tradnl"/>
        </w:rPr>
        <w:t>Estos estudios evaluarán los impactos sobre la reducción de las pérdidas de ingresos por ventas y los beneficios de los empleos preservados gracias al program</w:t>
      </w:r>
      <w:r w:rsidR="00F44F83">
        <w:rPr>
          <w:rFonts w:ascii="Arial" w:hAnsi="Arial" w:cs="Arial"/>
          <w:sz w:val="22"/>
          <w:szCs w:val="22"/>
          <w:lang w:val="es-ES_tradnl"/>
        </w:rPr>
        <w:t>a</w:t>
      </w:r>
      <w:r w:rsidR="00501E93" w:rsidRPr="00522B95">
        <w:rPr>
          <w:rFonts w:ascii="Arial" w:hAnsi="Arial" w:cs="Arial"/>
          <w:sz w:val="22"/>
          <w:szCs w:val="22"/>
          <w:lang w:val="es-ES_tradnl"/>
        </w:rPr>
        <w:t xml:space="preserve">. </w:t>
      </w:r>
    </w:p>
    <w:p w14:paraId="1C4BBA79" w14:textId="28C106D0" w:rsidR="0015190F" w:rsidRDefault="00C64C11" w:rsidP="0015190F">
      <w:pPr>
        <w:pStyle w:val="Paragraph"/>
        <w:numPr>
          <w:ilvl w:val="1"/>
          <w:numId w:val="6"/>
        </w:numPr>
        <w:ind w:hanging="540"/>
        <w:rPr>
          <w:rFonts w:ascii="Arial" w:hAnsi="Arial" w:cs="Arial"/>
          <w:sz w:val="22"/>
          <w:szCs w:val="22"/>
          <w:lang w:val="es-ES_tradnl"/>
        </w:rPr>
      </w:pPr>
      <w:r>
        <w:rPr>
          <w:rFonts w:ascii="Arial" w:hAnsi="Arial" w:cs="Arial"/>
          <w:sz w:val="22"/>
          <w:szCs w:val="22"/>
          <w:lang w:val="es-ES_tradnl"/>
        </w:rPr>
        <w:t xml:space="preserve">Además, </w:t>
      </w:r>
      <w:r w:rsidR="00F44F83">
        <w:rPr>
          <w:rFonts w:ascii="Arial" w:hAnsi="Arial" w:cs="Arial"/>
          <w:sz w:val="22"/>
          <w:szCs w:val="22"/>
          <w:lang w:val="es-ES_tradnl"/>
        </w:rPr>
        <w:t xml:space="preserve">como parte del </w:t>
      </w:r>
      <w:r>
        <w:rPr>
          <w:rFonts w:ascii="Arial" w:hAnsi="Arial" w:cs="Arial"/>
          <w:sz w:val="22"/>
          <w:szCs w:val="22"/>
          <w:lang w:val="es-ES_tradnl"/>
        </w:rPr>
        <w:t>Informe de Terminación de Proyecto (PCR, por sus siglas en inglés</w:t>
      </w:r>
      <w:r w:rsidR="00F44F83">
        <w:rPr>
          <w:rFonts w:ascii="Arial" w:hAnsi="Arial" w:cs="Arial"/>
          <w:sz w:val="22"/>
          <w:szCs w:val="22"/>
          <w:lang w:val="es-ES_tradnl"/>
        </w:rPr>
        <w:t>),</w:t>
      </w:r>
      <w:r>
        <w:rPr>
          <w:rFonts w:ascii="Arial" w:hAnsi="Arial" w:cs="Arial"/>
          <w:sz w:val="22"/>
          <w:szCs w:val="22"/>
          <w:lang w:val="es-ES_tradnl"/>
        </w:rPr>
        <w:t xml:space="preserve"> se llevará a cabo un análisis cualitativo de los principales retos de ejecución y las soluciones planteadas, incluyendo lecciones aprendidas y propuestas innovadoras para el diseño de futuras intervenciones.</w:t>
      </w:r>
      <w:r w:rsidR="0015190F">
        <w:rPr>
          <w:rFonts w:ascii="Arial" w:hAnsi="Arial" w:cs="Arial"/>
          <w:sz w:val="22"/>
          <w:szCs w:val="22"/>
          <w:lang w:val="es-ES_tradnl"/>
        </w:rPr>
        <w:t xml:space="preserve"> Concretamente, el</w:t>
      </w:r>
      <w:r w:rsidR="0015190F" w:rsidRPr="007E69D8">
        <w:rPr>
          <w:rFonts w:ascii="Arial" w:hAnsi="Arial" w:cs="Arial"/>
          <w:sz w:val="22"/>
          <w:szCs w:val="22"/>
          <w:lang w:val="es-ES_tradnl"/>
        </w:rPr>
        <w:t xml:space="preserve"> análisis cualitativo busca contestar a las siguientes preguntas: (i) cuáles fueron las principales debilidades y los retos encontrados para la ejecución del proyecto; (ii) cuáles fueron las medidas implementadas para subsanar las debilidades y retos de ejecución; (iii) cuán adecuado fue el diseño de la operación para atender las particularidades de la emergencia causada por el COVID-19; y (iv) qué lecciones aprendidas y propuestas se generaron de la ejecución del proyecto. </w:t>
      </w:r>
    </w:p>
    <w:p w14:paraId="102F2A43" w14:textId="564B233E" w:rsidR="008C053C" w:rsidRPr="007E69D8" w:rsidRDefault="008C053C" w:rsidP="0015190F">
      <w:pPr>
        <w:pStyle w:val="Paragraph"/>
        <w:numPr>
          <w:ilvl w:val="1"/>
          <w:numId w:val="6"/>
        </w:numPr>
        <w:ind w:hanging="540"/>
        <w:rPr>
          <w:rFonts w:ascii="Arial" w:hAnsi="Arial" w:cs="Arial"/>
          <w:sz w:val="22"/>
          <w:szCs w:val="22"/>
          <w:lang w:val="es-ES_tradnl"/>
        </w:rPr>
      </w:pPr>
      <w:r w:rsidRPr="008C053C">
        <w:rPr>
          <w:rFonts w:ascii="Arial" w:hAnsi="Arial" w:cs="Arial"/>
          <w:b/>
          <w:bCs/>
          <w:sz w:val="22"/>
          <w:szCs w:val="22"/>
          <w:lang w:val="es-ES_tradnl"/>
        </w:rPr>
        <w:t>Costos</w:t>
      </w:r>
      <w:r w:rsidRPr="00DD3FD0">
        <w:rPr>
          <w:rFonts w:ascii="Arial" w:hAnsi="Arial" w:cs="Arial"/>
          <w:b/>
          <w:bCs/>
          <w:sz w:val="22"/>
          <w:szCs w:val="22"/>
          <w:lang w:val="es-ES_tradnl"/>
        </w:rPr>
        <w:t>.</w:t>
      </w:r>
      <w:r>
        <w:rPr>
          <w:rFonts w:ascii="Arial" w:hAnsi="Arial" w:cs="Arial"/>
          <w:sz w:val="22"/>
          <w:szCs w:val="22"/>
          <w:lang w:val="es-ES_tradnl"/>
        </w:rPr>
        <w:t xml:space="preserve"> </w:t>
      </w:r>
      <w:r w:rsidR="00FB2778" w:rsidRPr="00FB2778">
        <w:rPr>
          <w:rFonts w:ascii="Arial" w:hAnsi="Arial"/>
          <w:sz w:val="22"/>
          <w:szCs w:val="22"/>
          <w:lang w:val="es-ES"/>
        </w:rPr>
        <w:t>El OE y la SAE suscribirán un convenio de transferencia y subejecución para la implementación de las actividades de evaluación del programa</w:t>
      </w:r>
      <w:r>
        <w:rPr>
          <w:rFonts w:ascii="Arial" w:eastAsia="Arial" w:hAnsi="Arial" w:cs="Arial"/>
          <w:sz w:val="22"/>
          <w:szCs w:val="22"/>
          <w:lang w:val="es-ES"/>
        </w:rPr>
        <w:t>.</w:t>
      </w:r>
    </w:p>
    <w:p w14:paraId="4B1F00E2" w14:textId="0DAF8B2F" w:rsidR="006158AA" w:rsidRPr="000E7387" w:rsidRDefault="006158AA" w:rsidP="007116B2">
      <w:pPr>
        <w:pStyle w:val="Paragraph"/>
        <w:numPr>
          <w:ilvl w:val="1"/>
          <w:numId w:val="6"/>
        </w:numPr>
        <w:ind w:hanging="540"/>
        <w:rPr>
          <w:rFonts w:ascii="Arial" w:hAnsi="Arial" w:cs="Arial"/>
          <w:b/>
          <w:bCs/>
          <w:sz w:val="22"/>
          <w:szCs w:val="22"/>
          <w:lang w:val="es-ES_tradnl"/>
        </w:rPr>
      </w:pPr>
      <w:r w:rsidRPr="006158AA">
        <w:rPr>
          <w:rFonts w:ascii="Arial" w:hAnsi="Arial" w:cs="Arial"/>
          <w:b/>
          <w:bCs/>
          <w:sz w:val="22"/>
          <w:szCs w:val="22"/>
          <w:lang w:val="es-ES_tradnl"/>
        </w:rPr>
        <w:t>Conocimiento previo</w:t>
      </w:r>
      <w:r w:rsidRPr="00DD3FD0">
        <w:rPr>
          <w:rFonts w:ascii="Arial" w:hAnsi="Arial" w:cs="Arial"/>
          <w:b/>
          <w:bCs/>
          <w:sz w:val="22"/>
          <w:szCs w:val="22"/>
          <w:lang w:val="es-ES_tradnl"/>
        </w:rPr>
        <w:t xml:space="preserve">. </w:t>
      </w:r>
      <w:r w:rsidR="000E4BA5" w:rsidRPr="000E4BA5">
        <w:rPr>
          <w:rFonts w:ascii="Arial" w:eastAsia="Arial" w:hAnsi="Arial" w:cs="Arial"/>
          <w:sz w:val="22"/>
          <w:szCs w:val="22"/>
          <w:lang w:val="es-ES"/>
        </w:rPr>
        <w:t>El Banco cuenta con amplia experiencia en diseño de programas de préstamo con garantía soberana dirigidos a mejorar el acceso a financiamiento de las MIPYME a través de intermediarios financieros. Estos programas se han implementado tanto en ciclos económicos expansivos, donde el apoyo se centra en el acceso a financiamiento de largo plazo para inversiones productivas, como en ciclos económicos recesivos, donde el apoyo se focaliza en que las MIPYME no pierdan acceso a liquidez para continuar con su actividad económica. En la última crisis financiera que afrontó la región en 2007, el Banco jugó un rol contra cíclico aumentando el monto y los mecanismos para atender la falta de acceso a crédito que sufrían las MIPYME de la región. Por ejemplo, en 2008 y 2009 se aprobaron programas de liquidez para la sostenibilidad del crecimiento económico con el fin de restablecer el acceso de sectores productivos a financiamiento de capital trabajo y comercio exterior, permitiendo compensar parcial y temporalmente las insuficiencias en los flujos de financiamiento a las MIPYME que trajo consigo la crisis financiera internacional. Con el mismo objetivo de estimular la oferta de crédito dirigida a financiar sectores productivos, en el periodo posterior a la crisis (2009-2013) se aprobaron líneas de crédito contingente para suministro de liquidez al sistema financiero, programas globales de crédito multisectorial y, mayoritariamente, programas específicos de financiamiento productivo a MIPYME</w:t>
      </w:r>
      <w:r w:rsidR="008D577A">
        <w:rPr>
          <w:rFonts w:ascii="Arial" w:eastAsia="Arial" w:hAnsi="Arial" w:cs="Arial"/>
          <w:sz w:val="22"/>
          <w:szCs w:val="22"/>
          <w:lang w:val="es-ES"/>
        </w:rPr>
        <w:t>. Como ejemplo</w:t>
      </w:r>
      <w:r w:rsidR="006C0781">
        <w:rPr>
          <w:rFonts w:ascii="Arial" w:eastAsia="Arial" w:hAnsi="Arial" w:cs="Arial"/>
          <w:sz w:val="22"/>
          <w:szCs w:val="22"/>
          <w:lang w:val="es-ES"/>
        </w:rPr>
        <w:t xml:space="preserve"> de los resultados obtenidos por esos programas</w:t>
      </w:r>
      <w:r w:rsidR="008D577A">
        <w:rPr>
          <w:rFonts w:ascii="Arial" w:eastAsia="Arial" w:hAnsi="Arial" w:cs="Arial"/>
          <w:sz w:val="22"/>
          <w:szCs w:val="22"/>
          <w:lang w:val="es-ES"/>
        </w:rPr>
        <w:t xml:space="preserve">, </w:t>
      </w:r>
      <w:r w:rsidR="008D577A" w:rsidRPr="008D577A">
        <w:rPr>
          <w:rFonts w:ascii="Arial" w:eastAsia="Arial" w:hAnsi="Arial" w:cs="Arial"/>
          <w:sz w:val="22"/>
          <w:szCs w:val="22"/>
          <w:lang w:val="es-ES"/>
        </w:rPr>
        <w:t>un estudio del Banco en Colombia sobre un programa de financiamiento a la PYME estructurado a través de Bancóldex</w:t>
      </w:r>
      <w:r w:rsidR="00BB5302">
        <w:rPr>
          <w:rFonts w:ascii="Arial" w:eastAsia="Arial" w:hAnsi="Arial" w:cs="Arial"/>
          <w:sz w:val="22"/>
          <w:szCs w:val="22"/>
          <w:lang w:val="es-ES"/>
        </w:rPr>
        <w:t xml:space="preserve"> (</w:t>
      </w:r>
      <w:r w:rsidR="008D577A" w:rsidRPr="008D577A">
        <w:rPr>
          <w:rFonts w:ascii="Arial" w:eastAsia="Arial" w:hAnsi="Arial" w:cs="Arial"/>
          <w:sz w:val="22"/>
          <w:szCs w:val="22"/>
          <w:lang w:val="es-ES"/>
        </w:rPr>
        <w:t>Banco público de segundo piso</w:t>
      </w:r>
      <w:r w:rsidR="00BB5302">
        <w:rPr>
          <w:rFonts w:ascii="Arial" w:eastAsia="Arial" w:hAnsi="Arial" w:cs="Arial"/>
          <w:sz w:val="22"/>
          <w:szCs w:val="22"/>
          <w:lang w:val="es-ES"/>
        </w:rPr>
        <w:t>)</w:t>
      </w:r>
      <w:r w:rsidR="008D577A" w:rsidRPr="008D577A">
        <w:rPr>
          <w:rFonts w:ascii="Arial" w:eastAsia="Arial" w:hAnsi="Arial" w:cs="Arial"/>
          <w:sz w:val="22"/>
          <w:szCs w:val="22"/>
          <w:lang w:val="es-ES"/>
        </w:rPr>
        <w:t xml:space="preserve">, encontró efectos positivos significativos del crédito en incrementos de producción (24%), empleo </w:t>
      </w:r>
      <w:r w:rsidR="008D577A" w:rsidRPr="008D577A">
        <w:rPr>
          <w:rFonts w:ascii="Arial" w:eastAsia="Arial" w:hAnsi="Arial" w:cs="Arial"/>
          <w:sz w:val="22"/>
          <w:szCs w:val="22"/>
          <w:lang w:val="es-ES"/>
        </w:rPr>
        <w:lastRenderedPageBreak/>
        <w:t>(11%) e inversiones (70%) durante los cuatro años al primer préstamo del BID</w:t>
      </w:r>
      <w:r w:rsidR="000E4BA5">
        <w:rPr>
          <w:rStyle w:val="FootnoteReference"/>
          <w:rFonts w:ascii="Arial" w:eastAsia="Arial" w:hAnsi="Arial" w:cs="Arial"/>
          <w:sz w:val="22"/>
          <w:szCs w:val="22"/>
        </w:rPr>
        <w:footnoteReference w:id="22"/>
      </w:r>
      <w:r w:rsidR="005B49F7">
        <w:rPr>
          <w:rFonts w:ascii="Arial" w:hAnsi="Arial" w:cs="Arial"/>
          <w:sz w:val="22"/>
          <w:szCs w:val="22"/>
          <w:lang w:val="es-ES_tradnl"/>
        </w:rPr>
        <w:t>.</w:t>
      </w:r>
      <w:r w:rsidR="00A11FC0">
        <w:rPr>
          <w:rFonts w:ascii="Arial" w:hAnsi="Arial" w:cs="Arial"/>
          <w:sz w:val="22"/>
          <w:szCs w:val="22"/>
          <w:lang w:val="es-ES_tradnl"/>
        </w:rPr>
        <w:t xml:space="preserve"> </w:t>
      </w:r>
      <w:r w:rsidR="00532BD9">
        <w:rPr>
          <w:rFonts w:ascii="Arial" w:hAnsi="Arial" w:cs="Arial"/>
          <w:sz w:val="22"/>
          <w:szCs w:val="22"/>
          <w:lang w:val="es-ES_tradnl"/>
        </w:rPr>
        <w:t>Además, e</w:t>
      </w:r>
      <w:r w:rsidR="00A11FC0" w:rsidRPr="00A11FC0">
        <w:rPr>
          <w:rFonts w:ascii="Arial" w:eastAsia="Arial" w:hAnsi="Arial" w:cs="Arial"/>
          <w:sz w:val="22"/>
          <w:szCs w:val="22"/>
          <w:lang w:val="es-ES"/>
        </w:rPr>
        <w:t>l Banco cuenta con una extensa experiencia en diseño e implementación de políticas de financiamiento a la MIPYME con un enfoque especial en determinados sectores o cadenas de valor</w:t>
      </w:r>
      <w:r w:rsidR="001A37FB">
        <w:rPr>
          <w:rFonts w:ascii="Arial" w:eastAsia="Arial" w:hAnsi="Arial" w:cs="Arial"/>
          <w:sz w:val="22"/>
          <w:szCs w:val="22"/>
          <w:lang w:val="es-ES"/>
        </w:rPr>
        <w:t xml:space="preserve">, </w:t>
      </w:r>
      <w:r w:rsidR="00C20FF1">
        <w:rPr>
          <w:rFonts w:ascii="Arial" w:eastAsia="Arial" w:hAnsi="Arial" w:cs="Arial"/>
          <w:sz w:val="22"/>
          <w:szCs w:val="22"/>
          <w:lang w:val="es-ES"/>
        </w:rPr>
        <w:t xml:space="preserve">generando </w:t>
      </w:r>
      <w:r w:rsidR="000A2A3F">
        <w:rPr>
          <w:rFonts w:ascii="Arial" w:eastAsia="Arial" w:hAnsi="Arial" w:cs="Arial"/>
          <w:sz w:val="22"/>
          <w:szCs w:val="22"/>
          <w:lang w:val="es-ES"/>
        </w:rPr>
        <w:t xml:space="preserve">una </w:t>
      </w:r>
      <w:r w:rsidR="00DE4CFC">
        <w:rPr>
          <w:rFonts w:ascii="Arial" w:eastAsia="Arial" w:hAnsi="Arial" w:cs="Arial"/>
          <w:sz w:val="22"/>
          <w:szCs w:val="22"/>
          <w:lang w:val="es-ES"/>
        </w:rPr>
        <w:t xml:space="preserve">gran </w:t>
      </w:r>
      <w:r w:rsidR="000A2A3F">
        <w:rPr>
          <w:rFonts w:ascii="Arial" w:eastAsia="Arial" w:hAnsi="Arial" w:cs="Arial"/>
          <w:sz w:val="22"/>
          <w:szCs w:val="22"/>
          <w:lang w:val="es-ES"/>
        </w:rPr>
        <w:t xml:space="preserve">diversidad </w:t>
      </w:r>
      <w:r w:rsidR="00DE4CFC">
        <w:rPr>
          <w:rFonts w:ascii="Arial" w:eastAsia="Arial" w:hAnsi="Arial" w:cs="Arial"/>
          <w:sz w:val="22"/>
          <w:szCs w:val="22"/>
          <w:lang w:val="es-ES"/>
        </w:rPr>
        <w:t>d</w:t>
      </w:r>
      <w:r w:rsidR="000A2A3F">
        <w:rPr>
          <w:rFonts w:ascii="Arial" w:eastAsia="Arial" w:hAnsi="Arial" w:cs="Arial"/>
          <w:sz w:val="22"/>
          <w:szCs w:val="22"/>
          <w:lang w:val="es-ES"/>
        </w:rPr>
        <w:t>e productos de conocimiento</w:t>
      </w:r>
      <w:r w:rsidR="00A11FC0">
        <w:rPr>
          <w:rStyle w:val="FootnoteReference"/>
          <w:rFonts w:ascii="Arial" w:eastAsia="Arial" w:hAnsi="Arial" w:cs="Arial"/>
          <w:sz w:val="22"/>
          <w:szCs w:val="22"/>
        </w:rPr>
        <w:footnoteReference w:id="23"/>
      </w:r>
      <w:r w:rsidR="00557970" w:rsidRPr="00DD3FD0">
        <w:rPr>
          <w:rStyle w:val="FootnoteReference"/>
          <w:rFonts w:eastAsia="Arial"/>
          <w:lang w:val="es-NI"/>
        </w:rPr>
        <w:t>;</w:t>
      </w:r>
      <w:r w:rsidR="00F44F83">
        <w:rPr>
          <w:rStyle w:val="FootnoteReference"/>
          <w:rFonts w:ascii="Arial" w:eastAsia="Arial" w:hAnsi="Arial" w:cs="Arial"/>
          <w:sz w:val="22"/>
          <w:szCs w:val="22"/>
          <w:lang w:val="es-ES"/>
        </w:rPr>
        <w:footnoteReference w:id="24"/>
      </w:r>
      <w:r w:rsidR="00557970">
        <w:rPr>
          <w:rFonts w:ascii="Arial" w:eastAsia="Arial" w:hAnsi="Arial" w:cs="Arial"/>
          <w:sz w:val="22"/>
          <w:szCs w:val="22"/>
          <w:lang w:val="es-ES"/>
        </w:rPr>
        <w:t>.</w:t>
      </w:r>
    </w:p>
    <w:p w14:paraId="343185A2" w14:textId="227B3B61" w:rsidR="000E7387" w:rsidRPr="005B49F7" w:rsidRDefault="000E7387" w:rsidP="007116B2">
      <w:pPr>
        <w:pStyle w:val="Paragraph"/>
        <w:numPr>
          <w:ilvl w:val="1"/>
          <w:numId w:val="6"/>
        </w:numPr>
        <w:ind w:hanging="540"/>
        <w:rPr>
          <w:rFonts w:ascii="Arial" w:hAnsi="Arial" w:cs="Arial"/>
          <w:b/>
          <w:bCs/>
          <w:sz w:val="22"/>
          <w:szCs w:val="22"/>
          <w:lang w:val="es-ES_tradnl"/>
        </w:rPr>
      </w:pPr>
      <w:r w:rsidRPr="000E7387">
        <w:rPr>
          <w:rFonts w:ascii="Arial" w:eastAsia="Arial" w:hAnsi="Arial" w:cs="Arial"/>
          <w:sz w:val="22"/>
          <w:szCs w:val="22"/>
          <w:lang w:val="es-ES"/>
        </w:rPr>
        <w:t>En particular, en Argentina el Banco ha apoyado intervenciones para el desarrollo de la producción y el empleo en la provincia de San Juan (documentos 1798/OC-AR y 2763/OC</w:t>
      </w:r>
      <w:r w:rsidR="00557970">
        <w:rPr>
          <w:rFonts w:ascii="Arial" w:eastAsia="Arial" w:hAnsi="Arial" w:cs="Arial"/>
          <w:sz w:val="22"/>
          <w:szCs w:val="22"/>
          <w:lang w:val="es-ES"/>
        </w:rPr>
        <w:noBreakHyphen/>
      </w:r>
      <w:r w:rsidRPr="000E7387">
        <w:rPr>
          <w:rFonts w:ascii="Arial" w:eastAsia="Arial" w:hAnsi="Arial" w:cs="Arial"/>
          <w:sz w:val="22"/>
          <w:szCs w:val="22"/>
          <w:lang w:val="es-ES"/>
        </w:rPr>
        <w:t>AR), el préstamo para la implementación de la Estrategia Nacional de Inclusión Financiera de Argentina (documento 4411/OC-AR), el programa de promoción de instrumentos de mitigación de riesgos y financiamiento de inversiones en energía renovable y eficiencia energética (documento 4565/GN-AR) y el programa de competitividad de las economías regionales (documento 3174/OC-AR), en el cual el BICE es el organismo subejecutor del componente que encauza el financiamiento para las PYME orientado al desarrollo productivo</w:t>
      </w:r>
    </w:p>
    <w:p w14:paraId="5F1D49AC" w14:textId="5BFB3243" w:rsidR="00BB48CD" w:rsidRDefault="00BB48CD" w:rsidP="004714E0">
      <w:pPr>
        <w:pStyle w:val="Paragraph"/>
        <w:numPr>
          <w:ilvl w:val="0"/>
          <w:numId w:val="0"/>
        </w:numPr>
        <w:spacing w:before="240"/>
        <w:ind w:left="720"/>
        <w:rPr>
          <w:rFonts w:ascii="Arial" w:hAnsi="Arial" w:cs="Arial"/>
          <w:b/>
          <w:bCs/>
          <w:sz w:val="22"/>
          <w:szCs w:val="22"/>
          <w:u w:val="single"/>
          <w:lang w:val="es-ES_tradnl"/>
        </w:rPr>
      </w:pPr>
      <w:r>
        <w:rPr>
          <w:rFonts w:ascii="Arial" w:hAnsi="Arial" w:cs="Arial"/>
          <w:b/>
          <w:bCs/>
          <w:sz w:val="22"/>
          <w:szCs w:val="22"/>
          <w:u w:val="single"/>
          <w:lang w:val="es-ES_tradnl"/>
        </w:rPr>
        <w:t>Evaluación reflexiva</w:t>
      </w:r>
      <w:r w:rsidR="00C82583">
        <w:rPr>
          <w:rFonts w:ascii="Arial" w:hAnsi="Arial" w:cs="Arial"/>
          <w:b/>
          <w:bCs/>
          <w:sz w:val="22"/>
          <w:szCs w:val="22"/>
          <w:u w:val="single"/>
          <w:lang w:val="es-ES_tradnl"/>
        </w:rPr>
        <w:t>:</w:t>
      </w:r>
    </w:p>
    <w:p w14:paraId="20EA89E4" w14:textId="17EFE146" w:rsidR="001F6C37" w:rsidRPr="004714E0" w:rsidRDefault="00007B89" w:rsidP="00E33F78">
      <w:pPr>
        <w:pStyle w:val="Paragraph"/>
        <w:numPr>
          <w:ilvl w:val="1"/>
          <w:numId w:val="6"/>
        </w:numPr>
        <w:ind w:hanging="540"/>
        <w:rPr>
          <w:rFonts w:ascii="Arial" w:hAnsi="Arial" w:cs="Arial"/>
          <w:sz w:val="22"/>
          <w:szCs w:val="22"/>
          <w:lang w:val="es-ES_tradnl"/>
        </w:rPr>
      </w:pPr>
      <w:r>
        <w:rPr>
          <w:rFonts w:ascii="Arial" w:hAnsi="Arial" w:cs="Arial"/>
          <w:b/>
          <w:sz w:val="22"/>
          <w:szCs w:val="22"/>
          <w:lang w:val="es-ES_tradnl"/>
        </w:rPr>
        <w:t xml:space="preserve">Justificación de la metodología. </w:t>
      </w:r>
      <w:r w:rsidR="009D3FA6">
        <w:rPr>
          <w:rFonts w:ascii="Arial" w:hAnsi="Arial" w:cs="Arial"/>
          <w:bCs/>
          <w:sz w:val="22"/>
          <w:szCs w:val="22"/>
          <w:lang w:val="es-ES_tradnl"/>
        </w:rPr>
        <w:t xml:space="preserve">Le metodología reflexiva busca </w:t>
      </w:r>
      <w:r w:rsidR="00DB4C9B">
        <w:rPr>
          <w:rFonts w:ascii="Arial" w:hAnsi="Arial" w:cs="Arial"/>
          <w:bCs/>
          <w:sz w:val="22"/>
          <w:szCs w:val="22"/>
          <w:lang w:val="es-ES_tradnl"/>
        </w:rPr>
        <w:t xml:space="preserve">conocer los efectos de una intervención </w:t>
      </w:r>
      <w:r w:rsidR="009D2631">
        <w:rPr>
          <w:rFonts w:ascii="Arial" w:hAnsi="Arial" w:cs="Arial"/>
          <w:bCs/>
          <w:sz w:val="22"/>
          <w:szCs w:val="22"/>
          <w:lang w:val="es-ES_tradnl"/>
        </w:rPr>
        <w:t xml:space="preserve">sobre </w:t>
      </w:r>
      <w:r w:rsidR="00642378">
        <w:rPr>
          <w:rFonts w:ascii="Arial" w:hAnsi="Arial" w:cs="Arial"/>
          <w:bCs/>
          <w:sz w:val="22"/>
          <w:szCs w:val="22"/>
          <w:lang w:val="es-ES_tradnl"/>
        </w:rPr>
        <w:t xml:space="preserve">variables </w:t>
      </w:r>
      <w:r w:rsidR="00890A5A">
        <w:rPr>
          <w:rFonts w:ascii="Arial" w:hAnsi="Arial" w:cs="Arial"/>
          <w:bCs/>
          <w:sz w:val="22"/>
          <w:szCs w:val="22"/>
          <w:lang w:val="es-ES_tradnl"/>
        </w:rPr>
        <w:t>determinad</w:t>
      </w:r>
      <w:r w:rsidR="00642378">
        <w:rPr>
          <w:rFonts w:ascii="Arial" w:hAnsi="Arial" w:cs="Arial"/>
          <w:bCs/>
          <w:sz w:val="22"/>
          <w:szCs w:val="22"/>
          <w:lang w:val="es-ES_tradnl"/>
        </w:rPr>
        <w:t>a</w:t>
      </w:r>
      <w:r w:rsidR="00890A5A">
        <w:rPr>
          <w:rFonts w:ascii="Arial" w:hAnsi="Arial" w:cs="Arial"/>
          <w:bCs/>
          <w:sz w:val="22"/>
          <w:szCs w:val="22"/>
          <w:lang w:val="es-ES_tradnl"/>
        </w:rPr>
        <w:t>s de interés</w:t>
      </w:r>
      <w:r w:rsidR="00D221D6">
        <w:rPr>
          <w:rFonts w:ascii="Arial" w:hAnsi="Arial" w:cs="Arial"/>
          <w:bCs/>
          <w:sz w:val="22"/>
          <w:szCs w:val="22"/>
          <w:lang w:val="es-ES_tradnl"/>
        </w:rPr>
        <w:t xml:space="preserve">. En el caso que nos ocupa, se trataría de medir </w:t>
      </w:r>
      <w:r w:rsidR="000E56F7">
        <w:rPr>
          <w:rFonts w:ascii="Arial" w:hAnsi="Arial" w:cs="Arial"/>
          <w:bCs/>
          <w:sz w:val="22"/>
          <w:szCs w:val="22"/>
          <w:lang w:val="es-ES_tradnl"/>
        </w:rPr>
        <w:t>los ingresos por ventas y el empleo en las</w:t>
      </w:r>
      <w:r w:rsidR="00BD37F6">
        <w:rPr>
          <w:rFonts w:ascii="Arial" w:hAnsi="Arial" w:cs="Arial"/>
          <w:bCs/>
          <w:sz w:val="22"/>
          <w:szCs w:val="22"/>
          <w:lang w:val="es-ES_tradnl"/>
        </w:rPr>
        <w:t xml:space="preserve"> MIPYME beneficiarias del programa</w:t>
      </w:r>
      <w:r w:rsidR="009A1E7A">
        <w:rPr>
          <w:rFonts w:ascii="Arial" w:hAnsi="Arial" w:cs="Arial"/>
          <w:bCs/>
          <w:sz w:val="22"/>
          <w:szCs w:val="22"/>
          <w:lang w:val="es-ES_tradnl"/>
        </w:rPr>
        <w:t xml:space="preserve"> antes y </w:t>
      </w:r>
      <w:r w:rsidR="00B6701C">
        <w:rPr>
          <w:rFonts w:ascii="Arial" w:hAnsi="Arial" w:cs="Arial"/>
          <w:bCs/>
          <w:sz w:val="22"/>
          <w:szCs w:val="22"/>
          <w:lang w:val="es-ES_tradnl"/>
        </w:rPr>
        <w:t xml:space="preserve">después </w:t>
      </w:r>
      <w:r w:rsidR="00EC36C4">
        <w:rPr>
          <w:rFonts w:ascii="Arial" w:hAnsi="Arial" w:cs="Arial"/>
          <w:bCs/>
          <w:sz w:val="22"/>
          <w:szCs w:val="22"/>
          <w:lang w:val="es-ES_tradnl"/>
        </w:rPr>
        <w:t>de</w:t>
      </w:r>
      <w:r w:rsidR="009B0AD4">
        <w:rPr>
          <w:rFonts w:ascii="Arial" w:hAnsi="Arial" w:cs="Arial"/>
          <w:bCs/>
          <w:sz w:val="22"/>
          <w:szCs w:val="22"/>
          <w:lang w:val="es-ES_tradnl"/>
        </w:rPr>
        <w:t>l programa</w:t>
      </w:r>
      <w:r w:rsidR="00AC1B8D">
        <w:rPr>
          <w:rFonts w:ascii="Arial" w:hAnsi="Arial" w:cs="Arial"/>
          <w:bCs/>
          <w:sz w:val="22"/>
          <w:szCs w:val="22"/>
          <w:lang w:val="es-ES_tradnl"/>
        </w:rPr>
        <w:t xml:space="preserve">, </w:t>
      </w:r>
      <w:r w:rsidR="00AE260A">
        <w:rPr>
          <w:rFonts w:ascii="Arial" w:hAnsi="Arial" w:cs="Arial"/>
          <w:bCs/>
          <w:sz w:val="22"/>
          <w:szCs w:val="22"/>
          <w:lang w:val="es-ES_tradnl"/>
        </w:rPr>
        <w:t xml:space="preserve">adjudicando las variaciones observadas </w:t>
      </w:r>
      <w:r w:rsidR="00694253">
        <w:rPr>
          <w:rFonts w:ascii="Arial" w:hAnsi="Arial" w:cs="Arial"/>
          <w:bCs/>
          <w:sz w:val="22"/>
          <w:szCs w:val="22"/>
          <w:lang w:val="es-ES_tradnl"/>
        </w:rPr>
        <w:t xml:space="preserve">a dicha intervención. </w:t>
      </w:r>
      <w:r w:rsidR="00243684">
        <w:rPr>
          <w:rFonts w:ascii="Arial" w:hAnsi="Arial" w:cs="Arial"/>
          <w:bCs/>
          <w:sz w:val="22"/>
          <w:szCs w:val="22"/>
          <w:lang w:val="es-ES_tradnl"/>
        </w:rPr>
        <w:t>Est</w:t>
      </w:r>
      <w:r w:rsidR="00121A96">
        <w:rPr>
          <w:rFonts w:ascii="Arial" w:hAnsi="Arial" w:cs="Arial"/>
          <w:bCs/>
          <w:sz w:val="22"/>
          <w:szCs w:val="22"/>
          <w:lang w:val="es-ES_tradnl"/>
        </w:rPr>
        <w:t xml:space="preserve">a metodología, sin embargo, no </w:t>
      </w:r>
      <w:r w:rsidR="007131C5">
        <w:rPr>
          <w:rFonts w:ascii="Arial" w:hAnsi="Arial" w:cs="Arial"/>
          <w:bCs/>
          <w:sz w:val="22"/>
          <w:szCs w:val="22"/>
          <w:lang w:val="es-ES_tradnl"/>
        </w:rPr>
        <w:t xml:space="preserve">puede aislar </w:t>
      </w:r>
      <w:r w:rsidR="00061426">
        <w:rPr>
          <w:rFonts w:ascii="Arial" w:hAnsi="Arial" w:cs="Arial"/>
          <w:bCs/>
          <w:sz w:val="22"/>
          <w:szCs w:val="22"/>
          <w:lang w:val="es-ES_tradnl"/>
        </w:rPr>
        <w:t xml:space="preserve">completamente </w:t>
      </w:r>
      <w:r w:rsidR="007131C5">
        <w:rPr>
          <w:rFonts w:ascii="Arial" w:hAnsi="Arial" w:cs="Arial"/>
          <w:bCs/>
          <w:sz w:val="22"/>
          <w:szCs w:val="22"/>
          <w:lang w:val="es-ES_tradnl"/>
        </w:rPr>
        <w:t xml:space="preserve">efectos </w:t>
      </w:r>
      <w:r w:rsidR="00E13D0B">
        <w:rPr>
          <w:rFonts w:ascii="Arial" w:hAnsi="Arial" w:cs="Arial"/>
          <w:bCs/>
          <w:sz w:val="22"/>
          <w:szCs w:val="22"/>
          <w:lang w:val="es-ES_tradnl"/>
        </w:rPr>
        <w:t>externos a la intervención</w:t>
      </w:r>
      <w:r w:rsidR="0098747B">
        <w:rPr>
          <w:rFonts w:ascii="Arial" w:hAnsi="Arial" w:cs="Arial"/>
          <w:bCs/>
          <w:sz w:val="22"/>
          <w:szCs w:val="22"/>
          <w:lang w:val="es-ES_tradnl"/>
        </w:rPr>
        <w:t xml:space="preserve"> que</w:t>
      </w:r>
      <w:r w:rsidR="00CB4E5B">
        <w:rPr>
          <w:rFonts w:ascii="Arial" w:hAnsi="Arial" w:cs="Arial"/>
          <w:bCs/>
          <w:sz w:val="22"/>
          <w:szCs w:val="22"/>
          <w:lang w:val="es-ES_tradnl"/>
        </w:rPr>
        <w:t xml:space="preserve"> pueden influir</w:t>
      </w:r>
      <w:r w:rsidR="0098747B">
        <w:rPr>
          <w:rFonts w:ascii="Arial" w:hAnsi="Arial" w:cs="Arial"/>
          <w:bCs/>
          <w:sz w:val="22"/>
          <w:szCs w:val="22"/>
          <w:lang w:val="es-ES_tradnl"/>
        </w:rPr>
        <w:t xml:space="preserve"> sobre </w:t>
      </w:r>
      <w:r w:rsidR="00061426">
        <w:rPr>
          <w:rFonts w:ascii="Arial" w:hAnsi="Arial" w:cs="Arial"/>
          <w:bCs/>
          <w:sz w:val="22"/>
          <w:szCs w:val="22"/>
          <w:lang w:val="es-ES_tradnl"/>
        </w:rPr>
        <w:t>las variables de interés</w:t>
      </w:r>
      <w:r w:rsidR="00FE0AC2">
        <w:rPr>
          <w:rFonts w:ascii="Arial" w:hAnsi="Arial" w:cs="Arial"/>
          <w:bCs/>
          <w:sz w:val="22"/>
          <w:szCs w:val="22"/>
          <w:lang w:val="es-ES_tradnl"/>
        </w:rPr>
        <w:t>, dificultando la atribución de l</w:t>
      </w:r>
      <w:r w:rsidR="00513C4B">
        <w:rPr>
          <w:rFonts w:ascii="Arial" w:hAnsi="Arial" w:cs="Arial"/>
          <w:bCs/>
          <w:sz w:val="22"/>
          <w:szCs w:val="22"/>
          <w:lang w:val="es-ES_tradnl"/>
        </w:rPr>
        <w:t>os cambios observados</w:t>
      </w:r>
      <w:r w:rsidR="004E025C">
        <w:rPr>
          <w:rFonts w:ascii="Arial" w:hAnsi="Arial" w:cs="Arial"/>
          <w:bCs/>
          <w:sz w:val="22"/>
          <w:szCs w:val="22"/>
          <w:lang w:val="es-ES_tradnl"/>
        </w:rPr>
        <w:t xml:space="preserve"> a intervención concreta.</w:t>
      </w:r>
      <w:r w:rsidR="00513C4B">
        <w:rPr>
          <w:rFonts w:ascii="Arial" w:hAnsi="Arial" w:cs="Arial"/>
          <w:bCs/>
          <w:sz w:val="22"/>
          <w:szCs w:val="22"/>
          <w:lang w:val="es-ES_tradnl"/>
        </w:rPr>
        <w:t xml:space="preserve"> </w:t>
      </w:r>
    </w:p>
    <w:p w14:paraId="58DB2046" w14:textId="21BFCF41" w:rsidR="00787EA9" w:rsidRDefault="00E33F78" w:rsidP="00E33F78">
      <w:pPr>
        <w:pStyle w:val="Paragraph"/>
        <w:numPr>
          <w:ilvl w:val="1"/>
          <w:numId w:val="6"/>
        </w:numPr>
        <w:ind w:hanging="540"/>
        <w:rPr>
          <w:rFonts w:ascii="Arial" w:hAnsi="Arial" w:cs="Arial"/>
          <w:bCs/>
          <w:sz w:val="22"/>
          <w:szCs w:val="22"/>
          <w:lang w:val="es-ES_tradnl"/>
        </w:rPr>
      </w:pPr>
      <w:r w:rsidRPr="001F731F">
        <w:rPr>
          <w:rFonts w:ascii="Arial" w:hAnsi="Arial" w:cs="Arial"/>
          <w:b/>
          <w:bCs/>
          <w:sz w:val="22"/>
          <w:szCs w:val="22"/>
          <w:lang w:val="es-ES_tradnl"/>
        </w:rPr>
        <w:t>Interpretación de los resultados</w:t>
      </w:r>
      <w:r w:rsidRPr="001F731F">
        <w:rPr>
          <w:rFonts w:ascii="Arial" w:hAnsi="Arial" w:cs="Arial"/>
          <w:bCs/>
          <w:sz w:val="22"/>
          <w:szCs w:val="22"/>
          <w:lang w:val="es-ES_tradnl"/>
        </w:rPr>
        <w:t xml:space="preserve">. </w:t>
      </w:r>
      <w:r w:rsidR="004E1459">
        <w:rPr>
          <w:rFonts w:ascii="Arial" w:hAnsi="Arial" w:cs="Arial"/>
          <w:bCs/>
          <w:sz w:val="22"/>
          <w:szCs w:val="22"/>
          <w:lang w:val="es-ES_tradnl"/>
        </w:rPr>
        <w:t>La evalu</w:t>
      </w:r>
      <w:r w:rsidR="006B12AE">
        <w:rPr>
          <w:rFonts w:ascii="Arial" w:hAnsi="Arial" w:cs="Arial"/>
          <w:bCs/>
          <w:sz w:val="22"/>
          <w:szCs w:val="22"/>
          <w:lang w:val="es-ES_tradnl"/>
        </w:rPr>
        <w:t>a</w:t>
      </w:r>
      <w:r w:rsidR="004E1459">
        <w:rPr>
          <w:rFonts w:ascii="Arial" w:hAnsi="Arial" w:cs="Arial"/>
          <w:bCs/>
          <w:sz w:val="22"/>
          <w:szCs w:val="22"/>
          <w:lang w:val="es-ES_tradnl"/>
        </w:rPr>
        <w:t xml:space="preserve">ción propuesta </w:t>
      </w:r>
      <w:r w:rsidR="001000B7">
        <w:rPr>
          <w:rFonts w:ascii="Arial" w:hAnsi="Arial" w:cs="Arial"/>
          <w:bCs/>
          <w:sz w:val="22"/>
          <w:szCs w:val="22"/>
          <w:lang w:val="es-ES_tradnl"/>
        </w:rPr>
        <w:t>busca mostrar el alcance de los resultados e impactos</w:t>
      </w:r>
      <w:r w:rsidR="00887589">
        <w:rPr>
          <w:rFonts w:ascii="Arial" w:hAnsi="Arial" w:cs="Arial"/>
          <w:bCs/>
          <w:sz w:val="22"/>
          <w:szCs w:val="22"/>
          <w:lang w:val="es-ES_tradnl"/>
        </w:rPr>
        <w:t xml:space="preserve"> del </w:t>
      </w:r>
      <w:r w:rsidR="00EA7F81">
        <w:rPr>
          <w:rFonts w:ascii="Arial" w:hAnsi="Arial" w:cs="Arial"/>
          <w:bCs/>
          <w:sz w:val="22"/>
          <w:szCs w:val="22"/>
          <w:lang w:val="es-ES_tradnl"/>
        </w:rPr>
        <w:t xml:space="preserve">programa. </w:t>
      </w:r>
      <w:r w:rsidR="00824587">
        <w:rPr>
          <w:rFonts w:ascii="Arial" w:hAnsi="Arial" w:cs="Arial"/>
          <w:bCs/>
          <w:sz w:val="22"/>
          <w:szCs w:val="22"/>
          <w:lang w:val="es-ES_tradnl"/>
        </w:rPr>
        <w:t xml:space="preserve">Las preguntas de </w:t>
      </w:r>
      <w:r w:rsidR="005A567D">
        <w:rPr>
          <w:rFonts w:ascii="Arial" w:hAnsi="Arial" w:cs="Arial"/>
          <w:bCs/>
          <w:sz w:val="22"/>
          <w:szCs w:val="22"/>
          <w:lang w:val="es-ES_tradnl"/>
        </w:rPr>
        <w:t xml:space="preserve">evaluación son por tanto las siguientes (i) cuál ha sido el impacto de la intervención </w:t>
      </w:r>
      <w:r w:rsidR="00AD54DD">
        <w:rPr>
          <w:rFonts w:ascii="Arial" w:hAnsi="Arial" w:cs="Arial"/>
          <w:bCs/>
          <w:sz w:val="22"/>
          <w:szCs w:val="22"/>
          <w:lang w:val="es-ES_tradnl"/>
        </w:rPr>
        <w:t>sobre los ingresos por ventas de las MIPYME</w:t>
      </w:r>
      <w:r w:rsidR="005E2807">
        <w:rPr>
          <w:rFonts w:ascii="Arial" w:hAnsi="Arial" w:cs="Arial"/>
          <w:bCs/>
          <w:sz w:val="22"/>
          <w:szCs w:val="22"/>
          <w:lang w:val="es-ES_tradnl"/>
        </w:rPr>
        <w:t xml:space="preserve"> </w:t>
      </w:r>
      <w:r w:rsidR="006807F1">
        <w:rPr>
          <w:rFonts w:ascii="Arial" w:hAnsi="Arial" w:cs="Arial"/>
          <w:bCs/>
          <w:sz w:val="22"/>
          <w:szCs w:val="22"/>
          <w:lang w:val="es-ES_tradnl"/>
        </w:rPr>
        <w:t xml:space="preserve">en los sectores apoyados por el programa; y (ii) cuál ha sido el impacto del programa sobre </w:t>
      </w:r>
      <w:r w:rsidR="00FF1F5A">
        <w:rPr>
          <w:rFonts w:ascii="Arial" w:hAnsi="Arial" w:cs="Arial"/>
          <w:bCs/>
          <w:sz w:val="22"/>
          <w:szCs w:val="22"/>
          <w:lang w:val="es-ES_tradnl"/>
        </w:rPr>
        <w:t>el</w:t>
      </w:r>
      <w:r w:rsidR="00787EA9">
        <w:rPr>
          <w:rFonts w:ascii="Arial" w:hAnsi="Arial" w:cs="Arial"/>
          <w:bCs/>
          <w:sz w:val="22"/>
          <w:szCs w:val="22"/>
          <w:lang w:val="es-ES_tradnl"/>
        </w:rPr>
        <w:t xml:space="preserve"> porcentaje de</w:t>
      </w:r>
      <w:r w:rsidR="00FF1F5A">
        <w:rPr>
          <w:rFonts w:ascii="Arial" w:hAnsi="Arial" w:cs="Arial"/>
          <w:bCs/>
          <w:sz w:val="22"/>
          <w:szCs w:val="22"/>
          <w:lang w:val="es-ES_tradnl"/>
        </w:rPr>
        <w:t xml:space="preserve"> empleo</w:t>
      </w:r>
      <w:r w:rsidR="00787EA9" w:rsidRPr="004714E0">
        <w:rPr>
          <w:lang w:val="es-ES"/>
        </w:rPr>
        <w:t xml:space="preserve"> </w:t>
      </w:r>
      <w:r w:rsidR="00035D27" w:rsidRPr="0015190F">
        <w:rPr>
          <w:rFonts w:ascii="Arial" w:hAnsi="Arial" w:cs="Arial"/>
          <w:sz w:val="22"/>
          <w:szCs w:val="22"/>
          <w:lang w:val="es-ES_tradnl"/>
        </w:rPr>
        <w:t>en MIPYME</w:t>
      </w:r>
      <w:r w:rsidR="00F54B8E" w:rsidRPr="0015190F">
        <w:rPr>
          <w:rFonts w:ascii="Arial" w:hAnsi="Arial" w:cs="Arial"/>
          <w:sz w:val="22"/>
          <w:szCs w:val="22"/>
          <w:lang w:val="es-ES_tradnl"/>
        </w:rPr>
        <w:t xml:space="preserve"> frente el empleo total en el país</w:t>
      </w:r>
      <w:r w:rsidR="00887C19" w:rsidRPr="0015190F">
        <w:rPr>
          <w:rFonts w:ascii="Arial" w:hAnsi="Arial" w:cs="Arial"/>
          <w:bCs/>
          <w:sz w:val="22"/>
          <w:szCs w:val="22"/>
          <w:lang w:val="es-ES_tradnl"/>
        </w:rPr>
        <w:t>.</w:t>
      </w:r>
      <w:r w:rsidR="00787EA9" w:rsidRPr="00787EA9">
        <w:rPr>
          <w:rFonts w:ascii="Arial" w:hAnsi="Arial" w:cs="Arial"/>
          <w:bCs/>
          <w:sz w:val="22"/>
          <w:szCs w:val="22"/>
          <w:lang w:val="es-ES_tradnl"/>
        </w:rPr>
        <w:t xml:space="preserve"> </w:t>
      </w:r>
    </w:p>
    <w:p w14:paraId="2DFB9087" w14:textId="34CBB8AA" w:rsidR="00BB48CD" w:rsidRPr="004714E0" w:rsidRDefault="00E33F78" w:rsidP="0054717B">
      <w:pPr>
        <w:pStyle w:val="Paragraph"/>
        <w:numPr>
          <w:ilvl w:val="1"/>
          <w:numId w:val="6"/>
        </w:numPr>
        <w:ind w:hanging="540"/>
        <w:rPr>
          <w:rFonts w:ascii="Arial" w:hAnsi="Arial" w:cs="Arial"/>
          <w:sz w:val="22"/>
          <w:szCs w:val="22"/>
          <w:lang w:val="es-ES_tradnl"/>
        </w:rPr>
      </w:pPr>
      <w:r w:rsidRPr="001F731F">
        <w:rPr>
          <w:rFonts w:ascii="Arial" w:hAnsi="Arial" w:cs="Arial"/>
          <w:b/>
          <w:bCs/>
          <w:sz w:val="22"/>
          <w:szCs w:val="22"/>
          <w:lang w:val="es-ES_tradnl"/>
        </w:rPr>
        <w:t>Fuentes de datos.</w:t>
      </w:r>
      <w:r w:rsidRPr="001F731F">
        <w:rPr>
          <w:rFonts w:ascii="Arial" w:hAnsi="Arial" w:cs="Arial"/>
          <w:sz w:val="22"/>
          <w:szCs w:val="22"/>
          <w:lang w:val="es-ES_tradnl"/>
        </w:rPr>
        <w:t xml:space="preserve"> </w:t>
      </w:r>
      <w:r w:rsidR="005707CE">
        <w:rPr>
          <w:rFonts w:ascii="Arial" w:hAnsi="Arial" w:cs="Arial"/>
          <w:sz w:val="22"/>
          <w:szCs w:val="22"/>
          <w:lang w:val="es-ES_tradnl"/>
        </w:rPr>
        <w:t xml:space="preserve">Para la realización del ejercicio propuesto son </w:t>
      </w:r>
      <w:r w:rsidR="002F508D">
        <w:rPr>
          <w:rFonts w:ascii="Arial" w:hAnsi="Arial" w:cs="Arial"/>
          <w:sz w:val="22"/>
          <w:szCs w:val="22"/>
          <w:lang w:val="es-ES_tradnl"/>
        </w:rPr>
        <w:t>centrales los</w:t>
      </w:r>
      <w:r w:rsidR="00905D85">
        <w:rPr>
          <w:rFonts w:ascii="Arial" w:hAnsi="Arial" w:cs="Arial"/>
          <w:sz w:val="22"/>
          <w:szCs w:val="22"/>
          <w:lang w:val="es-ES_tradnl"/>
        </w:rPr>
        <w:t xml:space="preserve"> </w:t>
      </w:r>
      <w:r w:rsidR="002F508D">
        <w:rPr>
          <w:rFonts w:ascii="Arial" w:hAnsi="Arial" w:cs="Arial"/>
          <w:sz w:val="22"/>
          <w:szCs w:val="22"/>
          <w:lang w:val="es-ES_tradnl"/>
        </w:rPr>
        <w:t xml:space="preserve">indicadores de </w:t>
      </w:r>
      <w:r w:rsidR="00905D85">
        <w:rPr>
          <w:rFonts w:ascii="Arial" w:hAnsi="Arial" w:cs="Arial"/>
          <w:sz w:val="22"/>
          <w:szCs w:val="22"/>
          <w:lang w:val="es-ES_tradnl"/>
        </w:rPr>
        <w:t>impacto del programa, recogidos en el Cuadro 1 de este documento</w:t>
      </w:r>
      <w:r w:rsidR="00E1696D">
        <w:rPr>
          <w:rFonts w:ascii="Arial" w:hAnsi="Arial" w:cs="Arial"/>
          <w:sz w:val="22"/>
          <w:szCs w:val="22"/>
          <w:lang w:val="es-ES_tradnl"/>
        </w:rPr>
        <w:t xml:space="preserve">, y que serán objeto del monitoreo </w:t>
      </w:r>
      <w:r w:rsidR="009B54A4">
        <w:rPr>
          <w:rFonts w:ascii="Arial" w:hAnsi="Arial" w:cs="Arial"/>
          <w:sz w:val="22"/>
          <w:szCs w:val="22"/>
          <w:lang w:val="es-ES_tradnl"/>
        </w:rPr>
        <w:t>propio del programa.</w:t>
      </w:r>
      <w:r w:rsidRPr="001F731F">
        <w:rPr>
          <w:rFonts w:ascii="Arial" w:hAnsi="Arial" w:cs="Arial"/>
          <w:sz w:val="22"/>
          <w:szCs w:val="22"/>
          <w:lang w:val="es-ES_tradnl"/>
        </w:rPr>
        <w:t xml:space="preserve"> </w:t>
      </w:r>
      <w:r w:rsidR="0015190F">
        <w:rPr>
          <w:rFonts w:ascii="Arial" w:eastAsia="Arial" w:hAnsi="Arial" w:cs="Arial"/>
          <w:sz w:val="22"/>
          <w:szCs w:val="22"/>
          <w:lang w:val="es-ES"/>
        </w:rPr>
        <w:t>Como se mencionaba pues, p</w:t>
      </w:r>
      <w:r w:rsidR="0015190F" w:rsidRPr="2EB4F83A">
        <w:rPr>
          <w:rFonts w:ascii="Arial" w:eastAsia="Arial" w:hAnsi="Arial" w:cs="Arial"/>
          <w:sz w:val="22"/>
          <w:szCs w:val="22"/>
          <w:lang w:val="es-ES"/>
        </w:rPr>
        <w:t>ara efectos de la evaluación</w:t>
      </w:r>
      <w:r w:rsidR="0015190F">
        <w:rPr>
          <w:rFonts w:ascii="Arial" w:eastAsia="Arial" w:hAnsi="Arial" w:cs="Arial"/>
          <w:sz w:val="22"/>
          <w:szCs w:val="22"/>
          <w:lang w:val="es-ES"/>
        </w:rPr>
        <w:t xml:space="preserve"> (y, de hecho, de monitoreo)</w:t>
      </w:r>
      <w:r w:rsidR="0015190F" w:rsidRPr="2EB4F83A">
        <w:rPr>
          <w:rFonts w:ascii="Arial" w:eastAsia="Arial" w:hAnsi="Arial" w:cs="Arial"/>
          <w:sz w:val="22"/>
          <w:szCs w:val="22"/>
          <w:lang w:val="es-ES"/>
        </w:rPr>
        <w:t xml:space="preserve">, el OE recopilará, almacenará y mantendrá consigo toda la información, indicadores y parámetros necesarios para la </w:t>
      </w:r>
      <w:r w:rsidR="0015190F">
        <w:rPr>
          <w:rFonts w:ascii="Arial" w:eastAsia="Arial" w:hAnsi="Arial" w:cs="Arial"/>
          <w:sz w:val="22"/>
          <w:szCs w:val="22"/>
          <w:lang w:val="es-ES"/>
        </w:rPr>
        <w:t>evaluación y lo hará en coordinación, en su caso, con la SAE -</w:t>
      </w:r>
      <w:r w:rsidR="0015190F" w:rsidRPr="0015190F">
        <w:rPr>
          <w:rFonts w:ascii="Arial" w:hAnsi="Arial" w:cs="Arial"/>
          <w:sz w:val="22"/>
          <w:szCs w:val="22"/>
          <w:lang w:val="es-ES"/>
        </w:rPr>
        <w:t xml:space="preserve">organismo subejecutor para la ejecución de la agenda de evaluación del </w:t>
      </w:r>
      <w:r w:rsidR="003E099F">
        <w:rPr>
          <w:rFonts w:ascii="Arial" w:hAnsi="Arial" w:cs="Arial"/>
          <w:sz w:val="22"/>
          <w:szCs w:val="22"/>
          <w:lang w:val="es-ES"/>
        </w:rPr>
        <w:t>p</w:t>
      </w:r>
      <w:r w:rsidR="0015190F" w:rsidRPr="0015190F">
        <w:rPr>
          <w:rFonts w:ascii="Arial" w:hAnsi="Arial" w:cs="Arial"/>
          <w:sz w:val="22"/>
          <w:szCs w:val="22"/>
          <w:lang w:val="es-ES"/>
        </w:rPr>
        <w:t xml:space="preserve">rograma- y con </w:t>
      </w:r>
      <w:r w:rsidR="00F043D9" w:rsidRPr="0015190F">
        <w:rPr>
          <w:rFonts w:ascii="Arial" w:hAnsi="Arial" w:cs="Arial"/>
          <w:sz w:val="22"/>
          <w:szCs w:val="22"/>
          <w:lang w:val="es-ES"/>
        </w:rPr>
        <w:t>B</w:t>
      </w:r>
      <w:r w:rsidR="00F043D9">
        <w:rPr>
          <w:rFonts w:ascii="Arial" w:hAnsi="Arial" w:cs="Arial"/>
          <w:sz w:val="22"/>
          <w:szCs w:val="22"/>
          <w:lang w:val="es-ES"/>
        </w:rPr>
        <w:t>FSA</w:t>
      </w:r>
      <w:r w:rsidR="0015190F" w:rsidRPr="0015190F">
        <w:rPr>
          <w:rFonts w:ascii="Arial" w:hAnsi="Arial" w:cs="Arial"/>
          <w:sz w:val="22"/>
          <w:szCs w:val="22"/>
          <w:lang w:val="es-ES"/>
        </w:rPr>
        <w:t>.</w:t>
      </w:r>
      <w:r w:rsidR="0015190F" w:rsidRPr="2EB4F83A">
        <w:rPr>
          <w:rFonts w:ascii="Arial" w:eastAsia="Arial" w:hAnsi="Arial" w:cs="Arial"/>
          <w:sz w:val="22"/>
          <w:szCs w:val="22"/>
          <w:lang w:val="es-ES"/>
        </w:rPr>
        <w:t xml:space="preserve"> </w:t>
      </w:r>
      <w:r w:rsidR="0015190F">
        <w:rPr>
          <w:rFonts w:ascii="Arial" w:eastAsia="Arial" w:hAnsi="Arial" w:cs="Arial"/>
          <w:sz w:val="22"/>
          <w:szCs w:val="22"/>
          <w:lang w:val="es-ES"/>
        </w:rPr>
        <w:t>L</w:t>
      </w:r>
      <w:r w:rsidR="0015190F" w:rsidRPr="2EB4F83A">
        <w:rPr>
          <w:rFonts w:ascii="Arial" w:eastAsia="Arial" w:hAnsi="Arial" w:cs="Arial"/>
          <w:sz w:val="22"/>
          <w:szCs w:val="22"/>
          <w:lang w:val="es-ES"/>
        </w:rPr>
        <w:t>a información adicional que se requiera para el ejercicio de evaluación provendrá de fuentes secundarias nacionales e internacionales de estadística, así como posibles informes de organizaciones relevantes.</w:t>
      </w:r>
      <w:r w:rsidR="0015190F">
        <w:rPr>
          <w:rFonts w:ascii="Arial" w:eastAsia="Arial" w:hAnsi="Arial" w:cs="Arial"/>
          <w:sz w:val="22"/>
          <w:szCs w:val="22"/>
          <w:lang w:val="es-ES"/>
        </w:rPr>
        <w:t xml:space="preserve"> </w:t>
      </w:r>
      <w:r w:rsidR="0015190F">
        <w:rPr>
          <w:rFonts w:ascii="Arial" w:hAnsi="Arial" w:cs="Arial"/>
          <w:sz w:val="22"/>
          <w:szCs w:val="22"/>
          <w:lang w:val="es-ES_tradnl"/>
        </w:rPr>
        <w:lastRenderedPageBreak/>
        <w:t>S</w:t>
      </w:r>
      <w:r w:rsidR="00873605">
        <w:rPr>
          <w:rFonts w:ascii="Arial" w:hAnsi="Arial" w:cs="Arial"/>
          <w:sz w:val="22"/>
          <w:szCs w:val="22"/>
          <w:lang w:val="es-ES_tradnl"/>
        </w:rPr>
        <w:t xml:space="preserve">e podrá contar con </w:t>
      </w:r>
      <w:r w:rsidR="00DC4A8F">
        <w:rPr>
          <w:rFonts w:ascii="Arial" w:hAnsi="Arial" w:cs="Arial"/>
          <w:sz w:val="22"/>
          <w:szCs w:val="22"/>
          <w:lang w:val="es-ES_tradnl"/>
        </w:rPr>
        <w:t xml:space="preserve">información adicional derivada de encuestas realizadas a grupos </w:t>
      </w:r>
      <w:r w:rsidR="00C01758">
        <w:rPr>
          <w:rFonts w:ascii="Arial" w:hAnsi="Arial" w:cs="Arial"/>
          <w:sz w:val="22"/>
          <w:szCs w:val="22"/>
          <w:lang w:val="es-ES_tradnl"/>
        </w:rPr>
        <w:t>focales</w:t>
      </w:r>
      <w:r w:rsidR="00DC4A8F">
        <w:rPr>
          <w:rFonts w:ascii="Arial" w:hAnsi="Arial" w:cs="Arial"/>
          <w:sz w:val="22"/>
          <w:szCs w:val="22"/>
          <w:lang w:val="es-ES_tradnl"/>
        </w:rPr>
        <w:t>.</w:t>
      </w:r>
    </w:p>
    <w:p w14:paraId="6BBFBD1F" w14:textId="2E612034" w:rsidR="007116B2" w:rsidRPr="001F731F" w:rsidRDefault="007116B2" w:rsidP="004714E0">
      <w:pPr>
        <w:pStyle w:val="Paragraph"/>
        <w:numPr>
          <w:ilvl w:val="0"/>
          <w:numId w:val="0"/>
        </w:numPr>
        <w:spacing w:before="240"/>
        <w:ind w:left="720"/>
        <w:rPr>
          <w:rFonts w:ascii="Arial" w:hAnsi="Arial" w:cs="Arial"/>
          <w:b/>
          <w:bCs/>
          <w:sz w:val="22"/>
          <w:szCs w:val="22"/>
          <w:u w:val="single"/>
          <w:lang w:val="es-ES_tradnl"/>
        </w:rPr>
      </w:pPr>
      <w:r w:rsidRPr="001F731F">
        <w:rPr>
          <w:rFonts w:ascii="Arial" w:hAnsi="Arial" w:cs="Arial"/>
          <w:b/>
          <w:bCs/>
          <w:sz w:val="22"/>
          <w:szCs w:val="22"/>
          <w:u w:val="single"/>
          <w:lang w:val="es-ES_tradnl"/>
        </w:rPr>
        <w:t>Análisis costo-beneficio ex-post:</w:t>
      </w:r>
    </w:p>
    <w:p w14:paraId="35C74852" w14:textId="05CE16E2" w:rsidR="007116B2" w:rsidRPr="005E7AF2" w:rsidRDefault="007116B2" w:rsidP="007116B2">
      <w:pPr>
        <w:pStyle w:val="Paragraph"/>
        <w:numPr>
          <w:ilvl w:val="1"/>
          <w:numId w:val="6"/>
        </w:numPr>
        <w:ind w:hanging="540"/>
        <w:rPr>
          <w:rFonts w:ascii="Arial" w:hAnsi="Arial" w:cs="Arial"/>
          <w:b/>
          <w:bCs/>
          <w:sz w:val="22"/>
          <w:szCs w:val="22"/>
          <w:lang w:val="es-ES_tradnl"/>
        </w:rPr>
      </w:pPr>
      <w:r w:rsidRPr="005E7AF2">
        <w:rPr>
          <w:rFonts w:ascii="Arial" w:hAnsi="Arial" w:cs="Arial"/>
          <w:bCs/>
          <w:sz w:val="22"/>
          <w:szCs w:val="22"/>
          <w:lang w:val="es-ES_tradnl"/>
        </w:rPr>
        <w:t xml:space="preserve">Este </w:t>
      </w:r>
      <w:r w:rsidR="00043C4A" w:rsidRPr="005E7AF2">
        <w:rPr>
          <w:rFonts w:ascii="Arial" w:hAnsi="Arial" w:cs="Arial"/>
          <w:bCs/>
          <w:sz w:val="22"/>
          <w:szCs w:val="22"/>
          <w:lang w:val="es-ES_tradnl"/>
        </w:rPr>
        <w:t>p</w:t>
      </w:r>
      <w:r w:rsidRPr="005E7AF2">
        <w:rPr>
          <w:rFonts w:ascii="Arial" w:hAnsi="Arial" w:cs="Arial"/>
          <w:bCs/>
          <w:sz w:val="22"/>
          <w:szCs w:val="22"/>
          <w:lang w:val="es-ES_tradnl"/>
        </w:rPr>
        <w:t xml:space="preserve">rograma </w:t>
      </w:r>
      <w:r w:rsidR="005E7AF2" w:rsidRPr="005E7AF2">
        <w:rPr>
          <w:rFonts w:ascii="Arial" w:hAnsi="Arial" w:cs="Arial"/>
          <w:bCs/>
          <w:sz w:val="22"/>
          <w:szCs w:val="22"/>
          <w:lang w:val="es-ES_tradnl"/>
        </w:rPr>
        <w:t xml:space="preserve">busca </w:t>
      </w:r>
      <w:r w:rsidR="005E7AF2" w:rsidRPr="005E7AF2">
        <w:rPr>
          <w:rFonts w:ascii="Arial" w:hAnsi="Arial" w:cs="Arial"/>
          <w:sz w:val="22"/>
          <w:szCs w:val="22"/>
          <w:lang w:val="es-ES"/>
        </w:rPr>
        <w:t xml:space="preserve">apoyar la </w:t>
      </w:r>
      <w:r w:rsidR="0015190F">
        <w:rPr>
          <w:rFonts w:ascii="Arial" w:hAnsi="Arial" w:cs="Arial"/>
          <w:sz w:val="22"/>
          <w:szCs w:val="22"/>
          <w:lang w:val="es-ES"/>
        </w:rPr>
        <w:t>reactivación del sector productivo a través de la MIPYME</w:t>
      </w:r>
      <w:r w:rsidR="005E7AF2" w:rsidRPr="005E7AF2">
        <w:rPr>
          <w:rFonts w:ascii="Arial" w:hAnsi="Arial" w:cs="Arial"/>
          <w:sz w:val="22"/>
          <w:szCs w:val="22"/>
          <w:lang w:val="es-ES"/>
        </w:rPr>
        <w:t xml:space="preserve"> frente a la crisis del COVID-19 </w:t>
      </w:r>
      <w:r w:rsidR="0015190F">
        <w:rPr>
          <w:rFonts w:ascii="Arial" w:hAnsi="Arial" w:cs="Arial"/>
          <w:sz w:val="22"/>
          <w:szCs w:val="22"/>
          <w:lang w:val="es-ES"/>
        </w:rPr>
        <w:t>como s</w:t>
      </w:r>
      <w:r w:rsidR="005E7AF2" w:rsidRPr="005E7AF2">
        <w:rPr>
          <w:rFonts w:ascii="Arial" w:hAnsi="Arial" w:cs="Arial"/>
          <w:sz w:val="22"/>
          <w:szCs w:val="22"/>
          <w:lang w:val="es-ES"/>
        </w:rPr>
        <w:t xml:space="preserve">ostén del empleo, apoyando la mejora de las capacidades financieras a corto plazo de las MIPYME y el acceso al </w:t>
      </w:r>
      <w:r w:rsidR="005E7AF2" w:rsidRPr="005E7AF2">
        <w:rPr>
          <w:rFonts w:ascii="Arial" w:eastAsia="Calibri" w:hAnsi="Arial" w:cs="Arial"/>
          <w:color w:val="000000"/>
          <w:sz w:val="22"/>
          <w:szCs w:val="22"/>
          <w:shd w:val="clear" w:color="auto" w:fill="FFFFFF"/>
          <w:lang w:val="es-ES"/>
        </w:rPr>
        <w:t xml:space="preserve">financiamiento productivo para la recuperación económica de </w:t>
      </w:r>
      <w:r w:rsidR="0015190F">
        <w:rPr>
          <w:rFonts w:ascii="Arial" w:eastAsia="Calibri" w:hAnsi="Arial" w:cs="Arial"/>
          <w:color w:val="000000"/>
          <w:sz w:val="22"/>
          <w:szCs w:val="22"/>
          <w:shd w:val="clear" w:color="auto" w:fill="FFFFFF"/>
          <w:lang w:val="es-ES"/>
        </w:rPr>
        <w:t>Argentina</w:t>
      </w:r>
      <w:r w:rsidR="005E7AF2" w:rsidRPr="005E7AF2">
        <w:rPr>
          <w:rFonts w:ascii="Arial" w:eastAsia="Calibri" w:hAnsi="Arial" w:cs="Arial"/>
          <w:color w:val="000000"/>
          <w:sz w:val="22"/>
          <w:szCs w:val="22"/>
          <w:shd w:val="clear" w:color="auto" w:fill="FFFFFF"/>
          <w:lang w:val="es-ES"/>
        </w:rPr>
        <w:t>.</w:t>
      </w:r>
      <w:r w:rsidR="005E7AF2">
        <w:rPr>
          <w:rFonts w:ascii="Arial" w:eastAsia="Calibri" w:hAnsi="Arial" w:cs="Arial"/>
          <w:color w:val="000000"/>
          <w:sz w:val="22"/>
          <w:szCs w:val="22"/>
          <w:shd w:val="clear" w:color="auto" w:fill="FFFFFF"/>
          <w:lang w:val="es-ES"/>
        </w:rPr>
        <w:t xml:space="preserve"> </w:t>
      </w:r>
      <w:r w:rsidRPr="005E7AF2">
        <w:rPr>
          <w:rFonts w:ascii="Arial" w:hAnsi="Arial" w:cs="Arial"/>
          <w:sz w:val="22"/>
          <w:szCs w:val="22"/>
          <w:lang w:val="es-ES_tradnl"/>
        </w:rPr>
        <w:t>Bajo este escenario se propon</w:t>
      </w:r>
      <w:r w:rsidR="00E96D8F">
        <w:rPr>
          <w:rFonts w:ascii="Arial" w:hAnsi="Arial" w:cs="Arial"/>
          <w:sz w:val="22"/>
          <w:szCs w:val="22"/>
          <w:lang w:val="es-ES_tradnl"/>
        </w:rPr>
        <w:t>e</w:t>
      </w:r>
      <w:r w:rsidRPr="005E7AF2">
        <w:rPr>
          <w:rFonts w:ascii="Arial" w:hAnsi="Arial" w:cs="Arial"/>
          <w:sz w:val="22"/>
          <w:szCs w:val="22"/>
          <w:lang w:val="es-ES_tradnl"/>
        </w:rPr>
        <w:t xml:space="preserve"> en el anexo de Análisis Económico un ejercicio de análisis costo beneficio ex-ante de los flujos de costos y beneficios </w:t>
      </w:r>
      <w:r w:rsidRPr="005E7AF2">
        <w:rPr>
          <w:rFonts w:ascii="Arial" w:hAnsi="Arial" w:cs="Arial"/>
          <w:bCs/>
          <w:sz w:val="22"/>
          <w:szCs w:val="22"/>
          <w:lang w:val="es-ES_tradnl"/>
        </w:rPr>
        <w:t xml:space="preserve">asociados a </w:t>
      </w:r>
      <w:r w:rsidR="00856CAF">
        <w:rPr>
          <w:rFonts w:ascii="Arial" w:hAnsi="Arial" w:cs="Arial"/>
          <w:bCs/>
          <w:sz w:val="22"/>
          <w:szCs w:val="22"/>
          <w:lang w:val="es-ES_tradnl"/>
        </w:rPr>
        <w:t>la supervivencia de las empresas apoyadas</w:t>
      </w:r>
      <w:r w:rsidR="004A70B5">
        <w:rPr>
          <w:rFonts w:ascii="Arial" w:hAnsi="Arial" w:cs="Arial"/>
          <w:bCs/>
          <w:sz w:val="22"/>
          <w:szCs w:val="22"/>
          <w:lang w:val="es-ES_tradnl"/>
        </w:rPr>
        <w:t xml:space="preserve"> en términos de ingresos por ventas y empleo.</w:t>
      </w:r>
      <w:r w:rsidR="005E7AF2">
        <w:rPr>
          <w:rFonts w:ascii="Arial" w:hAnsi="Arial" w:cs="Arial"/>
          <w:bCs/>
          <w:sz w:val="22"/>
          <w:szCs w:val="22"/>
          <w:lang w:val="es-ES_tradnl"/>
        </w:rPr>
        <w:t xml:space="preserve"> </w:t>
      </w:r>
      <w:r w:rsidRPr="005E7AF2">
        <w:rPr>
          <w:rFonts w:ascii="Arial" w:hAnsi="Arial" w:cs="Arial"/>
          <w:bCs/>
          <w:sz w:val="22"/>
          <w:szCs w:val="22"/>
          <w:lang w:val="es-ES_tradnl"/>
        </w:rPr>
        <w:t xml:space="preserve">Como en el caso ex-ante, la intervención se valorará para un periodo de </w:t>
      </w:r>
      <w:r w:rsidR="0015190F">
        <w:rPr>
          <w:rFonts w:ascii="Arial" w:hAnsi="Arial" w:cs="Arial"/>
          <w:sz w:val="22"/>
          <w:szCs w:val="22"/>
          <w:lang w:val="es-ES_tradnl"/>
        </w:rPr>
        <w:t>10</w:t>
      </w:r>
      <w:r w:rsidRPr="005E7AF2">
        <w:rPr>
          <w:rFonts w:ascii="Arial" w:hAnsi="Arial" w:cs="Arial"/>
          <w:bCs/>
          <w:sz w:val="22"/>
          <w:szCs w:val="22"/>
          <w:lang w:val="es-ES_tradnl"/>
        </w:rPr>
        <w:t xml:space="preserve"> años, descontado toda intervención al 12%. </w:t>
      </w:r>
    </w:p>
    <w:p w14:paraId="392E4795" w14:textId="24CE20CA" w:rsidR="007116B2" w:rsidRPr="001F731F" w:rsidRDefault="007116B2" w:rsidP="007116B2">
      <w:pPr>
        <w:pStyle w:val="Paragraph"/>
        <w:numPr>
          <w:ilvl w:val="0"/>
          <w:numId w:val="3"/>
        </w:numPr>
        <w:spacing w:afterLines="80" w:after="192"/>
        <w:ind w:left="1260" w:hanging="450"/>
        <w:rPr>
          <w:rFonts w:ascii="Arial" w:hAnsi="Arial" w:cs="Arial"/>
          <w:sz w:val="22"/>
          <w:szCs w:val="24"/>
          <w:lang w:val="es-ES_tradnl"/>
        </w:rPr>
      </w:pPr>
      <w:r w:rsidRPr="001F731F">
        <w:rPr>
          <w:rFonts w:ascii="Arial" w:hAnsi="Arial" w:cs="Arial"/>
          <w:sz w:val="22"/>
          <w:szCs w:val="24"/>
          <w:lang w:val="es-ES_tradnl"/>
        </w:rPr>
        <w:t>Ingresos</w:t>
      </w:r>
      <w:r w:rsidR="00D5350C">
        <w:rPr>
          <w:rFonts w:ascii="Arial" w:hAnsi="Arial" w:cs="Arial"/>
          <w:sz w:val="22"/>
          <w:szCs w:val="24"/>
          <w:lang w:val="es-ES_tradnl"/>
        </w:rPr>
        <w:t>.</w:t>
      </w:r>
      <w:r w:rsidR="000370DE">
        <w:rPr>
          <w:rFonts w:ascii="Arial" w:hAnsi="Arial" w:cs="Arial"/>
          <w:sz w:val="22"/>
          <w:szCs w:val="24"/>
          <w:lang w:val="es-ES_tradnl"/>
        </w:rPr>
        <w:t xml:space="preserve"> </w:t>
      </w:r>
      <w:r w:rsidR="009A138A">
        <w:rPr>
          <w:rFonts w:ascii="Arial" w:hAnsi="Arial" w:cs="Arial"/>
          <w:sz w:val="22"/>
          <w:szCs w:val="24"/>
          <w:lang w:val="es-ES_tradnl"/>
        </w:rPr>
        <w:t xml:space="preserve">El flujo de beneficios o ingresos del </w:t>
      </w:r>
      <w:r w:rsidR="00896A9D">
        <w:rPr>
          <w:rFonts w:ascii="Arial" w:hAnsi="Arial" w:cs="Arial"/>
          <w:sz w:val="22"/>
          <w:szCs w:val="24"/>
          <w:lang w:val="es-ES_tradnl"/>
        </w:rPr>
        <w:t xml:space="preserve">programa puede desagregarse en dos componentes. </w:t>
      </w:r>
      <w:r w:rsidR="000370DE">
        <w:rPr>
          <w:rFonts w:ascii="Arial" w:hAnsi="Arial" w:cs="Arial"/>
          <w:sz w:val="22"/>
          <w:szCs w:val="24"/>
          <w:lang w:val="es-ES_tradnl"/>
        </w:rPr>
        <w:t>Por un lado</w:t>
      </w:r>
      <w:r w:rsidR="00252E49">
        <w:rPr>
          <w:rFonts w:ascii="Arial" w:hAnsi="Arial" w:cs="Arial"/>
          <w:sz w:val="22"/>
          <w:szCs w:val="24"/>
          <w:lang w:val="es-ES_tradnl"/>
        </w:rPr>
        <w:t>,</w:t>
      </w:r>
      <w:r w:rsidR="000370DE">
        <w:rPr>
          <w:rFonts w:ascii="Arial" w:hAnsi="Arial" w:cs="Arial"/>
          <w:sz w:val="22"/>
          <w:szCs w:val="24"/>
          <w:lang w:val="es-ES_tradnl"/>
        </w:rPr>
        <w:t xml:space="preserve"> se considerará </w:t>
      </w:r>
      <w:r w:rsidR="00025C17">
        <w:rPr>
          <w:rFonts w:ascii="Arial" w:hAnsi="Arial" w:cs="Arial"/>
          <w:sz w:val="22"/>
          <w:szCs w:val="24"/>
          <w:lang w:val="es-ES_tradnl"/>
        </w:rPr>
        <w:t xml:space="preserve">la pérdida evitada de ingresos por </w:t>
      </w:r>
      <w:r w:rsidR="004C2C96">
        <w:rPr>
          <w:rFonts w:ascii="Arial" w:hAnsi="Arial" w:cs="Arial"/>
          <w:sz w:val="22"/>
          <w:szCs w:val="24"/>
          <w:lang w:val="es-ES_tradnl"/>
        </w:rPr>
        <w:t>ventas gracias al programa</w:t>
      </w:r>
      <w:r w:rsidR="00F27FB9">
        <w:rPr>
          <w:rFonts w:ascii="Arial" w:hAnsi="Arial" w:cs="Arial"/>
          <w:sz w:val="22"/>
          <w:szCs w:val="24"/>
          <w:lang w:val="es-ES_tradnl"/>
        </w:rPr>
        <w:t xml:space="preserve"> y en comparación con </w:t>
      </w:r>
      <w:r w:rsidR="00D02961">
        <w:rPr>
          <w:rFonts w:ascii="Arial" w:hAnsi="Arial" w:cs="Arial"/>
          <w:sz w:val="22"/>
          <w:szCs w:val="24"/>
          <w:lang w:val="es-ES_tradnl"/>
        </w:rPr>
        <w:t>el escenario contrafactual sin intervención</w:t>
      </w:r>
      <w:r w:rsidR="009A138A">
        <w:rPr>
          <w:rFonts w:ascii="Arial" w:hAnsi="Arial" w:cs="Arial"/>
          <w:sz w:val="22"/>
          <w:szCs w:val="24"/>
          <w:lang w:val="es-ES_tradnl"/>
        </w:rPr>
        <w:t xml:space="preserve">. </w:t>
      </w:r>
      <w:r w:rsidR="005E4B35">
        <w:rPr>
          <w:rFonts w:ascii="Arial" w:hAnsi="Arial" w:cs="Arial"/>
          <w:sz w:val="22"/>
          <w:szCs w:val="24"/>
          <w:lang w:val="es-ES_tradnl"/>
        </w:rPr>
        <w:t>Además, se considerarán dentro de</w:t>
      </w:r>
      <w:r w:rsidR="00015591">
        <w:rPr>
          <w:rFonts w:ascii="Arial" w:hAnsi="Arial" w:cs="Arial"/>
          <w:sz w:val="22"/>
          <w:szCs w:val="24"/>
          <w:lang w:val="es-ES_tradnl"/>
        </w:rPr>
        <w:t xml:space="preserve"> este flujo los </w:t>
      </w:r>
      <w:r w:rsidR="00252E49" w:rsidRPr="00252E49">
        <w:rPr>
          <w:rFonts w:ascii="Arial" w:hAnsi="Arial" w:cs="Arial"/>
          <w:sz w:val="22"/>
          <w:szCs w:val="24"/>
          <w:lang w:val="es-ES_tradnl"/>
        </w:rPr>
        <w:t>beneficios económicos derivados de la preservación del empleo como consecuencia de la supervivencia de las firmas.</w:t>
      </w:r>
    </w:p>
    <w:p w14:paraId="3F7CF825" w14:textId="4C9CE41C" w:rsidR="007116B2" w:rsidRPr="001F731F" w:rsidRDefault="007116B2" w:rsidP="007116B2">
      <w:pPr>
        <w:pStyle w:val="Paragraph"/>
        <w:numPr>
          <w:ilvl w:val="0"/>
          <w:numId w:val="3"/>
        </w:numPr>
        <w:spacing w:afterLines="80" w:after="192"/>
        <w:ind w:left="1260" w:hanging="450"/>
        <w:rPr>
          <w:rFonts w:ascii="Arial" w:hAnsi="Arial" w:cs="Arial"/>
          <w:sz w:val="22"/>
          <w:szCs w:val="24"/>
          <w:lang w:val="es-ES_tradnl"/>
        </w:rPr>
      </w:pPr>
      <w:r w:rsidRPr="001F731F">
        <w:rPr>
          <w:rFonts w:ascii="Arial" w:hAnsi="Arial" w:cs="Arial"/>
          <w:sz w:val="22"/>
          <w:szCs w:val="24"/>
          <w:lang w:val="es-ES_tradnl"/>
        </w:rPr>
        <w:t xml:space="preserve">Egresos por costos de </w:t>
      </w:r>
      <w:r w:rsidR="008513B4">
        <w:rPr>
          <w:rFonts w:ascii="Arial" w:hAnsi="Arial" w:cs="Arial"/>
          <w:sz w:val="22"/>
          <w:szCs w:val="24"/>
          <w:lang w:val="es-ES_tradnl"/>
        </w:rPr>
        <w:t>la intervención</w:t>
      </w:r>
      <w:r w:rsidR="00DA5B61">
        <w:rPr>
          <w:rFonts w:ascii="Arial" w:hAnsi="Arial" w:cs="Arial"/>
          <w:sz w:val="22"/>
          <w:szCs w:val="24"/>
          <w:lang w:val="es-ES_tradnl"/>
        </w:rPr>
        <w:t xml:space="preserve">. </w:t>
      </w:r>
      <w:r w:rsidR="00DA5B61" w:rsidRPr="00117CEA">
        <w:rPr>
          <w:rFonts w:ascii="Arial" w:hAnsi="Arial" w:cs="Arial"/>
          <w:sz w:val="22"/>
          <w:szCs w:val="22"/>
          <w:lang w:val="es-PE"/>
        </w:rPr>
        <w:t xml:space="preserve">Por simplicidad y disponibilidad de datos, los costos de la intervención serán tomados como iguales al monto total de la inversión </w:t>
      </w:r>
      <w:r w:rsidR="00E61E38">
        <w:rPr>
          <w:rFonts w:ascii="Arial" w:hAnsi="Arial" w:cs="Arial"/>
          <w:sz w:val="22"/>
          <w:szCs w:val="22"/>
          <w:lang w:val="es-PE"/>
        </w:rPr>
        <w:t>actualmente realizados</w:t>
      </w:r>
      <w:r w:rsidR="00E61E38" w:rsidRPr="00117CEA">
        <w:rPr>
          <w:rFonts w:ascii="Arial" w:hAnsi="Arial" w:cs="Arial"/>
          <w:sz w:val="22"/>
          <w:szCs w:val="22"/>
          <w:lang w:val="es-PE"/>
        </w:rPr>
        <w:t xml:space="preserve"> </w:t>
      </w:r>
      <w:r w:rsidR="00DA5B61" w:rsidRPr="00117CEA">
        <w:rPr>
          <w:rFonts w:ascii="Arial" w:hAnsi="Arial" w:cs="Arial"/>
          <w:sz w:val="22"/>
          <w:szCs w:val="22"/>
          <w:lang w:val="es-PE"/>
        </w:rPr>
        <w:t>en la presente operación.</w:t>
      </w:r>
    </w:p>
    <w:p w14:paraId="38487530" w14:textId="7C38398A" w:rsidR="007116B2" w:rsidRPr="001F731F" w:rsidRDefault="007116B2" w:rsidP="007116B2">
      <w:pPr>
        <w:pStyle w:val="Paragraph"/>
        <w:numPr>
          <w:ilvl w:val="1"/>
          <w:numId w:val="6"/>
        </w:numPr>
        <w:ind w:hanging="540"/>
        <w:rPr>
          <w:rFonts w:ascii="Arial" w:hAnsi="Arial" w:cs="Arial"/>
          <w:bCs/>
          <w:sz w:val="22"/>
          <w:szCs w:val="22"/>
          <w:lang w:val="es-ES_tradnl"/>
        </w:rPr>
      </w:pPr>
      <w:r w:rsidRPr="001F731F">
        <w:rPr>
          <w:rFonts w:ascii="Arial" w:hAnsi="Arial" w:cs="Arial"/>
          <w:bCs/>
          <w:sz w:val="22"/>
          <w:szCs w:val="22"/>
          <w:lang w:val="es-ES_tradnl"/>
        </w:rPr>
        <w:t xml:space="preserve">Se reevaluarán también los supuestos </w:t>
      </w:r>
      <w:r w:rsidR="00A00CF2">
        <w:rPr>
          <w:rFonts w:ascii="Arial" w:hAnsi="Arial" w:cs="Arial"/>
          <w:sz w:val="22"/>
          <w:szCs w:val="24"/>
          <w:lang w:val="es-ES_tradnl"/>
        </w:rPr>
        <w:t xml:space="preserve">sobre los que </w:t>
      </w:r>
      <w:r w:rsidR="006C7192">
        <w:rPr>
          <w:rFonts w:ascii="Arial" w:hAnsi="Arial" w:cs="Arial"/>
          <w:sz w:val="22"/>
          <w:szCs w:val="24"/>
          <w:lang w:val="es-ES_tradnl"/>
        </w:rPr>
        <w:t>se realizaba el ejercicio ex</w:t>
      </w:r>
      <w:r w:rsidR="00B2245B">
        <w:rPr>
          <w:rFonts w:ascii="Arial" w:hAnsi="Arial" w:cs="Arial"/>
          <w:sz w:val="22"/>
          <w:szCs w:val="24"/>
          <w:lang w:val="es-ES_tradnl"/>
        </w:rPr>
        <w:t>-</w:t>
      </w:r>
      <w:r w:rsidR="006C7192">
        <w:rPr>
          <w:rFonts w:ascii="Arial" w:hAnsi="Arial" w:cs="Arial"/>
          <w:sz w:val="22"/>
          <w:szCs w:val="24"/>
          <w:lang w:val="es-ES_tradnl"/>
        </w:rPr>
        <w:t>ante</w:t>
      </w:r>
      <w:r w:rsidR="00614B51">
        <w:rPr>
          <w:rFonts w:ascii="Arial" w:hAnsi="Arial" w:cs="Arial"/>
          <w:bCs/>
          <w:sz w:val="22"/>
          <w:szCs w:val="22"/>
          <w:lang w:val="es-ES_tradnl"/>
        </w:rPr>
        <w:t xml:space="preserve">. </w:t>
      </w:r>
      <w:r w:rsidRPr="001F731F">
        <w:rPr>
          <w:rFonts w:ascii="Arial" w:hAnsi="Arial" w:cs="Arial"/>
          <w:bCs/>
          <w:sz w:val="22"/>
          <w:szCs w:val="22"/>
          <w:lang w:val="es-ES_tradnl"/>
        </w:rPr>
        <w:t>El Cuadro 3 a continuación refleja los supuestos a validar durante el ejercicio ex-post.</w:t>
      </w:r>
      <w:r w:rsidR="00614B51">
        <w:rPr>
          <w:rFonts w:ascii="Arial" w:hAnsi="Arial" w:cs="Arial"/>
          <w:bCs/>
          <w:sz w:val="22"/>
          <w:szCs w:val="22"/>
          <w:lang w:val="es-ES_tradnl"/>
        </w:rPr>
        <w:t xml:space="preserve"> </w:t>
      </w:r>
    </w:p>
    <w:p w14:paraId="1A58B3BF" w14:textId="77777777" w:rsidR="007116B2" w:rsidRPr="00DD3FD0" w:rsidRDefault="007116B2" w:rsidP="005E7AF2">
      <w:pPr>
        <w:spacing w:before="240" w:after="120" w:line="240" w:lineRule="auto"/>
        <w:jc w:val="center"/>
        <w:rPr>
          <w:rFonts w:ascii="Arial" w:hAnsi="Arial" w:cs="Arial"/>
          <w:b/>
          <w:sz w:val="18"/>
          <w:szCs w:val="18"/>
          <w:lang w:val="es-ES_tradnl"/>
        </w:rPr>
      </w:pPr>
      <w:r w:rsidRPr="00DD3FD0">
        <w:rPr>
          <w:rFonts w:ascii="Arial" w:hAnsi="Arial" w:cs="Arial"/>
          <w:b/>
          <w:sz w:val="18"/>
          <w:szCs w:val="18"/>
          <w:lang w:val="es-ES_tradnl"/>
        </w:rPr>
        <w:t>Cuadro 3.  Supuestos a verificar en la evaluación ex-post</w:t>
      </w:r>
    </w:p>
    <w:tbl>
      <w:tblPr>
        <w:tblStyle w:val="TableGrid"/>
        <w:tblW w:w="0" w:type="auto"/>
        <w:jc w:val="center"/>
        <w:tblLook w:val="04A0" w:firstRow="1" w:lastRow="0" w:firstColumn="1" w:lastColumn="0" w:noHBand="0" w:noVBand="1"/>
      </w:tblPr>
      <w:tblGrid>
        <w:gridCol w:w="4495"/>
      </w:tblGrid>
      <w:tr w:rsidR="007116B2" w:rsidRPr="00EC68BC" w14:paraId="1FA22772" w14:textId="77777777" w:rsidTr="0000280E">
        <w:trPr>
          <w:trHeight w:hRule="exact" w:val="370"/>
          <w:jc w:val="center"/>
        </w:trPr>
        <w:tc>
          <w:tcPr>
            <w:tcW w:w="4495" w:type="dxa"/>
            <w:vAlign w:val="center"/>
          </w:tcPr>
          <w:p w14:paraId="79DC9DE4" w14:textId="6042D190" w:rsidR="007116B2" w:rsidRPr="00DD3FD0" w:rsidRDefault="00722740" w:rsidP="004E271A">
            <w:pPr>
              <w:spacing w:before="120" w:after="120" w:line="240" w:lineRule="auto"/>
              <w:rPr>
                <w:rFonts w:ascii="Arial" w:hAnsi="Arial" w:cs="Arial"/>
                <w:bCs/>
                <w:sz w:val="18"/>
                <w:szCs w:val="18"/>
                <w:lang w:val="es-ES_tradnl"/>
              </w:rPr>
            </w:pPr>
            <w:r w:rsidRPr="00DD3FD0">
              <w:rPr>
                <w:rFonts w:ascii="Arial" w:hAnsi="Arial" w:cs="Arial"/>
                <w:bCs/>
                <w:sz w:val="18"/>
                <w:szCs w:val="18"/>
                <w:lang w:val="es-ES_tradnl"/>
              </w:rPr>
              <w:t>Probabilidad de supervivencia de las MIPYME</w:t>
            </w:r>
          </w:p>
        </w:tc>
      </w:tr>
      <w:tr w:rsidR="00090ADE" w:rsidRPr="00186383" w14:paraId="2EA0FD30" w14:textId="77777777" w:rsidTr="0000280E">
        <w:trPr>
          <w:trHeight w:hRule="exact" w:val="361"/>
          <w:jc w:val="center"/>
        </w:trPr>
        <w:tc>
          <w:tcPr>
            <w:tcW w:w="4495" w:type="dxa"/>
          </w:tcPr>
          <w:p w14:paraId="69F9C900" w14:textId="1C8821DD" w:rsidR="00090ADE" w:rsidRPr="00DD3FD0" w:rsidRDefault="007F05D7" w:rsidP="005A37D1">
            <w:pPr>
              <w:spacing w:before="120" w:after="120" w:line="240" w:lineRule="auto"/>
              <w:rPr>
                <w:rFonts w:ascii="Arial" w:hAnsi="Arial" w:cs="Arial"/>
                <w:bCs/>
                <w:sz w:val="18"/>
                <w:szCs w:val="18"/>
                <w:lang w:val="es-ES_tradnl"/>
              </w:rPr>
            </w:pPr>
            <w:r w:rsidRPr="00DD3FD0">
              <w:rPr>
                <w:rFonts w:ascii="Arial" w:hAnsi="Arial" w:cs="Arial"/>
                <w:bCs/>
                <w:sz w:val="18"/>
                <w:szCs w:val="18"/>
                <w:lang w:val="es-ES_tradnl"/>
              </w:rPr>
              <w:t>Evolución de las</w:t>
            </w:r>
            <w:r w:rsidR="00090ADE" w:rsidRPr="00DD3FD0">
              <w:rPr>
                <w:rFonts w:ascii="Arial" w:hAnsi="Arial" w:cs="Arial"/>
                <w:bCs/>
                <w:sz w:val="18"/>
                <w:szCs w:val="18"/>
                <w:lang w:val="es-ES_tradnl"/>
              </w:rPr>
              <w:t xml:space="preserve"> ventas</w:t>
            </w:r>
          </w:p>
        </w:tc>
      </w:tr>
      <w:tr w:rsidR="008B76DE" w:rsidRPr="00186383" w14:paraId="0ECB29C4" w14:textId="77777777" w:rsidTr="0000280E">
        <w:trPr>
          <w:trHeight w:hRule="exact" w:val="370"/>
          <w:jc w:val="center"/>
        </w:trPr>
        <w:tc>
          <w:tcPr>
            <w:tcW w:w="4495" w:type="dxa"/>
            <w:vAlign w:val="center"/>
          </w:tcPr>
          <w:p w14:paraId="18B264A1" w14:textId="25405E49" w:rsidR="008B76DE" w:rsidRPr="00DD3FD0" w:rsidRDefault="008B76DE" w:rsidP="004E271A">
            <w:pPr>
              <w:spacing w:before="120" w:after="120" w:line="240" w:lineRule="auto"/>
              <w:rPr>
                <w:rFonts w:ascii="Arial" w:hAnsi="Arial" w:cs="Arial"/>
                <w:bCs/>
                <w:sz w:val="18"/>
                <w:szCs w:val="18"/>
                <w:lang w:val="es-ES_tradnl"/>
              </w:rPr>
            </w:pPr>
            <w:r w:rsidRPr="00DD3FD0">
              <w:rPr>
                <w:rFonts w:ascii="Arial" w:hAnsi="Arial" w:cs="Arial"/>
                <w:bCs/>
                <w:sz w:val="18"/>
                <w:szCs w:val="18"/>
                <w:lang w:val="es-ES_tradnl"/>
              </w:rPr>
              <w:t>Evolución del empleo</w:t>
            </w:r>
          </w:p>
        </w:tc>
      </w:tr>
      <w:tr w:rsidR="008B76DE" w:rsidRPr="00186383" w14:paraId="1DCF632F" w14:textId="77777777" w:rsidTr="0000280E">
        <w:trPr>
          <w:trHeight w:hRule="exact" w:val="352"/>
          <w:jc w:val="center"/>
        </w:trPr>
        <w:tc>
          <w:tcPr>
            <w:tcW w:w="4495" w:type="dxa"/>
            <w:vAlign w:val="center"/>
          </w:tcPr>
          <w:p w14:paraId="60043E1A" w14:textId="34D804ED" w:rsidR="008B76DE" w:rsidRPr="00DD3FD0" w:rsidRDefault="00317EF3" w:rsidP="004E271A">
            <w:pPr>
              <w:spacing w:before="120" w:after="120" w:line="240" w:lineRule="auto"/>
              <w:rPr>
                <w:rFonts w:ascii="Arial" w:hAnsi="Arial" w:cs="Arial"/>
                <w:bCs/>
                <w:sz w:val="18"/>
                <w:szCs w:val="18"/>
                <w:lang w:val="es-ES_tradnl"/>
              </w:rPr>
            </w:pPr>
            <w:r w:rsidRPr="00DD3FD0">
              <w:rPr>
                <w:rFonts w:ascii="Arial" w:hAnsi="Arial" w:cs="Arial"/>
                <w:bCs/>
                <w:sz w:val="18"/>
                <w:szCs w:val="18"/>
                <w:lang w:val="es-ES_tradnl"/>
              </w:rPr>
              <w:t>Valor del empleo</w:t>
            </w:r>
          </w:p>
        </w:tc>
      </w:tr>
      <w:tr w:rsidR="00E04A40" w:rsidRPr="00186383" w14:paraId="4A1D6720" w14:textId="77777777" w:rsidTr="0000280E">
        <w:trPr>
          <w:trHeight w:hRule="exact" w:val="361"/>
          <w:jc w:val="center"/>
        </w:trPr>
        <w:tc>
          <w:tcPr>
            <w:tcW w:w="4495" w:type="dxa"/>
            <w:vAlign w:val="center"/>
          </w:tcPr>
          <w:p w14:paraId="22C06633" w14:textId="2F2BECF5" w:rsidR="00E04A40" w:rsidRPr="00DD3FD0" w:rsidRDefault="00E04A40" w:rsidP="004E271A">
            <w:pPr>
              <w:spacing w:before="120" w:after="120" w:line="240" w:lineRule="auto"/>
              <w:rPr>
                <w:rFonts w:ascii="Arial" w:hAnsi="Arial" w:cs="Arial"/>
                <w:bCs/>
                <w:sz w:val="18"/>
                <w:szCs w:val="18"/>
                <w:lang w:val="es-ES_tradnl"/>
              </w:rPr>
            </w:pPr>
            <w:r w:rsidRPr="00DD3FD0">
              <w:rPr>
                <w:rFonts w:ascii="Arial" w:hAnsi="Arial" w:cs="Arial"/>
                <w:bCs/>
                <w:sz w:val="18"/>
                <w:szCs w:val="18"/>
                <w:lang w:val="es-ES_tradnl"/>
              </w:rPr>
              <w:t>Monto del financiamiento promedio</w:t>
            </w:r>
          </w:p>
        </w:tc>
      </w:tr>
      <w:tr w:rsidR="00E04A40" w:rsidRPr="00186383" w14:paraId="1611CED8" w14:textId="77777777" w:rsidTr="0000280E">
        <w:trPr>
          <w:trHeight w:hRule="exact" w:val="361"/>
          <w:jc w:val="center"/>
        </w:trPr>
        <w:tc>
          <w:tcPr>
            <w:tcW w:w="4495" w:type="dxa"/>
            <w:vAlign w:val="center"/>
          </w:tcPr>
          <w:p w14:paraId="61D3D150" w14:textId="7A4D9184" w:rsidR="00E04A40" w:rsidRPr="00DD3FD0" w:rsidRDefault="00E04A40" w:rsidP="004E271A">
            <w:pPr>
              <w:spacing w:before="120" w:after="120" w:line="240" w:lineRule="auto"/>
              <w:rPr>
                <w:rFonts w:ascii="Arial" w:hAnsi="Arial" w:cs="Arial"/>
                <w:bCs/>
                <w:sz w:val="18"/>
                <w:szCs w:val="18"/>
                <w:lang w:val="es-ES_tradnl"/>
              </w:rPr>
            </w:pPr>
            <w:r w:rsidRPr="00DD3FD0">
              <w:rPr>
                <w:rFonts w:ascii="Arial" w:hAnsi="Arial" w:cs="Arial"/>
                <w:bCs/>
                <w:sz w:val="18"/>
                <w:szCs w:val="18"/>
                <w:lang w:val="es-ES_tradnl"/>
              </w:rPr>
              <w:t>Número de MIPYME beneficiarias</w:t>
            </w:r>
          </w:p>
        </w:tc>
      </w:tr>
    </w:tbl>
    <w:p w14:paraId="6000F73B" w14:textId="69C1E15A" w:rsidR="007116B2" w:rsidRPr="001F731F" w:rsidRDefault="007116B2" w:rsidP="004E271A">
      <w:pPr>
        <w:pStyle w:val="Paragraph"/>
        <w:numPr>
          <w:ilvl w:val="1"/>
          <w:numId w:val="6"/>
        </w:numPr>
        <w:spacing w:before="240"/>
        <w:ind w:left="547" w:hanging="547"/>
        <w:rPr>
          <w:rFonts w:ascii="Arial" w:hAnsi="Arial" w:cs="Arial"/>
          <w:bCs/>
          <w:sz w:val="22"/>
          <w:szCs w:val="22"/>
          <w:lang w:val="es-ES_tradnl"/>
        </w:rPr>
      </w:pPr>
      <w:r w:rsidRPr="001F731F">
        <w:rPr>
          <w:rFonts w:ascii="Arial" w:hAnsi="Arial" w:cs="Arial"/>
          <w:b/>
          <w:bCs/>
          <w:sz w:val="22"/>
          <w:szCs w:val="22"/>
          <w:lang w:val="es-ES_tradnl"/>
        </w:rPr>
        <w:t>Interpretación de los resultados</w:t>
      </w:r>
      <w:r w:rsidRPr="00DD3FD0">
        <w:rPr>
          <w:rFonts w:ascii="Arial" w:hAnsi="Arial" w:cs="Arial"/>
          <w:b/>
          <w:sz w:val="22"/>
          <w:szCs w:val="22"/>
          <w:lang w:val="es-ES_tradnl"/>
        </w:rPr>
        <w:t>.</w:t>
      </w:r>
      <w:r w:rsidRPr="001F731F">
        <w:rPr>
          <w:rFonts w:ascii="Arial" w:hAnsi="Arial" w:cs="Arial"/>
          <w:bCs/>
          <w:sz w:val="22"/>
          <w:szCs w:val="22"/>
          <w:lang w:val="es-ES_tradnl"/>
        </w:rPr>
        <w:t xml:space="preserve"> El análisis ex-post propuesto es una reevaluación del análisis costo-beneficio ex-ante, reevaluando los supuestos sobre de los flujos de costes y </w:t>
      </w:r>
      <w:r w:rsidRPr="00043C4A">
        <w:rPr>
          <w:rFonts w:ascii="Arial" w:hAnsi="Arial" w:cs="Arial"/>
          <w:sz w:val="22"/>
          <w:szCs w:val="22"/>
          <w:lang w:val="es-ES_tradnl"/>
        </w:rPr>
        <w:t>beneficios</w:t>
      </w:r>
      <w:r w:rsidRPr="001F731F">
        <w:rPr>
          <w:rFonts w:ascii="Arial" w:hAnsi="Arial" w:cs="Arial"/>
          <w:bCs/>
          <w:sz w:val="22"/>
          <w:szCs w:val="22"/>
          <w:lang w:val="es-ES_tradnl"/>
        </w:rPr>
        <w:t xml:space="preserve"> asociados a </w:t>
      </w:r>
      <w:r w:rsidR="00AA1EF2">
        <w:rPr>
          <w:rFonts w:ascii="Arial" w:hAnsi="Arial" w:cs="Arial"/>
          <w:bCs/>
          <w:sz w:val="22"/>
          <w:szCs w:val="22"/>
          <w:lang w:val="es-ES_tradnl"/>
        </w:rPr>
        <w:t xml:space="preserve">la </w:t>
      </w:r>
      <w:r w:rsidR="00D82C1F">
        <w:rPr>
          <w:rFonts w:ascii="Arial" w:hAnsi="Arial" w:cs="Arial"/>
          <w:bCs/>
          <w:sz w:val="22"/>
          <w:szCs w:val="22"/>
          <w:lang w:val="es-ES_tradnl"/>
        </w:rPr>
        <w:t>supervivencia de las MIPYME apoyadas con el programa.</w:t>
      </w:r>
      <w:r w:rsidRPr="001F731F">
        <w:rPr>
          <w:rFonts w:ascii="Arial" w:hAnsi="Arial" w:cs="Arial"/>
          <w:bCs/>
          <w:sz w:val="22"/>
          <w:szCs w:val="22"/>
          <w:lang w:val="es-ES_tradnl"/>
        </w:rPr>
        <w:t xml:space="preserve"> Estos supuestos iniciales s</w:t>
      </w:r>
      <w:r w:rsidR="00043C4A">
        <w:rPr>
          <w:rFonts w:ascii="Arial" w:hAnsi="Arial" w:cs="Arial"/>
          <w:bCs/>
          <w:sz w:val="22"/>
          <w:szCs w:val="22"/>
          <w:lang w:val="es-ES_tradnl"/>
        </w:rPr>
        <w:t xml:space="preserve">erán </w:t>
      </w:r>
      <w:r w:rsidRPr="001F731F">
        <w:rPr>
          <w:rFonts w:ascii="Arial" w:hAnsi="Arial" w:cs="Arial"/>
          <w:bCs/>
          <w:sz w:val="22"/>
          <w:szCs w:val="22"/>
          <w:lang w:val="es-ES_tradnl"/>
        </w:rPr>
        <w:t xml:space="preserve">efectivamente verificados durante el desarrollo y al término del programa para la validación ex-post de su viabilidad socioeconómica. </w:t>
      </w:r>
      <w:r w:rsidR="00614B51">
        <w:rPr>
          <w:rFonts w:ascii="Arial" w:hAnsi="Arial" w:cs="Arial"/>
          <w:bCs/>
          <w:sz w:val="22"/>
          <w:szCs w:val="22"/>
          <w:lang w:val="es-ES_tradnl"/>
        </w:rPr>
        <w:t>El resultado de este ejercicio arrojará luz sobre si la intervención alcanzó sus resultados esperados, así como la validez de los supuestos de partida.</w:t>
      </w:r>
      <w:r w:rsidR="00CD47D4">
        <w:rPr>
          <w:rFonts w:ascii="Arial" w:hAnsi="Arial" w:cs="Arial"/>
          <w:bCs/>
          <w:sz w:val="22"/>
          <w:szCs w:val="22"/>
          <w:lang w:val="es-ES_tradnl"/>
        </w:rPr>
        <w:t xml:space="preserve"> En particular el análisis permite </w:t>
      </w:r>
      <w:r w:rsidR="00D50319">
        <w:rPr>
          <w:rFonts w:ascii="Arial" w:hAnsi="Arial" w:cs="Arial"/>
          <w:bCs/>
          <w:sz w:val="22"/>
          <w:szCs w:val="22"/>
          <w:lang w:val="es-ES_tradnl"/>
        </w:rPr>
        <w:t xml:space="preserve">contestar </w:t>
      </w:r>
      <w:r w:rsidR="00E30716">
        <w:rPr>
          <w:rFonts w:ascii="Arial" w:hAnsi="Arial" w:cs="Arial"/>
          <w:bCs/>
          <w:sz w:val="22"/>
          <w:szCs w:val="22"/>
          <w:lang w:val="es-ES_tradnl"/>
        </w:rPr>
        <w:t xml:space="preserve">las siguientes dos preguntas: (i) </w:t>
      </w:r>
      <w:r w:rsidR="00B34151">
        <w:rPr>
          <w:rFonts w:ascii="Arial" w:hAnsi="Arial" w:cs="Arial"/>
          <w:bCs/>
          <w:sz w:val="22"/>
          <w:szCs w:val="22"/>
          <w:lang w:val="es-ES_tradnl"/>
        </w:rPr>
        <w:t>¿</w:t>
      </w:r>
      <w:r w:rsidR="005923F4">
        <w:rPr>
          <w:rFonts w:ascii="Arial" w:hAnsi="Arial" w:cs="Arial"/>
          <w:bCs/>
          <w:sz w:val="22"/>
          <w:szCs w:val="22"/>
          <w:lang w:val="es-ES_tradnl"/>
        </w:rPr>
        <w:t>fue jus</w:t>
      </w:r>
      <w:r w:rsidR="00311BDB">
        <w:rPr>
          <w:rFonts w:ascii="Arial" w:hAnsi="Arial" w:cs="Arial"/>
          <w:bCs/>
          <w:sz w:val="22"/>
          <w:szCs w:val="22"/>
          <w:lang w:val="es-ES_tradnl"/>
        </w:rPr>
        <w:t xml:space="preserve">tificada </w:t>
      </w:r>
      <w:r w:rsidR="00A91446">
        <w:rPr>
          <w:rFonts w:ascii="Arial" w:hAnsi="Arial" w:cs="Arial"/>
          <w:bCs/>
          <w:sz w:val="22"/>
          <w:szCs w:val="22"/>
          <w:lang w:val="es-ES_tradnl"/>
        </w:rPr>
        <w:t xml:space="preserve">la intervención </w:t>
      </w:r>
      <w:r w:rsidR="00311BDB">
        <w:rPr>
          <w:rFonts w:ascii="Arial" w:hAnsi="Arial" w:cs="Arial"/>
          <w:bCs/>
          <w:sz w:val="22"/>
          <w:szCs w:val="22"/>
          <w:lang w:val="es-ES_tradnl"/>
        </w:rPr>
        <w:t xml:space="preserve">desde el punto de vista económico en términos de los ingresos </w:t>
      </w:r>
      <w:r w:rsidR="002F69D8">
        <w:rPr>
          <w:rFonts w:ascii="Arial" w:hAnsi="Arial" w:cs="Arial"/>
          <w:bCs/>
          <w:sz w:val="22"/>
          <w:szCs w:val="22"/>
          <w:lang w:val="es-ES_tradnl"/>
        </w:rPr>
        <w:t xml:space="preserve">preservados de las MIPYME?; (ii) </w:t>
      </w:r>
      <w:r w:rsidR="00B34151">
        <w:rPr>
          <w:rFonts w:ascii="Arial" w:hAnsi="Arial" w:cs="Arial"/>
          <w:bCs/>
          <w:sz w:val="22"/>
          <w:szCs w:val="22"/>
          <w:lang w:val="es-ES_tradnl"/>
        </w:rPr>
        <w:t>¿</w:t>
      </w:r>
      <w:r w:rsidR="002F69D8">
        <w:rPr>
          <w:rFonts w:ascii="Arial" w:hAnsi="Arial" w:cs="Arial"/>
          <w:bCs/>
          <w:sz w:val="22"/>
          <w:szCs w:val="22"/>
          <w:lang w:val="es-ES_tradnl"/>
        </w:rPr>
        <w:t xml:space="preserve">fue justificada </w:t>
      </w:r>
      <w:r w:rsidR="008B3B6C">
        <w:rPr>
          <w:rFonts w:ascii="Arial" w:hAnsi="Arial" w:cs="Arial"/>
          <w:bCs/>
          <w:sz w:val="22"/>
          <w:szCs w:val="22"/>
          <w:lang w:val="es-ES_tradnl"/>
        </w:rPr>
        <w:t xml:space="preserve">la intervención </w:t>
      </w:r>
      <w:r w:rsidR="002F69D8">
        <w:rPr>
          <w:rFonts w:ascii="Arial" w:hAnsi="Arial" w:cs="Arial"/>
          <w:bCs/>
          <w:sz w:val="22"/>
          <w:szCs w:val="22"/>
          <w:lang w:val="es-ES_tradnl"/>
        </w:rPr>
        <w:t>desde el punto de vista económico en términos de empleos preservados de las MIPYME?</w:t>
      </w:r>
    </w:p>
    <w:p w14:paraId="20197BA3" w14:textId="5BBE8638" w:rsidR="007116B2" w:rsidRDefault="007116B2" w:rsidP="007116B2">
      <w:pPr>
        <w:pStyle w:val="Paragraph"/>
        <w:numPr>
          <w:ilvl w:val="1"/>
          <w:numId w:val="6"/>
        </w:numPr>
        <w:ind w:hanging="540"/>
        <w:rPr>
          <w:rFonts w:ascii="Arial" w:hAnsi="Arial" w:cs="Arial"/>
          <w:sz w:val="22"/>
          <w:szCs w:val="22"/>
          <w:lang w:val="es-ES_tradnl"/>
        </w:rPr>
      </w:pPr>
      <w:r w:rsidRPr="001F731F">
        <w:rPr>
          <w:rFonts w:ascii="Arial" w:hAnsi="Arial" w:cs="Arial"/>
          <w:b/>
          <w:bCs/>
          <w:sz w:val="22"/>
          <w:szCs w:val="22"/>
          <w:lang w:val="es-ES_tradnl"/>
        </w:rPr>
        <w:t>Fuentes de datos.</w:t>
      </w:r>
      <w:r w:rsidRPr="001F731F">
        <w:rPr>
          <w:rFonts w:ascii="Arial" w:hAnsi="Arial" w:cs="Arial"/>
          <w:sz w:val="22"/>
          <w:szCs w:val="22"/>
          <w:lang w:val="es-ES_tradnl"/>
        </w:rPr>
        <w:t xml:space="preserve"> Si bien la metodología a utilizar es en principio análoga a la metodología recogida en el Análisis Económico para este programa, los datos para el análisis </w:t>
      </w:r>
      <w:r w:rsidRPr="00043C4A">
        <w:rPr>
          <w:rFonts w:ascii="Arial" w:hAnsi="Arial" w:cs="Arial"/>
          <w:sz w:val="22"/>
          <w:szCs w:val="22"/>
          <w:lang w:val="es-ES_tradnl"/>
        </w:rPr>
        <w:t>costo</w:t>
      </w:r>
      <w:r w:rsidRPr="001F731F">
        <w:rPr>
          <w:rFonts w:ascii="Arial" w:hAnsi="Arial" w:cs="Arial"/>
          <w:sz w:val="22"/>
          <w:szCs w:val="22"/>
          <w:lang w:val="es-ES_tradnl"/>
        </w:rPr>
        <w:t xml:space="preserve"> </w:t>
      </w:r>
      <w:r w:rsidRPr="001F731F">
        <w:rPr>
          <w:rFonts w:ascii="Arial" w:hAnsi="Arial" w:cs="Arial"/>
          <w:sz w:val="22"/>
          <w:szCs w:val="22"/>
          <w:lang w:val="es-ES_tradnl"/>
        </w:rPr>
        <w:lastRenderedPageBreak/>
        <w:t xml:space="preserve">beneficio ex-post serán suministrados por </w:t>
      </w:r>
      <w:r w:rsidR="00614B51">
        <w:rPr>
          <w:rFonts w:ascii="Arial" w:hAnsi="Arial" w:cs="Arial"/>
          <w:sz w:val="22"/>
          <w:szCs w:val="22"/>
          <w:lang w:val="es-ES_tradnl"/>
        </w:rPr>
        <w:t>el OE -</w:t>
      </w:r>
      <w:r w:rsidRPr="001F731F">
        <w:rPr>
          <w:rFonts w:ascii="Arial" w:hAnsi="Arial" w:cs="Arial"/>
          <w:sz w:val="22"/>
          <w:szCs w:val="22"/>
          <w:lang w:val="es-ES_tradnl"/>
        </w:rPr>
        <w:t xml:space="preserve">y, en su caso, las autoridades institucionales que corresponda- con los resultados obtenidos, monitoreados y verificados, producto de esta intervención concreta. </w:t>
      </w:r>
      <w:r w:rsidR="00614B51">
        <w:rPr>
          <w:rFonts w:ascii="Arial" w:hAnsi="Arial" w:cs="Arial"/>
          <w:sz w:val="22"/>
          <w:szCs w:val="22"/>
          <w:lang w:val="es-ES_tradnl"/>
        </w:rPr>
        <w:t>Además, se buscará complementar la información anterior con datos de fuentes secundarias, tales como</w:t>
      </w:r>
      <w:r w:rsidR="0015190F">
        <w:rPr>
          <w:rFonts w:ascii="Arial" w:hAnsi="Arial" w:cs="Arial"/>
          <w:sz w:val="22"/>
          <w:szCs w:val="22"/>
          <w:lang w:val="es-ES_tradnl"/>
        </w:rPr>
        <w:t xml:space="preserve"> las bases estadísticas de la SEPYME, registro de la AFIP</w:t>
      </w:r>
      <w:r w:rsidR="008C053C">
        <w:rPr>
          <w:rFonts w:ascii="Arial" w:hAnsi="Arial" w:cs="Arial"/>
          <w:sz w:val="22"/>
          <w:szCs w:val="22"/>
          <w:lang w:val="es-ES_tradnl"/>
        </w:rPr>
        <w:t xml:space="preserve"> y las bases del Instituto Nacional de Estadística y Censos de la República Argentina (INDEC)</w:t>
      </w:r>
      <w:r w:rsidR="00614B51">
        <w:rPr>
          <w:rFonts w:ascii="Arial" w:hAnsi="Arial" w:cs="Arial"/>
          <w:sz w:val="22"/>
          <w:szCs w:val="22"/>
          <w:lang w:val="es-ES_tradnl"/>
        </w:rPr>
        <w:t>.</w:t>
      </w:r>
    </w:p>
    <w:p w14:paraId="0CA8D098" w14:textId="5AB0E28B" w:rsidR="007116B2" w:rsidRPr="004054F9" w:rsidRDefault="007116B2" w:rsidP="007116B2">
      <w:pPr>
        <w:pStyle w:val="Paragraph"/>
        <w:numPr>
          <w:ilvl w:val="1"/>
          <w:numId w:val="6"/>
        </w:numPr>
        <w:ind w:hanging="540"/>
        <w:rPr>
          <w:rFonts w:ascii="Arial" w:hAnsi="Arial" w:cs="Arial"/>
          <w:bCs/>
          <w:sz w:val="22"/>
          <w:szCs w:val="22"/>
          <w:lang w:val="es-ES_tradnl"/>
        </w:rPr>
      </w:pPr>
      <w:r w:rsidRPr="001F731F">
        <w:rPr>
          <w:rFonts w:ascii="Arial" w:hAnsi="Arial" w:cs="Arial"/>
          <w:b/>
          <w:bCs/>
          <w:sz w:val="22"/>
          <w:szCs w:val="22"/>
          <w:lang w:val="es-ES_tradnl"/>
        </w:rPr>
        <w:t xml:space="preserve">Plazo. </w:t>
      </w:r>
      <w:r w:rsidR="004054F9">
        <w:rPr>
          <w:rFonts w:ascii="Arial" w:hAnsi="Arial" w:cs="Arial"/>
          <w:sz w:val="22"/>
          <w:szCs w:val="22"/>
          <w:lang w:val="es-ES_tradnl"/>
        </w:rPr>
        <w:t>El OE</w:t>
      </w:r>
      <w:r w:rsidRPr="001F731F">
        <w:rPr>
          <w:rFonts w:ascii="Arial" w:hAnsi="Arial" w:cs="Arial"/>
          <w:bCs/>
          <w:sz w:val="22"/>
          <w:szCs w:val="22"/>
          <w:lang w:val="es-ES_tradnl"/>
        </w:rPr>
        <w:t xml:space="preserve"> proveerá al </w:t>
      </w:r>
      <w:r w:rsidR="004054F9">
        <w:rPr>
          <w:rFonts w:ascii="Arial" w:hAnsi="Arial" w:cs="Arial"/>
          <w:bCs/>
          <w:sz w:val="22"/>
          <w:szCs w:val="22"/>
          <w:lang w:val="es-ES_tradnl"/>
        </w:rPr>
        <w:t>Banco</w:t>
      </w:r>
      <w:r w:rsidRPr="001F731F">
        <w:rPr>
          <w:rFonts w:ascii="Arial" w:hAnsi="Arial" w:cs="Arial"/>
          <w:bCs/>
          <w:sz w:val="22"/>
          <w:szCs w:val="22"/>
          <w:lang w:val="es-ES_tradnl"/>
        </w:rPr>
        <w:t xml:space="preserve"> la información necesaria para realizar </w:t>
      </w:r>
      <w:r w:rsidR="00C64C11">
        <w:rPr>
          <w:rFonts w:ascii="Arial" w:hAnsi="Arial" w:cs="Arial"/>
          <w:bCs/>
          <w:sz w:val="22"/>
          <w:szCs w:val="22"/>
          <w:lang w:val="es-ES_tradnl"/>
        </w:rPr>
        <w:t>el PCR</w:t>
      </w:r>
      <w:r w:rsidRPr="001F731F">
        <w:rPr>
          <w:rFonts w:ascii="Arial" w:hAnsi="Arial" w:cs="Arial"/>
          <w:bCs/>
          <w:sz w:val="22"/>
          <w:szCs w:val="22"/>
          <w:lang w:val="es-ES_tradnl"/>
        </w:rPr>
        <w:t xml:space="preserve">, a ser completado en un plazo no mayor a 6 meses luego de alcanzar 100% o más de los desembolsos totales. </w:t>
      </w:r>
      <w:r w:rsidRPr="004054F9">
        <w:rPr>
          <w:rFonts w:ascii="Arial" w:hAnsi="Arial" w:cs="Arial"/>
          <w:bCs/>
          <w:sz w:val="22"/>
          <w:szCs w:val="22"/>
          <w:lang w:val="es-ES_tradnl"/>
        </w:rPr>
        <w:t xml:space="preserve">Se organizarán también reuniones </w:t>
      </w:r>
      <w:r w:rsidR="008C053C">
        <w:rPr>
          <w:rFonts w:ascii="Arial" w:hAnsi="Arial" w:cs="Arial"/>
          <w:bCs/>
          <w:sz w:val="22"/>
          <w:szCs w:val="22"/>
          <w:lang w:val="es-ES_tradnl"/>
        </w:rPr>
        <w:t>semestrales</w:t>
      </w:r>
      <w:r w:rsidRPr="004054F9">
        <w:rPr>
          <w:rFonts w:ascii="Arial" w:hAnsi="Arial" w:cs="Arial"/>
          <w:bCs/>
          <w:sz w:val="22"/>
          <w:szCs w:val="22"/>
          <w:lang w:val="es-ES_tradnl"/>
        </w:rPr>
        <w:t xml:space="preserve"> de seguimiento en las que podrá presentarse y discutirse la evolución de esta información. El PCR contendrá la información necesaria para realizar el ejercicio ex-post descrito.  </w:t>
      </w:r>
    </w:p>
    <w:p w14:paraId="4357096C" w14:textId="56CA138E" w:rsidR="007116B2" w:rsidRPr="001F731F" w:rsidRDefault="007116B2" w:rsidP="007116B2">
      <w:pPr>
        <w:pStyle w:val="Paragraph"/>
        <w:numPr>
          <w:ilvl w:val="1"/>
          <w:numId w:val="6"/>
        </w:numPr>
        <w:ind w:hanging="540"/>
        <w:rPr>
          <w:rFonts w:ascii="Arial" w:hAnsi="Arial" w:cs="Arial"/>
          <w:b/>
          <w:bCs/>
          <w:sz w:val="22"/>
          <w:szCs w:val="22"/>
          <w:lang w:val="es-ES_tradnl"/>
        </w:rPr>
      </w:pPr>
      <w:r w:rsidRPr="001F731F">
        <w:rPr>
          <w:rFonts w:ascii="Arial" w:hAnsi="Arial" w:cs="Arial"/>
          <w:b/>
          <w:bCs/>
          <w:sz w:val="22"/>
          <w:szCs w:val="22"/>
          <w:lang w:val="es-ES_tradnl"/>
        </w:rPr>
        <w:t xml:space="preserve">Plan de trabajo y presupuesto de la evaluación. </w:t>
      </w:r>
      <w:r w:rsidRPr="001F731F">
        <w:rPr>
          <w:rFonts w:ascii="Arial" w:hAnsi="Arial" w:cs="Arial"/>
          <w:bCs/>
          <w:sz w:val="22"/>
          <w:szCs w:val="22"/>
          <w:lang w:val="es-ES_tradnl"/>
        </w:rPr>
        <w:t xml:space="preserve">Como se mencionaba, la información necesaria para el cómputo de los costos y beneficios en forma ex-post habrá de ser recogida por </w:t>
      </w:r>
      <w:r w:rsidR="00F13E9C">
        <w:rPr>
          <w:rFonts w:ascii="Arial" w:hAnsi="Arial" w:cs="Arial"/>
          <w:bCs/>
          <w:sz w:val="22"/>
          <w:szCs w:val="22"/>
          <w:lang w:val="es-ES_tradnl"/>
        </w:rPr>
        <w:t>el OE</w:t>
      </w:r>
      <w:r w:rsidRPr="001F731F">
        <w:rPr>
          <w:rFonts w:ascii="Arial" w:hAnsi="Arial" w:cs="Arial"/>
          <w:bCs/>
          <w:sz w:val="22"/>
          <w:szCs w:val="22"/>
          <w:lang w:val="es-ES_tradnl"/>
        </w:rPr>
        <w:t xml:space="preserve"> dentro del procedimiento que se determine en el ROP y, en su caso, en colaboración con las instituciones públicas y privadas involucradas en la ejecución del programa. Teniendo en cuenta que la evaluación ex-post se basará en la información recolectada como indicadores de monitoreo de la propia información, </w:t>
      </w:r>
      <w:r w:rsidR="00F13E9C">
        <w:rPr>
          <w:rFonts w:ascii="Arial" w:hAnsi="Arial" w:cs="Arial"/>
          <w:bCs/>
          <w:sz w:val="22"/>
          <w:szCs w:val="22"/>
          <w:lang w:val="es-ES_tradnl"/>
        </w:rPr>
        <w:t>el OE</w:t>
      </w:r>
      <w:r w:rsidRPr="001F731F">
        <w:rPr>
          <w:rFonts w:ascii="Arial" w:hAnsi="Arial" w:cs="Arial"/>
          <w:bCs/>
          <w:sz w:val="22"/>
          <w:szCs w:val="22"/>
          <w:lang w:val="es-ES_tradnl"/>
        </w:rPr>
        <w:t xml:space="preserve"> recogerá semestralmente las líneas necesarias para el cómputo de los flujos de coste y beneficio del programa y proporcionará dentro de lo estipulado para el PCR el resumen de estas observaciones a fin del periodo de desembolso de los recursos del programa. La información adicional provendrá de agencias o instituciones intermedias nacionales o provinciales, o bien de otras instituciones de provisión estadística. </w:t>
      </w:r>
    </w:p>
    <w:p w14:paraId="7D114288" w14:textId="68D47FB7" w:rsidR="007116B2" w:rsidRPr="001F731F" w:rsidRDefault="007116B2" w:rsidP="007116B2">
      <w:pPr>
        <w:pStyle w:val="Paragraph"/>
        <w:numPr>
          <w:ilvl w:val="1"/>
          <w:numId w:val="6"/>
        </w:numPr>
        <w:ind w:hanging="540"/>
        <w:rPr>
          <w:rFonts w:ascii="Arial" w:hAnsi="Arial" w:cs="Arial"/>
          <w:sz w:val="22"/>
          <w:szCs w:val="22"/>
          <w:lang w:val="es-ES_tradnl"/>
        </w:rPr>
      </w:pPr>
      <w:r w:rsidRPr="001F731F">
        <w:rPr>
          <w:rFonts w:ascii="Arial" w:hAnsi="Arial" w:cs="Arial"/>
          <w:sz w:val="22"/>
          <w:szCs w:val="22"/>
          <w:lang w:val="es-ES_tradnl"/>
        </w:rPr>
        <w:t xml:space="preserve">Tras la elaboración del informe final, </w:t>
      </w:r>
      <w:r w:rsidR="00F13E9C">
        <w:rPr>
          <w:rFonts w:ascii="Arial" w:hAnsi="Arial" w:cs="Arial"/>
          <w:sz w:val="22"/>
          <w:szCs w:val="22"/>
          <w:lang w:val="es-ES_tradnl"/>
        </w:rPr>
        <w:t>el OE y el Banco</w:t>
      </w:r>
      <w:r w:rsidRPr="001F731F">
        <w:rPr>
          <w:rFonts w:ascii="Arial" w:hAnsi="Arial" w:cs="Arial"/>
          <w:sz w:val="22"/>
          <w:szCs w:val="22"/>
          <w:lang w:val="es-ES_tradnl"/>
        </w:rPr>
        <w:t xml:space="preserve"> coordinarán la realización del ejercicio ex-post en su versión final dentro del plazo de los 6 meses siguientes luego de alcanzar el 100% de los desembolsos.</w:t>
      </w:r>
    </w:p>
    <w:p w14:paraId="1A32547E" w14:textId="75822A29" w:rsidR="007116B2" w:rsidRPr="001F731F" w:rsidRDefault="007116B2" w:rsidP="007116B2">
      <w:pPr>
        <w:pStyle w:val="Paragraph"/>
        <w:numPr>
          <w:ilvl w:val="1"/>
          <w:numId w:val="6"/>
        </w:numPr>
        <w:ind w:hanging="540"/>
        <w:rPr>
          <w:rFonts w:ascii="Arial" w:hAnsi="Arial" w:cs="Arial"/>
          <w:sz w:val="22"/>
          <w:szCs w:val="22"/>
          <w:lang w:val="es-ES_tradnl"/>
        </w:rPr>
      </w:pPr>
      <w:r w:rsidRPr="001F731F">
        <w:rPr>
          <w:rFonts w:ascii="Arial" w:hAnsi="Arial" w:cs="Arial"/>
          <w:sz w:val="22"/>
          <w:szCs w:val="22"/>
          <w:lang w:val="es-ES_tradnl"/>
        </w:rPr>
        <w:t xml:space="preserve">Los costos de las actividades de evaluación definidas para este programa se dividen entre fondos destinados para la recopilación de información y los aportes de personal del BID y </w:t>
      </w:r>
      <w:r w:rsidR="00F13E9C">
        <w:rPr>
          <w:rFonts w:ascii="Arial" w:hAnsi="Arial" w:cs="Arial"/>
          <w:sz w:val="22"/>
          <w:szCs w:val="22"/>
          <w:lang w:val="es-ES_tradnl"/>
        </w:rPr>
        <w:t>el OE</w:t>
      </w:r>
      <w:r w:rsidR="008C053C">
        <w:rPr>
          <w:rFonts w:ascii="Arial" w:hAnsi="Arial" w:cs="Arial"/>
          <w:sz w:val="22"/>
          <w:szCs w:val="22"/>
          <w:lang w:val="es-ES_tradnl"/>
        </w:rPr>
        <w:t>, y, en su caso, de la SAE.</w:t>
      </w:r>
      <w:r w:rsidR="00F13E9C">
        <w:rPr>
          <w:rFonts w:ascii="Arial" w:hAnsi="Arial" w:cs="Arial"/>
          <w:sz w:val="22"/>
          <w:szCs w:val="22"/>
          <w:lang w:val="es-ES_tradnl"/>
        </w:rPr>
        <w:t xml:space="preserve"> </w:t>
      </w:r>
      <w:r w:rsidRPr="001F731F">
        <w:rPr>
          <w:rFonts w:ascii="Arial" w:hAnsi="Arial" w:cs="Arial"/>
          <w:sz w:val="22"/>
          <w:szCs w:val="22"/>
          <w:lang w:val="es-ES_tradnl"/>
        </w:rPr>
        <w:t>Dadas las características de la evaluación propuesta, que se basa en información a recopilar durante la ejecución normal de este programa, se hace notar que para la realización del ejercicio de análisis costo beneficio ex-post el único recurso relevante a considerar para la realización de estos informes será el de un consultor dedicado al análisis y procesamiento de la información y la elaboración de los reportes. Entrarían pues estas responsabilidades dentro de lo previsto en el seguimiento técnico del programa y cumplimiento de los principales hitos, así como la existencia de eventuales desvíos entre las actividades programadas y ejecutadas. Se ha estimado un coste de US</w:t>
      </w:r>
      <w:r w:rsidR="008C053C">
        <w:rPr>
          <w:rFonts w:ascii="Arial" w:hAnsi="Arial" w:cs="Arial"/>
          <w:sz w:val="22"/>
          <w:szCs w:val="22"/>
          <w:lang w:val="es-ES_tradnl"/>
        </w:rPr>
        <w:t>10.000</w:t>
      </w:r>
      <w:r w:rsidRPr="001F731F">
        <w:rPr>
          <w:rFonts w:ascii="Arial" w:hAnsi="Arial" w:cs="Arial"/>
          <w:sz w:val="22"/>
          <w:szCs w:val="22"/>
          <w:lang w:val="es-ES_tradnl"/>
        </w:rPr>
        <w:t xml:space="preserve"> imputable a la evaluación costo-beneficio ex-post. </w:t>
      </w:r>
    </w:p>
    <w:p w14:paraId="17E02DA2" w14:textId="2CECCA86" w:rsidR="007116B2" w:rsidRDefault="007116B2" w:rsidP="007116B2">
      <w:pPr>
        <w:pStyle w:val="Paragraph"/>
        <w:numPr>
          <w:ilvl w:val="1"/>
          <w:numId w:val="6"/>
        </w:numPr>
        <w:ind w:hanging="540"/>
        <w:rPr>
          <w:rFonts w:ascii="Arial" w:hAnsi="Arial" w:cs="Arial"/>
          <w:sz w:val="22"/>
          <w:szCs w:val="22"/>
          <w:lang w:val="es-ES_tradnl"/>
        </w:rPr>
      </w:pPr>
      <w:r w:rsidRPr="001F731F">
        <w:rPr>
          <w:rFonts w:ascii="Arial" w:hAnsi="Arial" w:cs="Arial"/>
          <w:sz w:val="22"/>
          <w:szCs w:val="22"/>
          <w:lang w:val="es-ES_tradnl"/>
        </w:rPr>
        <w:t xml:space="preserve">Los costos del personal del </w:t>
      </w:r>
      <w:r w:rsidR="00037243">
        <w:rPr>
          <w:rFonts w:ascii="Arial" w:hAnsi="Arial" w:cs="Arial"/>
          <w:sz w:val="22"/>
          <w:szCs w:val="22"/>
          <w:lang w:val="es-ES_tradnl"/>
        </w:rPr>
        <w:t>Banco</w:t>
      </w:r>
      <w:r w:rsidRPr="001F731F">
        <w:rPr>
          <w:rFonts w:ascii="Arial" w:hAnsi="Arial" w:cs="Arial"/>
          <w:sz w:val="22"/>
          <w:szCs w:val="22"/>
          <w:lang w:val="es-ES_tradnl"/>
        </w:rPr>
        <w:t xml:space="preserve"> y de</w:t>
      </w:r>
      <w:r w:rsidR="00037243">
        <w:rPr>
          <w:rFonts w:ascii="Arial" w:hAnsi="Arial" w:cs="Arial"/>
          <w:sz w:val="22"/>
          <w:szCs w:val="22"/>
          <w:lang w:val="es-ES_tradnl"/>
        </w:rPr>
        <w:t>l OE</w:t>
      </w:r>
      <w:r w:rsidRPr="001F731F">
        <w:rPr>
          <w:rFonts w:ascii="Arial" w:hAnsi="Arial" w:cs="Arial"/>
          <w:sz w:val="22"/>
          <w:szCs w:val="22"/>
          <w:lang w:val="es-ES_tradnl"/>
        </w:rPr>
        <w:t xml:space="preserve"> involucrado</w:t>
      </w:r>
      <w:r w:rsidR="00037243">
        <w:rPr>
          <w:rFonts w:ascii="Arial" w:hAnsi="Arial" w:cs="Arial"/>
          <w:sz w:val="22"/>
          <w:szCs w:val="22"/>
          <w:lang w:val="es-ES_tradnl"/>
        </w:rPr>
        <w:t>s</w:t>
      </w:r>
      <w:r w:rsidRPr="001F731F">
        <w:rPr>
          <w:rFonts w:ascii="Arial" w:hAnsi="Arial" w:cs="Arial"/>
          <w:sz w:val="22"/>
          <w:szCs w:val="22"/>
          <w:lang w:val="es-ES_tradnl"/>
        </w:rPr>
        <w:t xml:space="preserve"> en el equipo de trabajo serán cubiertos por los costos regulares de operación y administración de ambas instituciones, sin requerir un presupuesto adicional para este fin. </w:t>
      </w:r>
      <w:r w:rsidR="008C053C">
        <w:rPr>
          <w:rFonts w:ascii="Arial" w:hAnsi="Arial" w:cs="Arial"/>
          <w:sz w:val="22"/>
          <w:szCs w:val="22"/>
          <w:lang w:val="es-ES_tradnl"/>
        </w:rPr>
        <w:t>En su caso, se estarán coordinando los esfuerzos con la SAE.</w:t>
      </w:r>
    </w:p>
    <w:p w14:paraId="1A207C7A" w14:textId="4EC40AA8" w:rsidR="001D6E94" w:rsidRPr="004714E0" w:rsidRDefault="001D6E94">
      <w:pPr>
        <w:pStyle w:val="Paragraph"/>
        <w:numPr>
          <w:ilvl w:val="0"/>
          <w:numId w:val="0"/>
        </w:numPr>
        <w:spacing w:before="240"/>
        <w:ind w:left="720"/>
        <w:rPr>
          <w:rFonts w:ascii="Arial" w:hAnsi="Arial" w:cs="Arial"/>
          <w:sz w:val="22"/>
          <w:szCs w:val="22"/>
          <w:u w:val="single"/>
          <w:lang w:val="es-ES_tradnl"/>
        </w:rPr>
      </w:pPr>
      <w:bookmarkStart w:id="24" w:name="_Hlk41058518"/>
      <w:r>
        <w:rPr>
          <w:rFonts w:ascii="Arial" w:hAnsi="Arial" w:cs="Arial"/>
          <w:b/>
          <w:bCs/>
          <w:sz w:val="22"/>
          <w:szCs w:val="22"/>
          <w:u w:val="single"/>
          <w:lang w:val="es-ES_tradnl"/>
        </w:rPr>
        <w:t xml:space="preserve">Evaluación </w:t>
      </w:r>
      <w:r w:rsidR="00D23559">
        <w:rPr>
          <w:rFonts w:ascii="Arial" w:hAnsi="Arial" w:cs="Arial"/>
          <w:b/>
          <w:bCs/>
          <w:sz w:val="22"/>
          <w:szCs w:val="22"/>
          <w:u w:val="single"/>
          <w:lang w:val="es-ES_tradnl"/>
        </w:rPr>
        <w:t>de</w:t>
      </w:r>
      <w:r w:rsidR="003D7399">
        <w:rPr>
          <w:rFonts w:ascii="Arial" w:hAnsi="Arial" w:cs="Arial"/>
          <w:b/>
          <w:bCs/>
          <w:sz w:val="22"/>
          <w:szCs w:val="22"/>
          <w:u w:val="single"/>
          <w:lang w:val="es-ES_tradnl"/>
        </w:rPr>
        <w:t xml:space="preserve"> impacto</w:t>
      </w:r>
      <w:r w:rsidR="00C82583">
        <w:rPr>
          <w:rFonts w:ascii="Arial" w:hAnsi="Arial" w:cs="Arial"/>
          <w:b/>
          <w:bCs/>
          <w:u w:val="single"/>
          <w:lang w:val="es-ES_tradnl"/>
        </w:rPr>
        <w:t>:</w:t>
      </w:r>
    </w:p>
    <w:p w14:paraId="61C00F8B" w14:textId="55725A25" w:rsidR="00D74DCD" w:rsidRDefault="001730FC" w:rsidP="001D6E94">
      <w:pPr>
        <w:pStyle w:val="Paragraph"/>
        <w:numPr>
          <w:ilvl w:val="1"/>
          <w:numId w:val="6"/>
        </w:numPr>
        <w:ind w:hanging="540"/>
        <w:rPr>
          <w:rFonts w:ascii="Arial" w:hAnsi="Arial" w:cs="Arial"/>
          <w:bCs/>
          <w:sz w:val="22"/>
          <w:szCs w:val="22"/>
          <w:lang w:val="es-ES_tradnl"/>
        </w:rPr>
      </w:pPr>
      <w:r>
        <w:rPr>
          <w:rFonts w:ascii="Arial" w:hAnsi="Arial" w:cs="Arial"/>
          <w:bCs/>
          <w:sz w:val="22"/>
          <w:szCs w:val="22"/>
          <w:lang w:val="es-ES_tradnl"/>
        </w:rPr>
        <w:t xml:space="preserve">Se está trabajando en el diseño de una evaluación de impacto para medir con atribución </w:t>
      </w:r>
      <w:r w:rsidR="0052428B">
        <w:rPr>
          <w:rFonts w:ascii="Arial" w:hAnsi="Arial" w:cs="Arial"/>
          <w:sz w:val="22"/>
          <w:szCs w:val="22"/>
          <w:lang w:val="es-ES_tradnl"/>
        </w:rPr>
        <w:t>el efecto del programa sobre la generación o mantenimiento de</w:t>
      </w:r>
      <w:r w:rsidR="0052428B">
        <w:rPr>
          <w:rFonts w:ascii="Arial" w:hAnsi="Arial" w:cs="Arial"/>
          <w:bCs/>
          <w:sz w:val="22"/>
          <w:szCs w:val="22"/>
          <w:lang w:val="es-ES_tradnl"/>
        </w:rPr>
        <w:t xml:space="preserve"> ingresos por ventas y sobre el empleo en las MIPYME beneficiarias del programa</w:t>
      </w:r>
      <w:r w:rsidR="00883C85">
        <w:rPr>
          <w:rFonts w:ascii="Arial" w:hAnsi="Arial" w:cs="Arial"/>
          <w:sz w:val="22"/>
          <w:szCs w:val="22"/>
          <w:lang w:val="es-ES_tradnl"/>
        </w:rPr>
        <w:t>.</w:t>
      </w:r>
      <w:r w:rsidR="0052428B">
        <w:rPr>
          <w:rFonts w:ascii="Arial" w:hAnsi="Arial" w:cs="Arial"/>
          <w:sz w:val="22"/>
          <w:szCs w:val="22"/>
          <w:lang w:val="es-ES_tradnl"/>
        </w:rPr>
        <w:t xml:space="preserve"> Asimismo, buscaría medir la supervivencia de las MIPYME gracias al apoyo de los instrumentos financieros de corto y mediano plazo provistos con recursos del programa. </w:t>
      </w:r>
      <w:r>
        <w:rPr>
          <w:rFonts w:ascii="Arial" w:hAnsi="Arial" w:cs="Arial"/>
          <w:sz w:val="22"/>
          <w:szCs w:val="22"/>
          <w:lang w:val="es-ES_tradnl"/>
        </w:rPr>
        <w:t xml:space="preserve">Para la realización de este ejercicio se </w:t>
      </w:r>
      <w:r w:rsidR="00752737">
        <w:rPr>
          <w:rFonts w:ascii="Arial" w:hAnsi="Arial" w:cs="Arial"/>
          <w:bCs/>
          <w:sz w:val="22"/>
          <w:szCs w:val="22"/>
          <w:lang w:val="es-ES_tradnl"/>
        </w:rPr>
        <w:t>estima un presupuesto de US$</w:t>
      </w:r>
      <w:r w:rsidR="00372BB0">
        <w:rPr>
          <w:rFonts w:ascii="Arial" w:hAnsi="Arial" w:cs="Arial"/>
          <w:bCs/>
          <w:sz w:val="22"/>
          <w:szCs w:val="22"/>
          <w:lang w:val="es-ES_tradnl"/>
        </w:rPr>
        <w:t>1</w:t>
      </w:r>
      <w:r w:rsidR="00976802">
        <w:rPr>
          <w:rFonts w:ascii="Arial" w:hAnsi="Arial" w:cs="Arial"/>
          <w:bCs/>
          <w:sz w:val="22"/>
          <w:szCs w:val="22"/>
          <w:lang w:val="es-ES_tradnl"/>
        </w:rPr>
        <w:t>50</w:t>
      </w:r>
      <w:r w:rsidR="00752737">
        <w:rPr>
          <w:rFonts w:ascii="Arial" w:hAnsi="Arial" w:cs="Arial"/>
          <w:bCs/>
          <w:sz w:val="22"/>
          <w:szCs w:val="22"/>
          <w:lang w:val="es-ES_tradnl"/>
        </w:rPr>
        <w:t>.000</w:t>
      </w:r>
      <w:r>
        <w:rPr>
          <w:rFonts w:ascii="Arial" w:hAnsi="Arial" w:cs="Arial"/>
          <w:bCs/>
          <w:sz w:val="22"/>
          <w:szCs w:val="22"/>
          <w:lang w:val="es-ES_tradnl"/>
        </w:rPr>
        <w:t>.</w:t>
      </w:r>
      <w:r w:rsidR="00752737">
        <w:rPr>
          <w:rFonts w:ascii="Arial" w:hAnsi="Arial" w:cs="Arial"/>
          <w:bCs/>
          <w:sz w:val="22"/>
          <w:szCs w:val="22"/>
          <w:lang w:val="es-ES_tradnl"/>
        </w:rPr>
        <w:t xml:space="preserve"> Los recursos, si bien pueden ser imputables al </w:t>
      </w:r>
      <w:r w:rsidR="00752737">
        <w:rPr>
          <w:rFonts w:ascii="Arial" w:hAnsi="Arial" w:cs="Arial"/>
          <w:bCs/>
          <w:sz w:val="22"/>
          <w:szCs w:val="22"/>
          <w:lang w:val="es-ES_tradnl"/>
        </w:rPr>
        <w:lastRenderedPageBreak/>
        <w:t xml:space="preserve">proyecto bajo la partida presupuestaria de </w:t>
      </w:r>
      <w:r w:rsidR="00752737">
        <w:rPr>
          <w:rFonts w:ascii="Arial" w:hAnsi="Arial" w:cs="Arial"/>
          <w:sz w:val="22"/>
          <w:szCs w:val="22"/>
          <w:lang w:val="es-ES"/>
        </w:rPr>
        <w:t xml:space="preserve">US$3 millones para cubrir los </w:t>
      </w:r>
      <w:r w:rsidR="00752737" w:rsidRPr="00132D0F">
        <w:rPr>
          <w:rFonts w:ascii="Arial" w:hAnsi="Arial" w:cs="Arial"/>
          <w:sz w:val="22"/>
          <w:szCs w:val="22"/>
          <w:lang w:val="es-ES"/>
        </w:rPr>
        <w:t xml:space="preserve">costos de administración, </w:t>
      </w:r>
      <w:r w:rsidR="00752737">
        <w:rPr>
          <w:rFonts w:ascii="Arial" w:hAnsi="Arial" w:cs="Arial"/>
          <w:sz w:val="22"/>
          <w:szCs w:val="22"/>
          <w:lang w:val="es-ES"/>
        </w:rPr>
        <w:t xml:space="preserve">monitoreo, </w:t>
      </w:r>
      <w:r w:rsidR="00752737" w:rsidRPr="00132D0F">
        <w:rPr>
          <w:rFonts w:ascii="Arial" w:hAnsi="Arial" w:cs="Arial"/>
          <w:sz w:val="22"/>
          <w:szCs w:val="22"/>
          <w:lang w:val="es-ES"/>
        </w:rPr>
        <w:t>evaluación y auditoria</w:t>
      </w:r>
      <w:r w:rsidR="00752737">
        <w:rPr>
          <w:rFonts w:ascii="Arial" w:hAnsi="Arial" w:cs="Arial"/>
          <w:sz w:val="22"/>
          <w:szCs w:val="22"/>
          <w:lang w:val="es-ES"/>
        </w:rPr>
        <w:t xml:space="preserve"> del mismo; podría estar recibiendo </w:t>
      </w:r>
      <w:r w:rsidR="002C012A">
        <w:rPr>
          <w:rFonts w:ascii="Arial" w:hAnsi="Arial" w:cs="Arial"/>
          <w:sz w:val="22"/>
          <w:szCs w:val="22"/>
          <w:lang w:val="es-ES"/>
        </w:rPr>
        <w:t xml:space="preserve">apoyo </w:t>
      </w:r>
      <w:r w:rsidR="00752737">
        <w:rPr>
          <w:rFonts w:ascii="Arial" w:hAnsi="Arial" w:cs="Arial"/>
          <w:sz w:val="22"/>
          <w:szCs w:val="22"/>
          <w:lang w:val="es-ES"/>
        </w:rPr>
        <w:t>de cooperación técnica para su realización.</w:t>
      </w:r>
    </w:p>
    <w:bookmarkEnd w:id="24"/>
    <w:p w14:paraId="3092B736" w14:textId="43D4E0D6" w:rsidR="00B93FB1" w:rsidRPr="00DD3FD0" w:rsidRDefault="00B93FB1" w:rsidP="004E271A">
      <w:pPr>
        <w:pStyle w:val="ListParagraph"/>
        <w:spacing w:before="240" w:after="120"/>
        <w:ind w:left="360"/>
        <w:jc w:val="center"/>
        <w:rPr>
          <w:rFonts w:ascii="Arial" w:hAnsi="Arial" w:cs="Arial"/>
          <w:b/>
          <w:sz w:val="18"/>
          <w:szCs w:val="18"/>
        </w:rPr>
      </w:pPr>
      <w:r w:rsidRPr="00DD3FD0">
        <w:rPr>
          <w:rFonts w:ascii="Arial" w:hAnsi="Arial" w:cs="Arial"/>
          <w:b/>
          <w:sz w:val="18"/>
          <w:szCs w:val="18"/>
        </w:rPr>
        <w:t>Cuadro 4. Plan de trabajo para las actividades de evaluación</w:t>
      </w:r>
    </w:p>
    <w:tbl>
      <w:tblPr>
        <w:tblW w:w="8739" w:type="dxa"/>
        <w:jc w:val="center"/>
        <w:tblLayout w:type="fixed"/>
        <w:tblLook w:val="04A0" w:firstRow="1" w:lastRow="0" w:firstColumn="1" w:lastColumn="0" w:noHBand="0" w:noVBand="1"/>
      </w:tblPr>
      <w:tblGrid>
        <w:gridCol w:w="3004"/>
        <w:gridCol w:w="546"/>
        <w:gridCol w:w="546"/>
        <w:gridCol w:w="546"/>
        <w:gridCol w:w="1472"/>
        <w:gridCol w:w="986"/>
        <w:gridCol w:w="1639"/>
      </w:tblGrid>
      <w:tr w:rsidR="007833DD" w:rsidRPr="00186383" w14:paraId="2F024B0F" w14:textId="77777777" w:rsidTr="007833DD">
        <w:trPr>
          <w:trHeight w:hRule="exact" w:val="479"/>
          <w:tblHeader/>
          <w:jc w:val="center"/>
        </w:trPr>
        <w:tc>
          <w:tcPr>
            <w:tcW w:w="3004"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vAlign w:val="center"/>
            <w:hideMark/>
          </w:tcPr>
          <w:p w14:paraId="45C2FCA8" w14:textId="77777777" w:rsidR="007833DD" w:rsidRPr="00DD3FD0" w:rsidRDefault="007833DD" w:rsidP="003F1317">
            <w:pPr>
              <w:rPr>
                <w:rFonts w:ascii="Arial" w:hAnsi="Arial" w:cs="Arial"/>
                <w:b/>
                <w:bCs/>
                <w:color w:val="FFFFFF" w:themeColor="background1"/>
                <w:sz w:val="18"/>
                <w:szCs w:val="18"/>
                <w:lang w:val="en-US"/>
              </w:rPr>
            </w:pPr>
            <w:r w:rsidRPr="00DD3FD0">
              <w:rPr>
                <w:rFonts w:ascii="Arial" w:hAnsi="Arial" w:cs="Arial"/>
                <w:b/>
                <w:bCs/>
                <w:color w:val="FFFFFF" w:themeColor="background1"/>
                <w:sz w:val="18"/>
                <w:szCs w:val="18"/>
                <w:lang w:val="es-ES"/>
              </w:rPr>
              <w:t>Actividades y Productos</w:t>
            </w:r>
          </w:p>
        </w:tc>
        <w:tc>
          <w:tcPr>
            <w:tcW w:w="546"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vAlign w:val="center"/>
          </w:tcPr>
          <w:p w14:paraId="64639B2F" w14:textId="77777777" w:rsidR="007833DD" w:rsidRPr="00DD3FD0" w:rsidRDefault="007833DD" w:rsidP="004E271A">
            <w:pPr>
              <w:ind w:left="-19" w:right="-108"/>
              <w:jc w:val="center"/>
              <w:rPr>
                <w:rFonts w:ascii="Arial" w:hAnsi="Arial" w:cs="Arial"/>
                <w:b/>
                <w:bCs/>
                <w:color w:val="FFFFFF" w:themeColor="background1"/>
                <w:sz w:val="18"/>
                <w:szCs w:val="18"/>
                <w:lang w:val="es-ES"/>
              </w:rPr>
            </w:pPr>
            <w:r w:rsidRPr="00DD3FD0">
              <w:rPr>
                <w:rFonts w:ascii="Arial" w:hAnsi="Arial" w:cs="Arial"/>
                <w:b/>
                <w:bCs/>
                <w:color w:val="FFFFFF" w:themeColor="background1"/>
                <w:sz w:val="18"/>
                <w:szCs w:val="18"/>
                <w:lang w:val="es-ES"/>
              </w:rPr>
              <w:t>Año 1</w:t>
            </w:r>
          </w:p>
        </w:tc>
        <w:tc>
          <w:tcPr>
            <w:tcW w:w="546"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vAlign w:val="center"/>
          </w:tcPr>
          <w:p w14:paraId="5C455854" w14:textId="1F586167" w:rsidR="007833DD" w:rsidRPr="00DD3FD0" w:rsidRDefault="007833DD" w:rsidP="004E271A">
            <w:pPr>
              <w:ind w:left="-19" w:right="-108"/>
              <w:jc w:val="center"/>
              <w:rPr>
                <w:rFonts w:ascii="Arial" w:hAnsi="Arial" w:cs="Arial"/>
                <w:b/>
                <w:bCs/>
                <w:color w:val="FFFFFF" w:themeColor="background1"/>
                <w:sz w:val="18"/>
                <w:szCs w:val="18"/>
                <w:lang w:val="es-ES"/>
              </w:rPr>
            </w:pPr>
            <w:r w:rsidRPr="00DD3FD0">
              <w:rPr>
                <w:rFonts w:ascii="Arial" w:hAnsi="Arial" w:cs="Arial"/>
                <w:b/>
                <w:bCs/>
                <w:color w:val="FFFFFF" w:themeColor="background1"/>
                <w:sz w:val="18"/>
                <w:szCs w:val="18"/>
                <w:lang w:val="es-ES"/>
              </w:rPr>
              <w:t>Año 2</w:t>
            </w:r>
          </w:p>
        </w:tc>
        <w:tc>
          <w:tcPr>
            <w:tcW w:w="546"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vAlign w:val="center"/>
          </w:tcPr>
          <w:p w14:paraId="5CB2AA9C" w14:textId="36156BA5" w:rsidR="007833DD" w:rsidRPr="00DD3FD0" w:rsidRDefault="007833DD" w:rsidP="004E271A">
            <w:pPr>
              <w:ind w:left="-19" w:right="-108"/>
              <w:jc w:val="center"/>
              <w:rPr>
                <w:rFonts w:ascii="Arial" w:hAnsi="Arial" w:cs="Arial"/>
                <w:b/>
                <w:bCs/>
                <w:color w:val="FFFFFF" w:themeColor="background1"/>
                <w:sz w:val="18"/>
                <w:szCs w:val="18"/>
                <w:lang w:val="es-ES"/>
              </w:rPr>
            </w:pPr>
            <w:r w:rsidRPr="00DD3FD0">
              <w:rPr>
                <w:rFonts w:ascii="Arial" w:hAnsi="Arial" w:cs="Arial"/>
                <w:b/>
                <w:bCs/>
                <w:color w:val="FFFFFF" w:themeColor="background1"/>
                <w:sz w:val="18"/>
                <w:szCs w:val="18"/>
                <w:lang w:val="es-ES"/>
              </w:rPr>
              <w:t>Año 3</w:t>
            </w:r>
          </w:p>
        </w:tc>
        <w:tc>
          <w:tcPr>
            <w:tcW w:w="1472"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vAlign w:val="center"/>
            <w:hideMark/>
          </w:tcPr>
          <w:p w14:paraId="6B5A6AD3" w14:textId="4EB5BE31" w:rsidR="007833DD" w:rsidRPr="00DD3FD0" w:rsidRDefault="007833DD" w:rsidP="004E271A">
            <w:pPr>
              <w:ind w:left="-104" w:right="-108"/>
              <w:jc w:val="center"/>
              <w:rPr>
                <w:rFonts w:ascii="Arial" w:hAnsi="Arial" w:cs="Arial"/>
                <w:b/>
                <w:bCs/>
                <w:color w:val="FFFFFF" w:themeColor="background1"/>
                <w:sz w:val="18"/>
                <w:szCs w:val="18"/>
                <w:lang w:val="en-US"/>
              </w:rPr>
            </w:pPr>
            <w:r w:rsidRPr="00DD3FD0">
              <w:rPr>
                <w:rFonts w:ascii="Arial" w:hAnsi="Arial" w:cs="Arial"/>
                <w:b/>
                <w:bCs/>
                <w:color w:val="FFFFFF" w:themeColor="background1"/>
                <w:sz w:val="18"/>
                <w:szCs w:val="18"/>
                <w:lang w:val="es-ES"/>
              </w:rPr>
              <w:t>Responsable</w:t>
            </w:r>
          </w:p>
        </w:tc>
        <w:tc>
          <w:tcPr>
            <w:tcW w:w="986" w:type="dxa"/>
            <w:tcBorders>
              <w:top w:val="single" w:sz="8" w:space="0" w:color="000000"/>
              <w:left w:val="nil"/>
              <w:bottom w:val="single" w:sz="8" w:space="0" w:color="000000"/>
              <w:right w:val="single" w:sz="8" w:space="0" w:color="000000"/>
            </w:tcBorders>
            <w:shd w:val="clear" w:color="auto" w:fill="AEAAAA" w:themeFill="background2" w:themeFillShade="BF"/>
            <w:vAlign w:val="center"/>
            <w:hideMark/>
          </w:tcPr>
          <w:p w14:paraId="38D451CA" w14:textId="7197946C" w:rsidR="007833DD" w:rsidRPr="00DD3FD0" w:rsidRDefault="007833DD" w:rsidP="004E271A">
            <w:pPr>
              <w:ind w:left="-106" w:right="-107"/>
              <w:jc w:val="center"/>
              <w:rPr>
                <w:rFonts w:ascii="Arial" w:hAnsi="Arial" w:cs="Arial"/>
                <w:b/>
                <w:bCs/>
                <w:color w:val="FFFFFF" w:themeColor="background1"/>
                <w:sz w:val="18"/>
                <w:szCs w:val="18"/>
                <w:lang w:val="en-US"/>
              </w:rPr>
            </w:pPr>
            <w:r w:rsidRPr="00DD3FD0">
              <w:rPr>
                <w:rFonts w:ascii="Arial" w:hAnsi="Arial" w:cs="Arial"/>
                <w:b/>
                <w:bCs/>
                <w:color w:val="FFFFFF" w:themeColor="background1"/>
                <w:sz w:val="18"/>
                <w:szCs w:val="18"/>
                <w:lang w:val="es-ES"/>
              </w:rPr>
              <w:t>Costo</w:t>
            </w:r>
            <w:r w:rsidRPr="00DD3FD0">
              <w:rPr>
                <w:rFonts w:ascii="Arial" w:hAnsi="Arial" w:cs="Arial"/>
                <w:b/>
                <w:bCs/>
                <w:color w:val="FFFFFF" w:themeColor="background1"/>
                <w:sz w:val="18"/>
                <w:szCs w:val="18"/>
                <w:lang w:val="en-US"/>
              </w:rPr>
              <w:t xml:space="preserve"> US$</w:t>
            </w:r>
          </w:p>
        </w:tc>
        <w:tc>
          <w:tcPr>
            <w:tcW w:w="1639"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vAlign w:val="center"/>
            <w:hideMark/>
          </w:tcPr>
          <w:p w14:paraId="445293F1" w14:textId="77777777" w:rsidR="007833DD" w:rsidRPr="00DD3FD0" w:rsidRDefault="007833DD" w:rsidP="004E271A">
            <w:pPr>
              <w:ind w:left="-110" w:right="-106"/>
              <w:jc w:val="center"/>
              <w:rPr>
                <w:rFonts w:ascii="Arial" w:hAnsi="Arial" w:cs="Arial"/>
                <w:b/>
                <w:bCs/>
                <w:color w:val="FFFFFF" w:themeColor="background1"/>
                <w:sz w:val="18"/>
                <w:szCs w:val="18"/>
                <w:lang w:val="en-US"/>
              </w:rPr>
            </w:pPr>
            <w:r w:rsidRPr="00DD3FD0">
              <w:rPr>
                <w:rFonts w:ascii="Arial" w:hAnsi="Arial" w:cs="Arial"/>
                <w:b/>
                <w:bCs/>
                <w:color w:val="FFFFFF" w:themeColor="background1"/>
                <w:sz w:val="18"/>
                <w:szCs w:val="18"/>
                <w:lang w:val="es-ES"/>
              </w:rPr>
              <w:t>Financiamiento</w:t>
            </w:r>
          </w:p>
        </w:tc>
      </w:tr>
      <w:tr w:rsidR="007833DD" w:rsidRPr="00EC68BC" w14:paraId="00768174" w14:textId="77777777" w:rsidTr="007833DD">
        <w:trPr>
          <w:trHeight w:hRule="exact" w:val="731"/>
          <w:jc w:val="center"/>
        </w:trPr>
        <w:tc>
          <w:tcPr>
            <w:tcW w:w="3004"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606555F" w14:textId="0AD339DA" w:rsidR="007833DD" w:rsidRPr="00DD3FD0" w:rsidRDefault="007833DD" w:rsidP="007833DD">
            <w:pPr>
              <w:spacing w:after="0"/>
              <w:rPr>
                <w:rFonts w:ascii="Arial" w:hAnsi="Arial" w:cs="Arial"/>
                <w:color w:val="000000"/>
                <w:sz w:val="18"/>
                <w:szCs w:val="18"/>
                <w:lang w:val="es-ES"/>
              </w:rPr>
            </w:pPr>
            <w:r w:rsidRPr="00DD3FD0">
              <w:rPr>
                <w:rFonts w:ascii="Arial" w:hAnsi="Arial" w:cs="Arial"/>
                <w:color w:val="000000"/>
                <w:sz w:val="18"/>
                <w:szCs w:val="18"/>
                <w:lang w:val="es-ES"/>
              </w:rPr>
              <w:t>Evaluación reflexiva</w:t>
            </w:r>
          </w:p>
        </w:tc>
        <w:tc>
          <w:tcPr>
            <w:tcW w:w="546" w:type="dxa"/>
            <w:tcBorders>
              <w:top w:val="single" w:sz="8" w:space="0" w:color="000000"/>
              <w:left w:val="single" w:sz="8" w:space="0" w:color="000000"/>
              <w:bottom w:val="single" w:sz="8" w:space="0" w:color="000000"/>
              <w:right w:val="single" w:sz="8" w:space="0" w:color="000000"/>
            </w:tcBorders>
            <w:vAlign w:val="center"/>
          </w:tcPr>
          <w:p w14:paraId="3C05C599" w14:textId="77777777" w:rsidR="007833DD" w:rsidRPr="00DD3FD0" w:rsidRDefault="007833DD" w:rsidP="007833DD">
            <w:pPr>
              <w:spacing w:after="0"/>
              <w:rPr>
                <w:rFonts w:ascii="Arial" w:hAnsi="Arial" w:cs="Arial"/>
                <w:color w:val="000000"/>
                <w:sz w:val="18"/>
                <w:szCs w:val="18"/>
                <w:lang w:val="es-ES"/>
              </w:rPr>
            </w:pPr>
          </w:p>
        </w:tc>
        <w:tc>
          <w:tcPr>
            <w:tcW w:w="546" w:type="dxa"/>
            <w:tcBorders>
              <w:top w:val="single" w:sz="8" w:space="0" w:color="000000"/>
              <w:left w:val="single" w:sz="8" w:space="0" w:color="000000"/>
              <w:bottom w:val="single" w:sz="8" w:space="0" w:color="000000"/>
              <w:right w:val="single" w:sz="8" w:space="0" w:color="000000"/>
            </w:tcBorders>
            <w:vAlign w:val="center"/>
          </w:tcPr>
          <w:p w14:paraId="447A5F3D" w14:textId="77777777" w:rsidR="007833DD" w:rsidRPr="00DD3FD0" w:rsidRDefault="007833DD" w:rsidP="007833DD">
            <w:pPr>
              <w:spacing w:after="0"/>
              <w:ind w:left="-648" w:right="256"/>
              <w:rPr>
                <w:rFonts w:ascii="Arial" w:hAnsi="Arial" w:cs="Arial"/>
                <w:color w:val="000000"/>
                <w:sz w:val="18"/>
                <w:szCs w:val="18"/>
                <w:lang w:val="es-ES"/>
              </w:rPr>
            </w:pPr>
            <w:r w:rsidRPr="00DD3FD0">
              <w:rPr>
                <w:rFonts w:ascii="Arial" w:hAnsi="Arial" w:cs="Arial"/>
                <w:color w:val="000000"/>
                <w:sz w:val="18"/>
                <w:szCs w:val="18"/>
                <w:lang w:val="es-ES"/>
              </w:rPr>
              <w:t>X</w:t>
            </w:r>
          </w:p>
        </w:tc>
        <w:tc>
          <w:tcPr>
            <w:tcW w:w="546" w:type="dxa"/>
            <w:tcBorders>
              <w:top w:val="single" w:sz="8" w:space="0" w:color="000000"/>
              <w:left w:val="single" w:sz="8" w:space="0" w:color="000000"/>
              <w:bottom w:val="single" w:sz="8" w:space="0" w:color="000000"/>
              <w:right w:val="single" w:sz="8" w:space="0" w:color="000000"/>
            </w:tcBorders>
            <w:vAlign w:val="center"/>
          </w:tcPr>
          <w:p w14:paraId="5DA09FE8" w14:textId="5C223A6B" w:rsidR="007833DD" w:rsidRPr="00DD3FD0" w:rsidRDefault="007833DD" w:rsidP="007833DD">
            <w:pPr>
              <w:spacing w:after="0"/>
              <w:jc w:val="center"/>
              <w:rPr>
                <w:rFonts w:ascii="Arial" w:hAnsi="Arial" w:cs="Arial"/>
                <w:color w:val="000000"/>
                <w:sz w:val="18"/>
                <w:szCs w:val="18"/>
                <w:lang w:val="es-ES"/>
              </w:rPr>
            </w:pPr>
            <w:r w:rsidRPr="00DD3FD0">
              <w:rPr>
                <w:rFonts w:ascii="Arial" w:hAnsi="Arial" w:cs="Arial"/>
                <w:color w:val="000000"/>
                <w:sz w:val="18"/>
                <w:szCs w:val="18"/>
                <w:lang w:val="es-ES"/>
              </w:rPr>
              <w:t>X</w:t>
            </w:r>
          </w:p>
        </w:tc>
        <w:tc>
          <w:tcPr>
            <w:tcW w:w="1472"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5A48D24" w14:textId="0BCF150F" w:rsidR="007833DD" w:rsidRPr="00DD3FD0" w:rsidRDefault="007833DD" w:rsidP="007833DD">
            <w:pPr>
              <w:spacing w:after="0"/>
              <w:jc w:val="center"/>
              <w:rPr>
                <w:rFonts w:ascii="Arial" w:hAnsi="Arial" w:cs="Arial"/>
                <w:color w:val="000000"/>
                <w:sz w:val="18"/>
                <w:szCs w:val="18"/>
                <w:lang w:val="en-US"/>
              </w:rPr>
            </w:pPr>
            <w:r w:rsidRPr="00DD3FD0">
              <w:rPr>
                <w:rFonts w:ascii="Arial" w:hAnsi="Arial" w:cs="Arial"/>
                <w:color w:val="000000"/>
                <w:sz w:val="18"/>
                <w:szCs w:val="18"/>
                <w:lang w:val="es-ES"/>
              </w:rPr>
              <w:t>BID/OE/SAE</w:t>
            </w:r>
          </w:p>
        </w:tc>
        <w:tc>
          <w:tcPr>
            <w:tcW w:w="986" w:type="dxa"/>
            <w:tcBorders>
              <w:top w:val="single" w:sz="8" w:space="0" w:color="000000"/>
              <w:left w:val="nil"/>
              <w:bottom w:val="single" w:sz="8" w:space="0" w:color="000000"/>
              <w:right w:val="single" w:sz="8" w:space="0" w:color="000000"/>
            </w:tcBorders>
            <w:shd w:val="clear" w:color="auto" w:fill="auto"/>
            <w:vAlign w:val="center"/>
            <w:hideMark/>
          </w:tcPr>
          <w:p w14:paraId="34C759B9" w14:textId="4B41F39A" w:rsidR="007833DD" w:rsidRPr="00DD3FD0" w:rsidRDefault="007833DD" w:rsidP="007833DD">
            <w:pPr>
              <w:spacing w:after="0"/>
              <w:ind w:left="-17"/>
              <w:jc w:val="right"/>
              <w:rPr>
                <w:rFonts w:ascii="Arial" w:hAnsi="Arial" w:cs="Arial"/>
                <w:color w:val="000000"/>
                <w:sz w:val="18"/>
                <w:szCs w:val="18"/>
                <w:lang w:val="en-US"/>
              </w:rPr>
            </w:pPr>
            <w:r w:rsidRPr="00DD3FD0">
              <w:rPr>
                <w:rFonts w:ascii="Arial" w:hAnsi="Arial" w:cs="Arial"/>
                <w:color w:val="000000"/>
                <w:sz w:val="18"/>
                <w:szCs w:val="18"/>
                <w:lang w:val="es-BO"/>
              </w:rPr>
              <w:t>10.000</w:t>
            </w:r>
          </w:p>
        </w:tc>
        <w:tc>
          <w:tcPr>
            <w:tcW w:w="1639" w:type="dxa"/>
            <w:tcBorders>
              <w:top w:val="single" w:sz="8" w:space="0" w:color="000000"/>
              <w:left w:val="nil"/>
              <w:bottom w:val="single" w:sz="8" w:space="0" w:color="000000"/>
              <w:right w:val="single" w:sz="8" w:space="0" w:color="000000"/>
            </w:tcBorders>
            <w:shd w:val="clear" w:color="auto" w:fill="auto"/>
            <w:vAlign w:val="center"/>
            <w:hideMark/>
          </w:tcPr>
          <w:p w14:paraId="5EC9D829" w14:textId="51AFA50D" w:rsidR="007833DD" w:rsidRPr="00DD3FD0" w:rsidRDefault="007833DD" w:rsidP="007833DD">
            <w:pPr>
              <w:rPr>
                <w:rFonts w:ascii="Arial" w:hAnsi="Arial" w:cs="Arial"/>
                <w:color w:val="000000"/>
                <w:sz w:val="18"/>
                <w:szCs w:val="18"/>
                <w:lang w:val="es-ES"/>
              </w:rPr>
            </w:pPr>
            <w:r w:rsidRPr="00DD3FD0">
              <w:rPr>
                <w:rFonts w:ascii="Arial" w:hAnsi="Arial" w:cs="Arial"/>
                <w:color w:val="000000"/>
                <w:sz w:val="18"/>
                <w:szCs w:val="18"/>
                <w:lang w:val="es-ES"/>
              </w:rPr>
              <w:t>OE/SAE imputable al programa</w:t>
            </w:r>
          </w:p>
        </w:tc>
      </w:tr>
      <w:tr w:rsidR="007833DD" w:rsidRPr="00EC68BC" w14:paraId="502E3E4A" w14:textId="77777777" w:rsidTr="007833DD">
        <w:trPr>
          <w:trHeight w:hRule="exact" w:val="722"/>
          <w:jc w:val="center"/>
        </w:trPr>
        <w:tc>
          <w:tcPr>
            <w:tcW w:w="30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D50E979" w14:textId="5E230452" w:rsidR="007833DD" w:rsidRPr="00DD3FD0" w:rsidRDefault="007833DD" w:rsidP="007833DD">
            <w:pPr>
              <w:spacing w:after="0"/>
              <w:rPr>
                <w:rFonts w:ascii="Arial" w:hAnsi="Arial" w:cs="Arial"/>
                <w:color w:val="000000"/>
                <w:sz w:val="18"/>
                <w:szCs w:val="18"/>
                <w:lang w:val="es-ES"/>
              </w:rPr>
            </w:pPr>
            <w:r w:rsidRPr="00DD3FD0">
              <w:rPr>
                <w:rFonts w:ascii="Arial" w:hAnsi="Arial" w:cs="Arial"/>
                <w:color w:val="000000"/>
                <w:sz w:val="18"/>
                <w:szCs w:val="18"/>
                <w:lang w:val="es-ES"/>
              </w:rPr>
              <w:t>Análisis costo beneficio ex-post</w:t>
            </w:r>
          </w:p>
        </w:tc>
        <w:tc>
          <w:tcPr>
            <w:tcW w:w="546" w:type="dxa"/>
            <w:tcBorders>
              <w:top w:val="single" w:sz="8" w:space="0" w:color="000000"/>
              <w:left w:val="single" w:sz="8" w:space="0" w:color="000000"/>
              <w:bottom w:val="single" w:sz="8" w:space="0" w:color="000000"/>
              <w:right w:val="single" w:sz="8" w:space="0" w:color="000000"/>
            </w:tcBorders>
            <w:vAlign w:val="center"/>
          </w:tcPr>
          <w:p w14:paraId="0419B8DA" w14:textId="77777777" w:rsidR="007833DD" w:rsidRPr="00DD3FD0" w:rsidRDefault="007833DD" w:rsidP="007833DD">
            <w:pPr>
              <w:spacing w:after="0"/>
              <w:rPr>
                <w:rFonts w:ascii="Arial" w:hAnsi="Arial" w:cs="Arial"/>
                <w:color w:val="000000"/>
                <w:sz w:val="18"/>
                <w:szCs w:val="18"/>
                <w:lang w:val="es-ES"/>
              </w:rPr>
            </w:pPr>
          </w:p>
        </w:tc>
        <w:tc>
          <w:tcPr>
            <w:tcW w:w="546" w:type="dxa"/>
            <w:tcBorders>
              <w:top w:val="single" w:sz="8" w:space="0" w:color="000000"/>
              <w:left w:val="single" w:sz="8" w:space="0" w:color="000000"/>
              <w:bottom w:val="single" w:sz="8" w:space="0" w:color="000000"/>
              <w:right w:val="single" w:sz="8" w:space="0" w:color="000000"/>
            </w:tcBorders>
            <w:vAlign w:val="center"/>
          </w:tcPr>
          <w:p w14:paraId="69D545BB" w14:textId="77777777" w:rsidR="007833DD" w:rsidRPr="00DD3FD0" w:rsidRDefault="007833DD" w:rsidP="007833DD">
            <w:pPr>
              <w:spacing w:after="0"/>
              <w:ind w:left="-648" w:right="256"/>
              <w:rPr>
                <w:rFonts w:ascii="Arial" w:hAnsi="Arial" w:cs="Arial"/>
                <w:color w:val="000000"/>
                <w:sz w:val="18"/>
                <w:szCs w:val="18"/>
                <w:lang w:val="es-ES"/>
              </w:rPr>
            </w:pPr>
            <w:r w:rsidRPr="00DD3FD0">
              <w:rPr>
                <w:rFonts w:ascii="Arial" w:hAnsi="Arial" w:cs="Arial"/>
                <w:color w:val="000000"/>
                <w:sz w:val="18"/>
                <w:szCs w:val="18"/>
                <w:lang w:val="es-ES"/>
              </w:rPr>
              <w:t>X</w:t>
            </w:r>
          </w:p>
        </w:tc>
        <w:tc>
          <w:tcPr>
            <w:tcW w:w="546" w:type="dxa"/>
            <w:tcBorders>
              <w:top w:val="single" w:sz="8" w:space="0" w:color="000000"/>
              <w:left w:val="single" w:sz="8" w:space="0" w:color="000000"/>
              <w:bottom w:val="single" w:sz="8" w:space="0" w:color="000000"/>
              <w:right w:val="single" w:sz="8" w:space="0" w:color="000000"/>
            </w:tcBorders>
            <w:vAlign w:val="center"/>
          </w:tcPr>
          <w:p w14:paraId="4956F125" w14:textId="282806FF" w:rsidR="007833DD" w:rsidRPr="00DD3FD0" w:rsidRDefault="007833DD" w:rsidP="007833DD">
            <w:pPr>
              <w:spacing w:after="0"/>
              <w:jc w:val="center"/>
              <w:rPr>
                <w:rFonts w:ascii="Arial" w:hAnsi="Arial" w:cs="Arial"/>
                <w:color w:val="000000"/>
                <w:sz w:val="18"/>
                <w:szCs w:val="18"/>
                <w:lang w:val="es-ES"/>
              </w:rPr>
            </w:pPr>
            <w:r w:rsidRPr="00DD3FD0">
              <w:rPr>
                <w:rFonts w:ascii="Arial" w:hAnsi="Arial" w:cs="Arial"/>
                <w:color w:val="000000"/>
                <w:sz w:val="18"/>
                <w:szCs w:val="18"/>
                <w:lang w:val="es-ES"/>
              </w:rPr>
              <w:t>X</w:t>
            </w:r>
          </w:p>
        </w:tc>
        <w:tc>
          <w:tcPr>
            <w:tcW w:w="14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E0FC2A" w14:textId="2F41D1FB" w:rsidR="007833DD" w:rsidRPr="00DD3FD0" w:rsidRDefault="007833DD" w:rsidP="007833DD">
            <w:pPr>
              <w:spacing w:after="0"/>
              <w:jc w:val="center"/>
              <w:rPr>
                <w:rFonts w:ascii="Arial" w:hAnsi="Arial" w:cs="Arial"/>
                <w:color w:val="000000"/>
                <w:sz w:val="18"/>
                <w:szCs w:val="18"/>
                <w:lang w:val="es-ES"/>
              </w:rPr>
            </w:pPr>
            <w:r w:rsidRPr="00DD3FD0">
              <w:rPr>
                <w:rFonts w:ascii="Arial" w:hAnsi="Arial" w:cs="Arial"/>
                <w:color w:val="000000"/>
                <w:sz w:val="18"/>
                <w:szCs w:val="18"/>
                <w:lang w:val="es-ES"/>
              </w:rPr>
              <w:t>BID/OE/SAE</w:t>
            </w:r>
          </w:p>
        </w:tc>
        <w:tc>
          <w:tcPr>
            <w:tcW w:w="986" w:type="dxa"/>
            <w:tcBorders>
              <w:top w:val="single" w:sz="8" w:space="0" w:color="000000"/>
              <w:left w:val="nil"/>
              <w:bottom w:val="single" w:sz="8" w:space="0" w:color="000000"/>
              <w:right w:val="single" w:sz="8" w:space="0" w:color="000000"/>
            </w:tcBorders>
            <w:shd w:val="clear" w:color="auto" w:fill="auto"/>
            <w:vAlign w:val="center"/>
          </w:tcPr>
          <w:p w14:paraId="133699F2" w14:textId="733D0A95" w:rsidR="007833DD" w:rsidRPr="00DD3FD0" w:rsidRDefault="007833DD" w:rsidP="007833DD">
            <w:pPr>
              <w:spacing w:after="0"/>
              <w:ind w:left="-17"/>
              <w:jc w:val="right"/>
              <w:rPr>
                <w:rFonts w:ascii="Arial" w:hAnsi="Arial" w:cs="Arial"/>
                <w:color w:val="000000"/>
                <w:sz w:val="18"/>
                <w:szCs w:val="18"/>
                <w:lang w:val="en-US"/>
              </w:rPr>
            </w:pPr>
            <w:r w:rsidRPr="00DD3FD0">
              <w:rPr>
                <w:rFonts w:ascii="Arial" w:hAnsi="Arial" w:cs="Arial"/>
                <w:color w:val="000000"/>
                <w:sz w:val="18"/>
                <w:szCs w:val="18"/>
                <w:lang w:val="en-US"/>
              </w:rPr>
              <w:t>10.000</w:t>
            </w:r>
          </w:p>
        </w:tc>
        <w:tc>
          <w:tcPr>
            <w:tcW w:w="1639" w:type="dxa"/>
            <w:tcBorders>
              <w:top w:val="single" w:sz="8" w:space="0" w:color="000000"/>
              <w:left w:val="nil"/>
              <w:bottom w:val="single" w:sz="8" w:space="0" w:color="000000"/>
              <w:right w:val="single" w:sz="8" w:space="0" w:color="000000"/>
            </w:tcBorders>
            <w:shd w:val="clear" w:color="auto" w:fill="auto"/>
            <w:vAlign w:val="center"/>
          </w:tcPr>
          <w:p w14:paraId="30BCA5B8" w14:textId="1FACAD62" w:rsidR="007833DD" w:rsidRPr="00DD3FD0" w:rsidRDefault="007833DD" w:rsidP="007833DD">
            <w:pPr>
              <w:rPr>
                <w:rFonts w:ascii="Arial" w:hAnsi="Arial" w:cs="Arial"/>
                <w:color w:val="000000"/>
                <w:sz w:val="18"/>
                <w:szCs w:val="18"/>
                <w:lang w:val="es-ES"/>
              </w:rPr>
            </w:pPr>
            <w:r w:rsidRPr="00DD3FD0">
              <w:rPr>
                <w:rFonts w:ascii="Arial" w:hAnsi="Arial" w:cs="Arial"/>
                <w:color w:val="000000"/>
                <w:sz w:val="18"/>
                <w:szCs w:val="18"/>
                <w:lang w:val="es-ES"/>
              </w:rPr>
              <w:t>OE/SAE imputable al programa</w:t>
            </w:r>
          </w:p>
        </w:tc>
      </w:tr>
      <w:tr w:rsidR="007833DD" w:rsidRPr="00EC68BC" w14:paraId="4C3B2770" w14:textId="77777777" w:rsidTr="007833DD">
        <w:trPr>
          <w:trHeight w:hRule="exact" w:val="722"/>
          <w:jc w:val="center"/>
        </w:trPr>
        <w:tc>
          <w:tcPr>
            <w:tcW w:w="30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9DCFF12" w14:textId="77777777" w:rsidR="007833DD" w:rsidRPr="00DD3FD0" w:rsidRDefault="007833DD" w:rsidP="007833DD">
            <w:pPr>
              <w:spacing w:after="0"/>
              <w:rPr>
                <w:rFonts w:ascii="Arial" w:hAnsi="Arial" w:cs="Arial"/>
                <w:color w:val="000000"/>
                <w:sz w:val="18"/>
                <w:szCs w:val="18"/>
                <w:lang w:val="es-ES"/>
              </w:rPr>
            </w:pPr>
            <w:r w:rsidRPr="00DD3FD0">
              <w:rPr>
                <w:rFonts w:ascii="Arial" w:hAnsi="Arial" w:cs="Arial"/>
                <w:color w:val="000000"/>
                <w:sz w:val="18"/>
                <w:szCs w:val="18"/>
                <w:lang w:val="es-ES"/>
              </w:rPr>
              <w:t>Evaluación de impacto</w:t>
            </w:r>
          </w:p>
        </w:tc>
        <w:tc>
          <w:tcPr>
            <w:tcW w:w="546" w:type="dxa"/>
            <w:tcBorders>
              <w:top w:val="single" w:sz="8" w:space="0" w:color="000000"/>
              <w:left w:val="single" w:sz="8" w:space="0" w:color="000000"/>
              <w:bottom w:val="single" w:sz="8" w:space="0" w:color="000000"/>
              <w:right w:val="single" w:sz="8" w:space="0" w:color="000000"/>
            </w:tcBorders>
            <w:vAlign w:val="center"/>
          </w:tcPr>
          <w:p w14:paraId="5E323EE3" w14:textId="77777777" w:rsidR="007833DD" w:rsidRPr="00DD3FD0" w:rsidRDefault="007833DD" w:rsidP="007833DD">
            <w:pPr>
              <w:spacing w:after="0"/>
              <w:rPr>
                <w:rFonts w:ascii="Arial" w:hAnsi="Arial" w:cs="Arial"/>
                <w:color w:val="000000"/>
                <w:sz w:val="18"/>
                <w:szCs w:val="18"/>
                <w:lang w:val="es-ES"/>
              </w:rPr>
            </w:pPr>
          </w:p>
        </w:tc>
        <w:tc>
          <w:tcPr>
            <w:tcW w:w="546" w:type="dxa"/>
            <w:tcBorders>
              <w:top w:val="single" w:sz="8" w:space="0" w:color="000000"/>
              <w:left w:val="single" w:sz="8" w:space="0" w:color="000000"/>
              <w:bottom w:val="single" w:sz="8" w:space="0" w:color="000000"/>
              <w:right w:val="single" w:sz="8" w:space="0" w:color="000000"/>
            </w:tcBorders>
            <w:vAlign w:val="center"/>
          </w:tcPr>
          <w:p w14:paraId="48A37324" w14:textId="77777777" w:rsidR="007833DD" w:rsidRPr="00DD3FD0" w:rsidRDefault="007833DD" w:rsidP="007833DD">
            <w:pPr>
              <w:spacing w:after="0"/>
              <w:ind w:left="-648" w:right="256"/>
              <w:rPr>
                <w:rFonts w:ascii="Arial" w:hAnsi="Arial" w:cs="Arial"/>
                <w:color w:val="000000"/>
                <w:sz w:val="18"/>
                <w:szCs w:val="18"/>
                <w:lang w:val="es-ES"/>
              </w:rPr>
            </w:pPr>
            <w:r w:rsidRPr="00DD3FD0">
              <w:rPr>
                <w:rFonts w:ascii="Arial" w:hAnsi="Arial" w:cs="Arial"/>
                <w:color w:val="000000"/>
                <w:sz w:val="18"/>
                <w:szCs w:val="18"/>
                <w:lang w:val="es-ES"/>
              </w:rPr>
              <w:t>X</w:t>
            </w:r>
          </w:p>
        </w:tc>
        <w:tc>
          <w:tcPr>
            <w:tcW w:w="546" w:type="dxa"/>
            <w:tcBorders>
              <w:top w:val="single" w:sz="8" w:space="0" w:color="000000"/>
              <w:left w:val="single" w:sz="8" w:space="0" w:color="000000"/>
              <w:bottom w:val="single" w:sz="8" w:space="0" w:color="000000"/>
              <w:right w:val="single" w:sz="8" w:space="0" w:color="000000"/>
            </w:tcBorders>
            <w:vAlign w:val="center"/>
          </w:tcPr>
          <w:p w14:paraId="304240BE" w14:textId="22A11C3C" w:rsidR="007833DD" w:rsidRPr="00DD3FD0" w:rsidRDefault="007833DD" w:rsidP="007833DD">
            <w:pPr>
              <w:spacing w:after="0"/>
              <w:jc w:val="center"/>
              <w:rPr>
                <w:rFonts w:ascii="Arial" w:hAnsi="Arial" w:cs="Arial"/>
                <w:color w:val="000000"/>
                <w:sz w:val="18"/>
                <w:szCs w:val="18"/>
                <w:lang w:val="es-ES"/>
              </w:rPr>
            </w:pPr>
            <w:r w:rsidRPr="00DD3FD0">
              <w:rPr>
                <w:rFonts w:ascii="Arial" w:hAnsi="Arial" w:cs="Arial"/>
                <w:color w:val="000000"/>
                <w:sz w:val="18"/>
                <w:szCs w:val="18"/>
                <w:lang w:val="es-ES"/>
              </w:rPr>
              <w:t>X</w:t>
            </w:r>
          </w:p>
        </w:tc>
        <w:tc>
          <w:tcPr>
            <w:tcW w:w="14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184FC67" w14:textId="5889585C" w:rsidR="007833DD" w:rsidRPr="00DD3FD0" w:rsidRDefault="007833DD" w:rsidP="007833DD">
            <w:pPr>
              <w:spacing w:after="0"/>
              <w:jc w:val="center"/>
              <w:rPr>
                <w:rFonts w:ascii="Arial" w:hAnsi="Arial" w:cs="Arial"/>
                <w:color w:val="000000"/>
                <w:sz w:val="18"/>
                <w:szCs w:val="18"/>
                <w:lang w:val="es-ES"/>
              </w:rPr>
            </w:pPr>
            <w:r w:rsidRPr="00DD3FD0">
              <w:rPr>
                <w:rFonts w:ascii="Arial" w:hAnsi="Arial" w:cs="Arial"/>
                <w:color w:val="000000"/>
                <w:sz w:val="18"/>
                <w:szCs w:val="18"/>
                <w:lang w:val="es-ES"/>
              </w:rPr>
              <w:t>BID/OE/SAE</w:t>
            </w:r>
          </w:p>
        </w:tc>
        <w:tc>
          <w:tcPr>
            <w:tcW w:w="986" w:type="dxa"/>
            <w:tcBorders>
              <w:top w:val="single" w:sz="8" w:space="0" w:color="000000"/>
              <w:left w:val="nil"/>
              <w:bottom w:val="single" w:sz="8" w:space="0" w:color="000000"/>
              <w:right w:val="single" w:sz="8" w:space="0" w:color="000000"/>
            </w:tcBorders>
            <w:shd w:val="clear" w:color="auto" w:fill="auto"/>
            <w:vAlign w:val="center"/>
          </w:tcPr>
          <w:p w14:paraId="25D3CA78" w14:textId="2452ECCE" w:rsidR="007833DD" w:rsidRPr="00DD3FD0" w:rsidRDefault="007833DD" w:rsidP="007833DD">
            <w:pPr>
              <w:spacing w:after="0"/>
              <w:ind w:left="-17"/>
              <w:jc w:val="right"/>
              <w:rPr>
                <w:rFonts w:ascii="Arial" w:hAnsi="Arial" w:cs="Arial"/>
                <w:color w:val="000000"/>
                <w:sz w:val="18"/>
                <w:szCs w:val="18"/>
                <w:lang w:val="es-BO"/>
              </w:rPr>
            </w:pPr>
            <w:r w:rsidRPr="00DD3FD0">
              <w:rPr>
                <w:rFonts w:ascii="Arial" w:hAnsi="Arial" w:cs="Arial"/>
                <w:color w:val="000000"/>
                <w:sz w:val="18"/>
                <w:szCs w:val="18"/>
                <w:lang w:val="es-BO"/>
              </w:rPr>
              <w:t>150.000</w:t>
            </w:r>
          </w:p>
        </w:tc>
        <w:tc>
          <w:tcPr>
            <w:tcW w:w="1639" w:type="dxa"/>
            <w:tcBorders>
              <w:top w:val="single" w:sz="8" w:space="0" w:color="000000"/>
              <w:left w:val="nil"/>
              <w:bottom w:val="single" w:sz="8" w:space="0" w:color="000000"/>
              <w:right w:val="single" w:sz="8" w:space="0" w:color="000000"/>
            </w:tcBorders>
            <w:shd w:val="clear" w:color="auto" w:fill="auto"/>
            <w:vAlign w:val="center"/>
          </w:tcPr>
          <w:p w14:paraId="490B2945" w14:textId="09FBDCF2" w:rsidR="007833DD" w:rsidRPr="00DD3FD0" w:rsidRDefault="007833DD" w:rsidP="007833DD">
            <w:pPr>
              <w:rPr>
                <w:rFonts w:ascii="Arial" w:hAnsi="Arial" w:cs="Arial"/>
                <w:color w:val="000000"/>
                <w:sz w:val="18"/>
                <w:szCs w:val="18"/>
                <w:lang w:val="es-BO"/>
              </w:rPr>
            </w:pPr>
            <w:r w:rsidRPr="00DD3FD0">
              <w:rPr>
                <w:rFonts w:ascii="Arial" w:hAnsi="Arial" w:cs="Arial"/>
                <w:color w:val="000000"/>
                <w:sz w:val="18"/>
                <w:szCs w:val="18"/>
                <w:lang w:val="es-ES"/>
              </w:rPr>
              <w:t>OE/SAE imputable al programa</w:t>
            </w:r>
            <w:r w:rsidRPr="00DD3FD0">
              <w:rPr>
                <w:rStyle w:val="FootnoteReference"/>
                <w:rFonts w:ascii="Arial" w:hAnsi="Arial" w:cs="Arial"/>
                <w:color w:val="000000"/>
                <w:sz w:val="18"/>
                <w:szCs w:val="18"/>
                <w:lang w:val="es-ES"/>
              </w:rPr>
              <w:footnoteReference w:id="25"/>
            </w:r>
          </w:p>
        </w:tc>
      </w:tr>
      <w:tr w:rsidR="007833DD" w:rsidRPr="00186383" w14:paraId="4484EDE1" w14:textId="77777777" w:rsidTr="007833DD">
        <w:trPr>
          <w:trHeight w:hRule="exact" w:val="371"/>
          <w:jc w:val="center"/>
        </w:trPr>
        <w:tc>
          <w:tcPr>
            <w:tcW w:w="30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5C6927F" w14:textId="77777777" w:rsidR="007833DD" w:rsidRPr="00DD3FD0" w:rsidRDefault="007833DD" w:rsidP="007833DD">
            <w:pPr>
              <w:spacing w:after="0"/>
              <w:rPr>
                <w:rFonts w:ascii="Arial" w:hAnsi="Arial" w:cs="Arial"/>
                <w:b/>
                <w:color w:val="000000"/>
                <w:sz w:val="18"/>
                <w:szCs w:val="18"/>
                <w:lang w:val="es-ES"/>
              </w:rPr>
            </w:pPr>
            <w:r w:rsidRPr="00DD3FD0">
              <w:rPr>
                <w:rFonts w:ascii="Arial" w:hAnsi="Arial" w:cs="Arial"/>
                <w:b/>
                <w:color w:val="000000"/>
                <w:sz w:val="18"/>
                <w:szCs w:val="18"/>
                <w:lang w:val="es-ES"/>
              </w:rPr>
              <w:t>Total</w:t>
            </w:r>
          </w:p>
        </w:tc>
        <w:tc>
          <w:tcPr>
            <w:tcW w:w="546" w:type="dxa"/>
            <w:tcBorders>
              <w:top w:val="single" w:sz="8" w:space="0" w:color="000000"/>
              <w:left w:val="single" w:sz="8" w:space="0" w:color="000000"/>
              <w:bottom w:val="single" w:sz="8" w:space="0" w:color="000000"/>
              <w:right w:val="single" w:sz="8" w:space="0" w:color="000000"/>
            </w:tcBorders>
            <w:vAlign w:val="center"/>
          </w:tcPr>
          <w:p w14:paraId="0DEF0E12" w14:textId="77777777" w:rsidR="007833DD" w:rsidRPr="00DD3FD0" w:rsidRDefault="007833DD" w:rsidP="007833DD">
            <w:pPr>
              <w:spacing w:after="0"/>
              <w:rPr>
                <w:rFonts w:ascii="Arial" w:hAnsi="Arial" w:cs="Arial"/>
                <w:b/>
                <w:color w:val="000000"/>
                <w:sz w:val="18"/>
                <w:szCs w:val="18"/>
                <w:lang w:val="es-ES"/>
              </w:rPr>
            </w:pPr>
          </w:p>
        </w:tc>
        <w:tc>
          <w:tcPr>
            <w:tcW w:w="546" w:type="dxa"/>
            <w:tcBorders>
              <w:top w:val="single" w:sz="8" w:space="0" w:color="000000"/>
              <w:left w:val="single" w:sz="8" w:space="0" w:color="000000"/>
              <w:bottom w:val="single" w:sz="8" w:space="0" w:color="000000"/>
              <w:right w:val="single" w:sz="8" w:space="0" w:color="000000"/>
            </w:tcBorders>
            <w:vAlign w:val="center"/>
          </w:tcPr>
          <w:p w14:paraId="26FB8CA7" w14:textId="77777777" w:rsidR="007833DD" w:rsidRPr="00DD3FD0" w:rsidRDefault="007833DD" w:rsidP="007833DD">
            <w:pPr>
              <w:spacing w:after="0"/>
              <w:rPr>
                <w:rFonts w:ascii="Arial" w:hAnsi="Arial" w:cs="Arial"/>
                <w:b/>
                <w:color w:val="000000"/>
                <w:sz w:val="18"/>
                <w:szCs w:val="18"/>
                <w:lang w:val="es-ES"/>
              </w:rPr>
            </w:pPr>
          </w:p>
        </w:tc>
        <w:tc>
          <w:tcPr>
            <w:tcW w:w="546" w:type="dxa"/>
            <w:tcBorders>
              <w:top w:val="single" w:sz="8" w:space="0" w:color="000000"/>
              <w:left w:val="single" w:sz="8" w:space="0" w:color="000000"/>
              <w:bottom w:val="single" w:sz="8" w:space="0" w:color="000000"/>
              <w:right w:val="single" w:sz="8" w:space="0" w:color="000000"/>
            </w:tcBorders>
            <w:vAlign w:val="center"/>
          </w:tcPr>
          <w:p w14:paraId="42AF715D" w14:textId="77777777" w:rsidR="007833DD" w:rsidRPr="00DD3FD0" w:rsidRDefault="007833DD" w:rsidP="007833DD">
            <w:pPr>
              <w:spacing w:after="0"/>
              <w:rPr>
                <w:rFonts w:ascii="Arial" w:hAnsi="Arial" w:cs="Arial"/>
                <w:b/>
                <w:color w:val="000000"/>
                <w:sz w:val="18"/>
                <w:szCs w:val="18"/>
                <w:lang w:val="es-ES"/>
              </w:rPr>
            </w:pPr>
          </w:p>
        </w:tc>
        <w:tc>
          <w:tcPr>
            <w:tcW w:w="14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B4F9A6B" w14:textId="67AE95F5" w:rsidR="007833DD" w:rsidRPr="00DD3FD0" w:rsidRDefault="007833DD" w:rsidP="007833DD">
            <w:pPr>
              <w:spacing w:after="0"/>
              <w:rPr>
                <w:rFonts w:ascii="Arial" w:hAnsi="Arial" w:cs="Arial"/>
                <w:b/>
                <w:color w:val="000000"/>
                <w:sz w:val="18"/>
                <w:szCs w:val="18"/>
                <w:lang w:val="es-ES"/>
              </w:rPr>
            </w:pPr>
          </w:p>
        </w:tc>
        <w:tc>
          <w:tcPr>
            <w:tcW w:w="98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7E3B3BE" w14:textId="69A35997" w:rsidR="007833DD" w:rsidRPr="00DD3FD0" w:rsidRDefault="007833DD" w:rsidP="007833DD">
            <w:pPr>
              <w:spacing w:after="0"/>
              <w:ind w:left="-17"/>
              <w:jc w:val="right"/>
              <w:rPr>
                <w:rFonts w:ascii="Arial" w:hAnsi="Arial" w:cs="Arial"/>
                <w:b/>
                <w:color w:val="000000"/>
                <w:sz w:val="18"/>
                <w:szCs w:val="18"/>
                <w:lang w:val="en-US"/>
              </w:rPr>
            </w:pPr>
            <w:r w:rsidRPr="00DD3FD0">
              <w:rPr>
                <w:rFonts w:ascii="Arial" w:hAnsi="Arial" w:cs="Arial"/>
                <w:b/>
                <w:color w:val="000000"/>
                <w:sz w:val="18"/>
                <w:szCs w:val="18"/>
                <w:lang w:val="en-US"/>
              </w:rPr>
              <w:t>170.000</w:t>
            </w:r>
          </w:p>
        </w:tc>
        <w:tc>
          <w:tcPr>
            <w:tcW w:w="16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57354B1" w14:textId="2D578D79" w:rsidR="007833DD" w:rsidRPr="00DD3FD0" w:rsidRDefault="007833DD" w:rsidP="007833DD">
            <w:pPr>
              <w:spacing w:after="0"/>
              <w:rPr>
                <w:rFonts w:ascii="Arial" w:hAnsi="Arial" w:cs="Arial"/>
                <w:color w:val="000000"/>
                <w:sz w:val="18"/>
                <w:szCs w:val="18"/>
                <w:lang w:val="en-US"/>
              </w:rPr>
            </w:pPr>
          </w:p>
        </w:tc>
      </w:tr>
    </w:tbl>
    <w:p w14:paraId="41A2B27F" w14:textId="5E7D3603" w:rsidR="000B157C" w:rsidRDefault="000B157C">
      <w:pPr>
        <w:spacing w:after="160" w:line="259" w:lineRule="auto"/>
        <w:rPr>
          <w:lang w:val="es-ES"/>
        </w:rPr>
        <w:sectPr w:rsidR="000B157C">
          <w:pgSz w:w="12240" w:h="15840"/>
          <w:pgMar w:top="1440" w:right="1440" w:bottom="1440" w:left="1440" w:header="720" w:footer="720" w:gutter="0"/>
          <w:cols w:space="720"/>
          <w:docGrid w:linePitch="360"/>
        </w:sectPr>
      </w:pPr>
    </w:p>
    <w:p w14:paraId="6C6B1757" w14:textId="7E3815FF" w:rsidR="00FF1EAE" w:rsidRPr="00FF1EAE" w:rsidRDefault="00FF1EAE" w:rsidP="00FF1EAE">
      <w:pPr>
        <w:pStyle w:val="Chapter"/>
        <w:numPr>
          <w:ilvl w:val="0"/>
          <w:numId w:val="0"/>
        </w:numPr>
        <w:jc w:val="left"/>
        <w:rPr>
          <w:rFonts w:ascii="Arial" w:hAnsi="Arial" w:cs="Arial"/>
          <w:sz w:val="22"/>
          <w:szCs w:val="22"/>
          <w:lang w:val="es-419"/>
        </w:rPr>
      </w:pPr>
      <w:bookmarkStart w:id="25" w:name="_Toc40475109"/>
      <w:r w:rsidRPr="00FF1EAE">
        <w:rPr>
          <w:rFonts w:ascii="Arial" w:hAnsi="Arial" w:cs="Arial"/>
          <w:sz w:val="22"/>
          <w:szCs w:val="22"/>
          <w:lang w:val="es-419"/>
        </w:rPr>
        <w:lastRenderedPageBreak/>
        <w:t>Anexo I: Definición del tamaño de empresa</w:t>
      </w:r>
      <w:bookmarkEnd w:id="25"/>
    </w:p>
    <w:p w14:paraId="32DC394E" w14:textId="11920BBA" w:rsidR="0035769A" w:rsidRDefault="0035769A" w:rsidP="00446832">
      <w:pPr>
        <w:jc w:val="both"/>
        <w:rPr>
          <w:rFonts w:ascii="Arial" w:hAnsi="Arial" w:cs="Arial"/>
          <w:lang w:val="es-ES"/>
        </w:rPr>
      </w:pPr>
      <w:r w:rsidRPr="0035769A">
        <w:rPr>
          <w:rFonts w:ascii="Arial" w:hAnsi="Arial" w:cs="Arial"/>
          <w:lang w:val="es-ES"/>
        </w:rPr>
        <w:t xml:space="preserve">A través de la resolución </w:t>
      </w:r>
      <w:r w:rsidR="00FB5FFE">
        <w:rPr>
          <w:rFonts w:ascii="Arial" w:hAnsi="Arial" w:cs="Arial"/>
          <w:lang w:val="es-ES"/>
        </w:rPr>
        <w:t>563</w:t>
      </w:r>
      <w:r w:rsidRPr="0035769A">
        <w:rPr>
          <w:rFonts w:ascii="Arial" w:hAnsi="Arial" w:cs="Arial"/>
          <w:lang w:val="es-ES"/>
        </w:rPr>
        <w:t>/201</w:t>
      </w:r>
      <w:r w:rsidR="00FB5FFE">
        <w:rPr>
          <w:rFonts w:ascii="Arial" w:hAnsi="Arial" w:cs="Arial"/>
          <w:lang w:val="es-ES"/>
        </w:rPr>
        <w:t>9</w:t>
      </w:r>
      <w:r>
        <w:rPr>
          <w:rFonts w:ascii="Arial" w:hAnsi="Arial" w:cs="Arial"/>
          <w:lang w:val="es-ES"/>
        </w:rPr>
        <w:t>, l</w:t>
      </w:r>
      <w:r w:rsidRPr="0035769A">
        <w:rPr>
          <w:rFonts w:ascii="Arial" w:hAnsi="Arial" w:cs="Arial"/>
          <w:lang w:val="es-ES"/>
        </w:rPr>
        <w:t>a Secretaría de Emprendedores y P</w:t>
      </w:r>
      <w:r>
        <w:rPr>
          <w:rFonts w:ascii="Arial" w:hAnsi="Arial" w:cs="Arial"/>
          <w:lang w:val="es-ES"/>
        </w:rPr>
        <w:t>Y</w:t>
      </w:r>
      <w:r w:rsidRPr="0035769A">
        <w:rPr>
          <w:rFonts w:ascii="Arial" w:hAnsi="Arial" w:cs="Arial"/>
          <w:lang w:val="es-ES"/>
        </w:rPr>
        <w:t xml:space="preserve">MEs </w:t>
      </w:r>
      <w:r>
        <w:rPr>
          <w:rFonts w:ascii="Arial" w:hAnsi="Arial" w:cs="Arial"/>
          <w:lang w:val="es-ES"/>
        </w:rPr>
        <w:t xml:space="preserve">(SEPYME) </w:t>
      </w:r>
      <w:r w:rsidRPr="0035769A">
        <w:rPr>
          <w:rFonts w:ascii="Arial" w:hAnsi="Arial" w:cs="Arial"/>
          <w:lang w:val="es-ES"/>
        </w:rPr>
        <w:t>del Ministerio de Producción public</w:t>
      </w:r>
      <w:r>
        <w:rPr>
          <w:rFonts w:ascii="Arial" w:hAnsi="Arial" w:cs="Arial"/>
          <w:lang w:val="es-ES"/>
        </w:rPr>
        <w:t>aba</w:t>
      </w:r>
      <w:r w:rsidRPr="0035769A">
        <w:rPr>
          <w:rFonts w:ascii="Arial" w:hAnsi="Arial" w:cs="Arial"/>
          <w:lang w:val="es-ES"/>
        </w:rPr>
        <w:t xml:space="preserve"> la nueva clasificación para determinar qué empresas se encuadran dentro de la categoría </w:t>
      </w:r>
      <w:r>
        <w:rPr>
          <w:rFonts w:ascii="Arial" w:hAnsi="Arial" w:cs="Arial"/>
          <w:lang w:val="es-ES"/>
        </w:rPr>
        <w:t>MI</w:t>
      </w:r>
      <w:r w:rsidRPr="0035769A">
        <w:rPr>
          <w:rFonts w:ascii="Arial" w:hAnsi="Arial" w:cs="Arial"/>
          <w:lang w:val="es-ES"/>
        </w:rPr>
        <w:t>P</w:t>
      </w:r>
      <w:r>
        <w:rPr>
          <w:rFonts w:ascii="Arial" w:hAnsi="Arial" w:cs="Arial"/>
          <w:lang w:val="es-ES"/>
        </w:rPr>
        <w:t>Y</w:t>
      </w:r>
      <w:r w:rsidRPr="0035769A">
        <w:rPr>
          <w:rFonts w:ascii="Arial" w:hAnsi="Arial" w:cs="Arial"/>
          <w:lang w:val="es-ES"/>
        </w:rPr>
        <w:t>ME</w:t>
      </w:r>
      <w:r w:rsidR="00FB5FFE">
        <w:rPr>
          <w:rFonts w:ascii="Arial" w:hAnsi="Arial" w:cs="Arial"/>
          <w:lang w:val="es-ES"/>
        </w:rPr>
        <w:t>, cumpliendo con alguno, algunos o todos los siguientes atributos de las mismas o sus equivalente en términos de personal ocupado, valor de las ventas, y valor de los activos aplicados al proceso productivo.</w:t>
      </w:r>
    </w:p>
    <w:p w14:paraId="2B4DD380" w14:textId="4A92DF0D" w:rsidR="00FF1EAE" w:rsidRPr="00446832" w:rsidRDefault="0035769A" w:rsidP="00446832">
      <w:pPr>
        <w:jc w:val="both"/>
        <w:rPr>
          <w:rFonts w:ascii="Arial" w:hAnsi="Arial" w:cs="Arial"/>
          <w:lang w:val="es-ES"/>
        </w:rPr>
      </w:pPr>
      <w:r>
        <w:rPr>
          <w:rFonts w:ascii="Arial" w:hAnsi="Arial" w:cs="Arial"/>
          <w:lang w:val="es-ES"/>
        </w:rPr>
        <w:t>Así, la d</w:t>
      </w:r>
      <w:r w:rsidR="000B7962" w:rsidRPr="00446832">
        <w:rPr>
          <w:rFonts w:ascii="Arial" w:hAnsi="Arial" w:cs="Arial"/>
          <w:lang w:val="es-ES"/>
        </w:rPr>
        <w:t xml:space="preserve">efinición más reciente </w:t>
      </w:r>
      <w:r w:rsidR="00446832" w:rsidRPr="00446832">
        <w:rPr>
          <w:rFonts w:ascii="Arial" w:hAnsi="Arial" w:cs="Arial"/>
          <w:lang w:val="es-ES"/>
        </w:rPr>
        <w:t xml:space="preserve">publicada por </w:t>
      </w:r>
      <w:r w:rsidR="000B7962" w:rsidRPr="00446832">
        <w:rPr>
          <w:rFonts w:ascii="Arial" w:hAnsi="Arial" w:cs="Arial"/>
          <w:lang w:val="es-ES"/>
        </w:rPr>
        <w:t>SEPYME</w:t>
      </w:r>
      <w:r w:rsidR="00FB5FFE">
        <w:rPr>
          <w:rFonts w:ascii="Arial" w:hAnsi="Arial" w:cs="Arial"/>
          <w:lang w:val="es-ES"/>
        </w:rPr>
        <w:t xml:space="preserve"> con fecha 06/12/2019</w:t>
      </w:r>
      <w:r w:rsidR="00446832" w:rsidRPr="00446832">
        <w:rPr>
          <w:rFonts w:ascii="Arial" w:hAnsi="Arial" w:cs="Arial"/>
          <w:lang w:val="es-ES"/>
        </w:rPr>
        <w:t xml:space="preserve"> recoge los siguientes parámetros de clasificación para la determinación del tamaño de empresa:</w:t>
      </w:r>
    </w:p>
    <w:p w14:paraId="11A0E22E" w14:textId="5F8686FA" w:rsidR="00446832" w:rsidRDefault="0035769A" w:rsidP="00446832">
      <w:pPr>
        <w:pStyle w:val="ListParagraph"/>
        <w:numPr>
          <w:ilvl w:val="0"/>
          <w:numId w:val="22"/>
        </w:numPr>
        <w:spacing w:before="120" w:after="120"/>
        <w:rPr>
          <w:rFonts w:ascii="Arial" w:hAnsi="Arial" w:cs="Arial"/>
          <w:sz w:val="22"/>
          <w:szCs w:val="22"/>
          <w:lang w:val="es-419"/>
        </w:rPr>
      </w:pPr>
      <w:r>
        <w:rPr>
          <w:rFonts w:ascii="Arial" w:hAnsi="Arial" w:cs="Arial"/>
          <w:sz w:val="22"/>
          <w:szCs w:val="22"/>
          <w:lang w:val="es-419"/>
        </w:rPr>
        <w:t xml:space="preserve">Parámetro de </w:t>
      </w:r>
      <w:r w:rsidR="00446832" w:rsidRPr="00446832">
        <w:rPr>
          <w:rFonts w:ascii="Arial" w:hAnsi="Arial" w:cs="Arial"/>
          <w:sz w:val="22"/>
          <w:szCs w:val="22"/>
          <w:lang w:val="es-419"/>
        </w:rPr>
        <w:t xml:space="preserve">número </w:t>
      </w:r>
      <w:r w:rsidR="008C5A0F">
        <w:rPr>
          <w:rFonts w:ascii="Arial" w:hAnsi="Arial" w:cs="Arial"/>
          <w:sz w:val="22"/>
          <w:szCs w:val="22"/>
          <w:lang w:val="es-419"/>
        </w:rPr>
        <w:t xml:space="preserve">límite </w:t>
      </w:r>
      <w:r w:rsidR="00446832" w:rsidRPr="00446832">
        <w:rPr>
          <w:rFonts w:ascii="Arial" w:hAnsi="Arial" w:cs="Arial"/>
          <w:sz w:val="22"/>
          <w:szCs w:val="22"/>
          <w:lang w:val="es-419"/>
        </w:rPr>
        <w:t>de empleados</w:t>
      </w:r>
    </w:p>
    <w:tbl>
      <w:tblPr>
        <w:tblW w:w="935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111"/>
        <w:gridCol w:w="1505"/>
        <w:gridCol w:w="1365"/>
        <w:gridCol w:w="1352"/>
        <w:gridCol w:w="1409"/>
        <w:gridCol w:w="1613"/>
      </w:tblGrid>
      <w:tr w:rsidR="00862BC9" w:rsidRPr="00862BC9" w14:paraId="789EA16C" w14:textId="77777777" w:rsidTr="00376D49">
        <w:trPr>
          <w:trHeight w:hRule="exact" w:val="418"/>
        </w:trPr>
        <w:tc>
          <w:tcPr>
            <w:tcW w:w="2164" w:type="dxa"/>
            <w:vMerge w:val="restart"/>
            <w:shd w:val="clear" w:color="auto" w:fill="1F4E79" w:themeFill="accent5" w:themeFillShade="80"/>
            <w:vAlign w:val="center"/>
            <w:hideMark/>
          </w:tcPr>
          <w:p w14:paraId="76D6103B" w14:textId="77777777" w:rsidR="00862BC9" w:rsidRPr="00862BC9" w:rsidRDefault="00862BC9" w:rsidP="00376D49">
            <w:pPr>
              <w:spacing w:after="0" w:line="240" w:lineRule="auto"/>
              <w:jc w:val="center"/>
              <w:rPr>
                <w:rFonts w:ascii="Arial" w:eastAsia="Times New Roman" w:hAnsi="Arial" w:cs="Arial"/>
                <w:b/>
                <w:bCs/>
                <w:color w:val="FFFFFF" w:themeColor="background1"/>
                <w:sz w:val="20"/>
                <w:szCs w:val="20"/>
                <w:lang w:val="es-AR" w:eastAsia="en-US"/>
              </w:rPr>
            </w:pPr>
            <w:r w:rsidRPr="00862BC9">
              <w:rPr>
                <w:rFonts w:ascii="Arial" w:hAnsi="Arial" w:cs="Arial"/>
                <w:b/>
                <w:bCs/>
                <w:color w:val="FFFFFF" w:themeColor="background1"/>
                <w:sz w:val="20"/>
                <w:szCs w:val="20"/>
                <w:lang w:val="es-AR"/>
              </w:rPr>
              <w:t>CATEGOR</w:t>
            </w:r>
            <w:r>
              <w:rPr>
                <w:rFonts w:ascii="Arial" w:hAnsi="Arial" w:cs="Arial"/>
                <w:b/>
                <w:bCs/>
                <w:color w:val="FFFFFF" w:themeColor="background1"/>
                <w:sz w:val="20"/>
                <w:szCs w:val="20"/>
                <w:lang w:val="es-AR"/>
              </w:rPr>
              <w:t>Í</w:t>
            </w:r>
            <w:r w:rsidRPr="00862BC9">
              <w:rPr>
                <w:rFonts w:ascii="Arial" w:hAnsi="Arial" w:cs="Arial"/>
                <w:b/>
                <w:bCs/>
                <w:color w:val="FFFFFF" w:themeColor="background1"/>
                <w:sz w:val="20"/>
                <w:szCs w:val="20"/>
                <w:lang w:val="es-AR"/>
              </w:rPr>
              <w:t>A</w:t>
            </w:r>
          </w:p>
        </w:tc>
        <w:tc>
          <w:tcPr>
            <w:tcW w:w="7191" w:type="dxa"/>
            <w:gridSpan w:val="5"/>
            <w:shd w:val="clear" w:color="auto" w:fill="1F4E79" w:themeFill="accent5" w:themeFillShade="80"/>
            <w:vAlign w:val="bottom"/>
            <w:hideMark/>
          </w:tcPr>
          <w:p w14:paraId="0D39AC96" w14:textId="77777777" w:rsidR="00862BC9" w:rsidRPr="00862BC9" w:rsidRDefault="00862BC9" w:rsidP="00376D49">
            <w:pPr>
              <w:spacing w:before="120" w:after="60"/>
              <w:jc w:val="center"/>
              <w:rPr>
                <w:rFonts w:ascii="Arial" w:hAnsi="Arial" w:cs="Arial"/>
                <w:b/>
                <w:bCs/>
                <w:color w:val="FFFFFF" w:themeColor="background1"/>
                <w:sz w:val="20"/>
                <w:szCs w:val="20"/>
                <w:lang w:val="es-AR"/>
              </w:rPr>
            </w:pPr>
            <w:r w:rsidRPr="00862BC9">
              <w:rPr>
                <w:rFonts w:ascii="Arial" w:hAnsi="Arial" w:cs="Arial"/>
                <w:b/>
                <w:bCs/>
                <w:color w:val="FFFFFF" w:themeColor="background1"/>
                <w:sz w:val="20"/>
                <w:szCs w:val="20"/>
                <w:lang w:val="es-AR"/>
              </w:rPr>
              <w:t>ACTIVIDAD</w:t>
            </w:r>
          </w:p>
        </w:tc>
      </w:tr>
      <w:tr w:rsidR="00862BC9" w:rsidRPr="00862BC9" w14:paraId="03105CC2" w14:textId="77777777" w:rsidTr="00376D49">
        <w:trPr>
          <w:trHeight w:hRule="exact" w:val="576"/>
        </w:trPr>
        <w:tc>
          <w:tcPr>
            <w:tcW w:w="2164" w:type="dxa"/>
            <w:vMerge/>
            <w:shd w:val="clear" w:color="auto" w:fill="1F4E79" w:themeFill="accent5" w:themeFillShade="80"/>
            <w:vAlign w:val="center"/>
            <w:hideMark/>
          </w:tcPr>
          <w:p w14:paraId="78A3AF81" w14:textId="77777777" w:rsidR="00862BC9" w:rsidRPr="00862BC9" w:rsidRDefault="00862BC9" w:rsidP="00376D49">
            <w:pPr>
              <w:rPr>
                <w:rFonts w:ascii="Arial" w:hAnsi="Arial" w:cs="Arial"/>
                <w:color w:val="FFFFFF" w:themeColor="background1"/>
                <w:sz w:val="20"/>
                <w:szCs w:val="20"/>
                <w:lang w:val="es-AR"/>
              </w:rPr>
            </w:pPr>
          </w:p>
        </w:tc>
        <w:tc>
          <w:tcPr>
            <w:tcW w:w="1384" w:type="dxa"/>
            <w:shd w:val="clear" w:color="auto" w:fill="1F4E79" w:themeFill="accent5" w:themeFillShade="80"/>
            <w:vAlign w:val="center"/>
            <w:hideMark/>
          </w:tcPr>
          <w:p w14:paraId="3A90F10F" w14:textId="77777777" w:rsidR="00862BC9" w:rsidRPr="00862BC9" w:rsidRDefault="00862BC9" w:rsidP="00376D49">
            <w:pPr>
              <w:spacing w:after="0"/>
              <w:jc w:val="center"/>
              <w:rPr>
                <w:rFonts w:ascii="Arial" w:hAnsi="Arial" w:cs="Arial"/>
                <w:b/>
                <w:bCs/>
                <w:color w:val="FFFFFF" w:themeColor="background1"/>
                <w:sz w:val="20"/>
                <w:szCs w:val="20"/>
                <w:lang w:val="es-AR"/>
              </w:rPr>
            </w:pPr>
            <w:r w:rsidRPr="00862BC9">
              <w:rPr>
                <w:rFonts w:ascii="Arial" w:hAnsi="Arial" w:cs="Arial"/>
                <w:b/>
                <w:bCs/>
                <w:color w:val="FFFFFF" w:themeColor="background1"/>
                <w:sz w:val="20"/>
                <w:szCs w:val="20"/>
                <w:lang w:val="es-AR"/>
              </w:rPr>
              <w:t>Construcción</w:t>
            </w:r>
          </w:p>
        </w:tc>
        <w:tc>
          <w:tcPr>
            <w:tcW w:w="1384" w:type="dxa"/>
            <w:shd w:val="clear" w:color="auto" w:fill="1F4E79" w:themeFill="accent5" w:themeFillShade="80"/>
            <w:vAlign w:val="center"/>
            <w:hideMark/>
          </w:tcPr>
          <w:p w14:paraId="657C9667" w14:textId="77777777" w:rsidR="00862BC9" w:rsidRPr="00862BC9" w:rsidRDefault="00862BC9" w:rsidP="00376D49">
            <w:pPr>
              <w:spacing w:after="0"/>
              <w:jc w:val="center"/>
              <w:rPr>
                <w:rFonts w:ascii="Arial" w:hAnsi="Arial" w:cs="Arial"/>
                <w:b/>
                <w:bCs/>
                <w:color w:val="FFFFFF" w:themeColor="background1"/>
                <w:sz w:val="20"/>
                <w:szCs w:val="20"/>
                <w:lang w:val="es-AR"/>
              </w:rPr>
            </w:pPr>
            <w:r w:rsidRPr="00862BC9">
              <w:rPr>
                <w:rFonts w:ascii="Arial" w:hAnsi="Arial" w:cs="Arial"/>
                <w:b/>
                <w:bCs/>
                <w:color w:val="FFFFFF" w:themeColor="background1"/>
                <w:sz w:val="20"/>
                <w:szCs w:val="20"/>
                <w:lang w:val="es-AR"/>
              </w:rPr>
              <w:t>Servicios</w:t>
            </w:r>
          </w:p>
        </w:tc>
        <w:tc>
          <w:tcPr>
            <w:tcW w:w="1368" w:type="dxa"/>
            <w:shd w:val="clear" w:color="auto" w:fill="1F4E79" w:themeFill="accent5" w:themeFillShade="80"/>
            <w:vAlign w:val="center"/>
            <w:hideMark/>
          </w:tcPr>
          <w:p w14:paraId="77A2D1F8" w14:textId="77777777" w:rsidR="00862BC9" w:rsidRPr="00862BC9" w:rsidRDefault="00862BC9" w:rsidP="00376D49">
            <w:pPr>
              <w:spacing w:after="0"/>
              <w:jc w:val="center"/>
              <w:rPr>
                <w:rFonts w:ascii="Arial" w:hAnsi="Arial" w:cs="Arial"/>
                <w:b/>
                <w:bCs/>
                <w:color w:val="FFFFFF" w:themeColor="background1"/>
                <w:sz w:val="20"/>
                <w:szCs w:val="20"/>
                <w:lang w:val="es-AR"/>
              </w:rPr>
            </w:pPr>
            <w:r w:rsidRPr="00862BC9">
              <w:rPr>
                <w:rFonts w:ascii="Arial" w:hAnsi="Arial" w:cs="Arial"/>
                <w:b/>
                <w:bCs/>
                <w:color w:val="FFFFFF" w:themeColor="background1"/>
                <w:sz w:val="20"/>
                <w:szCs w:val="20"/>
                <w:lang w:val="es-AR"/>
              </w:rPr>
              <w:t>Comercio</w:t>
            </w:r>
          </w:p>
        </w:tc>
        <w:tc>
          <w:tcPr>
            <w:tcW w:w="1435" w:type="dxa"/>
            <w:shd w:val="clear" w:color="auto" w:fill="1F4E79" w:themeFill="accent5" w:themeFillShade="80"/>
            <w:vAlign w:val="center"/>
            <w:hideMark/>
          </w:tcPr>
          <w:p w14:paraId="3C5E0E28" w14:textId="77777777" w:rsidR="00862BC9" w:rsidRPr="00862BC9" w:rsidRDefault="00862BC9" w:rsidP="00376D49">
            <w:pPr>
              <w:spacing w:after="0"/>
              <w:jc w:val="center"/>
              <w:rPr>
                <w:rFonts w:ascii="Arial" w:hAnsi="Arial" w:cs="Arial"/>
                <w:b/>
                <w:bCs/>
                <w:color w:val="FFFFFF" w:themeColor="background1"/>
                <w:sz w:val="20"/>
                <w:szCs w:val="20"/>
                <w:lang w:val="es-AR"/>
              </w:rPr>
            </w:pPr>
            <w:r w:rsidRPr="00862BC9">
              <w:rPr>
                <w:rFonts w:ascii="Arial" w:hAnsi="Arial" w:cs="Arial"/>
                <w:b/>
                <w:bCs/>
                <w:color w:val="FFFFFF" w:themeColor="background1"/>
                <w:sz w:val="20"/>
                <w:szCs w:val="20"/>
                <w:lang w:val="es-AR"/>
              </w:rPr>
              <w:t>Industria y minería</w:t>
            </w:r>
          </w:p>
        </w:tc>
        <w:tc>
          <w:tcPr>
            <w:tcW w:w="1620" w:type="dxa"/>
            <w:shd w:val="clear" w:color="auto" w:fill="1F4E79" w:themeFill="accent5" w:themeFillShade="80"/>
            <w:vAlign w:val="center"/>
            <w:hideMark/>
          </w:tcPr>
          <w:p w14:paraId="7F51E021" w14:textId="77777777" w:rsidR="00862BC9" w:rsidRPr="00862BC9" w:rsidRDefault="00862BC9" w:rsidP="00376D49">
            <w:pPr>
              <w:spacing w:after="0"/>
              <w:jc w:val="center"/>
              <w:rPr>
                <w:rFonts w:ascii="Arial" w:hAnsi="Arial" w:cs="Arial"/>
                <w:b/>
                <w:bCs/>
                <w:color w:val="FFFFFF" w:themeColor="background1"/>
                <w:sz w:val="20"/>
                <w:szCs w:val="20"/>
                <w:lang w:val="es-AR"/>
              </w:rPr>
            </w:pPr>
            <w:r w:rsidRPr="00862BC9">
              <w:rPr>
                <w:rFonts w:ascii="Arial" w:hAnsi="Arial" w:cs="Arial"/>
                <w:b/>
                <w:bCs/>
                <w:color w:val="FFFFFF" w:themeColor="background1"/>
                <w:sz w:val="20"/>
                <w:szCs w:val="20"/>
                <w:lang w:val="es-AR"/>
              </w:rPr>
              <w:t>Agropecuario</w:t>
            </w:r>
          </w:p>
        </w:tc>
      </w:tr>
      <w:tr w:rsidR="00862BC9" w:rsidRPr="00862BC9" w14:paraId="61605B13" w14:textId="77777777" w:rsidTr="00376D49">
        <w:trPr>
          <w:trHeight w:val="432"/>
        </w:trPr>
        <w:tc>
          <w:tcPr>
            <w:tcW w:w="2164" w:type="dxa"/>
            <w:shd w:val="clear" w:color="auto" w:fill="auto"/>
            <w:vAlign w:val="center"/>
            <w:hideMark/>
          </w:tcPr>
          <w:p w14:paraId="25C3413D" w14:textId="77777777" w:rsidR="00862BC9" w:rsidRPr="00862BC9" w:rsidRDefault="00862BC9" w:rsidP="00376D49">
            <w:pPr>
              <w:spacing w:after="0"/>
              <w:rPr>
                <w:rFonts w:ascii="Arial" w:hAnsi="Arial" w:cs="Arial"/>
                <w:color w:val="333333"/>
                <w:sz w:val="20"/>
                <w:szCs w:val="20"/>
                <w:lang w:val="es-AR"/>
              </w:rPr>
            </w:pPr>
            <w:r w:rsidRPr="00862BC9">
              <w:rPr>
                <w:rFonts w:ascii="Arial" w:hAnsi="Arial" w:cs="Arial"/>
                <w:color w:val="333333"/>
                <w:sz w:val="20"/>
                <w:szCs w:val="20"/>
                <w:lang w:val="es-AR"/>
              </w:rPr>
              <w:t>Micro</w:t>
            </w:r>
          </w:p>
        </w:tc>
        <w:tc>
          <w:tcPr>
            <w:tcW w:w="1384" w:type="dxa"/>
            <w:shd w:val="clear" w:color="auto" w:fill="auto"/>
            <w:vAlign w:val="center"/>
            <w:hideMark/>
          </w:tcPr>
          <w:p w14:paraId="4EAA94EF" w14:textId="124FD5ED" w:rsidR="00862BC9" w:rsidRPr="00862BC9" w:rsidRDefault="00862BC9" w:rsidP="00376D49">
            <w:pPr>
              <w:spacing w:after="0"/>
              <w:jc w:val="right"/>
              <w:rPr>
                <w:rFonts w:ascii="Arial" w:hAnsi="Arial" w:cs="Arial"/>
                <w:color w:val="333333"/>
                <w:sz w:val="20"/>
                <w:szCs w:val="20"/>
                <w:lang w:val="es-AR"/>
              </w:rPr>
            </w:pPr>
            <w:r>
              <w:rPr>
                <w:rFonts w:ascii="Arial" w:hAnsi="Arial" w:cs="Arial"/>
                <w:color w:val="333333"/>
                <w:sz w:val="20"/>
                <w:szCs w:val="20"/>
                <w:lang w:val="es-AR"/>
              </w:rPr>
              <w:t>12</w:t>
            </w:r>
          </w:p>
        </w:tc>
        <w:tc>
          <w:tcPr>
            <w:tcW w:w="1384" w:type="dxa"/>
            <w:shd w:val="clear" w:color="auto" w:fill="auto"/>
            <w:vAlign w:val="center"/>
            <w:hideMark/>
          </w:tcPr>
          <w:p w14:paraId="01206228" w14:textId="69E666B6" w:rsidR="00862BC9" w:rsidRPr="00862BC9" w:rsidRDefault="00FB5FFE" w:rsidP="00376D49">
            <w:pPr>
              <w:spacing w:after="0"/>
              <w:jc w:val="right"/>
              <w:rPr>
                <w:rFonts w:ascii="Arial" w:hAnsi="Arial" w:cs="Arial"/>
                <w:color w:val="333333"/>
                <w:sz w:val="20"/>
                <w:szCs w:val="20"/>
                <w:lang w:val="es-AR"/>
              </w:rPr>
            </w:pPr>
            <w:r>
              <w:rPr>
                <w:rFonts w:ascii="Arial" w:hAnsi="Arial" w:cs="Arial"/>
                <w:color w:val="333333"/>
                <w:sz w:val="20"/>
                <w:szCs w:val="20"/>
                <w:lang w:val="es-AR"/>
              </w:rPr>
              <w:t>7</w:t>
            </w:r>
          </w:p>
        </w:tc>
        <w:tc>
          <w:tcPr>
            <w:tcW w:w="1368" w:type="dxa"/>
            <w:shd w:val="clear" w:color="auto" w:fill="auto"/>
            <w:vAlign w:val="center"/>
            <w:hideMark/>
          </w:tcPr>
          <w:p w14:paraId="52623707" w14:textId="49E2DB86" w:rsidR="00862BC9" w:rsidRPr="00862BC9" w:rsidRDefault="00FB5FFE" w:rsidP="00376D49">
            <w:pPr>
              <w:spacing w:after="0"/>
              <w:jc w:val="right"/>
              <w:rPr>
                <w:rFonts w:ascii="Arial" w:hAnsi="Arial" w:cs="Arial"/>
                <w:color w:val="333333"/>
                <w:sz w:val="20"/>
                <w:szCs w:val="20"/>
                <w:lang w:val="es-AR"/>
              </w:rPr>
            </w:pPr>
            <w:r>
              <w:rPr>
                <w:rFonts w:ascii="Arial" w:hAnsi="Arial" w:cs="Arial"/>
                <w:color w:val="333333"/>
                <w:sz w:val="20"/>
                <w:szCs w:val="20"/>
                <w:lang w:val="es-AR"/>
              </w:rPr>
              <w:t>7</w:t>
            </w:r>
          </w:p>
        </w:tc>
        <w:tc>
          <w:tcPr>
            <w:tcW w:w="1435" w:type="dxa"/>
            <w:shd w:val="clear" w:color="auto" w:fill="auto"/>
            <w:vAlign w:val="center"/>
            <w:hideMark/>
          </w:tcPr>
          <w:p w14:paraId="1CE5DE9D" w14:textId="169E9493" w:rsidR="00862BC9" w:rsidRPr="00862BC9" w:rsidRDefault="00FB5FFE" w:rsidP="00376D49">
            <w:pPr>
              <w:spacing w:after="0"/>
              <w:jc w:val="right"/>
              <w:rPr>
                <w:rFonts w:ascii="Arial" w:hAnsi="Arial" w:cs="Arial"/>
                <w:color w:val="333333"/>
                <w:sz w:val="20"/>
                <w:szCs w:val="20"/>
                <w:lang w:val="es-AR"/>
              </w:rPr>
            </w:pPr>
            <w:r>
              <w:rPr>
                <w:rFonts w:ascii="Arial" w:hAnsi="Arial" w:cs="Arial"/>
                <w:color w:val="333333"/>
                <w:sz w:val="20"/>
                <w:szCs w:val="20"/>
                <w:lang w:val="es-AR"/>
              </w:rPr>
              <w:t>15</w:t>
            </w:r>
          </w:p>
        </w:tc>
        <w:tc>
          <w:tcPr>
            <w:tcW w:w="1620" w:type="dxa"/>
            <w:shd w:val="clear" w:color="auto" w:fill="auto"/>
            <w:vAlign w:val="center"/>
            <w:hideMark/>
          </w:tcPr>
          <w:p w14:paraId="3999EE86" w14:textId="614802BC" w:rsidR="00862BC9" w:rsidRPr="00862BC9" w:rsidRDefault="00FB5FFE" w:rsidP="00376D49">
            <w:pPr>
              <w:spacing w:after="0"/>
              <w:jc w:val="right"/>
              <w:rPr>
                <w:rFonts w:ascii="Arial" w:hAnsi="Arial" w:cs="Arial"/>
                <w:color w:val="333333"/>
                <w:sz w:val="20"/>
                <w:szCs w:val="20"/>
                <w:lang w:val="es-AR"/>
              </w:rPr>
            </w:pPr>
            <w:r>
              <w:rPr>
                <w:rFonts w:ascii="Arial" w:hAnsi="Arial" w:cs="Arial"/>
                <w:color w:val="333333"/>
                <w:sz w:val="20"/>
                <w:szCs w:val="20"/>
                <w:lang w:val="es-AR"/>
              </w:rPr>
              <w:t>5</w:t>
            </w:r>
          </w:p>
        </w:tc>
      </w:tr>
      <w:tr w:rsidR="00862BC9" w:rsidRPr="00862BC9" w14:paraId="35610717" w14:textId="77777777" w:rsidTr="00376D49">
        <w:trPr>
          <w:trHeight w:val="432"/>
        </w:trPr>
        <w:tc>
          <w:tcPr>
            <w:tcW w:w="2164" w:type="dxa"/>
            <w:shd w:val="clear" w:color="auto" w:fill="F2F2F2" w:themeFill="background1" w:themeFillShade="F2"/>
            <w:vAlign w:val="center"/>
            <w:hideMark/>
          </w:tcPr>
          <w:p w14:paraId="4892E448" w14:textId="77777777" w:rsidR="00862BC9" w:rsidRPr="00862BC9" w:rsidRDefault="00862BC9" w:rsidP="00376D49">
            <w:pPr>
              <w:spacing w:after="0"/>
              <w:rPr>
                <w:rFonts w:ascii="Arial" w:hAnsi="Arial" w:cs="Arial"/>
                <w:color w:val="333333"/>
                <w:sz w:val="20"/>
                <w:szCs w:val="20"/>
                <w:lang w:val="es-AR"/>
              </w:rPr>
            </w:pPr>
            <w:r w:rsidRPr="00862BC9">
              <w:rPr>
                <w:rFonts w:ascii="Arial" w:hAnsi="Arial" w:cs="Arial"/>
                <w:color w:val="333333"/>
                <w:sz w:val="20"/>
                <w:szCs w:val="20"/>
                <w:lang w:val="es-AR"/>
              </w:rPr>
              <w:t>Pequeña</w:t>
            </w:r>
          </w:p>
        </w:tc>
        <w:tc>
          <w:tcPr>
            <w:tcW w:w="1384" w:type="dxa"/>
            <w:shd w:val="clear" w:color="auto" w:fill="F2F2F2" w:themeFill="background1" w:themeFillShade="F2"/>
            <w:vAlign w:val="center"/>
            <w:hideMark/>
          </w:tcPr>
          <w:p w14:paraId="464C8C13" w14:textId="2C90DD8D" w:rsidR="00862BC9" w:rsidRPr="00862BC9" w:rsidRDefault="00FB5FFE" w:rsidP="00376D49">
            <w:pPr>
              <w:spacing w:after="0"/>
              <w:jc w:val="right"/>
              <w:rPr>
                <w:rFonts w:ascii="Arial" w:hAnsi="Arial" w:cs="Arial"/>
                <w:color w:val="333333"/>
                <w:sz w:val="20"/>
                <w:szCs w:val="20"/>
                <w:lang w:val="es-AR"/>
              </w:rPr>
            </w:pPr>
            <w:r>
              <w:rPr>
                <w:rFonts w:ascii="Arial" w:hAnsi="Arial" w:cs="Arial"/>
                <w:color w:val="333333"/>
                <w:sz w:val="20"/>
                <w:szCs w:val="20"/>
                <w:lang w:val="es-AR"/>
              </w:rPr>
              <w:t>45</w:t>
            </w:r>
          </w:p>
        </w:tc>
        <w:tc>
          <w:tcPr>
            <w:tcW w:w="1384" w:type="dxa"/>
            <w:shd w:val="clear" w:color="auto" w:fill="F2F2F2" w:themeFill="background1" w:themeFillShade="F2"/>
            <w:vAlign w:val="center"/>
            <w:hideMark/>
          </w:tcPr>
          <w:p w14:paraId="01A6A0A7" w14:textId="7B903753" w:rsidR="00862BC9" w:rsidRPr="00862BC9" w:rsidRDefault="00FB5FFE" w:rsidP="00376D49">
            <w:pPr>
              <w:spacing w:after="0"/>
              <w:jc w:val="right"/>
              <w:rPr>
                <w:rFonts w:ascii="Arial" w:hAnsi="Arial" w:cs="Arial"/>
                <w:color w:val="333333"/>
                <w:sz w:val="20"/>
                <w:szCs w:val="20"/>
                <w:lang w:val="es-AR"/>
              </w:rPr>
            </w:pPr>
            <w:r>
              <w:rPr>
                <w:rFonts w:ascii="Arial" w:hAnsi="Arial" w:cs="Arial"/>
                <w:color w:val="333333"/>
                <w:sz w:val="20"/>
                <w:szCs w:val="20"/>
                <w:lang w:val="es-AR"/>
              </w:rPr>
              <w:t>30</w:t>
            </w:r>
          </w:p>
        </w:tc>
        <w:tc>
          <w:tcPr>
            <w:tcW w:w="1368" w:type="dxa"/>
            <w:shd w:val="clear" w:color="auto" w:fill="F2F2F2" w:themeFill="background1" w:themeFillShade="F2"/>
            <w:vAlign w:val="center"/>
            <w:hideMark/>
          </w:tcPr>
          <w:p w14:paraId="706DE1C9" w14:textId="4C2FDA98" w:rsidR="00862BC9" w:rsidRPr="00862BC9" w:rsidRDefault="00FB5FFE" w:rsidP="00376D49">
            <w:pPr>
              <w:spacing w:after="0"/>
              <w:jc w:val="right"/>
              <w:rPr>
                <w:rFonts w:ascii="Arial" w:hAnsi="Arial" w:cs="Arial"/>
                <w:color w:val="333333"/>
                <w:sz w:val="20"/>
                <w:szCs w:val="20"/>
                <w:lang w:val="es-AR"/>
              </w:rPr>
            </w:pPr>
            <w:r>
              <w:rPr>
                <w:rFonts w:ascii="Arial" w:hAnsi="Arial" w:cs="Arial"/>
                <w:color w:val="333333"/>
                <w:sz w:val="20"/>
                <w:szCs w:val="20"/>
                <w:lang w:val="es-AR"/>
              </w:rPr>
              <w:t>35</w:t>
            </w:r>
          </w:p>
        </w:tc>
        <w:tc>
          <w:tcPr>
            <w:tcW w:w="1435" w:type="dxa"/>
            <w:shd w:val="clear" w:color="auto" w:fill="F2F2F2" w:themeFill="background1" w:themeFillShade="F2"/>
            <w:vAlign w:val="center"/>
            <w:hideMark/>
          </w:tcPr>
          <w:p w14:paraId="427BC1EC" w14:textId="06C0CFA8" w:rsidR="00862BC9" w:rsidRPr="00862BC9" w:rsidRDefault="00FB5FFE" w:rsidP="00376D49">
            <w:pPr>
              <w:spacing w:after="0"/>
              <w:jc w:val="right"/>
              <w:rPr>
                <w:rFonts w:ascii="Arial" w:hAnsi="Arial" w:cs="Arial"/>
                <w:color w:val="333333"/>
                <w:sz w:val="20"/>
                <w:szCs w:val="20"/>
                <w:lang w:val="es-AR"/>
              </w:rPr>
            </w:pPr>
            <w:r>
              <w:rPr>
                <w:rFonts w:ascii="Arial" w:hAnsi="Arial" w:cs="Arial"/>
                <w:color w:val="333333"/>
                <w:sz w:val="20"/>
                <w:szCs w:val="20"/>
                <w:lang w:val="es-AR"/>
              </w:rPr>
              <w:t>60</w:t>
            </w:r>
          </w:p>
        </w:tc>
        <w:tc>
          <w:tcPr>
            <w:tcW w:w="1620" w:type="dxa"/>
            <w:shd w:val="clear" w:color="auto" w:fill="F2F2F2" w:themeFill="background1" w:themeFillShade="F2"/>
            <w:vAlign w:val="center"/>
            <w:hideMark/>
          </w:tcPr>
          <w:p w14:paraId="20CB6150" w14:textId="1C2E17E8" w:rsidR="00862BC9" w:rsidRPr="00862BC9" w:rsidRDefault="00FB5FFE" w:rsidP="00376D49">
            <w:pPr>
              <w:spacing w:after="0"/>
              <w:jc w:val="right"/>
              <w:rPr>
                <w:rFonts w:ascii="Arial" w:hAnsi="Arial" w:cs="Arial"/>
                <w:color w:val="333333"/>
                <w:sz w:val="20"/>
                <w:szCs w:val="20"/>
                <w:lang w:val="es-AR"/>
              </w:rPr>
            </w:pPr>
            <w:r>
              <w:rPr>
                <w:rFonts w:ascii="Arial" w:hAnsi="Arial" w:cs="Arial"/>
                <w:color w:val="333333"/>
                <w:sz w:val="20"/>
                <w:szCs w:val="20"/>
                <w:lang w:val="es-AR"/>
              </w:rPr>
              <w:t>10</w:t>
            </w:r>
          </w:p>
        </w:tc>
      </w:tr>
      <w:tr w:rsidR="00862BC9" w:rsidRPr="00862BC9" w14:paraId="7F15765F" w14:textId="77777777" w:rsidTr="00376D49">
        <w:trPr>
          <w:trHeight w:val="432"/>
        </w:trPr>
        <w:tc>
          <w:tcPr>
            <w:tcW w:w="2164" w:type="dxa"/>
            <w:shd w:val="clear" w:color="auto" w:fill="auto"/>
            <w:vAlign w:val="center"/>
            <w:hideMark/>
          </w:tcPr>
          <w:p w14:paraId="6659CCB4" w14:textId="77777777" w:rsidR="00862BC9" w:rsidRPr="00862BC9" w:rsidRDefault="00862BC9" w:rsidP="00376D49">
            <w:pPr>
              <w:spacing w:after="0"/>
              <w:rPr>
                <w:rFonts w:ascii="Arial" w:hAnsi="Arial" w:cs="Arial"/>
                <w:color w:val="333333"/>
                <w:sz w:val="20"/>
                <w:szCs w:val="20"/>
                <w:lang w:val="es-AR"/>
              </w:rPr>
            </w:pPr>
            <w:r w:rsidRPr="00862BC9">
              <w:rPr>
                <w:rFonts w:ascii="Arial" w:hAnsi="Arial" w:cs="Arial"/>
                <w:color w:val="333333"/>
                <w:sz w:val="20"/>
                <w:szCs w:val="20"/>
                <w:lang w:val="es-AR"/>
              </w:rPr>
              <w:t>Mediana tramo 1</w:t>
            </w:r>
          </w:p>
        </w:tc>
        <w:tc>
          <w:tcPr>
            <w:tcW w:w="1384" w:type="dxa"/>
            <w:shd w:val="clear" w:color="auto" w:fill="auto"/>
            <w:vAlign w:val="center"/>
            <w:hideMark/>
          </w:tcPr>
          <w:p w14:paraId="1E0EFCF2" w14:textId="368B696D" w:rsidR="00862BC9" w:rsidRPr="00862BC9" w:rsidRDefault="00FB5FFE" w:rsidP="00376D49">
            <w:pPr>
              <w:spacing w:after="0"/>
              <w:jc w:val="right"/>
              <w:rPr>
                <w:rFonts w:ascii="Arial" w:hAnsi="Arial" w:cs="Arial"/>
                <w:color w:val="333333"/>
                <w:sz w:val="20"/>
                <w:szCs w:val="20"/>
                <w:lang w:val="es-AR"/>
              </w:rPr>
            </w:pPr>
            <w:r>
              <w:rPr>
                <w:rFonts w:ascii="Arial" w:hAnsi="Arial" w:cs="Arial"/>
                <w:color w:val="333333"/>
                <w:sz w:val="20"/>
                <w:szCs w:val="20"/>
                <w:lang w:val="es-AR"/>
              </w:rPr>
              <w:t>200</w:t>
            </w:r>
          </w:p>
        </w:tc>
        <w:tc>
          <w:tcPr>
            <w:tcW w:w="1384" w:type="dxa"/>
            <w:shd w:val="clear" w:color="auto" w:fill="auto"/>
            <w:vAlign w:val="center"/>
            <w:hideMark/>
          </w:tcPr>
          <w:p w14:paraId="400A8470" w14:textId="2373AF94" w:rsidR="00862BC9" w:rsidRPr="00862BC9" w:rsidRDefault="00FB5FFE" w:rsidP="00376D49">
            <w:pPr>
              <w:spacing w:after="0"/>
              <w:jc w:val="right"/>
              <w:rPr>
                <w:rFonts w:ascii="Arial" w:hAnsi="Arial" w:cs="Arial"/>
                <w:color w:val="333333"/>
                <w:sz w:val="20"/>
                <w:szCs w:val="20"/>
                <w:lang w:val="es-AR"/>
              </w:rPr>
            </w:pPr>
            <w:r>
              <w:rPr>
                <w:rFonts w:ascii="Arial" w:hAnsi="Arial" w:cs="Arial"/>
                <w:color w:val="333333"/>
                <w:sz w:val="20"/>
                <w:szCs w:val="20"/>
                <w:lang w:val="es-AR"/>
              </w:rPr>
              <w:t>165</w:t>
            </w:r>
          </w:p>
        </w:tc>
        <w:tc>
          <w:tcPr>
            <w:tcW w:w="1368" w:type="dxa"/>
            <w:shd w:val="clear" w:color="auto" w:fill="auto"/>
            <w:vAlign w:val="center"/>
            <w:hideMark/>
          </w:tcPr>
          <w:p w14:paraId="6E87A330" w14:textId="1C679971" w:rsidR="00862BC9" w:rsidRPr="00862BC9" w:rsidRDefault="00FB5FFE" w:rsidP="00376D49">
            <w:pPr>
              <w:spacing w:after="0"/>
              <w:jc w:val="right"/>
              <w:rPr>
                <w:rFonts w:ascii="Arial" w:hAnsi="Arial" w:cs="Arial"/>
                <w:color w:val="333333"/>
                <w:sz w:val="20"/>
                <w:szCs w:val="20"/>
                <w:lang w:val="es-AR"/>
              </w:rPr>
            </w:pPr>
            <w:r>
              <w:rPr>
                <w:rFonts w:ascii="Arial" w:hAnsi="Arial" w:cs="Arial"/>
                <w:color w:val="333333"/>
                <w:sz w:val="20"/>
                <w:szCs w:val="20"/>
                <w:lang w:val="es-AR"/>
              </w:rPr>
              <w:t>125</w:t>
            </w:r>
          </w:p>
        </w:tc>
        <w:tc>
          <w:tcPr>
            <w:tcW w:w="1435" w:type="dxa"/>
            <w:shd w:val="clear" w:color="auto" w:fill="auto"/>
            <w:vAlign w:val="center"/>
            <w:hideMark/>
          </w:tcPr>
          <w:p w14:paraId="648C54DB" w14:textId="4D97C87B" w:rsidR="00862BC9" w:rsidRPr="00862BC9" w:rsidRDefault="00FB5FFE" w:rsidP="00376D49">
            <w:pPr>
              <w:spacing w:after="0"/>
              <w:jc w:val="right"/>
              <w:rPr>
                <w:rFonts w:ascii="Arial" w:hAnsi="Arial" w:cs="Arial"/>
                <w:color w:val="333333"/>
                <w:sz w:val="20"/>
                <w:szCs w:val="20"/>
                <w:lang w:val="es-AR"/>
              </w:rPr>
            </w:pPr>
            <w:r>
              <w:rPr>
                <w:rFonts w:ascii="Arial" w:hAnsi="Arial" w:cs="Arial"/>
                <w:color w:val="333333"/>
                <w:sz w:val="20"/>
                <w:szCs w:val="20"/>
                <w:lang w:val="es-AR"/>
              </w:rPr>
              <w:t>235</w:t>
            </w:r>
          </w:p>
        </w:tc>
        <w:tc>
          <w:tcPr>
            <w:tcW w:w="1620" w:type="dxa"/>
            <w:shd w:val="clear" w:color="auto" w:fill="auto"/>
            <w:vAlign w:val="center"/>
            <w:hideMark/>
          </w:tcPr>
          <w:p w14:paraId="76A04F77" w14:textId="3C82086B" w:rsidR="00862BC9" w:rsidRPr="00862BC9" w:rsidRDefault="00FB5FFE" w:rsidP="00376D49">
            <w:pPr>
              <w:spacing w:after="0"/>
              <w:jc w:val="right"/>
              <w:rPr>
                <w:rFonts w:ascii="Arial" w:hAnsi="Arial" w:cs="Arial"/>
                <w:color w:val="333333"/>
                <w:sz w:val="20"/>
                <w:szCs w:val="20"/>
                <w:lang w:val="es-AR"/>
              </w:rPr>
            </w:pPr>
            <w:r>
              <w:rPr>
                <w:rFonts w:ascii="Arial" w:hAnsi="Arial" w:cs="Arial"/>
                <w:color w:val="333333"/>
                <w:sz w:val="20"/>
                <w:szCs w:val="20"/>
                <w:lang w:val="es-AR"/>
              </w:rPr>
              <w:t>50</w:t>
            </w:r>
          </w:p>
        </w:tc>
      </w:tr>
      <w:tr w:rsidR="00862BC9" w:rsidRPr="00862BC9" w14:paraId="05C04F81" w14:textId="77777777" w:rsidTr="00376D49">
        <w:trPr>
          <w:trHeight w:val="432"/>
        </w:trPr>
        <w:tc>
          <w:tcPr>
            <w:tcW w:w="2164" w:type="dxa"/>
            <w:shd w:val="clear" w:color="auto" w:fill="F2F2F2" w:themeFill="background1" w:themeFillShade="F2"/>
            <w:vAlign w:val="center"/>
            <w:hideMark/>
          </w:tcPr>
          <w:p w14:paraId="756B1B4F" w14:textId="77777777" w:rsidR="00862BC9" w:rsidRPr="00862BC9" w:rsidRDefault="00862BC9" w:rsidP="00376D49">
            <w:pPr>
              <w:spacing w:after="0"/>
              <w:rPr>
                <w:rFonts w:ascii="Arial" w:hAnsi="Arial" w:cs="Arial"/>
                <w:color w:val="333333"/>
                <w:sz w:val="20"/>
                <w:szCs w:val="20"/>
                <w:lang w:val="es-AR"/>
              </w:rPr>
            </w:pPr>
            <w:r w:rsidRPr="00862BC9">
              <w:rPr>
                <w:rFonts w:ascii="Arial" w:hAnsi="Arial" w:cs="Arial"/>
                <w:color w:val="333333"/>
                <w:sz w:val="20"/>
                <w:szCs w:val="20"/>
                <w:lang w:val="es-AR"/>
              </w:rPr>
              <w:t>Mediana tramo 2</w:t>
            </w:r>
          </w:p>
        </w:tc>
        <w:tc>
          <w:tcPr>
            <w:tcW w:w="1384" w:type="dxa"/>
            <w:shd w:val="clear" w:color="auto" w:fill="F2F2F2" w:themeFill="background1" w:themeFillShade="F2"/>
            <w:vAlign w:val="center"/>
            <w:hideMark/>
          </w:tcPr>
          <w:p w14:paraId="2903AF32" w14:textId="7FB938A3" w:rsidR="00862BC9" w:rsidRPr="00862BC9" w:rsidRDefault="00FB5FFE" w:rsidP="00376D49">
            <w:pPr>
              <w:spacing w:after="0"/>
              <w:jc w:val="right"/>
              <w:rPr>
                <w:rFonts w:ascii="Arial" w:hAnsi="Arial" w:cs="Arial"/>
                <w:color w:val="333333"/>
                <w:sz w:val="20"/>
                <w:szCs w:val="20"/>
                <w:lang w:val="es-AR"/>
              </w:rPr>
            </w:pPr>
            <w:r>
              <w:rPr>
                <w:rFonts w:ascii="Arial" w:hAnsi="Arial" w:cs="Arial"/>
                <w:color w:val="333333"/>
                <w:sz w:val="20"/>
                <w:szCs w:val="20"/>
                <w:lang w:val="es-AR"/>
              </w:rPr>
              <w:t>590</w:t>
            </w:r>
          </w:p>
        </w:tc>
        <w:tc>
          <w:tcPr>
            <w:tcW w:w="1384" w:type="dxa"/>
            <w:shd w:val="clear" w:color="auto" w:fill="F2F2F2" w:themeFill="background1" w:themeFillShade="F2"/>
            <w:vAlign w:val="center"/>
            <w:hideMark/>
          </w:tcPr>
          <w:p w14:paraId="0D64D0A2" w14:textId="1391C73E" w:rsidR="00862BC9" w:rsidRPr="00862BC9" w:rsidRDefault="00FB5FFE" w:rsidP="00376D49">
            <w:pPr>
              <w:spacing w:after="0"/>
              <w:jc w:val="right"/>
              <w:rPr>
                <w:rFonts w:ascii="Arial" w:hAnsi="Arial" w:cs="Arial"/>
                <w:color w:val="333333"/>
                <w:sz w:val="20"/>
                <w:szCs w:val="20"/>
                <w:lang w:val="es-AR"/>
              </w:rPr>
            </w:pPr>
            <w:r>
              <w:rPr>
                <w:rFonts w:ascii="Arial" w:hAnsi="Arial" w:cs="Arial"/>
                <w:color w:val="333333"/>
                <w:sz w:val="20"/>
                <w:szCs w:val="20"/>
                <w:lang w:val="es-AR"/>
              </w:rPr>
              <w:t>535</w:t>
            </w:r>
          </w:p>
        </w:tc>
        <w:tc>
          <w:tcPr>
            <w:tcW w:w="1368" w:type="dxa"/>
            <w:shd w:val="clear" w:color="auto" w:fill="F2F2F2" w:themeFill="background1" w:themeFillShade="F2"/>
            <w:vAlign w:val="center"/>
            <w:hideMark/>
          </w:tcPr>
          <w:p w14:paraId="6FA4848E" w14:textId="12CB2BCF" w:rsidR="00862BC9" w:rsidRPr="00862BC9" w:rsidRDefault="00FB5FFE" w:rsidP="00376D49">
            <w:pPr>
              <w:spacing w:after="0"/>
              <w:jc w:val="right"/>
              <w:rPr>
                <w:rFonts w:ascii="Arial" w:hAnsi="Arial" w:cs="Arial"/>
                <w:color w:val="333333"/>
                <w:sz w:val="20"/>
                <w:szCs w:val="20"/>
                <w:lang w:val="es-AR"/>
              </w:rPr>
            </w:pPr>
            <w:r>
              <w:rPr>
                <w:rFonts w:ascii="Arial" w:hAnsi="Arial" w:cs="Arial"/>
                <w:color w:val="333333"/>
                <w:sz w:val="20"/>
                <w:szCs w:val="20"/>
                <w:lang w:val="es-AR"/>
              </w:rPr>
              <w:t>345</w:t>
            </w:r>
          </w:p>
        </w:tc>
        <w:tc>
          <w:tcPr>
            <w:tcW w:w="1435" w:type="dxa"/>
            <w:shd w:val="clear" w:color="auto" w:fill="F2F2F2" w:themeFill="background1" w:themeFillShade="F2"/>
            <w:vAlign w:val="center"/>
            <w:hideMark/>
          </w:tcPr>
          <w:p w14:paraId="157E3426" w14:textId="3D9CDFBB" w:rsidR="00862BC9" w:rsidRPr="00862BC9" w:rsidRDefault="00FB5FFE" w:rsidP="00376D49">
            <w:pPr>
              <w:spacing w:after="0"/>
              <w:jc w:val="right"/>
              <w:rPr>
                <w:rFonts w:ascii="Arial" w:hAnsi="Arial" w:cs="Arial"/>
                <w:color w:val="333333"/>
                <w:sz w:val="20"/>
                <w:szCs w:val="20"/>
                <w:lang w:val="es-AR"/>
              </w:rPr>
            </w:pPr>
            <w:r>
              <w:rPr>
                <w:rFonts w:ascii="Arial" w:hAnsi="Arial" w:cs="Arial"/>
                <w:color w:val="333333"/>
                <w:sz w:val="20"/>
                <w:szCs w:val="20"/>
                <w:lang w:val="es-AR"/>
              </w:rPr>
              <w:t>655</w:t>
            </w:r>
          </w:p>
        </w:tc>
        <w:tc>
          <w:tcPr>
            <w:tcW w:w="1620" w:type="dxa"/>
            <w:shd w:val="clear" w:color="auto" w:fill="F2F2F2" w:themeFill="background1" w:themeFillShade="F2"/>
            <w:vAlign w:val="center"/>
            <w:hideMark/>
          </w:tcPr>
          <w:p w14:paraId="25A35353" w14:textId="2C221F25" w:rsidR="00862BC9" w:rsidRPr="00862BC9" w:rsidRDefault="00FB5FFE" w:rsidP="00376D49">
            <w:pPr>
              <w:spacing w:after="0"/>
              <w:jc w:val="right"/>
              <w:rPr>
                <w:rFonts w:ascii="Arial" w:hAnsi="Arial" w:cs="Arial"/>
                <w:color w:val="333333"/>
                <w:sz w:val="20"/>
                <w:szCs w:val="20"/>
                <w:lang w:val="es-AR"/>
              </w:rPr>
            </w:pPr>
            <w:r>
              <w:rPr>
                <w:rFonts w:ascii="Arial" w:hAnsi="Arial" w:cs="Arial"/>
                <w:color w:val="333333"/>
                <w:sz w:val="20"/>
                <w:szCs w:val="20"/>
                <w:lang w:val="es-AR"/>
              </w:rPr>
              <w:t>215</w:t>
            </w:r>
          </w:p>
        </w:tc>
      </w:tr>
    </w:tbl>
    <w:p w14:paraId="259271DF" w14:textId="5CAE2783" w:rsidR="00446832" w:rsidRDefault="0035769A" w:rsidP="00FB5FFE">
      <w:pPr>
        <w:pStyle w:val="ListParagraph"/>
        <w:numPr>
          <w:ilvl w:val="0"/>
          <w:numId w:val="22"/>
        </w:numPr>
        <w:spacing w:before="120" w:after="120"/>
        <w:rPr>
          <w:rFonts w:ascii="Arial" w:hAnsi="Arial" w:cs="Arial"/>
          <w:sz w:val="22"/>
          <w:szCs w:val="22"/>
          <w:lang w:val="es-419"/>
        </w:rPr>
      </w:pPr>
      <w:r>
        <w:rPr>
          <w:rFonts w:ascii="Arial" w:hAnsi="Arial" w:cs="Arial"/>
          <w:sz w:val="22"/>
          <w:szCs w:val="22"/>
          <w:lang w:val="es-419"/>
        </w:rPr>
        <w:t>Parámetro de facturación anual</w:t>
      </w:r>
      <w:r w:rsidR="008C5A0F">
        <w:rPr>
          <w:rFonts w:ascii="Arial" w:hAnsi="Arial" w:cs="Arial"/>
          <w:sz w:val="22"/>
          <w:szCs w:val="22"/>
          <w:lang w:val="es-419"/>
        </w:rPr>
        <w:t xml:space="preserve"> en pesos ($)</w:t>
      </w:r>
      <w:r>
        <w:rPr>
          <w:rFonts w:ascii="Arial" w:hAnsi="Arial" w:cs="Arial"/>
          <w:sz w:val="22"/>
          <w:szCs w:val="22"/>
          <w:lang w:val="es-419"/>
        </w:rPr>
        <w:t>.</w:t>
      </w:r>
    </w:p>
    <w:tbl>
      <w:tblPr>
        <w:tblW w:w="935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908"/>
        <w:gridCol w:w="1505"/>
        <w:gridCol w:w="1365"/>
        <w:gridCol w:w="1496"/>
        <w:gridCol w:w="1496"/>
        <w:gridCol w:w="1585"/>
      </w:tblGrid>
      <w:tr w:rsidR="00862BC9" w:rsidRPr="00862BC9" w14:paraId="7F617E90" w14:textId="77777777" w:rsidTr="00FB5FFE">
        <w:trPr>
          <w:trHeight w:hRule="exact" w:val="418"/>
        </w:trPr>
        <w:tc>
          <w:tcPr>
            <w:tcW w:w="1908" w:type="dxa"/>
            <w:vMerge w:val="restart"/>
            <w:shd w:val="clear" w:color="auto" w:fill="1F4E79" w:themeFill="accent5" w:themeFillShade="80"/>
            <w:vAlign w:val="center"/>
            <w:hideMark/>
          </w:tcPr>
          <w:p w14:paraId="4FF4D135" w14:textId="711697CE" w:rsidR="008C5A0F" w:rsidRPr="00862BC9" w:rsidRDefault="008C5A0F" w:rsidP="00862BC9">
            <w:pPr>
              <w:spacing w:after="0" w:line="240" w:lineRule="auto"/>
              <w:jc w:val="center"/>
              <w:rPr>
                <w:rFonts w:ascii="Arial" w:eastAsia="Times New Roman" w:hAnsi="Arial" w:cs="Arial"/>
                <w:b/>
                <w:bCs/>
                <w:color w:val="FFFFFF" w:themeColor="background1"/>
                <w:sz w:val="20"/>
                <w:szCs w:val="20"/>
                <w:lang w:val="es-AR" w:eastAsia="en-US"/>
              </w:rPr>
            </w:pPr>
            <w:r w:rsidRPr="00862BC9">
              <w:rPr>
                <w:rFonts w:ascii="Arial" w:hAnsi="Arial" w:cs="Arial"/>
                <w:b/>
                <w:bCs/>
                <w:color w:val="FFFFFF" w:themeColor="background1"/>
                <w:sz w:val="20"/>
                <w:szCs w:val="20"/>
                <w:lang w:val="es-AR"/>
              </w:rPr>
              <w:t>CATEGOR</w:t>
            </w:r>
            <w:r w:rsidR="00862BC9">
              <w:rPr>
                <w:rFonts w:ascii="Arial" w:hAnsi="Arial" w:cs="Arial"/>
                <w:b/>
                <w:bCs/>
                <w:color w:val="FFFFFF" w:themeColor="background1"/>
                <w:sz w:val="20"/>
                <w:szCs w:val="20"/>
                <w:lang w:val="es-AR"/>
              </w:rPr>
              <w:t>Í</w:t>
            </w:r>
            <w:r w:rsidRPr="00862BC9">
              <w:rPr>
                <w:rFonts w:ascii="Arial" w:hAnsi="Arial" w:cs="Arial"/>
                <w:b/>
                <w:bCs/>
                <w:color w:val="FFFFFF" w:themeColor="background1"/>
                <w:sz w:val="20"/>
                <w:szCs w:val="20"/>
                <w:lang w:val="es-AR"/>
              </w:rPr>
              <w:t>A</w:t>
            </w:r>
          </w:p>
        </w:tc>
        <w:tc>
          <w:tcPr>
            <w:tcW w:w="7447" w:type="dxa"/>
            <w:gridSpan w:val="5"/>
            <w:shd w:val="clear" w:color="auto" w:fill="1F4E79" w:themeFill="accent5" w:themeFillShade="80"/>
            <w:vAlign w:val="bottom"/>
            <w:hideMark/>
          </w:tcPr>
          <w:p w14:paraId="7E0ACCD8" w14:textId="68ACDF1D" w:rsidR="008C5A0F" w:rsidRPr="00862BC9" w:rsidRDefault="008C5A0F" w:rsidP="00862BC9">
            <w:pPr>
              <w:spacing w:before="120" w:after="60"/>
              <w:jc w:val="center"/>
              <w:rPr>
                <w:rFonts w:ascii="Arial" w:hAnsi="Arial" w:cs="Arial"/>
                <w:b/>
                <w:bCs/>
                <w:color w:val="FFFFFF" w:themeColor="background1"/>
                <w:sz w:val="20"/>
                <w:szCs w:val="20"/>
                <w:lang w:val="es-AR"/>
              </w:rPr>
            </w:pPr>
            <w:r w:rsidRPr="00862BC9">
              <w:rPr>
                <w:rFonts w:ascii="Arial" w:hAnsi="Arial" w:cs="Arial"/>
                <w:b/>
                <w:bCs/>
                <w:color w:val="FFFFFF" w:themeColor="background1"/>
                <w:sz w:val="20"/>
                <w:szCs w:val="20"/>
                <w:lang w:val="es-AR"/>
              </w:rPr>
              <w:t>ACTIVIDAD</w:t>
            </w:r>
          </w:p>
        </w:tc>
      </w:tr>
      <w:tr w:rsidR="00862BC9" w:rsidRPr="00862BC9" w14:paraId="46747494" w14:textId="77777777" w:rsidTr="00FB5FFE">
        <w:trPr>
          <w:trHeight w:hRule="exact" w:val="576"/>
        </w:trPr>
        <w:tc>
          <w:tcPr>
            <w:tcW w:w="1908" w:type="dxa"/>
            <w:vMerge/>
            <w:shd w:val="clear" w:color="auto" w:fill="1F4E79" w:themeFill="accent5" w:themeFillShade="80"/>
            <w:vAlign w:val="center"/>
            <w:hideMark/>
          </w:tcPr>
          <w:p w14:paraId="5A416381" w14:textId="77777777" w:rsidR="008C5A0F" w:rsidRPr="00862BC9" w:rsidRDefault="008C5A0F">
            <w:pPr>
              <w:rPr>
                <w:rFonts w:ascii="Arial" w:hAnsi="Arial" w:cs="Arial"/>
                <w:color w:val="FFFFFF" w:themeColor="background1"/>
                <w:sz w:val="20"/>
                <w:szCs w:val="20"/>
                <w:lang w:val="es-AR"/>
              </w:rPr>
            </w:pPr>
          </w:p>
        </w:tc>
        <w:tc>
          <w:tcPr>
            <w:tcW w:w="1505" w:type="dxa"/>
            <w:shd w:val="clear" w:color="auto" w:fill="1F4E79" w:themeFill="accent5" w:themeFillShade="80"/>
            <w:vAlign w:val="center"/>
            <w:hideMark/>
          </w:tcPr>
          <w:p w14:paraId="19933C2F" w14:textId="77777777" w:rsidR="008C5A0F" w:rsidRPr="00862BC9" w:rsidRDefault="008C5A0F" w:rsidP="00862BC9">
            <w:pPr>
              <w:spacing w:after="0"/>
              <w:jc w:val="center"/>
              <w:rPr>
                <w:rFonts w:ascii="Arial" w:hAnsi="Arial" w:cs="Arial"/>
                <w:b/>
                <w:bCs/>
                <w:color w:val="FFFFFF" w:themeColor="background1"/>
                <w:sz w:val="20"/>
                <w:szCs w:val="20"/>
                <w:lang w:val="es-AR"/>
              </w:rPr>
            </w:pPr>
            <w:r w:rsidRPr="00862BC9">
              <w:rPr>
                <w:rFonts w:ascii="Arial" w:hAnsi="Arial" w:cs="Arial"/>
                <w:b/>
                <w:bCs/>
                <w:color w:val="FFFFFF" w:themeColor="background1"/>
                <w:sz w:val="20"/>
                <w:szCs w:val="20"/>
                <w:lang w:val="es-AR"/>
              </w:rPr>
              <w:t>Construcción</w:t>
            </w:r>
          </w:p>
        </w:tc>
        <w:tc>
          <w:tcPr>
            <w:tcW w:w="1365" w:type="dxa"/>
            <w:shd w:val="clear" w:color="auto" w:fill="1F4E79" w:themeFill="accent5" w:themeFillShade="80"/>
            <w:vAlign w:val="center"/>
            <w:hideMark/>
          </w:tcPr>
          <w:p w14:paraId="40789544" w14:textId="77777777" w:rsidR="008C5A0F" w:rsidRPr="00862BC9" w:rsidRDefault="008C5A0F" w:rsidP="00862BC9">
            <w:pPr>
              <w:spacing w:after="0"/>
              <w:jc w:val="center"/>
              <w:rPr>
                <w:rFonts w:ascii="Arial" w:hAnsi="Arial" w:cs="Arial"/>
                <w:b/>
                <w:bCs/>
                <w:color w:val="FFFFFF" w:themeColor="background1"/>
                <w:sz w:val="20"/>
                <w:szCs w:val="20"/>
                <w:lang w:val="es-AR"/>
              </w:rPr>
            </w:pPr>
            <w:r w:rsidRPr="00862BC9">
              <w:rPr>
                <w:rFonts w:ascii="Arial" w:hAnsi="Arial" w:cs="Arial"/>
                <w:b/>
                <w:bCs/>
                <w:color w:val="FFFFFF" w:themeColor="background1"/>
                <w:sz w:val="20"/>
                <w:szCs w:val="20"/>
                <w:lang w:val="es-AR"/>
              </w:rPr>
              <w:t>Servicios</w:t>
            </w:r>
          </w:p>
        </w:tc>
        <w:tc>
          <w:tcPr>
            <w:tcW w:w="1496" w:type="dxa"/>
            <w:shd w:val="clear" w:color="auto" w:fill="1F4E79" w:themeFill="accent5" w:themeFillShade="80"/>
            <w:vAlign w:val="center"/>
            <w:hideMark/>
          </w:tcPr>
          <w:p w14:paraId="6D032266" w14:textId="77777777" w:rsidR="008C5A0F" w:rsidRPr="00862BC9" w:rsidRDefault="008C5A0F" w:rsidP="00862BC9">
            <w:pPr>
              <w:spacing w:after="0"/>
              <w:jc w:val="center"/>
              <w:rPr>
                <w:rFonts w:ascii="Arial" w:hAnsi="Arial" w:cs="Arial"/>
                <w:b/>
                <w:bCs/>
                <w:color w:val="FFFFFF" w:themeColor="background1"/>
                <w:sz w:val="20"/>
                <w:szCs w:val="20"/>
                <w:lang w:val="es-AR"/>
              </w:rPr>
            </w:pPr>
            <w:r w:rsidRPr="00862BC9">
              <w:rPr>
                <w:rFonts w:ascii="Arial" w:hAnsi="Arial" w:cs="Arial"/>
                <w:b/>
                <w:bCs/>
                <w:color w:val="FFFFFF" w:themeColor="background1"/>
                <w:sz w:val="20"/>
                <w:szCs w:val="20"/>
                <w:lang w:val="es-AR"/>
              </w:rPr>
              <w:t>Comercio</w:t>
            </w:r>
          </w:p>
        </w:tc>
        <w:tc>
          <w:tcPr>
            <w:tcW w:w="1496" w:type="dxa"/>
            <w:shd w:val="clear" w:color="auto" w:fill="1F4E79" w:themeFill="accent5" w:themeFillShade="80"/>
            <w:vAlign w:val="center"/>
            <w:hideMark/>
          </w:tcPr>
          <w:p w14:paraId="2C4B94F2" w14:textId="77777777" w:rsidR="008C5A0F" w:rsidRPr="00862BC9" w:rsidRDefault="008C5A0F" w:rsidP="00862BC9">
            <w:pPr>
              <w:spacing w:after="0"/>
              <w:jc w:val="center"/>
              <w:rPr>
                <w:rFonts w:ascii="Arial" w:hAnsi="Arial" w:cs="Arial"/>
                <w:b/>
                <w:bCs/>
                <w:color w:val="FFFFFF" w:themeColor="background1"/>
                <w:sz w:val="20"/>
                <w:szCs w:val="20"/>
                <w:lang w:val="es-AR"/>
              </w:rPr>
            </w:pPr>
            <w:r w:rsidRPr="00862BC9">
              <w:rPr>
                <w:rFonts w:ascii="Arial" w:hAnsi="Arial" w:cs="Arial"/>
                <w:b/>
                <w:bCs/>
                <w:color w:val="FFFFFF" w:themeColor="background1"/>
                <w:sz w:val="20"/>
                <w:szCs w:val="20"/>
                <w:lang w:val="es-AR"/>
              </w:rPr>
              <w:t>Industria y minería</w:t>
            </w:r>
          </w:p>
        </w:tc>
        <w:tc>
          <w:tcPr>
            <w:tcW w:w="1585" w:type="dxa"/>
            <w:shd w:val="clear" w:color="auto" w:fill="1F4E79" w:themeFill="accent5" w:themeFillShade="80"/>
            <w:vAlign w:val="center"/>
            <w:hideMark/>
          </w:tcPr>
          <w:p w14:paraId="6A9DE559" w14:textId="77777777" w:rsidR="008C5A0F" w:rsidRPr="00862BC9" w:rsidRDefault="008C5A0F" w:rsidP="00862BC9">
            <w:pPr>
              <w:spacing w:after="0"/>
              <w:jc w:val="center"/>
              <w:rPr>
                <w:rFonts w:ascii="Arial" w:hAnsi="Arial" w:cs="Arial"/>
                <w:b/>
                <w:bCs/>
                <w:color w:val="FFFFFF" w:themeColor="background1"/>
                <w:sz w:val="20"/>
                <w:szCs w:val="20"/>
                <w:lang w:val="es-AR"/>
              </w:rPr>
            </w:pPr>
            <w:r w:rsidRPr="00862BC9">
              <w:rPr>
                <w:rFonts w:ascii="Arial" w:hAnsi="Arial" w:cs="Arial"/>
                <w:b/>
                <w:bCs/>
                <w:color w:val="FFFFFF" w:themeColor="background1"/>
                <w:sz w:val="20"/>
                <w:szCs w:val="20"/>
                <w:lang w:val="es-AR"/>
              </w:rPr>
              <w:t>Agropecuario</w:t>
            </w:r>
          </w:p>
        </w:tc>
      </w:tr>
      <w:tr w:rsidR="008C5A0F" w:rsidRPr="00862BC9" w14:paraId="1813FDEE" w14:textId="77777777" w:rsidTr="00FB5FFE">
        <w:trPr>
          <w:trHeight w:val="432"/>
        </w:trPr>
        <w:tc>
          <w:tcPr>
            <w:tcW w:w="1908" w:type="dxa"/>
            <w:shd w:val="clear" w:color="auto" w:fill="auto"/>
            <w:vAlign w:val="center"/>
            <w:hideMark/>
          </w:tcPr>
          <w:p w14:paraId="7CA92528" w14:textId="77777777" w:rsidR="008C5A0F" w:rsidRPr="00862BC9" w:rsidRDefault="008C5A0F" w:rsidP="00862BC9">
            <w:pPr>
              <w:spacing w:after="0"/>
              <w:rPr>
                <w:rFonts w:ascii="Arial" w:hAnsi="Arial" w:cs="Arial"/>
                <w:color w:val="333333"/>
                <w:sz w:val="20"/>
                <w:szCs w:val="20"/>
                <w:lang w:val="es-AR"/>
              </w:rPr>
            </w:pPr>
            <w:r w:rsidRPr="00862BC9">
              <w:rPr>
                <w:rFonts w:ascii="Arial" w:hAnsi="Arial" w:cs="Arial"/>
                <w:color w:val="333333"/>
                <w:sz w:val="20"/>
                <w:szCs w:val="20"/>
                <w:lang w:val="es-AR"/>
              </w:rPr>
              <w:t>Micro</w:t>
            </w:r>
          </w:p>
        </w:tc>
        <w:tc>
          <w:tcPr>
            <w:tcW w:w="1505" w:type="dxa"/>
            <w:shd w:val="clear" w:color="auto" w:fill="auto"/>
            <w:vAlign w:val="center"/>
            <w:hideMark/>
          </w:tcPr>
          <w:p w14:paraId="0003761B" w14:textId="77777777" w:rsidR="008C5A0F" w:rsidRPr="00862BC9" w:rsidRDefault="008C5A0F" w:rsidP="00862BC9">
            <w:pPr>
              <w:spacing w:after="0"/>
              <w:jc w:val="right"/>
              <w:rPr>
                <w:rFonts w:ascii="Arial" w:hAnsi="Arial" w:cs="Arial"/>
                <w:color w:val="333333"/>
                <w:sz w:val="20"/>
                <w:szCs w:val="20"/>
                <w:lang w:val="es-AR"/>
              </w:rPr>
            </w:pPr>
            <w:r w:rsidRPr="00862BC9">
              <w:rPr>
                <w:rFonts w:ascii="Arial" w:hAnsi="Arial" w:cs="Arial"/>
                <w:color w:val="333333"/>
                <w:sz w:val="20"/>
                <w:szCs w:val="20"/>
                <w:lang w:val="es-AR"/>
              </w:rPr>
              <w:t>15.230.000</w:t>
            </w:r>
          </w:p>
        </w:tc>
        <w:tc>
          <w:tcPr>
            <w:tcW w:w="1365" w:type="dxa"/>
            <w:shd w:val="clear" w:color="auto" w:fill="auto"/>
            <w:vAlign w:val="center"/>
            <w:hideMark/>
          </w:tcPr>
          <w:p w14:paraId="1FD6A5FA" w14:textId="77777777" w:rsidR="008C5A0F" w:rsidRPr="00862BC9" w:rsidRDefault="008C5A0F" w:rsidP="00862BC9">
            <w:pPr>
              <w:spacing w:after="0"/>
              <w:jc w:val="right"/>
              <w:rPr>
                <w:rFonts w:ascii="Arial" w:hAnsi="Arial" w:cs="Arial"/>
                <w:color w:val="333333"/>
                <w:sz w:val="20"/>
                <w:szCs w:val="20"/>
                <w:lang w:val="es-AR"/>
              </w:rPr>
            </w:pPr>
            <w:r w:rsidRPr="00862BC9">
              <w:rPr>
                <w:rFonts w:ascii="Arial" w:hAnsi="Arial" w:cs="Arial"/>
                <w:color w:val="333333"/>
                <w:sz w:val="20"/>
                <w:szCs w:val="20"/>
                <w:lang w:val="es-AR"/>
              </w:rPr>
              <w:t>8.500.000</w:t>
            </w:r>
          </w:p>
        </w:tc>
        <w:tc>
          <w:tcPr>
            <w:tcW w:w="1496" w:type="dxa"/>
            <w:shd w:val="clear" w:color="auto" w:fill="auto"/>
            <w:vAlign w:val="center"/>
            <w:hideMark/>
          </w:tcPr>
          <w:p w14:paraId="08AA3C32" w14:textId="77777777" w:rsidR="008C5A0F" w:rsidRPr="00862BC9" w:rsidRDefault="008C5A0F" w:rsidP="00862BC9">
            <w:pPr>
              <w:spacing w:after="0"/>
              <w:jc w:val="right"/>
              <w:rPr>
                <w:rFonts w:ascii="Arial" w:hAnsi="Arial" w:cs="Arial"/>
                <w:color w:val="333333"/>
                <w:sz w:val="20"/>
                <w:szCs w:val="20"/>
                <w:lang w:val="es-AR"/>
              </w:rPr>
            </w:pPr>
            <w:r w:rsidRPr="00862BC9">
              <w:rPr>
                <w:rFonts w:ascii="Arial" w:hAnsi="Arial" w:cs="Arial"/>
                <w:color w:val="333333"/>
                <w:sz w:val="20"/>
                <w:szCs w:val="20"/>
                <w:lang w:val="es-AR"/>
              </w:rPr>
              <w:t>29.740.000</w:t>
            </w:r>
          </w:p>
        </w:tc>
        <w:tc>
          <w:tcPr>
            <w:tcW w:w="1496" w:type="dxa"/>
            <w:shd w:val="clear" w:color="auto" w:fill="auto"/>
            <w:vAlign w:val="center"/>
            <w:hideMark/>
          </w:tcPr>
          <w:p w14:paraId="05D3F956" w14:textId="77777777" w:rsidR="008C5A0F" w:rsidRPr="00862BC9" w:rsidRDefault="008C5A0F" w:rsidP="00862BC9">
            <w:pPr>
              <w:spacing w:after="0"/>
              <w:jc w:val="right"/>
              <w:rPr>
                <w:rFonts w:ascii="Arial" w:hAnsi="Arial" w:cs="Arial"/>
                <w:color w:val="333333"/>
                <w:sz w:val="20"/>
                <w:szCs w:val="20"/>
                <w:lang w:val="es-AR"/>
              </w:rPr>
            </w:pPr>
            <w:r w:rsidRPr="00862BC9">
              <w:rPr>
                <w:rFonts w:ascii="Arial" w:hAnsi="Arial" w:cs="Arial"/>
                <w:color w:val="333333"/>
                <w:sz w:val="20"/>
                <w:szCs w:val="20"/>
                <w:lang w:val="es-AR"/>
              </w:rPr>
              <w:t>26.540.000</w:t>
            </w:r>
          </w:p>
        </w:tc>
        <w:tc>
          <w:tcPr>
            <w:tcW w:w="1585" w:type="dxa"/>
            <w:shd w:val="clear" w:color="auto" w:fill="auto"/>
            <w:vAlign w:val="center"/>
            <w:hideMark/>
          </w:tcPr>
          <w:p w14:paraId="301105B0" w14:textId="77777777" w:rsidR="008C5A0F" w:rsidRPr="00862BC9" w:rsidRDefault="008C5A0F" w:rsidP="00862BC9">
            <w:pPr>
              <w:spacing w:after="0"/>
              <w:jc w:val="right"/>
              <w:rPr>
                <w:rFonts w:ascii="Arial" w:hAnsi="Arial" w:cs="Arial"/>
                <w:color w:val="333333"/>
                <w:sz w:val="20"/>
                <w:szCs w:val="20"/>
                <w:lang w:val="es-AR"/>
              </w:rPr>
            </w:pPr>
            <w:r w:rsidRPr="00862BC9">
              <w:rPr>
                <w:rFonts w:ascii="Arial" w:hAnsi="Arial" w:cs="Arial"/>
                <w:color w:val="333333"/>
                <w:sz w:val="20"/>
                <w:szCs w:val="20"/>
                <w:lang w:val="es-AR"/>
              </w:rPr>
              <w:t>12.890.000</w:t>
            </w:r>
          </w:p>
        </w:tc>
      </w:tr>
      <w:tr w:rsidR="00862BC9" w:rsidRPr="00862BC9" w14:paraId="3917B4BD" w14:textId="77777777" w:rsidTr="00FB5FFE">
        <w:trPr>
          <w:trHeight w:val="432"/>
        </w:trPr>
        <w:tc>
          <w:tcPr>
            <w:tcW w:w="1908" w:type="dxa"/>
            <w:shd w:val="clear" w:color="auto" w:fill="F2F2F2" w:themeFill="background1" w:themeFillShade="F2"/>
            <w:vAlign w:val="center"/>
            <w:hideMark/>
          </w:tcPr>
          <w:p w14:paraId="52014C25" w14:textId="77777777" w:rsidR="008C5A0F" w:rsidRPr="00862BC9" w:rsidRDefault="008C5A0F" w:rsidP="00862BC9">
            <w:pPr>
              <w:spacing w:after="0"/>
              <w:rPr>
                <w:rFonts w:ascii="Arial" w:hAnsi="Arial" w:cs="Arial"/>
                <w:color w:val="333333"/>
                <w:sz w:val="20"/>
                <w:szCs w:val="20"/>
                <w:lang w:val="es-AR"/>
              </w:rPr>
            </w:pPr>
            <w:r w:rsidRPr="00862BC9">
              <w:rPr>
                <w:rFonts w:ascii="Arial" w:hAnsi="Arial" w:cs="Arial"/>
                <w:color w:val="333333"/>
                <w:sz w:val="20"/>
                <w:szCs w:val="20"/>
                <w:lang w:val="es-AR"/>
              </w:rPr>
              <w:t>Pequeña</w:t>
            </w:r>
          </w:p>
        </w:tc>
        <w:tc>
          <w:tcPr>
            <w:tcW w:w="1505" w:type="dxa"/>
            <w:shd w:val="clear" w:color="auto" w:fill="F2F2F2" w:themeFill="background1" w:themeFillShade="F2"/>
            <w:vAlign w:val="center"/>
            <w:hideMark/>
          </w:tcPr>
          <w:p w14:paraId="16D2FDE0" w14:textId="77777777" w:rsidR="008C5A0F" w:rsidRPr="00862BC9" w:rsidRDefault="008C5A0F" w:rsidP="00862BC9">
            <w:pPr>
              <w:spacing w:after="0"/>
              <w:jc w:val="right"/>
              <w:rPr>
                <w:rFonts w:ascii="Arial" w:hAnsi="Arial" w:cs="Arial"/>
                <w:color w:val="333333"/>
                <w:sz w:val="20"/>
                <w:szCs w:val="20"/>
                <w:lang w:val="es-AR"/>
              </w:rPr>
            </w:pPr>
            <w:r w:rsidRPr="00862BC9">
              <w:rPr>
                <w:rFonts w:ascii="Arial" w:hAnsi="Arial" w:cs="Arial"/>
                <w:color w:val="333333"/>
                <w:sz w:val="20"/>
                <w:szCs w:val="20"/>
                <w:lang w:val="es-AR"/>
              </w:rPr>
              <w:t>90.310.000</w:t>
            </w:r>
          </w:p>
        </w:tc>
        <w:tc>
          <w:tcPr>
            <w:tcW w:w="1365" w:type="dxa"/>
            <w:shd w:val="clear" w:color="auto" w:fill="F2F2F2" w:themeFill="background1" w:themeFillShade="F2"/>
            <w:vAlign w:val="center"/>
            <w:hideMark/>
          </w:tcPr>
          <w:p w14:paraId="37622EAD" w14:textId="77777777" w:rsidR="008C5A0F" w:rsidRPr="00862BC9" w:rsidRDefault="008C5A0F" w:rsidP="00862BC9">
            <w:pPr>
              <w:spacing w:after="0"/>
              <w:jc w:val="right"/>
              <w:rPr>
                <w:rFonts w:ascii="Arial" w:hAnsi="Arial" w:cs="Arial"/>
                <w:color w:val="333333"/>
                <w:sz w:val="20"/>
                <w:szCs w:val="20"/>
                <w:lang w:val="es-AR"/>
              </w:rPr>
            </w:pPr>
            <w:r w:rsidRPr="00862BC9">
              <w:rPr>
                <w:rFonts w:ascii="Arial" w:hAnsi="Arial" w:cs="Arial"/>
                <w:color w:val="333333"/>
                <w:sz w:val="20"/>
                <w:szCs w:val="20"/>
                <w:lang w:val="es-AR"/>
              </w:rPr>
              <w:t>50.950.000</w:t>
            </w:r>
          </w:p>
        </w:tc>
        <w:tc>
          <w:tcPr>
            <w:tcW w:w="1496" w:type="dxa"/>
            <w:shd w:val="clear" w:color="auto" w:fill="F2F2F2" w:themeFill="background1" w:themeFillShade="F2"/>
            <w:vAlign w:val="center"/>
            <w:hideMark/>
          </w:tcPr>
          <w:p w14:paraId="4CA57472" w14:textId="77777777" w:rsidR="008C5A0F" w:rsidRPr="00862BC9" w:rsidRDefault="008C5A0F" w:rsidP="00862BC9">
            <w:pPr>
              <w:spacing w:after="0"/>
              <w:jc w:val="right"/>
              <w:rPr>
                <w:rFonts w:ascii="Arial" w:hAnsi="Arial" w:cs="Arial"/>
                <w:color w:val="333333"/>
                <w:sz w:val="20"/>
                <w:szCs w:val="20"/>
                <w:lang w:val="es-AR"/>
              </w:rPr>
            </w:pPr>
            <w:r w:rsidRPr="00862BC9">
              <w:rPr>
                <w:rFonts w:ascii="Arial" w:hAnsi="Arial" w:cs="Arial"/>
                <w:color w:val="333333"/>
                <w:sz w:val="20"/>
                <w:szCs w:val="20"/>
                <w:lang w:val="es-AR"/>
              </w:rPr>
              <w:t>178.860.000</w:t>
            </w:r>
          </w:p>
        </w:tc>
        <w:tc>
          <w:tcPr>
            <w:tcW w:w="1496" w:type="dxa"/>
            <w:shd w:val="clear" w:color="auto" w:fill="F2F2F2" w:themeFill="background1" w:themeFillShade="F2"/>
            <w:vAlign w:val="center"/>
            <w:hideMark/>
          </w:tcPr>
          <w:p w14:paraId="02710BD7" w14:textId="77777777" w:rsidR="008C5A0F" w:rsidRPr="00862BC9" w:rsidRDefault="008C5A0F" w:rsidP="00862BC9">
            <w:pPr>
              <w:spacing w:after="0"/>
              <w:jc w:val="right"/>
              <w:rPr>
                <w:rFonts w:ascii="Arial" w:hAnsi="Arial" w:cs="Arial"/>
                <w:color w:val="333333"/>
                <w:sz w:val="20"/>
                <w:szCs w:val="20"/>
                <w:lang w:val="es-AR"/>
              </w:rPr>
            </w:pPr>
            <w:r w:rsidRPr="00862BC9">
              <w:rPr>
                <w:rFonts w:ascii="Arial" w:hAnsi="Arial" w:cs="Arial"/>
                <w:color w:val="333333"/>
                <w:sz w:val="20"/>
                <w:szCs w:val="20"/>
                <w:lang w:val="es-AR"/>
              </w:rPr>
              <w:t>190.410.000</w:t>
            </w:r>
          </w:p>
        </w:tc>
        <w:tc>
          <w:tcPr>
            <w:tcW w:w="1585" w:type="dxa"/>
            <w:shd w:val="clear" w:color="auto" w:fill="F2F2F2" w:themeFill="background1" w:themeFillShade="F2"/>
            <w:vAlign w:val="center"/>
            <w:hideMark/>
          </w:tcPr>
          <w:p w14:paraId="45DFE317" w14:textId="77777777" w:rsidR="008C5A0F" w:rsidRPr="00862BC9" w:rsidRDefault="008C5A0F" w:rsidP="00862BC9">
            <w:pPr>
              <w:spacing w:after="0"/>
              <w:jc w:val="right"/>
              <w:rPr>
                <w:rFonts w:ascii="Arial" w:hAnsi="Arial" w:cs="Arial"/>
                <w:color w:val="333333"/>
                <w:sz w:val="20"/>
                <w:szCs w:val="20"/>
                <w:lang w:val="es-AR"/>
              </w:rPr>
            </w:pPr>
            <w:r w:rsidRPr="00862BC9">
              <w:rPr>
                <w:rFonts w:ascii="Arial" w:hAnsi="Arial" w:cs="Arial"/>
                <w:color w:val="333333"/>
                <w:sz w:val="20"/>
                <w:szCs w:val="20"/>
                <w:lang w:val="es-AR"/>
              </w:rPr>
              <w:t>48.480.000</w:t>
            </w:r>
          </w:p>
        </w:tc>
      </w:tr>
      <w:tr w:rsidR="008C5A0F" w:rsidRPr="00862BC9" w14:paraId="7E5896EF" w14:textId="77777777" w:rsidTr="00FB5FFE">
        <w:trPr>
          <w:trHeight w:val="432"/>
        </w:trPr>
        <w:tc>
          <w:tcPr>
            <w:tcW w:w="1908" w:type="dxa"/>
            <w:shd w:val="clear" w:color="auto" w:fill="auto"/>
            <w:vAlign w:val="center"/>
            <w:hideMark/>
          </w:tcPr>
          <w:p w14:paraId="5D7D76CC" w14:textId="77777777" w:rsidR="008C5A0F" w:rsidRPr="00862BC9" w:rsidRDefault="008C5A0F" w:rsidP="00862BC9">
            <w:pPr>
              <w:spacing w:after="0"/>
              <w:rPr>
                <w:rFonts w:ascii="Arial" w:hAnsi="Arial" w:cs="Arial"/>
                <w:color w:val="333333"/>
                <w:sz w:val="20"/>
                <w:szCs w:val="20"/>
                <w:lang w:val="es-AR"/>
              </w:rPr>
            </w:pPr>
            <w:r w:rsidRPr="00862BC9">
              <w:rPr>
                <w:rFonts w:ascii="Arial" w:hAnsi="Arial" w:cs="Arial"/>
                <w:color w:val="333333"/>
                <w:sz w:val="20"/>
                <w:szCs w:val="20"/>
                <w:lang w:val="es-AR"/>
              </w:rPr>
              <w:t>Mediana tramo 1</w:t>
            </w:r>
          </w:p>
        </w:tc>
        <w:tc>
          <w:tcPr>
            <w:tcW w:w="1505" w:type="dxa"/>
            <w:shd w:val="clear" w:color="auto" w:fill="auto"/>
            <w:vAlign w:val="center"/>
            <w:hideMark/>
          </w:tcPr>
          <w:p w14:paraId="31435C88" w14:textId="77777777" w:rsidR="008C5A0F" w:rsidRPr="00862BC9" w:rsidRDefault="008C5A0F" w:rsidP="00862BC9">
            <w:pPr>
              <w:spacing w:after="0"/>
              <w:jc w:val="right"/>
              <w:rPr>
                <w:rFonts w:ascii="Arial" w:hAnsi="Arial" w:cs="Arial"/>
                <w:color w:val="333333"/>
                <w:sz w:val="20"/>
                <w:szCs w:val="20"/>
                <w:lang w:val="es-AR"/>
              </w:rPr>
            </w:pPr>
            <w:r w:rsidRPr="00862BC9">
              <w:rPr>
                <w:rFonts w:ascii="Arial" w:hAnsi="Arial" w:cs="Arial"/>
                <w:color w:val="333333"/>
                <w:sz w:val="20"/>
                <w:szCs w:val="20"/>
                <w:lang w:val="es-AR"/>
              </w:rPr>
              <w:t>503.880.000</w:t>
            </w:r>
          </w:p>
        </w:tc>
        <w:tc>
          <w:tcPr>
            <w:tcW w:w="1365" w:type="dxa"/>
            <w:shd w:val="clear" w:color="auto" w:fill="auto"/>
            <w:vAlign w:val="center"/>
            <w:hideMark/>
          </w:tcPr>
          <w:p w14:paraId="0041A0E1" w14:textId="77777777" w:rsidR="008C5A0F" w:rsidRPr="00862BC9" w:rsidRDefault="008C5A0F" w:rsidP="00862BC9">
            <w:pPr>
              <w:spacing w:after="0"/>
              <w:jc w:val="right"/>
              <w:rPr>
                <w:rFonts w:ascii="Arial" w:hAnsi="Arial" w:cs="Arial"/>
                <w:color w:val="333333"/>
                <w:sz w:val="20"/>
                <w:szCs w:val="20"/>
                <w:lang w:val="es-AR"/>
              </w:rPr>
            </w:pPr>
            <w:r w:rsidRPr="00862BC9">
              <w:rPr>
                <w:rFonts w:ascii="Arial" w:hAnsi="Arial" w:cs="Arial"/>
                <w:color w:val="333333"/>
                <w:sz w:val="20"/>
                <w:szCs w:val="20"/>
                <w:lang w:val="es-AR"/>
              </w:rPr>
              <w:t>425.170.000</w:t>
            </w:r>
          </w:p>
        </w:tc>
        <w:tc>
          <w:tcPr>
            <w:tcW w:w="1496" w:type="dxa"/>
            <w:shd w:val="clear" w:color="auto" w:fill="auto"/>
            <w:vAlign w:val="center"/>
            <w:hideMark/>
          </w:tcPr>
          <w:p w14:paraId="70C5988C" w14:textId="77777777" w:rsidR="008C5A0F" w:rsidRPr="00862BC9" w:rsidRDefault="008C5A0F" w:rsidP="00862BC9">
            <w:pPr>
              <w:spacing w:after="0"/>
              <w:jc w:val="right"/>
              <w:rPr>
                <w:rFonts w:ascii="Arial" w:hAnsi="Arial" w:cs="Arial"/>
                <w:color w:val="333333"/>
                <w:sz w:val="20"/>
                <w:szCs w:val="20"/>
                <w:lang w:val="es-AR"/>
              </w:rPr>
            </w:pPr>
            <w:r w:rsidRPr="00862BC9">
              <w:rPr>
                <w:rFonts w:ascii="Arial" w:hAnsi="Arial" w:cs="Arial"/>
                <w:color w:val="333333"/>
                <w:sz w:val="20"/>
                <w:szCs w:val="20"/>
                <w:lang w:val="es-AR"/>
              </w:rPr>
              <w:t>1.502.750.000</w:t>
            </w:r>
          </w:p>
        </w:tc>
        <w:tc>
          <w:tcPr>
            <w:tcW w:w="1496" w:type="dxa"/>
            <w:shd w:val="clear" w:color="auto" w:fill="auto"/>
            <w:vAlign w:val="center"/>
            <w:hideMark/>
          </w:tcPr>
          <w:p w14:paraId="677A37A2" w14:textId="77777777" w:rsidR="008C5A0F" w:rsidRPr="00862BC9" w:rsidRDefault="008C5A0F" w:rsidP="00862BC9">
            <w:pPr>
              <w:spacing w:after="0"/>
              <w:jc w:val="right"/>
              <w:rPr>
                <w:rFonts w:ascii="Arial" w:hAnsi="Arial" w:cs="Arial"/>
                <w:color w:val="333333"/>
                <w:sz w:val="20"/>
                <w:szCs w:val="20"/>
                <w:lang w:val="es-AR"/>
              </w:rPr>
            </w:pPr>
            <w:r w:rsidRPr="00862BC9">
              <w:rPr>
                <w:rFonts w:ascii="Arial" w:hAnsi="Arial" w:cs="Arial"/>
                <w:color w:val="333333"/>
                <w:sz w:val="20"/>
                <w:szCs w:val="20"/>
                <w:lang w:val="es-AR"/>
              </w:rPr>
              <w:t>1.190.330.000</w:t>
            </w:r>
          </w:p>
        </w:tc>
        <w:tc>
          <w:tcPr>
            <w:tcW w:w="1585" w:type="dxa"/>
            <w:shd w:val="clear" w:color="auto" w:fill="auto"/>
            <w:vAlign w:val="center"/>
            <w:hideMark/>
          </w:tcPr>
          <w:p w14:paraId="56B524FB" w14:textId="77777777" w:rsidR="008C5A0F" w:rsidRPr="00862BC9" w:rsidRDefault="008C5A0F" w:rsidP="00862BC9">
            <w:pPr>
              <w:spacing w:after="0"/>
              <w:jc w:val="right"/>
              <w:rPr>
                <w:rFonts w:ascii="Arial" w:hAnsi="Arial" w:cs="Arial"/>
                <w:color w:val="333333"/>
                <w:sz w:val="20"/>
                <w:szCs w:val="20"/>
                <w:lang w:val="es-AR"/>
              </w:rPr>
            </w:pPr>
            <w:r w:rsidRPr="00862BC9">
              <w:rPr>
                <w:rFonts w:ascii="Arial" w:hAnsi="Arial" w:cs="Arial"/>
                <w:color w:val="333333"/>
                <w:sz w:val="20"/>
                <w:szCs w:val="20"/>
                <w:lang w:val="es-AR"/>
              </w:rPr>
              <w:t>345.430.000</w:t>
            </w:r>
          </w:p>
        </w:tc>
      </w:tr>
      <w:tr w:rsidR="00FB5FFE" w:rsidRPr="00862BC9" w14:paraId="6A3D1893" w14:textId="77777777" w:rsidTr="00FB5FFE">
        <w:trPr>
          <w:trHeight w:val="432"/>
        </w:trPr>
        <w:tc>
          <w:tcPr>
            <w:tcW w:w="1908" w:type="dxa"/>
            <w:shd w:val="clear" w:color="auto" w:fill="F2F2F2" w:themeFill="background1" w:themeFillShade="F2"/>
            <w:vAlign w:val="center"/>
            <w:hideMark/>
          </w:tcPr>
          <w:p w14:paraId="27A3424A" w14:textId="77777777" w:rsidR="008C5A0F" w:rsidRPr="00862BC9" w:rsidRDefault="008C5A0F" w:rsidP="00862BC9">
            <w:pPr>
              <w:spacing w:after="0"/>
              <w:rPr>
                <w:rFonts w:ascii="Arial" w:hAnsi="Arial" w:cs="Arial"/>
                <w:color w:val="333333"/>
                <w:sz w:val="20"/>
                <w:szCs w:val="20"/>
                <w:lang w:val="es-AR"/>
              </w:rPr>
            </w:pPr>
            <w:r w:rsidRPr="00862BC9">
              <w:rPr>
                <w:rFonts w:ascii="Arial" w:hAnsi="Arial" w:cs="Arial"/>
                <w:color w:val="333333"/>
                <w:sz w:val="20"/>
                <w:szCs w:val="20"/>
                <w:lang w:val="es-AR"/>
              </w:rPr>
              <w:t>Mediana tramo 2</w:t>
            </w:r>
          </w:p>
        </w:tc>
        <w:tc>
          <w:tcPr>
            <w:tcW w:w="1505" w:type="dxa"/>
            <w:shd w:val="clear" w:color="auto" w:fill="F2F2F2" w:themeFill="background1" w:themeFillShade="F2"/>
            <w:vAlign w:val="center"/>
            <w:hideMark/>
          </w:tcPr>
          <w:p w14:paraId="3D32E747" w14:textId="77777777" w:rsidR="008C5A0F" w:rsidRPr="00862BC9" w:rsidRDefault="008C5A0F" w:rsidP="00862BC9">
            <w:pPr>
              <w:spacing w:after="0"/>
              <w:jc w:val="right"/>
              <w:rPr>
                <w:rFonts w:ascii="Arial" w:hAnsi="Arial" w:cs="Arial"/>
                <w:color w:val="333333"/>
                <w:sz w:val="20"/>
                <w:szCs w:val="20"/>
                <w:lang w:val="es-AR"/>
              </w:rPr>
            </w:pPr>
            <w:r w:rsidRPr="00862BC9">
              <w:rPr>
                <w:rFonts w:ascii="Arial" w:hAnsi="Arial" w:cs="Arial"/>
                <w:color w:val="333333"/>
                <w:sz w:val="20"/>
                <w:szCs w:val="20"/>
                <w:lang w:val="es-AR"/>
              </w:rPr>
              <w:t>755.740.000</w:t>
            </w:r>
          </w:p>
        </w:tc>
        <w:tc>
          <w:tcPr>
            <w:tcW w:w="1365" w:type="dxa"/>
            <w:shd w:val="clear" w:color="auto" w:fill="F2F2F2" w:themeFill="background1" w:themeFillShade="F2"/>
            <w:vAlign w:val="center"/>
            <w:hideMark/>
          </w:tcPr>
          <w:p w14:paraId="64DF52D3" w14:textId="77777777" w:rsidR="008C5A0F" w:rsidRPr="00862BC9" w:rsidRDefault="008C5A0F" w:rsidP="00862BC9">
            <w:pPr>
              <w:spacing w:after="0"/>
              <w:jc w:val="right"/>
              <w:rPr>
                <w:rFonts w:ascii="Arial" w:hAnsi="Arial" w:cs="Arial"/>
                <w:color w:val="333333"/>
                <w:sz w:val="20"/>
                <w:szCs w:val="20"/>
                <w:lang w:val="es-AR"/>
              </w:rPr>
            </w:pPr>
            <w:r w:rsidRPr="00862BC9">
              <w:rPr>
                <w:rFonts w:ascii="Arial" w:hAnsi="Arial" w:cs="Arial"/>
                <w:color w:val="333333"/>
                <w:sz w:val="20"/>
                <w:szCs w:val="20"/>
                <w:lang w:val="es-AR"/>
              </w:rPr>
              <w:t>607.210.000</w:t>
            </w:r>
          </w:p>
        </w:tc>
        <w:tc>
          <w:tcPr>
            <w:tcW w:w="1496" w:type="dxa"/>
            <w:shd w:val="clear" w:color="auto" w:fill="F2F2F2" w:themeFill="background1" w:themeFillShade="F2"/>
            <w:vAlign w:val="center"/>
            <w:hideMark/>
          </w:tcPr>
          <w:p w14:paraId="66796628" w14:textId="77777777" w:rsidR="008C5A0F" w:rsidRPr="00862BC9" w:rsidRDefault="008C5A0F" w:rsidP="00862BC9">
            <w:pPr>
              <w:spacing w:after="0"/>
              <w:jc w:val="right"/>
              <w:rPr>
                <w:rFonts w:ascii="Arial" w:hAnsi="Arial" w:cs="Arial"/>
                <w:color w:val="333333"/>
                <w:sz w:val="20"/>
                <w:szCs w:val="20"/>
                <w:lang w:val="es-AR"/>
              </w:rPr>
            </w:pPr>
            <w:r w:rsidRPr="00862BC9">
              <w:rPr>
                <w:rFonts w:ascii="Arial" w:hAnsi="Arial" w:cs="Arial"/>
                <w:color w:val="333333"/>
                <w:sz w:val="20"/>
                <w:szCs w:val="20"/>
                <w:lang w:val="es-AR"/>
              </w:rPr>
              <w:t>2.146.810.000</w:t>
            </w:r>
          </w:p>
        </w:tc>
        <w:tc>
          <w:tcPr>
            <w:tcW w:w="1496" w:type="dxa"/>
            <w:shd w:val="clear" w:color="auto" w:fill="F2F2F2" w:themeFill="background1" w:themeFillShade="F2"/>
            <w:vAlign w:val="center"/>
            <w:hideMark/>
          </w:tcPr>
          <w:p w14:paraId="5A50EFE3" w14:textId="77777777" w:rsidR="008C5A0F" w:rsidRPr="00862BC9" w:rsidRDefault="008C5A0F" w:rsidP="00862BC9">
            <w:pPr>
              <w:spacing w:after="0"/>
              <w:jc w:val="right"/>
              <w:rPr>
                <w:rFonts w:ascii="Arial" w:hAnsi="Arial" w:cs="Arial"/>
                <w:color w:val="333333"/>
                <w:sz w:val="20"/>
                <w:szCs w:val="20"/>
                <w:lang w:val="es-AR"/>
              </w:rPr>
            </w:pPr>
            <w:r w:rsidRPr="00862BC9">
              <w:rPr>
                <w:rFonts w:ascii="Arial" w:hAnsi="Arial" w:cs="Arial"/>
                <w:color w:val="333333"/>
                <w:sz w:val="20"/>
                <w:szCs w:val="20"/>
                <w:lang w:val="es-AR"/>
              </w:rPr>
              <w:t>1.739.590.000</w:t>
            </w:r>
          </w:p>
        </w:tc>
        <w:tc>
          <w:tcPr>
            <w:tcW w:w="1585" w:type="dxa"/>
            <w:shd w:val="clear" w:color="auto" w:fill="F2F2F2" w:themeFill="background1" w:themeFillShade="F2"/>
            <w:vAlign w:val="center"/>
            <w:hideMark/>
          </w:tcPr>
          <w:p w14:paraId="6E0FABC2" w14:textId="77777777" w:rsidR="008C5A0F" w:rsidRPr="00862BC9" w:rsidRDefault="008C5A0F" w:rsidP="00862BC9">
            <w:pPr>
              <w:spacing w:after="0"/>
              <w:jc w:val="right"/>
              <w:rPr>
                <w:rFonts w:ascii="Arial" w:hAnsi="Arial" w:cs="Arial"/>
                <w:color w:val="333333"/>
                <w:sz w:val="20"/>
                <w:szCs w:val="20"/>
                <w:lang w:val="es-AR"/>
              </w:rPr>
            </w:pPr>
            <w:r w:rsidRPr="00862BC9">
              <w:rPr>
                <w:rFonts w:ascii="Arial" w:hAnsi="Arial" w:cs="Arial"/>
                <w:color w:val="333333"/>
                <w:sz w:val="20"/>
                <w:szCs w:val="20"/>
                <w:lang w:val="es-AR"/>
              </w:rPr>
              <w:t>547.890.000</w:t>
            </w:r>
          </w:p>
        </w:tc>
      </w:tr>
    </w:tbl>
    <w:p w14:paraId="517047A4" w14:textId="3E89CFF6" w:rsidR="00FB5FFE" w:rsidRDefault="00FB5FFE" w:rsidP="00FB5FFE">
      <w:pPr>
        <w:pStyle w:val="ListParagraph"/>
        <w:numPr>
          <w:ilvl w:val="0"/>
          <w:numId w:val="22"/>
        </w:numPr>
        <w:spacing w:before="120" w:after="120"/>
        <w:rPr>
          <w:rFonts w:ascii="Arial" w:hAnsi="Arial" w:cs="Arial"/>
          <w:sz w:val="22"/>
          <w:szCs w:val="22"/>
          <w:lang w:val="es-419"/>
        </w:rPr>
      </w:pPr>
      <w:r>
        <w:rPr>
          <w:rFonts w:ascii="Arial" w:hAnsi="Arial" w:cs="Arial"/>
          <w:sz w:val="22"/>
          <w:szCs w:val="22"/>
          <w:lang w:val="es-419"/>
        </w:rPr>
        <w:t>Parámetro de tope de valor de activos en pesos ($).</w:t>
      </w:r>
    </w:p>
    <w:tbl>
      <w:tblPr>
        <w:tblW w:w="134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345"/>
      </w:tblGrid>
      <w:tr w:rsidR="00FB5FFE" w:rsidRPr="00862BC9" w14:paraId="177613FC" w14:textId="77777777" w:rsidTr="00FB5FFE">
        <w:trPr>
          <w:trHeight w:hRule="exact" w:val="418"/>
        </w:trPr>
        <w:tc>
          <w:tcPr>
            <w:tcW w:w="1345" w:type="dxa"/>
            <w:vMerge w:val="restart"/>
            <w:shd w:val="clear" w:color="auto" w:fill="1F4E79" w:themeFill="accent5" w:themeFillShade="80"/>
            <w:vAlign w:val="center"/>
            <w:hideMark/>
          </w:tcPr>
          <w:p w14:paraId="77A887FE" w14:textId="4DD723CF" w:rsidR="00FB5FFE" w:rsidRPr="00862BC9" w:rsidRDefault="00FB5FFE" w:rsidP="00376D49">
            <w:pPr>
              <w:spacing w:after="0" w:line="240" w:lineRule="auto"/>
              <w:jc w:val="center"/>
              <w:rPr>
                <w:rFonts w:ascii="Arial" w:eastAsia="Times New Roman" w:hAnsi="Arial" w:cs="Arial"/>
                <w:b/>
                <w:bCs/>
                <w:color w:val="FFFFFF" w:themeColor="background1"/>
                <w:sz w:val="20"/>
                <w:szCs w:val="20"/>
                <w:lang w:val="es-AR" w:eastAsia="en-US"/>
              </w:rPr>
            </w:pPr>
            <w:r>
              <w:rPr>
                <w:rFonts w:ascii="Arial" w:hAnsi="Arial" w:cs="Arial"/>
                <w:b/>
                <w:bCs/>
                <w:color w:val="FFFFFF" w:themeColor="background1"/>
                <w:sz w:val="20"/>
                <w:szCs w:val="20"/>
                <w:lang w:val="es-AR"/>
              </w:rPr>
              <w:t>TOPE DE ACTIVOS</w:t>
            </w:r>
          </w:p>
        </w:tc>
      </w:tr>
      <w:tr w:rsidR="00FB5FFE" w:rsidRPr="00862BC9" w14:paraId="4260B478" w14:textId="77777777" w:rsidTr="00FB5FFE">
        <w:trPr>
          <w:trHeight w:hRule="exact" w:val="217"/>
        </w:trPr>
        <w:tc>
          <w:tcPr>
            <w:tcW w:w="1345" w:type="dxa"/>
            <w:vMerge/>
            <w:shd w:val="clear" w:color="auto" w:fill="1F4E79" w:themeFill="accent5" w:themeFillShade="80"/>
            <w:vAlign w:val="center"/>
            <w:hideMark/>
          </w:tcPr>
          <w:p w14:paraId="27E97600" w14:textId="77777777" w:rsidR="00FB5FFE" w:rsidRPr="00862BC9" w:rsidRDefault="00FB5FFE" w:rsidP="00376D49">
            <w:pPr>
              <w:rPr>
                <w:rFonts w:ascii="Arial" w:hAnsi="Arial" w:cs="Arial"/>
                <w:color w:val="FFFFFF" w:themeColor="background1"/>
                <w:sz w:val="20"/>
                <w:szCs w:val="20"/>
                <w:lang w:val="es-AR"/>
              </w:rPr>
            </w:pPr>
          </w:p>
        </w:tc>
      </w:tr>
      <w:tr w:rsidR="00FB5FFE" w:rsidRPr="00862BC9" w14:paraId="5587029A" w14:textId="77777777" w:rsidTr="00FB5FFE">
        <w:trPr>
          <w:trHeight w:val="432"/>
        </w:trPr>
        <w:tc>
          <w:tcPr>
            <w:tcW w:w="1345" w:type="dxa"/>
            <w:shd w:val="clear" w:color="auto" w:fill="F2F2F2" w:themeFill="background1" w:themeFillShade="F2"/>
            <w:vAlign w:val="center"/>
            <w:hideMark/>
          </w:tcPr>
          <w:p w14:paraId="12F82A9A" w14:textId="36841D0A" w:rsidR="00FB5FFE" w:rsidRPr="00862BC9" w:rsidRDefault="00FB5FFE" w:rsidP="00376D49">
            <w:pPr>
              <w:spacing w:after="0"/>
              <w:rPr>
                <w:rFonts w:ascii="Arial" w:hAnsi="Arial" w:cs="Arial"/>
                <w:color w:val="333333"/>
                <w:sz w:val="20"/>
                <w:szCs w:val="20"/>
                <w:lang w:val="es-AR"/>
              </w:rPr>
            </w:pPr>
            <w:r>
              <w:rPr>
                <w:rFonts w:ascii="Arial" w:hAnsi="Arial" w:cs="Arial"/>
                <w:color w:val="333333"/>
                <w:sz w:val="20"/>
                <w:szCs w:val="20"/>
                <w:lang w:val="es-AR"/>
              </w:rPr>
              <w:t>193.000.000</w:t>
            </w:r>
          </w:p>
        </w:tc>
      </w:tr>
    </w:tbl>
    <w:p w14:paraId="697A9853" w14:textId="77777777" w:rsidR="008C5A0F" w:rsidRPr="008C5A0F" w:rsidRDefault="008C5A0F" w:rsidP="008C5A0F">
      <w:pPr>
        <w:spacing w:before="120" w:after="120"/>
        <w:rPr>
          <w:rFonts w:ascii="Arial" w:hAnsi="Arial" w:cs="Arial"/>
          <w:lang w:val="es-419"/>
        </w:rPr>
      </w:pPr>
    </w:p>
    <w:p w14:paraId="1E372422" w14:textId="24CD9FB1" w:rsidR="00446832" w:rsidRPr="000B7962" w:rsidRDefault="00446832" w:rsidP="002D31D6">
      <w:pPr>
        <w:rPr>
          <w:lang w:val="es-ES"/>
        </w:rPr>
      </w:pPr>
    </w:p>
    <w:sectPr w:rsidR="00446832" w:rsidRPr="000B7962">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E832C4" w14:textId="77777777" w:rsidR="00944463" w:rsidRDefault="00944463" w:rsidP="007116B2">
      <w:pPr>
        <w:spacing w:after="0" w:line="240" w:lineRule="auto"/>
      </w:pPr>
      <w:r>
        <w:separator/>
      </w:r>
    </w:p>
  </w:endnote>
  <w:endnote w:type="continuationSeparator" w:id="0">
    <w:p w14:paraId="4BEFBE64" w14:textId="77777777" w:rsidR="00944463" w:rsidRDefault="00944463" w:rsidP="007116B2">
      <w:pPr>
        <w:spacing w:after="0" w:line="240" w:lineRule="auto"/>
      </w:pPr>
      <w:r>
        <w:continuationSeparator/>
      </w:r>
    </w:p>
  </w:endnote>
  <w:endnote w:type="continuationNotice" w:id="1">
    <w:p w14:paraId="745407DD" w14:textId="77777777" w:rsidR="00944463" w:rsidRDefault="009444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Gotham Book">
    <w:altName w:val="Calibri"/>
    <w:panose1 w:val="00000000000000000000"/>
    <w:charset w:val="00"/>
    <w:family w:val="modern"/>
    <w:notTrueType/>
    <w:pitch w:val="variable"/>
    <w:sig w:usb0="A10000FF" w:usb1="40000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4281859"/>
      <w:docPartObj>
        <w:docPartGallery w:val="Page Numbers (Bottom of Page)"/>
        <w:docPartUnique/>
      </w:docPartObj>
    </w:sdtPr>
    <w:sdtEndPr>
      <w:rPr>
        <w:rFonts w:ascii="Times New Roman" w:hAnsi="Times New Roman" w:cs="Times New Roman"/>
        <w:noProof/>
      </w:rPr>
    </w:sdtEndPr>
    <w:sdtContent>
      <w:p w14:paraId="17C4BABE" w14:textId="77777777" w:rsidR="00AD6F21" w:rsidRPr="00352714" w:rsidRDefault="00AD6F21">
        <w:pPr>
          <w:pStyle w:val="Footer"/>
          <w:jc w:val="center"/>
          <w:rPr>
            <w:rFonts w:ascii="Times New Roman" w:hAnsi="Times New Roman" w:cs="Times New Roman"/>
          </w:rPr>
        </w:pPr>
        <w:r w:rsidRPr="00352714">
          <w:rPr>
            <w:rFonts w:ascii="Times New Roman" w:hAnsi="Times New Roman" w:cs="Times New Roman"/>
          </w:rPr>
          <w:t>-</w:t>
        </w:r>
        <w:r w:rsidRPr="00352714">
          <w:rPr>
            <w:rFonts w:ascii="Times New Roman" w:hAnsi="Times New Roman" w:cs="Times New Roman"/>
          </w:rPr>
          <w:fldChar w:fldCharType="begin"/>
        </w:r>
        <w:r w:rsidRPr="00352714">
          <w:rPr>
            <w:rFonts w:ascii="Times New Roman" w:hAnsi="Times New Roman" w:cs="Times New Roman"/>
          </w:rPr>
          <w:instrText xml:space="preserve"> PAGE   \* MERGEFORMAT </w:instrText>
        </w:r>
        <w:r w:rsidRPr="00352714">
          <w:rPr>
            <w:rFonts w:ascii="Times New Roman" w:hAnsi="Times New Roman" w:cs="Times New Roman"/>
          </w:rPr>
          <w:fldChar w:fldCharType="separate"/>
        </w:r>
        <w:r>
          <w:rPr>
            <w:rFonts w:ascii="Times New Roman" w:hAnsi="Times New Roman" w:cs="Times New Roman"/>
            <w:noProof/>
          </w:rPr>
          <w:t>2</w:t>
        </w:r>
        <w:r w:rsidRPr="00352714">
          <w:rPr>
            <w:rFonts w:ascii="Times New Roman" w:hAnsi="Times New Roman" w:cs="Times New Roman"/>
            <w:noProof/>
          </w:rPr>
          <w:fldChar w:fldCharType="end"/>
        </w:r>
        <w:r w:rsidRPr="00352714">
          <w:rPr>
            <w:rFonts w:ascii="Times New Roman" w:hAnsi="Times New Roman" w:cs="Times New Roman"/>
            <w:noProof/>
          </w:rPr>
          <w:t>-</w:t>
        </w:r>
      </w:p>
    </w:sdtContent>
  </w:sdt>
  <w:p w14:paraId="713CCEAE" w14:textId="77777777" w:rsidR="00AD6F21" w:rsidRDefault="00AD6F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7059657"/>
      <w:docPartObj>
        <w:docPartGallery w:val="Page Numbers (Bottom of Page)"/>
        <w:docPartUnique/>
      </w:docPartObj>
    </w:sdtPr>
    <w:sdtEndPr>
      <w:rPr>
        <w:noProof/>
        <w:sz w:val="18"/>
      </w:rPr>
    </w:sdtEndPr>
    <w:sdtContent>
      <w:p w14:paraId="4413F7E8" w14:textId="77777777" w:rsidR="00AD6F21" w:rsidRPr="00DD3FD0" w:rsidRDefault="00AD6F21">
        <w:pPr>
          <w:pStyle w:val="Footer"/>
          <w:jc w:val="center"/>
          <w:rPr>
            <w:rFonts w:ascii="Arial" w:hAnsi="Arial" w:cs="Arial"/>
            <w:sz w:val="18"/>
          </w:rPr>
        </w:pPr>
        <w:r w:rsidRPr="00DD3FD0">
          <w:rPr>
            <w:rFonts w:ascii="Arial" w:hAnsi="Arial" w:cs="Arial"/>
            <w:sz w:val="18"/>
          </w:rPr>
          <w:t>-</w:t>
        </w:r>
        <w:r w:rsidRPr="00DD3FD0">
          <w:rPr>
            <w:rFonts w:ascii="Arial" w:hAnsi="Arial" w:cs="Arial"/>
            <w:sz w:val="18"/>
          </w:rPr>
          <w:fldChar w:fldCharType="begin"/>
        </w:r>
        <w:r w:rsidRPr="00DD3FD0">
          <w:rPr>
            <w:rFonts w:ascii="Arial" w:hAnsi="Arial" w:cs="Arial"/>
            <w:sz w:val="18"/>
          </w:rPr>
          <w:instrText xml:space="preserve"> PAGE   \* MERGEFORMAT </w:instrText>
        </w:r>
        <w:r w:rsidRPr="00DD3FD0">
          <w:rPr>
            <w:rFonts w:ascii="Arial" w:hAnsi="Arial" w:cs="Arial"/>
            <w:sz w:val="18"/>
          </w:rPr>
          <w:fldChar w:fldCharType="separate"/>
        </w:r>
        <w:r w:rsidRPr="00DD3FD0">
          <w:rPr>
            <w:rFonts w:ascii="Arial" w:hAnsi="Arial" w:cs="Arial"/>
            <w:noProof/>
            <w:sz w:val="18"/>
          </w:rPr>
          <w:t>10</w:t>
        </w:r>
        <w:r w:rsidRPr="00DD3FD0">
          <w:rPr>
            <w:rFonts w:ascii="Arial" w:hAnsi="Arial" w:cs="Arial"/>
            <w:noProof/>
            <w:sz w:val="18"/>
          </w:rPr>
          <w:fldChar w:fldCharType="end"/>
        </w:r>
        <w:r w:rsidRPr="00DD3FD0">
          <w:rPr>
            <w:rFonts w:ascii="Arial" w:hAnsi="Arial" w:cs="Arial"/>
            <w:noProof/>
            <w:sz w:val="18"/>
          </w:rPr>
          <w:t>-</w:t>
        </w:r>
      </w:p>
    </w:sdtContent>
  </w:sdt>
  <w:p w14:paraId="4D1A5FA3" w14:textId="77777777" w:rsidR="00AD6F21" w:rsidRDefault="00AD6F2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30526507"/>
      <w:docPartObj>
        <w:docPartGallery w:val="Page Numbers (Bottom of Page)"/>
        <w:docPartUnique/>
      </w:docPartObj>
    </w:sdtPr>
    <w:sdtEndPr>
      <w:rPr>
        <w:rFonts w:ascii="Gotham Book" w:hAnsi="Gotham Book" w:cs="Times New Roman"/>
        <w:noProof/>
        <w:sz w:val="18"/>
      </w:rPr>
    </w:sdtEndPr>
    <w:sdtContent>
      <w:p w14:paraId="1420D249" w14:textId="3C1A925C" w:rsidR="00AD6F21" w:rsidRPr="00832D40" w:rsidRDefault="00AD6F21">
        <w:pPr>
          <w:pStyle w:val="Footer"/>
          <w:jc w:val="center"/>
          <w:rPr>
            <w:rFonts w:ascii="Gotham Book" w:hAnsi="Gotham Book" w:cs="Times New Roman"/>
            <w:sz w:val="18"/>
          </w:rPr>
        </w:pPr>
        <w:r w:rsidRPr="00832D40">
          <w:rPr>
            <w:rFonts w:ascii="Gotham Book" w:hAnsi="Gotham Book" w:cs="Times New Roman"/>
            <w:sz w:val="18"/>
          </w:rPr>
          <w:t>-</w:t>
        </w:r>
        <w:r>
          <w:rPr>
            <w:rFonts w:ascii="Gotham Book" w:hAnsi="Gotham Book" w:cs="Times New Roman"/>
            <w:sz w:val="18"/>
          </w:rPr>
          <w:t>i</w:t>
        </w:r>
        <w:r w:rsidRPr="00832D40">
          <w:rPr>
            <w:rFonts w:ascii="Gotham Book" w:hAnsi="Gotham Book" w:cs="Times New Roman"/>
            <w:noProof/>
            <w:sz w:val="18"/>
          </w:rPr>
          <w:t>-</w:t>
        </w:r>
      </w:p>
    </w:sdtContent>
  </w:sdt>
  <w:p w14:paraId="4A2FEE4B" w14:textId="77777777" w:rsidR="00AD6F21" w:rsidRDefault="00AD6F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9305B9" w14:textId="77777777" w:rsidR="00944463" w:rsidRDefault="00944463" w:rsidP="007116B2">
      <w:pPr>
        <w:spacing w:after="0" w:line="240" w:lineRule="auto"/>
      </w:pPr>
      <w:r>
        <w:separator/>
      </w:r>
    </w:p>
  </w:footnote>
  <w:footnote w:type="continuationSeparator" w:id="0">
    <w:p w14:paraId="514DD713" w14:textId="77777777" w:rsidR="00944463" w:rsidRDefault="00944463" w:rsidP="007116B2">
      <w:pPr>
        <w:spacing w:after="0" w:line="240" w:lineRule="auto"/>
      </w:pPr>
      <w:r>
        <w:continuationSeparator/>
      </w:r>
    </w:p>
  </w:footnote>
  <w:footnote w:type="continuationNotice" w:id="1">
    <w:p w14:paraId="7C2757EC" w14:textId="77777777" w:rsidR="00944463" w:rsidRDefault="00944463">
      <w:pPr>
        <w:spacing w:after="0" w:line="240" w:lineRule="auto"/>
      </w:pPr>
    </w:p>
  </w:footnote>
  <w:footnote w:id="2">
    <w:p w14:paraId="582A2CB6" w14:textId="77777777" w:rsidR="00AD6F21" w:rsidRPr="006D246A" w:rsidRDefault="00AD6F21" w:rsidP="00725B30">
      <w:pPr>
        <w:pStyle w:val="FootnoteText"/>
        <w:spacing w:after="40"/>
        <w:rPr>
          <w:rFonts w:ascii="Arial" w:hAnsi="Arial" w:cs="Arial"/>
          <w:sz w:val="18"/>
          <w:szCs w:val="18"/>
        </w:rPr>
      </w:pPr>
      <w:r w:rsidRPr="006D246A">
        <w:rPr>
          <w:rStyle w:val="FootnoteReference"/>
          <w:rFonts w:ascii="Arial" w:hAnsi="Arial" w:cs="Arial"/>
          <w:sz w:val="18"/>
          <w:szCs w:val="18"/>
        </w:rPr>
        <w:footnoteRef/>
      </w:r>
      <w:r w:rsidRPr="006D246A">
        <w:rPr>
          <w:rFonts w:ascii="Arial" w:hAnsi="Arial" w:cs="Arial"/>
          <w:sz w:val="18"/>
          <w:szCs w:val="18"/>
        </w:rPr>
        <w:t xml:space="preserve"> </w:t>
      </w:r>
      <w:r w:rsidRPr="006D246A">
        <w:rPr>
          <w:rFonts w:ascii="Arial" w:hAnsi="Arial" w:cs="Arial"/>
          <w:sz w:val="18"/>
          <w:szCs w:val="18"/>
        </w:rPr>
        <w:tab/>
        <w:t xml:space="preserve">Ver WHO COVID-19 Situation Dashboard en </w:t>
      </w:r>
      <w:hyperlink r:id="rId1" w:history="1">
        <w:r w:rsidRPr="006D246A">
          <w:rPr>
            <w:rStyle w:val="Hyperlink"/>
            <w:rFonts w:ascii="Arial" w:hAnsi="Arial" w:cs="Arial"/>
            <w:sz w:val="18"/>
            <w:szCs w:val="18"/>
          </w:rPr>
          <w:t>covid19.who.int</w:t>
        </w:r>
      </w:hyperlink>
      <w:r w:rsidRPr="006D246A">
        <w:rPr>
          <w:rFonts w:ascii="Arial" w:hAnsi="Arial" w:cs="Arial"/>
          <w:sz w:val="18"/>
          <w:szCs w:val="18"/>
        </w:rPr>
        <w:t xml:space="preserve"> (27 de mayo, 2020).</w:t>
      </w:r>
    </w:p>
  </w:footnote>
  <w:footnote w:id="3">
    <w:p w14:paraId="7FE75557" w14:textId="77777777" w:rsidR="00AD6F21" w:rsidRPr="008D45AC" w:rsidRDefault="00AD6F21" w:rsidP="00E707A7">
      <w:pPr>
        <w:pStyle w:val="FootnoteText"/>
        <w:spacing w:after="40"/>
        <w:rPr>
          <w:rFonts w:ascii="Arial" w:hAnsi="Arial" w:cs="Arial"/>
          <w:sz w:val="18"/>
          <w:szCs w:val="18"/>
        </w:rPr>
      </w:pPr>
      <w:r w:rsidRPr="006D246A">
        <w:rPr>
          <w:rStyle w:val="FootnoteReference"/>
          <w:rFonts w:ascii="Arial" w:hAnsi="Arial" w:cs="Arial"/>
          <w:sz w:val="18"/>
          <w:szCs w:val="18"/>
        </w:rPr>
        <w:footnoteRef/>
      </w:r>
      <w:r w:rsidRPr="008D45AC">
        <w:rPr>
          <w:rFonts w:ascii="Arial" w:hAnsi="Arial" w:cs="Arial"/>
          <w:sz w:val="18"/>
          <w:szCs w:val="18"/>
        </w:rPr>
        <w:t xml:space="preserve"> </w:t>
      </w:r>
      <w:r w:rsidRPr="008D45AC">
        <w:rPr>
          <w:rFonts w:ascii="Arial" w:hAnsi="Arial" w:cs="Arial"/>
          <w:sz w:val="18"/>
          <w:szCs w:val="18"/>
        </w:rPr>
        <w:tab/>
        <w:t xml:space="preserve">Ver: </w:t>
      </w:r>
      <w:hyperlink r:id="rId2" w:history="1">
        <w:r w:rsidRPr="008D45AC">
          <w:rPr>
            <w:rStyle w:val="Hyperlink"/>
            <w:rFonts w:ascii="Arial" w:hAnsi="Arial" w:cs="Arial"/>
            <w:sz w:val="18"/>
            <w:szCs w:val="18"/>
          </w:rPr>
          <w:t>Reporte de PAHO</w:t>
        </w:r>
      </w:hyperlink>
      <w:r w:rsidRPr="008D45AC">
        <w:rPr>
          <w:rFonts w:ascii="Arial" w:hAnsi="Arial" w:cs="Arial"/>
          <w:sz w:val="18"/>
          <w:szCs w:val="18"/>
        </w:rPr>
        <w:t xml:space="preserve"> (27 de mayo, 2020)</w:t>
      </w:r>
    </w:p>
  </w:footnote>
  <w:footnote w:id="4">
    <w:p w14:paraId="21B3E5B2" w14:textId="07740427" w:rsidR="00AD6F21" w:rsidRPr="00657553" w:rsidRDefault="00AD6F21">
      <w:pPr>
        <w:pStyle w:val="FootnoteText"/>
      </w:pPr>
      <w:r w:rsidRPr="00514234">
        <w:rPr>
          <w:rStyle w:val="FootnoteReference"/>
          <w:rFonts w:ascii="Arial" w:hAnsi="Arial" w:cs="Arial"/>
          <w:sz w:val="18"/>
          <w:szCs w:val="18"/>
        </w:rPr>
        <w:footnoteRef/>
      </w:r>
      <w:r w:rsidRPr="00657553">
        <w:rPr>
          <w:rFonts w:ascii="Arial" w:hAnsi="Arial" w:cs="Arial"/>
          <w:sz w:val="18"/>
          <w:szCs w:val="18"/>
        </w:rPr>
        <w:t xml:space="preserve"> </w:t>
      </w:r>
      <w:r w:rsidRPr="00657553">
        <w:rPr>
          <w:rFonts w:ascii="Arial" w:hAnsi="Arial" w:cs="Arial"/>
          <w:sz w:val="18"/>
          <w:szCs w:val="18"/>
        </w:rPr>
        <w:tab/>
        <w:t xml:space="preserve">Ver: </w:t>
      </w:r>
      <w:hyperlink r:id="rId3" w:history="1">
        <w:r w:rsidRPr="00657553">
          <w:rPr>
            <w:rStyle w:val="Hyperlink"/>
            <w:rFonts w:ascii="Arial" w:hAnsi="Arial" w:cs="Arial"/>
            <w:sz w:val="18"/>
            <w:szCs w:val="18"/>
          </w:rPr>
          <w:t>Comunicado de CEPAL</w:t>
        </w:r>
      </w:hyperlink>
      <w:r w:rsidRPr="00657553">
        <w:rPr>
          <w:rFonts w:ascii="Arial" w:hAnsi="Arial" w:cs="Arial"/>
          <w:sz w:val="18"/>
          <w:szCs w:val="18"/>
        </w:rPr>
        <w:t xml:space="preserve"> (19 de marzo, 2020)</w:t>
      </w:r>
    </w:p>
  </w:footnote>
  <w:footnote w:id="5">
    <w:p w14:paraId="562B046A" w14:textId="424207A5" w:rsidR="00AD6F21" w:rsidRPr="00D50774" w:rsidRDefault="00AD6F21" w:rsidP="00D50774">
      <w:pPr>
        <w:pStyle w:val="FootnoteText"/>
        <w:spacing w:after="0"/>
        <w:rPr>
          <w:rFonts w:ascii="Arial" w:hAnsi="Arial" w:cs="Arial"/>
          <w:sz w:val="18"/>
          <w:szCs w:val="18"/>
        </w:rPr>
      </w:pPr>
      <w:r w:rsidRPr="00D50774">
        <w:rPr>
          <w:rStyle w:val="FootnoteReference"/>
          <w:rFonts w:ascii="Arial" w:hAnsi="Arial" w:cs="Arial"/>
          <w:sz w:val="18"/>
          <w:szCs w:val="18"/>
        </w:rPr>
        <w:footnoteRef/>
      </w:r>
      <w:r w:rsidRPr="00D50774">
        <w:rPr>
          <w:rFonts w:ascii="Arial" w:hAnsi="Arial" w:cs="Arial"/>
          <w:sz w:val="18"/>
          <w:szCs w:val="18"/>
        </w:rPr>
        <w:t xml:space="preserve"> </w:t>
      </w:r>
      <w:r w:rsidRPr="00D50774">
        <w:rPr>
          <w:rFonts w:ascii="Arial" w:hAnsi="Arial" w:cs="Arial"/>
          <w:sz w:val="18"/>
          <w:szCs w:val="18"/>
        </w:rPr>
        <w:tab/>
        <w:t>Schwab, K. (2019). “The Global Competitiveness Report 2019”, Ginebra: Foro Económico Mundial.</w:t>
      </w:r>
    </w:p>
  </w:footnote>
  <w:footnote w:id="6">
    <w:p w14:paraId="7A4873BA" w14:textId="207C409E" w:rsidR="00AD6F21" w:rsidRPr="00D50774" w:rsidRDefault="00AD6F21" w:rsidP="00D50774">
      <w:pPr>
        <w:pStyle w:val="FootnoteText"/>
        <w:spacing w:after="0"/>
        <w:rPr>
          <w:rFonts w:ascii="Arial" w:hAnsi="Arial" w:cs="Arial"/>
          <w:sz w:val="18"/>
          <w:szCs w:val="18"/>
          <w:lang w:val="es-ES"/>
        </w:rPr>
      </w:pPr>
      <w:r w:rsidRPr="00D50774">
        <w:rPr>
          <w:rStyle w:val="FootnoteReference"/>
          <w:rFonts w:ascii="Arial" w:hAnsi="Arial" w:cs="Arial"/>
          <w:sz w:val="18"/>
          <w:szCs w:val="18"/>
        </w:rPr>
        <w:footnoteRef/>
      </w:r>
      <w:r w:rsidRPr="00D50774">
        <w:rPr>
          <w:rFonts w:ascii="Arial" w:hAnsi="Arial" w:cs="Arial"/>
          <w:sz w:val="18"/>
          <w:szCs w:val="18"/>
          <w:lang w:val="es-ES"/>
        </w:rPr>
        <w:t xml:space="preserve"> </w:t>
      </w:r>
      <w:r w:rsidRPr="00D50774">
        <w:rPr>
          <w:rFonts w:ascii="Arial" w:hAnsi="Arial" w:cs="Arial"/>
          <w:sz w:val="18"/>
          <w:szCs w:val="18"/>
          <w:lang w:val="es-ES"/>
        </w:rPr>
        <w:tab/>
        <w:t>Para más información sobre la definición de tamaño de empresa, ver Anexo I en este documento.</w:t>
      </w:r>
    </w:p>
  </w:footnote>
  <w:footnote w:id="7">
    <w:p w14:paraId="26E24B42" w14:textId="5C1A84C3" w:rsidR="00AD6F21" w:rsidRPr="00D50774" w:rsidRDefault="00AD6F21" w:rsidP="00D50774">
      <w:pPr>
        <w:pStyle w:val="FootnoteText"/>
        <w:spacing w:after="0"/>
        <w:rPr>
          <w:rFonts w:ascii="Arial" w:hAnsi="Arial" w:cs="Arial"/>
          <w:sz w:val="18"/>
          <w:szCs w:val="18"/>
        </w:rPr>
      </w:pPr>
      <w:r w:rsidRPr="00D50774">
        <w:rPr>
          <w:rStyle w:val="FootnoteReference"/>
          <w:rFonts w:ascii="Arial" w:hAnsi="Arial" w:cs="Arial"/>
          <w:sz w:val="18"/>
          <w:szCs w:val="18"/>
        </w:rPr>
        <w:footnoteRef/>
      </w:r>
      <w:r w:rsidRPr="00D50774">
        <w:rPr>
          <w:rFonts w:ascii="Arial" w:hAnsi="Arial" w:cs="Arial"/>
          <w:sz w:val="18"/>
          <w:szCs w:val="18"/>
          <w:lang w:val="es-ES"/>
        </w:rPr>
        <w:t xml:space="preserve"> </w:t>
      </w:r>
      <w:r w:rsidRPr="00D50774">
        <w:rPr>
          <w:rFonts w:ascii="Arial" w:hAnsi="Arial" w:cs="Arial"/>
          <w:sz w:val="18"/>
          <w:szCs w:val="18"/>
          <w:lang w:val="es-ES"/>
        </w:rPr>
        <w:tab/>
        <w:t xml:space="preserve">Corporación Financiera Internacional (2017). “MSME Financing Gap. </w:t>
      </w:r>
      <w:r w:rsidRPr="00D50774">
        <w:rPr>
          <w:rFonts w:ascii="Arial" w:hAnsi="Arial" w:cs="Arial"/>
          <w:sz w:val="18"/>
          <w:szCs w:val="18"/>
        </w:rPr>
        <w:t>Assessment of the shortfalls and opportunities in financing micro, small and medium enterprises in emerging markets”, Washington DC: Grupo del Banco Mundial</w:t>
      </w:r>
    </w:p>
  </w:footnote>
  <w:footnote w:id="8">
    <w:p w14:paraId="6459987F" w14:textId="268C56AF" w:rsidR="00AD6F21" w:rsidRPr="00D50774" w:rsidRDefault="00AD6F21" w:rsidP="00D50774">
      <w:pPr>
        <w:pStyle w:val="FootnoteText"/>
        <w:spacing w:after="0"/>
        <w:rPr>
          <w:rFonts w:ascii="Arial" w:hAnsi="Arial" w:cs="Arial"/>
          <w:sz w:val="18"/>
          <w:szCs w:val="18"/>
          <w:lang w:val="es-ES"/>
        </w:rPr>
      </w:pPr>
      <w:r w:rsidRPr="00D50774">
        <w:rPr>
          <w:rStyle w:val="FootnoteReference"/>
          <w:rFonts w:ascii="Arial" w:hAnsi="Arial" w:cs="Arial"/>
          <w:sz w:val="18"/>
          <w:szCs w:val="18"/>
        </w:rPr>
        <w:footnoteRef/>
      </w:r>
      <w:r w:rsidRPr="00D50774">
        <w:rPr>
          <w:rFonts w:ascii="Arial" w:hAnsi="Arial" w:cs="Arial"/>
          <w:sz w:val="18"/>
          <w:szCs w:val="18"/>
          <w:lang w:val="es-ES"/>
        </w:rPr>
        <w:t xml:space="preserve"> </w:t>
      </w:r>
      <w:r w:rsidRPr="00D50774">
        <w:rPr>
          <w:rFonts w:ascii="Arial" w:hAnsi="Arial" w:cs="Arial"/>
          <w:sz w:val="18"/>
          <w:szCs w:val="18"/>
          <w:lang w:val="es-ES"/>
        </w:rPr>
        <w:tab/>
        <w:t>Ministerio de Hacienda (actual Ministerio de Economía) (2019). “Política de Acceso al Crédito Productivo en Argentina 2019”, Argentina: Presidencia de la Nación.</w:t>
      </w:r>
    </w:p>
  </w:footnote>
  <w:footnote w:id="9">
    <w:p w14:paraId="048D8BE9" w14:textId="77777777" w:rsidR="00AD6F21" w:rsidRPr="00D50774" w:rsidRDefault="00AD6F21" w:rsidP="00D50774">
      <w:pPr>
        <w:pStyle w:val="FootnoteText"/>
        <w:spacing w:after="0"/>
        <w:rPr>
          <w:rFonts w:ascii="Arial" w:hAnsi="Arial" w:cs="Arial"/>
          <w:sz w:val="18"/>
          <w:szCs w:val="18"/>
        </w:rPr>
      </w:pPr>
      <w:r w:rsidRPr="00D50774">
        <w:rPr>
          <w:rStyle w:val="FootnoteReference"/>
          <w:rFonts w:ascii="Arial" w:hAnsi="Arial" w:cs="Arial"/>
          <w:sz w:val="18"/>
          <w:szCs w:val="18"/>
        </w:rPr>
        <w:footnoteRef/>
      </w:r>
      <w:r w:rsidRPr="00D50774">
        <w:rPr>
          <w:rFonts w:ascii="Arial" w:hAnsi="Arial" w:cs="Arial"/>
          <w:sz w:val="18"/>
          <w:szCs w:val="18"/>
        </w:rPr>
        <w:t xml:space="preserve"> </w:t>
      </w:r>
      <w:r w:rsidRPr="00D50774">
        <w:rPr>
          <w:rFonts w:ascii="Arial" w:hAnsi="Arial" w:cs="Arial"/>
          <w:sz w:val="18"/>
          <w:szCs w:val="18"/>
        </w:rPr>
        <w:tab/>
        <w:t>“Small and Medium Size Enterprises, Credit Supply Shocks, and Economic Recovery in Europe”, FMI, 2014.</w:t>
      </w:r>
    </w:p>
  </w:footnote>
  <w:footnote w:id="10">
    <w:p w14:paraId="453D1DF2" w14:textId="77777777" w:rsidR="00AD6F21" w:rsidRPr="00D50774" w:rsidRDefault="00AD6F21" w:rsidP="00D50774">
      <w:pPr>
        <w:pStyle w:val="FootnoteText"/>
        <w:spacing w:after="0"/>
        <w:rPr>
          <w:rFonts w:ascii="Arial" w:hAnsi="Arial" w:cs="Arial"/>
          <w:sz w:val="18"/>
          <w:szCs w:val="18"/>
        </w:rPr>
      </w:pPr>
      <w:r w:rsidRPr="00D50774">
        <w:rPr>
          <w:rStyle w:val="FootnoteReference"/>
          <w:rFonts w:ascii="Arial" w:hAnsi="Arial" w:cs="Arial"/>
          <w:sz w:val="18"/>
          <w:szCs w:val="18"/>
        </w:rPr>
        <w:footnoteRef/>
      </w:r>
      <w:r w:rsidRPr="00D50774">
        <w:rPr>
          <w:rFonts w:ascii="Arial" w:hAnsi="Arial" w:cs="Arial"/>
          <w:sz w:val="18"/>
          <w:szCs w:val="18"/>
          <w:lang w:val="es-ES"/>
        </w:rPr>
        <w:t xml:space="preserve"> </w:t>
      </w:r>
      <w:r w:rsidRPr="00D50774">
        <w:rPr>
          <w:rFonts w:ascii="Arial" w:hAnsi="Arial" w:cs="Arial"/>
          <w:sz w:val="18"/>
          <w:szCs w:val="18"/>
          <w:lang w:val="es-ES"/>
        </w:rPr>
        <w:tab/>
        <w:t xml:space="preserve">Estudio realizado por el Fondo Monetario Internacional (FMI) en la zona euro encuentra que la oferta de crédito esta correlacionada con el tamaño de empresa, y que el crédito se redujo en mayor proporción en las MIPYMES. </w:t>
      </w:r>
      <w:r w:rsidRPr="00D50774">
        <w:rPr>
          <w:rFonts w:ascii="Arial" w:hAnsi="Arial" w:cs="Arial"/>
          <w:sz w:val="18"/>
          <w:szCs w:val="18"/>
        </w:rPr>
        <w:t>“</w:t>
      </w:r>
      <w:r w:rsidRPr="00D50774">
        <w:rPr>
          <w:rFonts w:ascii="Arial" w:hAnsi="Arial" w:cs="Arial"/>
          <w:i/>
          <w:iCs/>
          <w:sz w:val="18"/>
          <w:szCs w:val="18"/>
        </w:rPr>
        <w:t>Access to Finance by SMEs in the Euro Area—What Helps or Hampers?</w:t>
      </w:r>
      <w:r w:rsidRPr="00D50774">
        <w:rPr>
          <w:rFonts w:ascii="Arial" w:hAnsi="Arial" w:cs="Arial"/>
          <w:sz w:val="18"/>
          <w:szCs w:val="18"/>
        </w:rPr>
        <w:t>, FMI, 2013.</w:t>
      </w:r>
    </w:p>
  </w:footnote>
  <w:footnote w:id="11">
    <w:p w14:paraId="54B29E83" w14:textId="77777777" w:rsidR="00AD6F21" w:rsidRPr="00AF2E22" w:rsidRDefault="00AD6F21" w:rsidP="00D50774">
      <w:pPr>
        <w:pStyle w:val="FootnoteText"/>
        <w:spacing w:after="0"/>
      </w:pPr>
      <w:r w:rsidRPr="00D50774">
        <w:rPr>
          <w:rStyle w:val="FootnoteReference"/>
          <w:rFonts w:ascii="Arial" w:hAnsi="Arial" w:cs="Arial"/>
          <w:sz w:val="18"/>
          <w:szCs w:val="18"/>
        </w:rPr>
        <w:footnoteRef/>
      </w:r>
      <w:r w:rsidRPr="00D50774">
        <w:rPr>
          <w:rFonts w:ascii="Arial" w:hAnsi="Arial" w:cs="Arial"/>
          <w:sz w:val="18"/>
          <w:szCs w:val="18"/>
        </w:rPr>
        <w:t xml:space="preserve"> </w:t>
      </w:r>
      <w:r w:rsidRPr="00D50774">
        <w:rPr>
          <w:rFonts w:ascii="Arial" w:hAnsi="Arial" w:cs="Arial"/>
          <w:sz w:val="18"/>
          <w:szCs w:val="18"/>
        </w:rPr>
        <w:tab/>
        <w:t>Por ejemplo, ver evidencia para Estados Unidos en “</w:t>
      </w:r>
      <w:r w:rsidRPr="00D50774">
        <w:rPr>
          <w:rFonts w:ascii="Arial" w:hAnsi="Arial" w:cs="Arial"/>
          <w:i/>
          <w:iCs/>
          <w:sz w:val="18"/>
          <w:szCs w:val="18"/>
        </w:rPr>
        <w:t>Small Businesses and Small Business Finance during the Financial Crisis and the Great Recession - New Evidence from the Survey of  Consumer Finances</w:t>
      </w:r>
      <w:r w:rsidRPr="00D50774">
        <w:rPr>
          <w:rFonts w:ascii="Arial" w:hAnsi="Arial" w:cs="Arial"/>
          <w:sz w:val="18"/>
          <w:szCs w:val="18"/>
        </w:rPr>
        <w:t>”, National Bureau of Economic Research, 2017.</w:t>
      </w:r>
    </w:p>
  </w:footnote>
  <w:footnote w:id="12">
    <w:p w14:paraId="6377DA02" w14:textId="54CB0F21" w:rsidR="00AD6F21" w:rsidRPr="003D1AD6" w:rsidRDefault="00AD6F21" w:rsidP="00514234">
      <w:pPr>
        <w:pStyle w:val="FootnoteText"/>
        <w:spacing w:after="40"/>
        <w:rPr>
          <w:rFonts w:ascii="Arial" w:hAnsi="Arial" w:cs="Arial"/>
          <w:sz w:val="18"/>
          <w:szCs w:val="18"/>
          <w:lang w:val="es-ES"/>
        </w:rPr>
      </w:pPr>
      <w:r w:rsidRPr="00000951">
        <w:rPr>
          <w:rStyle w:val="FootnoteReference"/>
          <w:rFonts w:ascii="Arial" w:hAnsi="Arial" w:cs="Arial"/>
          <w:sz w:val="18"/>
          <w:szCs w:val="18"/>
        </w:rPr>
        <w:footnoteRef/>
      </w:r>
      <w:r w:rsidRPr="00514234">
        <w:rPr>
          <w:rFonts w:ascii="Arial" w:hAnsi="Arial" w:cs="Arial"/>
          <w:sz w:val="18"/>
          <w:szCs w:val="18"/>
          <w:lang w:val="es-ES"/>
        </w:rPr>
        <w:t xml:space="preserve"> </w:t>
      </w:r>
      <w:r w:rsidRPr="003D1AD6">
        <w:rPr>
          <w:rFonts w:ascii="Arial" w:hAnsi="Arial" w:cs="Arial"/>
          <w:sz w:val="18"/>
          <w:szCs w:val="18"/>
          <w:lang w:val="es-ES"/>
        </w:rPr>
        <w:tab/>
        <w:t>Un di</w:t>
      </w:r>
      <w:r w:rsidRPr="00514234">
        <w:rPr>
          <w:rFonts w:ascii="Arial" w:hAnsi="Arial" w:cs="Arial"/>
          <w:sz w:val="18"/>
          <w:szCs w:val="18"/>
          <w:lang w:val="es-ES"/>
        </w:rPr>
        <w:t>agnóstico detallado sobre los problemas de acceso a financiamiento de las MIPYME de la región, pueden encontrarse en Documento de Marco Sectorial de Respaldo para PYME y Acceso y Supervisión Financieros (GN</w:t>
      </w:r>
      <w:r>
        <w:rPr>
          <w:rFonts w:ascii="Arial" w:hAnsi="Arial" w:cs="Arial"/>
          <w:sz w:val="18"/>
          <w:szCs w:val="18"/>
          <w:lang w:val="es-ES"/>
        </w:rPr>
        <w:noBreakHyphen/>
      </w:r>
      <w:r w:rsidRPr="00514234">
        <w:rPr>
          <w:rFonts w:ascii="Arial" w:hAnsi="Arial" w:cs="Arial"/>
          <w:sz w:val="18"/>
          <w:szCs w:val="18"/>
          <w:lang w:val="es-ES"/>
        </w:rPr>
        <w:t>2768</w:t>
      </w:r>
      <w:r>
        <w:rPr>
          <w:rFonts w:ascii="Arial" w:hAnsi="Arial" w:cs="Arial"/>
          <w:sz w:val="18"/>
          <w:szCs w:val="18"/>
          <w:lang w:val="es-ES"/>
        </w:rPr>
        <w:noBreakHyphen/>
      </w:r>
      <w:r w:rsidRPr="00514234">
        <w:rPr>
          <w:rFonts w:ascii="Arial" w:hAnsi="Arial" w:cs="Arial"/>
          <w:sz w:val="18"/>
          <w:szCs w:val="18"/>
          <w:lang w:val="es-ES"/>
        </w:rPr>
        <w:t>7).</w:t>
      </w:r>
    </w:p>
  </w:footnote>
  <w:footnote w:id="13">
    <w:p w14:paraId="72E93E54" w14:textId="77777777" w:rsidR="00AD6F21" w:rsidRPr="00CB5240" w:rsidRDefault="00AD6F21" w:rsidP="00514234">
      <w:pPr>
        <w:pStyle w:val="FootnoteText"/>
        <w:rPr>
          <w:rFonts w:ascii="Arial" w:hAnsi="Arial" w:cs="Arial"/>
          <w:sz w:val="18"/>
          <w:szCs w:val="18"/>
          <w:lang w:val="es-ES"/>
        </w:rPr>
      </w:pPr>
      <w:r w:rsidRPr="00B24A49">
        <w:rPr>
          <w:rStyle w:val="FootnoteReference"/>
          <w:rFonts w:ascii="Arial" w:hAnsi="Arial" w:cs="Arial"/>
          <w:sz w:val="18"/>
          <w:szCs w:val="18"/>
        </w:rPr>
        <w:footnoteRef/>
      </w:r>
      <w:r w:rsidRPr="00B24A49">
        <w:rPr>
          <w:rFonts w:ascii="Arial" w:hAnsi="Arial" w:cs="Arial"/>
          <w:sz w:val="18"/>
          <w:szCs w:val="18"/>
          <w:lang w:val="es-ES"/>
        </w:rPr>
        <w:t xml:space="preserve"> </w:t>
      </w:r>
      <w:r>
        <w:rPr>
          <w:rFonts w:ascii="Arial" w:hAnsi="Arial" w:cs="Arial"/>
          <w:sz w:val="18"/>
          <w:szCs w:val="18"/>
          <w:lang w:val="es-ES"/>
        </w:rPr>
        <w:tab/>
        <w:t xml:space="preserve">El segmento MIPYME presenta </w:t>
      </w:r>
      <w:r w:rsidRPr="00B24A49">
        <w:rPr>
          <w:rFonts w:ascii="Arial" w:hAnsi="Arial" w:cs="Arial"/>
          <w:sz w:val="18"/>
          <w:szCs w:val="18"/>
          <w:lang w:val="es-ES_tradnl"/>
        </w:rPr>
        <w:t xml:space="preserve">obstáculos específicos para el acceso al financiamiento respecto a empresas de mayor tamaño como son: (i) ciclos comerciales más cortos con mayores necesidades de liquidez a corto plazo; (ii) carencia de instrumentos para la gestión del riesgo asociado a su ciclo de proyectos; (iii) mayores limitaciones de colateral disponible y su ejecución, debido a la falta de capital existente; (iv) altos costos de operación para prestar a escalas </w:t>
      </w:r>
      <w:r w:rsidRPr="00CB5240">
        <w:rPr>
          <w:rFonts w:ascii="Arial" w:hAnsi="Arial" w:cs="Arial"/>
          <w:sz w:val="18"/>
          <w:szCs w:val="18"/>
          <w:lang w:val="es-ES_tradnl"/>
        </w:rPr>
        <w:t>pequeñas; y (v) menor rentabilidad que otros segmentos empresariales.</w:t>
      </w:r>
    </w:p>
  </w:footnote>
  <w:footnote w:id="14">
    <w:p w14:paraId="078270BE" w14:textId="33B268C9" w:rsidR="00AD6F21" w:rsidRPr="00CB5240" w:rsidRDefault="00AD6F21" w:rsidP="00CB5240">
      <w:pPr>
        <w:pStyle w:val="FootnoteText"/>
        <w:spacing w:after="40"/>
        <w:rPr>
          <w:rFonts w:ascii="Arial" w:eastAsia="Times New Roman" w:hAnsi="Arial" w:cs="Arial"/>
          <w:sz w:val="18"/>
          <w:szCs w:val="18"/>
          <w:lang w:val="es-NI" w:eastAsia="en-US"/>
        </w:rPr>
      </w:pPr>
      <w:r w:rsidRPr="00CB5240">
        <w:rPr>
          <w:rStyle w:val="FootnoteReference"/>
          <w:rFonts w:ascii="Arial" w:hAnsi="Arial" w:cs="Arial"/>
          <w:sz w:val="18"/>
          <w:szCs w:val="18"/>
        </w:rPr>
        <w:footnoteRef/>
      </w:r>
      <w:r w:rsidRPr="00CB5240">
        <w:rPr>
          <w:rFonts w:ascii="Arial" w:hAnsi="Arial" w:cs="Arial"/>
          <w:sz w:val="18"/>
          <w:szCs w:val="18"/>
          <w:lang w:val="es-NI"/>
        </w:rPr>
        <w:t xml:space="preserve">  </w:t>
      </w:r>
      <w:r w:rsidRPr="00CB5240">
        <w:rPr>
          <w:rFonts w:ascii="Arial" w:hAnsi="Arial" w:cs="Arial"/>
          <w:sz w:val="18"/>
          <w:szCs w:val="18"/>
          <w:lang w:val="es-ES"/>
        </w:rPr>
        <w:t>SIC</w:t>
      </w:r>
      <w:r w:rsidRPr="00CB5240">
        <w:rPr>
          <w:rFonts w:ascii="Arial" w:eastAsia="Times New Roman" w:hAnsi="Arial" w:cs="Arial"/>
          <w:sz w:val="18"/>
          <w:szCs w:val="18"/>
          <w:lang w:val="es-NI" w:eastAsia="en-US"/>
        </w:rPr>
        <w:t xml:space="preserve"> </w:t>
      </w:r>
      <w:r w:rsidRPr="0000280E">
        <w:rPr>
          <w:rFonts w:ascii="Arial" w:hAnsi="Arial" w:cs="Arial"/>
          <w:sz w:val="18"/>
          <w:szCs w:val="18"/>
          <w:lang w:val="es-ES"/>
        </w:rPr>
        <w:t>Desarrollo</w:t>
      </w:r>
      <w:r w:rsidRPr="00CB5240">
        <w:rPr>
          <w:rFonts w:ascii="Arial" w:eastAsia="Times New Roman" w:hAnsi="Arial" w:cs="Arial"/>
          <w:sz w:val="18"/>
          <w:szCs w:val="18"/>
          <w:lang w:val="es-NI" w:eastAsia="en-US"/>
        </w:rPr>
        <w:t xml:space="preserve"> (2019). “Iniciativas para el Fomento del Acceso al Crédito Productivo. Situación Actual y Perspectivas del Crédito Productivo en Argentina”, Argentina.</w:t>
      </w:r>
    </w:p>
    <w:p w14:paraId="1DFE627E" w14:textId="322BDDC6" w:rsidR="00AD6F21" w:rsidRPr="00CB5240" w:rsidRDefault="00AD6F21">
      <w:pPr>
        <w:pStyle w:val="FootnoteText"/>
        <w:rPr>
          <w:lang w:val="es-NI"/>
        </w:rPr>
      </w:pPr>
    </w:p>
  </w:footnote>
  <w:footnote w:id="15">
    <w:p w14:paraId="53ED05D2" w14:textId="496B74FB" w:rsidR="00547546" w:rsidRPr="00547546" w:rsidRDefault="00547546" w:rsidP="00547546">
      <w:pPr>
        <w:pStyle w:val="FootnoteText"/>
        <w:spacing w:after="0"/>
        <w:rPr>
          <w:rFonts w:ascii="Arial" w:hAnsi="Arial" w:cs="Arial"/>
          <w:sz w:val="18"/>
          <w:szCs w:val="18"/>
          <w:lang w:val="es-NI"/>
        </w:rPr>
      </w:pPr>
      <w:r w:rsidRPr="00412DF5">
        <w:rPr>
          <w:rStyle w:val="FootnoteReference"/>
          <w:rFonts w:ascii="Arial" w:hAnsi="Arial" w:cs="Arial"/>
          <w:sz w:val="18"/>
          <w:szCs w:val="18"/>
        </w:rPr>
        <w:footnoteRef/>
      </w:r>
      <w:r w:rsidRPr="00547546">
        <w:rPr>
          <w:rFonts w:ascii="Arial" w:hAnsi="Arial" w:cs="Arial"/>
          <w:sz w:val="18"/>
          <w:szCs w:val="18"/>
          <w:lang w:val="es-NI"/>
        </w:rPr>
        <w:t xml:space="preserve"> </w:t>
      </w:r>
      <w:r w:rsidRPr="00547546">
        <w:rPr>
          <w:rFonts w:ascii="Arial" w:hAnsi="Arial" w:cs="Arial"/>
          <w:sz w:val="18"/>
          <w:szCs w:val="18"/>
          <w:lang w:val="es-NI"/>
        </w:rPr>
        <w:tab/>
        <w:t>Entendiéndose MIPYME que sean proveedor</w:t>
      </w:r>
      <w:r w:rsidR="005336A4">
        <w:rPr>
          <w:rFonts w:ascii="Arial" w:hAnsi="Arial" w:cs="Arial"/>
          <w:sz w:val="18"/>
          <w:szCs w:val="18"/>
          <w:lang w:val="es-NI"/>
        </w:rPr>
        <w:t>a</w:t>
      </w:r>
      <w:r w:rsidRPr="00547546">
        <w:rPr>
          <w:rFonts w:ascii="Arial" w:hAnsi="Arial" w:cs="Arial"/>
          <w:sz w:val="18"/>
          <w:szCs w:val="18"/>
          <w:lang w:val="es-NI"/>
        </w:rPr>
        <w:t>s de insumos.</w:t>
      </w:r>
    </w:p>
  </w:footnote>
  <w:footnote w:id="16">
    <w:p w14:paraId="2FD48E1E" w14:textId="77777777" w:rsidR="00AD6F21" w:rsidRPr="004F0A7D" w:rsidRDefault="00AD6F21" w:rsidP="008A3E60">
      <w:pPr>
        <w:pStyle w:val="FootnoteText"/>
        <w:spacing w:after="0"/>
        <w:rPr>
          <w:rFonts w:ascii="Arial" w:hAnsi="Arial" w:cs="Arial"/>
          <w:sz w:val="18"/>
          <w:szCs w:val="18"/>
          <w:lang w:val="es-NI"/>
        </w:rPr>
      </w:pPr>
      <w:r w:rsidRPr="006143F4">
        <w:rPr>
          <w:rStyle w:val="FootnoteReference"/>
          <w:rFonts w:ascii="Arial" w:hAnsi="Arial" w:cs="Arial"/>
          <w:sz w:val="18"/>
          <w:szCs w:val="18"/>
        </w:rPr>
        <w:footnoteRef/>
      </w:r>
      <w:r w:rsidRPr="004F0A7D">
        <w:rPr>
          <w:rFonts w:ascii="Arial" w:hAnsi="Arial" w:cs="Arial"/>
          <w:sz w:val="18"/>
          <w:szCs w:val="18"/>
          <w:lang w:val="es-NI"/>
        </w:rPr>
        <w:t xml:space="preserve"> </w:t>
      </w:r>
      <w:r w:rsidRPr="004F0A7D">
        <w:rPr>
          <w:rFonts w:ascii="Arial" w:hAnsi="Arial" w:cs="Arial"/>
          <w:sz w:val="18"/>
          <w:szCs w:val="18"/>
          <w:lang w:val="es-NI"/>
        </w:rPr>
        <w:tab/>
        <w:t xml:space="preserve">BICE, </w:t>
      </w:r>
      <w:hyperlink r:id="rId4" w:history="1">
        <w:r w:rsidRPr="004F0A7D">
          <w:rPr>
            <w:rStyle w:val="Hyperlink"/>
            <w:rFonts w:ascii="Arial" w:hAnsi="Arial" w:cs="Arial"/>
            <w:sz w:val="18"/>
            <w:szCs w:val="18"/>
            <w:lang w:val="es-NI"/>
          </w:rPr>
          <w:t>Memoria y Balance 2019</w:t>
        </w:r>
      </w:hyperlink>
      <w:r w:rsidRPr="004F0A7D">
        <w:rPr>
          <w:rFonts w:ascii="Arial" w:hAnsi="Arial" w:cs="Arial"/>
          <w:sz w:val="18"/>
          <w:szCs w:val="18"/>
          <w:lang w:val="es-NI"/>
        </w:rPr>
        <w:t>.</w:t>
      </w:r>
    </w:p>
  </w:footnote>
  <w:footnote w:id="17">
    <w:p w14:paraId="3CA1DA54" w14:textId="266DFBB5" w:rsidR="00D05D54" w:rsidRPr="0000280E" w:rsidRDefault="00D05D54" w:rsidP="00D05D54">
      <w:pPr>
        <w:pStyle w:val="FootnoteText"/>
        <w:spacing w:after="0"/>
        <w:rPr>
          <w:rFonts w:ascii="Arial" w:hAnsi="Arial" w:cs="Arial"/>
          <w:sz w:val="18"/>
          <w:szCs w:val="18"/>
          <w:lang w:val="es-NI"/>
        </w:rPr>
      </w:pPr>
      <w:r w:rsidRPr="00C8763B">
        <w:rPr>
          <w:rStyle w:val="FootnoteReference"/>
          <w:rFonts w:ascii="Arial" w:hAnsi="Arial" w:cs="Arial"/>
          <w:sz w:val="18"/>
          <w:szCs w:val="18"/>
        </w:rPr>
        <w:footnoteRef/>
      </w:r>
      <w:r w:rsidRPr="0000280E">
        <w:rPr>
          <w:rFonts w:ascii="Arial" w:hAnsi="Arial" w:cs="Arial"/>
          <w:sz w:val="18"/>
          <w:szCs w:val="18"/>
          <w:lang w:val="es-NI"/>
        </w:rPr>
        <w:t xml:space="preserve"> </w:t>
      </w:r>
      <w:r w:rsidRPr="0000280E">
        <w:rPr>
          <w:rFonts w:ascii="Arial" w:hAnsi="Arial" w:cs="Arial"/>
          <w:sz w:val="18"/>
          <w:szCs w:val="18"/>
          <w:lang w:val="es-NI"/>
        </w:rPr>
        <w:tab/>
        <w:t xml:space="preserve">Mediante la bonificación de tasa, elegible bajo ambos subcomponentes, el FONDEP podrá pagar una porción de la tasa de interés que la MIPYME paga a la IFI en virtud del crédito. Ver detalle en el </w:t>
      </w:r>
      <w:hyperlink r:id="rId5" w:history="1">
        <w:r w:rsidRPr="0000280E">
          <w:rPr>
            <w:rStyle w:val="Hyperlink"/>
            <w:rFonts w:ascii="Arial" w:hAnsi="Arial" w:cs="Arial"/>
            <w:sz w:val="18"/>
            <w:szCs w:val="18"/>
            <w:lang w:val="es-NI"/>
          </w:rPr>
          <w:t>Reglamento de Crédito</w:t>
        </w:r>
      </w:hyperlink>
      <w:r w:rsidRPr="0000280E">
        <w:rPr>
          <w:rFonts w:ascii="Arial" w:hAnsi="Arial" w:cs="Arial"/>
          <w:sz w:val="18"/>
          <w:szCs w:val="18"/>
          <w:lang w:val="es-NI"/>
        </w:rPr>
        <w:t xml:space="preserve"> del programa.</w:t>
      </w:r>
    </w:p>
  </w:footnote>
  <w:footnote w:id="18">
    <w:p w14:paraId="60856BCE" w14:textId="77777777" w:rsidR="00AD6F21" w:rsidRPr="00AF2969" w:rsidRDefault="00AD6F21" w:rsidP="007116B2">
      <w:pPr>
        <w:pStyle w:val="FootnoteText"/>
        <w:spacing w:after="0"/>
        <w:rPr>
          <w:rFonts w:ascii="Arial" w:hAnsi="Arial" w:cs="Arial"/>
          <w:sz w:val="18"/>
          <w:szCs w:val="18"/>
          <w:lang w:val="es-ES"/>
        </w:rPr>
      </w:pPr>
      <w:r w:rsidRPr="00AF2969">
        <w:rPr>
          <w:rFonts w:ascii="Arial" w:hAnsi="Arial" w:cs="Arial"/>
          <w:sz w:val="18"/>
          <w:szCs w:val="18"/>
          <w:vertAlign w:val="superscript"/>
          <w:lang w:val="pt-BR"/>
        </w:rPr>
        <w:footnoteRef/>
      </w:r>
      <w:r w:rsidRPr="00AF2969">
        <w:rPr>
          <w:rFonts w:ascii="Arial" w:hAnsi="Arial" w:cs="Arial"/>
          <w:sz w:val="18"/>
          <w:szCs w:val="18"/>
          <w:lang w:val="es-ES"/>
        </w:rPr>
        <w:t xml:space="preserve"> Program Monitoring Report por sus siglas en inglés.</w:t>
      </w:r>
    </w:p>
  </w:footnote>
  <w:footnote w:id="19">
    <w:p w14:paraId="7985A981" w14:textId="1CE95824" w:rsidR="00AD6F21" w:rsidRPr="005336A4" w:rsidRDefault="00AD6F21" w:rsidP="007116B2">
      <w:pPr>
        <w:pStyle w:val="FootnoteText"/>
        <w:spacing w:after="0"/>
        <w:rPr>
          <w:rFonts w:ascii="Arial" w:hAnsi="Arial" w:cs="Arial"/>
          <w:sz w:val="18"/>
          <w:szCs w:val="18"/>
          <w:lang w:val="es-NI"/>
        </w:rPr>
      </w:pPr>
      <w:r w:rsidRPr="00AF2969">
        <w:rPr>
          <w:rFonts w:ascii="Arial" w:hAnsi="Arial" w:cs="Arial"/>
          <w:sz w:val="18"/>
          <w:szCs w:val="18"/>
          <w:vertAlign w:val="superscript"/>
          <w:lang w:val="pt-BR"/>
        </w:rPr>
        <w:footnoteRef/>
      </w:r>
      <w:r w:rsidRPr="005336A4">
        <w:rPr>
          <w:rFonts w:ascii="Arial" w:hAnsi="Arial" w:cs="Arial"/>
          <w:sz w:val="18"/>
          <w:szCs w:val="18"/>
          <w:lang w:val="es-NI"/>
        </w:rPr>
        <w:t xml:space="preserve"> Ver Matriz de Resultados. Anexo II </w:t>
      </w:r>
      <w:r w:rsidR="0019740E" w:rsidRPr="005336A4">
        <w:rPr>
          <w:rFonts w:ascii="Arial" w:hAnsi="Arial" w:cs="Arial"/>
          <w:sz w:val="18"/>
          <w:szCs w:val="18"/>
          <w:lang w:val="es-NI"/>
        </w:rPr>
        <w:t xml:space="preserve">de la </w:t>
      </w:r>
      <w:r w:rsidR="006362E3" w:rsidRPr="005336A4">
        <w:rPr>
          <w:rFonts w:ascii="Arial" w:hAnsi="Arial" w:cs="Arial"/>
          <w:sz w:val="18"/>
          <w:szCs w:val="18"/>
          <w:lang w:val="es-NI"/>
        </w:rPr>
        <w:t>Propuesa de Reformulación</w:t>
      </w:r>
      <w:r w:rsidRPr="005336A4">
        <w:rPr>
          <w:rFonts w:ascii="Arial" w:hAnsi="Arial" w:cs="Arial"/>
          <w:sz w:val="18"/>
          <w:szCs w:val="18"/>
          <w:lang w:val="es-NI"/>
        </w:rPr>
        <w:t>.</w:t>
      </w:r>
    </w:p>
  </w:footnote>
  <w:footnote w:id="20">
    <w:p w14:paraId="57C46F1B" w14:textId="42612709" w:rsidR="00AD6F21" w:rsidRPr="00495862" w:rsidRDefault="00AD6F21">
      <w:pPr>
        <w:pStyle w:val="FootnoteText"/>
        <w:rPr>
          <w:rFonts w:ascii="Arial" w:hAnsi="Arial" w:cs="Arial"/>
          <w:sz w:val="18"/>
          <w:szCs w:val="18"/>
          <w:lang w:val="es-ES"/>
        </w:rPr>
      </w:pPr>
      <w:r w:rsidRPr="00B25D1D">
        <w:rPr>
          <w:rStyle w:val="FootnoteReference"/>
          <w:rFonts w:ascii="Arial" w:hAnsi="Arial" w:cs="Arial"/>
          <w:sz w:val="18"/>
          <w:szCs w:val="18"/>
        </w:rPr>
        <w:footnoteRef/>
      </w:r>
      <w:r w:rsidRPr="00495862">
        <w:rPr>
          <w:rFonts w:ascii="Arial" w:hAnsi="Arial" w:cs="Arial"/>
          <w:sz w:val="18"/>
          <w:szCs w:val="18"/>
          <w:lang w:val="es-ES"/>
        </w:rPr>
        <w:t xml:space="preserve"> Ver definición de tamaño de empresa en el </w:t>
      </w:r>
      <w:r>
        <w:rPr>
          <w:rFonts w:ascii="Arial" w:hAnsi="Arial" w:cs="Arial"/>
          <w:sz w:val="18"/>
          <w:szCs w:val="18"/>
          <w:lang w:val="es-ES"/>
        </w:rPr>
        <w:t>Anexo I de este documento</w:t>
      </w:r>
      <w:r w:rsidRPr="00495862">
        <w:rPr>
          <w:rFonts w:ascii="Arial" w:hAnsi="Arial" w:cs="Arial"/>
          <w:sz w:val="18"/>
          <w:szCs w:val="18"/>
          <w:lang w:val="es-ES"/>
        </w:rPr>
        <w:t>.</w:t>
      </w:r>
    </w:p>
  </w:footnote>
  <w:footnote w:id="21">
    <w:p w14:paraId="3E3458F2" w14:textId="45F873C1" w:rsidR="00AD6F21" w:rsidRPr="002C012A" w:rsidRDefault="00AD6F21" w:rsidP="002C012A">
      <w:pPr>
        <w:pStyle w:val="FootnoteText"/>
        <w:rPr>
          <w:rFonts w:ascii="Arial" w:hAnsi="Arial" w:cs="Arial"/>
          <w:sz w:val="18"/>
          <w:szCs w:val="18"/>
          <w:lang w:val="es-ES"/>
        </w:rPr>
      </w:pPr>
      <w:r w:rsidRPr="003545DB">
        <w:rPr>
          <w:rStyle w:val="FootnoteReference"/>
          <w:rFonts w:ascii="Arial" w:hAnsi="Arial" w:cs="Arial"/>
          <w:sz w:val="18"/>
          <w:szCs w:val="18"/>
        </w:rPr>
        <w:footnoteRef/>
      </w:r>
      <w:r w:rsidRPr="002C012A">
        <w:rPr>
          <w:rFonts w:ascii="Arial" w:hAnsi="Arial" w:cs="Arial"/>
          <w:sz w:val="18"/>
          <w:szCs w:val="18"/>
          <w:lang w:val="es-ES"/>
        </w:rPr>
        <w:t xml:space="preserve"> </w:t>
      </w:r>
      <w:r>
        <w:rPr>
          <w:rFonts w:ascii="Arial" w:hAnsi="Arial" w:cs="Arial"/>
          <w:sz w:val="18"/>
          <w:szCs w:val="18"/>
          <w:lang w:val="es-ES"/>
        </w:rPr>
        <w:tab/>
      </w:r>
      <w:r w:rsidRPr="002C012A">
        <w:rPr>
          <w:rFonts w:ascii="Arial" w:hAnsi="Arial" w:cs="Arial"/>
          <w:sz w:val="18"/>
          <w:szCs w:val="18"/>
          <w:lang w:val="es-ES"/>
        </w:rPr>
        <w:t>En principio no se prevé el uso de garantías, se podría utilizar el instrumento si las necesidades así lo dictaran. Los valores de línea de base y metas presentados corresponden a FONDEP. Si se utilizaran fondos de garantía, se ajustarán las líneas de base para reflejar promedios ponderados (por nivel de recursos utilizados por cada uno) de los indicadores correspondientes. Las metas se mantendrán en términos relativos a las especificadas en la matriz de resultados, pero ajustadas por esta línea de base ponderada.</w:t>
      </w:r>
    </w:p>
  </w:footnote>
  <w:footnote w:id="22">
    <w:p w14:paraId="42B46647" w14:textId="5DBC66EB" w:rsidR="00AD6F21" w:rsidRPr="003D1AD6" w:rsidRDefault="00AD6F21" w:rsidP="000E4BA5">
      <w:pPr>
        <w:pStyle w:val="FootnoteText"/>
        <w:spacing w:after="60"/>
        <w:rPr>
          <w:rFonts w:ascii="Arial" w:hAnsi="Arial" w:cs="Arial"/>
          <w:sz w:val="18"/>
          <w:szCs w:val="18"/>
          <w:lang w:val="es-ES"/>
        </w:rPr>
      </w:pPr>
      <w:r w:rsidRPr="00674258">
        <w:rPr>
          <w:rStyle w:val="FootnoteReference"/>
          <w:rFonts w:ascii="Arial" w:hAnsi="Arial" w:cs="Arial"/>
          <w:sz w:val="18"/>
          <w:szCs w:val="18"/>
        </w:rPr>
        <w:footnoteRef/>
      </w:r>
      <w:r w:rsidRPr="005B47D5">
        <w:rPr>
          <w:rStyle w:val="FootnoteReference"/>
          <w:rFonts w:ascii="Arial" w:hAnsi="Arial" w:cs="Arial"/>
          <w:sz w:val="18"/>
          <w:szCs w:val="18"/>
        </w:rPr>
        <w:t xml:space="preserve"> </w:t>
      </w:r>
      <w:r w:rsidRPr="005B47D5">
        <w:rPr>
          <w:rFonts w:ascii="Arial" w:hAnsi="Arial" w:cs="Arial"/>
          <w:sz w:val="18"/>
          <w:szCs w:val="18"/>
        </w:rPr>
        <w:tab/>
        <w:t>Ver “</w:t>
      </w:r>
      <w:r w:rsidRPr="005B47D5">
        <w:rPr>
          <w:rFonts w:ascii="Arial" w:hAnsi="Arial" w:cs="Arial"/>
          <w:i/>
          <w:iCs/>
          <w:sz w:val="18"/>
          <w:szCs w:val="18"/>
        </w:rPr>
        <w:t>Second - tier Government Banks and Firm Performance</w:t>
      </w:r>
      <w:r w:rsidRPr="005B47D5">
        <w:rPr>
          <w:rFonts w:ascii="Arial" w:hAnsi="Arial" w:cs="Arial"/>
          <w:sz w:val="18"/>
          <w:szCs w:val="18"/>
        </w:rPr>
        <w:t xml:space="preserve">.” </w:t>
      </w:r>
      <w:r w:rsidRPr="003D1AD6">
        <w:rPr>
          <w:rFonts w:ascii="Arial" w:hAnsi="Arial" w:cs="Arial"/>
          <w:sz w:val="18"/>
          <w:szCs w:val="18"/>
        </w:rPr>
        <w:t xml:space="preserve">IDB Working Paper Series No. </w:t>
      </w:r>
      <w:r w:rsidRPr="00447395">
        <w:rPr>
          <w:rFonts w:ascii="Arial" w:hAnsi="Arial" w:cs="Arial"/>
          <w:sz w:val="18"/>
          <w:szCs w:val="18"/>
          <w:lang w:val="es-ES"/>
        </w:rPr>
        <w:t>IDB - WP - 294.</w:t>
      </w:r>
    </w:p>
  </w:footnote>
  <w:footnote w:id="23">
    <w:p w14:paraId="4619116F" w14:textId="77777777" w:rsidR="00AD6F21" w:rsidRPr="003D1AD6" w:rsidRDefault="00AD6F21" w:rsidP="00A11FC0">
      <w:pPr>
        <w:pStyle w:val="FootnoteText"/>
        <w:rPr>
          <w:rFonts w:ascii="Arial" w:hAnsi="Arial" w:cs="Arial"/>
          <w:sz w:val="18"/>
          <w:szCs w:val="18"/>
          <w:lang w:val="es-ES"/>
        </w:rPr>
      </w:pPr>
      <w:r w:rsidRPr="00D14E04">
        <w:rPr>
          <w:rStyle w:val="FootnoteReference"/>
          <w:rFonts w:ascii="Arial" w:hAnsi="Arial" w:cs="Arial"/>
          <w:sz w:val="18"/>
          <w:szCs w:val="18"/>
        </w:rPr>
        <w:footnoteRef/>
      </w:r>
      <w:r w:rsidRPr="00A11FC0">
        <w:rPr>
          <w:rFonts w:ascii="Arial" w:hAnsi="Arial" w:cs="Arial"/>
          <w:sz w:val="18"/>
          <w:szCs w:val="18"/>
          <w:lang w:val="es-ES"/>
        </w:rPr>
        <w:t xml:space="preserve"> </w:t>
      </w:r>
      <w:r w:rsidRPr="00A11FC0">
        <w:rPr>
          <w:rFonts w:ascii="Arial" w:hAnsi="Arial" w:cs="Arial"/>
          <w:sz w:val="18"/>
          <w:szCs w:val="18"/>
          <w:lang w:val="es-ES"/>
        </w:rPr>
        <w:tab/>
        <w:t xml:space="preserve">El Banco también ha generado conocimiento en el tema. Entre las publicaciones más relevantes, cabe mencionar: Desencadenar el Crédito (BID, 2005); La era de la productividad (BID, 2010) y Políticas e Instituciones para el Desarrollo Productivo (BID, 2014a) de la serie Desarrollo en las Américas; Bancos Públicos de Desarrollo: ¿hacia un nuevo paradigma? </w:t>
      </w:r>
      <w:r w:rsidRPr="00532BD9">
        <w:rPr>
          <w:rFonts w:ascii="Arial" w:hAnsi="Arial" w:cs="Arial"/>
          <w:sz w:val="18"/>
          <w:szCs w:val="18"/>
          <w:lang w:val="es-ES"/>
        </w:rPr>
        <w:t>(BID-CMF, 2013); El rol de los Bancos Nacionales de Desarrollo en catalizar el financiamiento climático internacional (Smallridge y otros, 2013); Gestión Integral de Riesgos para Cadenas de Valor (Calatayud y Ketterer, 2016); y evaluaciones de impacto de programas del Sector en Argentina (Bueso-Merriam y otros, 2016), Chile (Bonilla y Cancino, 2001), Colombia (Eslava y otros, 2012), Costa Rica (Torres y otros, 2003) y México (Calderón y otros, 2013).</w:t>
      </w:r>
    </w:p>
  </w:footnote>
  <w:footnote w:id="24">
    <w:p w14:paraId="0BAD1545" w14:textId="6BC767BE" w:rsidR="00AD6F21" w:rsidRPr="00F44F83" w:rsidRDefault="00AD6F21">
      <w:pPr>
        <w:pStyle w:val="FootnoteText"/>
        <w:rPr>
          <w:rFonts w:ascii="Arial" w:hAnsi="Arial" w:cs="Arial"/>
          <w:sz w:val="18"/>
          <w:szCs w:val="18"/>
          <w:lang w:val="es-ES"/>
        </w:rPr>
      </w:pPr>
      <w:r w:rsidRPr="00F44F83">
        <w:rPr>
          <w:rStyle w:val="FootnoteReference"/>
          <w:rFonts w:ascii="Arial" w:hAnsi="Arial" w:cs="Arial"/>
          <w:sz w:val="18"/>
          <w:szCs w:val="18"/>
        </w:rPr>
        <w:footnoteRef/>
      </w:r>
      <w:r w:rsidRPr="00F44F83">
        <w:rPr>
          <w:rFonts w:ascii="Arial" w:hAnsi="Arial" w:cs="Arial"/>
          <w:sz w:val="18"/>
          <w:szCs w:val="18"/>
          <w:lang w:val="es-ES"/>
        </w:rPr>
        <w:t xml:space="preserve"> </w:t>
      </w:r>
      <w:r w:rsidRPr="00F44F83">
        <w:rPr>
          <w:rFonts w:ascii="Arial" w:hAnsi="Arial" w:cs="Arial"/>
          <w:sz w:val="18"/>
          <w:szCs w:val="18"/>
          <w:lang w:val="es-ES"/>
        </w:rPr>
        <w:tab/>
        <w:t>Un conjunto más extenso y detallado de lecciones aprendidas extraídas de la experiencia del Banco en el sector, así como la extraída de la experiencia de otros multilaterales, la investigación academia, y otros actores relevantes en la confección de políticas públicas de apoyo a la MIYPME, se recogen en la sección IV del Documento de Marco Sectorial de Respaldo para PYME y Acceso y Supervisión Financieros (GN-2768-7).</w:t>
      </w:r>
    </w:p>
  </w:footnote>
  <w:footnote w:id="25">
    <w:p w14:paraId="1E57E484" w14:textId="4C4805AF" w:rsidR="007833DD" w:rsidRPr="00752737" w:rsidRDefault="007833DD">
      <w:pPr>
        <w:pStyle w:val="FootnoteText"/>
        <w:rPr>
          <w:rFonts w:ascii="Arial" w:hAnsi="Arial" w:cs="Arial"/>
          <w:sz w:val="18"/>
          <w:szCs w:val="18"/>
          <w:lang w:val="es-ES"/>
        </w:rPr>
      </w:pPr>
      <w:r w:rsidRPr="00752737">
        <w:rPr>
          <w:rStyle w:val="FootnoteReference"/>
          <w:rFonts w:ascii="Arial" w:hAnsi="Arial" w:cs="Arial"/>
          <w:sz w:val="18"/>
          <w:szCs w:val="18"/>
        </w:rPr>
        <w:footnoteRef/>
      </w:r>
      <w:r w:rsidRPr="00752737">
        <w:rPr>
          <w:rFonts w:ascii="Arial" w:hAnsi="Arial" w:cs="Arial"/>
          <w:sz w:val="18"/>
          <w:szCs w:val="18"/>
          <w:lang w:val="es-ES"/>
        </w:rPr>
        <w:t xml:space="preserve"> </w:t>
      </w:r>
      <w:r w:rsidRPr="00752737">
        <w:rPr>
          <w:rFonts w:ascii="Arial" w:hAnsi="Arial" w:cs="Arial"/>
          <w:sz w:val="18"/>
          <w:szCs w:val="18"/>
          <w:lang w:val="es-ES"/>
        </w:rPr>
        <w:tab/>
        <w:t>Es posible que la evaluación de impacto para este programa cuente con recursos de Cooperación Técnica (CT) para su elaboración. Concretamente, los recursos potenciales provendrían de la RG-T3690 - Apoyo a la Defensa del Tejido Productivo y el Empleo en América Latina y el Caribe en Respuesta al Shock Económico Causado por la Pandemia del COVID-19, pendiente de aprobación a la fecha.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B572B"/>
    <w:multiLevelType w:val="multilevel"/>
    <w:tmpl w:val="3D7E6B54"/>
    <w:lvl w:ilvl="0">
      <w:start w:val="1"/>
      <w:numFmt w:val="none"/>
      <w:lvlRestart w:val="0"/>
      <w:pStyle w:val="FirstHeading"/>
      <w:suff w:val="nothing"/>
      <w:lvlText w:val=""/>
      <w:lvlJc w:val="left"/>
      <w:pPr>
        <w:ind w:left="4824" w:hanging="720"/>
      </w:pPr>
      <w:rPr>
        <w:rFonts w:hint="default"/>
      </w:rPr>
    </w:lvl>
    <w:lvl w:ilvl="1">
      <w:start w:val="1"/>
      <w:numFmt w:val="decimal"/>
      <w:pStyle w:val="SecHeading"/>
      <w:lvlText w:val="%2."/>
      <w:lvlJc w:val="left"/>
      <w:pPr>
        <w:tabs>
          <w:tab w:val="num" w:pos="5400"/>
        </w:tabs>
        <w:ind w:left="5400" w:hanging="576"/>
      </w:pPr>
      <w:rPr>
        <w:rFonts w:hint="default"/>
        <w:b/>
      </w:rPr>
    </w:lvl>
    <w:lvl w:ilvl="2">
      <w:start w:val="1"/>
      <w:numFmt w:val="lowerLetter"/>
      <w:pStyle w:val="SubHeading1"/>
      <w:lvlText w:val="%3)"/>
      <w:lvlJc w:val="left"/>
      <w:pPr>
        <w:tabs>
          <w:tab w:val="num" w:pos="5976"/>
        </w:tabs>
        <w:ind w:left="5976" w:hanging="576"/>
      </w:pPr>
      <w:rPr>
        <w:rFonts w:hint="default"/>
        <w:b/>
      </w:rPr>
    </w:lvl>
    <w:lvl w:ilvl="3">
      <w:start w:val="1"/>
      <w:numFmt w:val="lowerRoman"/>
      <w:pStyle w:val="Subheading2"/>
      <w:lvlText w:val="(%4)"/>
      <w:lvlJc w:val="right"/>
      <w:pPr>
        <w:tabs>
          <w:tab w:val="num" w:pos="6480"/>
        </w:tabs>
        <w:ind w:left="6480" w:hanging="288"/>
      </w:pPr>
      <w:rPr>
        <w:rFonts w:hint="default"/>
        <w:b/>
      </w:rPr>
    </w:lvl>
    <w:lvl w:ilvl="4">
      <w:start w:val="1"/>
      <w:numFmt w:val="decimal"/>
      <w:pStyle w:val="Heading5"/>
      <w:lvlText w:val="%5)"/>
      <w:lvlJc w:val="left"/>
      <w:pPr>
        <w:ind w:left="5112" w:hanging="432"/>
      </w:pPr>
      <w:rPr>
        <w:rFonts w:hint="default"/>
      </w:rPr>
    </w:lvl>
    <w:lvl w:ilvl="5">
      <w:start w:val="1"/>
      <w:numFmt w:val="lowerLetter"/>
      <w:pStyle w:val="Heading6"/>
      <w:lvlText w:val="%6)"/>
      <w:lvlJc w:val="left"/>
      <w:pPr>
        <w:ind w:left="5256" w:hanging="432"/>
      </w:pPr>
      <w:rPr>
        <w:rFonts w:hint="default"/>
      </w:rPr>
    </w:lvl>
    <w:lvl w:ilvl="6">
      <w:start w:val="1"/>
      <w:numFmt w:val="lowerRoman"/>
      <w:pStyle w:val="Heading7"/>
      <w:lvlText w:val="%7)"/>
      <w:lvlJc w:val="right"/>
      <w:pPr>
        <w:ind w:left="5400" w:hanging="288"/>
      </w:pPr>
      <w:rPr>
        <w:rFonts w:hint="default"/>
      </w:rPr>
    </w:lvl>
    <w:lvl w:ilvl="7">
      <w:start w:val="1"/>
      <w:numFmt w:val="lowerLetter"/>
      <w:pStyle w:val="Heading8"/>
      <w:lvlText w:val="%8."/>
      <w:lvlJc w:val="left"/>
      <w:pPr>
        <w:ind w:left="5544" w:hanging="432"/>
      </w:pPr>
      <w:rPr>
        <w:rFonts w:hint="default"/>
      </w:rPr>
    </w:lvl>
    <w:lvl w:ilvl="8">
      <w:start w:val="1"/>
      <w:numFmt w:val="lowerRoman"/>
      <w:pStyle w:val="Heading9"/>
      <w:lvlText w:val="%9."/>
      <w:lvlJc w:val="right"/>
      <w:pPr>
        <w:ind w:left="5688" w:hanging="144"/>
      </w:pPr>
      <w:rPr>
        <w:rFonts w:hint="default"/>
      </w:rPr>
    </w:lvl>
  </w:abstractNum>
  <w:abstractNum w:abstractNumId="1" w15:restartNumberingAfterBreak="0">
    <w:nsid w:val="08B67040"/>
    <w:multiLevelType w:val="multilevel"/>
    <w:tmpl w:val="16C83F4C"/>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b w:val="0"/>
        <w:bCs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0D094181"/>
    <w:multiLevelType w:val="multilevel"/>
    <w:tmpl w:val="48B4A190"/>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17CA5D1B"/>
    <w:multiLevelType w:val="hybridMultilevel"/>
    <w:tmpl w:val="3D762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D65AEA"/>
    <w:multiLevelType w:val="hybridMultilevel"/>
    <w:tmpl w:val="2ED62A6A"/>
    <w:lvl w:ilvl="0" w:tplc="C21883B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AB5FF9"/>
    <w:multiLevelType w:val="hybridMultilevel"/>
    <w:tmpl w:val="54A23156"/>
    <w:lvl w:ilvl="0" w:tplc="0409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9DB7F98"/>
    <w:multiLevelType w:val="multilevel"/>
    <w:tmpl w:val="368E5DE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lvlText w:val="%1.%2"/>
      <w:lvlJc w:val="left"/>
      <w:pPr>
        <w:tabs>
          <w:tab w:val="num" w:pos="1476"/>
        </w:tabs>
        <w:ind w:left="1476" w:hanging="1296"/>
      </w:pPr>
      <w:rPr>
        <w:rFonts w:ascii="Arial" w:hAnsi="Arial" w:cs="Arial" w:hint="default"/>
        <w:b w:val="0"/>
      </w:rPr>
    </w:lvl>
    <w:lvl w:ilvl="2">
      <w:start w:val="1"/>
      <w:numFmt w:val="lowerLetter"/>
      <w:pStyle w:val="subpar"/>
      <w:lvlText w:val="%3."/>
      <w:lvlJc w:val="left"/>
      <w:pPr>
        <w:tabs>
          <w:tab w:val="num" w:pos="2682"/>
        </w:tabs>
        <w:ind w:left="268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7" w15:restartNumberingAfterBreak="0">
    <w:nsid w:val="348172FC"/>
    <w:multiLevelType w:val="hybridMultilevel"/>
    <w:tmpl w:val="FD3CA2AC"/>
    <w:lvl w:ilvl="0" w:tplc="CF8CC9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9B4991"/>
    <w:multiLevelType w:val="multilevel"/>
    <w:tmpl w:val="3FFE7FA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9" w15:restartNumberingAfterBreak="0">
    <w:nsid w:val="38AA1141"/>
    <w:multiLevelType w:val="multilevel"/>
    <w:tmpl w:val="9252F9E4"/>
    <w:lvl w:ilvl="0">
      <w:start w:val="3"/>
      <w:numFmt w:val="decimal"/>
      <w:lvlText w:val="%1"/>
      <w:lvlJc w:val="left"/>
      <w:pPr>
        <w:ind w:left="360" w:hanging="360"/>
      </w:pPr>
      <w:rPr>
        <w:rFonts w:hint="default"/>
      </w:rPr>
    </w:lvl>
    <w:lvl w:ilvl="1">
      <w:start w:val="1"/>
      <w:numFmt w:val="decimal"/>
      <w:lvlText w:val="%1.%2"/>
      <w:lvlJc w:val="left"/>
      <w:pPr>
        <w:ind w:left="540" w:hanging="360"/>
      </w:pPr>
      <w:rPr>
        <w:rFonts w:hint="default"/>
        <w:b w:val="0"/>
        <w:bCs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437E0BCA"/>
    <w:multiLevelType w:val="hybridMultilevel"/>
    <w:tmpl w:val="C4B4D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594911"/>
    <w:multiLevelType w:val="multilevel"/>
    <w:tmpl w:val="44189A14"/>
    <w:lvl w:ilvl="0">
      <w:start w:val="1"/>
      <w:numFmt w:val="decimal"/>
      <w:lvlText w:val="%1"/>
      <w:lvlJc w:val="left"/>
      <w:pPr>
        <w:ind w:left="360" w:hanging="360"/>
      </w:pPr>
      <w:rPr>
        <w:rFonts w:hint="default"/>
      </w:rPr>
    </w:lvl>
    <w:lvl w:ilvl="1">
      <w:start w:val="1"/>
      <w:numFmt w:val="decimal"/>
      <w:lvlText w:val="%1.%2"/>
      <w:lvlJc w:val="left"/>
      <w:pPr>
        <w:ind w:left="1260" w:hanging="36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B785849"/>
    <w:multiLevelType w:val="hybridMultilevel"/>
    <w:tmpl w:val="2F380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26453F"/>
    <w:multiLevelType w:val="hybridMultilevel"/>
    <w:tmpl w:val="A67ED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
  </w:num>
  <w:num w:numId="5">
    <w:abstractNumId w:val="2"/>
  </w:num>
  <w:num w:numId="6">
    <w:abstractNumId w:val="9"/>
  </w:num>
  <w:num w:numId="7">
    <w:abstractNumId w:val="10"/>
  </w:num>
  <w:num w:numId="8">
    <w:abstractNumId w:val="11"/>
  </w:num>
  <w:num w:numId="9">
    <w:abstractNumId w:val="6"/>
  </w:num>
  <w:num w:numId="10">
    <w:abstractNumId w:val="6"/>
  </w:num>
  <w:num w:numId="11">
    <w:abstractNumId w:val="6"/>
  </w:num>
  <w:num w:numId="12">
    <w:abstractNumId w:val="6"/>
  </w:num>
  <w:num w:numId="13">
    <w:abstractNumId w:val="4"/>
  </w:num>
  <w:num w:numId="14">
    <w:abstractNumId w:val="6"/>
  </w:num>
  <w:num w:numId="15">
    <w:abstractNumId w:val="8"/>
  </w:num>
  <w:num w:numId="16">
    <w:abstractNumId w:val="6"/>
  </w:num>
  <w:num w:numId="17">
    <w:abstractNumId w:val="6"/>
  </w:num>
  <w:num w:numId="18">
    <w:abstractNumId w:val="6"/>
  </w:num>
  <w:num w:numId="19">
    <w:abstractNumId w:val="6"/>
  </w:num>
  <w:num w:numId="20">
    <w:abstractNumId w:val="6"/>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13"/>
  </w:num>
  <w:num w:numId="24">
    <w:abstractNumId w:val="12"/>
  </w:num>
  <w:num w:numId="25">
    <w:abstractNumId w:val="6"/>
  </w:num>
  <w:num w:numId="26">
    <w:abstractNumId w:val="6"/>
  </w:num>
  <w:num w:numId="27">
    <w:abstractNumId w:val="6"/>
  </w:num>
  <w:num w:numId="28">
    <w:abstractNumId w:val="6"/>
  </w:num>
  <w:num w:numId="29">
    <w:abstractNumId w:val="7"/>
  </w:num>
  <w:num w:numId="30">
    <w:abstractNumId w:val="6"/>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6B2"/>
    <w:rsid w:val="00001F69"/>
    <w:rsid w:val="0000280E"/>
    <w:rsid w:val="00005A2D"/>
    <w:rsid w:val="000073D0"/>
    <w:rsid w:val="00007B89"/>
    <w:rsid w:val="00011621"/>
    <w:rsid w:val="00015591"/>
    <w:rsid w:val="00016A0A"/>
    <w:rsid w:val="0002036B"/>
    <w:rsid w:val="0002158D"/>
    <w:rsid w:val="00025C17"/>
    <w:rsid w:val="00031E50"/>
    <w:rsid w:val="00035D27"/>
    <w:rsid w:val="000370DE"/>
    <w:rsid w:val="00037243"/>
    <w:rsid w:val="000406B1"/>
    <w:rsid w:val="00040A1D"/>
    <w:rsid w:val="0004197F"/>
    <w:rsid w:val="00043C4A"/>
    <w:rsid w:val="00043C7F"/>
    <w:rsid w:val="00044485"/>
    <w:rsid w:val="00052429"/>
    <w:rsid w:val="000529D5"/>
    <w:rsid w:val="00052E69"/>
    <w:rsid w:val="00057A91"/>
    <w:rsid w:val="00061426"/>
    <w:rsid w:val="00062A35"/>
    <w:rsid w:val="000652FD"/>
    <w:rsid w:val="00065E50"/>
    <w:rsid w:val="000803DD"/>
    <w:rsid w:val="00090ADE"/>
    <w:rsid w:val="000977A9"/>
    <w:rsid w:val="000A2A3F"/>
    <w:rsid w:val="000A50F2"/>
    <w:rsid w:val="000B06BB"/>
    <w:rsid w:val="000B157C"/>
    <w:rsid w:val="000B47F6"/>
    <w:rsid w:val="000B5743"/>
    <w:rsid w:val="000B7962"/>
    <w:rsid w:val="000C5C51"/>
    <w:rsid w:val="000C6DDB"/>
    <w:rsid w:val="000D314D"/>
    <w:rsid w:val="000D38ED"/>
    <w:rsid w:val="000D5433"/>
    <w:rsid w:val="000D5826"/>
    <w:rsid w:val="000D5E58"/>
    <w:rsid w:val="000E4BA5"/>
    <w:rsid w:val="000E56F7"/>
    <w:rsid w:val="000E7387"/>
    <w:rsid w:val="001000B7"/>
    <w:rsid w:val="00111453"/>
    <w:rsid w:val="00121A96"/>
    <w:rsid w:val="00122A84"/>
    <w:rsid w:val="001250A3"/>
    <w:rsid w:val="00126182"/>
    <w:rsid w:val="00132793"/>
    <w:rsid w:val="00132D0F"/>
    <w:rsid w:val="00136736"/>
    <w:rsid w:val="00136EBC"/>
    <w:rsid w:val="00144626"/>
    <w:rsid w:val="0015190F"/>
    <w:rsid w:val="00157D19"/>
    <w:rsid w:val="0016237B"/>
    <w:rsid w:val="00164C77"/>
    <w:rsid w:val="00166D8E"/>
    <w:rsid w:val="0017098D"/>
    <w:rsid w:val="001730FC"/>
    <w:rsid w:val="00180291"/>
    <w:rsid w:val="001813DF"/>
    <w:rsid w:val="00183BDB"/>
    <w:rsid w:val="00186383"/>
    <w:rsid w:val="0019052E"/>
    <w:rsid w:val="00190E2F"/>
    <w:rsid w:val="00194738"/>
    <w:rsid w:val="0019740E"/>
    <w:rsid w:val="001A1E86"/>
    <w:rsid w:val="001A3369"/>
    <w:rsid w:val="001A37FB"/>
    <w:rsid w:val="001B141E"/>
    <w:rsid w:val="001B64EA"/>
    <w:rsid w:val="001B6C9E"/>
    <w:rsid w:val="001D3935"/>
    <w:rsid w:val="001D639A"/>
    <w:rsid w:val="001D6E94"/>
    <w:rsid w:val="001E6FF7"/>
    <w:rsid w:val="001E797B"/>
    <w:rsid w:val="001F6027"/>
    <w:rsid w:val="001F6C37"/>
    <w:rsid w:val="00205C46"/>
    <w:rsid w:val="00207601"/>
    <w:rsid w:val="0021139F"/>
    <w:rsid w:val="00217203"/>
    <w:rsid w:val="00226BF9"/>
    <w:rsid w:val="00243684"/>
    <w:rsid w:val="00246D61"/>
    <w:rsid w:val="00251116"/>
    <w:rsid w:val="00252E49"/>
    <w:rsid w:val="00261C8F"/>
    <w:rsid w:val="002627D1"/>
    <w:rsid w:val="002644F4"/>
    <w:rsid w:val="00266F3A"/>
    <w:rsid w:val="00284F70"/>
    <w:rsid w:val="00285DCB"/>
    <w:rsid w:val="00291B2F"/>
    <w:rsid w:val="0029641A"/>
    <w:rsid w:val="0029790C"/>
    <w:rsid w:val="002A286A"/>
    <w:rsid w:val="002B5FBB"/>
    <w:rsid w:val="002C012A"/>
    <w:rsid w:val="002C24EF"/>
    <w:rsid w:val="002C3895"/>
    <w:rsid w:val="002C3CA6"/>
    <w:rsid w:val="002C5D20"/>
    <w:rsid w:val="002C6846"/>
    <w:rsid w:val="002C7253"/>
    <w:rsid w:val="002D31D6"/>
    <w:rsid w:val="002D51BF"/>
    <w:rsid w:val="002D730B"/>
    <w:rsid w:val="002F2857"/>
    <w:rsid w:val="002F508D"/>
    <w:rsid w:val="002F69D8"/>
    <w:rsid w:val="003005F8"/>
    <w:rsid w:val="00304660"/>
    <w:rsid w:val="0030684F"/>
    <w:rsid w:val="00311BDB"/>
    <w:rsid w:val="00317B05"/>
    <w:rsid w:val="00317EF3"/>
    <w:rsid w:val="00324C59"/>
    <w:rsid w:val="00325521"/>
    <w:rsid w:val="00325F40"/>
    <w:rsid w:val="00326F48"/>
    <w:rsid w:val="0033295E"/>
    <w:rsid w:val="003337A2"/>
    <w:rsid w:val="00333C0D"/>
    <w:rsid w:val="00337DF8"/>
    <w:rsid w:val="003428E4"/>
    <w:rsid w:val="003448DB"/>
    <w:rsid w:val="00346380"/>
    <w:rsid w:val="00355DE3"/>
    <w:rsid w:val="0035769A"/>
    <w:rsid w:val="00360AC8"/>
    <w:rsid w:val="00361957"/>
    <w:rsid w:val="00365248"/>
    <w:rsid w:val="00372BB0"/>
    <w:rsid w:val="00376D49"/>
    <w:rsid w:val="00377949"/>
    <w:rsid w:val="0038187C"/>
    <w:rsid w:val="00385B32"/>
    <w:rsid w:val="0039488A"/>
    <w:rsid w:val="00395385"/>
    <w:rsid w:val="003A15B7"/>
    <w:rsid w:val="003B1A9A"/>
    <w:rsid w:val="003B287D"/>
    <w:rsid w:val="003B75BB"/>
    <w:rsid w:val="003B7A67"/>
    <w:rsid w:val="003C457D"/>
    <w:rsid w:val="003D1223"/>
    <w:rsid w:val="003D1377"/>
    <w:rsid w:val="003D5CBB"/>
    <w:rsid w:val="003D7399"/>
    <w:rsid w:val="003E02FD"/>
    <w:rsid w:val="003E099F"/>
    <w:rsid w:val="003E0F7B"/>
    <w:rsid w:val="003E3F92"/>
    <w:rsid w:val="003F1317"/>
    <w:rsid w:val="004054F9"/>
    <w:rsid w:val="00406DE0"/>
    <w:rsid w:val="004175DB"/>
    <w:rsid w:val="00417DCC"/>
    <w:rsid w:val="0042067C"/>
    <w:rsid w:val="00433F74"/>
    <w:rsid w:val="00440E98"/>
    <w:rsid w:val="00446832"/>
    <w:rsid w:val="00447395"/>
    <w:rsid w:val="00454CB5"/>
    <w:rsid w:val="004550C7"/>
    <w:rsid w:val="004714E0"/>
    <w:rsid w:val="00494070"/>
    <w:rsid w:val="00495862"/>
    <w:rsid w:val="004972BB"/>
    <w:rsid w:val="004A0441"/>
    <w:rsid w:val="004A13FD"/>
    <w:rsid w:val="004A5616"/>
    <w:rsid w:val="004A5622"/>
    <w:rsid w:val="004A70B5"/>
    <w:rsid w:val="004B411B"/>
    <w:rsid w:val="004B4E84"/>
    <w:rsid w:val="004B68A5"/>
    <w:rsid w:val="004B71EF"/>
    <w:rsid w:val="004C2C96"/>
    <w:rsid w:val="004D31F6"/>
    <w:rsid w:val="004D74AD"/>
    <w:rsid w:val="004E025C"/>
    <w:rsid w:val="004E0D78"/>
    <w:rsid w:val="004E1459"/>
    <w:rsid w:val="004E271A"/>
    <w:rsid w:val="004E32E8"/>
    <w:rsid w:val="004E55EB"/>
    <w:rsid w:val="004F03EC"/>
    <w:rsid w:val="004F0A7D"/>
    <w:rsid w:val="004F0F82"/>
    <w:rsid w:val="004F2D98"/>
    <w:rsid w:val="00501E93"/>
    <w:rsid w:val="00510D6D"/>
    <w:rsid w:val="00513C4B"/>
    <w:rsid w:val="00514234"/>
    <w:rsid w:val="005164F8"/>
    <w:rsid w:val="00522B95"/>
    <w:rsid w:val="0052428B"/>
    <w:rsid w:val="00527ED1"/>
    <w:rsid w:val="00532BD9"/>
    <w:rsid w:val="005336A4"/>
    <w:rsid w:val="005414EE"/>
    <w:rsid w:val="005438A5"/>
    <w:rsid w:val="0054717B"/>
    <w:rsid w:val="00547546"/>
    <w:rsid w:val="00557970"/>
    <w:rsid w:val="00557FA5"/>
    <w:rsid w:val="00563CD7"/>
    <w:rsid w:val="0056694D"/>
    <w:rsid w:val="005707CE"/>
    <w:rsid w:val="00572EA2"/>
    <w:rsid w:val="00580D4F"/>
    <w:rsid w:val="00581248"/>
    <w:rsid w:val="005822E1"/>
    <w:rsid w:val="00583FF5"/>
    <w:rsid w:val="0058656C"/>
    <w:rsid w:val="005923F4"/>
    <w:rsid w:val="005A37D1"/>
    <w:rsid w:val="005A567D"/>
    <w:rsid w:val="005A7DFB"/>
    <w:rsid w:val="005B47D5"/>
    <w:rsid w:val="005B49F7"/>
    <w:rsid w:val="005D3048"/>
    <w:rsid w:val="005D5475"/>
    <w:rsid w:val="005E2807"/>
    <w:rsid w:val="005E4B35"/>
    <w:rsid w:val="005E7AF2"/>
    <w:rsid w:val="005F1584"/>
    <w:rsid w:val="005F1FE7"/>
    <w:rsid w:val="005F5767"/>
    <w:rsid w:val="005F6778"/>
    <w:rsid w:val="0060319E"/>
    <w:rsid w:val="00614B51"/>
    <w:rsid w:val="006158AA"/>
    <w:rsid w:val="00630100"/>
    <w:rsid w:val="006306BC"/>
    <w:rsid w:val="00630F64"/>
    <w:rsid w:val="006327F0"/>
    <w:rsid w:val="006355A6"/>
    <w:rsid w:val="006362E3"/>
    <w:rsid w:val="0064005C"/>
    <w:rsid w:val="00642378"/>
    <w:rsid w:val="006443B2"/>
    <w:rsid w:val="00646501"/>
    <w:rsid w:val="00646527"/>
    <w:rsid w:val="00647526"/>
    <w:rsid w:val="00657553"/>
    <w:rsid w:val="00663E8E"/>
    <w:rsid w:val="006713A0"/>
    <w:rsid w:val="00675A3D"/>
    <w:rsid w:val="00675D4E"/>
    <w:rsid w:val="00677A4B"/>
    <w:rsid w:val="006807F1"/>
    <w:rsid w:val="00692370"/>
    <w:rsid w:val="00694253"/>
    <w:rsid w:val="00697ED0"/>
    <w:rsid w:val="006B12AE"/>
    <w:rsid w:val="006B2766"/>
    <w:rsid w:val="006B5861"/>
    <w:rsid w:val="006B68DB"/>
    <w:rsid w:val="006B6990"/>
    <w:rsid w:val="006C0781"/>
    <w:rsid w:val="006C7192"/>
    <w:rsid w:val="006D0441"/>
    <w:rsid w:val="006E0B65"/>
    <w:rsid w:val="006E10F2"/>
    <w:rsid w:val="006E13A8"/>
    <w:rsid w:val="006E7B20"/>
    <w:rsid w:val="006F1FF8"/>
    <w:rsid w:val="006F722D"/>
    <w:rsid w:val="00700B63"/>
    <w:rsid w:val="0070127B"/>
    <w:rsid w:val="00702363"/>
    <w:rsid w:val="007116B2"/>
    <w:rsid w:val="007131C5"/>
    <w:rsid w:val="00722740"/>
    <w:rsid w:val="00724428"/>
    <w:rsid w:val="0072599C"/>
    <w:rsid w:val="00725B30"/>
    <w:rsid w:val="00733904"/>
    <w:rsid w:val="0073541F"/>
    <w:rsid w:val="007441A0"/>
    <w:rsid w:val="00752737"/>
    <w:rsid w:val="00752991"/>
    <w:rsid w:val="00760316"/>
    <w:rsid w:val="00766209"/>
    <w:rsid w:val="00773350"/>
    <w:rsid w:val="007833DD"/>
    <w:rsid w:val="00787EA9"/>
    <w:rsid w:val="00790E17"/>
    <w:rsid w:val="00791FAD"/>
    <w:rsid w:val="00792A8C"/>
    <w:rsid w:val="00793720"/>
    <w:rsid w:val="00793775"/>
    <w:rsid w:val="007961B5"/>
    <w:rsid w:val="00796236"/>
    <w:rsid w:val="007A3D18"/>
    <w:rsid w:val="007A5EA4"/>
    <w:rsid w:val="007B0890"/>
    <w:rsid w:val="007B0B67"/>
    <w:rsid w:val="007B0F04"/>
    <w:rsid w:val="007B107A"/>
    <w:rsid w:val="007B698C"/>
    <w:rsid w:val="007C6937"/>
    <w:rsid w:val="007C7054"/>
    <w:rsid w:val="007D0A81"/>
    <w:rsid w:val="007D6406"/>
    <w:rsid w:val="007D7778"/>
    <w:rsid w:val="007F05D7"/>
    <w:rsid w:val="007F067A"/>
    <w:rsid w:val="008006D9"/>
    <w:rsid w:val="00800C58"/>
    <w:rsid w:val="00802882"/>
    <w:rsid w:val="00805B51"/>
    <w:rsid w:val="0081373E"/>
    <w:rsid w:val="00824587"/>
    <w:rsid w:val="00825ABF"/>
    <w:rsid w:val="008276FB"/>
    <w:rsid w:val="00835357"/>
    <w:rsid w:val="008369C4"/>
    <w:rsid w:val="008428AE"/>
    <w:rsid w:val="00847A9B"/>
    <w:rsid w:val="008513B4"/>
    <w:rsid w:val="008521B3"/>
    <w:rsid w:val="00856CAF"/>
    <w:rsid w:val="00860C54"/>
    <w:rsid w:val="008624F5"/>
    <w:rsid w:val="00862BC9"/>
    <w:rsid w:val="00866739"/>
    <w:rsid w:val="008702D3"/>
    <w:rsid w:val="00873605"/>
    <w:rsid w:val="00873BE5"/>
    <w:rsid w:val="0087528A"/>
    <w:rsid w:val="00875D50"/>
    <w:rsid w:val="00883C85"/>
    <w:rsid w:val="00887589"/>
    <w:rsid w:val="00887C19"/>
    <w:rsid w:val="00890012"/>
    <w:rsid w:val="00890A5A"/>
    <w:rsid w:val="008960B4"/>
    <w:rsid w:val="00896A9D"/>
    <w:rsid w:val="008A3E60"/>
    <w:rsid w:val="008A5F5F"/>
    <w:rsid w:val="008B3B6C"/>
    <w:rsid w:val="008B3EE1"/>
    <w:rsid w:val="008B530F"/>
    <w:rsid w:val="008B75D8"/>
    <w:rsid w:val="008B76DE"/>
    <w:rsid w:val="008C053C"/>
    <w:rsid w:val="008C0E36"/>
    <w:rsid w:val="008C18DB"/>
    <w:rsid w:val="008C387C"/>
    <w:rsid w:val="008C5A0F"/>
    <w:rsid w:val="008C6649"/>
    <w:rsid w:val="008C6759"/>
    <w:rsid w:val="008D577A"/>
    <w:rsid w:val="008D7088"/>
    <w:rsid w:val="008E0540"/>
    <w:rsid w:val="008F12B1"/>
    <w:rsid w:val="009033EA"/>
    <w:rsid w:val="00905D85"/>
    <w:rsid w:val="009070A6"/>
    <w:rsid w:val="00923AF4"/>
    <w:rsid w:val="00925402"/>
    <w:rsid w:val="00925BF6"/>
    <w:rsid w:val="0093212E"/>
    <w:rsid w:val="009336E6"/>
    <w:rsid w:val="00935843"/>
    <w:rsid w:val="0093749A"/>
    <w:rsid w:val="00937DFE"/>
    <w:rsid w:val="00940118"/>
    <w:rsid w:val="00944463"/>
    <w:rsid w:val="009448B7"/>
    <w:rsid w:val="009534A7"/>
    <w:rsid w:val="00967151"/>
    <w:rsid w:val="009708BF"/>
    <w:rsid w:val="00976802"/>
    <w:rsid w:val="00985D9D"/>
    <w:rsid w:val="00986487"/>
    <w:rsid w:val="0098747B"/>
    <w:rsid w:val="00992034"/>
    <w:rsid w:val="009A138A"/>
    <w:rsid w:val="009A1E7A"/>
    <w:rsid w:val="009A207B"/>
    <w:rsid w:val="009A241E"/>
    <w:rsid w:val="009A5E71"/>
    <w:rsid w:val="009A7209"/>
    <w:rsid w:val="009B0AD4"/>
    <w:rsid w:val="009B35C8"/>
    <w:rsid w:val="009B5253"/>
    <w:rsid w:val="009B54A4"/>
    <w:rsid w:val="009C0A77"/>
    <w:rsid w:val="009D2631"/>
    <w:rsid w:val="009D39DF"/>
    <w:rsid w:val="009D3FA6"/>
    <w:rsid w:val="009D4D33"/>
    <w:rsid w:val="009E1FF2"/>
    <w:rsid w:val="009E668D"/>
    <w:rsid w:val="009F0CCF"/>
    <w:rsid w:val="009F39B6"/>
    <w:rsid w:val="00A00CF2"/>
    <w:rsid w:val="00A04B10"/>
    <w:rsid w:val="00A103E1"/>
    <w:rsid w:val="00A11FC0"/>
    <w:rsid w:val="00A16BDA"/>
    <w:rsid w:val="00A16D8F"/>
    <w:rsid w:val="00A22DF1"/>
    <w:rsid w:val="00A27892"/>
    <w:rsid w:val="00A32134"/>
    <w:rsid w:val="00A34868"/>
    <w:rsid w:val="00A35A95"/>
    <w:rsid w:val="00A37D60"/>
    <w:rsid w:val="00A46DF2"/>
    <w:rsid w:val="00A505BA"/>
    <w:rsid w:val="00A531F9"/>
    <w:rsid w:val="00A571F9"/>
    <w:rsid w:val="00A60930"/>
    <w:rsid w:val="00A62B41"/>
    <w:rsid w:val="00A66C41"/>
    <w:rsid w:val="00A66CA4"/>
    <w:rsid w:val="00A67D75"/>
    <w:rsid w:val="00A707FC"/>
    <w:rsid w:val="00A73884"/>
    <w:rsid w:val="00A74B65"/>
    <w:rsid w:val="00A80495"/>
    <w:rsid w:val="00A8655B"/>
    <w:rsid w:val="00A90DF5"/>
    <w:rsid w:val="00A91446"/>
    <w:rsid w:val="00AA1EF2"/>
    <w:rsid w:val="00AB18D7"/>
    <w:rsid w:val="00AB1B5A"/>
    <w:rsid w:val="00AB7EF7"/>
    <w:rsid w:val="00AC14F5"/>
    <w:rsid w:val="00AC1B8D"/>
    <w:rsid w:val="00AC6CAC"/>
    <w:rsid w:val="00AC7689"/>
    <w:rsid w:val="00AC7E74"/>
    <w:rsid w:val="00AD36A6"/>
    <w:rsid w:val="00AD54DD"/>
    <w:rsid w:val="00AD6F21"/>
    <w:rsid w:val="00AD793D"/>
    <w:rsid w:val="00AE260A"/>
    <w:rsid w:val="00AF2AF6"/>
    <w:rsid w:val="00AF643C"/>
    <w:rsid w:val="00B103DB"/>
    <w:rsid w:val="00B2245B"/>
    <w:rsid w:val="00B24A49"/>
    <w:rsid w:val="00B34151"/>
    <w:rsid w:val="00B362B5"/>
    <w:rsid w:val="00B37FEC"/>
    <w:rsid w:val="00B544E0"/>
    <w:rsid w:val="00B6701C"/>
    <w:rsid w:val="00B67583"/>
    <w:rsid w:val="00B76A6C"/>
    <w:rsid w:val="00B93FB1"/>
    <w:rsid w:val="00BA27BD"/>
    <w:rsid w:val="00BA47C7"/>
    <w:rsid w:val="00BA5219"/>
    <w:rsid w:val="00BA582C"/>
    <w:rsid w:val="00BB1DD0"/>
    <w:rsid w:val="00BB48CD"/>
    <w:rsid w:val="00BB5302"/>
    <w:rsid w:val="00BD33DA"/>
    <w:rsid w:val="00BD3747"/>
    <w:rsid w:val="00BD37F6"/>
    <w:rsid w:val="00BD666F"/>
    <w:rsid w:val="00BD7609"/>
    <w:rsid w:val="00BE2798"/>
    <w:rsid w:val="00BE6BA7"/>
    <w:rsid w:val="00BF264C"/>
    <w:rsid w:val="00C00EC9"/>
    <w:rsid w:val="00C01758"/>
    <w:rsid w:val="00C067CB"/>
    <w:rsid w:val="00C07073"/>
    <w:rsid w:val="00C14483"/>
    <w:rsid w:val="00C15D84"/>
    <w:rsid w:val="00C16CFF"/>
    <w:rsid w:val="00C20FF1"/>
    <w:rsid w:val="00C278B5"/>
    <w:rsid w:val="00C31F68"/>
    <w:rsid w:val="00C37682"/>
    <w:rsid w:val="00C52729"/>
    <w:rsid w:val="00C64C11"/>
    <w:rsid w:val="00C65105"/>
    <w:rsid w:val="00C711F4"/>
    <w:rsid w:val="00C71648"/>
    <w:rsid w:val="00C737B7"/>
    <w:rsid w:val="00C76DFE"/>
    <w:rsid w:val="00C81657"/>
    <w:rsid w:val="00C82583"/>
    <w:rsid w:val="00C9095A"/>
    <w:rsid w:val="00C91F5C"/>
    <w:rsid w:val="00C9369C"/>
    <w:rsid w:val="00CA57D4"/>
    <w:rsid w:val="00CB2B72"/>
    <w:rsid w:val="00CB4E5B"/>
    <w:rsid w:val="00CB5240"/>
    <w:rsid w:val="00CC4FC8"/>
    <w:rsid w:val="00CC5C07"/>
    <w:rsid w:val="00CC7D65"/>
    <w:rsid w:val="00CD47D4"/>
    <w:rsid w:val="00CD77C0"/>
    <w:rsid w:val="00CE1A2E"/>
    <w:rsid w:val="00CE5854"/>
    <w:rsid w:val="00CE7A1C"/>
    <w:rsid w:val="00CF2E6E"/>
    <w:rsid w:val="00CF38ED"/>
    <w:rsid w:val="00D02477"/>
    <w:rsid w:val="00D02961"/>
    <w:rsid w:val="00D02CBF"/>
    <w:rsid w:val="00D037DB"/>
    <w:rsid w:val="00D05CF6"/>
    <w:rsid w:val="00D05D54"/>
    <w:rsid w:val="00D06611"/>
    <w:rsid w:val="00D07B74"/>
    <w:rsid w:val="00D10EBE"/>
    <w:rsid w:val="00D11127"/>
    <w:rsid w:val="00D209DB"/>
    <w:rsid w:val="00D21FA9"/>
    <w:rsid w:val="00D221D6"/>
    <w:rsid w:val="00D23321"/>
    <w:rsid w:val="00D23559"/>
    <w:rsid w:val="00D27B51"/>
    <w:rsid w:val="00D30ABE"/>
    <w:rsid w:val="00D31FFA"/>
    <w:rsid w:val="00D32B9E"/>
    <w:rsid w:val="00D3462F"/>
    <w:rsid w:val="00D50319"/>
    <w:rsid w:val="00D50774"/>
    <w:rsid w:val="00D5350C"/>
    <w:rsid w:val="00D54F9E"/>
    <w:rsid w:val="00D61A32"/>
    <w:rsid w:val="00D67C27"/>
    <w:rsid w:val="00D72BD5"/>
    <w:rsid w:val="00D74DCD"/>
    <w:rsid w:val="00D80E1D"/>
    <w:rsid w:val="00D82C1F"/>
    <w:rsid w:val="00D839B3"/>
    <w:rsid w:val="00D871E1"/>
    <w:rsid w:val="00DA19F9"/>
    <w:rsid w:val="00DA5B61"/>
    <w:rsid w:val="00DB32A4"/>
    <w:rsid w:val="00DB4C9B"/>
    <w:rsid w:val="00DB619C"/>
    <w:rsid w:val="00DC0971"/>
    <w:rsid w:val="00DC10B9"/>
    <w:rsid w:val="00DC2F46"/>
    <w:rsid w:val="00DC4A8F"/>
    <w:rsid w:val="00DC6D58"/>
    <w:rsid w:val="00DD0104"/>
    <w:rsid w:val="00DD3FD0"/>
    <w:rsid w:val="00DD7048"/>
    <w:rsid w:val="00DE4CFC"/>
    <w:rsid w:val="00E04A40"/>
    <w:rsid w:val="00E06B7F"/>
    <w:rsid w:val="00E0712D"/>
    <w:rsid w:val="00E11DF8"/>
    <w:rsid w:val="00E13326"/>
    <w:rsid w:val="00E13D0B"/>
    <w:rsid w:val="00E14933"/>
    <w:rsid w:val="00E1696D"/>
    <w:rsid w:val="00E24D9A"/>
    <w:rsid w:val="00E27608"/>
    <w:rsid w:val="00E30716"/>
    <w:rsid w:val="00E32571"/>
    <w:rsid w:val="00E33F78"/>
    <w:rsid w:val="00E36F62"/>
    <w:rsid w:val="00E403CD"/>
    <w:rsid w:val="00E4473B"/>
    <w:rsid w:val="00E45C65"/>
    <w:rsid w:val="00E47743"/>
    <w:rsid w:val="00E51908"/>
    <w:rsid w:val="00E57344"/>
    <w:rsid w:val="00E61E38"/>
    <w:rsid w:val="00E66122"/>
    <w:rsid w:val="00E66403"/>
    <w:rsid w:val="00E707A7"/>
    <w:rsid w:val="00E75415"/>
    <w:rsid w:val="00E7748C"/>
    <w:rsid w:val="00E86D28"/>
    <w:rsid w:val="00E96D8F"/>
    <w:rsid w:val="00EA417C"/>
    <w:rsid w:val="00EA7F81"/>
    <w:rsid w:val="00EB0A66"/>
    <w:rsid w:val="00EB35A6"/>
    <w:rsid w:val="00EB3F02"/>
    <w:rsid w:val="00EB55C5"/>
    <w:rsid w:val="00EB70D1"/>
    <w:rsid w:val="00EC1D0C"/>
    <w:rsid w:val="00EC36C4"/>
    <w:rsid w:val="00EC5FE4"/>
    <w:rsid w:val="00EC68BC"/>
    <w:rsid w:val="00EE58E1"/>
    <w:rsid w:val="00EE7CB5"/>
    <w:rsid w:val="00EF1598"/>
    <w:rsid w:val="00F043D9"/>
    <w:rsid w:val="00F056D0"/>
    <w:rsid w:val="00F07999"/>
    <w:rsid w:val="00F13E9C"/>
    <w:rsid w:val="00F145EC"/>
    <w:rsid w:val="00F174E1"/>
    <w:rsid w:val="00F27BCF"/>
    <w:rsid w:val="00F27FB9"/>
    <w:rsid w:val="00F326A0"/>
    <w:rsid w:val="00F40584"/>
    <w:rsid w:val="00F42F9B"/>
    <w:rsid w:val="00F44E86"/>
    <w:rsid w:val="00F44F83"/>
    <w:rsid w:val="00F54B8E"/>
    <w:rsid w:val="00F60037"/>
    <w:rsid w:val="00F73054"/>
    <w:rsid w:val="00F74A8E"/>
    <w:rsid w:val="00F80A52"/>
    <w:rsid w:val="00F844CB"/>
    <w:rsid w:val="00F84895"/>
    <w:rsid w:val="00F8529B"/>
    <w:rsid w:val="00F86DF1"/>
    <w:rsid w:val="00F9081C"/>
    <w:rsid w:val="00F910CB"/>
    <w:rsid w:val="00FA7EF3"/>
    <w:rsid w:val="00FB0B84"/>
    <w:rsid w:val="00FB2778"/>
    <w:rsid w:val="00FB5FFE"/>
    <w:rsid w:val="00FC19D3"/>
    <w:rsid w:val="00FC1E40"/>
    <w:rsid w:val="00FC2A7D"/>
    <w:rsid w:val="00FC6927"/>
    <w:rsid w:val="00FD0799"/>
    <w:rsid w:val="00FD6D39"/>
    <w:rsid w:val="00FE0AC2"/>
    <w:rsid w:val="00FE2518"/>
    <w:rsid w:val="00FE370C"/>
    <w:rsid w:val="00FF1CA5"/>
    <w:rsid w:val="00FF1EAE"/>
    <w:rsid w:val="00FF1F5A"/>
    <w:rsid w:val="00FF50C1"/>
    <w:rsid w:val="016271B3"/>
    <w:rsid w:val="17EC526E"/>
    <w:rsid w:val="19CA5E52"/>
    <w:rsid w:val="4AA17A14"/>
    <w:rsid w:val="6373D895"/>
    <w:rsid w:val="7C27BD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C995F"/>
  <w15:chartTrackingRefBased/>
  <w15:docId w15:val="{EEAAF383-E057-436B-9D08-A03EA2FF4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16B2"/>
    <w:pPr>
      <w:spacing w:after="200" w:line="276" w:lineRule="auto"/>
    </w:pPr>
    <w:rPr>
      <w:rFonts w:eastAsiaTheme="minorEastAsia"/>
      <w:lang w:val="en-GB" w:eastAsia="en-GB"/>
    </w:rPr>
  </w:style>
  <w:style w:type="paragraph" w:styleId="Heading5">
    <w:name w:val="heading 5"/>
    <w:basedOn w:val="Normal"/>
    <w:next w:val="Normal"/>
    <w:link w:val="Heading5Char"/>
    <w:uiPriority w:val="9"/>
    <w:unhideWhenUsed/>
    <w:qFormat/>
    <w:rsid w:val="007116B2"/>
    <w:pPr>
      <w:keepNext/>
      <w:keepLines/>
      <w:numPr>
        <w:ilvl w:val="4"/>
        <w:numId w:val="2"/>
      </w:numPr>
      <w:spacing w:before="200" w:after="0"/>
      <w:outlineLvl w:val="4"/>
    </w:pPr>
    <w:rPr>
      <w:rFonts w:asciiTheme="majorHAnsi" w:eastAsiaTheme="majorEastAsia" w:hAnsiTheme="majorHAnsi" w:cstheme="majorBidi"/>
      <w:color w:val="1F3763" w:themeColor="accent1" w:themeShade="7F"/>
      <w:lang w:val="en-US"/>
    </w:rPr>
  </w:style>
  <w:style w:type="paragraph" w:styleId="Heading6">
    <w:name w:val="heading 6"/>
    <w:basedOn w:val="Normal"/>
    <w:next w:val="Normal"/>
    <w:link w:val="Heading6Char"/>
    <w:uiPriority w:val="9"/>
    <w:semiHidden/>
    <w:unhideWhenUsed/>
    <w:qFormat/>
    <w:rsid w:val="007116B2"/>
    <w:pPr>
      <w:keepNext/>
      <w:keepLines/>
      <w:numPr>
        <w:ilvl w:val="5"/>
        <w:numId w:val="2"/>
      </w:numPr>
      <w:spacing w:before="200" w:after="0"/>
      <w:outlineLvl w:val="5"/>
    </w:pPr>
    <w:rPr>
      <w:rFonts w:asciiTheme="majorHAnsi" w:eastAsiaTheme="majorEastAsia" w:hAnsiTheme="majorHAnsi" w:cstheme="majorBidi"/>
      <w:i/>
      <w:iCs/>
      <w:color w:val="1F3763" w:themeColor="accent1" w:themeShade="7F"/>
      <w:lang w:val="en-US"/>
    </w:rPr>
  </w:style>
  <w:style w:type="paragraph" w:styleId="Heading7">
    <w:name w:val="heading 7"/>
    <w:basedOn w:val="Normal"/>
    <w:next w:val="Normal"/>
    <w:link w:val="Heading7Char"/>
    <w:uiPriority w:val="9"/>
    <w:unhideWhenUsed/>
    <w:qFormat/>
    <w:rsid w:val="007116B2"/>
    <w:pPr>
      <w:keepNext/>
      <w:keepLines/>
      <w:numPr>
        <w:ilvl w:val="6"/>
        <w:numId w:val="2"/>
      </w:numPr>
      <w:spacing w:before="200" w:after="0"/>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iPriority w:val="9"/>
    <w:semiHidden/>
    <w:unhideWhenUsed/>
    <w:qFormat/>
    <w:rsid w:val="007116B2"/>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iPriority w:val="9"/>
    <w:semiHidden/>
    <w:unhideWhenUsed/>
    <w:qFormat/>
    <w:rsid w:val="007116B2"/>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16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16B2"/>
    <w:rPr>
      <w:rFonts w:ascii="Segoe UI" w:hAnsi="Segoe UI" w:cs="Segoe UI"/>
      <w:sz w:val="18"/>
      <w:szCs w:val="18"/>
    </w:rPr>
  </w:style>
  <w:style w:type="character" w:customStyle="1" w:styleId="Heading5Char">
    <w:name w:val="Heading 5 Char"/>
    <w:basedOn w:val="DefaultParagraphFont"/>
    <w:link w:val="Heading5"/>
    <w:uiPriority w:val="9"/>
    <w:rsid w:val="007116B2"/>
    <w:rPr>
      <w:rFonts w:asciiTheme="majorHAnsi" w:eastAsiaTheme="majorEastAsia" w:hAnsiTheme="majorHAnsi" w:cstheme="majorBidi"/>
      <w:color w:val="1F3763" w:themeColor="accent1" w:themeShade="7F"/>
      <w:lang w:eastAsia="en-GB"/>
    </w:rPr>
  </w:style>
  <w:style w:type="character" w:customStyle="1" w:styleId="Heading6Char">
    <w:name w:val="Heading 6 Char"/>
    <w:basedOn w:val="DefaultParagraphFont"/>
    <w:link w:val="Heading6"/>
    <w:uiPriority w:val="9"/>
    <w:semiHidden/>
    <w:rsid w:val="007116B2"/>
    <w:rPr>
      <w:rFonts w:asciiTheme="majorHAnsi" w:eastAsiaTheme="majorEastAsia" w:hAnsiTheme="majorHAnsi" w:cstheme="majorBidi"/>
      <w:i/>
      <w:iCs/>
      <w:color w:val="1F3763" w:themeColor="accent1" w:themeShade="7F"/>
      <w:lang w:eastAsia="en-GB"/>
    </w:rPr>
  </w:style>
  <w:style w:type="character" w:customStyle="1" w:styleId="Heading7Char">
    <w:name w:val="Heading 7 Char"/>
    <w:basedOn w:val="DefaultParagraphFont"/>
    <w:link w:val="Heading7"/>
    <w:uiPriority w:val="9"/>
    <w:rsid w:val="007116B2"/>
    <w:rPr>
      <w:rFonts w:asciiTheme="majorHAnsi" w:eastAsiaTheme="majorEastAsia" w:hAnsiTheme="majorHAnsi" w:cstheme="majorBidi"/>
      <w:i/>
      <w:iCs/>
      <w:color w:val="404040" w:themeColor="text1" w:themeTint="BF"/>
      <w:lang w:eastAsia="en-GB"/>
    </w:rPr>
  </w:style>
  <w:style w:type="character" w:customStyle="1" w:styleId="Heading8Char">
    <w:name w:val="Heading 8 Char"/>
    <w:basedOn w:val="DefaultParagraphFont"/>
    <w:link w:val="Heading8"/>
    <w:uiPriority w:val="9"/>
    <w:semiHidden/>
    <w:rsid w:val="007116B2"/>
    <w:rPr>
      <w:rFonts w:asciiTheme="majorHAnsi" w:eastAsiaTheme="majorEastAsia" w:hAnsiTheme="majorHAnsi" w:cstheme="majorBidi"/>
      <w:color w:val="404040" w:themeColor="text1" w:themeTint="BF"/>
      <w:sz w:val="20"/>
      <w:szCs w:val="20"/>
      <w:lang w:eastAsia="en-GB"/>
    </w:rPr>
  </w:style>
  <w:style w:type="character" w:customStyle="1" w:styleId="Heading9Char">
    <w:name w:val="Heading 9 Char"/>
    <w:basedOn w:val="DefaultParagraphFont"/>
    <w:link w:val="Heading9"/>
    <w:uiPriority w:val="9"/>
    <w:semiHidden/>
    <w:rsid w:val="007116B2"/>
    <w:rPr>
      <w:rFonts w:asciiTheme="majorHAnsi" w:eastAsiaTheme="majorEastAsia" w:hAnsiTheme="majorHAnsi" w:cstheme="majorBidi"/>
      <w:i/>
      <w:iCs/>
      <w:color w:val="404040" w:themeColor="text1" w:themeTint="BF"/>
      <w:sz w:val="20"/>
      <w:szCs w:val="20"/>
      <w:lang w:eastAsia="en-GB"/>
    </w:rPr>
  </w:style>
  <w:style w:type="table" w:styleId="TableGrid">
    <w:name w:val="Table Grid"/>
    <w:basedOn w:val="TableNormal"/>
    <w:uiPriority w:val="59"/>
    <w:rsid w:val="007116B2"/>
    <w:pPr>
      <w:spacing w:after="0" w:line="240" w:lineRule="auto"/>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qFormat/>
    <w:rsid w:val="007116B2"/>
    <w:pPr>
      <w:tabs>
        <w:tab w:val="right" w:leader="dot" w:pos="8741"/>
      </w:tabs>
      <w:spacing w:before="240" w:after="120" w:line="240" w:lineRule="auto"/>
      <w:ind w:left="547" w:hanging="547"/>
    </w:pPr>
    <w:rPr>
      <w:rFonts w:ascii="Times New Roman" w:hAnsi="Times New Roman" w:cs="Times New Roman"/>
      <w:b/>
      <w:smallCaps/>
      <w:noProof/>
      <w:sz w:val="24"/>
      <w:lang w:val="en-US" w:eastAsia="ja-JP"/>
    </w:rPr>
  </w:style>
  <w:style w:type="paragraph" w:styleId="TOC3">
    <w:name w:val="toc 3"/>
    <w:basedOn w:val="Normal"/>
    <w:next w:val="Normal"/>
    <w:autoRedefine/>
    <w:uiPriority w:val="39"/>
    <w:unhideWhenUsed/>
    <w:qFormat/>
    <w:rsid w:val="007116B2"/>
    <w:pPr>
      <w:tabs>
        <w:tab w:val="left" w:pos="1728"/>
        <w:tab w:val="right" w:leader="dot" w:pos="8741"/>
      </w:tabs>
      <w:spacing w:after="0" w:line="240" w:lineRule="auto"/>
      <w:ind w:left="1714" w:hanging="562"/>
    </w:pPr>
    <w:rPr>
      <w:rFonts w:ascii="Times New Roman" w:hAnsi="Times New Roman" w:cs="Times New Roman"/>
      <w:sz w:val="24"/>
      <w:lang w:val="en-US" w:eastAsia="ja-JP"/>
    </w:rPr>
  </w:style>
  <w:style w:type="paragraph" w:customStyle="1" w:styleId="Paragraph">
    <w:name w:val="Paragraph"/>
    <w:aliases w:val="paragraph,p,PARAGRAPH,PG,pa,at"/>
    <w:basedOn w:val="BodyTextIndent"/>
    <w:link w:val="ParagraphChar"/>
    <w:qFormat/>
    <w:rsid w:val="007116B2"/>
    <w:pPr>
      <w:numPr>
        <w:ilvl w:val="1"/>
        <w:numId w:val="1"/>
      </w:numPr>
      <w:spacing w:before="120" w:line="240" w:lineRule="auto"/>
      <w:jc w:val="both"/>
      <w:outlineLvl w:val="1"/>
    </w:pPr>
    <w:rPr>
      <w:rFonts w:ascii="Times New Roman" w:eastAsia="Times New Roman" w:hAnsi="Times New Roman" w:cs="Times New Roman"/>
      <w:sz w:val="24"/>
      <w:szCs w:val="20"/>
      <w:lang w:val="en-US"/>
    </w:rPr>
  </w:style>
  <w:style w:type="character" w:customStyle="1" w:styleId="ParagraphChar">
    <w:name w:val="Paragraph Char"/>
    <w:aliases w:val="p Char,PARAGRAPH Char,PG Char,pa Char,at Char,paragraph Char"/>
    <w:link w:val="Paragraph"/>
    <w:rsid w:val="007116B2"/>
    <w:rPr>
      <w:rFonts w:ascii="Times New Roman" w:eastAsia="Times New Roman" w:hAnsi="Times New Roman" w:cs="Times New Roman"/>
      <w:sz w:val="24"/>
      <w:szCs w:val="20"/>
      <w:lang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qFormat/>
    <w:rsid w:val="007116B2"/>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7116B2"/>
    <w:rPr>
      <w:rFonts w:ascii="Times New Roman" w:eastAsiaTheme="minorEastAsia" w:hAnsi="Times New Roman" w:cs="Times New Roman"/>
      <w:spacing w:val="-3"/>
      <w:sz w:val="20"/>
      <w:szCs w:val="20"/>
      <w:lang w:eastAsia="en-GB"/>
    </w:rPr>
  </w:style>
  <w:style w:type="paragraph" w:customStyle="1" w:styleId="Chapter">
    <w:name w:val="Chapter"/>
    <w:basedOn w:val="Normal"/>
    <w:next w:val="Normal"/>
    <w:qFormat/>
    <w:rsid w:val="007116B2"/>
    <w:pPr>
      <w:keepNext/>
      <w:numPr>
        <w:numId w:val="1"/>
      </w:numPr>
      <w:tabs>
        <w:tab w:val="left" w:pos="1440"/>
      </w:tabs>
      <w:spacing w:before="240" w:after="240" w:line="240" w:lineRule="auto"/>
      <w:jc w:val="center"/>
    </w:pPr>
    <w:rPr>
      <w:rFonts w:ascii="Times New Roman" w:eastAsia="Times New Roman" w:hAnsi="Times New Roman" w:cs="Times New Roman"/>
      <w:b/>
      <w:smallCaps/>
      <w:sz w:val="24"/>
      <w:szCs w:val="20"/>
      <w:lang w:val="en-US"/>
    </w:rPr>
  </w:style>
  <w:style w:type="paragraph" w:customStyle="1" w:styleId="Default">
    <w:name w:val="Default"/>
    <w:link w:val="DefaultChar"/>
    <w:rsid w:val="007116B2"/>
    <w:pPr>
      <w:autoSpaceDE w:val="0"/>
      <w:autoSpaceDN w:val="0"/>
      <w:adjustRightInd w:val="0"/>
      <w:spacing w:after="0" w:line="240" w:lineRule="auto"/>
    </w:pPr>
    <w:rPr>
      <w:rFonts w:ascii="Times New Roman" w:eastAsiaTheme="minorEastAsia" w:hAnsi="Times New Roman" w:cs="Times New Roman"/>
      <w:color w:val="000000"/>
      <w:sz w:val="24"/>
      <w:szCs w:val="24"/>
      <w:lang w:eastAsia="en-GB"/>
    </w:rPr>
  </w:style>
  <w:style w:type="paragraph" w:customStyle="1" w:styleId="FirstHeading">
    <w:name w:val="FirstHeading"/>
    <w:basedOn w:val="Normal"/>
    <w:next w:val="Normal"/>
    <w:rsid w:val="007116B2"/>
    <w:pPr>
      <w:keepNext/>
      <w:numPr>
        <w:numId w:val="2"/>
      </w:numPr>
      <w:tabs>
        <w:tab w:val="left" w:pos="0"/>
        <w:tab w:val="left" w:pos="86"/>
        <w:tab w:val="num" w:pos="360"/>
      </w:tabs>
      <w:spacing w:before="120" w:after="120" w:line="240" w:lineRule="auto"/>
      <w:ind w:left="0" w:firstLine="0"/>
    </w:pPr>
    <w:rPr>
      <w:rFonts w:ascii="Times New Roman" w:hAnsi="Times New Roman" w:cs="Times New Roman"/>
      <w:b/>
      <w:bCs/>
      <w:sz w:val="24"/>
      <w:szCs w:val="24"/>
      <w:lang w:val="es-ES_tradnl"/>
    </w:rPr>
  </w:style>
  <w:style w:type="character" w:customStyle="1" w:styleId="DefaultChar">
    <w:name w:val="Default Char"/>
    <w:basedOn w:val="DefaultParagraphFont"/>
    <w:link w:val="Default"/>
    <w:rsid w:val="007116B2"/>
    <w:rPr>
      <w:rFonts w:ascii="Times New Roman" w:eastAsiaTheme="minorEastAsia" w:hAnsi="Times New Roman" w:cs="Times New Roman"/>
      <w:color w:val="000000"/>
      <w:sz w:val="24"/>
      <w:szCs w:val="24"/>
      <w:lang w:eastAsia="en-GB"/>
    </w:rPr>
  </w:style>
  <w:style w:type="paragraph" w:customStyle="1" w:styleId="SecHeading">
    <w:name w:val="SecHeading"/>
    <w:basedOn w:val="Normal"/>
    <w:next w:val="Paragraph"/>
    <w:link w:val="SecHeadingChar"/>
    <w:rsid w:val="007116B2"/>
    <w:pPr>
      <w:keepNext/>
      <w:numPr>
        <w:ilvl w:val="1"/>
        <w:numId w:val="2"/>
      </w:numPr>
      <w:spacing w:before="120" w:after="120" w:line="240" w:lineRule="auto"/>
    </w:pPr>
    <w:rPr>
      <w:rFonts w:ascii="Times New Roman" w:hAnsi="Times New Roman" w:cs="Times New Roman"/>
      <w:b/>
      <w:bCs/>
      <w:color w:val="000000"/>
      <w:sz w:val="24"/>
      <w:szCs w:val="24"/>
      <w:lang w:val="es-ES_tradnl"/>
    </w:rPr>
  </w:style>
  <w:style w:type="character" w:customStyle="1" w:styleId="SecHeadingChar">
    <w:name w:val="SecHeading Char"/>
    <w:basedOn w:val="DefaultChar"/>
    <w:link w:val="SecHeading"/>
    <w:rsid w:val="007116B2"/>
    <w:rPr>
      <w:rFonts w:ascii="Times New Roman" w:eastAsiaTheme="minorEastAsia" w:hAnsi="Times New Roman" w:cs="Times New Roman"/>
      <w:b/>
      <w:bCs/>
      <w:color w:val="000000"/>
      <w:sz w:val="24"/>
      <w:szCs w:val="24"/>
      <w:lang w:val="es-ES_tradnl" w:eastAsia="en-GB"/>
    </w:rPr>
  </w:style>
  <w:style w:type="paragraph" w:customStyle="1" w:styleId="SubHeading1">
    <w:name w:val="SubHeading1"/>
    <w:basedOn w:val="SecHeading"/>
    <w:rsid w:val="007116B2"/>
    <w:pPr>
      <w:numPr>
        <w:ilvl w:val="2"/>
      </w:numPr>
    </w:pPr>
    <w:rPr>
      <w:bCs w:val="0"/>
      <w:color w:val="auto"/>
    </w:rPr>
  </w:style>
  <w:style w:type="paragraph" w:customStyle="1" w:styleId="Subheading2">
    <w:name w:val="Subheading2"/>
    <w:basedOn w:val="SecHeading"/>
    <w:rsid w:val="007116B2"/>
    <w:pPr>
      <w:numPr>
        <w:ilvl w:val="3"/>
      </w:numPr>
      <w:tabs>
        <w:tab w:val="clear" w:pos="6480"/>
        <w:tab w:val="num" w:pos="2376"/>
      </w:tabs>
      <w:ind w:left="2376"/>
    </w:pPr>
    <w:rPr>
      <w:bCs w:val="0"/>
      <w:color w:val="auto"/>
    </w:rPr>
  </w:style>
  <w:style w:type="paragraph" w:customStyle="1" w:styleId="subpar">
    <w:name w:val="subpar"/>
    <w:basedOn w:val="BodyTextIndent3"/>
    <w:link w:val="subparChar"/>
    <w:rsid w:val="007116B2"/>
    <w:pPr>
      <w:numPr>
        <w:ilvl w:val="2"/>
        <w:numId w:val="1"/>
      </w:numPr>
      <w:spacing w:before="120" w:line="240" w:lineRule="auto"/>
      <w:jc w:val="both"/>
      <w:outlineLvl w:val="2"/>
    </w:pPr>
    <w:rPr>
      <w:rFonts w:ascii="Times New Roman" w:hAnsi="Times New Roman" w:cs="Times New Roman"/>
      <w:sz w:val="24"/>
    </w:rPr>
  </w:style>
  <w:style w:type="character" w:customStyle="1" w:styleId="subparChar">
    <w:name w:val="subpar Char"/>
    <w:basedOn w:val="DefaultParagraphFont"/>
    <w:link w:val="subpar"/>
    <w:uiPriority w:val="99"/>
    <w:rsid w:val="007116B2"/>
    <w:rPr>
      <w:rFonts w:ascii="Times New Roman" w:eastAsiaTheme="minorEastAsia" w:hAnsi="Times New Roman" w:cs="Times New Roman"/>
      <w:sz w:val="24"/>
      <w:szCs w:val="16"/>
      <w:lang w:val="en-GB" w:eastAsia="en-GB"/>
    </w:rPr>
  </w:style>
  <w:style w:type="paragraph" w:customStyle="1" w:styleId="SubSubPar">
    <w:name w:val="SubSubPar"/>
    <w:basedOn w:val="subpar"/>
    <w:link w:val="SubSubParChar"/>
    <w:uiPriority w:val="99"/>
    <w:rsid w:val="007116B2"/>
    <w:pPr>
      <w:numPr>
        <w:ilvl w:val="3"/>
      </w:numPr>
      <w:tabs>
        <w:tab w:val="clear" w:pos="3024"/>
        <w:tab w:val="left" w:pos="0"/>
        <w:tab w:val="num" w:pos="1296"/>
      </w:tabs>
      <w:ind w:left="1296"/>
    </w:pPr>
  </w:style>
  <w:style w:type="character" w:customStyle="1" w:styleId="SubSubParChar">
    <w:name w:val="SubSubPar Char"/>
    <w:basedOn w:val="DefaultParagraphFont"/>
    <w:link w:val="SubSubPar"/>
    <w:uiPriority w:val="99"/>
    <w:rsid w:val="007116B2"/>
    <w:rPr>
      <w:rFonts w:ascii="Times New Roman" w:eastAsiaTheme="minorEastAsia" w:hAnsi="Times New Roman" w:cs="Times New Roman"/>
      <w:sz w:val="24"/>
      <w:szCs w:val="16"/>
      <w:lang w:val="en-GB" w:eastAsia="en-GB"/>
    </w:rPr>
  </w:style>
  <w:style w:type="character" w:styleId="BookTitle">
    <w:name w:val="Book Title"/>
    <w:basedOn w:val="DefaultParagraphFont"/>
    <w:uiPriority w:val="33"/>
    <w:qFormat/>
    <w:rsid w:val="007116B2"/>
    <w:rPr>
      <w:b/>
      <w:bCs/>
      <w:smallCaps/>
      <w:spacing w:val="5"/>
    </w:rPr>
  </w:style>
  <w:style w:type="paragraph" w:styleId="Footer">
    <w:name w:val="footer"/>
    <w:basedOn w:val="Normal"/>
    <w:link w:val="FooterChar"/>
    <w:uiPriority w:val="99"/>
    <w:unhideWhenUsed/>
    <w:rsid w:val="007116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16B2"/>
    <w:rPr>
      <w:rFonts w:eastAsiaTheme="minorEastAsia"/>
      <w:lang w:val="en-GB" w:eastAsia="en-GB"/>
    </w:rPr>
  </w:style>
  <w:style w:type="paragraph" w:customStyle="1" w:styleId="Newpage">
    <w:name w:val="Newpage"/>
    <w:basedOn w:val="Chapter"/>
    <w:rsid w:val="007116B2"/>
    <w:pPr>
      <w:numPr>
        <w:numId w:val="0"/>
      </w:numPr>
      <w:tabs>
        <w:tab w:val="clear" w:pos="1440"/>
        <w:tab w:val="left" w:pos="3060"/>
      </w:tabs>
      <w:spacing w:after="0"/>
    </w:pPr>
    <w:rPr>
      <w:lang w:val="es-ES" w:eastAsia="en-US"/>
    </w:rPr>
  </w:style>
  <w:style w:type="paragraph" w:styleId="BodyTextIndent">
    <w:name w:val="Body Text Indent"/>
    <w:basedOn w:val="Normal"/>
    <w:link w:val="BodyTextIndentChar"/>
    <w:uiPriority w:val="99"/>
    <w:semiHidden/>
    <w:unhideWhenUsed/>
    <w:rsid w:val="007116B2"/>
    <w:pPr>
      <w:spacing w:after="120"/>
      <w:ind w:left="360"/>
    </w:pPr>
  </w:style>
  <w:style w:type="character" w:customStyle="1" w:styleId="BodyTextIndentChar">
    <w:name w:val="Body Text Indent Char"/>
    <w:basedOn w:val="DefaultParagraphFont"/>
    <w:link w:val="BodyTextIndent"/>
    <w:uiPriority w:val="99"/>
    <w:semiHidden/>
    <w:rsid w:val="007116B2"/>
    <w:rPr>
      <w:rFonts w:eastAsiaTheme="minorEastAsia"/>
      <w:lang w:val="en-GB" w:eastAsia="en-GB"/>
    </w:rPr>
  </w:style>
  <w:style w:type="paragraph" w:styleId="BodyTextIndent3">
    <w:name w:val="Body Text Indent 3"/>
    <w:basedOn w:val="Normal"/>
    <w:link w:val="BodyTextIndent3Char"/>
    <w:uiPriority w:val="99"/>
    <w:semiHidden/>
    <w:unhideWhenUsed/>
    <w:rsid w:val="007116B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116B2"/>
    <w:rPr>
      <w:rFonts w:eastAsiaTheme="minorEastAsia"/>
      <w:sz w:val="16"/>
      <w:szCs w:val="16"/>
      <w:lang w:val="en-GB" w:eastAsia="en-GB"/>
    </w:rPr>
  </w:style>
  <w:style w:type="paragraph" w:styleId="ListParagraph">
    <w:name w:val="List Paragraph"/>
    <w:basedOn w:val="Normal"/>
    <w:link w:val="ListParagraphChar"/>
    <w:uiPriority w:val="34"/>
    <w:qFormat/>
    <w:rsid w:val="00FD6D39"/>
    <w:pPr>
      <w:spacing w:after="0" w:line="240" w:lineRule="auto"/>
      <w:ind w:left="720"/>
      <w:contextualSpacing/>
    </w:pPr>
    <w:rPr>
      <w:rFonts w:ascii="Times New Roman" w:eastAsia="Times New Roman" w:hAnsi="Times New Roman" w:cs="Times New Roman"/>
      <w:sz w:val="24"/>
      <w:szCs w:val="20"/>
      <w:lang w:val="es-ES_tradnl" w:eastAsia="en-US"/>
    </w:rPr>
  </w:style>
  <w:style w:type="character" w:styleId="Hyperlink">
    <w:name w:val="Hyperlink"/>
    <w:basedOn w:val="DefaultParagraphFont"/>
    <w:uiPriority w:val="99"/>
    <w:rsid w:val="00454CB5"/>
    <w:rPr>
      <w:color w:val="0000FF"/>
      <w:u w:val="single"/>
    </w:rPr>
  </w:style>
  <w:style w:type="character" w:styleId="FootnoteReference">
    <w:name w:val="footnote reference"/>
    <w:aliases w:val="Style 24,titulo 2,pie pddes,Ref. de nota al pie.,FC,ftref,Знак сноски-FN,Ref,de nota al pie,16 Point,Superscript 6 Point,Fußnotenzeichen DISS,BVI fnr,Знак сноски 1,referencia nota al pie,Footnote Referencefra, BVI fnr,BVI fnr Car Car"/>
    <w:basedOn w:val="DefaultParagraphFont"/>
    <w:link w:val="Char2"/>
    <w:uiPriority w:val="99"/>
    <w:qFormat/>
    <w:rsid w:val="00454CB5"/>
    <w:rPr>
      <w:vertAlign w:val="superscript"/>
    </w:rPr>
  </w:style>
  <w:style w:type="paragraph" w:customStyle="1" w:styleId="Char2">
    <w:name w:val="Char2"/>
    <w:basedOn w:val="Normal"/>
    <w:link w:val="FootnoteReference"/>
    <w:uiPriority w:val="99"/>
    <w:rsid w:val="00454CB5"/>
    <w:pPr>
      <w:spacing w:after="160" w:line="240" w:lineRule="exact"/>
    </w:pPr>
    <w:rPr>
      <w:rFonts w:eastAsiaTheme="minorHAnsi"/>
      <w:vertAlign w:val="superscript"/>
      <w:lang w:val="en-US" w:eastAsia="en-US"/>
    </w:rPr>
  </w:style>
  <w:style w:type="character" w:customStyle="1" w:styleId="ListParagraphChar">
    <w:name w:val="List Paragraph Char"/>
    <w:link w:val="ListParagraph"/>
    <w:uiPriority w:val="34"/>
    <w:locked/>
    <w:rsid w:val="00F27BCF"/>
    <w:rPr>
      <w:rFonts w:ascii="Times New Roman" w:eastAsia="Times New Roman" w:hAnsi="Times New Roman" w:cs="Times New Roman"/>
      <w:sz w:val="24"/>
      <w:szCs w:val="20"/>
      <w:lang w:val="es-ES_tradnl"/>
    </w:rPr>
  </w:style>
  <w:style w:type="character" w:styleId="EndnoteReference">
    <w:name w:val="endnote reference"/>
    <w:basedOn w:val="DefaultParagraphFont"/>
    <w:uiPriority w:val="99"/>
    <w:semiHidden/>
    <w:unhideWhenUsed/>
    <w:rsid w:val="0072599C"/>
    <w:rPr>
      <w:vertAlign w:val="superscript"/>
    </w:rPr>
  </w:style>
  <w:style w:type="character" w:styleId="CommentReference">
    <w:name w:val="annotation reference"/>
    <w:basedOn w:val="DefaultParagraphFont"/>
    <w:unhideWhenUsed/>
    <w:rsid w:val="00D80E1D"/>
    <w:rPr>
      <w:sz w:val="16"/>
      <w:szCs w:val="16"/>
    </w:rPr>
  </w:style>
  <w:style w:type="paragraph" w:styleId="CommentText">
    <w:name w:val="annotation text"/>
    <w:basedOn w:val="Normal"/>
    <w:link w:val="CommentTextChar"/>
    <w:unhideWhenUsed/>
    <w:rsid w:val="00D80E1D"/>
    <w:pPr>
      <w:spacing w:line="240" w:lineRule="auto"/>
    </w:pPr>
    <w:rPr>
      <w:sz w:val="20"/>
      <w:szCs w:val="20"/>
    </w:rPr>
  </w:style>
  <w:style w:type="character" w:customStyle="1" w:styleId="CommentTextChar">
    <w:name w:val="Comment Text Char"/>
    <w:basedOn w:val="DefaultParagraphFont"/>
    <w:link w:val="CommentText"/>
    <w:rsid w:val="00D80E1D"/>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D80E1D"/>
    <w:rPr>
      <w:b/>
      <w:bCs/>
    </w:rPr>
  </w:style>
  <w:style w:type="character" w:customStyle="1" w:styleId="CommentSubjectChar">
    <w:name w:val="Comment Subject Char"/>
    <w:basedOn w:val="CommentTextChar"/>
    <w:link w:val="CommentSubject"/>
    <w:uiPriority w:val="99"/>
    <w:semiHidden/>
    <w:rsid w:val="00D80E1D"/>
    <w:rPr>
      <w:rFonts w:eastAsiaTheme="minorEastAsia"/>
      <w:b/>
      <w:bCs/>
      <w:sz w:val="20"/>
      <w:szCs w:val="20"/>
      <w:lang w:val="en-GB" w:eastAsia="en-GB"/>
    </w:rPr>
  </w:style>
  <w:style w:type="character" w:styleId="UnresolvedMention">
    <w:name w:val="Unresolved Mention"/>
    <w:basedOn w:val="DefaultParagraphFont"/>
    <w:uiPriority w:val="99"/>
    <w:unhideWhenUsed/>
    <w:rsid w:val="00D80E1D"/>
    <w:rPr>
      <w:color w:val="605E5C"/>
      <w:shd w:val="clear" w:color="auto" w:fill="E1DFDD"/>
    </w:rPr>
  </w:style>
  <w:style w:type="character" w:styleId="Mention">
    <w:name w:val="Mention"/>
    <w:basedOn w:val="DefaultParagraphFont"/>
    <w:uiPriority w:val="99"/>
    <w:unhideWhenUsed/>
    <w:rsid w:val="00D80E1D"/>
    <w:rPr>
      <w:color w:val="2B579A"/>
      <w:shd w:val="clear" w:color="auto" w:fill="E1DFDD"/>
    </w:rPr>
  </w:style>
  <w:style w:type="paragraph" w:styleId="Header">
    <w:name w:val="header"/>
    <w:basedOn w:val="Normal"/>
    <w:link w:val="HeaderChar"/>
    <w:uiPriority w:val="99"/>
    <w:unhideWhenUsed/>
    <w:rsid w:val="00E573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7344"/>
    <w:rPr>
      <w:rFonts w:eastAsiaTheme="minorEastAsia"/>
      <w:lang w:val="en-GB" w:eastAsia="en-GB"/>
    </w:rPr>
  </w:style>
  <w:style w:type="paragraph" w:styleId="EndnoteText">
    <w:name w:val="endnote text"/>
    <w:basedOn w:val="Normal"/>
    <w:link w:val="EndnoteTextChar"/>
    <w:uiPriority w:val="99"/>
    <w:semiHidden/>
    <w:unhideWhenUsed/>
    <w:rsid w:val="00324C5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24C59"/>
    <w:rPr>
      <w:rFonts w:eastAsiaTheme="minorEastAsia"/>
      <w:sz w:val="20"/>
      <w:szCs w:val="20"/>
      <w:lang w:val="en-GB" w:eastAsia="en-GB"/>
    </w:rPr>
  </w:style>
  <w:style w:type="character" w:styleId="FollowedHyperlink">
    <w:name w:val="FollowedHyperlink"/>
    <w:basedOn w:val="DefaultParagraphFont"/>
    <w:uiPriority w:val="99"/>
    <w:semiHidden/>
    <w:unhideWhenUsed/>
    <w:rsid w:val="00E707A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869897">
      <w:bodyDiv w:val="1"/>
      <w:marLeft w:val="0"/>
      <w:marRight w:val="0"/>
      <w:marTop w:val="0"/>
      <w:marBottom w:val="0"/>
      <w:divBdr>
        <w:top w:val="none" w:sz="0" w:space="0" w:color="auto"/>
        <w:left w:val="none" w:sz="0" w:space="0" w:color="auto"/>
        <w:bottom w:val="none" w:sz="0" w:space="0" w:color="auto"/>
        <w:right w:val="none" w:sz="0" w:space="0" w:color="auto"/>
      </w:divBdr>
    </w:div>
    <w:div w:id="253393003">
      <w:bodyDiv w:val="1"/>
      <w:marLeft w:val="0"/>
      <w:marRight w:val="0"/>
      <w:marTop w:val="0"/>
      <w:marBottom w:val="0"/>
      <w:divBdr>
        <w:top w:val="none" w:sz="0" w:space="0" w:color="auto"/>
        <w:left w:val="none" w:sz="0" w:space="0" w:color="auto"/>
        <w:bottom w:val="none" w:sz="0" w:space="0" w:color="auto"/>
        <w:right w:val="none" w:sz="0" w:space="0" w:color="auto"/>
      </w:divBdr>
      <w:divsChild>
        <w:div w:id="734619696">
          <w:marLeft w:val="0"/>
          <w:marRight w:val="0"/>
          <w:marTop w:val="0"/>
          <w:marBottom w:val="0"/>
          <w:divBdr>
            <w:top w:val="none" w:sz="0" w:space="0" w:color="auto"/>
            <w:left w:val="none" w:sz="0" w:space="0" w:color="auto"/>
            <w:bottom w:val="none" w:sz="0" w:space="0" w:color="auto"/>
            <w:right w:val="none" w:sz="0" w:space="0" w:color="auto"/>
          </w:divBdr>
        </w:div>
      </w:divsChild>
    </w:div>
    <w:div w:id="847330267">
      <w:bodyDiv w:val="1"/>
      <w:marLeft w:val="0"/>
      <w:marRight w:val="0"/>
      <w:marTop w:val="0"/>
      <w:marBottom w:val="0"/>
      <w:divBdr>
        <w:top w:val="none" w:sz="0" w:space="0" w:color="auto"/>
        <w:left w:val="none" w:sz="0" w:space="0" w:color="auto"/>
        <w:bottom w:val="none" w:sz="0" w:space="0" w:color="auto"/>
        <w:right w:val="none" w:sz="0" w:space="0" w:color="auto"/>
      </w:divBdr>
    </w:div>
    <w:div w:id="926884330">
      <w:bodyDiv w:val="1"/>
      <w:marLeft w:val="0"/>
      <w:marRight w:val="0"/>
      <w:marTop w:val="0"/>
      <w:marBottom w:val="0"/>
      <w:divBdr>
        <w:top w:val="none" w:sz="0" w:space="0" w:color="auto"/>
        <w:left w:val="none" w:sz="0" w:space="0" w:color="auto"/>
        <w:bottom w:val="none" w:sz="0" w:space="0" w:color="auto"/>
        <w:right w:val="none" w:sz="0" w:space="0" w:color="auto"/>
      </w:divBdr>
      <w:divsChild>
        <w:div w:id="65107514">
          <w:marLeft w:val="0"/>
          <w:marRight w:val="0"/>
          <w:marTop w:val="0"/>
          <w:marBottom w:val="0"/>
          <w:divBdr>
            <w:top w:val="none" w:sz="0" w:space="0" w:color="auto"/>
            <w:left w:val="none" w:sz="0" w:space="0" w:color="auto"/>
            <w:bottom w:val="none" w:sz="0" w:space="0" w:color="auto"/>
            <w:right w:val="none" w:sz="0" w:space="0" w:color="auto"/>
          </w:divBdr>
        </w:div>
      </w:divsChild>
    </w:div>
    <w:div w:id="929313085">
      <w:bodyDiv w:val="1"/>
      <w:marLeft w:val="0"/>
      <w:marRight w:val="0"/>
      <w:marTop w:val="0"/>
      <w:marBottom w:val="0"/>
      <w:divBdr>
        <w:top w:val="none" w:sz="0" w:space="0" w:color="auto"/>
        <w:left w:val="none" w:sz="0" w:space="0" w:color="auto"/>
        <w:bottom w:val="none" w:sz="0" w:space="0" w:color="auto"/>
        <w:right w:val="none" w:sz="0" w:space="0" w:color="auto"/>
      </w:divBdr>
      <w:divsChild>
        <w:div w:id="1098256937">
          <w:marLeft w:val="0"/>
          <w:marRight w:val="0"/>
          <w:marTop w:val="0"/>
          <w:marBottom w:val="0"/>
          <w:divBdr>
            <w:top w:val="none" w:sz="0" w:space="0" w:color="auto"/>
            <w:left w:val="none" w:sz="0" w:space="0" w:color="auto"/>
            <w:bottom w:val="none" w:sz="0" w:space="0" w:color="auto"/>
            <w:right w:val="none" w:sz="0" w:space="0" w:color="auto"/>
          </w:divBdr>
          <w:divsChild>
            <w:div w:id="1882668698">
              <w:marLeft w:val="0"/>
              <w:marRight w:val="0"/>
              <w:marTop w:val="0"/>
              <w:marBottom w:val="0"/>
              <w:divBdr>
                <w:top w:val="none" w:sz="0" w:space="0" w:color="auto"/>
                <w:left w:val="none" w:sz="0" w:space="0" w:color="auto"/>
                <w:bottom w:val="none" w:sz="0" w:space="0" w:color="auto"/>
                <w:right w:val="none" w:sz="0" w:space="0" w:color="auto"/>
              </w:divBdr>
              <w:divsChild>
                <w:div w:id="1331717460">
                  <w:marLeft w:val="0"/>
                  <w:marRight w:val="0"/>
                  <w:marTop w:val="0"/>
                  <w:marBottom w:val="0"/>
                  <w:divBdr>
                    <w:top w:val="none" w:sz="0" w:space="0" w:color="auto"/>
                    <w:left w:val="none" w:sz="0" w:space="0" w:color="auto"/>
                    <w:bottom w:val="none" w:sz="0" w:space="0" w:color="auto"/>
                    <w:right w:val="none" w:sz="0" w:space="0" w:color="auto"/>
                  </w:divBdr>
                  <w:divsChild>
                    <w:div w:id="2040279666">
                      <w:marLeft w:val="0"/>
                      <w:marRight w:val="0"/>
                      <w:marTop w:val="0"/>
                      <w:marBottom w:val="0"/>
                      <w:divBdr>
                        <w:top w:val="none" w:sz="0" w:space="0" w:color="auto"/>
                        <w:left w:val="none" w:sz="0" w:space="0" w:color="auto"/>
                        <w:bottom w:val="none" w:sz="0" w:space="0" w:color="auto"/>
                        <w:right w:val="none" w:sz="0" w:space="0" w:color="auto"/>
                      </w:divBdr>
                      <w:divsChild>
                        <w:div w:id="1846168121">
                          <w:marLeft w:val="0"/>
                          <w:marRight w:val="0"/>
                          <w:marTop w:val="0"/>
                          <w:marBottom w:val="0"/>
                          <w:divBdr>
                            <w:top w:val="none" w:sz="0" w:space="0" w:color="auto"/>
                            <w:left w:val="none" w:sz="0" w:space="0" w:color="auto"/>
                            <w:bottom w:val="none" w:sz="0" w:space="0" w:color="auto"/>
                            <w:right w:val="none" w:sz="0" w:space="0" w:color="auto"/>
                          </w:divBdr>
                          <w:divsChild>
                            <w:div w:id="989402503">
                              <w:marLeft w:val="0"/>
                              <w:marRight w:val="0"/>
                              <w:marTop w:val="0"/>
                              <w:marBottom w:val="0"/>
                              <w:divBdr>
                                <w:top w:val="none" w:sz="0" w:space="0" w:color="auto"/>
                                <w:left w:val="none" w:sz="0" w:space="0" w:color="auto"/>
                                <w:bottom w:val="none" w:sz="0" w:space="0" w:color="auto"/>
                                <w:right w:val="none" w:sz="0" w:space="0" w:color="auto"/>
                              </w:divBdr>
                              <w:divsChild>
                                <w:div w:id="39100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6630748">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dbdocs.iadb.org/wsdocs/getDocument.aspx?DOCNUM=EZSHARE-1677352023-1" TargetMode="Externa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customXml" Target="../customXml/item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www.cepal.org/es/comunicados/covid-19-tendra-graves-efectos-la-economia-mundial-impactara-paises-america-latina" TargetMode="External"/><Relationship Id="rId2" Type="http://schemas.openxmlformats.org/officeDocument/2006/relationships/hyperlink" Target="https://www.paho.org/en/topics/coronavirus-infections/coronavirus-disease-covid-19" TargetMode="External"/><Relationship Id="rId1" Type="http://schemas.openxmlformats.org/officeDocument/2006/relationships/hyperlink" Target="https://covid19.who.int/" TargetMode="External"/><Relationship Id="rId5" Type="http://schemas.openxmlformats.org/officeDocument/2006/relationships/hyperlink" Target="http://idbdocs.iadb.org/wsdocs/getDocument.aspx?DOCNUM=EZSHARE-1677352023-7" TargetMode="External"/><Relationship Id="rId4" Type="http://schemas.openxmlformats.org/officeDocument/2006/relationships/hyperlink" Target="https://www.bice.com.ar/wp-content/uploads/2020/03/MemoriayBalance20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Lozano Miranda Ana Lucia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BANKING MARKET DEVELOPMENT</TermName>
          <TermId xmlns="http://schemas.microsoft.com/office/infopath/2007/PartnerControls">5f08329b-f2bb-4342-ba75-eb4216b403d4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84</Value>
      <Value>439</Value>
      <Value>5</Value>
      <Value>4</Value>
      <Value>1</Value>
      <Value>85</Value>
    </TaxCatchAll>
    <Operation_x0020_Type xmlns="cdc7663a-08f0-4737-9e8c-148ce897a09c" xsi:nil="true"/>
    <Package_x0020_Code xmlns="cdc7663a-08f0-4737-9e8c-148ce897a09c" xsi:nil="true"/>
    <Identifier xmlns="cdc7663a-08f0-4737-9e8c-148ce897a09c">EER</Identifier>
    <Project_x0020_Number xmlns="cdc7663a-08f0-4737-9e8c-148ce897a09c">AR-L1328;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 xsi:nil="true"/>
    <_dlc_DocId xmlns="cdc7663a-08f0-4737-9e8c-148ce897a09c">EZSHARE-1677352023-17</_dlc_DocId>
    <_dlc_DocIdUrl xmlns="cdc7663a-08f0-4737-9e8c-148ce897a09c">
      <Url>https://idbg.sharepoint.com/teams/EZ-AR-LON/AR-L1328/_layouts/15/DocIdRedir.aspx?ID=EZSHARE-1677352023-17</Url>
      <Description>EZSHARE-1677352023-17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125A14E68A27241B19559FFBEBC8CBF" ma:contentTypeVersion="0" ma:contentTypeDescription="A content type to manage public (operations) IDB documents" ma:contentTypeScope="" ma:versionID="fca2a52b3f7f116d6482699b5e516119">
  <xsd:schema xmlns:xsd="http://www.w3.org/2001/XMLSchema" xmlns:xs="http://www.w3.org/2001/XMLSchema" xmlns:p="http://schemas.microsoft.com/office/2006/metadata/properties" xmlns:ns2="cdc7663a-08f0-4737-9e8c-148ce897a09c" targetNamespace="http://schemas.microsoft.com/office/2006/metadata/properties" ma:root="true" ma:fieldsID="c3987797e87b5cf11d97b6230f067a7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32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1DA3F41E-E54A-4CEF-B8B7-0B267451C5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0231545-AC2D-4867-AC48-ED728EC0EEFC}"/>
</file>

<file path=customXml/itemProps3.xml><?xml version="1.0" encoding="utf-8"?>
<ds:datastoreItem xmlns:ds="http://schemas.openxmlformats.org/officeDocument/2006/customXml" ds:itemID="{EE067F60-C4BA-4B57-955B-22125B0ACB4D}">
  <ds:schemaRefs>
    <ds:schemaRef ds:uri="http://schemas.microsoft.com/sharepoint/v3/contenttype/forms"/>
  </ds:schemaRefs>
</ds:datastoreItem>
</file>

<file path=customXml/itemProps4.xml><?xml version="1.0" encoding="utf-8"?>
<ds:datastoreItem xmlns:ds="http://schemas.openxmlformats.org/officeDocument/2006/customXml" ds:itemID="{81C02EDC-B70E-4A4C-BC3A-D11794952012}">
  <ds:schemaRefs>
    <ds:schemaRef ds:uri="http://schemas.openxmlformats.org/officeDocument/2006/bibliography"/>
  </ds:schemaRefs>
</ds:datastoreItem>
</file>

<file path=customXml/itemProps5.xml><?xml version="1.0" encoding="utf-8"?>
<ds:datastoreItem xmlns:ds="http://schemas.openxmlformats.org/officeDocument/2006/customXml" ds:itemID="{E1237170-9CD6-46CC-A021-11EB647261F9}"/>
</file>

<file path=customXml/itemProps6.xml><?xml version="1.0" encoding="utf-8"?>
<ds:datastoreItem xmlns:ds="http://schemas.openxmlformats.org/officeDocument/2006/customXml" ds:itemID="{4BEB5B82-C20E-42FA-B386-C7369EA22F4C}"/>
</file>

<file path=customXml/itemProps7.xml><?xml version="1.0" encoding="utf-8"?>
<ds:datastoreItem xmlns:ds="http://schemas.openxmlformats.org/officeDocument/2006/customXml" ds:itemID="{BA80A1CA-F0E3-4A2D-B5E2-487A0D2401AD}"/>
</file>

<file path=docProps/app.xml><?xml version="1.0" encoding="utf-8"?>
<Properties xmlns="http://schemas.openxmlformats.org/officeDocument/2006/extended-properties" xmlns:vt="http://schemas.openxmlformats.org/officeDocument/2006/docPropsVTypes">
  <Template>Normal</Template>
  <TotalTime>22</TotalTime>
  <Pages>23</Pages>
  <Words>9238</Words>
  <Characters>51647</Characters>
  <Application>Microsoft Office Word</Application>
  <DocSecurity>0</DocSecurity>
  <Lines>974</Lines>
  <Paragraphs>271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60614</CharactersWithSpaces>
  <SharedDoc>false</SharedDoc>
  <HLinks>
    <vt:vector size="18" baseType="variant">
      <vt:variant>
        <vt:i4>8192060</vt:i4>
      </vt:variant>
      <vt:variant>
        <vt:i4>6</vt:i4>
      </vt:variant>
      <vt:variant>
        <vt:i4>0</vt:i4>
      </vt:variant>
      <vt:variant>
        <vt:i4>5</vt:i4>
      </vt:variant>
      <vt:variant>
        <vt:lpwstr>https://www.cepal.org/es/comunicados/covid-19-tendra-graves-efectos-la-economia-mundial-impactara-paises-america-latina</vt:lpwstr>
      </vt:variant>
      <vt:variant>
        <vt:lpwstr/>
      </vt:variant>
      <vt:variant>
        <vt:i4>2949221</vt:i4>
      </vt:variant>
      <vt:variant>
        <vt:i4>3</vt:i4>
      </vt:variant>
      <vt:variant>
        <vt:i4>0</vt:i4>
      </vt:variant>
      <vt:variant>
        <vt:i4>5</vt:i4>
      </vt:variant>
      <vt:variant>
        <vt:lpwstr>https://www.paho.org/en/topics/coronavirus-infections/coronavirus-disease-covid-19</vt:lpwstr>
      </vt:variant>
      <vt:variant>
        <vt:lpwstr/>
      </vt:variant>
      <vt:variant>
        <vt:i4>983053</vt:i4>
      </vt:variant>
      <vt:variant>
        <vt:i4>0</vt:i4>
      </vt:variant>
      <vt:variant>
        <vt:i4>0</vt:i4>
      </vt:variant>
      <vt:variant>
        <vt:i4>5</vt:i4>
      </vt:variant>
      <vt:variant>
        <vt:lpwstr>https://covid19.who.int/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Cabrera Escalante, Maria</dc:creator>
  <cp:keywords>Para DIR</cp:keywords>
  <dc:description/>
  <cp:lastModifiedBy>Lozano Miranda, Ana Lucia</cp:lastModifiedBy>
  <cp:revision>26</cp:revision>
  <dcterms:created xsi:type="dcterms:W3CDTF">2020-06-09T20:50:00Z</dcterms:created>
  <dcterms:modified xsi:type="dcterms:W3CDTF">2020-06-12T01:29:00Z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439;#Para DIR|7b047d7e-33c0-4de8-be6b-a35c7df914f1</vt:lpwstr>
  </property>
  <property fmtid="{D5CDD505-2E9C-101B-9397-08002B2CF9AE}" pid="4" name="TaxKeywordTaxHTField">
    <vt:lpwstr>Para DIR|7b047d7e-33c0-4de8-be6b-a35c7df914f1</vt:lpwstr>
  </property>
  <property fmtid="{D5CDD505-2E9C-101B-9397-08002B2CF9AE}" pid="5" name="Series Operations IDB">
    <vt:lpwstr/>
  </property>
  <property fmtid="{D5CDD505-2E9C-101B-9397-08002B2CF9AE}" pid="6" name="Sub-Sector">
    <vt:lpwstr>85;#BANKING MARKET DEVELOPMENT|5f08329b-f2bb-4342-ba75-eb4216b403d4</vt:lpwstr>
  </property>
  <property fmtid="{D5CDD505-2E9C-101B-9397-08002B2CF9AE}" pid="7" name="Country">
    <vt:lpwstr>5;#Argentina|eb1b705c-195f-4c3b-9661-b201f2fee3c5</vt:lpwstr>
  </property>
  <property fmtid="{D5CDD505-2E9C-101B-9397-08002B2CF9AE}" pid="8" name="_dlc_DocIdItemGuid">
    <vt:lpwstr>6d898ddf-6b8d-4146-b501-738820cd7db8</vt:lpwstr>
  </property>
  <property fmtid="{D5CDD505-2E9C-101B-9397-08002B2CF9AE}" pid="9" name="Fund IDB">
    <vt:lpwstr>4;#ORC|c028a4b2-ad8b-4cf4-9cac-a2ae6a778e23</vt:lpwstr>
  </property>
  <property fmtid="{D5CDD505-2E9C-101B-9397-08002B2CF9AE}" pid="10" name="Sector IDB">
    <vt:lpwstr>84;#FINANCIAL MARKETS|75500f29-2419-473a-bcd8-84901ddc2aa7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0x0101001A458A224826124E8B45B1D613300CFC00F125A14E68A27241B19559FFBEBC8CBF</vt:lpwstr>
  </property>
</Properties>
</file>